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6631" w14:textId="77777777" w:rsidR="006C15AE" w:rsidRDefault="006C15AE" w:rsidP="006C15AE"/>
    <w:p w14:paraId="29B63CDF" w14:textId="4A854F99" w:rsidR="006C15AE" w:rsidRDefault="006C15AE" w:rsidP="006C15AE">
      <w:r>
        <w:rPr>
          <w:noProof/>
        </w:rPr>
        <w:drawing>
          <wp:anchor distT="0" distB="0" distL="114300" distR="114300" simplePos="0" relativeHeight="251659264" behindDoc="0" locked="0" layoutInCell="1" allowOverlap="1" wp14:anchorId="774B8CDA" wp14:editId="54E2AE9D">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492365" cy="10058400"/>
            <wp:effectExtent l="0" t="0" r="0" b="0"/>
            <wp:wrapNone/>
            <wp:docPr id="1"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492365" cy="10058400"/>
                    </a:xfrm>
                    <a:prstGeom prst="rect">
                      <a:avLst/>
                    </a:prstGeom>
                  </pic:spPr>
                </pic:pic>
              </a:graphicData>
            </a:graphic>
            <wp14:sizeRelH relativeFrom="margin">
              <wp14:pctWidth>0</wp14:pctWidth>
            </wp14:sizeRelH>
            <wp14:sizeRelV relativeFrom="margin">
              <wp14:pctHeight>0</wp14:pctHeight>
            </wp14:sizeRelV>
          </wp:anchor>
        </w:drawing>
      </w:r>
    </w:p>
    <w:p w14:paraId="117F7726" w14:textId="2C7F463C" w:rsidR="006C15AE" w:rsidRDefault="006C15AE" w:rsidP="006C15AE">
      <w:pPr>
        <w:sectPr w:rsidR="006C15AE" w:rsidSect="004E6489">
          <w:headerReference w:type="default" r:id="rId8"/>
          <w:footerReference w:type="default" r:id="rId9"/>
          <w:headerReference w:type="first" r:id="rId10"/>
          <w:footerReference w:type="first" r:id="rId11"/>
          <w:pgSz w:w="12240" w:h="15840"/>
          <w:pgMar w:top="1440" w:right="1440" w:bottom="1440" w:left="1440" w:header="720" w:footer="720" w:gutter="0"/>
          <w:pgNumType w:start="1137"/>
          <w:cols w:space="720"/>
          <w:titlePg/>
          <w:docGrid w:linePitch="360"/>
        </w:sectPr>
      </w:pPr>
      <w:bookmarkStart w:id="0" w:name="IA_Cover"/>
      <w:bookmarkEnd w:id="0"/>
    </w:p>
    <w:p w14:paraId="7BC5430F" w14:textId="3CB74BC8" w:rsidR="00CF4919" w:rsidRDefault="00CF4919" w:rsidP="00CF4919">
      <w:pPr>
        <w:pStyle w:val="TOCCaptulo"/>
      </w:pPr>
      <w:r>
        <w:lastRenderedPageBreak/>
        <w:t>CHAPTER VI: INSTITUTIONAL DEVELOPMENT</w:t>
      </w:r>
    </w:p>
    <w:bookmarkStart w:id="1" w:name="IA_TOC"/>
    <w:bookmarkEnd w:id="1"/>
    <w:p w14:paraId="1C7593FA" w14:textId="427C4488" w:rsidR="00CF4919" w:rsidRDefault="00CF4919" w:rsidP="009D08A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9428" w:history="1">
        <w:r w:rsidRPr="006F140F">
          <w:rPr>
            <w:rStyle w:val="Hyperlink"/>
            <w:noProof/>
          </w:rPr>
          <w:t>A.</w:t>
        </w:r>
        <w:r>
          <w:rPr>
            <w:rFonts w:asciiTheme="minorHAnsi" w:eastAsiaTheme="minorEastAsia" w:hAnsiTheme="minorHAnsi"/>
            <w:noProof/>
            <w:kern w:val="2"/>
            <w:sz w:val="22"/>
            <w14:ligatures w14:val="standardContextual"/>
          </w:rPr>
          <w:tab/>
        </w:r>
        <w:r w:rsidRPr="006F140F">
          <w:rPr>
            <w:rStyle w:val="Hyperlink"/>
            <w:noProof/>
          </w:rPr>
          <w:t>Structure and personnel of the Executive Secretariat of the IACHR</w:t>
        </w:r>
        <w:r>
          <w:rPr>
            <w:noProof/>
            <w:webHidden/>
          </w:rPr>
          <w:tab/>
        </w:r>
        <w:r>
          <w:rPr>
            <w:noProof/>
            <w:webHidden/>
          </w:rPr>
          <w:fldChar w:fldCharType="begin"/>
        </w:r>
        <w:r>
          <w:rPr>
            <w:noProof/>
            <w:webHidden/>
          </w:rPr>
          <w:instrText xml:space="preserve"> PAGEREF _Toc162359428 \h </w:instrText>
        </w:r>
        <w:r>
          <w:rPr>
            <w:noProof/>
            <w:webHidden/>
          </w:rPr>
        </w:r>
        <w:r>
          <w:rPr>
            <w:noProof/>
            <w:webHidden/>
          </w:rPr>
          <w:fldChar w:fldCharType="separate"/>
        </w:r>
        <w:r w:rsidR="003F768A">
          <w:rPr>
            <w:noProof/>
            <w:webHidden/>
          </w:rPr>
          <w:t>1137</w:t>
        </w:r>
        <w:r>
          <w:rPr>
            <w:noProof/>
            <w:webHidden/>
          </w:rPr>
          <w:fldChar w:fldCharType="end"/>
        </w:r>
      </w:hyperlink>
    </w:p>
    <w:p w14:paraId="20BFA3E6" w14:textId="105D1055" w:rsidR="00CF4919" w:rsidRDefault="003F768A" w:rsidP="009D08A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31" w:history="1">
        <w:r w:rsidR="00CF4919" w:rsidRPr="006F140F">
          <w:rPr>
            <w:rStyle w:val="Hyperlink"/>
            <w:noProof/>
          </w:rPr>
          <w:t>B.</w:t>
        </w:r>
        <w:r w:rsidR="00CF4919">
          <w:rPr>
            <w:rFonts w:asciiTheme="minorHAnsi" w:eastAsiaTheme="minorEastAsia" w:hAnsiTheme="minorHAnsi"/>
            <w:noProof/>
            <w:kern w:val="2"/>
            <w:sz w:val="22"/>
            <w14:ligatures w14:val="standardContextual"/>
          </w:rPr>
          <w:tab/>
        </w:r>
        <w:r w:rsidR="00CF4919" w:rsidRPr="006F140F">
          <w:rPr>
            <w:rStyle w:val="Hyperlink"/>
            <w:noProof/>
          </w:rPr>
          <w:t>Financial resources and budget execution</w:t>
        </w:r>
        <w:r w:rsidR="00CF4919">
          <w:rPr>
            <w:noProof/>
            <w:webHidden/>
          </w:rPr>
          <w:tab/>
        </w:r>
        <w:r w:rsidR="00CF4919">
          <w:rPr>
            <w:noProof/>
            <w:webHidden/>
          </w:rPr>
          <w:fldChar w:fldCharType="begin"/>
        </w:r>
        <w:r w:rsidR="00CF4919">
          <w:rPr>
            <w:noProof/>
            <w:webHidden/>
          </w:rPr>
          <w:instrText xml:space="preserve"> PAGEREF _Toc162359431 \h </w:instrText>
        </w:r>
        <w:r w:rsidR="00CF4919">
          <w:rPr>
            <w:noProof/>
            <w:webHidden/>
          </w:rPr>
        </w:r>
        <w:r w:rsidR="00CF4919">
          <w:rPr>
            <w:noProof/>
            <w:webHidden/>
          </w:rPr>
          <w:fldChar w:fldCharType="separate"/>
        </w:r>
        <w:r>
          <w:rPr>
            <w:noProof/>
            <w:webHidden/>
          </w:rPr>
          <w:t>1141</w:t>
        </w:r>
        <w:r w:rsidR="00CF4919">
          <w:rPr>
            <w:noProof/>
            <w:webHidden/>
          </w:rPr>
          <w:fldChar w:fldCharType="end"/>
        </w:r>
      </w:hyperlink>
    </w:p>
    <w:p w14:paraId="72FF7A3B" w14:textId="392445DC" w:rsidR="00CF4919" w:rsidRDefault="003F768A" w:rsidP="009D08A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32" w:history="1">
        <w:r w:rsidR="00CF4919" w:rsidRPr="006F140F">
          <w:rPr>
            <w:rStyle w:val="Hyperlink"/>
            <w:noProof/>
          </w:rPr>
          <w:t>C.</w:t>
        </w:r>
        <w:r w:rsidR="00CF4919">
          <w:rPr>
            <w:rFonts w:asciiTheme="minorHAnsi" w:eastAsiaTheme="minorEastAsia" w:hAnsiTheme="minorHAnsi"/>
            <w:noProof/>
            <w:kern w:val="2"/>
            <w:sz w:val="22"/>
            <w14:ligatures w14:val="standardContextual"/>
          </w:rPr>
          <w:tab/>
        </w:r>
        <w:r w:rsidR="00CF4919" w:rsidRPr="006F140F">
          <w:rPr>
            <w:rStyle w:val="Hyperlink"/>
            <w:noProof/>
          </w:rPr>
          <w:t>Planning, fund raising, and project management</w:t>
        </w:r>
        <w:r w:rsidR="00CF4919">
          <w:rPr>
            <w:noProof/>
            <w:webHidden/>
          </w:rPr>
          <w:tab/>
        </w:r>
        <w:r w:rsidR="00CF4919">
          <w:rPr>
            <w:noProof/>
            <w:webHidden/>
          </w:rPr>
          <w:fldChar w:fldCharType="begin"/>
        </w:r>
        <w:r w:rsidR="00CF4919">
          <w:rPr>
            <w:noProof/>
            <w:webHidden/>
          </w:rPr>
          <w:instrText xml:space="preserve"> PAGEREF _Toc162359432 \h </w:instrText>
        </w:r>
        <w:r w:rsidR="00CF4919">
          <w:rPr>
            <w:noProof/>
            <w:webHidden/>
          </w:rPr>
        </w:r>
        <w:r w:rsidR="00CF4919">
          <w:rPr>
            <w:noProof/>
            <w:webHidden/>
          </w:rPr>
          <w:fldChar w:fldCharType="separate"/>
        </w:r>
        <w:r>
          <w:rPr>
            <w:noProof/>
            <w:webHidden/>
          </w:rPr>
          <w:t>1148</w:t>
        </w:r>
        <w:r w:rsidR="00CF4919">
          <w:rPr>
            <w:noProof/>
            <w:webHidden/>
          </w:rPr>
          <w:fldChar w:fldCharType="end"/>
        </w:r>
      </w:hyperlink>
    </w:p>
    <w:p w14:paraId="1A8807EB" w14:textId="65269CB2" w:rsidR="00CF4919" w:rsidRDefault="003F768A" w:rsidP="009D08A3">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9434" w:history="1">
        <w:r w:rsidR="00CF4919" w:rsidRPr="006F140F">
          <w:rPr>
            <w:rStyle w:val="Hyperlink"/>
            <w:bCs/>
            <w:noProof/>
          </w:rPr>
          <w:t>D.</w:t>
        </w:r>
        <w:r w:rsidR="00CF4919">
          <w:rPr>
            <w:rFonts w:asciiTheme="minorHAnsi" w:eastAsiaTheme="minorEastAsia" w:hAnsiTheme="minorHAnsi"/>
            <w:noProof/>
            <w:kern w:val="2"/>
            <w:sz w:val="22"/>
            <w14:ligatures w14:val="standardContextual"/>
          </w:rPr>
          <w:tab/>
        </w:r>
        <w:r w:rsidR="00CF4919" w:rsidRPr="006F140F">
          <w:rPr>
            <w:rStyle w:val="Hyperlink"/>
            <w:noProof/>
          </w:rPr>
          <w:t>Technological advances</w:t>
        </w:r>
        <w:r w:rsidR="00CF4919">
          <w:rPr>
            <w:noProof/>
            <w:webHidden/>
          </w:rPr>
          <w:tab/>
        </w:r>
        <w:r w:rsidR="00CF4919">
          <w:rPr>
            <w:noProof/>
            <w:webHidden/>
          </w:rPr>
          <w:fldChar w:fldCharType="begin"/>
        </w:r>
        <w:r w:rsidR="00CF4919">
          <w:rPr>
            <w:noProof/>
            <w:webHidden/>
          </w:rPr>
          <w:instrText xml:space="preserve"> PAGEREF _Toc162359434 \h </w:instrText>
        </w:r>
        <w:r w:rsidR="00CF4919">
          <w:rPr>
            <w:noProof/>
            <w:webHidden/>
          </w:rPr>
        </w:r>
        <w:r w:rsidR="00CF4919">
          <w:rPr>
            <w:noProof/>
            <w:webHidden/>
          </w:rPr>
          <w:fldChar w:fldCharType="separate"/>
        </w:r>
        <w:r>
          <w:rPr>
            <w:noProof/>
            <w:webHidden/>
          </w:rPr>
          <w:t>1150</w:t>
        </w:r>
        <w:r w:rsidR="00CF4919">
          <w:rPr>
            <w:noProof/>
            <w:webHidden/>
          </w:rPr>
          <w:fldChar w:fldCharType="end"/>
        </w:r>
      </w:hyperlink>
    </w:p>
    <w:p w14:paraId="0141B583" w14:textId="6FA4771E" w:rsidR="00CF4919" w:rsidRDefault="00CF4919" w:rsidP="009D08A3">
      <w:pPr>
        <w:spacing w:line="360" w:lineRule="auto"/>
        <w:sectPr w:rsidR="00CF4919" w:rsidSect="006C15AE">
          <w:type w:val="oddPage"/>
          <w:pgSz w:w="12240" w:h="15840"/>
          <w:pgMar w:top="1440" w:right="1440" w:bottom="1440" w:left="1440" w:header="720" w:footer="720" w:gutter="0"/>
          <w:pgNumType w:start="1137"/>
          <w:cols w:space="720"/>
          <w:titlePg/>
          <w:docGrid w:linePitch="360"/>
        </w:sectPr>
      </w:pPr>
      <w:r>
        <w:fldChar w:fldCharType="end"/>
      </w:r>
    </w:p>
    <w:p w14:paraId="0D0E2E14" w14:textId="77777777" w:rsidR="00B246B9" w:rsidRPr="009D207D" w:rsidRDefault="00B246B9" w:rsidP="00B246B9">
      <w:pPr>
        <w:pStyle w:val="IACaptulo"/>
      </w:pPr>
      <w:r w:rsidRPr="009D207D">
        <w:lastRenderedPageBreak/>
        <w:t>Chapter VI</w:t>
      </w:r>
    </w:p>
    <w:p w14:paraId="740A6059" w14:textId="77777777" w:rsidR="00B246B9" w:rsidRPr="009D207D" w:rsidRDefault="00B246B9" w:rsidP="00B246B9">
      <w:pPr>
        <w:pStyle w:val="IACaptulo"/>
      </w:pPr>
      <w:r w:rsidRPr="009D207D">
        <w:t>INSTITUTIONAL DEVELOPMENT</w:t>
      </w:r>
    </w:p>
    <w:p w14:paraId="4D1F212E" w14:textId="77777777" w:rsidR="00B246B9" w:rsidRPr="00754641" w:rsidRDefault="00B246B9" w:rsidP="00B246B9">
      <w:pPr>
        <w:ind w:firstLine="851"/>
        <w:rPr>
          <w:b/>
          <w:sz w:val="20"/>
          <w:szCs w:val="20"/>
          <w:lang w:val="es-ES_tradnl"/>
        </w:rPr>
      </w:pPr>
    </w:p>
    <w:p w14:paraId="3E48BC73" w14:textId="77777777" w:rsidR="00B246B9" w:rsidRPr="00352938" w:rsidRDefault="00B246B9" w:rsidP="00352938">
      <w:pPr>
        <w:pStyle w:val="IASubttulo2"/>
      </w:pPr>
      <w:bookmarkStart w:id="2" w:name="_Toc162359428"/>
      <w:r w:rsidRPr="00352938">
        <w:t>Structure and personnel of the Executive Secretariat of the IACHR</w:t>
      </w:r>
      <w:bookmarkEnd w:id="2"/>
    </w:p>
    <w:p w14:paraId="07726059" w14:textId="77777777" w:rsidR="00B246B9" w:rsidRPr="00352938" w:rsidRDefault="00B246B9" w:rsidP="00352938">
      <w:pPr>
        <w:pStyle w:val="IAPrrafo"/>
        <w:rPr>
          <w:rFonts w:eastAsia="Cambria" w:cs="Cambria"/>
          <w:color w:val="000000" w:themeColor="text1"/>
        </w:rPr>
      </w:pPr>
      <w:r w:rsidRPr="00352938">
        <w:t xml:space="preserve">As of December 31, 2023, the personnel of the Executive Secretariat of the IACHR is made up of 144 people (74 staff members, 59 consultants, and 6 associate professionals). In addition, the ES/IACHR has 5 fellows.  </w:t>
      </w:r>
    </w:p>
    <w:p w14:paraId="49E6DE45" w14:textId="77777777" w:rsidR="00B246B9" w:rsidRPr="00352938" w:rsidRDefault="00B246B9" w:rsidP="00352938">
      <w:pPr>
        <w:pStyle w:val="IAPrrafo"/>
        <w:rPr>
          <w:rFonts w:eastAsia="Cambria" w:cs="Cambria"/>
          <w:color w:val="000000" w:themeColor="text1"/>
        </w:rPr>
      </w:pPr>
      <w:r w:rsidRPr="00352938">
        <w:t>The following table shows the distribution of personnel by funding source, as of December 31, 2023.</w:t>
      </w:r>
      <w:r w:rsidRPr="00352938">
        <w:rPr>
          <w:b/>
          <w:bCs/>
        </w:rPr>
        <w:t xml:space="preserve"> </w:t>
      </w:r>
      <w:r w:rsidRPr="00352938">
        <w:rPr>
          <w:rFonts w:eastAsia="Cambria" w:cs="Cambria"/>
          <w:b/>
          <w:bCs/>
          <w:color w:val="000000" w:themeColor="text1"/>
        </w:rPr>
        <w:t xml:space="preserve"> </w:t>
      </w:r>
    </w:p>
    <w:tbl>
      <w:tblPr>
        <w:tblW w:w="951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2"/>
        <w:gridCol w:w="943"/>
        <w:gridCol w:w="1155"/>
        <w:gridCol w:w="1015"/>
        <w:gridCol w:w="1027"/>
        <w:gridCol w:w="1418"/>
        <w:gridCol w:w="722"/>
      </w:tblGrid>
      <w:tr w:rsidR="00352938" w:rsidRPr="00837010" w14:paraId="3FF44975" w14:textId="77777777" w:rsidTr="00352938">
        <w:trPr>
          <w:trHeight w:val="585"/>
        </w:trPr>
        <w:tc>
          <w:tcPr>
            <w:tcW w:w="9512" w:type="dxa"/>
            <w:gridSpan w:val="7"/>
            <w:tcBorders>
              <w:top w:val="single" w:sz="6" w:space="0" w:color="4F81BD"/>
              <w:left w:val="single" w:sz="6" w:space="0" w:color="4F81BD"/>
              <w:bottom w:val="single" w:sz="6" w:space="0" w:color="4F81BD"/>
              <w:right w:val="single" w:sz="6" w:space="0" w:color="4F81BD"/>
            </w:tcBorders>
            <w:shd w:val="clear" w:color="auto" w:fill="4F81BD"/>
            <w:tcMar>
              <w:left w:w="60" w:type="dxa"/>
              <w:right w:w="60" w:type="dxa"/>
            </w:tcMar>
            <w:vAlign w:val="center"/>
          </w:tcPr>
          <w:p w14:paraId="6A89EB04" w14:textId="77777777" w:rsidR="00352938" w:rsidRPr="00837010" w:rsidRDefault="00352938" w:rsidP="00352938">
            <w:pPr>
              <w:jc w:val="center"/>
              <w:rPr>
                <w:rFonts w:eastAsia="Cambria" w:cs="Cambria"/>
                <w:b/>
                <w:bCs/>
                <w:color w:val="FFFFFF" w:themeColor="background1"/>
                <w:sz w:val="18"/>
                <w:szCs w:val="18"/>
                <w:lang w:val="es-US"/>
              </w:rPr>
            </w:pPr>
            <w:r w:rsidRPr="00837010">
              <w:rPr>
                <w:rFonts w:eastAsia="Cambria" w:cs="Cambria"/>
                <w:b/>
                <w:bCs/>
                <w:color w:val="FFFFFF" w:themeColor="background1"/>
                <w:sz w:val="18"/>
                <w:szCs w:val="18"/>
                <w:lang w:val="es-US"/>
              </w:rPr>
              <w:t>Fuerza Laboral por Fuente de Financiamiento/</w:t>
            </w:r>
          </w:p>
          <w:p w14:paraId="4809EDCA" w14:textId="5317A7E6" w:rsidR="00352938" w:rsidRPr="00837010" w:rsidRDefault="00352938" w:rsidP="00352938">
            <w:pPr>
              <w:jc w:val="center"/>
              <w:rPr>
                <w:rFonts w:eastAsia="Cambria" w:cs="Cambria"/>
                <w:color w:val="FFFFFF" w:themeColor="background1"/>
                <w:sz w:val="18"/>
                <w:szCs w:val="18"/>
              </w:rPr>
            </w:pPr>
            <w:r w:rsidRPr="00837010">
              <w:rPr>
                <w:rFonts w:eastAsia="Cambria" w:cs="Cambria"/>
                <w:b/>
                <w:bCs/>
                <w:color w:val="FFFFFF" w:themeColor="background1"/>
                <w:sz w:val="18"/>
                <w:szCs w:val="18"/>
              </w:rPr>
              <w:t>Workforce by Source of Funding</w:t>
            </w:r>
          </w:p>
        </w:tc>
      </w:tr>
      <w:tr w:rsidR="00B246B9" w:rsidRPr="00837010" w14:paraId="199B5C83" w14:textId="77777777" w:rsidTr="002844A8">
        <w:trPr>
          <w:trHeight w:val="912"/>
        </w:trPr>
        <w:tc>
          <w:tcPr>
            <w:tcW w:w="3232" w:type="dxa"/>
            <w:tcBorders>
              <w:top w:val="single" w:sz="6" w:space="0" w:color="4F81BD"/>
              <w:left w:val="single" w:sz="6" w:space="0" w:color="95B3D7"/>
              <w:bottom w:val="single" w:sz="6" w:space="0" w:color="95B3D7"/>
              <w:right w:val="single" w:sz="6" w:space="0" w:color="95B3D7"/>
            </w:tcBorders>
            <w:shd w:val="clear" w:color="auto" w:fill="DBE5F1"/>
            <w:tcMar>
              <w:left w:w="60" w:type="dxa"/>
              <w:right w:w="60" w:type="dxa"/>
            </w:tcMar>
            <w:vAlign w:val="center"/>
          </w:tcPr>
          <w:p w14:paraId="19B2D6A3" w14:textId="77777777" w:rsidR="00B246B9" w:rsidRPr="00837010" w:rsidRDefault="00B246B9" w:rsidP="0040052B">
            <w:pPr>
              <w:jc w:val="center"/>
              <w:rPr>
                <w:rFonts w:eastAsia="Cambria" w:cs="Cambria"/>
                <w:sz w:val="18"/>
                <w:szCs w:val="18"/>
              </w:rPr>
            </w:pPr>
            <w:r w:rsidRPr="00837010">
              <w:rPr>
                <w:rFonts w:eastAsia="Cambria" w:cs="Cambria"/>
                <w:b/>
                <w:bCs/>
                <w:sz w:val="18"/>
                <w:szCs w:val="18"/>
                <w:lang w:val="es-ES"/>
              </w:rPr>
              <w:t>Categoría/Category</w:t>
            </w:r>
          </w:p>
        </w:tc>
        <w:tc>
          <w:tcPr>
            <w:tcW w:w="943" w:type="dxa"/>
            <w:tcBorders>
              <w:top w:val="nil"/>
              <w:left w:val="nil"/>
              <w:bottom w:val="single" w:sz="6" w:space="0" w:color="95B3D7"/>
              <w:right w:val="single" w:sz="6" w:space="0" w:color="95B3D7"/>
            </w:tcBorders>
            <w:shd w:val="clear" w:color="auto" w:fill="DBE5F1"/>
            <w:tcMar>
              <w:left w:w="60" w:type="dxa"/>
              <w:right w:w="60" w:type="dxa"/>
            </w:tcMar>
            <w:vAlign w:val="center"/>
          </w:tcPr>
          <w:p w14:paraId="7CE0E97A" w14:textId="77777777" w:rsidR="00B246B9" w:rsidRPr="00837010" w:rsidRDefault="00B246B9" w:rsidP="0040052B">
            <w:pPr>
              <w:jc w:val="center"/>
              <w:rPr>
                <w:rFonts w:eastAsia="Cambria" w:cs="Cambria"/>
                <w:sz w:val="18"/>
                <w:szCs w:val="18"/>
              </w:rPr>
            </w:pPr>
            <w:r w:rsidRPr="00837010">
              <w:rPr>
                <w:rFonts w:eastAsia="Cambria" w:cs="Cambria"/>
                <w:b/>
                <w:bCs/>
                <w:sz w:val="18"/>
                <w:szCs w:val="18"/>
                <w:lang w:val="es-ES"/>
              </w:rPr>
              <w:t>Fondo Regular/Regular Fund</w:t>
            </w:r>
          </w:p>
        </w:tc>
        <w:tc>
          <w:tcPr>
            <w:tcW w:w="1155"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5B69EB59" w14:textId="77777777" w:rsidR="00B246B9" w:rsidRPr="00837010" w:rsidRDefault="00B246B9" w:rsidP="0040052B">
            <w:pPr>
              <w:jc w:val="center"/>
              <w:rPr>
                <w:rFonts w:eastAsia="Cambria" w:cs="Cambria"/>
                <w:sz w:val="18"/>
                <w:szCs w:val="18"/>
              </w:rPr>
            </w:pPr>
            <w:r w:rsidRPr="00837010">
              <w:rPr>
                <w:rFonts w:eastAsia="Cambria" w:cs="Cambria"/>
                <w:b/>
                <w:bCs/>
                <w:sz w:val="18"/>
                <w:szCs w:val="18"/>
                <w:lang w:val="es-ES"/>
              </w:rPr>
              <w:t>Fondos Específicos/Specific Funds</w:t>
            </w:r>
          </w:p>
        </w:tc>
        <w:tc>
          <w:tcPr>
            <w:tcW w:w="1015"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0976A341" w14:textId="77777777" w:rsidR="00B246B9" w:rsidRPr="00837010" w:rsidRDefault="00B246B9" w:rsidP="0040052B">
            <w:pPr>
              <w:jc w:val="center"/>
              <w:rPr>
                <w:rFonts w:eastAsia="Cambria" w:cs="Cambria"/>
                <w:sz w:val="18"/>
                <w:szCs w:val="18"/>
              </w:rPr>
            </w:pPr>
            <w:r w:rsidRPr="00837010">
              <w:rPr>
                <w:rFonts w:eastAsia="Cambria" w:cs="Cambria"/>
                <w:b/>
                <w:bCs/>
                <w:sz w:val="18"/>
                <w:szCs w:val="18"/>
                <w:lang w:val="es-ES"/>
              </w:rPr>
              <w:t>Fondo ICR/ICR Fund</w:t>
            </w:r>
          </w:p>
        </w:tc>
        <w:tc>
          <w:tcPr>
            <w:tcW w:w="1027"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2761BA00" w14:textId="77777777" w:rsidR="00B246B9" w:rsidRPr="00837010" w:rsidRDefault="00B246B9" w:rsidP="0040052B">
            <w:pPr>
              <w:jc w:val="center"/>
              <w:rPr>
                <w:rFonts w:eastAsia="Cambria" w:cs="Cambria"/>
                <w:sz w:val="18"/>
                <w:szCs w:val="18"/>
              </w:rPr>
            </w:pPr>
            <w:r w:rsidRPr="00837010">
              <w:rPr>
                <w:rFonts w:eastAsia="Cambria" w:cs="Cambria"/>
                <w:b/>
                <w:bCs/>
                <w:sz w:val="18"/>
                <w:szCs w:val="18"/>
              </w:rPr>
              <w:t>Sin Costo para la CIDH /No Cost to the IACHR</w:t>
            </w:r>
          </w:p>
        </w:tc>
        <w:tc>
          <w:tcPr>
            <w:tcW w:w="1418" w:type="dxa"/>
            <w:tcBorders>
              <w:top w:val="nil"/>
              <w:left w:val="single" w:sz="6" w:space="0" w:color="95B3D7"/>
              <w:bottom w:val="single" w:sz="6" w:space="0" w:color="95B3D7"/>
              <w:right w:val="single" w:sz="6" w:space="0" w:color="95B3D7"/>
            </w:tcBorders>
            <w:shd w:val="clear" w:color="auto" w:fill="DBE5F1"/>
            <w:tcMar>
              <w:left w:w="60" w:type="dxa"/>
              <w:right w:w="60" w:type="dxa"/>
            </w:tcMar>
          </w:tcPr>
          <w:p w14:paraId="6B294D1E" w14:textId="77777777" w:rsidR="00B246B9" w:rsidRPr="00837010" w:rsidRDefault="00B246B9" w:rsidP="0040052B">
            <w:pPr>
              <w:jc w:val="center"/>
              <w:rPr>
                <w:rFonts w:eastAsia="Cambria" w:cs="Cambria"/>
                <w:sz w:val="18"/>
                <w:szCs w:val="18"/>
              </w:rPr>
            </w:pPr>
            <w:r w:rsidRPr="00837010">
              <w:rPr>
                <w:rFonts w:eastAsia="Cambria" w:cs="Cambria"/>
                <w:b/>
                <w:bCs/>
                <w:sz w:val="18"/>
                <w:szCs w:val="18"/>
              </w:rPr>
              <w:t>Fondos Específicos Trust/Specific Funds Trust</w:t>
            </w:r>
          </w:p>
        </w:tc>
        <w:tc>
          <w:tcPr>
            <w:tcW w:w="722" w:type="dxa"/>
            <w:tcBorders>
              <w:top w:val="nil"/>
              <w:left w:val="single" w:sz="6" w:space="0" w:color="95B3D7"/>
              <w:bottom w:val="single" w:sz="6" w:space="0" w:color="95B3D7"/>
              <w:right w:val="single" w:sz="6" w:space="0" w:color="95B3D7"/>
            </w:tcBorders>
            <w:shd w:val="clear" w:color="auto" w:fill="DBE5F1"/>
            <w:tcMar>
              <w:left w:w="60" w:type="dxa"/>
              <w:right w:w="60" w:type="dxa"/>
            </w:tcMar>
            <w:vAlign w:val="center"/>
          </w:tcPr>
          <w:p w14:paraId="2A805DCD" w14:textId="77777777" w:rsidR="00B246B9" w:rsidRPr="00837010" w:rsidRDefault="00B246B9" w:rsidP="0040052B">
            <w:pPr>
              <w:jc w:val="center"/>
              <w:rPr>
                <w:rFonts w:eastAsia="Cambria" w:cs="Cambria"/>
                <w:sz w:val="18"/>
                <w:szCs w:val="18"/>
              </w:rPr>
            </w:pPr>
            <w:r w:rsidRPr="00837010">
              <w:rPr>
                <w:rFonts w:eastAsia="Cambria" w:cs="Cambria"/>
                <w:b/>
                <w:bCs/>
                <w:sz w:val="18"/>
                <w:szCs w:val="18"/>
                <w:lang w:val="es-ES"/>
              </w:rPr>
              <w:t>Total</w:t>
            </w:r>
          </w:p>
        </w:tc>
      </w:tr>
      <w:tr w:rsidR="00B246B9" w:rsidRPr="00837010" w14:paraId="5AD51126" w14:textId="77777777" w:rsidTr="002844A8">
        <w:trPr>
          <w:trHeight w:val="36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838DBA9" w14:textId="77777777" w:rsidR="00B246B9" w:rsidRPr="00837010" w:rsidRDefault="00B246B9" w:rsidP="0040052B">
            <w:pPr>
              <w:rPr>
                <w:rFonts w:eastAsia="Cambria" w:cs="Cambria"/>
                <w:sz w:val="18"/>
                <w:szCs w:val="18"/>
              </w:rPr>
            </w:pPr>
            <w:r w:rsidRPr="00837010">
              <w:rPr>
                <w:rFonts w:eastAsia="Cambria" w:cs="Cambria"/>
                <w:sz w:val="18"/>
                <w:szCs w:val="18"/>
                <w:lang w:val="es-ES"/>
              </w:rPr>
              <w:t>Secretaria Ejecutiva /Executive Secretary</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384FECF0"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1</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D41877B"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5F760CA"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E48D675"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B5845BB"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4780143"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1</w:t>
            </w:r>
          </w:p>
        </w:tc>
      </w:tr>
      <w:tr w:rsidR="00B246B9" w:rsidRPr="00837010" w14:paraId="413232DB" w14:textId="77777777" w:rsidTr="002844A8">
        <w:trPr>
          <w:trHeight w:val="630"/>
        </w:trPr>
        <w:tc>
          <w:tcPr>
            <w:tcW w:w="323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AFFC648" w14:textId="77777777" w:rsidR="00B246B9" w:rsidRPr="00837010" w:rsidRDefault="00B246B9" w:rsidP="0040052B">
            <w:pPr>
              <w:rPr>
                <w:rFonts w:eastAsia="Cambria" w:cs="Cambria"/>
                <w:sz w:val="18"/>
                <w:szCs w:val="18"/>
                <w:lang w:val="pt-BR"/>
              </w:rPr>
            </w:pPr>
            <w:r w:rsidRPr="00837010">
              <w:rPr>
                <w:rFonts w:eastAsia="Cambria" w:cs="Cambria"/>
                <w:sz w:val="18"/>
                <w:szCs w:val="18"/>
                <w:lang w:val="pt-BR"/>
              </w:rPr>
              <w:t>Secretaria/o Ejecutiva/o Adjunta/o /</w:t>
            </w:r>
          </w:p>
          <w:p w14:paraId="01668C15" w14:textId="77777777" w:rsidR="00B246B9" w:rsidRPr="00837010" w:rsidRDefault="00B246B9" w:rsidP="0040052B">
            <w:pPr>
              <w:rPr>
                <w:rFonts w:eastAsia="Cambria" w:cs="Cambria"/>
                <w:sz w:val="18"/>
                <w:szCs w:val="18"/>
              </w:rPr>
            </w:pPr>
            <w:r w:rsidRPr="00837010">
              <w:rPr>
                <w:rFonts w:eastAsia="Cambria" w:cs="Cambria"/>
                <w:sz w:val="18"/>
                <w:szCs w:val="18"/>
                <w:lang w:val="pt-BR"/>
              </w:rPr>
              <w:t>Assistant Executive Secretaries</w:t>
            </w:r>
          </w:p>
        </w:tc>
        <w:tc>
          <w:tcPr>
            <w:tcW w:w="943"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56189F86"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2</w:t>
            </w:r>
          </w:p>
        </w:tc>
        <w:tc>
          <w:tcPr>
            <w:tcW w:w="115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9ACC3BB"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1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43DD9907"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27"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7446EF2"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41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76105BF"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0</w:t>
            </w:r>
          </w:p>
        </w:tc>
        <w:tc>
          <w:tcPr>
            <w:tcW w:w="72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0261CF8"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2</w:t>
            </w:r>
          </w:p>
        </w:tc>
      </w:tr>
      <w:tr w:rsidR="00B246B9" w:rsidRPr="00837010" w14:paraId="0690FDBE" w14:textId="77777777" w:rsidTr="002844A8">
        <w:trPr>
          <w:trHeight w:val="615"/>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DD5D074" w14:textId="77777777" w:rsidR="00B246B9" w:rsidRPr="00837010" w:rsidRDefault="00B246B9" w:rsidP="0040052B">
            <w:pPr>
              <w:rPr>
                <w:rFonts w:eastAsia="Cambria" w:cs="Cambria"/>
                <w:sz w:val="18"/>
                <w:szCs w:val="18"/>
              </w:rPr>
            </w:pPr>
            <w:r w:rsidRPr="00837010">
              <w:rPr>
                <w:rFonts w:eastAsia="Cambria" w:cs="Cambria"/>
                <w:sz w:val="18"/>
                <w:szCs w:val="18"/>
                <w:lang w:val="es-ES"/>
              </w:rPr>
              <w:t>Relatores/as Especiales / Special Rapporteurs</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4EAAC443"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8381B2E"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2</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B776935"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F0C0A9E"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C002CAF"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0</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DBF14E2"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2</w:t>
            </w:r>
          </w:p>
        </w:tc>
      </w:tr>
      <w:tr w:rsidR="00B246B9" w:rsidRPr="00837010" w14:paraId="63DDD43B" w14:textId="77777777" w:rsidTr="002844A8">
        <w:trPr>
          <w:trHeight w:val="270"/>
        </w:trPr>
        <w:tc>
          <w:tcPr>
            <w:tcW w:w="323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3631B1F" w14:textId="77777777" w:rsidR="00B246B9" w:rsidRPr="00837010" w:rsidRDefault="00B246B9" w:rsidP="0040052B">
            <w:pPr>
              <w:rPr>
                <w:rFonts w:eastAsia="Cambria" w:cs="Cambria"/>
                <w:sz w:val="18"/>
                <w:szCs w:val="18"/>
              </w:rPr>
            </w:pPr>
            <w:r w:rsidRPr="00837010">
              <w:rPr>
                <w:rFonts w:eastAsia="Cambria" w:cs="Cambria"/>
                <w:sz w:val="18"/>
                <w:szCs w:val="18"/>
                <w:lang w:val="es-ES"/>
              </w:rPr>
              <w:t>Profesionales/Professionals</w:t>
            </w:r>
          </w:p>
        </w:tc>
        <w:tc>
          <w:tcPr>
            <w:tcW w:w="943"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0C14377A" w14:textId="77777777" w:rsidR="00B246B9" w:rsidRPr="00837010" w:rsidRDefault="00B246B9" w:rsidP="002844A8">
            <w:pPr>
              <w:jc w:val="center"/>
              <w:rPr>
                <w:rFonts w:eastAsia="Cambria" w:cs="Cambria"/>
                <w:sz w:val="18"/>
                <w:szCs w:val="18"/>
              </w:rPr>
            </w:pPr>
            <w:r w:rsidRPr="00837010">
              <w:rPr>
                <w:rFonts w:eastAsia="Cambria" w:cs="Cambria"/>
                <w:sz w:val="18"/>
                <w:szCs w:val="18"/>
              </w:rPr>
              <w:t>31</w:t>
            </w:r>
          </w:p>
        </w:tc>
        <w:tc>
          <w:tcPr>
            <w:tcW w:w="115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EA0F42C" w14:textId="77777777" w:rsidR="00B246B9" w:rsidRPr="00837010" w:rsidRDefault="00B246B9" w:rsidP="002844A8">
            <w:pPr>
              <w:jc w:val="center"/>
              <w:rPr>
                <w:rFonts w:eastAsia="Cambria" w:cs="Cambria"/>
                <w:sz w:val="18"/>
                <w:szCs w:val="18"/>
              </w:rPr>
            </w:pPr>
            <w:r w:rsidRPr="00837010">
              <w:rPr>
                <w:rFonts w:eastAsia="Cambria" w:cs="Cambria"/>
                <w:sz w:val="18"/>
                <w:szCs w:val="18"/>
              </w:rPr>
              <w:t>23</w:t>
            </w:r>
          </w:p>
        </w:tc>
        <w:tc>
          <w:tcPr>
            <w:tcW w:w="101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FC4264E"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027"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2FE74F3"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41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6D95670"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72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AD5B718" w14:textId="77777777" w:rsidR="00B246B9" w:rsidRPr="00837010" w:rsidRDefault="00B246B9" w:rsidP="002844A8">
            <w:pPr>
              <w:jc w:val="center"/>
              <w:rPr>
                <w:rFonts w:eastAsia="Cambria" w:cs="Cambria"/>
                <w:sz w:val="18"/>
                <w:szCs w:val="18"/>
              </w:rPr>
            </w:pPr>
            <w:r w:rsidRPr="00837010">
              <w:rPr>
                <w:rFonts w:eastAsia="Cambria" w:cs="Cambria"/>
                <w:sz w:val="18"/>
                <w:szCs w:val="18"/>
              </w:rPr>
              <w:t>54</w:t>
            </w:r>
          </w:p>
        </w:tc>
      </w:tr>
      <w:tr w:rsidR="00B246B9" w:rsidRPr="00837010" w14:paraId="3A204B90" w14:textId="77777777" w:rsidTr="002844A8">
        <w:trPr>
          <w:trHeight w:val="63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023C455" w14:textId="77777777" w:rsidR="00B246B9" w:rsidRPr="00837010" w:rsidRDefault="00B246B9" w:rsidP="0040052B">
            <w:pPr>
              <w:rPr>
                <w:rFonts w:eastAsia="Cambria" w:cs="Cambria"/>
                <w:sz w:val="18"/>
                <w:szCs w:val="18"/>
              </w:rPr>
            </w:pPr>
            <w:r w:rsidRPr="00837010">
              <w:rPr>
                <w:rFonts w:eastAsia="Cambria" w:cs="Cambria"/>
                <w:sz w:val="18"/>
                <w:szCs w:val="18"/>
                <w:lang w:val="es-ES"/>
              </w:rPr>
              <w:t xml:space="preserve">Personal Administrativo/Administrative personnel </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072FD61C" w14:textId="77777777" w:rsidR="00B246B9" w:rsidRPr="00837010" w:rsidRDefault="00B246B9" w:rsidP="002844A8">
            <w:pPr>
              <w:jc w:val="center"/>
              <w:rPr>
                <w:rFonts w:eastAsia="Cambria" w:cs="Cambria"/>
                <w:sz w:val="18"/>
                <w:szCs w:val="18"/>
              </w:rPr>
            </w:pPr>
            <w:r w:rsidRPr="00837010">
              <w:rPr>
                <w:rFonts w:eastAsia="Cambria" w:cs="Cambria"/>
                <w:sz w:val="18"/>
                <w:szCs w:val="18"/>
              </w:rPr>
              <w:t>9</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135B2DB" w14:textId="77777777" w:rsidR="00B246B9" w:rsidRPr="00837010" w:rsidRDefault="00B246B9" w:rsidP="002844A8">
            <w:pPr>
              <w:jc w:val="center"/>
              <w:rPr>
                <w:rFonts w:eastAsia="Cambria" w:cs="Cambria"/>
                <w:sz w:val="18"/>
                <w:szCs w:val="18"/>
              </w:rPr>
            </w:pPr>
            <w:r w:rsidRPr="00837010">
              <w:rPr>
                <w:rFonts w:eastAsia="Cambria" w:cs="Cambria"/>
                <w:sz w:val="18"/>
                <w:szCs w:val="18"/>
              </w:rPr>
              <w:t>5</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41B6EBA" w14:textId="77777777" w:rsidR="00B246B9" w:rsidRPr="00837010" w:rsidRDefault="00B246B9" w:rsidP="002844A8">
            <w:pPr>
              <w:jc w:val="center"/>
              <w:rPr>
                <w:rFonts w:eastAsia="Cambria" w:cs="Cambria"/>
                <w:sz w:val="18"/>
                <w:szCs w:val="18"/>
              </w:rPr>
            </w:pPr>
            <w:r w:rsidRPr="00837010">
              <w:rPr>
                <w:rFonts w:eastAsia="Cambria" w:cs="Cambria"/>
                <w:sz w:val="18"/>
                <w:szCs w:val="18"/>
              </w:rPr>
              <w:t>1</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B739003"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B68B702"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B417B34" w14:textId="77777777" w:rsidR="00B246B9" w:rsidRPr="00837010" w:rsidRDefault="00B246B9" w:rsidP="002844A8">
            <w:pPr>
              <w:jc w:val="center"/>
              <w:rPr>
                <w:rFonts w:eastAsia="Cambria" w:cs="Cambria"/>
                <w:sz w:val="18"/>
                <w:szCs w:val="18"/>
              </w:rPr>
            </w:pPr>
            <w:r w:rsidRPr="00837010">
              <w:rPr>
                <w:rFonts w:eastAsia="Cambria" w:cs="Cambria"/>
                <w:sz w:val="18"/>
                <w:szCs w:val="18"/>
              </w:rPr>
              <w:t>15</w:t>
            </w:r>
          </w:p>
        </w:tc>
      </w:tr>
      <w:tr w:rsidR="00B246B9" w:rsidRPr="00837010" w14:paraId="19016B30" w14:textId="77777777" w:rsidTr="002844A8">
        <w:trPr>
          <w:trHeight w:val="270"/>
        </w:trPr>
        <w:tc>
          <w:tcPr>
            <w:tcW w:w="323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03FFACB5" w14:textId="77777777" w:rsidR="00B246B9" w:rsidRPr="00837010" w:rsidRDefault="00B246B9" w:rsidP="0040052B">
            <w:pPr>
              <w:rPr>
                <w:rFonts w:eastAsia="Cambria" w:cs="Cambria"/>
                <w:sz w:val="18"/>
                <w:szCs w:val="18"/>
              </w:rPr>
            </w:pPr>
            <w:r w:rsidRPr="00837010">
              <w:rPr>
                <w:rFonts w:eastAsia="Cambria" w:cs="Cambria"/>
                <w:b/>
                <w:bCs/>
                <w:sz w:val="18"/>
                <w:szCs w:val="18"/>
                <w:lang w:val="es-ES"/>
              </w:rPr>
              <w:t>Subtotal Personal/Personnel</w:t>
            </w:r>
          </w:p>
        </w:tc>
        <w:tc>
          <w:tcPr>
            <w:tcW w:w="943"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0291439F"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43</w:t>
            </w:r>
          </w:p>
        </w:tc>
        <w:tc>
          <w:tcPr>
            <w:tcW w:w="115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19DBD027"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30</w:t>
            </w:r>
          </w:p>
        </w:tc>
        <w:tc>
          <w:tcPr>
            <w:tcW w:w="101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0CD3426"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w:t>
            </w:r>
          </w:p>
        </w:tc>
        <w:tc>
          <w:tcPr>
            <w:tcW w:w="1027"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7B566753"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0</w:t>
            </w:r>
          </w:p>
        </w:tc>
        <w:tc>
          <w:tcPr>
            <w:tcW w:w="141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CC6CCF8"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0</w:t>
            </w:r>
          </w:p>
        </w:tc>
        <w:tc>
          <w:tcPr>
            <w:tcW w:w="72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1B21CA3"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74</w:t>
            </w:r>
          </w:p>
        </w:tc>
      </w:tr>
      <w:tr w:rsidR="00B246B9" w:rsidRPr="00837010" w14:paraId="2D7D3780" w14:textId="77777777" w:rsidTr="002844A8">
        <w:trPr>
          <w:trHeight w:val="45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6679DF56" w14:textId="77777777" w:rsidR="00B246B9" w:rsidRPr="00837010" w:rsidRDefault="00B246B9" w:rsidP="0040052B">
            <w:pPr>
              <w:rPr>
                <w:rFonts w:eastAsia="Cambria" w:cs="Cambria"/>
                <w:sz w:val="18"/>
                <w:szCs w:val="18"/>
                <w:lang w:val="es-CO"/>
              </w:rPr>
            </w:pPr>
            <w:r w:rsidRPr="00837010">
              <w:rPr>
                <w:rFonts w:eastAsia="Cambria" w:cs="Cambria"/>
                <w:sz w:val="18"/>
                <w:szCs w:val="18"/>
                <w:lang w:val="es-ES"/>
              </w:rPr>
              <w:t xml:space="preserve">Consultorías en Derechos Humanos/ </w:t>
            </w:r>
          </w:p>
          <w:p w14:paraId="6C79CA58" w14:textId="77777777" w:rsidR="00B246B9" w:rsidRPr="00837010" w:rsidRDefault="00B246B9" w:rsidP="0040052B">
            <w:pPr>
              <w:rPr>
                <w:rFonts w:eastAsia="Cambria" w:cs="Cambria"/>
                <w:sz w:val="18"/>
                <w:szCs w:val="18"/>
                <w:lang w:val="es-CO"/>
              </w:rPr>
            </w:pPr>
            <w:r w:rsidRPr="00837010">
              <w:rPr>
                <w:rFonts w:eastAsia="Cambria" w:cs="Cambria"/>
                <w:sz w:val="18"/>
                <w:szCs w:val="18"/>
                <w:lang w:val="es-ES"/>
              </w:rPr>
              <w:t>Human Rights Consultants</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17548596" w14:textId="77777777" w:rsidR="00B246B9" w:rsidRPr="00837010" w:rsidRDefault="00B246B9" w:rsidP="002844A8">
            <w:pPr>
              <w:jc w:val="center"/>
              <w:rPr>
                <w:rFonts w:eastAsia="Cambria" w:cs="Cambria"/>
                <w:sz w:val="18"/>
                <w:szCs w:val="18"/>
              </w:rPr>
            </w:pPr>
            <w:r w:rsidRPr="00837010">
              <w:rPr>
                <w:rFonts w:eastAsia="Cambria" w:cs="Cambria"/>
                <w:sz w:val="18"/>
                <w:szCs w:val="18"/>
              </w:rPr>
              <w:t>4</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0958976" w14:textId="77777777" w:rsidR="00B246B9" w:rsidRPr="00837010" w:rsidRDefault="00B246B9" w:rsidP="002844A8">
            <w:pPr>
              <w:jc w:val="center"/>
              <w:rPr>
                <w:rFonts w:eastAsia="Cambria" w:cs="Cambria"/>
                <w:sz w:val="18"/>
                <w:szCs w:val="18"/>
              </w:rPr>
            </w:pPr>
            <w:r w:rsidRPr="00837010">
              <w:rPr>
                <w:rFonts w:eastAsia="Cambria" w:cs="Cambria"/>
                <w:sz w:val="18"/>
                <w:szCs w:val="18"/>
              </w:rPr>
              <w:t>25</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3C72FA9"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B7C3E49"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86E52D4" w14:textId="77777777" w:rsidR="00B246B9" w:rsidRPr="00837010" w:rsidRDefault="00B246B9" w:rsidP="002844A8">
            <w:pPr>
              <w:jc w:val="center"/>
              <w:rPr>
                <w:rFonts w:eastAsia="Cambria" w:cs="Cambria"/>
                <w:sz w:val="18"/>
                <w:szCs w:val="18"/>
              </w:rPr>
            </w:pPr>
            <w:r w:rsidRPr="00837010">
              <w:rPr>
                <w:rFonts w:eastAsia="Cambria" w:cs="Cambria"/>
                <w:sz w:val="18"/>
                <w:szCs w:val="18"/>
              </w:rPr>
              <w:t>3</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B6C86D4" w14:textId="77777777" w:rsidR="00B246B9" w:rsidRPr="00837010" w:rsidRDefault="00B246B9" w:rsidP="002844A8">
            <w:pPr>
              <w:jc w:val="center"/>
              <w:rPr>
                <w:rFonts w:eastAsia="Cambria" w:cs="Cambria"/>
                <w:sz w:val="18"/>
                <w:szCs w:val="18"/>
              </w:rPr>
            </w:pPr>
            <w:r w:rsidRPr="00837010">
              <w:rPr>
                <w:rFonts w:eastAsia="Cambria" w:cs="Cambria"/>
                <w:sz w:val="18"/>
                <w:szCs w:val="18"/>
              </w:rPr>
              <w:t>32</w:t>
            </w:r>
          </w:p>
        </w:tc>
      </w:tr>
      <w:tr w:rsidR="00B246B9" w:rsidRPr="00837010" w14:paraId="12E5401F" w14:textId="77777777" w:rsidTr="002844A8">
        <w:trPr>
          <w:trHeight w:val="540"/>
        </w:trPr>
        <w:tc>
          <w:tcPr>
            <w:tcW w:w="323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tcPr>
          <w:p w14:paraId="37C70417" w14:textId="77777777" w:rsidR="00B246B9" w:rsidRPr="00837010" w:rsidRDefault="00B246B9" w:rsidP="0040052B">
            <w:pPr>
              <w:rPr>
                <w:rFonts w:eastAsia="Cambria" w:cs="Cambria"/>
                <w:sz w:val="18"/>
                <w:szCs w:val="18"/>
              </w:rPr>
            </w:pPr>
            <w:r w:rsidRPr="00837010">
              <w:rPr>
                <w:rFonts w:eastAsia="Cambria" w:cs="Cambria"/>
                <w:sz w:val="18"/>
                <w:szCs w:val="18"/>
                <w:lang w:val="es-ES"/>
              </w:rPr>
              <w:t xml:space="preserve">Consultorías Administrativas / </w:t>
            </w:r>
          </w:p>
          <w:p w14:paraId="68F4B0FB" w14:textId="77777777" w:rsidR="00B246B9" w:rsidRPr="00837010" w:rsidRDefault="00B246B9" w:rsidP="0040052B">
            <w:pPr>
              <w:rPr>
                <w:rFonts w:eastAsia="Cambria" w:cs="Cambria"/>
                <w:sz w:val="18"/>
                <w:szCs w:val="18"/>
              </w:rPr>
            </w:pPr>
            <w:r w:rsidRPr="00837010">
              <w:rPr>
                <w:rFonts w:eastAsia="Cambria" w:cs="Cambria"/>
                <w:sz w:val="18"/>
                <w:szCs w:val="18"/>
                <w:lang w:val="es-ES"/>
              </w:rPr>
              <w:t>Administrative Consultants</w:t>
            </w:r>
          </w:p>
        </w:tc>
        <w:tc>
          <w:tcPr>
            <w:tcW w:w="943"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0E368A18" w14:textId="77777777" w:rsidR="00B246B9" w:rsidRPr="00837010" w:rsidRDefault="00B246B9" w:rsidP="002844A8">
            <w:pPr>
              <w:jc w:val="center"/>
              <w:rPr>
                <w:rFonts w:eastAsia="Cambria" w:cs="Cambria"/>
                <w:sz w:val="18"/>
                <w:szCs w:val="18"/>
              </w:rPr>
            </w:pPr>
            <w:r w:rsidRPr="00837010">
              <w:rPr>
                <w:rFonts w:eastAsia="Cambria" w:cs="Cambria"/>
                <w:sz w:val="18"/>
                <w:szCs w:val="18"/>
              </w:rPr>
              <w:t>7</w:t>
            </w:r>
          </w:p>
        </w:tc>
        <w:tc>
          <w:tcPr>
            <w:tcW w:w="115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D5C6653" w14:textId="77777777" w:rsidR="00B246B9" w:rsidRPr="00837010" w:rsidRDefault="00B246B9" w:rsidP="002844A8">
            <w:pPr>
              <w:jc w:val="center"/>
              <w:rPr>
                <w:rFonts w:eastAsia="Cambria" w:cs="Cambria"/>
                <w:sz w:val="18"/>
                <w:szCs w:val="18"/>
              </w:rPr>
            </w:pPr>
            <w:r w:rsidRPr="00837010">
              <w:rPr>
                <w:rFonts w:eastAsia="Cambria" w:cs="Cambria"/>
                <w:sz w:val="18"/>
                <w:szCs w:val="18"/>
              </w:rPr>
              <w:t>8</w:t>
            </w:r>
          </w:p>
        </w:tc>
        <w:tc>
          <w:tcPr>
            <w:tcW w:w="101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CCE736A"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027"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572E8D9C"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41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FFB8D4A"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72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0680DC6" w14:textId="77777777" w:rsidR="00B246B9" w:rsidRPr="00837010" w:rsidRDefault="00B246B9" w:rsidP="002844A8">
            <w:pPr>
              <w:jc w:val="center"/>
              <w:rPr>
                <w:rFonts w:eastAsia="Cambria" w:cs="Cambria"/>
                <w:sz w:val="18"/>
                <w:szCs w:val="18"/>
              </w:rPr>
            </w:pPr>
            <w:r w:rsidRPr="00837010">
              <w:rPr>
                <w:rFonts w:eastAsia="Cambria" w:cs="Cambria"/>
                <w:sz w:val="18"/>
                <w:szCs w:val="18"/>
              </w:rPr>
              <w:t>15</w:t>
            </w:r>
          </w:p>
        </w:tc>
      </w:tr>
      <w:tr w:rsidR="00B246B9" w:rsidRPr="00837010" w14:paraId="2E3AFEA4" w14:textId="77777777" w:rsidTr="002844A8">
        <w:trPr>
          <w:trHeight w:val="45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7FD99AE8" w14:textId="77777777" w:rsidR="00B246B9" w:rsidRPr="00837010" w:rsidRDefault="00B246B9" w:rsidP="0040052B">
            <w:pPr>
              <w:rPr>
                <w:rFonts w:eastAsia="Cambria" w:cs="Cambria"/>
                <w:sz w:val="18"/>
                <w:szCs w:val="18"/>
              </w:rPr>
            </w:pPr>
            <w:r w:rsidRPr="00837010">
              <w:rPr>
                <w:rFonts w:eastAsia="Cambria" w:cs="Cambria"/>
                <w:sz w:val="18"/>
                <w:szCs w:val="18"/>
                <w:lang w:val="es-ES"/>
              </w:rPr>
              <w:t>Consultorías en Otras Profesiones / Consultants on Other Professions</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5A18B895"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7</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16E012D"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5</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42FD50A"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A0CDB97"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A511816"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0</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6415AA81" w14:textId="77777777" w:rsidR="00B246B9" w:rsidRPr="00837010" w:rsidRDefault="00B246B9" w:rsidP="002844A8">
            <w:pPr>
              <w:jc w:val="center"/>
              <w:rPr>
                <w:rFonts w:eastAsia="Cambria" w:cs="Cambria"/>
                <w:sz w:val="18"/>
                <w:szCs w:val="18"/>
              </w:rPr>
            </w:pPr>
            <w:r w:rsidRPr="00837010">
              <w:rPr>
                <w:rFonts w:eastAsia="Cambria" w:cs="Cambria"/>
                <w:sz w:val="18"/>
                <w:szCs w:val="18"/>
                <w:lang w:val="es-ES"/>
              </w:rPr>
              <w:t>12</w:t>
            </w:r>
          </w:p>
        </w:tc>
      </w:tr>
      <w:tr w:rsidR="00B246B9" w:rsidRPr="00837010" w14:paraId="28B7F889" w14:textId="77777777" w:rsidTr="002844A8">
        <w:trPr>
          <w:trHeight w:val="36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847A302" w14:textId="77777777" w:rsidR="00B246B9" w:rsidRPr="00837010" w:rsidRDefault="00B246B9" w:rsidP="0040052B">
            <w:pPr>
              <w:rPr>
                <w:rFonts w:eastAsia="Cambria" w:cs="Cambria"/>
                <w:sz w:val="18"/>
                <w:szCs w:val="18"/>
              </w:rPr>
            </w:pPr>
            <w:r w:rsidRPr="00837010">
              <w:rPr>
                <w:rFonts w:eastAsia="Cambria" w:cs="Cambria"/>
                <w:b/>
                <w:bCs/>
                <w:sz w:val="18"/>
                <w:szCs w:val="18"/>
                <w:lang w:val="es-ES"/>
              </w:rPr>
              <w:t>Subtotal Consultorías/Consultants</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5F455DDD"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18</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32ED4D6" w14:textId="77777777" w:rsidR="00B246B9" w:rsidRPr="00837010" w:rsidRDefault="00B246B9" w:rsidP="002844A8">
            <w:pPr>
              <w:jc w:val="center"/>
              <w:rPr>
                <w:rFonts w:eastAsia="Cambria" w:cs="Cambria"/>
                <w:sz w:val="18"/>
                <w:szCs w:val="18"/>
              </w:rPr>
            </w:pPr>
            <w:r w:rsidRPr="00837010">
              <w:rPr>
                <w:rFonts w:eastAsia="Cambria" w:cs="Cambria"/>
                <w:b/>
                <w:bCs/>
                <w:sz w:val="18"/>
                <w:szCs w:val="18"/>
                <w:lang w:val="es-ES"/>
              </w:rPr>
              <w:t>38</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6A7B849"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B55983F" w14:textId="77777777" w:rsidR="00B246B9" w:rsidRPr="00837010" w:rsidRDefault="00B246B9" w:rsidP="002844A8">
            <w:pPr>
              <w:jc w:val="center"/>
              <w:rPr>
                <w:rFonts w:eastAsia="Cambria" w:cs="Cambria"/>
                <w:sz w:val="18"/>
                <w:szCs w:val="18"/>
              </w:rPr>
            </w:pPr>
            <w:r w:rsidRPr="00837010">
              <w:rPr>
                <w:rFonts w:eastAsia="Cambria" w:cs="Cambria"/>
                <w:b/>
                <w:bCs/>
                <w:sz w:val="18"/>
                <w:szCs w:val="18"/>
                <w:lang w:val="es-ES"/>
              </w:rPr>
              <w:t>0</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DBE7D8D"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3</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FE3942B"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59</w:t>
            </w:r>
          </w:p>
        </w:tc>
      </w:tr>
      <w:tr w:rsidR="00B246B9" w:rsidRPr="00837010" w14:paraId="61D35F7F" w14:textId="77777777" w:rsidTr="002844A8">
        <w:trPr>
          <w:trHeight w:val="360"/>
        </w:trPr>
        <w:tc>
          <w:tcPr>
            <w:tcW w:w="323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4C65B1D" w14:textId="77777777" w:rsidR="00B246B9" w:rsidRPr="00837010" w:rsidRDefault="00B246B9" w:rsidP="0040052B">
            <w:pPr>
              <w:rPr>
                <w:rFonts w:eastAsia="Cambria" w:cs="Cambria"/>
                <w:sz w:val="18"/>
                <w:szCs w:val="18"/>
              </w:rPr>
            </w:pPr>
            <w:r w:rsidRPr="00837010">
              <w:rPr>
                <w:rFonts w:eastAsia="Cambria" w:cs="Cambria"/>
                <w:sz w:val="18"/>
                <w:szCs w:val="18"/>
                <w:lang w:val="es-ES"/>
              </w:rPr>
              <w:t>Personal Asociado/ Associate Staff</w:t>
            </w:r>
          </w:p>
        </w:tc>
        <w:tc>
          <w:tcPr>
            <w:tcW w:w="943" w:type="dxa"/>
            <w:tcBorders>
              <w:top w:val="single" w:sz="6" w:space="0" w:color="95B3D7"/>
              <w:left w:val="nil"/>
              <w:bottom w:val="single" w:sz="6" w:space="0" w:color="95B3D7"/>
              <w:right w:val="single" w:sz="6" w:space="0" w:color="95B3D7"/>
            </w:tcBorders>
            <w:shd w:val="clear" w:color="auto" w:fill="DBE5F1"/>
            <w:tcMar>
              <w:left w:w="60" w:type="dxa"/>
              <w:right w:w="60" w:type="dxa"/>
            </w:tcMar>
            <w:vAlign w:val="center"/>
          </w:tcPr>
          <w:p w14:paraId="38A23BFB"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15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42E3DADC"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ES"/>
              </w:rPr>
              <w:t>0</w:t>
            </w:r>
          </w:p>
        </w:tc>
        <w:tc>
          <w:tcPr>
            <w:tcW w:w="1015"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3A4FF91F"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0</w:t>
            </w:r>
          </w:p>
        </w:tc>
        <w:tc>
          <w:tcPr>
            <w:tcW w:w="1027"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914F3E1"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6</w:t>
            </w:r>
          </w:p>
        </w:tc>
        <w:tc>
          <w:tcPr>
            <w:tcW w:w="1418"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23DCBB82"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0</w:t>
            </w:r>
          </w:p>
        </w:tc>
        <w:tc>
          <w:tcPr>
            <w:tcW w:w="722" w:type="dxa"/>
            <w:tcBorders>
              <w:top w:val="single" w:sz="6" w:space="0" w:color="95B3D7"/>
              <w:left w:val="single" w:sz="6" w:space="0" w:color="95B3D7"/>
              <w:bottom w:val="single" w:sz="6" w:space="0" w:color="95B3D7"/>
              <w:right w:val="single" w:sz="6" w:space="0" w:color="95B3D7"/>
            </w:tcBorders>
            <w:shd w:val="clear" w:color="auto" w:fill="DBE5F1"/>
            <w:tcMar>
              <w:left w:w="60" w:type="dxa"/>
              <w:right w:w="60" w:type="dxa"/>
            </w:tcMar>
            <w:vAlign w:val="center"/>
          </w:tcPr>
          <w:p w14:paraId="6612299D" w14:textId="77777777" w:rsidR="00B246B9" w:rsidRPr="00837010" w:rsidRDefault="00B246B9" w:rsidP="002844A8">
            <w:pPr>
              <w:jc w:val="center"/>
              <w:rPr>
                <w:rFonts w:eastAsia="Cambria" w:cs="Cambria"/>
                <w:color w:val="000000" w:themeColor="text1"/>
                <w:sz w:val="18"/>
                <w:szCs w:val="18"/>
              </w:rPr>
            </w:pPr>
            <w:r w:rsidRPr="00837010">
              <w:rPr>
                <w:rFonts w:eastAsia="Cambria" w:cs="Cambria"/>
                <w:color w:val="000000" w:themeColor="text1"/>
                <w:sz w:val="18"/>
                <w:szCs w:val="18"/>
                <w:lang w:val="es-CO"/>
              </w:rPr>
              <w:t>6</w:t>
            </w:r>
          </w:p>
        </w:tc>
      </w:tr>
      <w:tr w:rsidR="00B246B9" w:rsidRPr="00837010" w14:paraId="3B1B63E5" w14:textId="77777777" w:rsidTr="002844A8">
        <w:trPr>
          <w:trHeight w:val="345"/>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050387D2" w14:textId="77777777" w:rsidR="00B246B9" w:rsidRPr="00837010" w:rsidRDefault="00B246B9" w:rsidP="0040052B">
            <w:pPr>
              <w:rPr>
                <w:rFonts w:eastAsia="Cambria" w:cs="Cambria"/>
                <w:sz w:val="18"/>
                <w:szCs w:val="18"/>
              </w:rPr>
            </w:pPr>
            <w:r w:rsidRPr="00837010">
              <w:rPr>
                <w:rFonts w:eastAsia="Cambria" w:cs="Cambria"/>
                <w:b/>
                <w:bCs/>
                <w:sz w:val="18"/>
                <w:szCs w:val="18"/>
                <w:lang w:val="es-ES"/>
              </w:rPr>
              <w:t xml:space="preserve">Subtotal </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737E405A"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61</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D77BE52"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68</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5CD32EC"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2C274720"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6</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9E063B9" w14:textId="77777777" w:rsidR="00B246B9" w:rsidRPr="00837010" w:rsidRDefault="00B246B9" w:rsidP="002844A8">
            <w:pPr>
              <w:jc w:val="center"/>
              <w:rPr>
                <w:rFonts w:eastAsia="Cambria" w:cs="Cambria"/>
                <w:sz w:val="18"/>
                <w:szCs w:val="18"/>
              </w:rPr>
            </w:pPr>
            <w:r w:rsidRPr="00837010">
              <w:rPr>
                <w:rFonts w:eastAsia="Cambria" w:cs="Cambria"/>
                <w:sz w:val="18"/>
                <w:szCs w:val="18"/>
              </w:rPr>
              <w:t>3</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305EACE4"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139</w:t>
            </w:r>
          </w:p>
        </w:tc>
      </w:tr>
      <w:tr w:rsidR="00B246B9" w:rsidRPr="00837010" w14:paraId="108E1963" w14:textId="77777777" w:rsidTr="002844A8">
        <w:trPr>
          <w:trHeight w:val="270"/>
        </w:trPr>
        <w:tc>
          <w:tcPr>
            <w:tcW w:w="3232" w:type="dxa"/>
            <w:tcBorders>
              <w:top w:val="single" w:sz="6" w:space="0" w:color="95B3D7"/>
              <w:left w:val="single" w:sz="6" w:space="0" w:color="95B3D7"/>
              <w:bottom w:val="single" w:sz="6" w:space="0" w:color="95B3D7"/>
              <w:right w:val="single" w:sz="6" w:space="0" w:color="95B3D7"/>
            </w:tcBorders>
            <w:tcMar>
              <w:left w:w="60" w:type="dxa"/>
              <w:right w:w="60" w:type="dxa"/>
            </w:tcMar>
          </w:tcPr>
          <w:p w14:paraId="24D42375" w14:textId="77777777" w:rsidR="00B246B9" w:rsidRPr="00837010" w:rsidRDefault="00B246B9" w:rsidP="0040052B">
            <w:pPr>
              <w:rPr>
                <w:rFonts w:eastAsia="Cambria" w:cs="Cambria"/>
                <w:sz w:val="18"/>
                <w:szCs w:val="18"/>
              </w:rPr>
            </w:pPr>
            <w:r w:rsidRPr="00837010">
              <w:rPr>
                <w:rFonts w:eastAsia="Cambria" w:cs="Cambria"/>
                <w:sz w:val="18"/>
                <w:szCs w:val="18"/>
                <w:lang w:val="es-ES"/>
              </w:rPr>
              <w:t>Personas becarias / Fellows</w:t>
            </w:r>
          </w:p>
        </w:tc>
        <w:tc>
          <w:tcPr>
            <w:tcW w:w="943" w:type="dxa"/>
            <w:tcBorders>
              <w:top w:val="single" w:sz="6" w:space="0" w:color="95B3D7"/>
              <w:left w:val="nil"/>
              <w:bottom w:val="single" w:sz="6" w:space="0" w:color="95B3D7"/>
              <w:right w:val="single" w:sz="6" w:space="0" w:color="95B3D7"/>
            </w:tcBorders>
            <w:tcMar>
              <w:left w:w="60" w:type="dxa"/>
              <w:right w:w="60" w:type="dxa"/>
            </w:tcMar>
            <w:vAlign w:val="center"/>
          </w:tcPr>
          <w:p w14:paraId="7960FC1E"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15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18B50915" w14:textId="77777777" w:rsidR="00B246B9" w:rsidRPr="00837010" w:rsidRDefault="00B246B9" w:rsidP="002844A8">
            <w:pPr>
              <w:jc w:val="center"/>
              <w:rPr>
                <w:rFonts w:eastAsia="Cambria" w:cs="Cambria"/>
                <w:sz w:val="18"/>
                <w:szCs w:val="18"/>
              </w:rPr>
            </w:pPr>
            <w:r w:rsidRPr="00837010">
              <w:rPr>
                <w:rFonts w:eastAsia="Cambria" w:cs="Cambria"/>
                <w:sz w:val="18"/>
                <w:szCs w:val="18"/>
              </w:rPr>
              <w:t>3</w:t>
            </w:r>
          </w:p>
        </w:tc>
        <w:tc>
          <w:tcPr>
            <w:tcW w:w="1015"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742A199B"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1027"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0E254B3E" w14:textId="77777777" w:rsidR="00B246B9" w:rsidRPr="00837010" w:rsidRDefault="00B246B9" w:rsidP="002844A8">
            <w:pPr>
              <w:jc w:val="center"/>
              <w:rPr>
                <w:rFonts w:eastAsia="Cambria" w:cs="Cambria"/>
                <w:sz w:val="18"/>
                <w:szCs w:val="18"/>
              </w:rPr>
            </w:pPr>
            <w:r w:rsidRPr="00837010">
              <w:rPr>
                <w:rFonts w:eastAsia="Cambria" w:cs="Cambria"/>
                <w:sz w:val="18"/>
                <w:szCs w:val="18"/>
              </w:rPr>
              <w:t>2</w:t>
            </w:r>
          </w:p>
        </w:tc>
        <w:tc>
          <w:tcPr>
            <w:tcW w:w="1418"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47C44DC8" w14:textId="77777777" w:rsidR="00B246B9" w:rsidRPr="00837010" w:rsidRDefault="00B246B9" w:rsidP="002844A8">
            <w:pPr>
              <w:jc w:val="center"/>
              <w:rPr>
                <w:rFonts w:eastAsia="Cambria" w:cs="Cambria"/>
                <w:sz w:val="18"/>
                <w:szCs w:val="18"/>
              </w:rPr>
            </w:pPr>
            <w:r w:rsidRPr="00837010">
              <w:rPr>
                <w:rFonts w:eastAsia="Cambria" w:cs="Cambria"/>
                <w:sz w:val="18"/>
                <w:szCs w:val="18"/>
              </w:rPr>
              <w:t>0</w:t>
            </w:r>
          </w:p>
        </w:tc>
        <w:tc>
          <w:tcPr>
            <w:tcW w:w="722" w:type="dxa"/>
            <w:tcBorders>
              <w:top w:val="single" w:sz="6" w:space="0" w:color="95B3D7"/>
              <w:left w:val="single" w:sz="6" w:space="0" w:color="95B3D7"/>
              <w:bottom w:val="single" w:sz="6" w:space="0" w:color="95B3D7"/>
              <w:right w:val="single" w:sz="6" w:space="0" w:color="95B3D7"/>
            </w:tcBorders>
            <w:tcMar>
              <w:left w:w="60" w:type="dxa"/>
              <w:right w:w="60" w:type="dxa"/>
            </w:tcMar>
            <w:vAlign w:val="center"/>
          </w:tcPr>
          <w:p w14:paraId="50E8DDB4" w14:textId="77777777" w:rsidR="00B246B9" w:rsidRPr="00837010" w:rsidRDefault="00B246B9" w:rsidP="002844A8">
            <w:pPr>
              <w:jc w:val="center"/>
              <w:rPr>
                <w:rFonts w:eastAsia="Cambria" w:cs="Cambria"/>
                <w:sz w:val="18"/>
                <w:szCs w:val="18"/>
              </w:rPr>
            </w:pPr>
            <w:r w:rsidRPr="00837010">
              <w:rPr>
                <w:rFonts w:eastAsia="Cambria" w:cs="Cambria"/>
                <w:sz w:val="18"/>
                <w:szCs w:val="18"/>
              </w:rPr>
              <w:t>5</w:t>
            </w:r>
          </w:p>
        </w:tc>
      </w:tr>
      <w:tr w:rsidR="00B246B9" w:rsidRPr="00837010" w14:paraId="1A67A983" w14:textId="77777777" w:rsidTr="002844A8">
        <w:trPr>
          <w:trHeight w:val="270"/>
        </w:trPr>
        <w:tc>
          <w:tcPr>
            <w:tcW w:w="3232"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tcPr>
          <w:p w14:paraId="36709A05" w14:textId="77777777" w:rsidR="00B246B9" w:rsidRPr="00837010" w:rsidRDefault="00B246B9" w:rsidP="0040052B">
            <w:pPr>
              <w:rPr>
                <w:rFonts w:eastAsia="Cambria" w:cs="Cambria"/>
                <w:sz w:val="18"/>
                <w:szCs w:val="18"/>
              </w:rPr>
            </w:pPr>
            <w:r w:rsidRPr="00837010">
              <w:rPr>
                <w:rFonts w:eastAsia="Cambria" w:cs="Cambria"/>
                <w:b/>
                <w:bCs/>
                <w:sz w:val="18"/>
                <w:szCs w:val="18"/>
                <w:lang w:val="es-ES"/>
              </w:rPr>
              <w:t>Gran Total</w:t>
            </w:r>
          </w:p>
        </w:tc>
        <w:tc>
          <w:tcPr>
            <w:tcW w:w="943" w:type="dxa"/>
            <w:tcBorders>
              <w:top w:val="single" w:sz="6" w:space="0" w:color="95B3D7"/>
              <w:left w:val="nil"/>
              <w:bottom w:val="single" w:sz="6" w:space="0" w:color="95B3D7"/>
              <w:right w:val="single" w:sz="6" w:space="0" w:color="95B3D7"/>
            </w:tcBorders>
            <w:shd w:val="clear" w:color="auto" w:fill="D9E2F3" w:themeFill="accent1" w:themeFillTint="33"/>
            <w:tcMar>
              <w:left w:w="60" w:type="dxa"/>
              <w:right w:w="60" w:type="dxa"/>
            </w:tcMar>
            <w:vAlign w:val="center"/>
          </w:tcPr>
          <w:p w14:paraId="18D18E5B"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61</w:t>
            </w:r>
          </w:p>
        </w:tc>
        <w:tc>
          <w:tcPr>
            <w:tcW w:w="1155"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3A4EF90C"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71</w:t>
            </w:r>
          </w:p>
        </w:tc>
        <w:tc>
          <w:tcPr>
            <w:tcW w:w="1015"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02B51FD9"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w:t>
            </w:r>
          </w:p>
        </w:tc>
        <w:tc>
          <w:tcPr>
            <w:tcW w:w="1027"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79937D2E"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8</w:t>
            </w:r>
          </w:p>
        </w:tc>
        <w:tc>
          <w:tcPr>
            <w:tcW w:w="1418"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2A363424"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3</w:t>
            </w:r>
          </w:p>
        </w:tc>
        <w:tc>
          <w:tcPr>
            <w:tcW w:w="722" w:type="dxa"/>
            <w:tcBorders>
              <w:top w:val="single" w:sz="6" w:space="0" w:color="95B3D7"/>
              <w:left w:val="single" w:sz="6" w:space="0" w:color="95B3D7"/>
              <w:bottom w:val="single" w:sz="6" w:space="0" w:color="95B3D7"/>
              <w:right w:val="single" w:sz="6" w:space="0" w:color="95B3D7"/>
            </w:tcBorders>
            <w:shd w:val="clear" w:color="auto" w:fill="D9E2F3" w:themeFill="accent1" w:themeFillTint="33"/>
            <w:tcMar>
              <w:left w:w="60" w:type="dxa"/>
              <w:right w:w="60" w:type="dxa"/>
            </w:tcMar>
            <w:vAlign w:val="center"/>
          </w:tcPr>
          <w:p w14:paraId="7C7B1F2B" w14:textId="77777777" w:rsidR="00B246B9" w:rsidRPr="00837010" w:rsidRDefault="00B246B9" w:rsidP="002844A8">
            <w:pPr>
              <w:jc w:val="center"/>
              <w:rPr>
                <w:rFonts w:eastAsia="Cambria" w:cs="Cambria"/>
                <w:sz w:val="18"/>
                <w:szCs w:val="18"/>
              </w:rPr>
            </w:pPr>
            <w:r w:rsidRPr="00837010">
              <w:rPr>
                <w:rFonts w:eastAsia="Cambria" w:cs="Cambria"/>
                <w:b/>
                <w:bCs/>
                <w:sz w:val="18"/>
                <w:szCs w:val="18"/>
              </w:rPr>
              <w:t>144</w:t>
            </w:r>
          </w:p>
        </w:tc>
      </w:tr>
    </w:tbl>
    <w:p w14:paraId="15DEC7DB" w14:textId="77777777" w:rsidR="00B246B9" w:rsidRPr="00DE33B3" w:rsidRDefault="00B246B9" w:rsidP="002A566C">
      <w:pPr>
        <w:spacing w:after="240"/>
        <w:jc w:val="both"/>
        <w:rPr>
          <w:rFonts w:eastAsia="Cambria" w:cs="Cambria"/>
          <w:color w:val="000000" w:themeColor="text1"/>
          <w:sz w:val="20"/>
          <w:szCs w:val="20"/>
        </w:rPr>
      </w:pPr>
    </w:p>
    <w:p w14:paraId="1EA5D80E" w14:textId="77777777" w:rsidR="00B246B9" w:rsidRPr="002A566C" w:rsidRDefault="00B246B9" w:rsidP="002A566C">
      <w:pPr>
        <w:pStyle w:val="IAPrrafo"/>
        <w:rPr>
          <w:b/>
          <w:bCs/>
        </w:rPr>
      </w:pPr>
      <w:r w:rsidRPr="002A566C">
        <w:t xml:space="preserve">In terms of geographic representation and diversity, the 144 staff members mentioned in paragraph 1 (staff members, consultants, and associate professionals) come from 23 different States, 66% of </w:t>
      </w:r>
      <w:r w:rsidRPr="002A566C">
        <w:lastRenderedPageBreak/>
        <w:t xml:space="preserve">the staff members are women and 34% are men. The following table shows the distribution of personnel by nationality and type of relationship. </w:t>
      </w:r>
    </w:p>
    <w:tbl>
      <w:tblPr>
        <w:tblStyle w:val="GridTable4-Accent11"/>
        <w:tblW w:w="9355" w:type="dxa"/>
        <w:tblLook w:val="04A0" w:firstRow="1" w:lastRow="0" w:firstColumn="1" w:lastColumn="0" w:noHBand="0" w:noVBand="1"/>
      </w:tblPr>
      <w:tblGrid>
        <w:gridCol w:w="2155"/>
        <w:gridCol w:w="2970"/>
        <w:gridCol w:w="2160"/>
        <w:gridCol w:w="2070"/>
      </w:tblGrid>
      <w:tr w:rsidR="00B246B9" w:rsidRPr="00837010" w14:paraId="73802053" w14:textId="77777777" w:rsidTr="000D4531">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155" w:type="dxa"/>
            <w:noWrap/>
            <w:vAlign w:val="center"/>
            <w:hideMark/>
          </w:tcPr>
          <w:p w14:paraId="5B5E4D1A" w14:textId="77777777" w:rsidR="00B246B9" w:rsidRPr="00837010" w:rsidRDefault="00B246B9" w:rsidP="002A566C">
            <w:pPr>
              <w:jc w:val="center"/>
              <w:rPr>
                <w:rFonts w:eastAsia="Times New Roman" w:cs="Arial"/>
                <w:b w:val="0"/>
                <w:bCs w:val="0"/>
                <w:sz w:val="20"/>
                <w:szCs w:val="20"/>
              </w:rPr>
            </w:pPr>
            <w:r w:rsidRPr="00837010">
              <w:rPr>
                <w:sz w:val="20"/>
                <w:szCs w:val="20"/>
              </w:rPr>
              <w:t>Type of Room</w:t>
            </w:r>
          </w:p>
        </w:tc>
        <w:tc>
          <w:tcPr>
            <w:tcW w:w="2970" w:type="dxa"/>
            <w:noWrap/>
            <w:vAlign w:val="center"/>
            <w:hideMark/>
          </w:tcPr>
          <w:p w14:paraId="4BC0CB3E" w14:textId="77777777" w:rsidR="00B246B9" w:rsidRPr="00837010" w:rsidRDefault="00B246B9" w:rsidP="002A566C">
            <w:pPr>
              <w:ind w:left="92" w:hanging="20"/>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837010">
              <w:rPr>
                <w:sz w:val="20"/>
                <w:szCs w:val="20"/>
              </w:rPr>
              <w:t>Country</w:t>
            </w:r>
          </w:p>
        </w:tc>
        <w:tc>
          <w:tcPr>
            <w:tcW w:w="2160" w:type="dxa"/>
            <w:noWrap/>
            <w:vAlign w:val="center"/>
            <w:hideMark/>
          </w:tcPr>
          <w:p w14:paraId="3E41D979" w14:textId="77777777" w:rsidR="00B246B9" w:rsidRPr="00837010" w:rsidRDefault="00B246B9" w:rsidP="002A566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837010">
              <w:rPr>
                <w:sz w:val="20"/>
                <w:szCs w:val="20"/>
              </w:rPr>
              <w:t>Nationality upon entering the OAS</w:t>
            </w:r>
          </w:p>
        </w:tc>
        <w:tc>
          <w:tcPr>
            <w:tcW w:w="2070" w:type="dxa"/>
            <w:noWrap/>
            <w:vAlign w:val="center"/>
            <w:hideMark/>
          </w:tcPr>
          <w:p w14:paraId="7F40C986" w14:textId="77777777" w:rsidR="00B246B9" w:rsidRPr="00837010" w:rsidRDefault="00B246B9" w:rsidP="002A566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20"/>
                <w:szCs w:val="20"/>
              </w:rPr>
            </w:pPr>
            <w:r w:rsidRPr="00837010">
              <w:rPr>
                <w:sz w:val="20"/>
                <w:szCs w:val="20"/>
              </w:rPr>
              <w:t>Current Nationality</w:t>
            </w:r>
          </w:p>
        </w:tc>
      </w:tr>
      <w:tr w:rsidR="002A566C" w:rsidRPr="00837010" w14:paraId="33D984C2" w14:textId="77777777" w:rsidTr="000D4531">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155" w:type="dxa"/>
            <w:vMerge w:val="restart"/>
            <w:noWrap/>
            <w:vAlign w:val="center"/>
          </w:tcPr>
          <w:p w14:paraId="1564F9BB" w14:textId="324125B9" w:rsidR="002A566C" w:rsidRPr="00837010" w:rsidRDefault="002A566C" w:rsidP="002A566C">
            <w:pPr>
              <w:rPr>
                <w:rFonts w:eastAsia="Times New Roman" w:cs="Arial"/>
                <w:sz w:val="20"/>
                <w:szCs w:val="20"/>
              </w:rPr>
            </w:pPr>
            <w:r w:rsidRPr="00837010">
              <w:rPr>
                <w:sz w:val="20"/>
                <w:szCs w:val="20"/>
              </w:rPr>
              <w:t>Staff</w:t>
            </w:r>
          </w:p>
        </w:tc>
        <w:tc>
          <w:tcPr>
            <w:tcW w:w="2970" w:type="dxa"/>
            <w:noWrap/>
          </w:tcPr>
          <w:p w14:paraId="5DCD2BDC"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Antigua and Barbuda</w:t>
            </w:r>
          </w:p>
        </w:tc>
        <w:tc>
          <w:tcPr>
            <w:tcW w:w="2160" w:type="dxa"/>
            <w:noWrap/>
          </w:tcPr>
          <w:p w14:paraId="23188837"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tcPr>
          <w:p w14:paraId="7F2E7207"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35AC95F1" w14:textId="77777777" w:rsidTr="000D4531">
        <w:trPr>
          <w:trHeight w:val="31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AC6D706" w14:textId="697B4A0C" w:rsidR="002A566C" w:rsidRPr="00837010" w:rsidRDefault="002A566C" w:rsidP="0040052B">
            <w:pPr>
              <w:rPr>
                <w:rFonts w:eastAsia="Times New Roman" w:cs="Arial"/>
                <w:b w:val="0"/>
                <w:bCs w:val="0"/>
                <w:sz w:val="20"/>
                <w:szCs w:val="20"/>
                <w:lang w:val="es-ES_tradnl" w:eastAsia="es-CO"/>
              </w:rPr>
            </w:pPr>
          </w:p>
        </w:tc>
        <w:tc>
          <w:tcPr>
            <w:tcW w:w="2970" w:type="dxa"/>
            <w:noWrap/>
            <w:hideMark/>
          </w:tcPr>
          <w:p w14:paraId="7933E522"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Argentina</w:t>
            </w:r>
          </w:p>
        </w:tc>
        <w:tc>
          <w:tcPr>
            <w:tcW w:w="2160" w:type="dxa"/>
            <w:noWrap/>
            <w:hideMark/>
          </w:tcPr>
          <w:p w14:paraId="56EA2F07"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6</w:t>
            </w:r>
          </w:p>
        </w:tc>
        <w:tc>
          <w:tcPr>
            <w:tcW w:w="2070" w:type="dxa"/>
            <w:noWrap/>
            <w:hideMark/>
          </w:tcPr>
          <w:p w14:paraId="711B0C1D"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5</w:t>
            </w:r>
          </w:p>
        </w:tc>
      </w:tr>
      <w:tr w:rsidR="002A566C" w:rsidRPr="00837010" w14:paraId="7C45894C" w14:textId="77777777" w:rsidTr="000D453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9011D7C" w14:textId="12CE2C32" w:rsidR="002A566C" w:rsidRPr="00837010" w:rsidRDefault="002A566C" w:rsidP="0040052B">
            <w:pPr>
              <w:rPr>
                <w:rFonts w:eastAsia="Times New Roman" w:cs="Arial"/>
                <w:sz w:val="20"/>
                <w:szCs w:val="20"/>
                <w:lang w:val="es-ES_tradnl" w:eastAsia="es-CO"/>
              </w:rPr>
            </w:pPr>
          </w:p>
        </w:tc>
        <w:tc>
          <w:tcPr>
            <w:tcW w:w="2970" w:type="dxa"/>
            <w:noWrap/>
            <w:hideMark/>
          </w:tcPr>
          <w:p w14:paraId="7AD4FD34"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Barbados</w:t>
            </w:r>
          </w:p>
        </w:tc>
        <w:tc>
          <w:tcPr>
            <w:tcW w:w="2160" w:type="dxa"/>
            <w:noWrap/>
            <w:hideMark/>
          </w:tcPr>
          <w:p w14:paraId="5802A7F4"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hideMark/>
          </w:tcPr>
          <w:p w14:paraId="78F2236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4A31FE30"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12B1291D" w14:textId="1220E3E2" w:rsidR="002A566C" w:rsidRPr="00837010" w:rsidRDefault="002A566C" w:rsidP="0040052B">
            <w:pPr>
              <w:rPr>
                <w:rFonts w:eastAsia="Times New Roman" w:cs="Arial"/>
                <w:b w:val="0"/>
                <w:bCs w:val="0"/>
                <w:sz w:val="20"/>
                <w:szCs w:val="20"/>
              </w:rPr>
            </w:pPr>
          </w:p>
        </w:tc>
        <w:tc>
          <w:tcPr>
            <w:tcW w:w="2970" w:type="dxa"/>
            <w:noWrap/>
            <w:hideMark/>
          </w:tcPr>
          <w:p w14:paraId="318304CB"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Bolivia</w:t>
            </w:r>
          </w:p>
        </w:tc>
        <w:tc>
          <w:tcPr>
            <w:tcW w:w="2160" w:type="dxa"/>
            <w:noWrap/>
            <w:hideMark/>
          </w:tcPr>
          <w:p w14:paraId="0A5BAFA0"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hideMark/>
          </w:tcPr>
          <w:p w14:paraId="7A6D325C"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0</w:t>
            </w:r>
          </w:p>
        </w:tc>
      </w:tr>
      <w:tr w:rsidR="002A566C" w:rsidRPr="00837010" w14:paraId="3023ADDF"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7AF1608F" w14:textId="614E3B15" w:rsidR="002A566C" w:rsidRPr="00837010" w:rsidRDefault="002A566C" w:rsidP="0040052B">
            <w:pPr>
              <w:rPr>
                <w:rFonts w:eastAsia="Times New Roman" w:cs="Arial"/>
                <w:sz w:val="20"/>
                <w:szCs w:val="20"/>
                <w:lang w:val="es-ES_tradnl" w:eastAsia="es-CO"/>
              </w:rPr>
            </w:pPr>
          </w:p>
        </w:tc>
        <w:tc>
          <w:tcPr>
            <w:tcW w:w="2970" w:type="dxa"/>
            <w:noWrap/>
            <w:hideMark/>
          </w:tcPr>
          <w:p w14:paraId="19124816"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Brazil</w:t>
            </w:r>
          </w:p>
        </w:tc>
        <w:tc>
          <w:tcPr>
            <w:tcW w:w="2160" w:type="dxa"/>
            <w:noWrap/>
            <w:hideMark/>
          </w:tcPr>
          <w:p w14:paraId="6D642A76"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9</w:t>
            </w:r>
          </w:p>
        </w:tc>
        <w:tc>
          <w:tcPr>
            <w:tcW w:w="2070" w:type="dxa"/>
            <w:noWrap/>
            <w:hideMark/>
          </w:tcPr>
          <w:p w14:paraId="36BDF318"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8</w:t>
            </w:r>
          </w:p>
        </w:tc>
      </w:tr>
      <w:tr w:rsidR="002A566C" w:rsidRPr="00837010" w14:paraId="7A94FCFC"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tcPr>
          <w:p w14:paraId="63D208CB" w14:textId="7727E85A" w:rsidR="002A566C" w:rsidRPr="00837010" w:rsidRDefault="002A566C" w:rsidP="0040052B">
            <w:pPr>
              <w:rPr>
                <w:rFonts w:eastAsia="Times New Roman" w:cs="Arial"/>
                <w:b w:val="0"/>
                <w:bCs w:val="0"/>
                <w:sz w:val="20"/>
                <w:szCs w:val="20"/>
                <w:lang w:val="es-ES_tradnl" w:eastAsia="es-CO"/>
              </w:rPr>
            </w:pPr>
          </w:p>
        </w:tc>
        <w:tc>
          <w:tcPr>
            <w:tcW w:w="2970" w:type="dxa"/>
            <w:noWrap/>
          </w:tcPr>
          <w:p w14:paraId="0BA84A36"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Canada</w:t>
            </w:r>
          </w:p>
        </w:tc>
        <w:tc>
          <w:tcPr>
            <w:tcW w:w="2160" w:type="dxa"/>
            <w:noWrap/>
          </w:tcPr>
          <w:p w14:paraId="5233B3C3"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1</w:t>
            </w:r>
          </w:p>
        </w:tc>
        <w:tc>
          <w:tcPr>
            <w:tcW w:w="2070" w:type="dxa"/>
            <w:noWrap/>
          </w:tcPr>
          <w:p w14:paraId="248417E2"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1</w:t>
            </w:r>
          </w:p>
        </w:tc>
      </w:tr>
      <w:tr w:rsidR="002A566C" w:rsidRPr="00837010" w14:paraId="0A5736BD"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40BA3F1E" w14:textId="45E86E0D" w:rsidR="002A566C" w:rsidRPr="00837010" w:rsidRDefault="002A566C" w:rsidP="0040052B">
            <w:pPr>
              <w:rPr>
                <w:rFonts w:eastAsia="Times New Roman" w:cs="Arial"/>
                <w:b w:val="0"/>
                <w:bCs w:val="0"/>
                <w:sz w:val="20"/>
                <w:szCs w:val="20"/>
              </w:rPr>
            </w:pPr>
          </w:p>
        </w:tc>
        <w:tc>
          <w:tcPr>
            <w:tcW w:w="2970" w:type="dxa"/>
            <w:noWrap/>
            <w:hideMark/>
          </w:tcPr>
          <w:p w14:paraId="44142735"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Chile</w:t>
            </w:r>
          </w:p>
        </w:tc>
        <w:tc>
          <w:tcPr>
            <w:tcW w:w="2160" w:type="dxa"/>
            <w:noWrap/>
            <w:hideMark/>
          </w:tcPr>
          <w:p w14:paraId="5430F6C4"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3</w:t>
            </w:r>
          </w:p>
        </w:tc>
        <w:tc>
          <w:tcPr>
            <w:tcW w:w="2070" w:type="dxa"/>
            <w:noWrap/>
            <w:hideMark/>
          </w:tcPr>
          <w:p w14:paraId="7577A739"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3</w:t>
            </w:r>
          </w:p>
        </w:tc>
      </w:tr>
      <w:tr w:rsidR="002A566C" w:rsidRPr="00837010" w14:paraId="72B4886B"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4EDB9C0B" w14:textId="1D8D0C19" w:rsidR="002A566C" w:rsidRPr="00837010" w:rsidRDefault="002A566C" w:rsidP="0040052B">
            <w:pPr>
              <w:rPr>
                <w:rFonts w:eastAsia="Times New Roman" w:cs="Arial"/>
                <w:sz w:val="20"/>
                <w:szCs w:val="20"/>
                <w:lang w:val="es-ES_tradnl" w:eastAsia="es-CO"/>
              </w:rPr>
            </w:pPr>
          </w:p>
        </w:tc>
        <w:tc>
          <w:tcPr>
            <w:tcW w:w="2970" w:type="dxa"/>
            <w:noWrap/>
            <w:hideMark/>
          </w:tcPr>
          <w:p w14:paraId="59FE325A"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Colombia</w:t>
            </w:r>
          </w:p>
        </w:tc>
        <w:tc>
          <w:tcPr>
            <w:tcW w:w="2160" w:type="dxa"/>
            <w:noWrap/>
            <w:hideMark/>
          </w:tcPr>
          <w:p w14:paraId="07DE972B"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13</w:t>
            </w:r>
          </w:p>
        </w:tc>
        <w:tc>
          <w:tcPr>
            <w:tcW w:w="2070" w:type="dxa"/>
            <w:noWrap/>
            <w:hideMark/>
          </w:tcPr>
          <w:p w14:paraId="0159F264"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11</w:t>
            </w:r>
          </w:p>
        </w:tc>
      </w:tr>
      <w:tr w:rsidR="002A566C" w:rsidRPr="00837010" w14:paraId="66C13DA5"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tcPr>
          <w:p w14:paraId="12E26384" w14:textId="4726623A" w:rsidR="002A566C" w:rsidRPr="00837010" w:rsidRDefault="002A566C" w:rsidP="0040052B">
            <w:pPr>
              <w:rPr>
                <w:rFonts w:eastAsia="Times New Roman" w:cs="Arial"/>
                <w:sz w:val="20"/>
                <w:szCs w:val="20"/>
                <w:lang w:val="es-ES_tradnl" w:eastAsia="es-CO"/>
              </w:rPr>
            </w:pPr>
          </w:p>
        </w:tc>
        <w:tc>
          <w:tcPr>
            <w:tcW w:w="2970" w:type="dxa"/>
            <w:noWrap/>
          </w:tcPr>
          <w:p w14:paraId="12107A86"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Costa Rica</w:t>
            </w:r>
          </w:p>
        </w:tc>
        <w:tc>
          <w:tcPr>
            <w:tcW w:w="2160" w:type="dxa"/>
            <w:noWrap/>
          </w:tcPr>
          <w:p w14:paraId="1D3929AB" w14:textId="77777777" w:rsidR="002A566C" w:rsidRPr="00837010" w:rsidDel="00F40E1C"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c>
          <w:tcPr>
            <w:tcW w:w="2070" w:type="dxa"/>
            <w:noWrap/>
          </w:tcPr>
          <w:p w14:paraId="3500476F" w14:textId="77777777" w:rsidR="002A566C" w:rsidRPr="00837010" w:rsidDel="00F40E1C"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r>
      <w:tr w:rsidR="002A566C" w:rsidRPr="00837010" w14:paraId="0C5E7DC6"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tcPr>
          <w:p w14:paraId="1E66D85B" w14:textId="40C49CF5" w:rsidR="002A566C" w:rsidRPr="00837010" w:rsidRDefault="002A566C" w:rsidP="0040052B">
            <w:pPr>
              <w:rPr>
                <w:rFonts w:eastAsia="Times New Roman" w:cs="Arial"/>
                <w:sz w:val="20"/>
                <w:szCs w:val="20"/>
                <w:lang w:val="es-ES_tradnl" w:eastAsia="es-CO"/>
              </w:rPr>
            </w:pPr>
          </w:p>
        </w:tc>
        <w:tc>
          <w:tcPr>
            <w:tcW w:w="2970" w:type="dxa"/>
            <w:noWrap/>
          </w:tcPr>
          <w:p w14:paraId="6A86E6BC"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Dominican Republic</w:t>
            </w:r>
          </w:p>
        </w:tc>
        <w:tc>
          <w:tcPr>
            <w:tcW w:w="2160" w:type="dxa"/>
            <w:noWrap/>
          </w:tcPr>
          <w:p w14:paraId="544EA5AB"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1</w:t>
            </w:r>
          </w:p>
        </w:tc>
        <w:tc>
          <w:tcPr>
            <w:tcW w:w="2070" w:type="dxa"/>
            <w:noWrap/>
          </w:tcPr>
          <w:p w14:paraId="6836761F"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1</w:t>
            </w:r>
          </w:p>
        </w:tc>
      </w:tr>
      <w:tr w:rsidR="002A566C" w:rsidRPr="00837010" w14:paraId="4CED3148"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tcPr>
          <w:p w14:paraId="200BC7BC" w14:textId="330161E7" w:rsidR="002A566C" w:rsidRPr="00837010" w:rsidRDefault="002A566C" w:rsidP="0040052B">
            <w:pPr>
              <w:rPr>
                <w:rFonts w:eastAsia="Times New Roman" w:cs="Arial"/>
                <w:sz w:val="20"/>
                <w:szCs w:val="20"/>
                <w:lang w:val="es-ES_tradnl" w:eastAsia="es-CO"/>
              </w:rPr>
            </w:pPr>
          </w:p>
        </w:tc>
        <w:tc>
          <w:tcPr>
            <w:tcW w:w="2970" w:type="dxa"/>
            <w:noWrap/>
          </w:tcPr>
          <w:p w14:paraId="7EFA309D"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El Salvador</w:t>
            </w:r>
          </w:p>
        </w:tc>
        <w:tc>
          <w:tcPr>
            <w:tcW w:w="2160" w:type="dxa"/>
            <w:noWrap/>
          </w:tcPr>
          <w:p w14:paraId="5F27F583"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3</w:t>
            </w:r>
          </w:p>
        </w:tc>
        <w:tc>
          <w:tcPr>
            <w:tcW w:w="2070" w:type="dxa"/>
            <w:noWrap/>
          </w:tcPr>
          <w:p w14:paraId="1B0293CF"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2</w:t>
            </w:r>
          </w:p>
        </w:tc>
      </w:tr>
      <w:tr w:rsidR="002A566C" w:rsidRPr="00837010" w14:paraId="229ABF2E"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42888321" w14:textId="61686217" w:rsidR="002A566C" w:rsidRPr="00837010" w:rsidRDefault="002A566C" w:rsidP="0040052B">
            <w:pPr>
              <w:rPr>
                <w:rFonts w:eastAsia="Times New Roman" w:cs="Arial"/>
                <w:b w:val="0"/>
                <w:bCs w:val="0"/>
                <w:sz w:val="20"/>
                <w:szCs w:val="20"/>
              </w:rPr>
            </w:pPr>
          </w:p>
        </w:tc>
        <w:tc>
          <w:tcPr>
            <w:tcW w:w="2970" w:type="dxa"/>
            <w:noWrap/>
            <w:hideMark/>
          </w:tcPr>
          <w:p w14:paraId="0A1B5904"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Guatemala</w:t>
            </w:r>
          </w:p>
        </w:tc>
        <w:tc>
          <w:tcPr>
            <w:tcW w:w="2160" w:type="dxa"/>
            <w:noWrap/>
          </w:tcPr>
          <w:p w14:paraId="5632A1A1"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color w:val="000000"/>
                <w:sz w:val="20"/>
                <w:szCs w:val="20"/>
              </w:rPr>
              <w:t>1</w:t>
            </w:r>
          </w:p>
        </w:tc>
        <w:tc>
          <w:tcPr>
            <w:tcW w:w="2070" w:type="dxa"/>
            <w:noWrap/>
          </w:tcPr>
          <w:p w14:paraId="6F6F79A6"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color w:val="000000"/>
                <w:sz w:val="20"/>
                <w:szCs w:val="20"/>
              </w:rPr>
              <w:t>1</w:t>
            </w:r>
          </w:p>
        </w:tc>
      </w:tr>
      <w:tr w:rsidR="002A566C" w:rsidRPr="00837010" w14:paraId="7B720B9A"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25A51484" w14:textId="7E9F2D8A" w:rsidR="002A566C" w:rsidRPr="00837010" w:rsidRDefault="002A566C" w:rsidP="0040052B">
            <w:pPr>
              <w:rPr>
                <w:rFonts w:eastAsia="Times New Roman" w:cs="Arial"/>
                <w:sz w:val="20"/>
                <w:szCs w:val="20"/>
                <w:lang w:val="es-ES_tradnl" w:eastAsia="es-CO"/>
              </w:rPr>
            </w:pPr>
          </w:p>
        </w:tc>
        <w:tc>
          <w:tcPr>
            <w:tcW w:w="2970" w:type="dxa"/>
            <w:noWrap/>
            <w:hideMark/>
          </w:tcPr>
          <w:p w14:paraId="4910C666"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Mexico</w:t>
            </w:r>
          </w:p>
        </w:tc>
        <w:tc>
          <w:tcPr>
            <w:tcW w:w="2160" w:type="dxa"/>
            <w:noWrap/>
            <w:hideMark/>
          </w:tcPr>
          <w:p w14:paraId="2398049C"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color w:val="000000" w:themeColor="text1"/>
                <w:sz w:val="20"/>
                <w:szCs w:val="20"/>
              </w:rPr>
              <w:t>7</w:t>
            </w:r>
          </w:p>
        </w:tc>
        <w:tc>
          <w:tcPr>
            <w:tcW w:w="2070" w:type="dxa"/>
            <w:noWrap/>
            <w:hideMark/>
          </w:tcPr>
          <w:p w14:paraId="19F58813"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color w:val="000000" w:themeColor="text1"/>
                <w:sz w:val="20"/>
                <w:szCs w:val="20"/>
              </w:rPr>
              <w:t>7</w:t>
            </w:r>
          </w:p>
        </w:tc>
      </w:tr>
      <w:tr w:rsidR="002A566C" w:rsidRPr="00837010" w14:paraId="3C1573CD"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613416D1" w14:textId="2D99FE86" w:rsidR="002A566C" w:rsidRPr="00837010" w:rsidRDefault="002A566C" w:rsidP="0040052B">
            <w:pPr>
              <w:rPr>
                <w:rFonts w:eastAsia="Times New Roman" w:cs="Arial"/>
                <w:b w:val="0"/>
                <w:bCs w:val="0"/>
                <w:sz w:val="20"/>
                <w:szCs w:val="20"/>
              </w:rPr>
            </w:pPr>
          </w:p>
        </w:tc>
        <w:tc>
          <w:tcPr>
            <w:tcW w:w="2970" w:type="dxa"/>
            <w:noWrap/>
            <w:hideMark/>
          </w:tcPr>
          <w:p w14:paraId="265C4424"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Panama</w:t>
            </w:r>
          </w:p>
        </w:tc>
        <w:tc>
          <w:tcPr>
            <w:tcW w:w="2160" w:type="dxa"/>
            <w:noWrap/>
            <w:hideMark/>
          </w:tcPr>
          <w:p w14:paraId="3CAEE85A"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color w:val="000000"/>
                <w:sz w:val="20"/>
                <w:szCs w:val="20"/>
              </w:rPr>
              <w:t>1</w:t>
            </w:r>
          </w:p>
        </w:tc>
        <w:tc>
          <w:tcPr>
            <w:tcW w:w="2070" w:type="dxa"/>
            <w:noWrap/>
            <w:hideMark/>
          </w:tcPr>
          <w:p w14:paraId="1D14A548"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color w:val="000000"/>
                <w:sz w:val="20"/>
                <w:szCs w:val="20"/>
              </w:rPr>
              <w:t>0</w:t>
            </w:r>
          </w:p>
        </w:tc>
      </w:tr>
      <w:tr w:rsidR="002A566C" w:rsidRPr="00837010" w14:paraId="121E6187"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1E08659A" w14:textId="76988138" w:rsidR="002A566C" w:rsidRPr="00837010" w:rsidRDefault="002A566C" w:rsidP="0040052B">
            <w:pPr>
              <w:rPr>
                <w:rFonts w:eastAsia="Times New Roman" w:cs="Arial"/>
                <w:sz w:val="20"/>
                <w:szCs w:val="20"/>
                <w:lang w:val="es-ES_tradnl" w:eastAsia="es-CO"/>
              </w:rPr>
            </w:pPr>
          </w:p>
        </w:tc>
        <w:tc>
          <w:tcPr>
            <w:tcW w:w="2970" w:type="dxa"/>
            <w:noWrap/>
            <w:hideMark/>
          </w:tcPr>
          <w:p w14:paraId="432E8E86"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Paraguay</w:t>
            </w:r>
          </w:p>
        </w:tc>
        <w:tc>
          <w:tcPr>
            <w:tcW w:w="2160" w:type="dxa"/>
            <w:noWrap/>
            <w:hideMark/>
          </w:tcPr>
          <w:p w14:paraId="6C1E92C1"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color w:val="000000"/>
                <w:sz w:val="20"/>
                <w:szCs w:val="20"/>
              </w:rPr>
              <w:t>1</w:t>
            </w:r>
          </w:p>
        </w:tc>
        <w:tc>
          <w:tcPr>
            <w:tcW w:w="2070" w:type="dxa"/>
            <w:noWrap/>
            <w:hideMark/>
          </w:tcPr>
          <w:p w14:paraId="6BF0DB6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color w:val="000000"/>
                <w:sz w:val="20"/>
                <w:szCs w:val="20"/>
              </w:rPr>
              <w:t>1</w:t>
            </w:r>
          </w:p>
        </w:tc>
      </w:tr>
      <w:tr w:rsidR="002A566C" w:rsidRPr="00837010" w14:paraId="6F194612"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29040CD" w14:textId="16338827" w:rsidR="002A566C" w:rsidRPr="00837010" w:rsidRDefault="002A566C" w:rsidP="0040052B">
            <w:pPr>
              <w:rPr>
                <w:rFonts w:eastAsia="Times New Roman" w:cs="Arial"/>
                <w:b w:val="0"/>
                <w:bCs w:val="0"/>
                <w:sz w:val="20"/>
                <w:szCs w:val="20"/>
              </w:rPr>
            </w:pPr>
          </w:p>
        </w:tc>
        <w:tc>
          <w:tcPr>
            <w:tcW w:w="2970" w:type="dxa"/>
            <w:noWrap/>
            <w:hideMark/>
          </w:tcPr>
          <w:p w14:paraId="6312BA42"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Peru</w:t>
            </w:r>
          </w:p>
        </w:tc>
        <w:tc>
          <w:tcPr>
            <w:tcW w:w="2160" w:type="dxa"/>
            <w:noWrap/>
            <w:hideMark/>
          </w:tcPr>
          <w:p w14:paraId="6080623F"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37010">
              <w:rPr>
                <w:color w:val="000000" w:themeColor="text1"/>
                <w:sz w:val="20"/>
                <w:szCs w:val="20"/>
              </w:rPr>
              <w:t>7</w:t>
            </w:r>
          </w:p>
        </w:tc>
        <w:tc>
          <w:tcPr>
            <w:tcW w:w="2070" w:type="dxa"/>
            <w:noWrap/>
            <w:hideMark/>
          </w:tcPr>
          <w:p w14:paraId="3845F6C9"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color w:val="000000" w:themeColor="text1"/>
                <w:sz w:val="20"/>
                <w:szCs w:val="20"/>
              </w:rPr>
              <w:t>5</w:t>
            </w:r>
          </w:p>
        </w:tc>
      </w:tr>
      <w:tr w:rsidR="002A566C" w:rsidRPr="00837010" w14:paraId="6641040A"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7A22490" w14:textId="77777777" w:rsidR="002A566C" w:rsidRPr="00837010" w:rsidRDefault="002A566C" w:rsidP="0040052B">
            <w:pPr>
              <w:jc w:val="right"/>
              <w:rPr>
                <w:rFonts w:eastAsia="Times New Roman" w:cs="Arial"/>
                <w:sz w:val="20"/>
                <w:szCs w:val="20"/>
                <w:lang w:val="es-ES_tradnl" w:eastAsia="es-CO"/>
              </w:rPr>
            </w:pPr>
          </w:p>
        </w:tc>
        <w:tc>
          <w:tcPr>
            <w:tcW w:w="2970" w:type="dxa"/>
            <w:noWrap/>
            <w:hideMark/>
          </w:tcPr>
          <w:p w14:paraId="6261843F"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Uruguay</w:t>
            </w:r>
          </w:p>
        </w:tc>
        <w:tc>
          <w:tcPr>
            <w:tcW w:w="2160" w:type="dxa"/>
            <w:noWrap/>
            <w:hideMark/>
          </w:tcPr>
          <w:p w14:paraId="521B6038"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c>
          <w:tcPr>
            <w:tcW w:w="2070" w:type="dxa"/>
            <w:noWrap/>
            <w:hideMark/>
          </w:tcPr>
          <w:p w14:paraId="7F471D6E"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r>
      <w:tr w:rsidR="002A566C" w:rsidRPr="00837010" w14:paraId="35E6A94B"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6744CFDE" w14:textId="77777777" w:rsidR="002A566C" w:rsidRPr="00837010" w:rsidRDefault="002A566C" w:rsidP="0040052B">
            <w:pPr>
              <w:jc w:val="center"/>
              <w:rPr>
                <w:rFonts w:eastAsia="Times New Roman" w:cs="Arial"/>
                <w:b w:val="0"/>
                <w:bCs w:val="0"/>
                <w:sz w:val="20"/>
                <w:szCs w:val="20"/>
                <w:lang w:val="es-ES_tradnl" w:eastAsia="es-CO"/>
              </w:rPr>
            </w:pPr>
          </w:p>
        </w:tc>
        <w:tc>
          <w:tcPr>
            <w:tcW w:w="2970" w:type="dxa"/>
            <w:noWrap/>
            <w:hideMark/>
          </w:tcPr>
          <w:p w14:paraId="55E7687D"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United States</w:t>
            </w:r>
          </w:p>
        </w:tc>
        <w:tc>
          <w:tcPr>
            <w:tcW w:w="2160" w:type="dxa"/>
            <w:noWrap/>
            <w:hideMark/>
          </w:tcPr>
          <w:p w14:paraId="29A07261"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11</w:t>
            </w:r>
          </w:p>
        </w:tc>
        <w:tc>
          <w:tcPr>
            <w:tcW w:w="2070" w:type="dxa"/>
            <w:noWrap/>
            <w:hideMark/>
          </w:tcPr>
          <w:p w14:paraId="0B50CD75"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21</w:t>
            </w:r>
          </w:p>
        </w:tc>
      </w:tr>
      <w:tr w:rsidR="002A566C" w:rsidRPr="00837010" w14:paraId="3E6979DD"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6CF96707" w14:textId="77777777" w:rsidR="002A566C" w:rsidRPr="00837010" w:rsidRDefault="002A566C" w:rsidP="0040052B">
            <w:pPr>
              <w:jc w:val="right"/>
              <w:rPr>
                <w:rFonts w:eastAsia="Times New Roman" w:cs="Arial"/>
                <w:sz w:val="20"/>
                <w:szCs w:val="20"/>
                <w:lang w:val="es-ES_tradnl" w:eastAsia="es-CO"/>
              </w:rPr>
            </w:pPr>
          </w:p>
        </w:tc>
        <w:tc>
          <w:tcPr>
            <w:tcW w:w="2970" w:type="dxa"/>
            <w:noWrap/>
            <w:hideMark/>
          </w:tcPr>
          <w:p w14:paraId="36F26E01"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Venezuela</w:t>
            </w:r>
          </w:p>
        </w:tc>
        <w:tc>
          <w:tcPr>
            <w:tcW w:w="2160" w:type="dxa"/>
            <w:noWrap/>
            <w:hideMark/>
          </w:tcPr>
          <w:p w14:paraId="0D72FCF3"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4</w:t>
            </w:r>
          </w:p>
        </w:tc>
        <w:tc>
          <w:tcPr>
            <w:tcW w:w="2070" w:type="dxa"/>
            <w:noWrap/>
            <w:hideMark/>
          </w:tcPr>
          <w:p w14:paraId="0F5EAEED"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3</w:t>
            </w:r>
          </w:p>
        </w:tc>
      </w:tr>
      <w:tr w:rsidR="00B246B9" w:rsidRPr="00837010" w14:paraId="2E248083"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noWrap/>
            <w:hideMark/>
          </w:tcPr>
          <w:p w14:paraId="6F74DCDD" w14:textId="77777777" w:rsidR="00B246B9" w:rsidRPr="00837010" w:rsidRDefault="00B246B9" w:rsidP="0040052B">
            <w:pPr>
              <w:rPr>
                <w:rFonts w:eastAsia="Times New Roman" w:cs="Arial"/>
                <w:b w:val="0"/>
                <w:bCs w:val="0"/>
                <w:sz w:val="20"/>
                <w:szCs w:val="20"/>
              </w:rPr>
            </w:pPr>
            <w:r w:rsidRPr="00837010">
              <w:rPr>
                <w:sz w:val="20"/>
                <w:szCs w:val="20"/>
              </w:rPr>
              <w:t>Total Staff</w:t>
            </w:r>
          </w:p>
        </w:tc>
        <w:tc>
          <w:tcPr>
            <w:tcW w:w="2970" w:type="dxa"/>
            <w:noWrap/>
            <w:hideMark/>
          </w:tcPr>
          <w:p w14:paraId="7149F25C" w14:textId="77777777" w:rsidR="00B246B9" w:rsidRPr="00837010" w:rsidRDefault="00B246B9" w:rsidP="0040052B">
            <w:pPr>
              <w:ind w:left="92" w:hanging="20"/>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837010">
              <w:rPr>
                <w:b/>
                <w:sz w:val="20"/>
                <w:szCs w:val="20"/>
              </w:rPr>
              <w:t> </w:t>
            </w:r>
          </w:p>
        </w:tc>
        <w:tc>
          <w:tcPr>
            <w:tcW w:w="2160" w:type="dxa"/>
            <w:noWrap/>
            <w:hideMark/>
          </w:tcPr>
          <w:p w14:paraId="3CE398CD"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837010">
              <w:rPr>
                <w:b/>
                <w:bCs/>
                <w:sz w:val="20"/>
                <w:szCs w:val="20"/>
              </w:rPr>
              <w:t>74</w:t>
            </w:r>
          </w:p>
        </w:tc>
        <w:tc>
          <w:tcPr>
            <w:tcW w:w="2070" w:type="dxa"/>
            <w:noWrap/>
            <w:hideMark/>
          </w:tcPr>
          <w:p w14:paraId="0269C12D"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837010">
              <w:rPr>
                <w:b/>
                <w:bCs/>
                <w:sz w:val="20"/>
                <w:szCs w:val="20"/>
              </w:rPr>
              <w:t>74</w:t>
            </w:r>
          </w:p>
        </w:tc>
      </w:tr>
      <w:tr w:rsidR="002A566C" w:rsidRPr="00837010" w14:paraId="04B9658B"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val="restart"/>
            <w:noWrap/>
            <w:vAlign w:val="center"/>
            <w:hideMark/>
          </w:tcPr>
          <w:p w14:paraId="4962FF07" w14:textId="445A46B5" w:rsidR="002A566C" w:rsidRPr="00837010" w:rsidRDefault="002A566C" w:rsidP="002A566C">
            <w:pPr>
              <w:rPr>
                <w:rFonts w:eastAsia="Times New Roman" w:cs="Arial"/>
                <w:sz w:val="20"/>
                <w:szCs w:val="20"/>
              </w:rPr>
            </w:pPr>
            <w:r w:rsidRPr="00837010">
              <w:rPr>
                <w:sz w:val="20"/>
                <w:szCs w:val="20"/>
              </w:rPr>
              <w:t>CPR</w:t>
            </w:r>
          </w:p>
        </w:tc>
        <w:tc>
          <w:tcPr>
            <w:tcW w:w="2970" w:type="dxa"/>
            <w:noWrap/>
            <w:hideMark/>
          </w:tcPr>
          <w:p w14:paraId="75DE8D6D"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Argentina</w:t>
            </w:r>
          </w:p>
        </w:tc>
        <w:tc>
          <w:tcPr>
            <w:tcW w:w="2160" w:type="dxa"/>
            <w:noWrap/>
            <w:hideMark/>
          </w:tcPr>
          <w:p w14:paraId="75E47F49"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c>
          <w:tcPr>
            <w:tcW w:w="2070" w:type="dxa"/>
            <w:noWrap/>
            <w:hideMark/>
          </w:tcPr>
          <w:p w14:paraId="59F41AE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r>
      <w:tr w:rsidR="002A566C" w:rsidRPr="00837010" w14:paraId="5FFA971F"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57793380" w14:textId="148C7747" w:rsidR="002A566C" w:rsidRPr="00837010" w:rsidRDefault="002A566C" w:rsidP="0040052B">
            <w:pPr>
              <w:rPr>
                <w:rFonts w:eastAsia="Times New Roman" w:cs="Arial"/>
                <w:sz w:val="20"/>
                <w:szCs w:val="20"/>
                <w:lang w:val="es-ES_tradnl" w:eastAsia="es-CO"/>
              </w:rPr>
            </w:pPr>
          </w:p>
        </w:tc>
        <w:tc>
          <w:tcPr>
            <w:tcW w:w="2970" w:type="dxa"/>
            <w:noWrap/>
            <w:hideMark/>
          </w:tcPr>
          <w:p w14:paraId="5FB9A391"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Bolivia</w:t>
            </w:r>
          </w:p>
        </w:tc>
        <w:tc>
          <w:tcPr>
            <w:tcW w:w="2160" w:type="dxa"/>
            <w:noWrap/>
            <w:hideMark/>
          </w:tcPr>
          <w:p w14:paraId="6FC4EB5B"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3</w:t>
            </w:r>
          </w:p>
        </w:tc>
        <w:tc>
          <w:tcPr>
            <w:tcW w:w="2070" w:type="dxa"/>
            <w:noWrap/>
            <w:hideMark/>
          </w:tcPr>
          <w:p w14:paraId="708601A9"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3</w:t>
            </w:r>
          </w:p>
        </w:tc>
      </w:tr>
      <w:tr w:rsidR="002A566C" w:rsidRPr="00837010" w14:paraId="11EFC9D5"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2B845B4D" w14:textId="712BDA01" w:rsidR="002A566C" w:rsidRPr="00837010" w:rsidRDefault="002A566C" w:rsidP="0040052B">
            <w:pPr>
              <w:rPr>
                <w:rFonts w:eastAsia="Times New Roman" w:cs="Arial"/>
                <w:b w:val="0"/>
                <w:bCs w:val="0"/>
                <w:sz w:val="20"/>
                <w:szCs w:val="20"/>
              </w:rPr>
            </w:pPr>
          </w:p>
        </w:tc>
        <w:tc>
          <w:tcPr>
            <w:tcW w:w="2970" w:type="dxa"/>
            <w:noWrap/>
            <w:hideMark/>
          </w:tcPr>
          <w:p w14:paraId="0FAF670D"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Brazil</w:t>
            </w:r>
          </w:p>
        </w:tc>
        <w:tc>
          <w:tcPr>
            <w:tcW w:w="2160" w:type="dxa"/>
            <w:noWrap/>
            <w:hideMark/>
          </w:tcPr>
          <w:p w14:paraId="57111B8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8</w:t>
            </w:r>
          </w:p>
        </w:tc>
        <w:tc>
          <w:tcPr>
            <w:tcW w:w="2070" w:type="dxa"/>
            <w:noWrap/>
            <w:hideMark/>
          </w:tcPr>
          <w:p w14:paraId="465A515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8</w:t>
            </w:r>
          </w:p>
        </w:tc>
      </w:tr>
      <w:tr w:rsidR="002A566C" w:rsidRPr="00837010" w14:paraId="7D988AF9"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71EA594" w14:textId="2F9D7DB3" w:rsidR="002A566C" w:rsidRPr="00837010" w:rsidRDefault="002A566C" w:rsidP="0040052B">
            <w:pPr>
              <w:rPr>
                <w:rFonts w:eastAsia="Times New Roman" w:cs="Arial"/>
                <w:sz w:val="20"/>
                <w:szCs w:val="20"/>
                <w:lang w:val="es-ES_tradnl" w:eastAsia="es-CO"/>
              </w:rPr>
            </w:pPr>
          </w:p>
        </w:tc>
        <w:tc>
          <w:tcPr>
            <w:tcW w:w="2970" w:type="dxa"/>
            <w:noWrap/>
            <w:hideMark/>
          </w:tcPr>
          <w:p w14:paraId="2DC2F742"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Colombia</w:t>
            </w:r>
          </w:p>
        </w:tc>
        <w:tc>
          <w:tcPr>
            <w:tcW w:w="2160" w:type="dxa"/>
            <w:noWrap/>
            <w:hideMark/>
          </w:tcPr>
          <w:p w14:paraId="2B94664F"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12</w:t>
            </w:r>
          </w:p>
        </w:tc>
        <w:tc>
          <w:tcPr>
            <w:tcW w:w="2070" w:type="dxa"/>
            <w:noWrap/>
            <w:hideMark/>
          </w:tcPr>
          <w:p w14:paraId="7725BB8A"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12</w:t>
            </w:r>
          </w:p>
        </w:tc>
      </w:tr>
      <w:tr w:rsidR="002A566C" w:rsidRPr="00837010" w14:paraId="4454BC8F"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60187DBF" w14:textId="712C55F4" w:rsidR="002A566C" w:rsidRPr="00837010" w:rsidRDefault="002A566C" w:rsidP="0040052B">
            <w:pPr>
              <w:rPr>
                <w:rFonts w:eastAsia="Times New Roman" w:cs="Arial"/>
                <w:b w:val="0"/>
                <w:bCs w:val="0"/>
                <w:sz w:val="20"/>
                <w:szCs w:val="20"/>
              </w:rPr>
            </w:pPr>
          </w:p>
        </w:tc>
        <w:tc>
          <w:tcPr>
            <w:tcW w:w="2970" w:type="dxa"/>
            <w:noWrap/>
            <w:hideMark/>
          </w:tcPr>
          <w:p w14:paraId="269CFC01"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Costa Rica</w:t>
            </w:r>
          </w:p>
        </w:tc>
        <w:tc>
          <w:tcPr>
            <w:tcW w:w="2160" w:type="dxa"/>
            <w:noWrap/>
            <w:hideMark/>
          </w:tcPr>
          <w:p w14:paraId="6F7C7040"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hideMark/>
          </w:tcPr>
          <w:p w14:paraId="13EB48CE"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4A6D2495"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01D29CDC" w14:textId="3126FB16" w:rsidR="002A566C" w:rsidRPr="00837010" w:rsidRDefault="002A566C" w:rsidP="0040052B">
            <w:pPr>
              <w:rPr>
                <w:rFonts w:eastAsia="Times New Roman" w:cs="Arial"/>
                <w:sz w:val="20"/>
                <w:szCs w:val="20"/>
                <w:lang w:val="es-ES_tradnl" w:eastAsia="es-CO"/>
              </w:rPr>
            </w:pPr>
          </w:p>
        </w:tc>
        <w:tc>
          <w:tcPr>
            <w:tcW w:w="2970" w:type="dxa"/>
            <w:noWrap/>
            <w:hideMark/>
          </w:tcPr>
          <w:p w14:paraId="07D84E69"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Ecuador</w:t>
            </w:r>
          </w:p>
        </w:tc>
        <w:tc>
          <w:tcPr>
            <w:tcW w:w="2160" w:type="dxa"/>
            <w:noWrap/>
            <w:hideMark/>
          </w:tcPr>
          <w:p w14:paraId="1044C540"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3</w:t>
            </w:r>
          </w:p>
        </w:tc>
        <w:tc>
          <w:tcPr>
            <w:tcW w:w="2070" w:type="dxa"/>
            <w:noWrap/>
            <w:hideMark/>
          </w:tcPr>
          <w:p w14:paraId="394FEE13"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3</w:t>
            </w:r>
          </w:p>
        </w:tc>
      </w:tr>
      <w:tr w:rsidR="002A566C" w:rsidRPr="00837010" w14:paraId="27FE47EA"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582149D6" w14:textId="4E1F557B" w:rsidR="002A566C" w:rsidRPr="00837010" w:rsidRDefault="002A566C" w:rsidP="0040052B">
            <w:pPr>
              <w:rPr>
                <w:rFonts w:eastAsia="Times New Roman" w:cs="Arial"/>
                <w:b w:val="0"/>
                <w:bCs w:val="0"/>
                <w:sz w:val="20"/>
                <w:szCs w:val="20"/>
              </w:rPr>
            </w:pPr>
          </w:p>
        </w:tc>
        <w:tc>
          <w:tcPr>
            <w:tcW w:w="2970" w:type="dxa"/>
            <w:noWrap/>
            <w:hideMark/>
          </w:tcPr>
          <w:p w14:paraId="101A6B31"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El Salvador</w:t>
            </w:r>
          </w:p>
        </w:tc>
        <w:tc>
          <w:tcPr>
            <w:tcW w:w="2160" w:type="dxa"/>
            <w:noWrap/>
            <w:hideMark/>
          </w:tcPr>
          <w:p w14:paraId="608EDF1C"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c>
          <w:tcPr>
            <w:tcW w:w="2070" w:type="dxa"/>
            <w:noWrap/>
            <w:hideMark/>
          </w:tcPr>
          <w:p w14:paraId="64122ABC"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r>
      <w:tr w:rsidR="002A566C" w:rsidRPr="00837010" w14:paraId="3255A8B0"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611998C6" w14:textId="60A5CBB1" w:rsidR="002A566C" w:rsidRPr="00837010" w:rsidRDefault="002A566C" w:rsidP="0040052B">
            <w:pPr>
              <w:rPr>
                <w:rFonts w:eastAsia="Times New Roman" w:cs="Arial"/>
                <w:sz w:val="20"/>
                <w:szCs w:val="20"/>
                <w:lang w:val="es-ES_tradnl" w:eastAsia="es-CO"/>
              </w:rPr>
            </w:pPr>
          </w:p>
        </w:tc>
        <w:tc>
          <w:tcPr>
            <w:tcW w:w="2970" w:type="dxa"/>
            <w:noWrap/>
            <w:hideMark/>
          </w:tcPr>
          <w:p w14:paraId="2E06C9AF"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Guatemala</w:t>
            </w:r>
          </w:p>
        </w:tc>
        <w:tc>
          <w:tcPr>
            <w:tcW w:w="2160" w:type="dxa"/>
            <w:noWrap/>
            <w:hideMark/>
          </w:tcPr>
          <w:p w14:paraId="55740BAD"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hideMark/>
          </w:tcPr>
          <w:p w14:paraId="5FF0C22A"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06960F2D"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1B354334" w14:textId="34083B9E" w:rsidR="002A566C" w:rsidRPr="00837010" w:rsidRDefault="002A566C" w:rsidP="0040052B">
            <w:pPr>
              <w:rPr>
                <w:rFonts w:eastAsia="Times New Roman" w:cs="Arial"/>
                <w:sz w:val="20"/>
                <w:szCs w:val="20"/>
                <w:lang w:val="es-ES_tradnl" w:eastAsia="es-CO"/>
              </w:rPr>
            </w:pPr>
          </w:p>
        </w:tc>
        <w:tc>
          <w:tcPr>
            <w:tcW w:w="2970" w:type="dxa"/>
            <w:noWrap/>
          </w:tcPr>
          <w:p w14:paraId="655FDE81"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Honduras</w:t>
            </w:r>
          </w:p>
        </w:tc>
        <w:tc>
          <w:tcPr>
            <w:tcW w:w="2160" w:type="dxa"/>
            <w:noWrap/>
          </w:tcPr>
          <w:p w14:paraId="29E7F90B"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tcPr>
          <w:p w14:paraId="4349F057"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374DA7C0"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45D0F575" w14:textId="6934195E" w:rsidR="002A566C" w:rsidRPr="00837010" w:rsidRDefault="002A566C" w:rsidP="0040052B">
            <w:pPr>
              <w:rPr>
                <w:rFonts w:eastAsia="Times New Roman" w:cs="Arial"/>
                <w:b w:val="0"/>
                <w:bCs w:val="0"/>
                <w:sz w:val="20"/>
                <w:szCs w:val="20"/>
              </w:rPr>
            </w:pPr>
          </w:p>
        </w:tc>
        <w:tc>
          <w:tcPr>
            <w:tcW w:w="2970" w:type="dxa"/>
            <w:noWrap/>
          </w:tcPr>
          <w:p w14:paraId="7C65679C"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Mexico</w:t>
            </w:r>
          </w:p>
        </w:tc>
        <w:tc>
          <w:tcPr>
            <w:tcW w:w="2160" w:type="dxa"/>
            <w:noWrap/>
          </w:tcPr>
          <w:p w14:paraId="5944D145"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7</w:t>
            </w:r>
          </w:p>
        </w:tc>
        <w:tc>
          <w:tcPr>
            <w:tcW w:w="2070" w:type="dxa"/>
            <w:noWrap/>
          </w:tcPr>
          <w:p w14:paraId="401D18D0"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7</w:t>
            </w:r>
          </w:p>
        </w:tc>
      </w:tr>
      <w:tr w:rsidR="002A566C" w:rsidRPr="00837010" w14:paraId="4EFF4945"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9292F77" w14:textId="5C57514C" w:rsidR="002A566C" w:rsidRPr="00837010" w:rsidRDefault="002A566C" w:rsidP="0040052B">
            <w:pPr>
              <w:rPr>
                <w:rFonts w:eastAsia="Times New Roman" w:cs="Arial"/>
                <w:sz w:val="20"/>
                <w:szCs w:val="20"/>
                <w:lang w:val="es-ES_tradnl" w:eastAsia="es-CO"/>
              </w:rPr>
            </w:pPr>
          </w:p>
        </w:tc>
        <w:tc>
          <w:tcPr>
            <w:tcW w:w="2970" w:type="dxa"/>
            <w:noWrap/>
          </w:tcPr>
          <w:p w14:paraId="7C0EC357"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Panama</w:t>
            </w:r>
          </w:p>
        </w:tc>
        <w:tc>
          <w:tcPr>
            <w:tcW w:w="2160" w:type="dxa"/>
            <w:noWrap/>
          </w:tcPr>
          <w:p w14:paraId="5D68DC03"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2</w:t>
            </w:r>
          </w:p>
        </w:tc>
        <w:tc>
          <w:tcPr>
            <w:tcW w:w="2070" w:type="dxa"/>
            <w:noWrap/>
          </w:tcPr>
          <w:p w14:paraId="1ACD3F3A"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2</w:t>
            </w:r>
          </w:p>
        </w:tc>
      </w:tr>
      <w:tr w:rsidR="002A566C" w:rsidRPr="00837010" w14:paraId="26940477"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2AAB48F" w14:textId="4539BCD7" w:rsidR="002A566C" w:rsidRPr="00837010" w:rsidRDefault="002A566C" w:rsidP="0040052B">
            <w:pPr>
              <w:rPr>
                <w:rFonts w:eastAsia="Times New Roman" w:cs="Arial"/>
                <w:b w:val="0"/>
                <w:bCs w:val="0"/>
                <w:sz w:val="20"/>
                <w:szCs w:val="20"/>
              </w:rPr>
            </w:pPr>
          </w:p>
        </w:tc>
        <w:tc>
          <w:tcPr>
            <w:tcW w:w="2970" w:type="dxa"/>
            <w:noWrap/>
          </w:tcPr>
          <w:p w14:paraId="59DD9948"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Peru</w:t>
            </w:r>
          </w:p>
        </w:tc>
        <w:tc>
          <w:tcPr>
            <w:tcW w:w="2160" w:type="dxa"/>
            <w:noWrap/>
          </w:tcPr>
          <w:p w14:paraId="254E3600"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3</w:t>
            </w:r>
          </w:p>
        </w:tc>
        <w:tc>
          <w:tcPr>
            <w:tcW w:w="2070" w:type="dxa"/>
            <w:noWrap/>
          </w:tcPr>
          <w:p w14:paraId="447A657B"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3</w:t>
            </w:r>
          </w:p>
        </w:tc>
      </w:tr>
      <w:tr w:rsidR="002A566C" w:rsidRPr="00837010" w14:paraId="28FE8667"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177C0879" w14:textId="78E7CE59" w:rsidR="002A566C" w:rsidRPr="00837010" w:rsidRDefault="002A566C" w:rsidP="0040052B">
            <w:pPr>
              <w:rPr>
                <w:rFonts w:eastAsia="Times New Roman" w:cs="Arial"/>
                <w:sz w:val="20"/>
                <w:szCs w:val="20"/>
                <w:lang w:val="es-ES_tradnl" w:eastAsia="es-CO"/>
              </w:rPr>
            </w:pPr>
          </w:p>
        </w:tc>
        <w:tc>
          <w:tcPr>
            <w:tcW w:w="2970" w:type="dxa"/>
            <w:noWrap/>
          </w:tcPr>
          <w:p w14:paraId="0C5DC920"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Spain</w:t>
            </w:r>
          </w:p>
        </w:tc>
        <w:tc>
          <w:tcPr>
            <w:tcW w:w="2160" w:type="dxa"/>
            <w:noWrap/>
          </w:tcPr>
          <w:p w14:paraId="04F988D3"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c>
          <w:tcPr>
            <w:tcW w:w="2070" w:type="dxa"/>
            <w:noWrap/>
          </w:tcPr>
          <w:p w14:paraId="7402C2F7"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2</w:t>
            </w:r>
          </w:p>
        </w:tc>
      </w:tr>
      <w:tr w:rsidR="002A566C" w:rsidRPr="00837010" w14:paraId="720797B1" w14:textId="77777777" w:rsidTr="000D4531">
        <w:trPr>
          <w:trHeight w:val="278"/>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4776DCE2" w14:textId="26127838" w:rsidR="002A566C" w:rsidRPr="00837010" w:rsidRDefault="002A566C" w:rsidP="0040052B">
            <w:pPr>
              <w:rPr>
                <w:rFonts w:eastAsia="Times New Roman" w:cs="Arial"/>
                <w:b w:val="0"/>
                <w:bCs w:val="0"/>
                <w:sz w:val="20"/>
                <w:szCs w:val="20"/>
              </w:rPr>
            </w:pPr>
          </w:p>
        </w:tc>
        <w:tc>
          <w:tcPr>
            <w:tcW w:w="2970" w:type="dxa"/>
          </w:tcPr>
          <w:p w14:paraId="36049E2C"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Trinidad and Tobago</w:t>
            </w:r>
          </w:p>
        </w:tc>
        <w:tc>
          <w:tcPr>
            <w:tcW w:w="2160" w:type="dxa"/>
            <w:noWrap/>
          </w:tcPr>
          <w:p w14:paraId="6A34D02E"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w:t>
            </w:r>
          </w:p>
        </w:tc>
        <w:tc>
          <w:tcPr>
            <w:tcW w:w="2070" w:type="dxa"/>
            <w:noWrap/>
          </w:tcPr>
          <w:p w14:paraId="07235885"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1</w:t>
            </w:r>
          </w:p>
        </w:tc>
      </w:tr>
      <w:tr w:rsidR="002A566C" w:rsidRPr="00837010" w14:paraId="31B9B8F7"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2853560A" w14:textId="7D6B4A2A" w:rsidR="002A566C" w:rsidRPr="00837010" w:rsidRDefault="002A566C" w:rsidP="0040052B">
            <w:pPr>
              <w:rPr>
                <w:rFonts w:eastAsia="Times New Roman" w:cs="Arial"/>
                <w:sz w:val="20"/>
                <w:szCs w:val="20"/>
                <w:lang w:val="es-ES_tradnl" w:eastAsia="es-CO"/>
              </w:rPr>
            </w:pPr>
          </w:p>
        </w:tc>
        <w:tc>
          <w:tcPr>
            <w:tcW w:w="2970" w:type="dxa"/>
            <w:noWrap/>
          </w:tcPr>
          <w:p w14:paraId="20189779"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Uruguay</w:t>
            </w:r>
          </w:p>
        </w:tc>
        <w:tc>
          <w:tcPr>
            <w:tcW w:w="2160" w:type="dxa"/>
            <w:noWrap/>
          </w:tcPr>
          <w:p w14:paraId="6A77CEA0"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4</w:t>
            </w:r>
          </w:p>
        </w:tc>
        <w:tc>
          <w:tcPr>
            <w:tcW w:w="2070" w:type="dxa"/>
            <w:noWrap/>
          </w:tcPr>
          <w:p w14:paraId="113ECFE2"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4</w:t>
            </w:r>
          </w:p>
        </w:tc>
      </w:tr>
      <w:tr w:rsidR="002A566C" w:rsidRPr="00837010" w14:paraId="2D611F86"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3CF9A77C" w14:textId="5263987D" w:rsidR="002A566C" w:rsidRPr="00837010" w:rsidRDefault="002A566C" w:rsidP="0040052B">
            <w:pPr>
              <w:rPr>
                <w:rFonts w:eastAsia="Times New Roman" w:cs="Arial"/>
                <w:b w:val="0"/>
                <w:bCs w:val="0"/>
                <w:sz w:val="20"/>
                <w:szCs w:val="20"/>
              </w:rPr>
            </w:pPr>
          </w:p>
        </w:tc>
        <w:tc>
          <w:tcPr>
            <w:tcW w:w="2970" w:type="dxa"/>
          </w:tcPr>
          <w:p w14:paraId="509B0C06" w14:textId="77777777" w:rsidR="002A566C" w:rsidRPr="00837010" w:rsidRDefault="002A566C"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37010">
              <w:rPr>
                <w:sz w:val="20"/>
                <w:szCs w:val="20"/>
              </w:rPr>
              <w:t>United States</w:t>
            </w:r>
          </w:p>
        </w:tc>
        <w:tc>
          <w:tcPr>
            <w:tcW w:w="2160" w:type="dxa"/>
            <w:noWrap/>
          </w:tcPr>
          <w:p w14:paraId="6729230F"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2</w:t>
            </w:r>
          </w:p>
        </w:tc>
        <w:tc>
          <w:tcPr>
            <w:tcW w:w="2070" w:type="dxa"/>
            <w:noWrap/>
          </w:tcPr>
          <w:p w14:paraId="3032F155" w14:textId="77777777" w:rsidR="002A566C" w:rsidRPr="00837010" w:rsidRDefault="002A566C"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sz w:val="20"/>
                <w:szCs w:val="20"/>
              </w:rPr>
              <w:t>2</w:t>
            </w:r>
          </w:p>
        </w:tc>
      </w:tr>
      <w:tr w:rsidR="002A566C" w:rsidRPr="00837010" w14:paraId="62A8FC08"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vMerge/>
            <w:noWrap/>
            <w:hideMark/>
          </w:tcPr>
          <w:p w14:paraId="020322C3" w14:textId="77777777" w:rsidR="002A566C" w:rsidRPr="00837010" w:rsidRDefault="002A566C" w:rsidP="0040052B">
            <w:pPr>
              <w:jc w:val="right"/>
              <w:rPr>
                <w:rFonts w:eastAsia="Times New Roman" w:cs="Arial"/>
                <w:sz w:val="20"/>
                <w:szCs w:val="20"/>
                <w:lang w:val="es-ES_tradnl" w:eastAsia="es-CO"/>
              </w:rPr>
            </w:pPr>
          </w:p>
        </w:tc>
        <w:tc>
          <w:tcPr>
            <w:tcW w:w="2970" w:type="dxa"/>
            <w:noWrap/>
          </w:tcPr>
          <w:p w14:paraId="4D594677" w14:textId="77777777" w:rsidR="002A566C" w:rsidRPr="00837010" w:rsidRDefault="002A566C"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Venezuela</w:t>
            </w:r>
          </w:p>
        </w:tc>
        <w:tc>
          <w:tcPr>
            <w:tcW w:w="2160" w:type="dxa"/>
            <w:noWrap/>
          </w:tcPr>
          <w:p w14:paraId="74F122D7"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5</w:t>
            </w:r>
          </w:p>
        </w:tc>
        <w:tc>
          <w:tcPr>
            <w:tcW w:w="2070" w:type="dxa"/>
            <w:noWrap/>
          </w:tcPr>
          <w:p w14:paraId="61D27A41" w14:textId="77777777" w:rsidR="002A566C" w:rsidRPr="00837010" w:rsidRDefault="002A566C"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5</w:t>
            </w:r>
          </w:p>
        </w:tc>
      </w:tr>
      <w:tr w:rsidR="00B246B9" w:rsidRPr="00837010" w14:paraId="03161632"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noWrap/>
            <w:hideMark/>
          </w:tcPr>
          <w:p w14:paraId="07D9B8BE" w14:textId="77777777" w:rsidR="00B246B9" w:rsidRPr="00837010" w:rsidRDefault="00B246B9" w:rsidP="0040052B">
            <w:pPr>
              <w:rPr>
                <w:rFonts w:eastAsia="Times New Roman" w:cs="Arial"/>
                <w:b w:val="0"/>
                <w:bCs w:val="0"/>
                <w:sz w:val="20"/>
                <w:szCs w:val="20"/>
              </w:rPr>
            </w:pPr>
            <w:r w:rsidRPr="00837010">
              <w:rPr>
                <w:sz w:val="20"/>
                <w:szCs w:val="20"/>
              </w:rPr>
              <w:t>CPR Total</w:t>
            </w:r>
          </w:p>
        </w:tc>
        <w:tc>
          <w:tcPr>
            <w:tcW w:w="2970" w:type="dxa"/>
            <w:noWrap/>
            <w:hideMark/>
          </w:tcPr>
          <w:p w14:paraId="469111D6" w14:textId="77777777" w:rsidR="00B246B9" w:rsidRPr="00837010" w:rsidRDefault="00B246B9"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837010">
              <w:rPr>
                <w:b/>
                <w:sz w:val="20"/>
                <w:szCs w:val="20"/>
              </w:rPr>
              <w:t> </w:t>
            </w:r>
          </w:p>
        </w:tc>
        <w:tc>
          <w:tcPr>
            <w:tcW w:w="2160" w:type="dxa"/>
            <w:noWrap/>
            <w:hideMark/>
          </w:tcPr>
          <w:p w14:paraId="46661D27"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7010">
              <w:rPr>
                <w:b/>
                <w:bCs/>
                <w:sz w:val="20"/>
                <w:szCs w:val="20"/>
              </w:rPr>
              <w:t>59</w:t>
            </w:r>
          </w:p>
        </w:tc>
        <w:tc>
          <w:tcPr>
            <w:tcW w:w="2070" w:type="dxa"/>
            <w:noWrap/>
            <w:hideMark/>
          </w:tcPr>
          <w:p w14:paraId="567935E9"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7010">
              <w:rPr>
                <w:b/>
                <w:bCs/>
                <w:sz w:val="20"/>
                <w:szCs w:val="20"/>
              </w:rPr>
              <w:t>59</w:t>
            </w:r>
          </w:p>
        </w:tc>
      </w:tr>
      <w:tr w:rsidR="00B246B9" w:rsidRPr="00837010" w14:paraId="61F5E89D" w14:textId="77777777" w:rsidTr="000D453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noWrap/>
          </w:tcPr>
          <w:p w14:paraId="015E3AE2" w14:textId="77777777" w:rsidR="00B246B9" w:rsidRPr="00837010" w:rsidRDefault="00B246B9" w:rsidP="0040052B">
            <w:pPr>
              <w:rPr>
                <w:rFonts w:eastAsia="Times New Roman" w:cs="Arial"/>
                <w:b w:val="0"/>
                <w:bCs w:val="0"/>
                <w:sz w:val="20"/>
                <w:szCs w:val="20"/>
              </w:rPr>
            </w:pPr>
            <w:r w:rsidRPr="00837010">
              <w:rPr>
                <w:sz w:val="20"/>
                <w:szCs w:val="20"/>
              </w:rPr>
              <w:t>Associate Staff</w:t>
            </w:r>
          </w:p>
        </w:tc>
        <w:tc>
          <w:tcPr>
            <w:tcW w:w="2970" w:type="dxa"/>
            <w:noWrap/>
          </w:tcPr>
          <w:p w14:paraId="1705A4DB" w14:textId="77777777" w:rsidR="00B246B9" w:rsidRPr="00837010" w:rsidRDefault="00B246B9"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Brazil</w:t>
            </w:r>
          </w:p>
        </w:tc>
        <w:tc>
          <w:tcPr>
            <w:tcW w:w="2160" w:type="dxa"/>
            <w:noWrap/>
          </w:tcPr>
          <w:p w14:paraId="4E922B3C" w14:textId="77777777" w:rsidR="00B246B9" w:rsidRPr="00837010" w:rsidRDefault="00B246B9"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6</w:t>
            </w:r>
          </w:p>
        </w:tc>
        <w:tc>
          <w:tcPr>
            <w:tcW w:w="2070" w:type="dxa"/>
            <w:noWrap/>
          </w:tcPr>
          <w:p w14:paraId="58918706" w14:textId="77777777" w:rsidR="00B246B9" w:rsidRPr="00837010" w:rsidRDefault="00B246B9" w:rsidP="0040052B">
            <w:pPr>
              <w:ind w:firstLine="42"/>
              <w:jc w:val="center"/>
              <w:cnfStyle w:val="000000100000" w:firstRow="0" w:lastRow="0" w:firstColumn="0" w:lastColumn="0" w:oddVBand="0" w:evenVBand="0" w:oddHBand="1" w:evenHBand="0" w:firstRowFirstColumn="0" w:firstRowLastColumn="0" w:lastRowFirstColumn="0" w:lastRowLastColumn="0"/>
              <w:rPr>
                <w:sz w:val="20"/>
                <w:szCs w:val="20"/>
              </w:rPr>
            </w:pPr>
            <w:r w:rsidRPr="00837010">
              <w:rPr>
                <w:sz w:val="20"/>
                <w:szCs w:val="20"/>
              </w:rPr>
              <w:t>6</w:t>
            </w:r>
          </w:p>
        </w:tc>
      </w:tr>
      <w:tr w:rsidR="00B246B9" w:rsidRPr="00837010" w14:paraId="37D6A760" w14:textId="77777777" w:rsidTr="000D4531">
        <w:trPr>
          <w:trHeight w:val="255"/>
        </w:trPr>
        <w:tc>
          <w:tcPr>
            <w:cnfStyle w:val="001000000000" w:firstRow="0" w:lastRow="0" w:firstColumn="1" w:lastColumn="0" w:oddVBand="0" w:evenVBand="0" w:oddHBand="0" w:evenHBand="0" w:firstRowFirstColumn="0" w:firstRowLastColumn="0" w:lastRowFirstColumn="0" w:lastRowLastColumn="0"/>
            <w:tcW w:w="2155" w:type="dxa"/>
            <w:noWrap/>
            <w:hideMark/>
          </w:tcPr>
          <w:p w14:paraId="3EAEB282" w14:textId="77777777" w:rsidR="00B246B9" w:rsidRPr="00837010" w:rsidRDefault="00B246B9" w:rsidP="0040052B">
            <w:pPr>
              <w:rPr>
                <w:rFonts w:eastAsia="Times New Roman" w:cs="Arial"/>
                <w:b w:val="0"/>
                <w:bCs w:val="0"/>
                <w:sz w:val="20"/>
                <w:szCs w:val="20"/>
              </w:rPr>
            </w:pPr>
            <w:r w:rsidRPr="00837010">
              <w:rPr>
                <w:sz w:val="20"/>
                <w:szCs w:val="20"/>
              </w:rPr>
              <w:t>Associate Staff Total</w:t>
            </w:r>
          </w:p>
        </w:tc>
        <w:tc>
          <w:tcPr>
            <w:tcW w:w="2970" w:type="dxa"/>
            <w:noWrap/>
            <w:hideMark/>
          </w:tcPr>
          <w:p w14:paraId="4F02EA89" w14:textId="77777777" w:rsidR="00B246B9" w:rsidRPr="00837010" w:rsidRDefault="00B246B9" w:rsidP="0040052B">
            <w:pPr>
              <w:ind w:left="92" w:hanging="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rPr>
            </w:pPr>
            <w:r w:rsidRPr="00837010">
              <w:rPr>
                <w:b/>
                <w:sz w:val="20"/>
                <w:szCs w:val="20"/>
              </w:rPr>
              <w:t> </w:t>
            </w:r>
          </w:p>
        </w:tc>
        <w:tc>
          <w:tcPr>
            <w:tcW w:w="2160" w:type="dxa"/>
            <w:noWrap/>
            <w:hideMark/>
          </w:tcPr>
          <w:p w14:paraId="3DEC6449"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b/>
                <w:bCs/>
                <w:sz w:val="20"/>
                <w:szCs w:val="20"/>
              </w:rPr>
              <w:t>6</w:t>
            </w:r>
          </w:p>
        </w:tc>
        <w:tc>
          <w:tcPr>
            <w:tcW w:w="2070" w:type="dxa"/>
            <w:noWrap/>
            <w:hideMark/>
          </w:tcPr>
          <w:p w14:paraId="30D0082E" w14:textId="77777777" w:rsidR="00B246B9" w:rsidRPr="00837010" w:rsidRDefault="00B246B9" w:rsidP="0040052B">
            <w:pPr>
              <w:ind w:firstLine="42"/>
              <w:jc w:val="center"/>
              <w:cnfStyle w:val="000000000000" w:firstRow="0" w:lastRow="0" w:firstColumn="0" w:lastColumn="0" w:oddVBand="0" w:evenVBand="0" w:oddHBand="0" w:evenHBand="0" w:firstRowFirstColumn="0" w:firstRowLastColumn="0" w:lastRowFirstColumn="0" w:lastRowLastColumn="0"/>
              <w:rPr>
                <w:sz w:val="20"/>
                <w:szCs w:val="20"/>
              </w:rPr>
            </w:pPr>
            <w:r w:rsidRPr="00837010">
              <w:rPr>
                <w:b/>
                <w:bCs/>
                <w:sz w:val="20"/>
                <w:szCs w:val="20"/>
              </w:rPr>
              <w:t>6</w:t>
            </w:r>
          </w:p>
        </w:tc>
      </w:tr>
      <w:tr w:rsidR="00B246B9" w:rsidRPr="00837010" w14:paraId="4E9E9183" w14:textId="77777777" w:rsidTr="000D453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55" w:type="dxa"/>
            <w:noWrap/>
            <w:hideMark/>
          </w:tcPr>
          <w:p w14:paraId="40DFDF79" w14:textId="77777777" w:rsidR="00B246B9" w:rsidRPr="00837010" w:rsidRDefault="00B246B9" w:rsidP="0040052B">
            <w:pPr>
              <w:rPr>
                <w:rFonts w:eastAsia="Times New Roman" w:cs="Arial"/>
                <w:b w:val="0"/>
                <w:bCs w:val="0"/>
                <w:sz w:val="20"/>
                <w:szCs w:val="20"/>
              </w:rPr>
            </w:pPr>
            <w:r w:rsidRPr="00837010">
              <w:rPr>
                <w:sz w:val="20"/>
                <w:szCs w:val="20"/>
              </w:rPr>
              <w:t>Grand Total</w:t>
            </w:r>
          </w:p>
        </w:tc>
        <w:tc>
          <w:tcPr>
            <w:tcW w:w="2970" w:type="dxa"/>
            <w:noWrap/>
            <w:hideMark/>
          </w:tcPr>
          <w:p w14:paraId="678CF760" w14:textId="77777777" w:rsidR="00B246B9" w:rsidRPr="00837010" w:rsidRDefault="00B246B9" w:rsidP="0040052B">
            <w:pPr>
              <w:ind w:left="92" w:hanging="2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37010">
              <w:rPr>
                <w:sz w:val="20"/>
                <w:szCs w:val="20"/>
              </w:rPr>
              <w:t> </w:t>
            </w:r>
          </w:p>
        </w:tc>
        <w:tc>
          <w:tcPr>
            <w:tcW w:w="2160" w:type="dxa"/>
            <w:noWrap/>
            <w:hideMark/>
          </w:tcPr>
          <w:p w14:paraId="25FB1696" w14:textId="77777777" w:rsidR="00B246B9" w:rsidRPr="00837010" w:rsidRDefault="00B246B9" w:rsidP="0040052B">
            <w:pPr>
              <w:ind w:firstLine="42"/>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37010">
              <w:rPr>
                <w:b/>
                <w:bCs/>
                <w:sz w:val="20"/>
                <w:szCs w:val="20"/>
              </w:rPr>
              <w:t>139</w:t>
            </w:r>
          </w:p>
        </w:tc>
        <w:tc>
          <w:tcPr>
            <w:tcW w:w="2070" w:type="dxa"/>
            <w:noWrap/>
            <w:hideMark/>
          </w:tcPr>
          <w:p w14:paraId="2C9E43DF" w14:textId="77777777" w:rsidR="00B246B9" w:rsidRPr="00837010" w:rsidRDefault="00B246B9" w:rsidP="0040052B">
            <w:pPr>
              <w:ind w:firstLine="42"/>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37010">
              <w:rPr>
                <w:b/>
                <w:bCs/>
                <w:sz w:val="20"/>
                <w:szCs w:val="20"/>
              </w:rPr>
              <w:t>139</w:t>
            </w:r>
          </w:p>
        </w:tc>
      </w:tr>
    </w:tbl>
    <w:p w14:paraId="34411DB7" w14:textId="77777777" w:rsidR="00B246B9" w:rsidRDefault="00B246B9" w:rsidP="00B246B9">
      <w:pPr>
        <w:pStyle w:val="paragraphs"/>
        <w:numPr>
          <w:ilvl w:val="0"/>
          <w:numId w:val="0"/>
        </w:numPr>
        <w:ind w:left="720"/>
      </w:pPr>
    </w:p>
    <w:p w14:paraId="411DC820" w14:textId="77777777" w:rsidR="00B246B9" w:rsidRPr="000D4531" w:rsidRDefault="00B246B9" w:rsidP="000D4531">
      <w:pPr>
        <w:pStyle w:val="IAPrrafo"/>
      </w:pPr>
      <w:r w:rsidRPr="000D4531">
        <w:lastRenderedPageBreak/>
        <w:t>During 2023, we continued to hold public competitions to fill 26 vacant positions: 9 financed by regular funds and 17 by specific funds.</w:t>
      </w:r>
    </w:p>
    <w:p w14:paraId="2E935AE1" w14:textId="77777777" w:rsidR="00B246B9" w:rsidRPr="000D4531" w:rsidRDefault="00B246B9" w:rsidP="000D4531">
      <w:pPr>
        <w:pStyle w:val="IAPrrafo"/>
      </w:pPr>
      <w:r w:rsidRPr="000D4531">
        <w:t xml:space="preserve">On February 17, 2023, the advertisement for the P05 position financed by specific funds for the Office of the Special Rapporteur on Economic, Social, Cultural and Environmental Rights (REDESCA) was published. The competition closed on April 17, 2023. The process of the competition to elect the head of REDESCA was governed by the OAS regulations, the IACHR rules of procedure, and takes into account gender parity and representation from the different regions of the Americas. A total of 114 applications were received. </w:t>
      </w:r>
    </w:p>
    <w:p w14:paraId="661228C0" w14:textId="77777777" w:rsidR="00B246B9" w:rsidRPr="000D4531" w:rsidRDefault="00B246B9" w:rsidP="000D4531">
      <w:pPr>
        <w:pStyle w:val="IAPrrafo"/>
      </w:pPr>
      <w:r w:rsidRPr="000D4531">
        <w:t>In an internal session on June 6, 2023, the IACHR selected 10 finalists. In compliance with the provisions of Article 15.4 of its Rules of Procedure, the consultation was opened for one month to receive comments from OAS Member States and civil society. A total of 739 letters were received. On July 11, the IACHR selected the five finalists to participate in the round of interviews held within the framework of the 187th Period of Sessions.</w:t>
      </w:r>
    </w:p>
    <w:p w14:paraId="61B244BC" w14:textId="77777777" w:rsidR="00B246B9" w:rsidRPr="000D4531" w:rsidRDefault="00B246B9" w:rsidP="000D4531">
      <w:pPr>
        <w:pStyle w:val="IAPrrafo"/>
      </w:pPr>
      <w:r w:rsidRPr="000D4531">
        <w:t>On July 21, the IACHR selected Javier Palummo for the position of Special Rapporteur on Economic, Social, Cultural and Environmental Rights and forwarded the decision to the Secretary General of the Organization of American States (OAS). Mr. Palummo took office on September 1, 2023.</w:t>
      </w:r>
    </w:p>
    <w:p w14:paraId="0F03CB39" w14:textId="66DEEC3F" w:rsidR="00B246B9" w:rsidRPr="000D4531" w:rsidRDefault="00B246B9" w:rsidP="000D4531">
      <w:pPr>
        <w:pStyle w:val="IAPrrafo"/>
      </w:pPr>
      <w:r w:rsidRPr="000D4531">
        <w:t xml:space="preserve">The </w:t>
      </w:r>
      <w:r w:rsidR="000D4531" w:rsidRPr="000D4531">
        <w:t>competition</w:t>
      </w:r>
      <w:r w:rsidRPr="000D4531">
        <w:t xml:space="preserve"> for 3 positions financed by regular funds </w:t>
      </w:r>
      <w:r w:rsidR="000D4531" w:rsidRPr="000D4531">
        <w:t>has</w:t>
      </w:r>
      <w:r w:rsidRPr="000D4531">
        <w:t xml:space="preserve"> ended. Two of them </w:t>
      </w:r>
      <w:r w:rsidR="000D4531" w:rsidRPr="000D4531">
        <w:t>are for</w:t>
      </w:r>
      <w:r w:rsidRPr="000D4531">
        <w:t xml:space="preserve"> Human Rights Specialists, one assigned to the Office of the Executive Secretary and the second to the Coordination of the Monitoring Section III. Position G06 Assistant to the Executive Secretary of the IACHR. </w:t>
      </w:r>
    </w:p>
    <w:p w14:paraId="1F9804E7" w14:textId="77777777" w:rsidR="00B246B9" w:rsidRPr="000D4531" w:rsidRDefault="00B246B9" w:rsidP="000D4531">
      <w:pPr>
        <w:pStyle w:val="IAPrrafo"/>
      </w:pPr>
      <w:r w:rsidRPr="000D4531">
        <w:t xml:space="preserve">As for the competitions financed by specific funds, 8 competitions were completed for 12 positions to strengthen the planning and projects team, precautionary measures, monitoring, follow-up of recommendations, administrative management, and institutional affairs. </w:t>
      </w:r>
    </w:p>
    <w:p w14:paraId="2600D86D" w14:textId="77777777" w:rsidR="00B246B9" w:rsidRPr="000D4531" w:rsidRDefault="00B246B9" w:rsidP="000D4531">
      <w:pPr>
        <w:pStyle w:val="IAPrrafo"/>
      </w:pPr>
      <w:r w:rsidRPr="000D4531">
        <w:t xml:space="preserve">By the beginning of the year 2024, the IACHR expects to finalize the competitions that are currently underway and financed by regular funds: 3 positions at the P03 level to Coordinate Case Sections, one P02 position in the Information Systems and Technology Section, and one G06 position for the Customer Service and Information Management Section. </w:t>
      </w:r>
    </w:p>
    <w:p w14:paraId="097BA485" w14:textId="77777777" w:rsidR="00B246B9" w:rsidRPr="000D4531" w:rsidRDefault="00B246B9" w:rsidP="000D4531">
      <w:pPr>
        <w:pStyle w:val="IAPrrafo"/>
      </w:pPr>
      <w:r w:rsidRPr="000D4531">
        <w:t>As for the competitions underway financed by specific funds, they are expected to be finalized in the coming months: four P02 positions for Human Rights Specialists, one assigned to the Office of the Executive Secretary, two in the Case Sections and one in the Monitoring Section III.</w:t>
      </w:r>
    </w:p>
    <w:p w14:paraId="67632A67" w14:textId="77777777" w:rsidR="00B246B9" w:rsidRPr="000D4531" w:rsidRDefault="00B246B9" w:rsidP="000D4531">
      <w:pPr>
        <w:pStyle w:val="IAPrrafo"/>
      </w:pPr>
      <w:r w:rsidRPr="000D4531">
        <w:t>During 2023, the ES/IACHR took the necessary steps to reclassify two positions to the Coordination level: Initial Study and Admissibility and Precautionary Measures. Notification of the results of the audits recently conducted by a United Nations expert classifier is expected in early 2023.</w:t>
      </w:r>
    </w:p>
    <w:p w14:paraId="625E9213" w14:textId="77777777" w:rsidR="00B246B9" w:rsidRPr="000D4531" w:rsidRDefault="00B246B9" w:rsidP="000D4531">
      <w:pPr>
        <w:pStyle w:val="IAPrrafo"/>
      </w:pPr>
      <w:r w:rsidRPr="000D4531">
        <w:t xml:space="preserve">In July, the first local staff was hired from the GS/OAS </w:t>
      </w:r>
      <w:r w:rsidRPr="000D4531">
        <w:rPr>
          <w:i/>
          <w:iCs/>
        </w:rPr>
        <w:t xml:space="preserve">Service Hub </w:t>
      </w:r>
      <w:r w:rsidRPr="000D4531">
        <w:t xml:space="preserve">in Costa Rica to fill a P02 position assigned to the Administrative Management Section. </w:t>
      </w:r>
    </w:p>
    <w:p w14:paraId="6116C8E1" w14:textId="77777777" w:rsidR="00B246B9" w:rsidRPr="000D4531" w:rsidRDefault="00B246B9" w:rsidP="000D4531">
      <w:pPr>
        <w:pStyle w:val="IAPrrafo"/>
      </w:pPr>
      <w:r w:rsidRPr="000D4531">
        <w:t>During 2023, the ES/IACHR staff continued to work in person on Tuesdays at the Washington, DC offices in accordance with the GS/OAS Policy on Telework and Other Alternative Work Arrangements.</w:t>
      </w:r>
    </w:p>
    <w:p w14:paraId="422541BF" w14:textId="77777777" w:rsidR="00B246B9" w:rsidRPr="000D4531" w:rsidRDefault="00B246B9" w:rsidP="000D4531">
      <w:pPr>
        <w:pStyle w:val="IASubttulo3"/>
      </w:pPr>
      <w:bookmarkStart w:id="3" w:name="_Toc162359429"/>
      <w:r w:rsidRPr="000D4531">
        <w:t>Consultants, Interns, Fellows, and Associate Staff</w:t>
      </w:r>
      <w:bookmarkEnd w:id="3"/>
    </w:p>
    <w:p w14:paraId="2A580658" w14:textId="74465BDB" w:rsidR="00B246B9" w:rsidRPr="000D4531" w:rsidRDefault="00B246B9" w:rsidP="000D4531">
      <w:pPr>
        <w:pStyle w:val="IAPrrafo"/>
      </w:pPr>
      <w:r w:rsidRPr="000D4531">
        <w:t xml:space="preserve">During 2023, four </w:t>
      </w:r>
      <w:r w:rsidR="0046578D">
        <w:t>c</w:t>
      </w:r>
      <w:r w:rsidRPr="000D4531">
        <w:t xml:space="preserve">alls for </w:t>
      </w:r>
      <w:r w:rsidR="0046578D">
        <w:t>r</w:t>
      </w:r>
      <w:r w:rsidRPr="000D4531">
        <w:t>esumes processes were managed to select consultants in the Technology and Systems Section for the programming services of the GAIA system of the ES/IACHR, two consultancies for advisory services in the Office of the Executive Secretary and for the selection of a company that provides services on methodologies for risk analysis and early warnings.</w:t>
      </w:r>
    </w:p>
    <w:p w14:paraId="0DF81C2A" w14:textId="77777777" w:rsidR="00B246B9" w:rsidRPr="000D4531" w:rsidRDefault="00B246B9" w:rsidP="000D4531">
      <w:pPr>
        <w:pStyle w:val="IAPrrafo"/>
      </w:pPr>
      <w:r w:rsidRPr="000D4531">
        <w:lastRenderedPageBreak/>
        <w:t>During the period, consultants were hired to provide services to the different sections of the ES/IACHR. As of December 31, 2023, the ES/IACHR has 59 consultants.</w:t>
      </w:r>
    </w:p>
    <w:p w14:paraId="6A357710" w14:textId="77777777" w:rsidR="000D4531" w:rsidRDefault="00B246B9" w:rsidP="000D4531">
      <w:pPr>
        <w:pStyle w:val="IAPrrafo"/>
      </w:pPr>
      <w:r w:rsidRPr="000D4531">
        <w:t xml:space="preserve">In addition, three distance internship sessions were held, coordinated by the GS/OAS Department of Human Resources, in which a total of 79 interns joined the IACHR Executive Secretariat. </w:t>
      </w:r>
    </w:p>
    <w:p w14:paraId="49DE8FBF" w14:textId="55459A18" w:rsidR="00B246B9" w:rsidRPr="000D4531" w:rsidRDefault="00B246B9" w:rsidP="000D4531">
      <w:pPr>
        <w:pStyle w:val="IAPrrafo"/>
      </w:pPr>
      <w:r w:rsidRPr="000D4531">
        <w:t>Through the support of different institutions, the ES/IACHR received 7 new fellowship recipients during the year:</w:t>
      </w:r>
      <w:r>
        <w:t xml:space="preserve"> </w:t>
      </w:r>
    </w:p>
    <w:tbl>
      <w:tblPr>
        <w:tblW w:w="0" w:type="auto"/>
        <w:jc w:val="center"/>
        <w:tblLayout w:type="fixed"/>
        <w:tblLook w:val="06A0" w:firstRow="1" w:lastRow="0" w:firstColumn="1" w:lastColumn="0" w:noHBand="1" w:noVBand="1"/>
      </w:tblPr>
      <w:tblGrid>
        <w:gridCol w:w="440"/>
        <w:gridCol w:w="2690"/>
        <w:gridCol w:w="2550"/>
        <w:gridCol w:w="2680"/>
      </w:tblGrid>
      <w:tr w:rsidR="00B246B9" w:rsidRPr="00837010" w14:paraId="5837F9E6" w14:textId="77777777" w:rsidTr="00837010">
        <w:trPr>
          <w:trHeight w:val="405"/>
          <w:jc w:val="center"/>
        </w:trPr>
        <w:tc>
          <w:tcPr>
            <w:tcW w:w="44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7A3D6FD2" w14:textId="77777777" w:rsidR="00B246B9" w:rsidRPr="00837010" w:rsidRDefault="00B246B9" w:rsidP="0040052B">
            <w:pPr>
              <w:jc w:val="center"/>
            </w:pPr>
            <w:r w:rsidRPr="00837010">
              <w:rPr>
                <w:rFonts w:eastAsia="Cambria" w:cs="Cambria"/>
                <w:b/>
                <w:bCs/>
                <w:color w:val="000000" w:themeColor="text1"/>
                <w:sz w:val="20"/>
                <w:szCs w:val="20"/>
              </w:rPr>
              <w:t>No.</w:t>
            </w:r>
          </w:p>
        </w:tc>
        <w:tc>
          <w:tcPr>
            <w:tcW w:w="269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21F7CF8A" w14:textId="77777777" w:rsidR="00B246B9" w:rsidRPr="00837010" w:rsidRDefault="00B246B9" w:rsidP="0040052B">
            <w:pPr>
              <w:jc w:val="center"/>
            </w:pPr>
            <w:r w:rsidRPr="00837010">
              <w:rPr>
                <w:rFonts w:eastAsia="Cambria" w:cs="Cambria"/>
                <w:b/>
                <w:bCs/>
                <w:color w:val="000000" w:themeColor="text1"/>
                <w:sz w:val="20"/>
                <w:szCs w:val="20"/>
              </w:rPr>
              <w:t>Nationality</w:t>
            </w:r>
          </w:p>
        </w:tc>
        <w:tc>
          <w:tcPr>
            <w:tcW w:w="255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3AE1AB8A" w14:textId="77777777" w:rsidR="00B246B9" w:rsidRPr="00837010" w:rsidRDefault="00B246B9" w:rsidP="0040052B">
            <w:pPr>
              <w:jc w:val="center"/>
            </w:pPr>
            <w:r w:rsidRPr="00837010">
              <w:rPr>
                <w:rFonts w:eastAsia="Cambria" w:cs="Cambria"/>
                <w:b/>
                <w:bCs/>
                <w:color w:val="000000" w:themeColor="text1"/>
                <w:sz w:val="20"/>
                <w:szCs w:val="20"/>
              </w:rPr>
              <w:t>Fellowship</w:t>
            </w:r>
          </w:p>
        </w:tc>
        <w:tc>
          <w:tcPr>
            <w:tcW w:w="2680" w:type="dxa"/>
            <w:tcBorders>
              <w:top w:val="single" w:sz="8" w:space="0" w:color="auto"/>
              <w:left w:val="single" w:sz="8" w:space="0" w:color="auto"/>
              <w:bottom w:val="single" w:sz="8" w:space="0" w:color="auto"/>
              <w:right w:val="single" w:sz="8" w:space="0" w:color="auto"/>
            </w:tcBorders>
            <w:shd w:val="clear" w:color="auto" w:fill="BDC0BF"/>
            <w:tcMar>
              <w:top w:w="15" w:type="dxa"/>
              <w:left w:w="15" w:type="dxa"/>
              <w:right w:w="15" w:type="dxa"/>
            </w:tcMar>
            <w:vAlign w:val="center"/>
          </w:tcPr>
          <w:p w14:paraId="7E7E8EC4" w14:textId="77777777" w:rsidR="00B246B9" w:rsidRPr="00837010" w:rsidRDefault="00B246B9" w:rsidP="0040052B">
            <w:pPr>
              <w:jc w:val="center"/>
            </w:pPr>
            <w:r w:rsidRPr="00837010">
              <w:rPr>
                <w:rFonts w:eastAsia="Cambria" w:cs="Cambria"/>
                <w:b/>
                <w:bCs/>
                <w:color w:val="000000" w:themeColor="text1"/>
                <w:sz w:val="20"/>
                <w:szCs w:val="20"/>
              </w:rPr>
              <w:t>Assignment</w:t>
            </w:r>
          </w:p>
        </w:tc>
      </w:tr>
      <w:tr w:rsidR="00B246B9" w:rsidRPr="00837010" w14:paraId="3137DFD3" w14:textId="77777777" w:rsidTr="00837010">
        <w:trPr>
          <w:trHeight w:val="46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67AE0C4"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1</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30DB4D7"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Colombia</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FDF7CD7"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Follow-up of Recommendations</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C50AB0"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Follow-up of Recommendations and Impact Section</w:t>
            </w:r>
          </w:p>
        </w:tc>
      </w:tr>
      <w:tr w:rsidR="00B246B9" w:rsidRPr="00837010" w14:paraId="214CAD2F" w14:textId="77777777" w:rsidTr="0040235D">
        <w:trPr>
          <w:trHeight w:val="316"/>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7926BFB"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2</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7455D37" w14:textId="77777777" w:rsidR="00B246B9" w:rsidRPr="00837010" w:rsidRDefault="00B246B9" w:rsidP="0040052B">
            <w:pPr>
              <w:jc w:val="center"/>
              <w:rPr>
                <w:rFonts w:eastAsia="Cambria" w:cs="Cambria"/>
                <w:sz w:val="20"/>
                <w:szCs w:val="20"/>
              </w:rPr>
            </w:pPr>
            <w:r w:rsidRPr="00837010">
              <w:rPr>
                <w:rFonts w:eastAsia="Cambria" w:cs="Cambria"/>
                <w:sz w:val="20"/>
                <w:szCs w:val="20"/>
              </w:rPr>
              <w:t>Peru</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B15E970" w14:textId="77777777" w:rsidR="00B246B9" w:rsidRPr="00837010" w:rsidRDefault="00B246B9" w:rsidP="0040052B">
            <w:pPr>
              <w:jc w:val="center"/>
              <w:rPr>
                <w:rFonts w:eastAsia="Cambria" w:cs="Cambria"/>
                <w:sz w:val="20"/>
                <w:szCs w:val="20"/>
              </w:rPr>
            </w:pPr>
            <w:r w:rsidRPr="00837010">
              <w:rPr>
                <w:rFonts w:eastAsia="Cambria" w:cs="Cambria"/>
                <w:sz w:val="20"/>
                <w:szCs w:val="20"/>
              </w:rPr>
              <w:t>UNAM</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2A93B17" w14:textId="77777777" w:rsidR="00B246B9" w:rsidRPr="00837010" w:rsidRDefault="00B246B9" w:rsidP="0040052B">
            <w:pPr>
              <w:jc w:val="center"/>
              <w:rPr>
                <w:rFonts w:eastAsia="Cambria" w:cs="Cambria"/>
                <w:sz w:val="20"/>
                <w:szCs w:val="20"/>
              </w:rPr>
            </w:pPr>
            <w:r w:rsidRPr="00837010">
              <w:rPr>
                <w:rFonts w:eastAsia="Cambria" w:cs="Cambria"/>
                <w:sz w:val="20"/>
                <w:szCs w:val="20"/>
              </w:rPr>
              <w:t xml:space="preserve">Cases Section </w:t>
            </w:r>
          </w:p>
        </w:tc>
      </w:tr>
      <w:tr w:rsidR="00B246B9" w:rsidRPr="00837010" w14:paraId="16271ACB" w14:textId="77777777" w:rsidTr="0040235D">
        <w:trPr>
          <w:trHeight w:val="280"/>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9CB706"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3</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261794" w14:textId="77777777" w:rsidR="00B246B9" w:rsidRPr="00837010" w:rsidRDefault="00B246B9" w:rsidP="0040052B">
            <w:pPr>
              <w:jc w:val="center"/>
              <w:rPr>
                <w:rFonts w:eastAsia="Cambria" w:cs="Cambria"/>
                <w:sz w:val="20"/>
                <w:szCs w:val="20"/>
              </w:rPr>
            </w:pPr>
            <w:r w:rsidRPr="00837010">
              <w:rPr>
                <w:rFonts w:eastAsia="Cambria" w:cs="Cambria"/>
                <w:sz w:val="20"/>
                <w:szCs w:val="20"/>
              </w:rPr>
              <w:t>México</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8635DA9" w14:textId="77777777" w:rsidR="00B246B9" w:rsidRPr="00837010" w:rsidRDefault="00B246B9" w:rsidP="0040052B">
            <w:pPr>
              <w:jc w:val="center"/>
              <w:rPr>
                <w:rFonts w:eastAsia="Cambria" w:cs="Cambria"/>
                <w:sz w:val="20"/>
                <w:szCs w:val="20"/>
              </w:rPr>
            </w:pPr>
            <w:r w:rsidRPr="00837010">
              <w:rPr>
                <w:rFonts w:eastAsia="Cambria" w:cs="Cambria"/>
                <w:sz w:val="20"/>
                <w:szCs w:val="20"/>
              </w:rPr>
              <w:t>UNAM</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70CEE85" w14:textId="77777777" w:rsidR="00B246B9" w:rsidRPr="00837010" w:rsidRDefault="00B246B9" w:rsidP="0040052B">
            <w:pPr>
              <w:jc w:val="center"/>
              <w:rPr>
                <w:rFonts w:eastAsia="Cambria" w:cs="Cambria"/>
                <w:sz w:val="20"/>
                <w:szCs w:val="20"/>
              </w:rPr>
            </w:pPr>
            <w:r w:rsidRPr="00837010">
              <w:rPr>
                <w:rFonts w:eastAsia="Cambria" w:cs="Cambria"/>
                <w:sz w:val="20"/>
                <w:szCs w:val="20"/>
              </w:rPr>
              <w:t xml:space="preserve">Cases Section </w:t>
            </w:r>
          </w:p>
        </w:tc>
      </w:tr>
      <w:tr w:rsidR="00B246B9" w:rsidRPr="00837010" w14:paraId="0A40EE17" w14:textId="77777777" w:rsidTr="00837010">
        <w:trPr>
          <w:trHeight w:val="540"/>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53B933E"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4</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98CA5E4" w14:textId="77777777" w:rsidR="00B246B9" w:rsidRPr="00837010" w:rsidRDefault="00B246B9" w:rsidP="0040052B">
            <w:pPr>
              <w:jc w:val="center"/>
              <w:rPr>
                <w:rFonts w:eastAsia="Cambria" w:cs="Cambria"/>
                <w:sz w:val="20"/>
                <w:szCs w:val="20"/>
              </w:rPr>
            </w:pPr>
            <w:r w:rsidRPr="00837010">
              <w:rPr>
                <w:rFonts w:eastAsia="Cambria" w:cs="Cambria"/>
                <w:sz w:val="20"/>
                <w:szCs w:val="20"/>
              </w:rPr>
              <w:t>United States</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3C4D2BF" w14:textId="77777777" w:rsidR="00B246B9" w:rsidRPr="00837010" w:rsidRDefault="00B246B9" w:rsidP="0040052B">
            <w:pPr>
              <w:jc w:val="center"/>
              <w:rPr>
                <w:rFonts w:eastAsia="Cambria" w:cs="Cambria"/>
                <w:color w:val="333333"/>
                <w:sz w:val="20"/>
                <w:szCs w:val="20"/>
              </w:rPr>
            </w:pPr>
            <w:r w:rsidRPr="00837010">
              <w:rPr>
                <w:rFonts w:eastAsia="Cambria" w:cs="Cambria"/>
                <w:color w:val="333333"/>
                <w:sz w:val="20"/>
                <w:szCs w:val="20"/>
              </w:rPr>
              <w:t xml:space="preserve">Rapporteurship on the Rights of Afro-descendants and against Racial Discrimination </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0D5EF0F" w14:textId="77777777" w:rsidR="00B246B9" w:rsidRPr="00837010" w:rsidRDefault="00B246B9" w:rsidP="0040052B">
            <w:pPr>
              <w:jc w:val="center"/>
              <w:rPr>
                <w:rFonts w:eastAsia="Cambria" w:cs="Cambria"/>
                <w:sz w:val="20"/>
                <w:szCs w:val="20"/>
              </w:rPr>
            </w:pPr>
            <w:r w:rsidRPr="00837010">
              <w:rPr>
                <w:rFonts w:eastAsia="Cambria" w:cs="Cambria"/>
                <w:sz w:val="20"/>
                <w:szCs w:val="20"/>
              </w:rPr>
              <w:t>Monitoring Section II</w:t>
            </w:r>
          </w:p>
        </w:tc>
      </w:tr>
      <w:tr w:rsidR="00B246B9" w:rsidRPr="00837010" w14:paraId="2525BD29" w14:textId="77777777" w:rsidTr="00837010">
        <w:trPr>
          <w:trHeight w:val="540"/>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7FAA173"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5</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510A259" w14:textId="77777777" w:rsidR="00B246B9" w:rsidRPr="00837010" w:rsidRDefault="00B246B9" w:rsidP="0040052B">
            <w:pPr>
              <w:jc w:val="center"/>
              <w:rPr>
                <w:rFonts w:eastAsia="Cambria" w:cs="Cambria"/>
                <w:sz w:val="20"/>
                <w:szCs w:val="20"/>
              </w:rPr>
            </w:pPr>
            <w:r w:rsidRPr="00837010">
              <w:rPr>
                <w:rFonts w:eastAsia="Cambria" w:cs="Cambria"/>
                <w:sz w:val="20"/>
                <w:szCs w:val="20"/>
              </w:rPr>
              <w:t>México</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A312DFD" w14:textId="77777777" w:rsidR="00B246B9" w:rsidRPr="00837010" w:rsidRDefault="00B246B9" w:rsidP="0040052B">
            <w:pPr>
              <w:jc w:val="center"/>
              <w:rPr>
                <w:rFonts w:eastAsia="Cambria" w:cs="Cambria"/>
                <w:color w:val="000000" w:themeColor="text1"/>
                <w:sz w:val="20"/>
                <w:szCs w:val="20"/>
                <w:lang w:val="es-419"/>
              </w:rPr>
            </w:pPr>
            <w:r w:rsidRPr="00837010">
              <w:rPr>
                <w:rFonts w:eastAsia="Cambria" w:cs="Cambria"/>
                <w:color w:val="000000" w:themeColor="text1"/>
                <w:sz w:val="20"/>
                <w:szCs w:val="20"/>
                <w:lang w:val="es-419"/>
              </w:rPr>
              <w:t>Relatoría sobre los Derechos de las Personas LGBTI</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BBE0DD6" w14:textId="77777777" w:rsidR="00B246B9" w:rsidRPr="00837010" w:rsidRDefault="00B246B9" w:rsidP="0040052B">
            <w:pPr>
              <w:jc w:val="center"/>
              <w:rPr>
                <w:rFonts w:eastAsia="Cambria" w:cs="Cambria"/>
                <w:sz w:val="20"/>
                <w:szCs w:val="20"/>
              </w:rPr>
            </w:pPr>
            <w:r w:rsidRPr="00837010">
              <w:rPr>
                <w:rFonts w:eastAsia="Cambria" w:cs="Cambria"/>
                <w:sz w:val="20"/>
                <w:szCs w:val="20"/>
              </w:rPr>
              <w:t>Monitoring Section II</w:t>
            </w:r>
          </w:p>
        </w:tc>
      </w:tr>
      <w:tr w:rsidR="00B246B9" w:rsidRPr="00837010" w14:paraId="5B5E7842" w14:textId="77777777" w:rsidTr="00837010">
        <w:trPr>
          <w:trHeight w:val="540"/>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3D68F62"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6</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9477300"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St. Vincent and the Grenadines/Saint Vincent and the Grenadines</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5139D04"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Caribbean</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C7B905F"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Monitoring Section III</w:t>
            </w:r>
          </w:p>
        </w:tc>
      </w:tr>
      <w:tr w:rsidR="00B246B9" w14:paraId="56D0F3B4" w14:textId="77777777" w:rsidTr="00837010">
        <w:trPr>
          <w:trHeight w:val="405"/>
          <w:jc w:val="center"/>
        </w:trPr>
        <w:tc>
          <w:tcPr>
            <w:tcW w:w="44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385D9B" w14:textId="77777777" w:rsidR="00B246B9" w:rsidRPr="00837010" w:rsidRDefault="00B246B9" w:rsidP="0040052B">
            <w:pPr>
              <w:jc w:val="center"/>
              <w:rPr>
                <w:rFonts w:eastAsia="Cambria" w:cs="Cambria"/>
                <w:color w:val="000000" w:themeColor="text1"/>
                <w:sz w:val="20"/>
                <w:szCs w:val="20"/>
              </w:rPr>
            </w:pPr>
            <w:r w:rsidRPr="00837010">
              <w:rPr>
                <w:rFonts w:eastAsia="Cambria" w:cs="Cambria"/>
                <w:color w:val="000000" w:themeColor="text1"/>
                <w:sz w:val="20"/>
                <w:szCs w:val="20"/>
              </w:rPr>
              <w:t>7</w:t>
            </w:r>
          </w:p>
        </w:tc>
        <w:tc>
          <w:tcPr>
            <w:tcW w:w="269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76BF726" w14:textId="77777777" w:rsidR="00B246B9" w:rsidRPr="00837010" w:rsidRDefault="00B246B9" w:rsidP="0040052B">
            <w:pPr>
              <w:jc w:val="center"/>
              <w:rPr>
                <w:rFonts w:eastAsia="Cambria" w:cs="Cambria"/>
                <w:sz w:val="20"/>
                <w:szCs w:val="20"/>
              </w:rPr>
            </w:pPr>
            <w:r w:rsidRPr="00837010">
              <w:rPr>
                <w:rFonts w:eastAsia="Cambria" w:cs="Cambria"/>
                <w:sz w:val="20"/>
                <w:szCs w:val="20"/>
              </w:rPr>
              <w:t>Costa Rica</w:t>
            </w:r>
          </w:p>
        </w:tc>
        <w:tc>
          <w:tcPr>
            <w:tcW w:w="255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3F53F99" w14:textId="77777777" w:rsidR="00B246B9" w:rsidRPr="00837010" w:rsidRDefault="00B246B9" w:rsidP="0040052B">
            <w:pPr>
              <w:jc w:val="center"/>
              <w:rPr>
                <w:rFonts w:eastAsia="Cambria" w:cs="Cambria"/>
                <w:sz w:val="20"/>
                <w:szCs w:val="20"/>
                <w:lang w:val="es-419"/>
              </w:rPr>
            </w:pPr>
            <w:r w:rsidRPr="00837010">
              <w:rPr>
                <w:rFonts w:eastAsia="Cambria" w:cs="Cambria"/>
                <w:sz w:val="20"/>
                <w:szCs w:val="20"/>
                <w:lang w:val="es-419"/>
              </w:rPr>
              <w:t xml:space="preserve">Both Ends Believing (BEB) y la Comisión Interamericana de Derechos Humanos </w:t>
            </w:r>
          </w:p>
        </w:tc>
        <w:tc>
          <w:tcPr>
            <w:tcW w:w="2680"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295C5C5" w14:textId="77777777" w:rsidR="00B246B9" w:rsidRPr="00837010" w:rsidRDefault="00B246B9" w:rsidP="0040052B">
            <w:pPr>
              <w:jc w:val="center"/>
              <w:rPr>
                <w:rFonts w:eastAsia="Cambria" w:cs="Cambria"/>
                <w:sz w:val="20"/>
                <w:szCs w:val="20"/>
              </w:rPr>
            </w:pPr>
            <w:r w:rsidRPr="00837010">
              <w:rPr>
                <w:rFonts w:eastAsia="Cambria" w:cs="Cambria"/>
                <w:sz w:val="20"/>
                <w:szCs w:val="20"/>
              </w:rPr>
              <w:t>Monitoring Section III</w:t>
            </w:r>
          </w:p>
        </w:tc>
      </w:tr>
    </w:tbl>
    <w:p w14:paraId="292211C4" w14:textId="77777777" w:rsidR="00B246B9" w:rsidRPr="009A7FF3" w:rsidRDefault="00B246B9" w:rsidP="0040235D">
      <w:pPr>
        <w:pStyle w:val="paragraphs"/>
        <w:numPr>
          <w:ilvl w:val="0"/>
          <w:numId w:val="0"/>
        </w:numPr>
        <w:spacing w:after="0"/>
        <w:rPr>
          <w:rFonts w:eastAsia="Cambria" w:cs="Calibri Light"/>
          <w:lang w:val="es-419"/>
        </w:rPr>
      </w:pPr>
    </w:p>
    <w:p w14:paraId="1B1049B9" w14:textId="77777777" w:rsidR="00B246B9" w:rsidRDefault="00B246B9" w:rsidP="0040235D">
      <w:pPr>
        <w:pStyle w:val="IAPrrafo"/>
        <w:spacing w:after="0"/>
      </w:pPr>
      <w:r w:rsidRPr="00837010">
        <w:t>In addition, thanks to the support of the following institutions, in 2023 the ES/IACHR received six of its staff members as associate staff:</w:t>
      </w:r>
    </w:p>
    <w:p w14:paraId="3BD43DDF" w14:textId="77777777" w:rsidR="0040235D" w:rsidRPr="00837010" w:rsidRDefault="0040235D" w:rsidP="0040235D">
      <w:pPr>
        <w:pStyle w:val="IAPrrafo"/>
        <w:numPr>
          <w:ilvl w:val="0"/>
          <w:numId w:val="0"/>
        </w:numPr>
        <w:spacing w:after="0"/>
        <w:ind w:left="720"/>
      </w:pPr>
    </w:p>
    <w:tbl>
      <w:tblPr>
        <w:tblW w:w="0" w:type="auto"/>
        <w:jc w:val="center"/>
        <w:tblLayout w:type="fixed"/>
        <w:tblLook w:val="04A0" w:firstRow="1" w:lastRow="0" w:firstColumn="1" w:lastColumn="0" w:noHBand="0" w:noVBand="1"/>
      </w:tblPr>
      <w:tblGrid>
        <w:gridCol w:w="530"/>
        <w:gridCol w:w="3310"/>
        <w:gridCol w:w="4590"/>
      </w:tblGrid>
      <w:tr w:rsidR="00B246B9" w:rsidRPr="00837010" w14:paraId="57280932" w14:textId="77777777" w:rsidTr="00837010">
        <w:trPr>
          <w:trHeight w:val="300"/>
          <w:jc w:val="center"/>
        </w:trPr>
        <w:tc>
          <w:tcPr>
            <w:tcW w:w="53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5AE8F68D" w14:textId="77777777" w:rsidR="00B246B9" w:rsidRPr="00837010" w:rsidRDefault="00B246B9" w:rsidP="0040235D">
            <w:pPr>
              <w:jc w:val="both"/>
            </w:pPr>
            <w:r w:rsidRPr="00837010">
              <w:rPr>
                <w:rFonts w:eastAsia="Cambria" w:cs="Cambria"/>
                <w:b/>
                <w:bCs/>
                <w:color w:val="000000" w:themeColor="text1"/>
                <w:sz w:val="20"/>
                <w:szCs w:val="20"/>
              </w:rPr>
              <w:t>No.</w:t>
            </w:r>
          </w:p>
        </w:tc>
        <w:tc>
          <w:tcPr>
            <w:tcW w:w="331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36476FD7" w14:textId="77777777" w:rsidR="00B246B9" w:rsidRPr="00837010" w:rsidRDefault="00B246B9" w:rsidP="0040235D">
            <w:pPr>
              <w:jc w:val="center"/>
            </w:pPr>
            <w:r w:rsidRPr="00837010">
              <w:rPr>
                <w:rFonts w:eastAsia="Cambria" w:cs="Cambria"/>
                <w:b/>
                <w:bCs/>
                <w:color w:val="000000" w:themeColor="text1"/>
                <w:sz w:val="20"/>
                <w:szCs w:val="20"/>
              </w:rPr>
              <w:t>Institution</w:t>
            </w:r>
          </w:p>
        </w:tc>
        <w:tc>
          <w:tcPr>
            <w:tcW w:w="459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6D9A652B" w14:textId="77777777" w:rsidR="00B246B9" w:rsidRPr="00837010" w:rsidRDefault="00B246B9" w:rsidP="0040235D">
            <w:pPr>
              <w:jc w:val="center"/>
            </w:pPr>
            <w:r w:rsidRPr="00837010">
              <w:rPr>
                <w:rFonts w:eastAsia="Cambria" w:cs="Cambria"/>
                <w:b/>
                <w:bCs/>
                <w:color w:val="000000" w:themeColor="text1"/>
                <w:sz w:val="20"/>
                <w:szCs w:val="20"/>
              </w:rPr>
              <w:t>Assignment</w:t>
            </w:r>
          </w:p>
        </w:tc>
      </w:tr>
      <w:tr w:rsidR="00B246B9" w:rsidRPr="00837010" w14:paraId="226839F8" w14:textId="77777777" w:rsidTr="00837010">
        <w:trPr>
          <w:trHeight w:val="403"/>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5B6A1" w14:textId="77777777" w:rsidR="00B246B9" w:rsidRPr="00837010" w:rsidRDefault="00B246B9" w:rsidP="0040235D">
            <w:pPr>
              <w:rPr>
                <w:rFonts w:eastAsia="Cambria" w:cs="Cambria"/>
                <w:sz w:val="20"/>
                <w:szCs w:val="20"/>
              </w:rPr>
            </w:pPr>
            <w:r w:rsidRPr="00837010">
              <w:rPr>
                <w:rFonts w:eastAsia="Cambria" w:cs="Cambria"/>
                <w:sz w:val="20"/>
                <w:szCs w:val="20"/>
              </w:rPr>
              <w:t>1</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6C14CF" w14:textId="77777777" w:rsidR="00B246B9" w:rsidRPr="00837010" w:rsidRDefault="00B246B9" w:rsidP="0040235D">
            <w:pPr>
              <w:jc w:val="center"/>
              <w:rPr>
                <w:rFonts w:eastAsia="Cambria" w:cs="Cambria"/>
                <w:sz w:val="20"/>
                <w:szCs w:val="20"/>
                <w:lang w:val="es-419"/>
              </w:rPr>
            </w:pPr>
            <w:r w:rsidRPr="00837010">
              <w:rPr>
                <w:rFonts w:eastAsia="Cambria" w:cs="Cambria"/>
                <w:sz w:val="20"/>
                <w:szCs w:val="20"/>
                <w:lang w:val="es-419"/>
              </w:rPr>
              <w:t>Defensoría Pública del Estado de Rio de Janeiro</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670645" w14:textId="77777777" w:rsidR="00B246B9" w:rsidRPr="00837010" w:rsidRDefault="00B246B9" w:rsidP="0040235D">
            <w:pPr>
              <w:jc w:val="center"/>
              <w:rPr>
                <w:rFonts w:eastAsia="Cambria" w:cs="Cambria"/>
                <w:sz w:val="20"/>
                <w:szCs w:val="20"/>
              </w:rPr>
            </w:pPr>
            <w:r w:rsidRPr="00837010">
              <w:rPr>
                <w:rFonts w:eastAsia="Cambria" w:cs="Cambria"/>
                <w:sz w:val="20"/>
                <w:szCs w:val="20"/>
              </w:rPr>
              <w:t>Precautionary and Provisional Measures Section</w:t>
            </w:r>
          </w:p>
        </w:tc>
      </w:tr>
      <w:tr w:rsidR="00B246B9" w:rsidRPr="00837010" w14:paraId="02FA6131" w14:textId="77777777" w:rsidTr="00837010">
        <w:trPr>
          <w:trHeight w:val="394"/>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849BB7" w14:textId="77777777" w:rsidR="00B246B9" w:rsidRPr="00837010" w:rsidRDefault="00B246B9" w:rsidP="0040235D">
            <w:pPr>
              <w:rPr>
                <w:rFonts w:eastAsia="Cambria" w:cs="Cambria"/>
                <w:sz w:val="20"/>
                <w:szCs w:val="20"/>
              </w:rPr>
            </w:pPr>
            <w:r w:rsidRPr="00837010">
              <w:rPr>
                <w:rFonts w:eastAsia="Cambria" w:cs="Cambria"/>
                <w:sz w:val="20"/>
                <w:szCs w:val="20"/>
              </w:rPr>
              <w:t>2</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66CEE" w14:textId="77777777" w:rsidR="00B246B9" w:rsidRPr="00837010" w:rsidRDefault="00B246B9" w:rsidP="0040235D">
            <w:pPr>
              <w:jc w:val="center"/>
              <w:rPr>
                <w:rFonts w:eastAsia="Cambria" w:cs="Cambria"/>
                <w:sz w:val="20"/>
                <w:szCs w:val="20"/>
                <w:lang w:val="es-419"/>
              </w:rPr>
            </w:pPr>
            <w:r w:rsidRPr="00837010">
              <w:rPr>
                <w:rFonts w:eastAsia="Cambria" w:cs="Cambria"/>
                <w:sz w:val="20"/>
                <w:szCs w:val="20"/>
                <w:lang w:val="es-419"/>
              </w:rPr>
              <w:t>Ministerio Público del Estado de Sao Paulo</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9DE22B" w14:textId="77777777" w:rsidR="00B246B9" w:rsidRPr="00837010" w:rsidRDefault="00B246B9" w:rsidP="0040235D">
            <w:pPr>
              <w:jc w:val="center"/>
              <w:rPr>
                <w:rFonts w:eastAsia="Cambria" w:cs="Cambria"/>
                <w:sz w:val="20"/>
                <w:szCs w:val="20"/>
              </w:rPr>
            </w:pPr>
            <w:r w:rsidRPr="00837010">
              <w:rPr>
                <w:rFonts w:eastAsia="Cambria" w:cs="Cambria"/>
                <w:sz w:val="20"/>
                <w:szCs w:val="20"/>
              </w:rPr>
              <w:t>Precautionary and Provisional Measures Section</w:t>
            </w:r>
          </w:p>
        </w:tc>
      </w:tr>
      <w:tr w:rsidR="00B246B9" w:rsidRPr="00837010" w14:paraId="50F62272" w14:textId="77777777" w:rsidTr="00837010">
        <w:trPr>
          <w:trHeight w:val="304"/>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6F58E9" w14:textId="77777777" w:rsidR="00B246B9" w:rsidRPr="00837010" w:rsidRDefault="00B246B9" w:rsidP="0040235D">
            <w:pPr>
              <w:rPr>
                <w:rFonts w:eastAsia="Cambria" w:cs="Cambria"/>
                <w:sz w:val="20"/>
                <w:szCs w:val="20"/>
              </w:rPr>
            </w:pPr>
            <w:r w:rsidRPr="00837010">
              <w:rPr>
                <w:rFonts w:eastAsia="Cambria" w:cs="Cambria"/>
                <w:sz w:val="20"/>
                <w:szCs w:val="20"/>
              </w:rPr>
              <w:t>3</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B2C0C1" w14:textId="77777777" w:rsidR="00B246B9" w:rsidRPr="00837010" w:rsidRDefault="00B246B9" w:rsidP="0040235D">
            <w:pPr>
              <w:jc w:val="center"/>
              <w:rPr>
                <w:rFonts w:eastAsia="Cambria" w:cs="Cambria"/>
                <w:sz w:val="20"/>
                <w:szCs w:val="20"/>
                <w:lang w:val="es-419"/>
              </w:rPr>
            </w:pPr>
            <w:r w:rsidRPr="00837010">
              <w:rPr>
                <w:rFonts w:eastAsia="Cambria" w:cs="Cambria"/>
                <w:sz w:val="20"/>
                <w:szCs w:val="20"/>
                <w:lang w:val="es-419"/>
              </w:rPr>
              <w:t xml:space="preserve">Ministerio Público de Trabajo de Brasil </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99A259" w14:textId="77777777" w:rsidR="00B246B9" w:rsidRPr="00837010" w:rsidRDefault="00B246B9" w:rsidP="0040235D">
            <w:pPr>
              <w:jc w:val="center"/>
              <w:rPr>
                <w:rFonts w:eastAsia="Cambria" w:cs="Cambria"/>
                <w:sz w:val="20"/>
                <w:szCs w:val="20"/>
              </w:rPr>
            </w:pPr>
            <w:r w:rsidRPr="00837010">
              <w:rPr>
                <w:rFonts w:eastAsia="Cambria" w:cs="Cambria"/>
                <w:sz w:val="20"/>
                <w:szCs w:val="20"/>
              </w:rPr>
              <w:t>Special Rapporteurship on Economic, Social, Cultural and Environmental Rights</w:t>
            </w:r>
          </w:p>
        </w:tc>
      </w:tr>
      <w:tr w:rsidR="00B246B9" w:rsidRPr="00837010" w14:paraId="19A73461" w14:textId="77777777" w:rsidTr="0040235D">
        <w:trPr>
          <w:trHeight w:val="547"/>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9461D5" w14:textId="77777777" w:rsidR="00B246B9" w:rsidRPr="00837010" w:rsidRDefault="00B246B9" w:rsidP="0040235D">
            <w:pPr>
              <w:rPr>
                <w:rFonts w:eastAsia="Cambria" w:cs="Cambria"/>
                <w:sz w:val="20"/>
                <w:szCs w:val="20"/>
              </w:rPr>
            </w:pPr>
            <w:r w:rsidRPr="00837010">
              <w:rPr>
                <w:rFonts w:eastAsia="Cambria" w:cs="Cambria"/>
                <w:sz w:val="20"/>
                <w:szCs w:val="20"/>
              </w:rPr>
              <w:t>4</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79E9DF" w14:textId="77777777" w:rsidR="00B246B9" w:rsidRPr="00837010" w:rsidRDefault="00B246B9" w:rsidP="0040235D">
            <w:pPr>
              <w:jc w:val="center"/>
              <w:rPr>
                <w:rFonts w:eastAsia="Cambria" w:cs="Cambria"/>
                <w:sz w:val="20"/>
                <w:szCs w:val="20"/>
                <w:lang w:val="pt-BR"/>
              </w:rPr>
            </w:pPr>
            <w:r w:rsidRPr="00837010">
              <w:rPr>
                <w:rFonts w:eastAsia="Cambria" w:cs="Cambria"/>
                <w:sz w:val="20"/>
                <w:szCs w:val="20"/>
                <w:lang w:val="pt-BR"/>
              </w:rPr>
              <w:t>Defensoría Pública da União do Brasil</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DBA0C" w14:textId="77777777" w:rsidR="00B246B9" w:rsidRPr="00837010" w:rsidRDefault="00B246B9" w:rsidP="0040235D">
            <w:pPr>
              <w:jc w:val="center"/>
              <w:rPr>
                <w:rFonts w:eastAsia="Cambria" w:cs="Cambria"/>
                <w:sz w:val="20"/>
                <w:szCs w:val="20"/>
              </w:rPr>
            </w:pPr>
            <w:r w:rsidRPr="00837010">
              <w:rPr>
                <w:rFonts w:eastAsia="Cambria" w:cs="Cambria"/>
                <w:sz w:val="20"/>
                <w:szCs w:val="20"/>
              </w:rPr>
              <w:t>Cases Section</w:t>
            </w:r>
          </w:p>
        </w:tc>
      </w:tr>
      <w:tr w:rsidR="00B246B9" w:rsidRPr="00837010" w14:paraId="6F4ACD83" w14:textId="77777777" w:rsidTr="0040235D">
        <w:trPr>
          <w:trHeight w:val="313"/>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9134CC" w14:textId="77777777" w:rsidR="00B246B9" w:rsidRPr="00837010" w:rsidRDefault="00B246B9" w:rsidP="0040235D">
            <w:pPr>
              <w:rPr>
                <w:rFonts w:eastAsia="Cambria" w:cs="Cambria"/>
                <w:sz w:val="20"/>
                <w:szCs w:val="20"/>
              </w:rPr>
            </w:pPr>
            <w:r w:rsidRPr="00837010">
              <w:rPr>
                <w:rFonts w:eastAsia="Cambria" w:cs="Cambria"/>
                <w:sz w:val="20"/>
                <w:szCs w:val="20"/>
              </w:rPr>
              <w:t>5</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A33B7E" w14:textId="77777777" w:rsidR="00B246B9" w:rsidRPr="00837010" w:rsidRDefault="00B246B9" w:rsidP="0040235D">
            <w:pPr>
              <w:jc w:val="center"/>
              <w:rPr>
                <w:rFonts w:eastAsia="Cambria" w:cs="Cambria"/>
                <w:sz w:val="20"/>
                <w:szCs w:val="20"/>
                <w:lang w:val="pt-BR"/>
              </w:rPr>
            </w:pPr>
            <w:r w:rsidRPr="00837010">
              <w:rPr>
                <w:rFonts w:eastAsia="Cambria" w:cs="Cambria"/>
                <w:sz w:val="20"/>
                <w:szCs w:val="20"/>
                <w:lang w:val="pt-BR"/>
              </w:rPr>
              <w:t>Ministério Público do Distrito Federal e Territórios</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E3242" w14:textId="77777777" w:rsidR="00B246B9" w:rsidRPr="00837010" w:rsidRDefault="00B246B9" w:rsidP="0040235D">
            <w:pPr>
              <w:jc w:val="center"/>
              <w:rPr>
                <w:rFonts w:eastAsia="Cambria" w:cs="Cambria"/>
                <w:sz w:val="20"/>
                <w:szCs w:val="20"/>
              </w:rPr>
            </w:pPr>
            <w:r w:rsidRPr="00837010">
              <w:rPr>
                <w:rFonts w:eastAsia="Cambria" w:cs="Cambria"/>
                <w:sz w:val="20"/>
                <w:szCs w:val="20"/>
              </w:rPr>
              <w:t>Monitoring Section II</w:t>
            </w:r>
          </w:p>
        </w:tc>
      </w:tr>
      <w:tr w:rsidR="00B246B9" w14:paraId="721FC6B2" w14:textId="77777777" w:rsidTr="0040235D">
        <w:trPr>
          <w:trHeight w:val="313"/>
          <w:jc w:val="center"/>
        </w:trPr>
        <w:tc>
          <w:tcPr>
            <w:tcW w:w="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BB1BFE" w14:textId="77777777" w:rsidR="00B246B9" w:rsidRPr="00837010" w:rsidRDefault="00B246B9" w:rsidP="0040235D">
            <w:pPr>
              <w:rPr>
                <w:rFonts w:eastAsia="Cambria" w:cs="Cambria"/>
                <w:sz w:val="20"/>
                <w:szCs w:val="20"/>
              </w:rPr>
            </w:pPr>
            <w:r w:rsidRPr="00837010">
              <w:rPr>
                <w:rFonts w:eastAsia="Cambria" w:cs="Cambria"/>
                <w:sz w:val="20"/>
                <w:szCs w:val="20"/>
              </w:rPr>
              <w:t>6</w:t>
            </w:r>
          </w:p>
        </w:tc>
        <w:tc>
          <w:tcPr>
            <w:tcW w:w="33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2DAD6C" w14:textId="77777777" w:rsidR="00B246B9" w:rsidRPr="00837010" w:rsidRDefault="00B246B9" w:rsidP="0040235D">
            <w:pPr>
              <w:jc w:val="center"/>
              <w:rPr>
                <w:rFonts w:eastAsia="Cambria" w:cs="Cambria"/>
                <w:sz w:val="20"/>
                <w:szCs w:val="20"/>
                <w:lang w:val="pt-BR"/>
              </w:rPr>
            </w:pPr>
            <w:r w:rsidRPr="00837010">
              <w:rPr>
                <w:rFonts w:eastAsia="Cambria" w:cs="Cambria"/>
                <w:sz w:val="20"/>
                <w:szCs w:val="20"/>
                <w:lang w:val="pt-BR"/>
              </w:rPr>
              <w:t>Ministerio Público Federal de Brasil</w:t>
            </w:r>
          </w:p>
        </w:tc>
        <w:tc>
          <w:tcPr>
            <w:tcW w:w="45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2F361" w14:textId="77777777" w:rsidR="00B246B9" w:rsidRPr="00837010" w:rsidRDefault="00B246B9" w:rsidP="0040235D">
            <w:pPr>
              <w:jc w:val="center"/>
              <w:rPr>
                <w:rFonts w:eastAsia="Cambria" w:cs="Cambria"/>
                <w:sz w:val="20"/>
                <w:szCs w:val="20"/>
              </w:rPr>
            </w:pPr>
            <w:r w:rsidRPr="00837010">
              <w:rPr>
                <w:rFonts w:eastAsia="Cambria" w:cs="Cambria"/>
                <w:sz w:val="20"/>
                <w:szCs w:val="20"/>
              </w:rPr>
              <w:t>Special Rapporteurship for Freedom of Expression</w:t>
            </w:r>
          </w:p>
        </w:tc>
      </w:tr>
    </w:tbl>
    <w:p w14:paraId="4816A189" w14:textId="77777777" w:rsidR="00B246B9" w:rsidRPr="00324B33" w:rsidRDefault="00B246B9" w:rsidP="001C267D">
      <w:pPr>
        <w:rPr>
          <w:b/>
          <w:bCs/>
        </w:rPr>
      </w:pPr>
    </w:p>
    <w:p w14:paraId="273FDCD0" w14:textId="77777777" w:rsidR="00B246B9" w:rsidRDefault="00B246B9" w:rsidP="001C267D">
      <w:pPr>
        <w:pStyle w:val="IASubttulo3"/>
        <w:spacing w:after="0"/>
        <w:jc w:val="both"/>
      </w:pPr>
      <w:bookmarkStart w:id="4" w:name="_Toc162359430"/>
      <w:r w:rsidRPr="001C267D">
        <w:t>Implementation under way of the collectively developed work environment improvement plan</w:t>
      </w:r>
      <w:bookmarkEnd w:id="4"/>
      <w:r w:rsidRPr="001C267D">
        <w:t xml:space="preserve"> </w:t>
      </w:r>
    </w:p>
    <w:p w14:paraId="061C513F" w14:textId="77777777" w:rsidR="001C267D" w:rsidRPr="001C267D" w:rsidRDefault="001C267D" w:rsidP="001C267D">
      <w:pPr>
        <w:pStyle w:val="IASubttulo3"/>
        <w:numPr>
          <w:ilvl w:val="0"/>
          <w:numId w:val="0"/>
        </w:numPr>
        <w:spacing w:after="0"/>
        <w:ind w:left="1440"/>
        <w:jc w:val="both"/>
      </w:pPr>
    </w:p>
    <w:p w14:paraId="5806DB72" w14:textId="77777777" w:rsidR="00B246B9" w:rsidRPr="00363517" w:rsidRDefault="00B246B9" w:rsidP="001C267D">
      <w:pPr>
        <w:pStyle w:val="IAPrrafo"/>
      </w:pPr>
      <w:r>
        <w:t>Based on the work plan for the first of the three years of the Co-Labora Program</w:t>
      </w:r>
      <w:r w:rsidRPr="551B577E">
        <w:rPr>
          <w:i/>
          <w:iCs/>
        </w:rPr>
        <w:t>, Let's Build our Space</w:t>
      </w:r>
      <w:r>
        <w:t xml:space="preserve">, during the months of February and March 2023, participatory consultation sessions were held in </w:t>
      </w:r>
      <w:r>
        <w:lastRenderedPageBreak/>
        <w:t xml:space="preserve">order to listen to staff proposals for building actions to improve the work environment and change the organizational culture. Forty people participated at headquarters and locally. </w:t>
      </w:r>
    </w:p>
    <w:p w14:paraId="1A1D93FC" w14:textId="77777777" w:rsidR="00B246B9" w:rsidRPr="00593DE5" w:rsidRDefault="00B246B9" w:rsidP="001C267D">
      <w:pPr>
        <w:pStyle w:val="IAPrrafo"/>
      </w:pPr>
      <w:r>
        <w:t xml:space="preserve">In April 2023, alignment sessions were held with the expanded management team of the ES/IACHR. In these sessions, the vision of the new organizational culture was defined, and actions and commitments were established. </w:t>
      </w:r>
    </w:p>
    <w:p w14:paraId="7BC2EFC7" w14:textId="77777777" w:rsidR="00B246B9" w:rsidRPr="00593DE5" w:rsidRDefault="00B246B9" w:rsidP="001C267D">
      <w:pPr>
        <w:pStyle w:val="IAPrrafo"/>
      </w:pPr>
      <w:r>
        <w:t xml:space="preserve">During the month of June 2023, the nomination process for the Fellowship for National Institutions and Regional Mechanisms of the Office of the United Nations High Commissioner for Human Rights was carried out. </w:t>
      </w:r>
      <w:r w:rsidRPr="001C267D">
        <w:t>A staff member of</w:t>
      </w:r>
      <w:r>
        <w:t xml:space="preserve"> the ES/IACHR had the opportunity to work for three weeks from Geneva in a process of exchange of good practices in the universal system for the protection of human rights.</w:t>
      </w:r>
    </w:p>
    <w:p w14:paraId="00759F35" w14:textId="008B64B8" w:rsidR="00B246B9" w:rsidRPr="00593DE5" w:rsidRDefault="00B246B9" w:rsidP="001C267D">
      <w:pPr>
        <w:pStyle w:val="IAPrrafo"/>
      </w:pPr>
      <w:r>
        <w:t xml:space="preserve">From May to August 2023, the Leadership and Personnel Management Development Program was carried out for the Management Team and Coordinators (23 people) with an investment of more than 40 hours in order to strengthen basic and essential personnel management skills. Seven modules on the following skills were implemented: Interpersonal communication, Team management, Planning, Decision making, Difficult conversations, Conflict resolution, Feedback. In addition, </w:t>
      </w:r>
      <w:r w:rsidR="00F64382">
        <w:t>six</w:t>
      </w:r>
      <w:r>
        <w:t xml:space="preserve"> individual Executive Coaching sessions were provided to each participant to accompany their development program.</w:t>
      </w:r>
    </w:p>
    <w:p w14:paraId="3B6955BF" w14:textId="77777777" w:rsidR="00B246B9" w:rsidRPr="00593DE5" w:rsidRDefault="00B246B9" w:rsidP="001C267D">
      <w:pPr>
        <w:pStyle w:val="IAPrrafo"/>
      </w:pPr>
      <w:r>
        <w:t>In October 2023, the first training session was held for 13 people from the ES/IACHR selected by the staff as Agents of Change. These people will be accompanying and supporting the initiatives of the Co-Labora Program from their teams.</w:t>
      </w:r>
    </w:p>
    <w:p w14:paraId="530B61A5" w14:textId="77777777" w:rsidR="00B246B9" w:rsidRPr="00593DE5" w:rsidRDefault="00B246B9" w:rsidP="001C267D">
      <w:pPr>
        <w:pStyle w:val="IAPrrafo"/>
      </w:pPr>
      <w:r>
        <w:t xml:space="preserve">In addition, an internal communication plan was implemented through quarterly newsletters and meetings with all personnel to inform them of current events, the development of competitions and to listen to proposals and/or requests from personnel. Biweekly meetings with the management team, periodic meetings with the coordination team and a virtual suggestion box open to all interested parties were established. </w:t>
      </w:r>
    </w:p>
    <w:p w14:paraId="76ADD366" w14:textId="77777777" w:rsidR="00B246B9" w:rsidRPr="00593DE5" w:rsidRDefault="00B246B9" w:rsidP="001C267D">
      <w:pPr>
        <w:pStyle w:val="IAPrrafo"/>
      </w:pPr>
      <w:r>
        <w:t xml:space="preserve">The "Open Door Policy" continued, under which personnel have the opportunity to meet with the executive secretary to raise issues of interest to them. </w:t>
      </w:r>
    </w:p>
    <w:p w14:paraId="0593F5CE" w14:textId="77777777" w:rsidR="00B246B9" w:rsidRPr="00593DE5" w:rsidRDefault="00B246B9" w:rsidP="001C267D">
      <w:pPr>
        <w:pStyle w:val="IAPrrafo"/>
      </w:pPr>
      <w:r>
        <w:t>During 2024, a survey will be conducted for all personnel to participate in the change of organizational culture and work environment.</w:t>
      </w:r>
    </w:p>
    <w:p w14:paraId="068015CA" w14:textId="0E49AD54" w:rsidR="00B246B9" w:rsidRPr="00A806E2" w:rsidRDefault="00B246B9" w:rsidP="00B246B9">
      <w:pPr>
        <w:pStyle w:val="IASubttulo2"/>
        <w:rPr>
          <w:szCs w:val="20"/>
        </w:rPr>
      </w:pPr>
      <w:bookmarkStart w:id="5" w:name="_Toc162359431"/>
      <w:r>
        <w:t>Financial resources and budget execution</w:t>
      </w:r>
      <w:bookmarkEnd w:id="5"/>
    </w:p>
    <w:p w14:paraId="7AD09416" w14:textId="77777777" w:rsidR="00B246B9" w:rsidRDefault="00B246B9" w:rsidP="00A806E2">
      <w:pPr>
        <w:pStyle w:val="IAPrrafo"/>
      </w:pPr>
      <w:r>
        <w:t xml:space="preserve">In October 2022, the General Assembly, during its 52nd Regular Session, approved a regular fund budget for the IACHR of $10,230,700 for the year 2023, of which $7,393,200 is for personnel expenses and $2,837,500 for operating expenses.   </w:t>
      </w:r>
    </w:p>
    <w:p w14:paraId="2ECE088E" w14:textId="77777777" w:rsidR="00B246B9" w:rsidRDefault="00B246B9" w:rsidP="00A806E2">
      <w:pPr>
        <w:pStyle w:val="IAPrrafo"/>
      </w:pPr>
      <w:r>
        <w:t xml:space="preserve">The General Assembly also approved a budget for the Indirect Cost Recovery (ICR) fund for the IACHR of $117,000 for the year 2023, of which $76,800 corresponds to personnel expenses and $40,200 to operating expenses.   </w:t>
      </w:r>
    </w:p>
    <w:p w14:paraId="312AED1A" w14:textId="77777777" w:rsidR="00B246B9" w:rsidRDefault="00B246B9" w:rsidP="00A806E2">
      <w:pPr>
        <w:pStyle w:val="IAPrrafo"/>
      </w:pPr>
      <w:r>
        <w:t>The following figure shows the distribution of the approved regular fund budget within the OAS for 2023.  The IACHR was approved for 12% of the annual amount.</w:t>
      </w:r>
    </w:p>
    <w:p w14:paraId="090BC1F1" w14:textId="77777777" w:rsidR="00A806E2" w:rsidRDefault="00A806E2" w:rsidP="00A806E2">
      <w:pPr>
        <w:pStyle w:val="IAPrrafo"/>
        <w:numPr>
          <w:ilvl w:val="0"/>
          <w:numId w:val="0"/>
        </w:numPr>
        <w:ind w:firstLine="720"/>
      </w:pPr>
    </w:p>
    <w:p w14:paraId="7F8A8B1A" w14:textId="77777777" w:rsidR="00A806E2" w:rsidRDefault="00A806E2" w:rsidP="00A806E2">
      <w:pPr>
        <w:pStyle w:val="IAPrrafo"/>
        <w:numPr>
          <w:ilvl w:val="0"/>
          <w:numId w:val="0"/>
        </w:numPr>
        <w:ind w:firstLine="720"/>
      </w:pPr>
    </w:p>
    <w:p w14:paraId="13AFE5DA" w14:textId="77777777" w:rsidR="00A806E2" w:rsidRPr="003B1520" w:rsidRDefault="00A806E2" w:rsidP="00A806E2">
      <w:pPr>
        <w:pStyle w:val="IAPrrafo"/>
        <w:numPr>
          <w:ilvl w:val="0"/>
          <w:numId w:val="0"/>
        </w:numPr>
        <w:ind w:firstLine="720"/>
      </w:pPr>
    </w:p>
    <w:p w14:paraId="5514AC66" w14:textId="77777777" w:rsidR="00A806E2" w:rsidRDefault="00B246B9" w:rsidP="00B246B9">
      <w:pPr>
        <w:pStyle w:val="Default"/>
        <w:ind w:firstLine="851"/>
        <w:jc w:val="center"/>
        <w:rPr>
          <w:rFonts w:ascii="Cambria" w:hAnsi="Cambria"/>
          <w:b/>
          <w:color w:val="auto"/>
          <w:sz w:val="18"/>
          <w:szCs w:val="18"/>
        </w:rPr>
      </w:pPr>
      <w:r>
        <w:rPr>
          <w:rFonts w:ascii="Cambria" w:hAnsi="Cambria"/>
          <w:b/>
          <w:color w:val="auto"/>
          <w:sz w:val="20"/>
        </w:rPr>
        <w:lastRenderedPageBreak/>
        <w:t xml:space="preserve"> </w:t>
      </w:r>
      <w:r w:rsidRPr="00925C3C">
        <w:rPr>
          <w:rFonts w:ascii="Cambria" w:hAnsi="Cambria"/>
          <w:b/>
          <w:color w:val="auto"/>
          <w:sz w:val="18"/>
          <w:szCs w:val="18"/>
        </w:rPr>
        <w:t>Figure 1.</w:t>
      </w:r>
      <w:r w:rsidRPr="00A806E2">
        <w:rPr>
          <w:rFonts w:ascii="Cambria" w:hAnsi="Cambria"/>
          <w:b/>
          <w:color w:val="auto"/>
          <w:sz w:val="18"/>
          <w:szCs w:val="18"/>
        </w:rPr>
        <w:t xml:space="preserve">   Distribution of the Modified Budget of the OAS Regular Fund for the year 2023 </w:t>
      </w:r>
    </w:p>
    <w:p w14:paraId="56D6DD27" w14:textId="081CD499" w:rsidR="00B246B9" w:rsidRPr="00A806E2" w:rsidRDefault="00B246B9" w:rsidP="00B246B9">
      <w:pPr>
        <w:pStyle w:val="Default"/>
        <w:ind w:firstLine="851"/>
        <w:jc w:val="center"/>
        <w:rPr>
          <w:rFonts w:ascii="Cambria" w:hAnsi="Cambria"/>
          <w:b/>
          <w:color w:val="auto"/>
          <w:sz w:val="18"/>
          <w:szCs w:val="18"/>
        </w:rPr>
      </w:pPr>
      <w:r w:rsidRPr="00A806E2">
        <w:rPr>
          <w:rFonts w:ascii="Cambria" w:hAnsi="Cambria"/>
          <w:b/>
          <w:color w:val="auto"/>
          <w:sz w:val="18"/>
          <w:szCs w:val="18"/>
        </w:rPr>
        <w:t>(Amounts in thousands of US dollars)</w:t>
      </w:r>
      <w:r w:rsidRPr="00A806E2">
        <w:rPr>
          <w:rStyle w:val="FootnoteReference"/>
          <w:rFonts w:ascii="Cambria" w:hAnsi="Cambria"/>
          <w:b/>
          <w:color w:val="auto"/>
          <w:sz w:val="18"/>
          <w:szCs w:val="18"/>
          <w:lang w:val="es-ES_tradnl"/>
        </w:rPr>
        <w:footnoteReference w:id="2"/>
      </w:r>
    </w:p>
    <w:p w14:paraId="0BEF11CA" w14:textId="77777777" w:rsidR="00B246B9" w:rsidRDefault="00B246B9" w:rsidP="00B246B9">
      <w:pPr>
        <w:tabs>
          <w:tab w:val="left" w:pos="6204"/>
        </w:tabs>
      </w:pPr>
      <w:r>
        <w:tab/>
      </w:r>
    </w:p>
    <w:p w14:paraId="6D8A2615" w14:textId="77777777" w:rsidR="00B246B9" w:rsidRPr="00324B33" w:rsidRDefault="00B246B9" w:rsidP="00B246B9">
      <w:pPr>
        <w:tabs>
          <w:tab w:val="left" w:pos="6204"/>
        </w:tabs>
        <w:jc w:val="center"/>
        <w:rPr>
          <w:noProof/>
        </w:rPr>
      </w:pPr>
    </w:p>
    <w:p w14:paraId="67E3DA34" w14:textId="77777777" w:rsidR="00B246B9" w:rsidRDefault="00B246B9" w:rsidP="00B246B9">
      <w:pPr>
        <w:tabs>
          <w:tab w:val="left" w:pos="6204"/>
        </w:tabs>
        <w:jc w:val="center"/>
      </w:pPr>
      <w:r>
        <w:rPr>
          <w:noProof/>
        </w:rPr>
        <w:drawing>
          <wp:inline distT="0" distB="0" distL="0" distR="0" wp14:anchorId="64F103B6" wp14:editId="0D2859F3">
            <wp:extent cx="5943600" cy="4333875"/>
            <wp:effectExtent l="0" t="0" r="0" b="0"/>
            <wp:docPr id="276346089" name="Picture 276346089"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6089" name="Picture 276346089" descr="A pie chart with different colored section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4333875"/>
                    </a:xfrm>
                    <a:prstGeom prst="rect">
                      <a:avLst/>
                    </a:prstGeom>
                  </pic:spPr>
                </pic:pic>
              </a:graphicData>
            </a:graphic>
          </wp:inline>
        </w:drawing>
      </w:r>
    </w:p>
    <w:p w14:paraId="75AFA95F" w14:textId="77777777" w:rsidR="00B246B9" w:rsidRPr="00B763D5" w:rsidRDefault="00B246B9" w:rsidP="00A806E2">
      <w:pPr>
        <w:ind w:right="2880"/>
        <w:rPr>
          <w:rFonts w:eastAsia="Times New Roman"/>
          <w:color w:val="000000"/>
          <w:sz w:val="20"/>
          <w:szCs w:val="20"/>
          <w:lang w:val="es-ES_tradnl"/>
        </w:rPr>
      </w:pPr>
    </w:p>
    <w:p w14:paraId="6F01AB4D" w14:textId="77777777" w:rsidR="00B246B9" w:rsidRPr="00A806E2" w:rsidRDefault="00B246B9" w:rsidP="00A806E2">
      <w:pPr>
        <w:pStyle w:val="IAPrrafo"/>
      </w:pPr>
      <w:r w:rsidRPr="00A806E2">
        <w:t xml:space="preserve">As of December 31, 2023, the amended appropriation from the original regular fund budget was </w:t>
      </w:r>
      <w:r w:rsidRPr="00A806E2">
        <w:rPr>
          <w:rFonts w:eastAsia="Cambria" w:cs="Cambria"/>
          <w:color w:val="000000" w:themeColor="text1"/>
        </w:rPr>
        <w:t>$ 9,974,900</w:t>
      </w:r>
      <w:r w:rsidRPr="00A806E2">
        <w:t>, distributed between $ 6,429,500 for personnel expenses and $3,5453,400 for non-personnel expenses. The portion corresponding to personnel expenses appears to be under-executed due to the fact that, in 2023, in the ES/IACHR there were several vacancies for which competitions are still under way. In addition, the portion corresponding to operational expenses is shown for a higher amount and that approved because the General Secretariat approved transfers (known as reinforcements) from the personnel expenses item to the operational expenses item due to the vacancies.</w:t>
      </w:r>
    </w:p>
    <w:p w14:paraId="2E15AAAD" w14:textId="77777777" w:rsidR="00B246B9" w:rsidRPr="00A806E2" w:rsidRDefault="00B246B9" w:rsidP="00A806E2">
      <w:pPr>
        <w:pStyle w:val="IAPrrafo"/>
      </w:pPr>
      <w:r w:rsidRPr="00A806E2">
        <w:t>With respect to the raising of specific funds as a result of the fundraising strategy and thanks to trust in the IACHR, as of December 31, 2023, US $12,442,169 had been collected. The following chart shows the distribution of funds received by the IACHR by source of financing.</w:t>
      </w:r>
    </w:p>
    <w:p w14:paraId="10417283" w14:textId="77777777" w:rsidR="00B246B9" w:rsidRDefault="00B246B9" w:rsidP="00B246B9">
      <w:pPr>
        <w:pStyle w:val="Default"/>
        <w:jc w:val="center"/>
        <w:rPr>
          <w:rFonts w:ascii="Cambria" w:hAnsi="Cambria"/>
          <w:b/>
          <w:sz w:val="20"/>
          <w:szCs w:val="20"/>
        </w:rPr>
      </w:pPr>
    </w:p>
    <w:p w14:paraId="6D70AD16" w14:textId="77777777" w:rsidR="004427B6" w:rsidRDefault="004427B6" w:rsidP="00B246B9">
      <w:pPr>
        <w:pStyle w:val="Default"/>
        <w:jc w:val="center"/>
        <w:rPr>
          <w:rFonts w:ascii="Cambria" w:hAnsi="Cambria"/>
          <w:b/>
          <w:sz w:val="20"/>
          <w:szCs w:val="20"/>
        </w:rPr>
      </w:pPr>
    </w:p>
    <w:p w14:paraId="0A64CD54" w14:textId="77777777" w:rsidR="004427B6" w:rsidRDefault="004427B6" w:rsidP="00B246B9">
      <w:pPr>
        <w:pStyle w:val="Default"/>
        <w:jc w:val="center"/>
        <w:rPr>
          <w:rFonts w:ascii="Cambria" w:hAnsi="Cambria"/>
          <w:b/>
          <w:sz w:val="20"/>
          <w:szCs w:val="20"/>
        </w:rPr>
      </w:pPr>
    </w:p>
    <w:p w14:paraId="3E7C5C01" w14:textId="77777777" w:rsidR="004427B6" w:rsidRPr="00324B33" w:rsidRDefault="004427B6" w:rsidP="00B246B9">
      <w:pPr>
        <w:pStyle w:val="Default"/>
        <w:jc w:val="center"/>
        <w:rPr>
          <w:rFonts w:ascii="Cambria" w:hAnsi="Cambria"/>
          <w:b/>
          <w:sz w:val="20"/>
          <w:szCs w:val="20"/>
        </w:rPr>
      </w:pPr>
    </w:p>
    <w:p w14:paraId="02D3C1AC" w14:textId="77777777" w:rsidR="004427B6" w:rsidRPr="004427B6" w:rsidRDefault="00B246B9" w:rsidP="00B246B9">
      <w:pPr>
        <w:pStyle w:val="Default"/>
        <w:ind w:left="2127" w:hanging="2127"/>
        <w:jc w:val="center"/>
        <w:rPr>
          <w:rFonts w:ascii="Cambria" w:hAnsi="Cambria"/>
          <w:b/>
          <w:bCs/>
          <w:color w:val="auto"/>
          <w:sz w:val="18"/>
          <w:szCs w:val="18"/>
        </w:rPr>
      </w:pPr>
      <w:r w:rsidRPr="004427B6">
        <w:rPr>
          <w:rFonts w:ascii="Cambria" w:hAnsi="Cambria"/>
          <w:b/>
          <w:bCs/>
          <w:sz w:val="18"/>
          <w:szCs w:val="18"/>
        </w:rPr>
        <w:lastRenderedPageBreak/>
        <w:t xml:space="preserve">Figure 2.     </w:t>
      </w:r>
      <w:r w:rsidRPr="004427B6">
        <w:rPr>
          <w:rFonts w:ascii="Cambria" w:hAnsi="Cambria"/>
          <w:b/>
          <w:bCs/>
          <w:color w:val="auto"/>
          <w:sz w:val="18"/>
          <w:szCs w:val="18"/>
        </w:rPr>
        <w:t xml:space="preserve">Funds received by the IACHR as of December 31, 2023, distributed by financing source </w:t>
      </w:r>
    </w:p>
    <w:p w14:paraId="39D2BFE4" w14:textId="10B999A9" w:rsidR="00B246B9" w:rsidRPr="004427B6" w:rsidRDefault="00B246B9" w:rsidP="00B246B9">
      <w:pPr>
        <w:pStyle w:val="Default"/>
        <w:ind w:left="2127" w:hanging="2127"/>
        <w:jc w:val="center"/>
        <w:rPr>
          <w:rFonts w:ascii="Cambria" w:hAnsi="Cambria"/>
          <w:b/>
          <w:bCs/>
          <w:color w:val="auto"/>
          <w:sz w:val="18"/>
          <w:szCs w:val="18"/>
        </w:rPr>
      </w:pPr>
      <w:r w:rsidRPr="004427B6">
        <w:rPr>
          <w:rFonts w:ascii="Cambria" w:hAnsi="Cambria"/>
          <w:b/>
          <w:bCs/>
          <w:color w:val="auto"/>
          <w:sz w:val="18"/>
          <w:szCs w:val="18"/>
        </w:rPr>
        <w:t>(Amounts in USD, preliminary, unaudited)</w:t>
      </w:r>
    </w:p>
    <w:p w14:paraId="65185F6C" w14:textId="77777777" w:rsidR="00B246B9" w:rsidRPr="00324B33" w:rsidRDefault="00B246B9" w:rsidP="00B246B9">
      <w:pPr>
        <w:pStyle w:val="Default"/>
        <w:rPr>
          <w:rFonts w:ascii="Cambria" w:hAnsi="Cambria"/>
          <w:b/>
          <w:color w:val="auto"/>
          <w:sz w:val="20"/>
          <w:szCs w:val="20"/>
        </w:rPr>
      </w:pPr>
    </w:p>
    <w:p w14:paraId="7311AB04" w14:textId="77777777" w:rsidR="00B246B9" w:rsidRDefault="00B246B9" w:rsidP="00B246B9">
      <w:pPr>
        <w:pStyle w:val="Default"/>
        <w:ind w:left="2127" w:hanging="2127"/>
        <w:jc w:val="center"/>
      </w:pPr>
      <w:r>
        <w:rPr>
          <w:noProof/>
        </w:rPr>
        <w:drawing>
          <wp:inline distT="0" distB="0" distL="0" distR="0" wp14:anchorId="600F8A47" wp14:editId="4F38BF2D">
            <wp:extent cx="5943600" cy="4286250"/>
            <wp:effectExtent l="0" t="0" r="0" b="0"/>
            <wp:docPr id="1559819839" name="Picture 1559819839" descr="A pie chart of a financial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19839" name="Picture 1559819839" descr="A pie chart of a financial graph&#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4286250"/>
                    </a:xfrm>
                    <a:prstGeom prst="rect">
                      <a:avLst/>
                    </a:prstGeom>
                  </pic:spPr>
                </pic:pic>
              </a:graphicData>
            </a:graphic>
          </wp:inline>
        </w:drawing>
      </w:r>
    </w:p>
    <w:p w14:paraId="07DAB12B" w14:textId="77777777" w:rsidR="00B246B9" w:rsidRDefault="00B246B9" w:rsidP="00B246B9">
      <w:pPr>
        <w:pStyle w:val="Default"/>
        <w:rPr>
          <w:rFonts w:ascii="Cambria" w:hAnsi="Cambria"/>
          <w:b/>
          <w:sz w:val="20"/>
          <w:szCs w:val="20"/>
          <w:lang w:val="es-ES_tradnl"/>
        </w:rPr>
      </w:pPr>
    </w:p>
    <w:p w14:paraId="73605DF8" w14:textId="77777777" w:rsidR="00B246B9" w:rsidRDefault="00B246B9" w:rsidP="00B246B9">
      <w:pPr>
        <w:pStyle w:val="Default"/>
        <w:rPr>
          <w:rFonts w:ascii="Cambria" w:hAnsi="Cambria"/>
          <w:b/>
          <w:sz w:val="20"/>
          <w:szCs w:val="20"/>
          <w:lang w:val="es-ES_tradnl"/>
        </w:rPr>
      </w:pPr>
    </w:p>
    <w:p w14:paraId="5301EC67" w14:textId="77777777" w:rsidR="00B246B9" w:rsidRDefault="00B246B9" w:rsidP="00B246B9">
      <w:pPr>
        <w:pStyle w:val="Default"/>
        <w:rPr>
          <w:rFonts w:ascii="Cambria" w:hAnsi="Cambria"/>
          <w:b/>
          <w:sz w:val="20"/>
          <w:szCs w:val="20"/>
          <w:lang w:val="es-ES_tradnl"/>
        </w:rPr>
      </w:pPr>
    </w:p>
    <w:p w14:paraId="0BD70842" w14:textId="77777777" w:rsidR="00B246B9" w:rsidRPr="002001F7" w:rsidRDefault="00B246B9" w:rsidP="004427B6">
      <w:pPr>
        <w:pStyle w:val="IAPrrafo"/>
      </w:pPr>
      <w:r>
        <w:t>The following table shows contributions received by the IACHR by source of financing.</w:t>
      </w:r>
    </w:p>
    <w:p w14:paraId="68BF56AA" w14:textId="77777777" w:rsidR="004427B6" w:rsidRDefault="004427B6" w:rsidP="00B246B9">
      <w:pPr>
        <w:jc w:val="center"/>
        <w:rPr>
          <w:b/>
          <w:bCs/>
          <w:sz w:val="18"/>
          <w:szCs w:val="18"/>
        </w:rPr>
      </w:pPr>
    </w:p>
    <w:p w14:paraId="5D2D6F31" w14:textId="31496BF5" w:rsidR="004427B6" w:rsidRDefault="00B246B9" w:rsidP="00B246B9">
      <w:pPr>
        <w:jc w:val="center"/>
        <w:rPr>
          <w:b/>
          <w:bCs/>
          <w:sz w:val="18"/>
          <w:szCs w:val="18"/>
        </w:rPr>
      </w:pPr>
      <w:r w:rsidRPr="004427B6">
        <w:rPr>
          <w:b/>
          <w:bCs/>
          <w:sz w:val="18"/>
          <w:szCs w:val="18"/>
        </w:rPr>
        <w:t xml:space="preserve">Table 1.  </w:t>
      </w:r>
      <w:bookmarkStart w:id="6" w:name="OLE_LINK1"/>
      <w:r w:rsidRPr="004427B6">
        <w:rPr>
          <w:b/>
          <w:bCs/>
          <w:sz w:val="18"/>
          <w:szCs w:val="18"/>
        </w:rPr>
        <w:t xml:space="preserve"> Contributions of Funds Received by the IACHR as of December 31, 2023. By financing source and specific issue </w:t>
      </w:r>
    </w:p>
    <w:p w14:paraId="53648179" w14:textId="05E27EF7" w:rsidR="00B246B9" w:rsidRPr="004427B6" w:rsidRDefault="00B246B9" w:rsidP="00B246B9">
      <w:pPr>
        <w:jc w:val="center"/>
        <w:rPr>
          <w:b/>
          <w:bCs/>
          <w:sz w:val="18"/>
          <w:szCs w:val="18"/>
        </w:rPr>
      </w:pPr>
      <w:r w:rsidRPr="004427B6">
        <w:rPr>
          <w:b/>
          <w:bCs/>
          <w:sz w:val="18"/>
          <w:szCs w:val="18"/>
        </w:rPr>
        <w:t>(Amounts in USD, preliminary, unaudited)</w:t>
      </w:r>
      <w:r w:rsidRPr="004427B6">
        <w:rPr>
          <w:rStyle w:val="FootnoteReference"/>
          <w:b/>
          <w:bCs/>
          <w:sz w:val="18"/>
          <w:szCs w:val="18"/>
        </w:rPr>
        <w:t xml:space="preserve"> </w:t>
      </w:r>
      <w:r w:rsidRPr="004427B6">
        <w:rPr>
          <w:rStyle w:val="FootnoteReference"/>
          <w:b/>
          <w:bCs/>
          <w:sz w:val="18"/>
          <w:szCs w:val="18"/>
          <w:lang w:val="es-ES"/>
        </w:rPr>
        <w:footnoteReference w:id="3"/>
      </w:r>
      <w:r w:rsidRPr="004427B6">
        <w:rPr>
          <w:b/>
          <w:bCs/>
          <w:sz w:val="18"/>
          <w:szCs w:val="18"/>
        </w:rPr>
        <w:t xml:space="preserve"> </w:t>
      </w:r>
      <w:r w:rsidRPr="004427B6">
        <w:rPr>
          <w:rStyle w:val="FootnoteReference"/>
          <w:b/>
          <w:bCs/>
          <w:sz w:val="18"/>
          <w:szCs w:val="18"/>
          <w:lang w:val="es-ES"/>
        </w:rPr>
        <w:footnoteReference w:id="4"/>
      </w:r>
    </w:p>
    <w:p w14:paraId="51C7F352" w14:textId="77777777" w:rsidR="00B246B9" w:rsidRPr="00384285" w:rsidRDefault="00B246B9" w:rsidP="00B246B9"/>
    <w:p w14:paraId="7ECE6DFF" w14:textId="77777777" w:rsidR="00B246B9" w:rsidRDefault="00B246B9" w:rsidP="00B246B9"/>
    <w:p w14:paraId="505ECE57" w14:textId="77777777" w:rsidR="00B246B9" w:rsidRDefault="00B246B9" w:rsidP="00B246B9"/>
    <w:p w14:paraId="601EBF70" w14:textId="77777777" w:rsidR="00B246B9" w:rsidRPr="00324B33" w:rsidRDefault="00B246B9" w:rsidP="00B246B9">
      <w:pPr>
        <w:pStyle w:val="Default"/>
        <w:jc w:val="center"/>
        <w:rPr>
          <w:rFonts w:ascii="Cambria" w:hAnsi="Cambria"/>
          <w:b/>
          <w:sz w:val="20"/>
          <w:szCs w:val="20"/>
        </w:rPr>
      </w:pPr>
      <w:r w:rsidRPr="00FA6A77">
        <w:rPr>
          <w:noProof/>
        </w:rPr>
        <w:lastRenderedPageBreak/>
        <w:drawing>
          <wp:inline distT="0" distB="0" distL="0" distR="0" wp14:anchorId="4F0B0514" wp14:editId="74CEA109">
            <wp:extent cx="4833620" cy="8229600"/>
            <wp:effectExtent l="0" t="0" r="5080" b="0"/>
            <wp:docPr id="999046539" name="Picture 99904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3620" cy="8229600"/>
                    </a:xfrm>
                    <a:prstGeom prst="rect">
                      <a:avLst/>
                    </a:prstGeom>
                    <a:noFill/>
                    <a:ln>
                      <a:noFill/>
                    </a:ln>
                  </pic:spPr>
                </pic:pic>
              </a:graphicData>
            </a:graphic>
          </wp:inline>
        </w:drawing>
      </w:r>
    </w:p>
    <w:p w14:paraId="08EC68A3" w14:textId="77777777" w:rsidR="00B246B9" w:rsidRPr="00FA6A77" w:rsidRDefault="00B246B9" w:rsidP="0043134A">
      <w:pPr>
        <w:pStyle w:val="Default"/>
      </w:pPr>
    </w:p>
    <w:p w14:paraId="7076FB0C" w14:textId="77777777" w:rsidR="00B246B9" w:rsidRPr="0043134A" w:rsidRDefault="00B246B9" w:rsidP="0043134A">
      <w:pPr>
        <w:pStyle w:val="IAPrrafo"/>
        <w:rPr>
          <w:rFonts w:eastAsia="Times New Roman" w:cs="Calibri"/>
          <w:b/>
          <w:bCs/>
        </w:rPr>
      </w:pPr>
      <w:r w:rsidRPr="0043134A">
        <w:t xml:space="preserve">The following table shows changes in the balance of funds for projects financed by specific funds of the IACHR as of December 31, 2023. </w:t>
      </w:r>
    </w:p>
    <w:p w14:paraId="1F89E04A" w14:textId="77777777" w:rsidR="00B246B9" w:rsidRPr="00324B33" w:rsidRDefault="00B246B9" w:rsidP="00B246B9">
      <w:pPr>
        <w:pStyle w:val="Default"/>
        <w:ind w:left="1843" w:hanging="850"/>
        <w:jc w:val="center"/>
        <w:rPr>
          <w:rFonts w:ascii="Cambria" w:hAnsi="Cambria"/>
          <w:b/>
          <w:color w:val="auto"/>
          <w:sz w:val="20"/>
          <w:szCs w:val="20"/>
        </w:rPr>
      </w:pPr>
    </w:p>
    <w:p w14:paraId="798BC6C7" w14:textId="77777777" w:rsidR="004C7F7D" w:rsidRDefault="00B246B9" w:rsidP="00B53372">
      <w:pPr>
        <w:pStyle w:val="Default"/>
        <w:ind w:left="1843" w:hanging="850"/>
        <w:jc w:val="center"/>
        <w:rPr>
          <w:rFonts w:ascii="Cambria" w:hAnsi="Cambria"/>
          <w:b/>
          <w:bCs/>
          <w:color w:val="auto"/>
          <w:sz w:val="18"/>
          <w:szCs w:val="18"/>
        </w:rPr>
      </w:pPr>
      <w:r w:rsidRPr="0097211D">
        <w:rPr>
          <w:rFonts w:ascii="Cambria" w:hAnsi="Cambria"/>
          <w:b/>
          <w:bCs/>
          <w:color w:val="auto"/>
          <w:sz w:val="18"/>
          <w:szCs w:val="18"/>
        </w:rPr>
        <w:t xml:space="preserve">Table 2. Report on changes in the balance of Specific Funds, by project. </w:t>
      </w:r>
    </w:p>
    <w:p w14:paraId="2C84D3F4" w14:textId="77777777" w:rsidR="004C7F7D" w:rsidRDefault="00B246B9" w:rsidP="00B53372">
      <w:pPr>
        <w:pStyle w:val="Default"/>
        <w:ind w:left="1843" w:hanging="850"/>
        <w:jc w:val="center"/>
        <w:rPr>
          <w:rFonts w:ascii="Cambria" w:hAnsi="Cambria"/>
          <w:b/>
          <w:bCs/>
          <w:color w:val="auto"/>
          <w:sz w:val="18"/>
          <w:szCs w:val="18"/>
        </w:rPr>
      </w:pPr>
      <w:r w:rsidRPr="0097211D">
        <w:rPr>
          <w:rFonts w:ascii="Cambria" w:hAnsi="Cambria"/>
          <w:b/>
          <w:bCs/>
          <w:color w:val="auto"/>
          <w:sz w:val="18"/>
          <w:szCs w:val="18"/>
        </w:rPr>
        <w:t xml:space="preserve">Information </w:t>
      </w:r>
      <w:r w:rsidR="0097211D" w:rsidRPr="0097211D">
        <w:rPr>
          <w:rFonts w:ascii="Cambria" w:hAnsi="Cambria"/>
          <w:b/>
          <w:bCs/>
          <w:color w:val="auto"/>
          <w:sz w:val="18"/>
          <w:szCs w:val="18"/>
        </w:rPr>
        <w:t>on</w:t>
      </w:r>
      <w:r w:rsidRPr="0097211D">
        <w:rPr>
          <w:rFonts w:ascii="Cambria" w:hAnsi="Cambria"/>
          <w:b/>
          <w:bCs/>
          <w:color w:val="auto"/>
          <w:sz w:val="18"/>
          <w:szCs w:val="18"/>
        </w:rPr>
        <w:t xml:space="preserve"> December 31,</w:t>
      </w:r>
      <w:r w:rsidR="0097211D">
        <w:rPr>
          <w:rFonts w:ascii="Cambria" w:hAnsi="Cambria"/>
          <w:b/>
          <w:bCs/>
          <w:color w:val="auto"/>
          <w:sz w:val="18"/>
          <w:szCs w:val="18"/>
        </w:rPr>
        <w:t xml:space="preserve"> </w:t>
      </w:r>
      <w:r w:rsidRPr="0097211D">
        <w:rPr>
          <w:rFonts w:ascii="Cambria" w:hAnsi="Cambria"/>
          <w:b/>
          <w:bCs/>
          <w:color w:val="auto"/>
          <w:sz w:val="18"/>
          <w:szCs w:val="18"/>
        </w:rPr>
        <w:t xml:space="preserve">2023 </w:t>
      </w:r>
    </w:p>
    <w:p w14:paraId="076E4423" w14:textId="0255B170" w:rsidR="00B246B9" w:rsidRPr="00B53372" w:rsidRDefault="00B246B9" w:rsidP="00B53372">
      <w:pPr>
        <w:pStyle w:val="Default"/>
        <w:ind w:left="1843" w:hanging="850"/>
        <w:jc w:val="center"/>
        <w:rPr>
          <w:rFonts w:ascii="Cambria" w:hAnsi="Cambria"/>
          <w:b/>
          <w:bCs/>
          <w:color w:val="auto"/>
          <w:sz w:val="18"/>
          <w:szCs w:val="18"/>
        </w:rPr>
      </w:pPr>
      <w:r w:rsidRPr="0097211D">
        <w:rPr>
          <w:rFonts w:ascii="Cambria" w:hAnsi="Cambria"/>
          <w:b/>
          <w:bCs/>
          <w:color w:val="auto"/>
          <w:sz w:val="18"/>
          <w:szCs w:val="18"/>
        </w:rPr>
        <w:t>(Amounts in USD, preliminary, unaudited)</w:t>
      </w:r>
      <w:r w:rsidRPr="0097211D">
        <w:rPr>
          <w:rStyle w:val="FootnoteReference"/>
          <w:rFonts w:ascii="Cambria" w:hAnsi="Cambria"/>
          <w:b/>
          <w:bCs/>
          <w:color w:val="auto"/>
          <w:sz w:val="18"/>
          <w:szCs w:val="18"/>
          <w:lang w:val="es-ES"/>
        </w:rPr>
        <w:footnoteReference w:id="5"/>
      </w:r>
      <w:r w:rsidRPr="0097211D">
        <w:rPr>
          <w:rFonts w:ascii="Cambria" w:hAnsi="Cambria"/>
          <w:b/>
          <w:bCs/>
          <w:color w:val="auto"/>
          <w:sz w:val="18"/>
          <w:szCs w:val="18"/>
          <w:vertAlign w:val="superscript"/>
        </w:rPr>
        <w:t xml:space="preserve">, </w:t>
      </w:r>
      <w:r w:rsidRPr="0097211D">
        <w:rPr>
          <w:rStyle w:val="FootnoteReference"/>
          <w:rFonts w:ascii="Cambria" w:hAnsi="Cambria"/>
          <w:b/>
          <w:bCs/>
          <w:color w:val="auto"/>
          <w:sz w:val="18"/>
          <w:szCs w:val="18"/>
          <w:lang w:val="es-ES"/>
        </w:rPr>
        <w:footnoteReference w:id="6"/>
      </w:r>
      <w:r w:rsidRPr="0097211D">
        <w:rPr>
          <w:rFonts w:ascii="Cambria" w:hAnsi="Cambria"/>
          <w:b/>
          <w:bCs/>
          <w:color w:val="auto"/>
          <w:sz w:val="18"/>
          <w:szCs w:val="18"/>
          <w:vertAlign w:val="superscript"/>
        </w:rPr>
        <w:t xml:space="preserve"> </w:t>
      </w:r>
      <w:r w:rsidRPr="0097211D">
        <w:rPr>
          <w:rStyle w:val="FootnoteReference"/>
          <w:rFonts w:ascii="Cambria" w:hAnsi="Cambria"/>
          <w:b/>
          <w:bCs/>
          <w:color w:val="auto"/>
          <w:sz w:val="18"/>
          <w:szCs w:val="18"/>
          <w:lang w:val="es-ES"/>
        </w:rPr>
        <w:footnoteReference w:id="7"/>
      </w:r>
      <w:r w:rsidRPr="0097211D">
        <w:rPr>
          <w:rFonts w:ascii="Cambria" w:hAnsi="Cambria"/>
          <w:b/>
          <w:bCs/>
          <w:color w:val="auto"/>
          <w:sz w:val="18"/>
          <w:szCs w:val="18"/>
          <w:vertAlign w:val="superscript"/>
        </w:rPr>
        <w:t xml:space="preserve"> </w:t>
      </w:r>
      <w:r w:rsidRPr="0097211D">
        <w:rPr>
          <w:rStyle w:val="FootnoteReference"/>
          <w:rFonts w:ascii="Cambria" w:hAnsi="Cambria"/>
          <w:b/>
          <w:bCs/>
          <w:color w:val="auto"/>
          <w:sz w:val="18"/>
          <w:szCs w:val="18"/>
          <w:lang w:val="es-ES"/>
        </w:rPr>
        <w:footnoteReference w:id="8"/>
      </w:r>
    </w:p>
    <w:bookmarkEnd w:id="6"/>
    <w:p w14:paraId="15DC0580" w14:textId="77777777" w:rsidR="00B246B9" w:rsidRDefault="00B246B9" w:rsidP="0054166C">
      <w:pPr>
        <w:rPr>
          <w:rFonts w:eastAsia="Cambria" w:cs="Cambria"/>
          <w:color w:val="000000" w:themeColor="text1"/>
          <w:sz w:val="20"/>
          <w:szCs w:val="20"/>
        </w:rPr>
      </w:pPr>
    </w:p>
    <w:p w14:paraId="34CBB526" w14:textId="77777777" w:rsidR="00B246B9" w:rsidRDefault="00B246B9" w:rsidP="00B246B9">
      <w:pPr>
        <w:pStyle w:val="Default"/>
        <w:ind w:firstLine="993"/>
      </w:pPr>
      <w:r>
        <w:rPr>
          <w:noProof/>
        </w:rPr>
        <w:drawing>
          <wp:inline distT="0" distB="0" distL="0" distR="0" wp14:anchorId="3604CF21" wp14:editId="718AFE60">
            <wp:extent cx="5486400" cy="3810000"/>
            <wp:effectExtent l="0" t="0" r="0" b="0"/>
            <wp:docPr id="2019268730" name="Picture 2019268730"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68730" name="Picture 2019268730" descr="A screenshot of a graph&#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86400" cy="3810000"/>
                    </a:xfrm>
                    <a:prstGeom prst="rect">
                      <a:avLst/>
                    </a:prstGeom>
                  </pic:spPr>
                </pic:pic>
              </a:graphicData>
            </a:graphic>
          </wp:inline>
        </w:drawing>
      </w:r>
    </w:p>
    <w:p w14:paraId="1566A3FF" w14:textId="77777777" w:rsidR="00B246B9" w:rsidRPr="00E863EB" w:rsidRDefault="00B246B9" w:rsidP="0054166C">
      <w:pPr>
        <w:pStyle w:val="paragraphs"/>
        <w:numPr>
          <w:ilvl w:val="0"/>
          <w:numId w:val="0"/>
        </w:numPr>
        <w:rPr>
          <w:rFonts w:eastAsia="Times New Roman" w:cs="Calibri"/>
          <w:b/>
        </w:rPr>
      </w:pPr>
    </w:p>
    <w:p w14:paraId="1DAE205E" w14:textId="77777777" w:rsidR="00B246B9" w:rsidRPr="0054166C" w:rsidRDefault="00B246B9" w:rsidP="0054166C">
      <w:pPr>
        <w:pStyle w:val="IAPrrafo"/>
        <w:rPr>
          <w:rFonts w:eastAsia="Times New Roman" w:cs="Calibri"/>
          <w:b/>
          <w:bCs/>
        </w:rPr>
      </w:pPr>
      <w:r w:rsidRPr="0054166C">
        <w:t>The following figure shows the distribution of IACHR expenditure by financing source as of December 31, 2023. Expenses financed through the regular fund account for 53%, those financed by specific funds account for 46%, and ICR for 1%.</w:t>
      </w:r>
      <w:r w:rsidRPr="0054166C">
        <w:br w:type="page"/>
      </w:r>
    </w:p>
    <w:p w14:paraId="1F238DCE" w14:textId="77777777" w:rsidR="00990E76" w:rsidRDefault="00B246B9" w:rsidP="00B246B9">
      <w:pPr>
        <w:pStyle w:val="Default"/>
        <w:ind w:left="1985" w:hanging="992"/>
        <w:jc w:val="center"/>
        <w:rPr>
          <w:rFonts w:ascii="Cambria" w:hAnsi="Cambria"/>
          <w:b/>
          <w:bCs/>
          <w:color w:val="auto"/>
          <w:sz w:val="18"/>
          <w:szCs w:val="18"/>
        </w:rPr>
      </w:pPr>
      <w:r w:rsidRPr="0054166C">
        <w:rPr>
          <w:rFonts w:ascii="Cambria" w:hAnsi="Cambria"/>
          <w:b/>
          <w:bCs/>
          <w:color w:val="auto"/>
          <w:sz w:val="18"/>
          <w:szCs w:val="18"/>
        </w:rPr>
        <w:lastRenderedPageBreak/>
        <w:t xml:space="preserve">Figure 3. Distribution of IACHR Expenditure by Financing Source </w:t>
      </w:r>
      <w:r w:rsidR="0054166C" w:rsidRPr="0054166C">
        <w:rPr>
          <w:rFonts w:ascii="Cambria" w:hAnsi="Cambria"/>
          <w:b/>
          <w:bCs/>
          <w:color w:val="auto"/>
          <w:sz w:val="18"/>
          <w:szCs w:val="18"/>
        </w:rPr>
        <w:t>on</w:t>
      </w:r>
      <w:r w:rsidRPr="0054166C">
        <w:rPr>
          <w:rFonts w:ascii="Cambria" w:hAnsi="Cambria"/>
          <w:b/>
          <w:bCs/>
          <w:color w:val="auto"/>
          <w:sz w:val="18"/>
          <w:szCs w:val="18"/>
        </w:rPr>
        <w:t xml:space="preserve"> December 31, 2023 </w:t>
      </w:r>
    </w:p>
    <w:p w14:paraId="3C1C6880" w14:textId="0658FE61" w:rsidR="00B246B9" w:rsidRPr="0054166C" w:rsidRDefault="00B246B9" w:rsidP="00B246B9">
      <w:pPr>
        <w:pStyle w:val="Default"/>
        <w:ind w:left="1985" w:hanging="992"/>
        <w:jc w:val="center"/>
        <w:rPr>
          <w:rFonts w:ascii="Cambria" w:hAnsi="Cambria"/>
          <w:b/>
          <w:bCs/>
          <w:color w:val="auto"/>
          <w:sz w:val="18"/>
          <w:szCs w:val="18"/>
        </w:rPr>
      </w:pPr>
      <w:r w:rsidRPr="0054166C">
        <w:rPr>
          <w:rFonts w:ascii="Cambria" w:hAnsi="Cambria"/>
          <w:b/>
          <w:bCs/>
          <w:color w:val="auto"/>
          <w:sz w:val="18"/>
          <w:szCs w:val="18"/>
        </w:rPr>
        <w:t>(Amounts in USD, preliminary, unaudited)</w:t>
      </w:r>
    </w:p>
    <w:p w14:paraId="28E1D2BD" w14:textId="7D1F77EF" w:rsidR="00B246B9" w:rsidRPr="00324B33" w:rsidRDefault="00B246B9" w:rsidP="00B246B9">
      <w:pPr>
        <w:pStyle w:val="Default"/>
        <w:ind w:left="1985" w:hanging="992"/>
        <w:jc w:val="center"/>
      </w:pPr>
    </w:p>
    <w:p w14:paraId="7A5E6723" w14:textId="3B48F985" w:rsidR="00B246B9" w:rsidRPr="00B763D5" w:rsidRDefault="00990E76" w:rsidP="00B246B9">
      <w:pPr>
        <w:pStyle w:val="Default"/>
        <w:ind w:left="1985" w:hanging="992"/>
        <w:jc w:val="center"/>
        <w:rPr>
          <w:rFonts w:ascii="Cambria" w:hAnsi="Cambria"/>
          <w:sz w:val="20"/>
          <w:szCs w:val="20"/>
        </w:rPr>
      </w:pPr>
      <w:r>
        <w:rPr>
          <w:noProof/>
        </w:rPr>
        <w:drawing>
          <wp:anchor distT="0" distB="0" distL="114300" distR="114300" simplePos="0" relativeHeight="251658240" behindDoc="0" locked="0" layoutInCell="1" allowOverlap="1" wp14:anchorId="7C4D9D76" wp14:editId="79993A28">
            <wp:simplePos x="0" y="0"/>
            <wp:positionH relativeFrom="margin">
              <wp:align>right</wp:align>
            </wp:positionH>
            <wp:positionV relativeFrom="paragraph">
              <wp:posOffset>154885</wp:posOffset>
            </wp:positionV>
            <wp:extent cx="5486400" cy="3562350"/>
            <wp:effectExtent l="0" t="0" r="0" b="0"/>
            <wp:wrapSquare wrapText="bothSides"/>
            <wp:docPr id="780961141" name="Picture 780961141" descr="A pie chart with numbers and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1141" name="Picture 780961141" descr="A pie chart with numbers and a green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86400" cy="3562350"/>
                    </a:xfrm>
                    <a:prstGeom prst="rect">
                      <a:avLst/>
                    </a:prstGeom>
                  </pic:spPr>
                </pic:pic>
              </a:graphicData>
            </a:graphic>
          </wp:anchor>
        </w:drawing>
      </w:r>
    </w:p>
    <w:p w14:paraId="42994BDD" w14:textId="69974B25" w:rsidR="00B246B9" w:rsidRPr="00133937" w:rsidRDefault="00B246B9" w:rsidP="00133937">
      <w:pPr>
        <w:pStyle w:val="IAPrrafo"/>
      </w:pPr>
      <w:r>
        <w:t>The following table and figure show the distribution of IACHR expenditure by source of financial and item of expenditure.</w:t>
      </w:r>
    </w:p>
    <w:p w14:paraId="0E003268" w14:textId="7DD949CD" w:rsidR="00B246B9" w:rsidRDefault="00B246B9" w:rsidP="00B246B9">
      <w:pPr>
        <w:pStyle w:val="Default"/>
        <w:jc w:val="center"/>
        <w:rPr>
          <w:rFonts w:ascii="Cambria" w:hAnsi="Cambria"/>
          <w:b/>
          <w:bCs/>
          <w:color w:val="auto"/>
          <w:sz w:val="18"/>
          <w:szCs w:val="18"/>
        </w:rPr>
      </w:pPr>
      <w:r w:rsidRPr="00416C1D">
        <w:rPr>
          <w:rFonts w:ascii="Cambria" w:hAnsi="Cambria"/>
          <w:b/>
          <w:bCs/>
          <w:sz w:val="18"/>
          <w:szCs w:val="18"/>
        </w:rPr>
        <w:t xml:space="preserve">Table 3. </w:t>
      </w:r>
      <w:r w:rsidRPr="00416C1D">
        <w:rPr>
          <w:rFonts w:ascii="Cambria" w:hAnsi="Cambria"/>
          <w:b/>
          <w:bCs/>
          <w:color w:val="auto"/>
          <w:sz w:val="18"/>
          <w:szCs w:val="18"/>
        </w:rPr>
        <w:t xml:space="preserve">Distribution of expenditure of the IACHR by source of financing and items of </w:t>
      </w:r>
      <w:r w:rsidR="007C0F93" w:rsidRPr="00416C1D">
        <w:rPr>
          <w:rFonts w:ascii="Cambria" w:hAnsi="Cambria"/>
          <w:b/>
          <w:bCs/>
          <w:color w:val="auto"/>
          <w:sz w:val="18"/>
          <w:szCs w:val="18"/>
        </w:rPr>
        <w:t>expenditure on</w:t>
      </w:r>
      <w:r w:rsidRPr="00416C1D">
        <w:rPr>
          <w:rFonts w:ascii="Cambria" w:hAnsi="Cambria"/>
          <w:b/>
          <w:bCs/>
          <w:color w:val="auto"/>
          <w:sz w:val="18"/>
          <w:szCs w:val="18"/>
        </w:rPr>
        <w:t xml:space="preserve"> December 31, 2023</w:t>
      </w:r>
    </w:p>
    <w:p w14:paraId="2ED7E93C" w14:textId="2C1B5E97" w:rsidR="007C0F93" w:rsidRPr="00416C1D" w:rsidRDefault="007C0F93" w:rsidP="00B246B9">
      <w:pPr>
        <w:pStyle w:val="Default"/>
        <w:jc w:val="center"/>
        <w:rPr>
          <w:rFonts w:ascii="Cambria" w:hAnsi="Cambria"/>
          <w:b/>
          <w:bCs/>
          <w:color w:val="auto"/>
          <w:sz w:val="18"/>
          <w:szCs w:val="18"/>
        </w:rPr>
      </w:pPr>
      <w:r w:rsidRPr="00416C1D">
        <w:rPr>
          <w:rFonts w:ascii="Cambria" w:hAnsi="Cambria"/>
          <w:b/>
          <w:bCs/>
          <w:color w:val="auto"/>
          <w:sz w:val="18"/>
          <w:szCs w:val="18"/>
        </w:rPr>
        <w:t>(Amounts rounded off, in USD thousands, preliminary, unaudited)</w:t>
      </w:r>
    </w:p>
    <w:p w14:paraId="389A8072" w14:textId="77777777" w:rsidR="00B246B9" w:rsidRDefault="00B246B9" w:rsidP="00B246B9">
      <w:pPr>
        <w:jc w:val="center"/>
        <w:rPr>
          <w:rFonts w:eastAsia="Cambria" w:cs="Cambria"/>
          <w:color w:val="000000" w:themeColor="text1"/>
          <w:sz w:val="20"/>
          <w:szCs w:val="20"/>
        </w:rPr>
      </w:pPr>
    </w:p>
    <w:tbl>
      <w:tblPr>
        <w:tblStyle w:val="ListTable4-Accent1"/>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77"/>
        <w:gridCol w:w="1103"/>
        <w:gridCol w:w="1341"/>
        <w:gridCol w:w="1341"/>
        <w:gridCol w:w="1997"/>
      </w:tblGrid>
      <w:tr w:rsidR="00B246B9" w14:paraId="481EE4BF" w14:textId="77777777" w:rsidTr="0040052B">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577" w:type="dxa"/>
            <w:tcBorders>
              <w:top w:val="single" w:sz="6" w:space="0" w:color="4472C4" w:themeColor="accent1"/>
              <w:left w:val="single" w:sz="6" w:space="0" w:color="4472C4" w:themeColor="accent1"/>
              <w:bottom w:val="single" w:sz="6" w:space="0" w:color="4472C4" w:themeColor="accent1"/>
            </w:tcBorders>
            <w:tcMar>
              <w:left w:w="105" w:type="dxa"/>
              <w:right w:w="105" w:type="dxa"/>
            </w:tcMar>
          </w:tcPr>
          <w:p w14:paraId="1A3E65E4" w14:textId="77777777" w:rsidR="00B246B9" w:rsidRPr="00FA6A77" w:rsidRDefault="00B246B9" w:rsidP="0040052B">
            <w:pPr>
              <w:jc w:val="center"/>
              <w:rPr>
                <w:rFonts w:eastAsia="Cambria" w:cs="Cambria"/>
                <w:color w:val="000000" w:themeColor="text1"/>
                <w:sz w:val="20"/>
                <w:szCs w:val="20"/>
                <w:lang w:val="pt-BR"/>
              </w:rPr>
            </w:pPr>
            <w:r w:rsidRPr="799FD231">
              <w:rPr>
                <w:rFonts w:eastAsia="Cambria" w:cs="Cambria"/>
                <w:color w:val="000000" w:themeColor="text1"/>
                <w:sz w:val="20"/>
                <w:szCs w:val="20"/>
                <w:lang w:val="pt-BR"/>
              </w:rPr>
              <w:t>Objeto de Gasto / Item of Expenditure</w:t>
            </w:r>
            <w:r w:rsidRPr="00FA6A77">
              <w:rPr>
                <w:lang w:val="pt-BR"/>
              </w:rPr>
              <w:br/>
            </w:r>
          </w:p>
        </w:tc>
        <w:tc>
          <w:tcPr>
            <w:tcW w:w="1103" w:type="dxa"/>
            <w:tcBorders>
              <w:top w:val="single" w:sz="6" w:space="0" w:color="4472C4" w:themeColor="accent1"/>
              <w:bottom w:val="single" w:sz="6" w:space="0" w:color="4472C4" w:themeColor="accent1"/>
            </w:tcBorders>
            <w:tcMar>
              <w:left w:w="105" w:type="dxa"/>
              <w:right w:w="105" w:type="dxa"/>
            </w:tcMar>
          </w:tcPr>
          <w:p w14:paraId="66D79273" w14:textId="77777777" w:rsidR="00B246B9" w:rsidRDefault="00B246B9" w:rsidP="0040052B">
            <w:pPr>
              <w:jc w:val="center"/>
              <w:cnfStyle w:val="100000000000" w:firstRow="1" w:lastRow="0" w:firstColumn="0" w:lastColumn="0" w:oddVBand="0" w:evenVBand="0" w:oddHBand="0" w:evenHBand="0" w:firstRowFirstColumn="0" w:firstRowLastColumn="0" w:lastRowFirstColumn="0" w:lastRowLastColumn="0"/>
              <w:rPr>
                <w:rFonts w:eastAsia="Cambria" w:cs="Cambria"/>
                <w:b w:val="0"/>
                <w:bCs w:val="0"/>
                <w:color w:val="000000" w:themeColor="text1"/>
                <w:sz w:val="20"/>
                <w:szCs w:val="20"/>
              </w:rPr>
            </w:pPr>
            <w:r w:rsidRPr="799FD231">
              <w:rPr>
                <w:rFonts w:eastAsia="Cambria" w:cs="Cambria"/>
                <w:color w:val="000000" w:themeColor="text1"/>
                <w:sz w:val="20"/>
                <w:szCs w:val="20"/>
                <w:lang w:val="pt-BR"/>
              </w:rPr>
              <w:t xml:space="preserve"> </w:t>
            </w:r>
            <w:r w:rsidRPr="799FD231">
              <w:rPr>
                <w:rFonts w:eastAsia="Cambria" w:cs="Cambria"/>
                <w:color w:val="000000" w:themeColor="text1"/>
                <w:sz w:val="20"/>
                <w:szCs w:val="20"/>
              </w:rPr>
              <w:t>Fondo Regular / Regular Fund</w:t>
            </w:r>
          </w:p>
        </w:tc>
        <w:tc>
          <w:tcPr>
            <w:tcW w:w="1341" w:type="dxa"/>
            <w:tcBorders>
              <w:top w:val="single" w:sz="6" w:space="0" w:color="4472C4" w:themeColor="accent1"/>
              <w:bottom w:val="single" w:sz="6" w:space="0" w:color="4472C4" w:themeColor="accent1"/>
            </w:tcBorders>
            <w:tcMar>
              <w:left w:w="105" w:type="dxa"/>
              <w:right w:w="105" w:type="dxa"/>
            </w:tcMar>
          </w:tcPr>
          <w:p w14:paraId="771A2F93" w14:textId="3F2E9ED0" w:rsidR="00B246B9" w:rsidRDefault="00B246B9" w:rsidP="0040052B">
            <w:pPr>
              <w:jc w:val="center"/>
              <w:cnfStyle w:val="100000000000" w:firstRow="1" w:lastRow="0" w:firstColumn="0" w:lastColumn="0" w:oddVBand="0" w:evenVBand="0" w:oddHBand="0" w:evenHBand="0" w:firstRowFirstColumn="0" w:firstRowLastColumn="0" w:lastRowFirstColumn="0" w:lastRowLastColumn="0"/>
              <w:rPr>
                <w:rFonts w:eastAsia="Cambria" w:cs="Cambria"/>
                <w:b w:val="0"/>
                <w:bCs w:val="0"/>
                <w:color w:val="000000" w:themeColor="text1"/>
                <w:sz w:val="20"/>
                <w:szCs w:val="20"/>
              </w:rPr>
            </w:pPr>
            <w:r w:rsidRPr="799FD231">
              <w:rPr>
                <w:rFonts w:eastAsia="Cambria" w:cs="Cambria"/>
                <w:color w:val="000000" w:themeColor="text1"/>
                <w:sz w:val="20"/>
                <w:szCs w:val="20"/>
              </w:rPr>
              <w:t xml:space="preserve">  </w:t>
            </w:r>
            <w:r w:rsidRPr="00133937">
              <w:rPr>
                <w:rFonts w:eastAsia="Cambria" w:cs="Cambria"/>
                <w:color w:val="000000" w:themeColor="text1"/>
                <w:sz w:val="20"/>
                <w:szCs w:val="20"/>
                <w:lang w:val="es-CO"/>
              </w:rPr>
              <w:t xml:space="preserve">Fondos </w:t>
            </w:r>
            <w:r w:rsidR="00133937" w:rsidRPr="00133937">
              <w:rPr>
                <w:rFonts w:eastAsia="Cambria" w:cs="Cambria"/>
                <w:color w:val="000000" w:themeColor="text1"/>
                <w:sz w:val="20"/>
                <w:szCs w:val="20"/>
                <w:lang w:val="es-CO"/>
              </w:rPr>
              <w:t>específicos</w:t>
            </w:r>
            <w:r w:rsidRPr="799FD231">
              <w:rPr>
                <w:rFonts w:eastAsia="Cambria" w:cs="Cambria"/>
                <w:color w:val="000000" w:themeColor="text1"/>
                <w:sz w:val="20"/>
                <w:szCs w:val="20"/>
              </w:rPr>
              <w:t xml:space="preserve">/ Specific Funds </w:t>
            </w:r>
          </w:p>
        </w:tc>
        <w:tc>
          <w:tcPr>
            <w:tcW w:w="1341" w:type="dxa"/>
            <w:tcBorders>
              <w:top w:val="single" w:sz="6" w:space="0" w:color="4472C4" w:themeColor="accent1"/>
              <w:bottom w:val="single" w:sz="6" w:space="0" w:color="4472C4" w:themeColor="accent1"/>
            </w:tcBorders>
            <w:tcMar>
              <w:left w:w="105" w:type="dxa"/>
              <w:right w:w="105" w:type="dxa"/>
            </w:tcMar>
          </w:tcPr>
          <w:p w14:paraId="42A00686" w14:textId="77777777" w:rsidR="00B246B9" w:rsidRDefault="00B246B9" w:rsidP="0040052B">
            <w:pPr>
              <w:jc w:val="center"/>
              <w:cnfStyle w:val="100000000000" w:firstRow="1" w:lastRow="0" w:firstColumn="0" w:lastColumn="0" w:oddVBand="0" w:evenVBand="0" w:oddHBand="0" w:evenHBand="0" w:firstRowFirstColumn="0" w:firstRowLastColumn="0" w:lastRowFirstColumn="0" w:lastRowLastColumn="0"/>
              <w:rPr>
                <w:rFonts w:eastAsia="Cambria" w:cs="Cambria"/>
                <w:b w:val="0"/>
                <w:bCs w:val="0"/>
                <w:color w:val="000000" w:themeColor="text1"/>
                <w:sz w:val="20"/>
                <w:szCs w:val="20"/>
              </w:rPr>
            </w:pPr>
            <w:r w:rsidRPr="799FD231">
              <w:rPr>
                <w:rFonts w:eastAsia="Cambria" w:cs="Cambria"/>
                <w:color w:val="000000" w:themeColor="text1"/>
                <w:sz w:val="20"/>
                <w:szCs w:val="20"/>
              </w:rPr>
              <w:t xml:space="preserve">  Fondo ICR / ICR Fund </w:t>
            </w:r>
          </w:p>
        </w:tc>
        <w:tc>
          <w:tcPr>
            <w:tcW w:w="1997" w:type="dxa"/>
            <w:tcBorders>
              <w:top w:val="single" w:sz="6" w:space="0" w:color="4472C4" w:themeColor="accent1"/>
              <w:bottom w:val="single" w:sz="6" w:space="0" w:color="4472C4" w:themeColor="accent1"/>
              <w:right w:val="single" w:sz="6" w:space="0" w:color="4472C4" w:themeColor="accent1"/>
            </w:tcBorders>
            <w:tcMar>
              <w:left w:w="105" w:type="dxa"/>
              <w:right w:w="105" w:type="dxa"/>
            </w:tcMar>
          </w:tcPr>
          <w:p w14:paraId="102720B8" w14:textId="77777777" w:rsidR="00B246B9" w:rsidRDefault="00B246B9" w:rsidP="0040052B">
            <w:pPr>
              <w:jc w:val="center"/>
              <w:cnfStyle w:val="100000000000" w:firstRow="1" w:lastRow="0" w:firstColumn="0" w:lastColumn="0" w:oddVBand="0" w:evenVBand="0" w:oddHBand="0" w:evenHBand="0" w:firstRowFirstColumn="0" w:firstRowLastColumn="0" w:lastRowFirstColumn="0" w:lastRowLastColumn="0"/>
              <w:rPr>
                <w:rFonts w:eastAsia="Cambria" w:cs="Cambria"/>
                <w:b w:val="0"/>
                <w:bCs w:val="0"/>
                <w:color w:val="000000" w:themeColor="text1"/>
                <w:sz w:val="20"/>
                <w:szCs w:val="20"/>
              </w:rPr>
            </w:pPr>
            <w:r w:rsidRPr="799FD231">
              <w:rPr>
                <w:rFonts w:eastAsia="Cambria" w:cs="Cambria"/>
                <w:color w:val="000000" w:themeColor="text1"/>
                <w:sz w:val="20"/>
                <w:szCs w:val="20"/>
              </w:rPr>
              <w:t xml:space="preserve"> Total (thousands/Miles) </w:t>
            </w:r>
          </w:p>
        </w:tc>
      </w:tr>
      <w:tr w:rsidR="00B246B9" w14:paraId="39E06303" w14:textId="77777777" w:rsidTr="004005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643A4C2D" w14:textId="77777777" w:rsidR="00B246B9" w:rsidRDefault="00B246B9" w:rsidP="0040052B">
            <w:pPr>
              <w:jc w:val="both"/>
              <w:rPr>
                <w:rFonts w:eastAsia="Cambria" w:cs="Cambria"/>
                <w:sz w:val="20"/>
                <w:szCs w:val="20"/>
              </w:rPr>
            </w:pPr>
            <w:r w:rsidRPr="799FD231">
              <w:rPr>
                <w:rFonts w:eastAsia="Cambria" w:cs="Cambria"/>
                <w:b w:val="0"/>
                <w:bCs w:val="0"/>
                <w:sz w:val="20"/>
                <w:szCs w:val="20"/>
              </w:rPr>
              <w:t>Salarios/Salaries</w:t>
            </w:r>
          </w:p>
        </w:tc>
        <w:tc>
          <w:tcPr>
            <w:tcW w:w="1103" w:type="dxa"/>
            <w:tcMar>
              <w:left w:w="105" w:type="dxa"/>
              <w:right w:w="105" w:type="dxa"/>
            </w:tcMar>
            <w:vAlign w:val="bottom"/>
          </w:tcPr>
          <w:p w14:paraId="2B893D8E"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6,308.0</w:t>
            </w:r>
          </w:p>
        </w:tc>
        <w:tc>
          <w:tcPr>
            <w:tcW w:w="1341" w:type="dxa"/>
            <w:tcMar>
              <w:left w:w="105" w:type="dxa"/>
              <w:right w:w="105" w:type="dxa"/>
            </w:tcMar>
            <w:vAlign w:val="bottom"/>
          </w:tcPr>
          <w:p w14:paraId="4B0B36F1"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3,072.8</w:t>
            </w:r>
          </w:p>
        </w:tc>
        <w:tc>
          <w:tcPr>
            <w:tcW w:w="1341" w:type="dxa"/>
            <w:tcMar>
              <w:left w:w="105" w:type="dxa"/>
              <w:right w:w="105" w:type="dxa"/>
            </w:tcMar>
            <w:vAlign w:val="bottom"/>
          </w:tcPr>
          <w:p w14:paraId="0847AAE6"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81.8</w:t>
            </w:r>
          </w:p>
        </w:tc>
        <w:tc>
          <w:tcPr>
            <w:tcW w:w="1997" w:type="dxa"/>
            <w:tcMar>
              <w:left w:w="105" w:type="dxa"/>
              <w:right w:w="105" w:type="dxa"/>
            </w:tcMar>
            <w:vAlign w:val="bottom"/>
          </w:tcPr>
          <w:p w14:paraId="4073E9E2"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9,462.6</w:t>
            </w:r>
          </w:p>
        </w:tc>
      </w:tr>
      <w:tr w:rsidR="00B246B9" w14:paraId="6B9E58C5" w14:textId="77777777" w:rsidTr="0040052B">
        <w:trPr>
          <w:trHeight w:val="570"/>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704330BF" w14:textId="77777777" w:rsidR="00B246B9" w:rsidRDefault="00B246B9" w:rsidP="0040052B">
            <w:pPr>
              <w:jc w:val="both"/>
              <w:rPr>
                <w:rFonts w:eastAsia="Cambria" w:cs="Cambria"/>
                <w:sz w:val="20"/>
                <w:szCs w:val="20"/>
              </w:rPr>
            </w:pPr>
            <w:r w:rsidRPr="799FD231">
              <w:rPr>
                <w:rFonts w:eastAsia="Cambria" w:cs="Cambria"/>
                <w:b w:val="0"/>
                <w:bCs w:val="0"/>
                <w:sz w:val="20"/>
                <w:szCs w:val="20"/>
              </w:rPr>
              <w:t>Costos salariales no recurrentes/ Non-recurring salary costs</w:t>
            </w:r>
          </w:p>
        </w:tc>
        <w:tc>
          <w:tcPr>
            <w:tcW w:w="1103" w:type="dxa"/>
            <w:tcMar>
              <w:left w:w="105" w:type="dxa"/>
              <w:right w:w="105" w:type="dxa"/>
            </w:tcMar>
            <w:vAlign w:val="bottom"/>
          </w:tcPr>
          <w:p w14:paraId="5CB1F43D"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341" w:type="dxa"/>
            <w:tcMar>
              <w:left w:w="105" w:type="dxa"/>
              <w:right w:w="105" w:type="dxa"/>
            </w:tcMar>
            <w:vAlign w:val="bottom"/>
          </w:tcPr>
          <w:p w14:paraId="31F3B4E2"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341" w:type="dxa"/>
            <w:tcMar>
              <w:left w:w="105" w:type="dxa"/>
              <w:right w:w="105" w:type="dxa"/>
            </w:tcMar>
            <w:vAlign w:val="bottom"/>
          </w:tcPr>
          <w:p w14:paraId="6D6F0B14"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p>
        </w:tc>
        <w:tc>
          <w:tcPr>
            <w:tcW w:w="1997" w:type="dxa"/>
            <w:tcMar>
              <w:left w:w="105" w:type="dxa"/>
              <w:right w:w="105" w:type="dxa"/>
            </w:tcMar>
            <w:vAlign w:val="bottom"/>
          </w:tcPr>
          <w:p w14:paraId="5808FB52"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r>
      <w:tr w:rsidR="00B246B9" w14:paraId="77B676A1" w14:textId="77777777" w:rsidTr="0040052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34C0718E" w14:textId="77777777" w:rsidR="00B246B9" w:rsidRDefault="00B246B9" w:rsidP="0040052B">
            <w:pPr>
              <w:jc w:val="both"/>
              <w:rPr>
                <w:rFonts w:eastAsia="Cambria" w:cs="Cambria"/>
                <w:sz w:val="20"/>
                <w:szCs w:val="20"/>
              </w:rPr>
            </w:pPr>
            <w:r w:rsidRPr="799FD231">
              <w:rPr>
                <w:rFonts w:eastAsia="Cambria" w:cs="Cambria"/>
                <w:b w:val="0"/>
                <w:bCs w:val="0"/>
                <w:sz w:val="20"/>
                <w:szCs w:val="20"/>
                <w:lang w:val="es-ES"/>
              </w:rPr>
              <w:t>Contratos por resultado / Result-Based Contracts</w:t>
            </w:r>
          </w:p>
        </w:tc>
        <w:tc>
          <w:tcPr>
            <w:tcW w:w="1103" w:type="dxa"/>
            <w:tcMar>
              <w:left w:w="105" w:type="dxa"/>
              <w:right w:w="105" w:type="dxa"/>
            </w:tcMar>
            <w:vAlign w:val="bottom"/>
          </w:tcPr>
          <w:p w14:paraId="55D13551"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lang w:val="es-ES"/>
              </w:rPr>
              <w:t>2</w:t>
            </w:r>
            <w:r w:rsidRPr="799FD231">
              <w:rPr>
                <w:rFonts w:eastAsia="Cambria" w:cs="Cambria"/>
                <w:sz w:val="20"/>
                <w:szCs w:val="20"/>
              </w:rPr>
              <w:t>,905.3</w:t>
            </w:r>
          </w:p>
        </w:tc>
        <w:tc>
          <w:tcPr>
            <w:tcW w:w="1341" w:type="dxa"/>
            <w:tcMar>
              <w:left w:w="105" w:type="dxa"/>
              <w:right w:w="105" w:type="dxa"/>
            </w:tcMar>
            <w:vAlign w:val="bottom"/>
          </w:tcPr>
          <w:p w14:paraId="55F7515F"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5,099.5</w:t>
            </w:r>
          </w:p>
        </w:tc>
        <w:tc>
          <w:tcPr>
            <w:tcW w:w="1341" w:type="dxa"/>
            <w:tcMar>
              <w:left w:w="105" w:type="dxa"/>
              <w:right w:w="105" w:type="dxa"/>
            </w:tcMar>
            <w:vAlign w:val="bottom"/>
          </w:tcPr>
          <w:p w14:paraId="0BF98766"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31.9</w:t>
            </w:r>
          </w:p>
        </w:tc>
        <w:tc>
          <w:tcPr>
            <w:tcW w:w="1997" w:type="dxa"/>
            <w:tcMar>
              <w:left w:w="105" w:type="dxa"/>
              <w:right w:w="105" w:type="dxa"/>
            </w:tcMar>
            <w:vAlign w:val="bottom"/>
          </w:tcPr>
          <w:p w14:paraId="7ECC1E61"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8,036.7</w:t>
            </w:r>
          </w:p>
        </w:tc>
      </w:tr>
      <w:tr w:rsidR="00B246B9" w14:paraId="7FB3E361" w14:textId="77777777" w:rsidTr="0040052B">
        <w:trPr>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2DF20762" w14:textId="77777777" w:rsidR="00B246B9" w:rsidRDefault="00B246B9" w:rsidP="0040052B">
            <w:pPr>
              <w:jc w:val="both"/>
              <w:rPr>
                <w:rFonts w:eastAsia="Cambria" w:cs="Cambria"/>
                <w:sz w:val="20"/>
                <w:szCs w:val="20"/>
              </w:rPr>
            </w:pPr>
            <w:r w:rsidRPr="799FD231">
              <w:rPr>
                <w:rFonts w:eastAsia="Cambria" w:cs="Cambria"/>
                <w:b w:val="0"/>
                <w:bCs w:val="0"/>
                <w:sz w:val="20"/>
                <w:szCs w:val="20"/>
              </w:rPr>
              <w:t>Becas/ Fellowships</w:t>
            </w:r>
          </w:p>
        </w:tc>
        <w:tc>
          <w:tcPr>
            <w:tcW w:w="1103" w:type="dxa"/>
            <w:tcMar>
              <w:left w:w="105" w:type="dxa"/>
              <w:right w:w="105" w:type="dxa"/>
            </w:tcMar>
            <w:vAlign w:val="bottom"/>
          </w:tcPr>
          <w:p w14:paraId="39120F0C"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341" w:type="dxa"/>
            <w:tcMar>
              <w:left w:w="105" w:type="dxa"/>
              <w:right w:w="105" w:type="dxa"/>
            </w:tcMar>
            <w:vAlign w:val="bottom"/>
          </w:tcPr>
          <w:p w14:paraId="04D80E0A"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157.7</w:t>
            </w:r>
          </w:p>
        </w:tc>
        <w:tc>
          <w:tcPr>
            <w:tcW w:w="1341" w:type="dxa"/>
            <w:tcMar>
              <w:left w:w="105" w:type="dxa"/>
              <w:right w:w="105" w:type="dxa"/>
            </w:tcMar>
            <w:vAlign w:val="bottom"/>
          </w:tcPr>
          <w:p w14:paraId="6F9F3E77"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997" w:type="dxa"/>
            <w:tcMar>
              <w:left w:w="105" w:type="dxa"/>
              <w:right w:w="105" w:type="dxa"/>
            </w:tcMar>
            <w:vAlign w:val="bottom"/>
          </w:tcPr>
          <w:p w14:paraId="4B2C5B35"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157.7</w:t>
            </w:r>
          </w:p>
        </w:tc>
      </w:tr>
      <w:tr w:rsidR="00B246B9" w14:paraId="3BEA6A43" w14:textId="77777777" w:rsidTr="004005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33270C5B" w14:textId="77777777" w:rsidR="00B246B9" w:rsidRDefault="00B246B9" w:rsidP="0040052B">
            <w:pPr>
              <w:jc w:val="both"/>
              <w:rPr>
                <w:rFonts w:eastAsia="Cambria" w:cs="Cambria"/>
                <w:sz w:val="20"/>
                <w:szCs w:val="20"/>
              </w:rPr>
            </w:pPr>
            <w:r w:rsidRPr="799FD231">
              <w:rPr>
                <w:rFonts w:eastAsia="Cambria" w:cs="Cambria"/>
                <w:b w:val="0"/>
                <w:bCs w:val="0"/>
                <w:sz w:val="20"/>
                <w:szCs w:val="20"/>
              </w:rPr>
              <w:t>Viajes / Travel</w:t>
            </w:r>
          </w:p>
        </w:tc>
        <w:tc>
          <w:tcPr>
            <w:tcW w:w="1103" w:type="dxa"/>
            <w:tcMar>
              <w:left w:w="105" w:type="dxa"/>
              <w:right w:w="105" w:type="dxa"/>
            </w:tcMar>
            <w:vAlign w:val="bottom"/>
          </w:tcPr>
          <w:p w14:paraId="7C11CC4E"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286.2</w:t>
            </w:r>
          </w:p>
        </w:tc>
        <w:tc>
          <w:tcPr>
            <w:tcW w:w="1341" w:type="dxa"/>
            <w:tcMar>
              <w:left w:w="105" w:type="dxa"/>
              <w:right w:w="105" w:type="dxa"/>
            </w:tcMar>
            <w:vAlign w:val="bottom"/>
          </w:tcPr>
          <w:p w14:paraId="51D7D6F4"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623.7</w:t>
            </w:r>
          </w:p>
        </w:tc>
        <w:tc>
          <w:tcPr>
            <w:tcW w:w="1341" w:type="dxa"/>
            <w:tcMar>
              <w:left w:w="105" w:type="dxa"/>
              <w:right w:w="105" w:type="dxa"/>
            </w:tcMar>
            <w:vAlign w:val="bottom"/>
          </w:tcPr>
          <w:p w14:paraId="605E29FA"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997" w:type="dxa"/>
            <w:tcMar>
              <w:left w:w="105" w:type="dxa"/>
              <w:right w:w="105" w:type="dxa"/>
            </w:tcMar>
            <w:vAlign w:val="bottom"/>
          </w:tcPr>
          <w:p w14:paraId="177D45C6"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909.9</w:t>
            </w:r>
          </w:p>
        </w:tc>
      </w:tr>
      <w:tr w:rsidR="00B246B9" w14:paraId="5A6EF5BC" w14:textId="77777777" w:rsidTr="0040052B">
        <w:trPr>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2AFB620F" w14:textId="77777777" w:rsidR="00B246B9" w:rsidRDefault="00B246B9" w:rsidP="0040052B">
            <w:pPr>
              <w:jc w:val="both"/>
              <w:rPr>
                <w:rFonts w:eastAsia="Cambria" w:cs="Cambria"/>
                <w:color w:val="000000" w:themeColor="text1"/>
                <w:sz w:val="20"/>
                <w:szCs w:val="20"/>
              </w:rPr>
            </w:pPr>
            <w:r w:rsidRPr="799FD231">
              <w:rPr>
                <w:rFonts w:eastAsia="Cambria" w:cs="Cambria"/>
                <w:b w:val="0"/>
                <w:bCs w:val="0"/>
                <w:color w:val="000000" w:themeColor="text1"/>
                <w:sz w:val="20"/>
                <w:szCs w:val="20"/>
              </w:rPr>
              <w:t>Documentos / Documents</w:t>
            </w:r>
          </w:p>
        </w:tc>
        <w:tc>
          <w:tcPr>
            <w:tcW w:w="1103" w:type="dxa"/>
            <w:tcMar>
              <w:left w:w="105" w:type="dxa"/>
              <w:right w:w="105" w:type="dxa"/>
            </w:tcMar>
            <w:vAlign w:val="bottom"/>
          </w:tcPr>
          <w:p w14:paraId="08EDAB80"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21.1</w:t>
            </w:r>
          </w:p>
        </w:tc>
        <w:tc>
          <w:tcPr>
            <w:tcW w:w="1341" w:type="dxa"/>
            <w:tcMar>
              <w:left w:w="105" w:type="dxa"/>
              <w:right w:w="105" w:type="dxa"/>
            </w:tcMar>
            <w:vAlign w:val="bottom"/>
          </w:tcPr>
          <w:p w14:paraId="20D8FD02"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18.5</w:t>
            </w:r>
          </w:p>
        </w:tc>
        <w:tc>
          <w:tcPr>
            <w:tcW w:w="1341" w:type="dxa"/>
            <w:tcMar>
              <w:left w:w="105" w:type="dxa"/>
              <w:right w:w="105" w:type="dxa"/>
            </w:tcMar>
            <w:vAlign w:val="bottom"/>
          </w:tcPr>
          <w:p w14:paraId="3F6EEF59"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0.8</w:t>
            </w:r>
          </w:p>
        </w:tc>
        <w:tc>
          <w:tcPr>
            <w:tcW w:w="1997" w:type="dxa"/>
            <w:tcMar>
              <w:left w:w="105" w:type="dxa"/>
              <w:right w:w="105" w:type="dxa"/>
            </w:tcMar>
            <w:vAlign w:val="bottom"/>
          </w:tcPr>
          <w:p w14:paraId="1DE0F6F6"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40.4</w:t>
            </w:r>
          </w:p>
        </w:tc>
      </w:tr>
      <w:tr w:rsidR="00B246B9" w14:paraId="17B139D4" w14:textId="77777777" w:rsidTr="004005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6DD61A3D" w14:textId="77777777" w:rsidR="00B246B9" w:rsidRDefault="00B246B9" w:rsidP="0040052B">
            <w:pPr>
              <w:jc w:val="both"/>
              <w:rPr>
                <w:rFonts w:eastAsia="Cambria" w:cs="Cambria"/>
                <w:color w:val="000000" w:themeColor="text1"/>
                <w:sz w:val="20"/>
                <w:szCs w:val="20"/>
              </w:rPr>
            </w:pPr>
            <w:r w:rsidRPr="799FD231">
              <w:rPr>
                <w:rFonts w:eastAsia="Cambria" w:cs="Cambria"/>
                <w:b w:val="0"/>
                <w:bCs w:val="0"/>
                <w:color w:val="000000" w:themeColor="text1"/>
                <w:sz w:val="20"/>
                <w:szCs w:val="20"/>
              </w:rPr>
              <w:t>Equipos y suministros / Equipment and supplies</w:t>
            </w:r>
          </w:p>
        </w:tc>
        <w:tc>
          <w:tcPr>
            <w:tcW w:w="1103" w:type="dxa"/>
            <w:tcMar>
              <w:left w:w="105" w:type="dxa"/>
              <w:right w:w="105" w:type="dxa"/>
            </w:tcMar>
            <w:vAlign w:val="bottom"/>
          </w:tcPr>
          <w:p w14:paraId="49B99A69"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73.3</w:t>
            </w:r>
          </w:p>
        </w:tc>
        <w:tc>
          <w:tcPr>
            <w:tcW w:w="1341" w:type="dxa"/>
            <w:tcMar>
              <w:left w:w="105" w:type="dxa"/>
              <w:right w:w="105" w:type="dxa"/>
            </w:tcMar>
            <w:vAlign w:val="bottom"/>
          </w:tcPr>
          <w:p w14:paraId="7065788C"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18.8</w:t>
            </w:r>
          </w:p>
        </w:tc>
        <w:tc>
          <w:tcPr>
            <w:tcW w:w="1341" w:type="dxa"/>
            <w:tcMar>
              <w:left w:w="105" w:type="dxa"/>
              <w:right w:w="105" w:type="dxa"/>
            </w:tcMar>
            <w:vAlign w:val="bottom"/>
          </w:tcPr>
          <w:p w14:paraId="7FCE7ADB"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5.9</w:t>
            </w:r>
          </w:p>
        </w:tc>
        <w:tc>
          <w:tcPr>
            <w:tcW w:w="1997" w:type="dxa"/>
            <w:tcMar>
              <w:left w:w="105" w:type="dxa"/>
              <w:right w:w="105" w:type="dxa"/>
            </w:tcMar>
            <w:vAlign w:val="bottom"/>
          </w:tcPr>
          <w:p w14:paraId="2F4C2842"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97.9</w:t>
            </w:r>
          </w:p>
        </w:tc>
      </w:tr>
      <w:tr w:rsidR="00B246B9" w14:paraId="697990F1" w14:textId="77777777" w:rsidTr="0040052B">
        <w:trPr>
          <w:trHeight w:val="570"/>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0504494B" w14:textId="77777777" w:rsidR="00B246B9" w:rsidRDefault="00B246B9" w:rsidP="0040052B">
            <w:pPr>
              <w:jc w:val="both"/>
              <w:rPr>
                <w:rFonts w:eastAsia="Cambria" w:cs="Cambria"/>
                <w:sz w:val="20"/>
                <w:szCs w:val="20"/>
              </w:rPr>
            </w:pPr>
            <w:r w:rsidRPr="799FD231">
              <w:rPr>
                <w:rFonts w:eastAsia="Cambria" w:cs="Cambria"/>
                <w:b w:val="0"/>
                <w:bCs w:val="0"/>
                <w:sz w:val="20"/>
                <w:szCs w:val="20"/>
              </w:rPr>
              <w:t xml:space="preserve">Edificio y Mantenimiento / Building Lease and Maintenance </w:t>
            </w:r>
          </w:p>
        </w:tc>
        <w:tc>
          <w:tcPr>
            <w:tcW w:w="1103" w:type="dxa"/>
            <w:tcMar>
              <w:left w:w="105" w:type="dxa"/>
              <w:right w:w="105" w:type="dxa"/>
            </w:tcMar>
            <w:vAlign w:val="bottom"/>
          </w:tcPr>
          <w:p w14:paraId="107C7C78"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20.3</w:t>
            </w:r>
          </w:p>
        </w:tc>
        <w:tc>
          <w:tcPr>
            <w:tcW w:w="1341" w:type="dxa"/>
            <w:tcMar>
              <w:left w:w="105" w:type="dxa"/>
              <w:right w:w="105" w:type="dxa"/>
            </w:tcMar>
            <w:vAlign w:val="bottom"/>
          </w:tcPr>
          <w:p w14:paraId="12BFC03E"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46.9</w:t>
            </w:r>
          </w:p>
        </w:tc>
        <w:tc>
          <w:tcPr>
            <w:tcW w:w="1341" w:type="dxa"/>
            <w:tcMar>
              <w:left w:w="105" w:type="dxa"/>
              <w:right w:w="105" w:type="dxa"/>
            </w:tcMar>
            <w:vAlign w:val="bottom"/>
          </w:tcPr>
          <w:p w14:paraId="613ECA49"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p>
        </w:tc>
        <w:tc>
          <w:tcPr>
            <w:tcW w:w="1997" w:type="dxa"/>
            <w:tcMar>
              <w:left w:w="105" w:type="dxa"/>
              <w:right w:w="105" w:type="dxa"/>
            </w:tcMar>
            <w:vAlign w:val="bottom"/>
          </w:tcPr>
          <w:p w14:paraId="40E34276"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67.2</w:t>
            </w:r>
          </w:p>
        </w:tc>
      </w:tr>
      <w:tr w:rsidR="00B246B9" w14:paraId="33A58937" w14:textId="77777777" w:rsidTr="004005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77BA52DA" w14:textId="77777777" w:rsidR="00B246B9" w:rsidRDefault="00B246B9" w:rsidP="0040052B">
            <w:pPr>
              <w:jc w:val="both"/>
              <w:rPr>
                <w:rFonts w:eastAsia="Cambria" w:cs="Cambria"/>
                <w:sz w:val="20"/>
                <w:szCs w:val="20"/>
              </w:rPr>
            </w:pPr>
            <w:r w:rsidRPr="799FD231">
              <w:rPr>
                <w:rFonts w:eastAsia="Cambria" w:cs="Cambria"/>
                <w:b w:val="0"/>
                <w:bCs w:val="0"/>
                <w:sz w:val="20"/>
                <w:szCs w:val="20"/>
              </w:rPr>
              <w:lastRenderedPageBreak/>
              <w:t>Otros costos / Other Costs</w:t>
            </w:r>
          </w:p>
        </w:tc>
        <w:tc>
          <w:tcPr>
            <w:tcW w:w="1103" w:type="dxa"/>
            <w:tcMar>
              <w:left w:w="105" w:type="dxa"/>
              <w:right w:w="105" w:type="dxa"/>
            </w:tcMar>
            <w:vAlign w:val="bottom"/>
          </w:tcPr>
          <w:p w14:paraId="42096537"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112.3</w:t>
            </w:r>
          </w:p>
        </w:tc>
        <w:tc>
          <w:tcPr>
            <w:tcW w:w="1341" w:type="dxa"/>
            <w:tcMar>
              <w:left w:w="105" w:type="dxa"/>
              <w:right w:w="105" w:type="dxa"/>
            </w:tcMar>
            <w:vAlign w:val="bottom"/>
          </w:tcPr>
          <w:p w14:paraId="7D7CB7BB"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154.7</w:t>
            </w:r>
          </w:p>
        </w:tc>
        <w:tc>
          <w:tcPr>
            <w:tcW w:w="1341" w:type="dxa"/>
            <w:tcMar>
              <w:left w:w="105" w:type="dxa"/>
              <w:right w:w="105" w:type="dxa"/>
            </w:tcMar>
            <w:vAlign w:val="bottom"/>
          </w:tcPr>
          <w:p w14:paraId="34A18F73"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0.9</w:t>
            </w:r>
          </w:p>
        </w:tc>
        <w:tc>
          <w:tcPr>
            <w:tcW w:w="1997" w:type="dxa"/>
            <w:tcMar>
              <w:left w:w="105" w:type="dxa"/>
              <w:right w:w="105" w:type="dxa"/>
            </w:tcMar>
            <w:vAlign w:val="bottom"/>
          </w:tcPr>
          <w:p w14:paraId="3508F4D6"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sz w:val="20"/>
                <w:szCs w:val="20"/>
              </w:rPr>
            </w:pPr>
            <w:r w:rsidRPr="799FD231">
              <w:rPr>
                <w:rFonts w:eastAsia="Cambria" w:cs="Cambria"/>
                <w:sz w:val="20"/>
                <w:szCs w:val="20"/>
              </w:rPr>
              <w:t>267.9</w:t>
            </w:r>
          </w:p>
        </w:tc>
      </w:tr>
      <w:tr w:rsidR="00B246B9" w14:paraId="32321069" w14:textId="77777777" w:rsidTr="0040052B">
        <w:trPr>
          <w:trHeight w:val="31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708DC3CA" w14:textId="77777777" w:rsidR="00B246B9" w:rsidRDefault="00B246B9" w:rsidP="0040052B">
            <w:pPr>
              <w:jc w:val="both"/>
              <w:rPr>
                <w:rFonts w:eastAsia="Cambria" w:cs="Cambria"/>
                <w:sz w:val="20"/>
                <w:szCs w:val="20"/>
              </w:rPr>
            </w:pPr>
            <w:r w:rsidRPr="799FD231">
              <w:rPr>
                <w:rFonts w:eastAsia="Cambria" w:cs="Cambria"/>
                <w:b w:val="0"/>
                <w:bCs w:val="0"/>
                <w:sz w:val="20"/>
                <w:szCs w:val="20"/>
                <w:lang w:val="es-ES"/>
              </w:rPr>
              <w:t>Recuperación de costos indirectos (RCI) / Indirect cost recovery (ICR) /</w:t>
            </w:r>
          </w:p>
        </w:tc>
        <w:tc>
          <w:tcPr>
            <w:tcW w:w="1103" w:type="dxa"/>
            <w:tcMar>
              <w:left w:w="105" w:type="dxa"/>
              <w:right w:w="105" w:type="dxa"/>
            </w:tcMar>
            <w:vAlign w:val="bottom"/>
          </w:tcPr>
          <w:p w14:paraId="099D2129"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341" w:type="dxa"/>
            <w:tcMar>
              <w:left w:w="105" w:type="dxa"/>
              <w:right w:w="105" w:type="dxa"/>
            </w:tcMar>
            <w:vAlign w:val="bottom"/>
          </w:tcPr>
          <w:p w14:paraId="6C0DD046"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1,789.8</w:t>
            </w:r>
          </w:p>
        </w:tc>
        <w:tc>
          <w:tcPr>
            <w:tcW w:w="1341" w:type="dxa"/>
            <w:tcMar>
              <w:left w:w="105" w:type="dxa"/>
              <w:right w:w="105" w:type="dxa"/>
            </w:tcMar>
            <w:vAlign w:val="bottom"/>
          </w:tcPr>
          <w:p w14:paraId="68FBF7FA"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w:t>
            </w:r>
          </w:p>
        </w:tc>
        <w:tc>
          <w:tcPr>
            <w:tcW w:w="1997" w:type="dxa"/>
            <w:tcMar>
              <w:left w:w="105" w:type="dxa"/>
              <w:right w:w="105" w:type="dxa"/>
            </w:tcMar>
            <w:vAlign w:val="bottom"/>
          </w:tcPr>
          <w:p w14:paraId="2565170D" w14:textId="77777777" w:rsidR="00B246B9" w:rsidRDefault="00B246B9" w:rsidP="0040052B">
            <w:pPr>
              <w:jc w:val="center"/>
              <w:cnfStyle w:val="000000000000" w:firstRow="0" w:lastRow="0" w:firstColumn="0" w:lastColumn="0" w:oddVBand="0" w:evenVBand="0" w:oddHBand="0" w:evenHBand="0" w:firstRowFirstColumn="0" w:firstRowLastColumn="0" w:lastRowFirstColumn="0" w:lastRowLastColumn="0"/>
              <w:rPr>
                <w:rFonts w:eastAsia="Cambria" w:cs="Cambria"/>
                <w:sz w:val="20"/>
                <w:szCs w:val="20"/>
              </w:rPr>
            </w:pPr>
            <w:r w:rsidRPr="799FD231">
              <w:rPr>
                <w:rFonts w:eastAsia="Cambria" w:cs="Cambria"/>
                <w:sz w:val="20"/>
                <w:szCs w:val="20"/>
              </w:rPr>
              <w:t>1,789.8</w:t>
            </w:r>
          </w:p>
        </w:tc>
      </w:tr>
      <w:tr w:rsidR="00B246B9" w14:paraId="7EE85F78" w14:textId="77777777" w:rsidTr="004005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77" w:type="dxa"/>
            <w:tcMar>
              <w:left w:w="105" w:type="dxa"/>
              <w:right w:w="105" w:type="dxa"/>
            </w:tcMar>
          </w:tcPr>
          <w:p w14:paraId="45AC58F2" w14:textId="77777777" w:rsidR="00B246B9" w:rsidRDefault="00B246B9" w:rsidP="0040052B">
            <w:pPr>
              <w:jc w:val="both"/>
              <w:rPr>
                <w:rFonts w:eastAsia="Cambria" w:cs="Cambria"/>
                <w:color w:val="000000" w:themeColor="text1"/>
                <w:sz w:val="20"/>
                <w:szCs w:val="20"/>
              </w:rPr>
            </w:pPr>
            <w:r w:rsidRPr="799FD231">
              <w:rPr>
                <w:rFonts w:eastAsia="Cambria" w:cs="Cambria"/>
                <w:color w:val="000000" w:themeColor="text1"/>
                <w:sz w:val="20"/>
                <w:szCs w:val="20"/>
              </w:rPr>
              <w:t xml:space="preserve">Total </w:t>
            </w:r>
          </w:p>
        </w:tc>
        <w:tc>
          <w:tcPr>
            <w:tcW w:w="1103" w:type="dxa"/>
            <w:tcMar>
              <w:left w:w="105" w:type="dxa"/>
              <w:right w:w="105" w:type="dxa"/>
            </w:tcMar>
            <w:vAlign w:val="bottom"/>
          </w:tcPr>
          <w:p w14:paraId="7FDD1CB8"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color w:val="000000" w:themeColor="text1"/>
                <w:sz w:val="20"/>
                <w:szCs w:val="20"/>
              </w:rPr>
            </w:pPr>
            <w:r w:rsidRPr="799FD231">
              <w:rPr>
                <w:rFonts w:eastAsia="Cambria" w:cs="Cambria"/>
                <w:b/>
                <w:bCs/>
                <w:color w:val="000000" w:themeColor="text1"/>
                <w:sz w:val="20"/>
                <w:szCs w:val="20"/>
              </w:rPr>
              <w:t>9,726.5</w:t>
            </w:r>
          </w:p>
        </w:tc>
        <w:tc>
          <w:tcPr>
            <w:tcW w:w="1341" w:type="dxa"/>
            <w:tcMar>
              <w:left w:w="105" w:type="dxa"/>
              <w:right w:w="105" w:type="dxa"/>
            </w:tcMar>
            <w:vAlign w:val="bottom"/>
          </w:tcPr>
          <w:p w14:paraId="60A3B2C2"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color w:val="000000" w:themeColor="text1"/>
                <w:sz w:val="20"/>
                <w:szCs w:val="20"/>
              </w:rPr>
            </w:pPr>
            <w:r w:rsidRPr="799FD231">
              <w:rPr>
                <w:rFonts w:eastAsia="Cambria" w:cs="Cambria"/>
                <w:b/>
                <w:bCs/>
                <w:color w:val="000000" w:themeColor="text1"/>
                <w:sz w:val="20"/>
                <w:szCs w:val="20"/>
              </w:rPr>
              <w:t>10,982.3</w:t>
            </w:r>
          </w:p>
        </w:tc>
        <w:tc>
          <w:tcPr>
            <w:tcW w:w="1341" w:type="dxa"/>
            <w:tcMar>
              <w:left w:w="105" w:type="dxa"/>
              <w:right w:w="105" w:type="dxa"/>
            </w:tcMar>
            <w:vAlign w:val="bottom"/>
          </w:tcPr>
          <w:p w14:paraId="030D9652"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color w:val="000000" w:themeColor="text1"/>
                <w:sz w:val="20"/>
                <w:szCs w:val="20"/>
              </w:rPr>
            </w:pPr>
            <w:r w:rsidRPr="799FD231">
              <w:rPr>
                <w:rFonts w:eastAsia="Cambria" w:cs="Cambria"/>
                <w:b/>
                <w:bCs/>
                <w:color w:val="000000" w:themeColor="text1"/>
                <w:sz w:val="20"/>
                <w:szCs w:val="20"/>
              </w:rPr>
              <w:t>121.3</w:t>
            </w:r>
          </w:p>
        </w:tc>
        <w:tc>
          <w:tcPr>
            <w:tcW w:w="1997" w:type="dxa"/>
            <w:tcMar>
              <w:left w:w="105" w:type="dxa"/>
              <w:right w:w="105" w:type="dxa"/>
            </w:tcMar>
            <w:vAlign w:val="bottom"/>
          </w:tcPr>
          <w:p w14:paraId="3B4C7319" w14:textId="77777777" w:rsidR="00B246B9" w:rsidRDefault="00B246B9" w:rsidP="0040052B">
            <w:pPr>
              <w:jc w:val="center"/>
              <w:cnfStyle w:val="000000100000" w:firstRow="0" w:lastRow="0" w:firstColumn="0" w:lastColumn="0" w:oddVBand="0" w:evenVBand="0" w:oddHBand="1" w:evenHBand="0" w:firstRowFirstColumn="0" w:firstRowLastColumn="0" w:lastRowFirstColumn="0" w:lastRowLastColumn="0"/>
              <w:rPr>
                <w:rFonts w:eastAsia="Cambria" w:cs="Cambria"/>
                <w:color w:val="000000" w:themeColor="text1"/>
                <w:sz w:val="20"/>
                <w:szCs w:val="20"/>
              </w:rPr>
            </w:pPr>
            <w:r w:rsidRPr="799FD231">
              <w:rPr>
                <w:rFonts w:eastAsia="Cambria" w:cs="Cambria"/>
                <w:b/>
                <w:bCs/>
                <w:color w:val="000000" w:themeColor="text1"/>
                <w:sz w:val="20"/>
                <w:szCs w:val="20"/>
              </w:rPr>
              <w:t>20,830.1</w:t>
            </w:r>
          </w:p>
        </w:tc>
      </w:tr>
    </w:tbl>
    <w:p w14:paraId="4FFDB251" w14:textId="77777777" w:rsidR="00FE78D6" w:rsidRDefault="00FE78D6" w:rsidP="00FE78D6">
      <w:pPr>
        <w:suppressAutoHyphens w:val="0"/>
        <w:spacing w:after="160" w:line="259" w:lineRule="auto"/>
      </w:pPr>
    </w:p>
    <w:p w14:paraId="2D1F70D6" w14:textId="77777777" w:rsidR="00FE78D6" w:rsidRDefault="00B246B9" w:rsidP="00FE78D6">
      <w:pPr>
        <w:suppressAutoHyphens w:val="0"/>
        <w:spacing w:line="259" w:lineRule="auto"/>
        <w:jc w:val="center"/>
        <w:rPr>
          <w:b/>
          <w:bCs/>
          <w:sz w:val="18"/>
          <w:szCs w:val="18"/>
        </w:rPr>
      </w:pPr>
      <w:r w:rsidRPr="00FE78D6">
        <w:rPr>
          <w:b/>
          <w:bCs/>
          <w:sz w:val="18"/>
          <w:szCs w:val="18"/>
        </w:rPr>
        <w:t xml:space="preserve">Figure 4. Distribution of expenditure of the IACHR by item of expenditure </w:t>
      </w:r>
      <w:r w:rsidR="00FE78D6" w:rsidRPr="00FE78D6">
        <w:rPr>
          <w:b/>
          <w:bCs/>
          <w:sz w:val="18"/>
          <w:szCs w:val="18"/>
        </w:rPr>
        <w:t>on</w:t>
      </w:r>
      <w:r w:rsidRPr="00FE78D6">
        <w:rPr>
          <w:b/>
          <w:bCs/>
          <w:sz w:val="18"/>
          <w:szCs w:val="18"/>
        </w:rPr>
        <w:t xml:space="preserve"> December 31, 2023 </w:t>
      </w:r>
    </w:p>
    <w:p w14:paraId="631F1788" w14:textId="6E28C521" w:rsidR="00B246B9" w:rsidRPr="00FE78D6" w:rsidRDefault="00B246B9" w:rsidP="00FE78D6">
      <w:pPr>
        <w:suppressAutoHyphens w:val="0"/>
        <w:spacing w:line="259" w:lineRule="auto"/>
        <w:jc w:val="center"/>
        <w:rPr>
          <w:rFonts w:eastAsia="Times New Roman" w:cs="Calibri"/>
          <w:b/>
          <w:sz w:val="18"/>
          <w:szCs w:val="18"/>
        </w:rPr>
      </w:pPr>
      <w:r w:rsidRPr="00FE78D6">
        <w:rPr>
          <w:b/>
          <w:bCs/>
          <w:sz w:val="18"/>
          <w:szCs w:val="18"/>
        </w:rPr>
        <w:t xml:space="preserve">(Amounts in thousands of USD, preliminary, unaudited) </w:t>
      </w:r>
      <w:r w:rsidRPr="00FE78D6">
        <w:rPr>
          <w:rStyle w:val="FootnoteReference"/>
          <w:b/>
          <w:bCs/>
          <w:sz w:val="18"/>
          <w:szCs w:val="18"/>
          <w:lang w:val="es-ES"/>
        </w:rPr>
        <w:footnoteReference w:id="9"/>
      </w:r>
      <w:r w:rsidRPr="00FE78D6">
        <w:rPr>
          <w:rStyle w:val="FootnoteReference"/>
          <w:b/>
          <w:bCs/>
          <w:sz w:val="18"/>
          <w:szCs w:val="18"/>
          <w:lang w:val="es-ES"/>
        </w:rPr>
        <w:footnoteReference w:id="10"/>
      </w:r>
      <w:r w:rsidRPr="00FE78D6">
        <w:rPr>
          <w:rStyle w:val="FootnoteReference"/>
          <w:b/>
          <w:bCs/>
          <w:sz w:val="18"/>
          <w:szCs w:val="18"/>
          <w:lang w:val="es-ES"/>
        </w:rPr>
        <w:footnoteReference w:id="11"/>
      </w:r>
      <w:r w:rsidRPr="00FE78D6">
        <w:rPr>
          <w:rStyle w:val="FootnoteReference"/>
          <w:b/>
          <w:bCs/>
          <w:sz w:val="18"/>
          <w:szCs w:val="18"/>
          <w:lang w:val="es-ES"/>
        </w:rPr>
        <w:footnoteReference w:id="12"/>
      </w:r>
    </w:p>
    <w:p w14:paraId="3AD6B903" w14:textId="77777777" w:rsidR="00B246B9" w:rsidRPr="00324B33" w:rsidRDefault="00B246B9" w:rsidP="00B246B9">
      <w:pPr>
        <w:pStyle w:val="Default"/>
        <w:jc w:val="center"/>
        <w:rPr>
          <w:rFonts w:ascii="Cambria" w:hAnsi="Cambria"/>
          <w:b/>
          <w:color w:val="auto"/>
          <w:sz w:val="20"/>
          <w:szCs w:val="20"/>
        </w:rPr>
      </w:pPr>
    </w:p>
    <w:p w14:paraId="5A84848D" w14:textId="77777777" w:rsidR="00B246B9" w:rsidRPr="00324B33" w:rsidRDefault="00B246B9" w:rsidP="00B246B9">
      <w:pPr>
        <w:pStyle w:val="Default"/>
        <w:jc w:val="center"/>
      </w:pPr>
      <w:r>
        <w:rPr>
          <w:noProof/>
        </w:rPr>
        <w:drawing>
          <wp:inline distT="0" distB="0" distL="0" distR="0" wp14:anchorId="09EBF49A" wp14:editId="3C13796F">
            <wp:extent cx="5486400" cy="4510454"/>
            <wp:effectExtent l="0" t="0" r="0" b="0"/>
            <wp:docPr id="1067023177" name="Picture 1067023177" descr="A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23177" name="Picture 1067023177" descr="A pie chart with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86400" cy="4510454"/>
                    </a:xfrm>
                    <a:prstGeom prst="rect">
                      <a:avLst/>
                    </a:prstGeom>
                  </pic:spPr>
                </pic:pic>
              </a:graphicData>
            </a:graphic>
          </wp:inline>
        </w:drawing>
      </w:r>
    </w:p>
    <w:p w14:paraId="28DDF49C" w14:textId="77777777" w:rsidR="00B246B9" w:rsidRPr="00324B33" w:rsidRDefault="00B246B9" w:rsidP="00B246B9">
      <w:pPr>
        <w:pStyle w:val="Default"/>
        <w:jc w:val="center"/>
        <w:rPr>
          <w:rFonts w:ascii="Cambria" w:hAnsi="Cambria"/>
          <w:b/>
          <w:color w:val="auto"/>
          <w:sz w:val="20"/>
          <w:szCs w:val="20"/>
        </w:rPr>
      </w:pPr>
    </w:p>
    <w:p w14:paraId="65FDC0EA" w14:textId="77777777" w:rsidR="00B246B9" w:rsidRDefault="00B246B9" w:rsidP="00B246B9">
      <w:pPr>
        <w:pStyle w:val="Default"/>
        <w:jc w:val="center"/>
      </w:pPr>
    </w:p>
    <w:p w14:paraId="24600B1D" w14:textId="77777777" w:rsidR="00FE78D6" w:rsidRPr="00C11FC8" w:rsidRDefault="00FE78D6" w:rsidP="00B246B9">
      <w:pPr>
        <w:pStyle w:val="Default"/>
        <w:jc w:val="center"/>
      </w:pPr>
    </w:p>
    <w:p w14:paraId="52DEAC58" w14:textId="77777777" w:rsidR="00B246B9" w:rsidRPr="00B763D5" w:rsidRDefault="00B246B9" w:rsidP="00B246B9">
      <w:pPr>
        <w:rPr>
          <w:sz w:val="20"/>
          <w:szCs w:val="20"/>
          <w:lang w:val="es-ES_tradnl"/>
        </w:rPr>
      </w:pPr>
    </w:p>
    <w:p w14:paraId="438695EB" w14:textId="77777777" w:rsidR="00B246B9" w:rsidRPr="00A0062A" w:rsidRDefault="00B246B9" w:rsidP="003D4838">
      <w:pPr>
        <w:pStyle w:val="IASubttulo2"/>
        <w:rPr>
          <w:szCs w:val="20"/>
        </w:rPr>
      </w:pPr>
      <w:bookmarkStart w:id="7" w:name="_Toc162359432"/>
      <w:r>
        <w:lastRenderedPageBreak/>
        <w:t>Planning, fund raising, and project management</w:t>
      </w:r>
      <w:bookmarkEnd w:id="7"/>
      <w:r>
        <w:t xml:space="preserve"> </w:t>
      </w:r>
    </w:p>
    <w:p w14:paraId="1D322C12" w14:textId="77777777" w:rsidR="00B246B9" w:rsidRPr="00324B33" w:rsidRDefault="00B246B9" w:rsidP="00B246B9">
      <w:pPr>
        <w:pStyle w:val="Default"/>
        <w:ind w:firstLine="851"/>
        <w:jc w:val="center"/>
        <w:rPr>
          <w:rFonts w:ascii="Cambria" w:hAnsi="Cambria"/>
          <w:sz w:val="20"/>
          <w:szCs w:val="20"/>
        </w:rPr>
      </w:pPr>
    </w:p>
    <w:p w14:paraId="28D15DE5" w14:textId="77777777" w:rsidR="00B246B9" w:rsidRPr="00A0062A" w:rsidRDefault="00B246B9" w:rsidP="003D4838">
      <w:pPr>
        <w:pStyle w:val="IAPrrafo"/>
      </w:pPr>
      <w:r>
        <w:t xml:space="preserve">The Executive Secretariat made progress in the annual financial planning for 2024 with sources from the regular fund (total $10. 73 million) and specific funds (projected at $9.1 million) for a total of $19.83 million. To that end, it reviewed the status of execution of current projects, projected potential revenues based on multi-year projects, and ongoing negotiations. </w:t>
      </w:r>
    </w:p>
    <w:p w14:paraId="7B72B606" w14:textId="771E7AC9" w:rsidR="00B246B9" w:rsidRPr="003D4838" w:rsidRDefault="00B246B9" w:rsidP="003D4838">
      <w:pPr>
        <w:pStyle w:val="IASubttulo3"/>
        <w:numPr>
          <w:ilvl w:val="0"/>
          <w:numId w:val="40"/>
        </w:numPr>
        <w:rPr>
          <w:rFonts w:eastAsia="Calibri"/>
          <w:szCs w:val="20"/>
        </w:rPr>
      </w:pPr>
      <w:bookmarkStart w:id="8" w:name="_Toc162359433"/>
      <w:r>
        <w:t>Projects Implemented in 2023</w:t>
      </w:r>
      <w:bookmarkEnd w:id="8"/>
    </w:p>
    <w:p w14:paraId="7ABE0A86" w14:textId="77777777" w:rsidR="00B246B9" w:rsidRPr="003D4838" w:rsidRDefault="00B246B9" w:rsidP="003D4838">
      <w:pPr>
        <w:pStyle w:val="IAPrrafo"/>
      </w:pPr>
      <w:r w:rsidRPr="003D4838">
        <w:t>During 2023, the IACHR Executive Secretariat prepared and delivered 35 interim or final narrative reports, corresponding to 19 Grant Agreements to finance 19 projects. The following is a list of the projects executed and being executed during 2023 with their respective donors:</w:t>
      </w:r>
    </w:p>
    <w:p w14:paraId="67A6C1AB" w14:textId="19AD118B" w:rsidR="00B246B9" w:rsidRPr="003D4838" w:rsidRDefault="00B246B9" w:rsidP="003D4838">
      <w:pPr>
        <w:suppressAutoHyphens w:val="0"/>
        <w:spacing w:after="160" w:line="259" w:lineRule="auto"/>
        <w:jc w:val="center"/>
        <w:rPr>
          <w:sz w:val="18"/>
          <w:szCs w:val="18"/>
        </w:rPr>
      </w:pPr>
      <w:r w:rsidRPr="003D4838">
        <w:rPr>
          <w:b/>
          <w:color w:val="000000"/>
          <w:sz w:val="18"/>
          <w:szCs w:val="18"/>
        </w:rPr>
        <w:t>Table 4. Projects implemented in 2023</w:t>
      </w:r>
    </w:p>
    <w:tbl>
      <w:tblPr>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3954"/>
        <w:gridCol w:w="1962"/>
        <w:gridCol w:w="2050"/>
        <w:gridCol w:w="1394"/>
      </w:tblGrid>
      <w:tr w:rsidR="00B246B9" w:rsidRPr="003D4838" w14:paraId="30C3B621" w14:textId="77777777" w:rsidTr="003D4838">
        <w:trPr>
          <w:trHeight w:val="584"/>
        </w:trPr>
        <w:tc>
          <w:tcPr>
            <w:tcW w:w="3954" w:type="dxa"/>
            <w:tcBorders>
              <w:top w:val="single" w:sz="4" w:space="0" w:color="FFFFFF"/>
              <w:left w:val="nil"/>
              <w:right w:val="nil"/>
            </w:tcBorders>
            <w:shd w:val="clear" w:color="auto" w:fill="2E74B5" w:themeFill="accent5" w:themeFillShade="BF"/>
            <w:vAlign w:val="center"/>
            <w:hideMark/>
          </w:tcPr>
          <w:p w14:paraId="0360BB3B" w14:textId="77777777" w:rsidR="00B246B9" w:rsidRPr="003D4838" w:rsidRDefault="00B246B9" w:rsidP="003D4838">
            <w:pPr>
              <w:suppressAutoHyphens w:val="0"/>
              <w:ind w:firstLine="720"/>
              <w:jc w:val="center"/>
              <w:rPr>
                <w:rFonts w:eastAsia="Times New Roman" w:cs="Arial"/>
                <w:bCs/>
                <w:color w:val="FFFFFF"/>
                <w:sz w:val="20"/>
                <w:szCs w:val="20"/>
              </w:rPr>
            </w:pPr>
            <w:r w:rsidRPr="003D4838">
              <w:rPr>
                <w:color w:val="FFFFFF"/>
                <w:sz w:val="20"/>
                <w:szCs w:val="20"/>
              </w:rPr>
              <w:t>Project</w:t>
            </w:r>
          </w:p>
        </w:tc>
        <w:tc>
          <w:tcPr>
            <w:tcW w:w="1962" w:type="dxa"/>
            <w:tcBorders>
              <w:top w:val="single" w:sz="4" w:space="0" w:color="FFFFFF"/>
              <w:left w:val="nil"/>
              <w:right w:val="nil"/>
            </w:tcBorders>
            <w:shd w:val="clear" w:color="auto" w:fill="2E74B5" w:themeFill="accent5" w:themeFillShade="BF"/>
            <w:vAlign w:val="center"/>
          </w:tcPr>
          <w:p w14:paraId="30FB6E72" w14:textId="77777777" w:rsidR="00B246B9" w:rsidRPr="003D4838" w:rsidRDefault="00B246B9" w:rsidP="003D4838">
            <w:pPr>
              <w:suppressAutoHyphens w:val="0"/>
              <w:ind w:firstLine="7"/>
              <w:jc w:val="center"/>
              <w:rPr>
                <w:rFonts w:eastAsia="Times New Roman" w:cs="Arial"/>
                <w:bCs/>
                <w:color w:val="FFFFFF"/>
                <w:sz w:val="20"/>
                <w:szCs w:val="20"/>
              </w:rPr>
            </w:pPr>
            <w:r w:rsidRPr="003D4838">
              <w:rPr>
                <w:color w:val="FFFFFF"/>
                <w:sz w:val="20"/>
                <w:szCs w:val="20"/>
              </w:rPr>
              <w:t>Total project amount</w:t>
            </w:r>
          </w:p>
        </w:tc>
        <w:tc>
          <w:tcPr>
            <w:tcW w:w="2050" w:type="dxa"/>
            <w:tcBorders>
              <w:top w:val="single" w:sz="4" w:space="0" w:color="FFFFFF"/>
              <w:left w:val="nil"/>
              <w:right w:val="nil"/>
            </w:tcBorders>
            <w:shd w:val="clear" w:color="auto" w:fill="2E74B5" w:themeFill="accent5" w:themeFillShade="BF"/>
            <w:vAlign w:val="center"/>
            <w:hideMark/>
          </w:tcPr>
          <w:p w14:paraId="38C8E51B" w14:textId="77777777" w:rsidR="00B246B9" w:rsidRPr="003D4838" w:rsidRDefault="00B246B9" w:rsidP="003D4838">
            <w:pPr>
              <w:suppressAutoHyphens w:val="0"/>
              <w:jc w:val="center"/>
              <w:rPr>
                <w:rFonts w:eastAsia="Times New Roman" w:cs="Arial"/>
                <w:bCs/>
                <w:color w:val="FFFFFF"/>
                <w:sz w:val="20"/>
                <w:szCs w:val="20"/>
              </w:rPr>
            </w:pPr>
            <w:r w:rsidRPr="003D4838">
              <w:rPr>
                <w:color w:val="FFFFFF"/>
                <w:sz w:val="20"/>
                <w:szCs w:val="20"/>
              </w:rPr>
              <w:t>Donor</w:t>
            </w:r>
          </w:p>
        </w:tc>
        <w:tc>
          <w:tcPr>
            <w:tcW w:w="1394" w:type="dxa"/>
            <w:tcBorders>
              <w:top w:val="single" w:sz="4" w:space="0" w:color="FFFFFF"/>
              <w:left w:val="nil"/>
              <w:right w:val="nil"/>
            </w:tcBorders>
            <w:shd w:val="clear" w:color="auto" w:fill="2E74B5" w:themeFill="accent5" w:themeFillShade="BF"/>
            <w:vAlign w:val="center"/>
          </w:tcPr>
          <w:p w14:paraId="0E0A008C" w14:textId="77777777" w:rsidR="00B246B9" w:rsidRPr="003D4838" w:rsidRDefault="00B246B9" w:rsidP="003D4838">
            <w:pPr>
              <w:suppressAutoHyphens w:val="0"/>
              <w:jc w:val="center"/>
              <w:rPr>
                <w:rFonts w:eastAsia="Times New Roman" w:cs="Arial"/>
                <w:bCs/>
                <w:color w:val="FFFFFF"/>
                <w:sz w:val="20"/>
                <w:szCs w:val="20"/>
              </w:rPr>
            </w:pPr>
            <w:r w:rsidRPr="003D4838">
              <w:rPr>
                <w:color w:val="FFFFFF"/>
                <w:sz w:val="20"/>
                <w:szCs w:val="20"/>
              </w:rPr>
              <w:t>Reports submitted (*)</w:t>
            </w:r>
          </w:p>
        </w:tc>
      </w:tr>
      <w:tr w:rsidR="00B246B9" w:rsidRPr="003D4838" w14:paraId="07B0FEB6" w14:textId="77777777" w:rsidTr="003D4838">
        <w:trPr>
          <w:trHeight w:val="971"/>
        </w:trPr>
        <w:tc>
          <w:tcPr>
            <w:tcW w:w="3954" w:type="dxa"/>
            <w:shd w:val="clear" w:color="auto" w:fill="DEEAF6" w:themeFill="accent5" w:themeFillTint="33"/>
          </w:tcPr>
          <w:p w14:paraId="5F2EDD76" w14:textId="77777777" w:rsidR="00B246B9" w:rsidRPr="003D4838" w:rsidRDefault="00B246B9" w:rsidP="003D4838">
            <w:pPr>
              <w:suppressAutoHyphens w:val="0"/>
              <w:jc w:val="both"/>
              <w:rPr>
                <w:rFonts w:eastAsia="Times New Roman" w:cs="Arial"/>
                <w:sz w:val="20"/>
                <w:szCs w:val="20"/>
              </w:rPr>
            </w:pPr>
            <w:r w:rsidRPr="003D4838">
              <w:rPr>
                <w:sz w:val="20"/>
                <w:szCs w:val="20"/>
              </w:rPr>
              <w:t>Strengthening international protection in the Americas (annual)</w:t>
            </w:r>
          </w:p>
        </w:tc>
        <w:tc>
          <w:tcPr>
            <w:tcW w:w="1962" w:type="dxa"/>
            <w:shd w:val="clear" w:color="auto" w:fill="DEEAF6" w:themeFill="accent5" w:themeFillTint="33"/>
          </w:tcPr>
          <w:p w14:paraId="23F2F107" w14:textId="77777777" w:rsidR="00B246B9" w:rsidRPr="003D4838" w:rsidRDefault="00B246B9" w:rsidP="003D4838">
            <w:pPr>
              <w:tabs>
                <w:tab w:val="center" w:pos="948"/>
                <w:tab w:val="right" w:pos="1896"/>
              </w:tabs>
              <w:suppressAutoHyphens w:val="0"/>
              <w:ind w:hanging="3"/>
              <w:jc w:val="both"/>
              <w:rPr>
                <w:rFonts w:eastAsia="Times New Roman" w:cs="Arial"/>
                <w:sz w:val="20"/>
                <w:szCs w:val="20"/>
              </w:rPr>
            </w:pPr>
            <w:r w:rsidRPr="003D4838">
              <w:rPr>
                <w:sz w:val="20"/>
                <w:szCs w:val="20"/>
              </w:rPr>
              <w:t xml:space="preserve">US$ 80,000 </w:t>
            </w:r>
          </w:p>
        </w:tc>
        <w:tc>
          <w:tcPr>
            <w:tcW w:w="2050" w:type="dxa"/>
            <w:shd w:val="clear" w:color="auto" w:fill="DEEAF6" w:themeFill="accent5" w:themeFillTint="33"/>
          </w:tcPr>
          <w:p w14:paraId="3A15685E" w14:textId="77777777" w:rsidR="00B246B9" w:rsidRPr="003D4838" w:rsidRDefault="00B246B9" w:rsidP="003D4838">
            <w:pPr>
              <w:suppressAutoHyphens w:val="0"/>
              <w:jc w:val="both"/>
              <w:rPr>
                <w:rFonts w:eastAsia="Times New Roman" w:cs="Arial"/>
                <w:sz w:val="20"/>
                <w:szCs w:val="20"/>
              </w:rPr>
            </w:pPr>
            <w:r w:rsidRPr="003D4838">
              <w:rPr>
                <w:sz w:val="20"/>
                <w:szCs w:val="20"/>
              </w:rPr>
              <w:t>UNHCR</w:t>
            </w:r>
          </w:p>
        </w:tc>
        <w:tc>
          <w:tcPr>
            <w:tcW w:w="1394" w:type="dxa"/>
            <w:shd w:val="clear" w:color="auto" w:fill="DEEAF6" w:themeFill="accent5" w:themeFillTint="33"/>
          </w:tcPr>
          <w:p w14:paraId="6251BB48" w14:textId="77777777" w:rsidR="00B246B9" w:rsidRPr="003D4838" w:rsidRDefault="00B246B9" w:rsidP="003D4838">
            <w:pPr>
              <w:suppressAutoHyphens w:val="0"/>
              <w:jc w:val="both"/>
              <w:rPr>
                <w:rFonts w:eastAsia="Times New Roman" w:cs="Arial"/>
                <w:sz w:val="20"/>
                <w:szCs w:val="20"/>
              </w:rPr>
            </w:pPr>
            <w:r w:rsidRPr="003D4838">
              <w:rPr>
                <w:sz w:val="20"/>
                <w:szCs w:val="20"/>
              </w:rPr>
              <w:t>2023 interim report</w:t>
            </w:r>
          </w:p>
          <w:p w14:paraId="748AB0E4" w14:textId="77777777" w:rsidR="00B246B9" w:rsidRPr="003D4838" w:rsidRDefault="00B246B9" w:rsidP="003D4838">
            <w:pPr>
              <w:suppressAutoHyphens w:val="0"/>
              <w:jc w:val="both"/>
              <w:rPr>
                <w:rFonts w:eastAsia="Times New Roman" w:cs="Arial"/>
                <w:sz w:val="20"/>
                <w:szCs w:val="20"/>
              </w:rPr>
            </w:pPr>
            <w:r w:rsidRPr="003D4838">
              <w:rPr>
                <w:sz w:val="20"/>
                <w:szCs w:val="20"/>
              </w:rPr>
              <w:t>2022 final report</w:t>
            </w:r>
          </w:p>
        </w:tc>
      </w:tr>
      <w:tr w:rsidR="00B246B9" w:rsidRPr="003D4838" w14:paraId="133DE826" w14:textId="77777777" w:rsidTr="003D4838">
        <w:trPr>
          <w:trHeight w:val="674"/>
        </w:trPr>
        <w:tc>
          <w:tcPr>
            <w:tcW w:w="3954" w:type="dxa"/>
            <w:shd w:val="clear" w:color="auto" w:fill="DEEAF6" w:themeFill="accent5" w:themeFillTint="33"/>
          </w:tcPr>
          <w:p w14:paraId="7450938C" w14:textId="77777777" w:rsidR="00B246B9" w:rsidRDefault="00B246B9" w:rsidP="003D4838">
            <w:pPr>
              <w:suppressAutoHyphens w:val="0"/>
              <w:jc w:val="both"/>
              <w:rPr>
                <w:sz w:val="20"/>
                <w:szCs w:val="20"/>
              </w:rPr>
            </w:pPr>
            <w:r w:rsidRPr="003D4838">
              <w:rPr>
                <w:sz w:val="20"/>
                <w:szCs w:val="20"/>
              </w:rPr>
              <w:t>Protection and Promotion of the Rights of Lesbian, Gay, Bisexual, Trans, and Intersex Persons (2021-2024)</w:t>
            </w:r>
          </w:p>
          <w:p w14:paraId="2C28448A" w14:textId="77777777" w:rsidR="003D4838" w:rsidRPr="003D4838" w:rsidRDefault="003D4838" w:rsidP="003D4838">
            <w:pPr>
              <w:suppressAutoHyphens w:val="0"/>
              <w:jc w:val="both"/>
              <w:rPr>
                <w:rFonts w:eastAsia="Times New Roman" w:cs="Arial"/>
                <w:sz w:val="20"/>
                <w:szCs w:val="20"/>
              </w:rPr>
            </w:pPr>
          </w:p>
        </w:tc>
        <w:tc>
          <w:tcPr>
            <w:tcW w:w="1962" w:type="dxa"/>
            <w:shd w:val="clear" w:color="auto" w:fill="DEEAF6" w:themeFill="accent5" w:themeFillTint="33"/>
          </w:tcPr>
          <w:p w14:paraId="1FDA335B"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US$ 150,000 </w:t>
            </w:r>
          </w:p>
        </w:tc>
        <w:tc>
          <w:tcPr>
            <w:tcW w:w="2050" w:type="dxa"/>
            <w:shd w:val="clear" w:color="auto" w:fill="DEEAF6" w:themeFill="accent5" w:themeFillTint="33"/>
          </w:tcPr>
          <w:p w14:paraId="10F10001" w14:textId="77777777" w:rsidR="00B246B9" w:rsidRPr="003D4838" w:rsidRDefault="00B246B9" w:rsidP="003D4838">
            <w:pPr>
              <w:suppressAutoHyphens w:val="0"/>
              <w:jc w:val="both"/>
              <w:rPr>
                <w:rFonts w:eastAsia="Times New Roman" w:cs="Arial"/>
                <w:sz w:val="20"/>
                <w:szCs w:val="20"/>
              </w:rPr>
            </w:pPr>
            <w:r w:rsidRPr="003D4838">
              <w:rPr>
                <w:sz w:val="20"/>
                <w:szCs w:val="20"/>
              </w:rPr>
              <w:t>ARCUS</w:t>
            </w:r>
          </w:p>
        </w:tc>
        <w:tc>
          <w:tcPr>
            <w:tcW w:w="1394" w:type="dxa"/>
            <w:shd w:val="clear" w:color="auto" w:fill="DEEAF6" w:themeFill="accent5" w:themeFillTint="33"/>
          </w:tcPr>
          <w:p w14:paraId="0899E6F5" w14:textId="77777777" w:rsidR="00B246B9" w:rsidRPr="003D4838" w:rsidRDefault="00B246B9" w:rsidP="003D4838">
            <w:pPr>
              <w:suppressAutoHyphens w:val="0"/>
              <w:jc w:val="both"/>
              <w:rPr>
                <w:rFonts w:eastAsia="Times New Roman" w:cs="Arial"/>
                <w:sz w:val="20"/>
                <w:szCs w:val="20"/>
              </w:rPr>
            </w:pPr>
            <w:r w:rsidRPr="003D4838">
              <w:rPr>
                <w:sz w:val="20"/>
                <w:szCs w:val="20"/>
              </w:rPr>
              <w:t xml:space="preserve">Annual Report </w:t>
            </w:r>
          </w:p>
        </w:tc>
      </w:tr>
      <w:tr w:rsidR="00B246B9" w:rsidRPr="003D4838" w14:paraId="27BA5946" w14:textId="77777777" w:rsidTr="003D4838">
        <w:trPr>
          <w:trHeight w:val="520"/>
        </w:trPr>
        <w:tc>
          <w:tcPr>
            <w:tcW w:w="3954" w:type="dxa"/>
            <w:shd w:val="clear" w:color="auto" w:fill="DEEAF6" w:themeFill="accent5" w:themeFillTint="33"/>
          </w:tcPr>
          <w:p w14:paraId="7E4F5FA5" w14:textId="77777777" w:rsidR="00B246B9" w:rsidRDefault="00B246B9" w:rsidP="003D4838">
            <w:pPr>
              <w:tabs>
                <w:tab w:val="left" w:pos="1246"/>
              </w:tabs>
              <w:suppressAutoHyphens w:val="0"/>
              <w:jc w:val="both"/>
              <w:rPr>
                <w:sz w:val="20"/>
                <w:szCs w:val="20"/>
              </w:rPr>
            </w:pPr>
            <w:r w:rsidRPr="003D4838">
              <w:rPr>
                <w:sz w:val="20"/>
                <w:szCs w:val="20"/>
              </w:rPr>
              <w:t>Support for the work of the IACHR Rapporteurship on the Rights of Lesbian, Gay, Bisexual, Trans, and Intersex Persons. (2020–2023)</w:t>
            </w:r>
          </w:p>
          <w:p w14:paraId="48FFB48C" w14:textId="77777777" w:rsidR="003D4838" w:rsidRPr="003D4838" w:rsidRDefault="003D4838" w:rsidP="003D4838">
            <w:pPr>
              <w:tabs>
                <w:tab w:val="left" w:pos="1246"/>
              </w:tabs>
              <w:suppressAutoHyphens w:val="0"/>
              <w:jc w:val="both"/>
              <w:rPr>
                <w:rFonts w:eastAsia="Times New Roman" w:cs="Arial"/>
                <w:sz w:val="20"/>
                <w:szCs w:val="20"/>
              </w:rPr>
            </w:pPr>
          </w:p>
        </w:tc>
        <w:tc>
          <w:tcPr>
            <w:tcW w:w="1962" w:type="dxa"/>
            <w:shd w:val="clear" w:color="auto" w:fill="DEEAF6" w:themeFill="accent5" w:themeFillTint="33"/>
          </w:tcPr>
          <w:p w14:paraId="14BE4849" w14:textId="77777777" w:rsidR="00B246B9" w:rsidRPr="003D4838" w:rsidRDefault="00B246B9" w:rsidP="003D4838">
            <w:pPr>
              <w:tabs>
                <w:tab w:val="left" w:pos="1060"/>
              </w:tabs>
              <w:suppressAutoHyphens w:val="0"/>
              <w:ind w:hanging="3"/>
              <w:jc w:val="both"/>
              <w:rPr>
                <w:rFonts w:eastAsia="Helvetica" w:cs="Calibri"/>
                <w:sz w:val="20"/>
                <w:szCs w:val="20"/>
              </w:rPr>
            </w:pPr>
            <w:r w:rsidRPr="003D4838">
              <w:rPr>
                <w:sz w:val="20"/>
                <w:szCs w:val="20"/>
              </w:rPr>
              <w:t xml:space="preserve">US$ 450,000 </w:t>
            </w:r>
          </w:p>
        </w:tc>
        <w:tc>
          <w:tcPr>
            <w:tcW w:w="2050" w:type="dxa"/>
            <w:shd w:val="clear" w:color="auto" w:fill="DEEAF6" w:themeFill="accent5" w:themeFillTint="33"/>
          </w:tcPr>
          <w:p w14:paraId="62E7E1CC" w14:textId="77777777" w:rsidR="00B246B9" w:rsidRPr="003D4838" w:rsidRDefault="00B246B9" w:rsidP="003D4838">
            <w:pPr>
              <w:suppressAutoHyphens w:val="0"/>
              <w:jc w:val="both"/>
              <w:rPr>
                <w:rFonts w:eastAsia="Times New Roman" w:cs="Arial"/>
                <w:sz w:val="20"/>
                <w:szCs w:val="20"/>
              </w:rPr>
            </w:pPr>
            <w:r w:rsidRPr="003D4838">
              <w:rPr>
                <w:sz w:val="20"/>
                <w:szCs w:val="20"/>
              </w:rPr>
              <w:t>Foundation for the Americas/Wellspring Advisors</w:t>
            </w:r>
          </w:p>
        </w:tc>
        <w:tc>
          <w:tcPr>
            <w:tcW w:w="1394" w:type="dxa"/>
            <w:shd w:val="clear" w:color="auto" w:fill="DEEAF6" w:themeFill="accent5" w:themeFillTint="33"/>
          </w:tcPr>
          <w:p w14:paraId="74CE41AC" w14:textId="77777777" w:rsidR="00B246B9" w:rsidRPr="003D4838" w:rsidRDefault="00B246B9" w:rsidP="003D4838">
            <w:pPr>
              <w:suppressAutoHyphens w:val="0"/>
              <w:jc w:val="both"/>
              <w:rPr>
                <w:rFonts w:eastAsia="Times New Roman" w:cs="Arial"/>
                <w:sz w:val="20"/>
                <w:szCs w:val="20"/>
              </w:rPr>
            </w:pPr>
            <w:r w:rsidRPr="003D4838">
              <w:rPr>
                <w:sz w:val="20"/>
                <w:szCs w:val="20"/>
              </w:rPr>
              <w:t xml:space="preserve">Annual Report </w:t>
            </w:r>
          </w:p>
        </w:tc>
      </w:tr>
      <w:tr w:rsidR="00B246B9" w:rsidRPr="003D4838" w14:paraId="34316EF7" w14:textId="77777777" w:rsidTr="003D4838">
        <w:trPr>
          <w:trHeight w:val="520"/>
        </w:trPr>
        <w:tc>
          <w:tcPr>
            <w:tcW w:w="3954" w:type="dxa"/>
            <w:shd w:val="clear" w:color="auto" w:fill="DEEAF6" w:themeFill="accent5" w:themeFillTint="33"/>
          </w:tcPr>
          <w:p w14:paraId="32FF9A96" w14:textId="77777777" w:rsidR="00B246B9" w:rsidRPr="003D4838" w:rsidRDefault="00B246B9" w:rsidP="003D4838">
            <w:pPr>
              <w:tabs>
                <w:tab w:val="left" w:pos="1246"/>
              </w:tabs>
              <w:suppressAutoHyphens w:val="0"/>
              <w:jc w:val="both"/>
              <w:rPr>
                <w:rFonts w:eastAsia="Times New Roman" w:cs="Arial"/>
                <w:sz w:val="20"/>
                <w:szCs w:val="20"/>
              </w:rPr>
            </w:pPr>
            <w:r w:rsidRPr="003D4838">
              <w:rPr>
                <w:sz w:val="20"/>
                <w:szCs w:val="20"/>
              </w:rPr>
              <w:t>Increase the effectiveness of the work of the Inter-American Commission during 2018- 2022 (ended September 2023)</w:t>
            </w:r>
          </w:p>
        </w:tc>
        <w:tc>
          <w:tcPr>
            <w:tcW w:w="1962" w:type="dxa"/>
            <w:shd w:val="clear" w:color="auto" w:fill="DEEAF6" w:themeFill="accent5" w:themeFillTint="33"/>
          </w:tcPr>
          <w:p w14:paraId="12DA4343" w14:textId="77777777" w:rsidR="00B246B9" w:rsidRPr="003D4838" w:rsidRDefault="00B246B9" w:rsidP="003D4838">
            <w:pPr>
              <w:tabs>
                <w:tab w:val="left" w:pos="1060"/>
              </w:tabs>
              <w:suppressAutoHyphens w:val="0"/>
              <w:ind w:hanging="3"/>
              <w:jc w:val="both"/>
              <w:rPr>
                <w:rFonts w:eastAsia="Times New Roman" w:cs="Arial"/>
                <w:sz w:val="20"/>
                <w:szCs w:val="20"/>
              </w:rPr>
            </w:pPr>
            <w:r w:rsidRPr="003D4838">
              <w:rPr>
                <w:sz w:val="20"/>
                <w:szCs w:val="20"/>
              </w:rPr>
              <w:t>US$ 14,263,887</w:t>
            </w:r>
          </w:p>
        </w:tc>
        <w:tc>
          <w:tcPr>
            <w:tcW w:w="2050" w:type="dxa"/>
            <w:shd w:val="clear" w:color="auto" w:fill="DEEAF6" w:themeFill="accent5" w:themeFillTint="33"/>
          </w:tcPr>
          <w:p w14:paraId="5A5321DA" w14:textId="77777777" w:rsidR="00B246B9" w:rsidRPr="003D4838" w:rsidRDefault="00B246B9" w:rsidP="003D4838">
            <w:pPr>
              <w:suppressAutoHyphens w:val="0"/>
              <w:jc w:val="both"/>
              <w:rPr>
                <w:rFonts w:eastAsia="Times New Roman" w:cs="Arial"/>
                <w:sz w:val="20"/>
                <w:szCs w:val="20"/>
              </w:rPr>
            </w:pPr>
            <w:r w:rsidRPr="003D4838">
              <w:rPr>
                <w:sz w:val="20"/>
                <w:szCs w:val="20"/>
              </w:rPr>
              <w:t>United States</w:t>
            </w:r>
          </w:p>
        </w:tc>
        <w:tc>
          <w:tcPr>
            <w:tcW w:w="1394" w:type="dxa"/>
            <w:shd w:val="clear" w:color="auto" w:fill="DEEAF6" w:themeFill="accent5" w:themeFillTint="33"/>
          </w:tcPr>
          <w:p w14:paraId="42469118" w14:textId="77777777" w:rsidR="00B246B9" w:rsidRPr="003D4838" w:rsidRDefault="00B246B9" w:rsidP="003D4838">
            <w:pPr>
              <w:suppressAutoHyphens w:val="0"/>
              <w:jc w:val="both"/>
              <w:rPr>
                <w:sz w:val="20"/>
                <w:szCs w:val="20"/>
              </w:rPr>
            </w:pPr>
            <w:r w:rsidRPr="003D4838">
              <w:rPr>
                <w:sz w:val="20"/>
                <w:szCs w:val="20"/>
              </w:rPr>
              <w:t>Three Quarterly Reports</w:t>
            </w:r>
          </w:p>
          <w:p w14:paraId="28392AF3" w14:textId="77777777" w:rsidR="00B246B9" w:rsidRPr="003D4838" w:rsidRDefault="00B246B9" w:rsidP="003D4838">
            <w:pPr>
              <w:suppressAutoHyphens w:val="0"/>
              <w:jc w:val="both"/>
              <w:rPr>
                <w:rFonts w:eastAsia="Times New Roman" w:cs="Arial"/>
                <w:sz w:val="20"/>
                <w:szCs w:val="20"/>
              </w:rPr>
            </w:pPr>
            <w:r w:rsidRPr="003D4838">
              <w:rPr>
                <w:sz w:val="20"/>
                <w:szCs w:val="20"/>
              </w:rPr>
              <w:t>Final Report</w:t>
            </w:r>
          </w:p>
        </w:tc>
      </w:tr>
      <w:tr w:rsidR="00B246B9" w:rsidRPr="003D4838" w14:paraId="70AB448E" w14:textId="77777777" w:rsidTr="003D4838">
        <w:trPr>
          <w:trHeight w:val="520"/>
        </w:trPr>
        <w:tc>
          <w:tcPr>
            <w:tcW w:w="3954" w:type="dxa"/>
            <w:shd w:val="clear" w:color="auto" w:fill="DEEAF6" w:themeFill="accent5" w:themeFillTint="33"/>
          </w:tcPr>
          <w:p w14:paraId="677AC688" w14:textId="77777777" w:rsidR="00B246B9" w:rsidRPr="003D4838" w:rsidRDefault="00B246B9" w:rsidP="003D4838">
            <w:pPr>
              <w:tabs>
                <w:tab w:val="left" w:pos="1246"/>
              </w:tabs>
              <w:suppressAutoHyphens w:val="0"/>
              <w:jc w:val="both"/>
              <w:rPr>
                <w:rFonts w:eastAsia="Helvetica" w:cs="Calibri"/>
                <w:sz w:val="20"/>
                <w:szCs w:val="20"/>
              </w:rPr>
            </w:pPr>
            <w:r w:rsidRPr="003D4838">
              <w:rPr>
                <w:sz w:val="20"/>
                <w:szCs w:val="20"/>
              </w:rPr>
              <w:t xml:space="preserve">Increasing the protection and defense of human rights in the Americas in 2021-2024  </w:t>
            </w:r>
          </w:p>
        </w:tc>
        <w:tc>
          <w:tcPr>
            <w:tcW w:w="1962" w:type="dxa"/>
            <w:shd w:val="clear" w:color="auto" w:fill="DEEAF6" w:themeFill="accent5" w:themeFillTint="33"/>
          </w:tcPr>
          <w:p w14:paraId="6C1F3036" w14:textId="77777777" w:rsidR="00B246B9" w:rsidRPr="003D4838" w:rsidRDefault="00B246B9" w:rsidP="003D4838">
            <w:pPr>
              <w:tabs>
                <w:tab w:val="left" w:pos="1060"/>
              </w:tabs>
              <w:suppressAutoHyphens w:val="0"/>
              <w:ind w:hanging="3"/>
              <w:jc w:val="both"/>
              <w:rPr>
                <w:rFonts w:eastAsia="Helvetica" w:cs="Times New Roman"/>
                <w:sz w:val="20"/>
                <w:szCs w:val="20"/>
              </w:rPr>
            </w:pPr>
            <w:r w:rsidRPr="003D4838">
              <w:rPr>
                <w:sz w:val="20"/>
                <w:szCs w:val="20"/>
              </w:rPr>
              <w:t>US$14,812,500.00</w:t>
            </w:r>
          </w:p>
        </w:tc>
        <w:tc>
          <w:tcPr>
            <w:tcW w:w="2050" w:type="dxa"/>
            <w:shd w:val="clear" w:color="auto" w:fill="DEEAF6" w:themeFill="accent5" w:themeFillTint="33"/>
          </w:tcPr>
          <w:p w14:paraId="03897B89" w14:textId="77777777" w:rsidR="00B246B9" w:rsidRPr="003D4838" w:rsidRDefault="00B246B9" w:rsidP="003D4838">
            <w:pPr>
              <w:suppressAutoHyphens w:val="0"/>
              <w:jc w:val="both"/>
              <w:rPr>
                <w:rFonts w:eastAsia="Times New Roman" w:cs="Arial"/>
                <w:sz w:val="20"/>
                <w:szCs w:val="20"/>
              </w:rPr>
            </w:pPr>
            <w:r w:rsidRPr="003D4838">
              <w:rPr>
                <w:sz w:val="20"/>
                <w:szCs w:val="20"/>
              </w:rPr>
              <w:t>United States</w:t>
            </w:r>
          </w:p>
        </w:tc>
        <w:tc>
          <w:tcPr>
            <w:tcW w:w="1394" w:type="dxa"/>
            <w:shd w:val="clear" w:color="auto" w:fill="DEEAF6" w:themeFill="accent5" w:themeFillTint="33"/>
          </w:tcPr>
          <w:p w14:paraId="4C54EA3F" w14:textId="77777777" w:rsidR="00B246B9" w:rsidRPr="003D4838" w:rsidRDefault="00B246B9" w:rsidP="003D4838">
            <w:pPr>
              <w:suppressAutoHyphens w:val="0"/>
              <w:jc w:val="both"/>
              <w:rPr>
                <w:rFonts w:eastAsia="Times New Roman" w:cs="Arial"/>
                <w:sz w:val="20"/>
                <w:szCs w:val="20"/>
              </w:rPr>
            </w:pPr>
            <w:r w:rsidRPr="003D4838">
              <w:rPr>
                <w:sz w:val="20"/>
                <w:szCs w:val="20"/>
              </w:rPr>
              <w:t>Three Quarterly Reports</w:t>
            </w:r>
          </w:p>
        </w:tc>
      </w:tr>
      <w:tr w:rsidR="00B246B9" w:rsidRPr="003D4838" w14:paraId="119DFD26" w14:textId="77777777" w:rsidTr="003D4838">
        <w:trPr>
          <w:trHeight w:val="520"/>
        </w:trPr>
        <w:tc>
          <w:tcPr>
            <w:tcW w:w="3954" w:type="dxa"/>
            <w:shd w:val="clear" w:color="auto" w:fill="DEEAF6" w:themeFill="accent5" w:themeFillTint="33"/>
          </w:tcPr>
          <w:p w14:paraId="7571FB56" w14:textId="77777777" w:rsidR="00B246B9" w:rsidRPr="003D4838" w:rsidRDefault="00B246B9" w:rsidP="003D4838">
            <w:pPr>
              <w:tabs>
                <w:tab w:val="left" w:pos="1246"/>
              </w:tabs>
              <w:suppressAutoHyphens w:val="0"/>
              <w:jc w:val="both"/>
              <w:rPr>
                <w:rFonts w:eastAsia="Helvetica" w:cs="Calibri"/>
                <w:sz w:val="20"/>
                <w:szCs w:val="20"/>
              </w:rPr>
            </w:pPr>
            <w:r w:rsidRPr="003D4838">
              <w:rPr>
                <w:sz w:val="20"/>
                <w:szCs w:val="20"/>
              </w:rPr>
              <w:t>Monitoring of the Human Rights Situation in Nicaragua II.</w:t>
            </w:r>
          </w:p>
        </w:tc>
        <w:tc>
          <w:tcPr>
            <w:tcW w:w="1962" w:type="dxa"/>
            <w:shd w:val="clear" w:color="auto" w:fill="DEEAF6" w:themeFill="accent5" w:themeFillTint="33"/>
          </w:tcPr>
          <w:p w14:paraId="30C406E8" w14:textId="77777777" w:rsidR="00B246B9" w:rsidRPr="003D4838" w:rsidRDefault="00B246B9" w:rsidP="003D4838">
            <w:pPr>
              <w:tabs>
                <w:tab w:val="left" w:pos="1060"/>
              </w:tabs>
              <w:suppressAutoHyphens w:val="0"/>
              <w:ind w:hanging="3"/>
              <w:jc w:val="both"/>
              <w:rPr>
                <w:rFonts w:eastAsia="Helvetica" w:cs="Times New Roman"/>
                <w:sz w:val="20"/>
                <w:szCs w:val="20"/>
              </w:rPr>
            </w:pPr>
            <w:r w:rsidRPr="003D4838">
              <w:rPr>
                <w:sz w:val="20"/>
                <w:szCs w:val="20"/>
              </w:rPr>
              <w:t>US$ 119,870</w:t>
            </w:r>
          </w:p>
        </w:tc>
        <w:tc>
          <w:tcPr>
            <w:tcW w:w="2050" w:type="dxa"/>
            <w:shd w:val="clear" w:color="auto" w:fill="DEEAF6" w:themeFill="accent5" w:themeFillTint="33"/>
          </w:tcPr>
          <w:p w14:paraId="6B49C513" w14:textId="77777777" w:rsidR="00B246B9" w:rsidRPr="003D4838" w:rsidRDefault="00B246B9" w:rsidP="003D4838">
            <w:pPr>
              <w:suppressAutoHyphens w:val="0"/>
              <w:jc w:val="both"/>
              <w:rPr>
                <w:rFonts w:eastAsia="Times New Roman" w:cs="Arial"/>
                <w:sz w:val="20"/>
                <w:szCs w:val="20"/>
              </w:rPr>
            </w:pPr>
            <w:r w:rsidRPr="003D4838">
              <w:rPr>
                <w:sz w:val="20"/>
                <w:szCs w:val="20"/>
              </w:rPr>
              <w:t xml:space="preserve">Spanish Fund for OAS </w:t>
            </w:r>
          </w:p>
        </w:tc>
        <w:tc>
          <w:tcPr>
            <w:tcW w:w="1394" w:type="dxa"/>
            <w:shd w:val="clear" w:color="auto" w:fill="DEEAF6" w:themeFill="accent5" w:themeFillTint="33"/>
          </w:tcPr>
          <w:p w14:paraId="081A5F18" w14:textId="77777777" w:rsidR="00B246B9" w:rsidRPr="003D4838" w:rsidRDefault="00B246B9" w:rsidP="003D4838">
            <w:pPr>
              <w:suppressAutoHyphens w:val="0"/>
              <w:jc w:val="both"/>
              <w:rPr>
                <w:rFonts w:eastAsia="Times New Roman" w:cs="Arial"/>
                <w:sz w:val="20"/>
                <w:szCs w:val="20"/>
              </w:rPr>
            </w:pPr>
            <w:r w:rsidRPr="003D4838">
              <w:rPr>
                <w:sz w:val="20"/>
                <w:szCs w:val="20"/>
              </w:rPr>
              <w:t>Interim Report</w:t>
            </w:r>
          </w:p>
          <w:p w14:paraId="76BED27D" w14:textId="77777777" w:rsidR="00B246B9" w:rsidRPr="003D4838" w:rsidRDefault="00B246B9" w:rsidP="003D4838">
            <w:pPr>
              <w:suppressAutoHyphens w:val="0"/>
              <w:jc w:val="both"/>
              <w:rPr>
                <w:rFonts w:eastAsia="Times New Roman" w:cs="Arial"/>
                <w:sz w:val="20"/>
                <w:szCs w:val="20"/>
              </w:rPr>
            </w:pPr>
            <w:r w:rsidRPr="003D4838">
              <w:rPr>
                <w:sz w:val="20"/>
                <w:szCs w:val="20"/>
              </w:rPr>
              <w:t>Final Report</w:t>
            </w:r>
          </w:p>
        </w:tc>
      </w:tr>
      <w:tr w:rsidR="00B246B9" w:rsidRPr="003D4838" w14:paraId="5B276D71" w14:textId="77777777" w:rsidTr="003D4838">
        <w:trPr>
          <w:trHeight w:val="520"/>
        </w:trPr>
        <w:tc>
          <w:tcPr>
            <w:tcW w:w="3954" w:type="dxa"/>
            <w:shd w:val="clear" w:color="auto" w:fill="DEEAF6" w:themeFill="accent5" w:themeFillTint="33"/>
          </w:tcPr>
          <w:p w14:paraId="3719CEB9" w14:textId="77777777" w:rsidR="00B246B9" w:rsidRDefault="00B246B9" w:rsidP="003D4838">
            <w:pPr>
              <w:tabs>
                <w:tab w:val="left" w:pos="1246"/>
              </w:tabs>
              <w:suppressAutoHyphens w:val="0"/>
              <w:jc w:val="both"/>
              <w:rPr>
                <w:sz w:val="20"/>
                <w:szCs w:val="20"/>
              </w:rPr>
            </w:pPr>
            <w:r w:rsidRPr="003D4838">
              <w:rPr>
                <w:sz w:val="20"/>
                <w:szCs w:val="20"/>
              </w:rPr>
              <w:t>Monitoring of the Human Rights Situation in Nicaragua. (2023–2024)</w:t>
            </w:r>
          </w:p>
          <w:p w14:paraId="75055878" w14:textId="77777777" w:rsidR="003D4838" w:rsidRPr="003D4838" w:rsidRDefault="003D4838" w:rsidP="003D4838">
            <w:pPr>
              <w:tabs>
                <w:tab w:val="left" w:pos="1246"/>
              </w:tabs>
              <w:suppressAutoHyphens w:val="0"/>
              <w:jc w:val="both"/>
              <w:rPr>
                <w:rFonts w:eastAsia="Times New Roman" w:cs="Arial"/>
                <w:sz w:val="20"/>
                <w:szCs w:val="20"/>
              </w:rPr>
            </w:pPr>
          </w:p>
        </w:tc>
        <w:tc>
          <w:tcPr>
            <w:tcW w:w="1962" w:type="dxa"/>
            <w:shd w:val="clear" w:color="auto" w:fill="DEEAF6" w:themeFill="accent5" w:themeFillTint="33"/>
          </w:tcPr>
          <w:p w14:paraId="691FE03D" w14:textId="77777777" w:rsidR="00B246B9" w:rsidRPr="003D4838" w:rsidRDefault="00B246B9" w:rsidP="003D4838">
            <w:pPr>
              <w:tabs>
                <w:tab w:val="left" w:pos="1060"/>
              </w:tabs>
              <w:suppressAutoHyphens w:val="0"/>
              <w:ind w:hanging="3"/>
              <w:jc w:val="both"/>
              <w:rPr>
                <w:rFonts w:eastAsia="Times New Roman" w:cs="Arial"/>
                <w:sz w:val="20"/>
                <w:szCs w:val="20"/>
              </w:rPr>
            </w:pPr>
            <w:r w:rsidRPr="003D4838">
              <w:rPr>
                <w:sz w:val="20"/>
                <w:szCs w:val="20"/>
              </w:rPr>
              <w:t xml:space="preserve">US$ 97,174 </w:t>
            </w:r>
          </w:p>
        </w:tc>
        <w:tc>
          <w:tcPr>
            <w:tcW w:w="2050" w:type="dxa"/>
            <w:shd w:val="clear" w:color="auto" w:fill="DEEAF6" w:themeFill="accent5" w:themeFillTint="33"/>
          </w:tcPr>
          <w:p w14:paraId="06EA6CB0" w14:textId="77777777" w:rsidR="00B246B9" w:rsidRPr="003D4838" w:rsidRDefault="00B246B9" w:rsidP="003D4838">
            <w:pPr>
              <w:suppressAutoHyphens w:val="0"/>
              <w:jc w:val="both"/>
              <w:rPr>
                <w:rFonts w:eastAsia="Times New Roman" w:cs="Arial"/>
                <w:sz w:val="20"/>
                <w:szCs w:val="20"/>
              </w:rPr>
            </w:pPr>
            <w:r w:rsidRPr="003D4838">
              <w:rPr>
                <w:sz w:val="20"/>
                <w:szCs w:val="20"/>
              </w:rPr>
              <w:t>Spain</w:t>
            </w:r>
          </w:p>
        </w:tc>
        <w:tc>
          <w:tcPr>
            <w:tcW w:w="1394" w:type="dxa"/>
            <w:shd w:val="clear" w:color="auto" w:fill="DEEAF6" w:themeFill="accent5" w:themeFillTint="33"/>
          </w:tcPr>
          <w:p w14:paraId="6A585E52" w14:textId="77777777" w:rsidR="00B246B9" w:rsidRPr="003D4838" w:rsidRDefault="00B246B9" w:rsidP="003D4838">
            <w:pPr>
              <w:suppressAutoHyphens w:val="0"/>
              <w:jc w:val="both"/>
              <w:rPr>
                <w:rFonts w:eastAsia="Times New Roman" w:cs="Arial"/>
                <w:sz w:val="20"/>
                <w:szCs w:val="20"/>
              </w:rPr>
            </w:pPr>
            <w:r w:rsidRPr="003D4838">
              <w:rPr>
                <w:sz w:val="20"/>
                <w:szCs w:val="20"/>
              </w:rPr>
              <w:t>Interim Report</w:t>
            </w:r>
          </w:p>
        </w:tc>
      </w:tr>
      <w:tr w:rsidR="00B246B9" w:rsidRPr="003D4838" w14:paraId="362C4856" w14:textId="77777777" w:rsidTr="003D4838">
        <w:trPr>
          <w:trHeight w:val="520"/>
        </w:trPr>
        <w:tc>
          <w:tcPr>
            <w:tcW w:w="3954" w:type="dxa"/>
            <w:shd w:val="clear" w:color="auto" w:fill="DEEAF6" w:themeFill="accent5" w:themeFillTint="33"/>
          </w:tcPr>
          <w:p w14:paraId="027511D6" w14:textId="77777777" w:rsidR="00B246B9" w:rsidRDefault="00B246B9" w:rsidP="003D4838">
            <w:pPr>
              <w:tabs>
                <w:tab w:val="left" w:pos="1246"/>
              </w:tabs>
              <w:suppressAutoHyphens w:val="0"/>
              <w:jc w:val="both"/>
              <w:rPr>
                <w:sz w:val="20"/>
                <w:szCs w:val="20"/>
              </w:rPr>
            </w:pPr>
            <w:r w:rsidRPr="003D4838">
              <w:rPr>
                <w:sz w:val="20"/>
                <w:szCs w:val="20"/>
              </w:rPr>
              <w:t>Support for follow-up of GIEI Bolivia recommendations (2023-2024)</w:t>
            </w:r>
          </w:p>
          <w:p w14:paraId="129E7958" w14:textId="77777777" w:rsidR="003D4838" w:rsidRPr="003D4838" w:rsidRDefault="003D4838" w:rsidP="003D4838">
            <w:pPr>
              <w:tabs>
                <w:tab w:val="left" w:pos="1246"/>
              </w:tabs>
              <w:suppressAutoHyphens w:val="0"/>
              <w:jc w:val="both"/>
              <w:rPr>
                <w:rFonts w:cs="Arial"/>
                <w:sz w:val="20"/>
                <w:szCs w:val="20"/>
              </w:rPr>
            </w:pPr>
          </w:p>
        </w:tc>
        <w:tc>
          <w:tcPr>
            <w:tcW w:w="1962" w:type="dxa"/>
            <w:shd w:val="clear" w:color="auto" w:fill="DEEAF6" w:themeFill="accent5" w:themeFillTint="33"/>
          </w:tcPr>
          <w:p w14:paraId="64A1F105" w14:textId="77777777" w:rsidR="00B246B9" w:rsidRPr="003D4838" w:rsidRDefault="00B246B9" w:rsidP="003D4838">
            <w:pPr>
              <w:tabs>
                <w:tab w:val="left" w:pos="1060"/>
              </w:tabs>
              <w:suppressAutoHyphens w:val="0"/>
              <w:ind w:hanging="3"/>
              <w:jc w:val="both"/>
              <w:rPr>
                <w:rFonts w:eastAsia="Times New Roman" w:cs="Arial"/>
                <w:sz w:val="20"/>
                <w:szCs w:val="20"/>
              </w:rPr>
            </w:pPr>
            <w:r w:rsidRPr="003D4838">
              <w:rPr>
                <w:sz w:val="20"/>
                <w:szCs w:val="20"/>
              </w:rPr>
              <w:t>US$ 234,100</w:t>
            </w:r>
          </w:p>
        </w:tc>
        <w:tc>
          <w:tcPr>
            <w:tcW w:w="2050" w:type="dxa"/>
            <w:shd w:val="clear" w:color="auto" w:fill="DEEAF6" w:themeFill="accent5" w:themeFillTint="33"/>
          </w:tcPr>
          <w:p w14:paraId="33A834AB" w14:textId="77777777" w:rsidR="00B246B9" w:rsidRPr="003D4838" w:rsidRDefault="00B246B9" w:rsidP="003D4838">
            <w:pPr>
              <w:suppressAutoHyphens w:val="0"/>
              <w:jc w:val="both"/>
              <w:rPr>
                <w:rFonts w:eastAsia="Times New Roman" w:cs="Arial"/>
                <w:sz w:val="20"/>
                <w:szCs w:val="20"/>
              </w:rPr>
            </w:pPr>
            <w:r w:rsidRPr="003D4838">
              <w:rPr>
                <w:sz w:val="20"/>
                <w:szCs w:val="20"/>
              </w:rPr>
              <w:t xml:space="preserve">Spain </w:t>
            </w:r>
          </w:p>
        </w:tc>
        <w:tc>
          <w:tcPr>
            <w:tcW w:w="1394" w:type="dxa"/>
            <w:shd w:val="clear" w:color="auto" w:fill="DEEAF6" w:themeFill="accent5" w:themeFillTint="33"/>
          </w:tcPr>
          <w:p w14:paraId="56F95485" w14:textId="77777777" w:rsidR="00B246B9" w:rsidRPr="003D4838" w:rsidRDefault="00B246B9" w:rsidP="003D4838">
            <w:pPr>
              <w:suppressAutoHyphens w:val="0"/>
              <w:jc w:val="both"/>
              <w:rPr>
                <w:rFonts w:eastAsia="Times New Roman" w:cs="Arial"/>
                <w:sz w:val="20"/>
                <w:szCs w:val="20"/>
              </w:rPr>
            </w:pPr>
            <w:r w:rsidRPr="003D4838">
              <w:rPr>
                <w:sz w:val="20"/>
                <w:szCs w:val="20"/>
              </w:rPr>
              <w:t>Two Interim Reports</w:t>
            </w:r>
          </w:p>
        </w:tc>
      </w:tr>
      <w:tr w:rsidR="00B246B9" w:rsidRPr="003D4838" w14:paraId="5FACB046" w14:textId="77777777" w:rsidTr="003D4838">
        <w:trPr>
          <w:trHeight w:val="520"/>
        </w:trPr>
        <w:tc>
          <w:tcPr>
            <w:tcW w:w="3954" w:type="dxa"/>
            <w:shd w:val="clear" w:color="auto" w:fill="DEEAF6" w:themeFill="accent5" w:themeFillTint="33"/>
          </w:tcPr>
          <w:p w14:paraId="4C9FF8EA" w14:textId="77777777" w:rsidR="003D4838" w:rsidRDefault="00B246B9" w:rsidP="003D4838">
            <w:pPr>
              <w:suppressAutoHyphens w:val="0"/>
              <w:jc w:val="both"/>
              <w:rPr>
                <w:sz w:val="20"/>
                <w:szCs w:val="20"/>
              </w:rPr>
            </w:pPr>
            <w:r w:rsidRPr="003D4838">
              <w:rPr>
                <w:sz w:val="20"/>
                <w:szCs w:val="20"/>
              </w:rPr>
              <w:t>Support the IACHR Petitions and Cases System. Backlog Program (annual)</w:t>
            </w:r>
          </w:p>
          <w:p w14:paraId="5BDFD2CC" w14:textId="7DA92AE1" w:rsidR="00B455DE" w:rsidRPr="003D4838" w:rsidRDefault="00B455DE" w:rsidP="003D4838">
            <w:pPr>
              <w:suppressAutoHyphens w:val="0"/>
              <w:jc w:val="both"/>
              <w:rPr>
                <w:sz w:val="20"/>
                <w:szCs w:val="20"/>
              </w:rPr>
            </w:pPr>
          </w:p>
        </w:tc>
        <w:tc>
          <w:tcPr>
            <w:tcW w:w="1962" w:type="dxa"/>
            <w:shd w:val="clear" w:color="auto" w:fill="DEEAF6" w:themeFill="accent5" w:themeFillTint="33"/>
            <w:vAlign w:val="center"/>
          </w:tcPr>
          <w:p w14:paraId="34A6C7DB"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Eur. 50,000 </w:t>
            </w:r>
          </w:p>
        </w:tc>
        <w:tc>
          <w:tcPr>
            <w:tcW w:w="2050" w:type="dxa"/>
            <w:shd w:val="clear" w:color="auto" w:fill="DEEAF6" w:themeFill="accent5" w:themeFillTint="33"/>
          </w:tcPr>
          <w:p w14:paraId="3417AB89" w14:textId="77777777" w:rsidR="00B246B9" w:rsidRPr="003D4838" w:rsidRDefault="00B246B9" w:rsidP="003D4838">
            <w:pPr>
              <w:suppressAutoHyphens w:val="0"/>
              <w:rPr>
                <w:rFonts w:eastAsia="Times New Roman" w:cs="Arial"/>
                <w:sz w:val="20"/>
                <w:szCs w:val="20"/>
              </w:rPr>
            </w:pPr>
            <w:r w:rsidRPr="003D4838">
              <w:rPr>
                <w:sz w:val="20"/>
                <w:szCs w:val="20"/>
              </w:rPr>
              <w:t>Ireland</w:t>
            </w:r>
          </w:p>
        </w:tc>
        <w:tc>
          <w:tcPr>
            <w:tcW w:w="1394" w:type="dxa"/>
            <w:shd w:val="clear" w:color="auto" w:fill="DEEAF6" w:themeFill="accent5" w:themeFillTint="33"/>
          </w:tcPr>
          <w:p w14:paraId="0B1C81D0" w14:textId="77777777" w:rsidR="00B246B9" w:rsidRPr="003D4838" w:rsidRDefault="00B246B9" w:rsidP="003D4838">
            <w:pPr>
              <w:suppressAutoHyphens w:val="0"/>
              <w:jc w:val="both"/>
              <w:rPr>
                <w:rFonts w:eastAsia="Times New Roman" w:cs="Arial"/>
                <w:sz w:val="20"/>
                <w:szCs w:val="20"/>
              </w:rPr>
            </w:pPr>
            <w:r w:rsidRPr="003D4838">
              <w:rPr>
                <w:sz w:val="20"/>
                <w:szCs w:val="20"/>
              </w:rPr>
              <w:t>Annual Report</w:t>
            </w:r>
          </w:p>
        </w:tc>
      </w:tr>
      <w:tr w:rsidR="00B246B9" w:rsidRPr="003D4838" w14:paraId="3C7259F4" w14:textId="77777777" w:rsidTr="003D4838">
        <w:trPr>
          <w:trHeight w:val="520"/>
        </w:trPr>
        <w:tc>
          <w:tcPr>
            <w:tcW w:w="3954" w:type="dxa"/>
            <w:shd w:val="clear" w:color="auto" w:fill="DEEAF6" w:themeFill="accent5" w:themeFillTint="33"/>
          </w:tcPr>
          <w:p w14:paraId="7EF3519B" w14:textId="77777777" w:rsidR="00B246B9" w:rsidRPr="003D4838" w:rsidRDefault="00B246B9" w:rsidP="003D4838">
            <w:pPr>
              <w:suppressAutoHyphens w:val="0"/>
              <w:jc w:val="both"/>
              <w:rPr>
                <w:rFonts w:eastAsia="Times New Roman" w:cs="Arial"/>
                <w:sz w:val="20"/>
                <w:szCs w:val="20"/>
              </w:rPr>
            </w:pPr>
            <w:r w:rsidRPr="003D4838">
              <w:rPr>
                <w:sz w:val="20"/>
                <w:szCs w:val="20"/>
              </w:rPr>
              <w:t>Labor and union rights in Cuba</w:t>
            </w:r>
          </w:p>
        </w:tc>
        <w:tc>
          <w:tcPr>
            <w:tcW w:w="1962" w:type="dxa"/>
            <w:shd w:val="clear" w:color="auto" w:fill="DEEAF6" w:themeFill="accent5" w:themeFillTint="33"/>
            <w:vAlign w:val="center"/>
          </w:tcPr>
          <w:p w14:paraId="578EA1E4"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US$ 470,000</w:t>
            </w:r>
          </w:p>
        </w:tc>
        <w:tc>
          <w:tcPr>
            <w:tcW w:w="2050" w:type="dxa"/>
            <w:shd w:val="clear" w:color="auto" w:fill="DEEAF6" w:themeFill="accent5" w:themeFillTint="33"/>
          </w:tcPr>
          <w:p w14:paraId="15E587F7" w14:textId="77777777" w:rsidR="00B246B9" w:rsidRPr="003D4838" w:rsidRDefault="00B246B9" w:rsidP="003D4838">
            <w:pPr>
              <w:suppressAutoHyphens w:val="0"/>
              <w:rPr>
                <w:rFonts w:eastAsia="Times New Roman" w:cs="Arial"/>
                <w:sz w:val="20"/>
                <w:szCs w:val="20"/>
              </w:rPr>
            </w:pPr>
            <w:r w:rsidRPr="003D4838">
              <w:rPr>
                <w:sz w:val="20"/>
                <w:szCs w:val="20"/>
              </w:rPr>
              <w:t>PADF</w:t>
            </w:r>
          </w:p>
        </w:tc>
        <w:tc>
          <w:tcPr>
            <w:tcW w:w="1394" w:type="dxa"/>
            <w:shd w:val="clear" w:color="auto" w:fill="DEEAF6" w:themeFill="accent5" w:themeFillTint="33"/>
          </w:tcPr>
          <w:p w14:paraId="219DC3EF" w14:textId="77777777" w:rsidR="00B246B9" w:rsidRPr="003D4838" w:rsidRDefault="00B246B9" w:rsidP="003D4838">
            <w:pPr>
              <w:suppressAutoHyphens w:val="0"/>
              <w:jc w:val="both"/>
              <w:rPr>
                <w:rFonts w:eastAsia="Times New Roman" w:cs="Arial"/>
                <w:sz w:val="20"/>
                <w:szCs w:val="20"/>
              </w:rPr>
            </w:pPr>
            <w:r w:rsidRPr="003D4838">
              <w:rPr>
                <w:sz w:val="20"/>
                <w:szCs w:val="20"/>
              </w:rPr>
              <w:t>Final report</w:t>
            </w:r>
          </w:p>
        </w:tc>
      </w:tr>
      <w:tr w:rsidR="00B246B9" w:rsidRPr="003D4838" w14:paraId="526C530C" w14:textId="77777777" w:rsidTr="003D4838">
        <w:trPr>
          <w:trHeight w:val="520"/>
        </w:trPr>
        <w:tc>
          <w:tcPr>
            <w:tcW w:w="3954" w:type="dxa"/>
            <w:shd w:val="clear" w:color="auto" w:fill="DEEAF6" w:themeFill="accent5" w:themeFillTint="33"/>
          </w:tcPr>
          <w:p w14:paraId="09F1ACFA" w14:textId="77777777" w:rsidR="00B246B9" w:rsidRPr="003D4838" w:rsidRDefault="00B246B9" w:rsidP="003D4838">
            <w:pPr>
              <w:suppressAutoHyphens w:val="0"/>
              <w:jc w:val="both"/>
              <w:rPr>
                <w:rFonts w:eastAsia="Times New Roman" w:cs="Arial"/>
                <w:sz w:val="20"/>
                <w:szCs w:val="20"/>
              </w:rPr>
            </w:pPr>
            <w:r w:rsidRPr="003D4838">
              <w:rPr>
                <w:sz w:val="20"/>
                <w:szCs w:val="20"/>
              </w:rPr>
              <w:lastRenderedPageBreak/>
              <w:t>Bases for Transitional Justice in Nicaragua - Phase II (February 2024)</w:t>
            </w:r>
          </w:p>
        </w:tc>
        <w:tc>
          <w:tcPr>
            <w:tcW w:w="1962" w:type="dxa"/>
            <w:shd w:val="clear" w:color="auto" w:fill="DEEAF6" w:themeFill="accent5" w:themeFillTint="33"/>
          </w:tcPr>
          <w:p w14:paraId="1785A34D"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US$ 260.875 </w:t>
            </w:r>
          </w:p>
        </w:tc>
        <w:tc>
          <w:tcPr>
            <w:tcW w:w="2050" w:type="dxa"/>
            <w:shd w:val="clear" w:color="auto" w:fill="DEEAF6" w:themeFill="accent5" w:themeFillTint="33"/>
          </w:tcPr>
          <w:p w14:paraId="7CD68873" w14:textId="77777777" w:rsidR="00B246B9" w:rsidRPr="003D4838" w:rsidRDefault="00B246B9" w:rsidP="003D4838">
            <w:pPr>
              <w:suppressAutoHyphens w:val="0"/>
              <w:jc w:val="both"/>
              <w:rPr>
                <w:rFonts w:eastAsia="Times New Roman" w:cs="Arial"/>
                <w:sz w:val="20"/>
                <w:szCs w:val="20"/>
              </w:rPr>
            </w:pPr>
            <w:r w:rsidRPr="003D4838">
              <w:rPr>
                <w:sz w:val="20"/>
                <w:szCs w:val="20"/>
              </w:rPr>
              <w:t>PADF</w:t>
            </w:r>
          </w:p>
        </w:tc>
        <w:tc>
          <w:tcPr>
            <w:tcW w:w="1394" w:type="dxa"/>
            <w:shd w:val="clear" w:color="auto" w:fill="DEEAF6" w:themeFill="accent5" w:themeFillTint="33"/>
          </w:tcPr>
          <w:p w14:paraId="4D3DAEEB" w14:textId="77777777" w:rsidR="00B246B9" w:rsidRPr="003D4838" w:rsidRDefault="00B246B9" w:rsidP="003D4838">
            <w:pPr>
              <w:suppressAutoHyphens w:val="0"/>
              <w:jc w:val="both"/>
              <w:rPr>
                <w:rFonts w:eastAsia="Times New Roman" w:cs="Arial"/>
                <w:sz w:val="20"/>
                <w:szCs w:val="20"/>
              </w:rPr>
            </w:pPr>
            <w:r w:rsidRPr="003D4838">
              <w:rPr>
                <w:sz w:val="20"/>
                <w:szCs w:val="20"/>
              </w:rPr>
              <w:t>Three Quarterly Reports</w:t>
            </w:r>
          </w:p>
        </w:tc>
      </w:tr>
      <w:tr w:rsidR="00B246B9" w:rsidRPr="003D4838" w14:paraId="301E74ED" w14:textId="77777777" w:rsidTr="003D4838">
        <w:trPr>
          <w:trHeight w:val="355"/>
        </w:trPr>
        <w:tc>
          <w:tcPr>
            <w:tcW w:w="3954" w:type="dxa"/>
            <w:shd w:val="clear" w:color="auto" w:fill="DEEAF6" w:themeFill="accent5" w:themeFillTint="33"/>
            <w:hideMark/>
          </w:tcPr>
          <w:p w14:paraId="20BADFDC" w14:textId="77777777" w:rsidR="00B246B9" w:rsidRPr="003D4838" w:rsidRDefault="00B246B9" w:rsidP="003D4838">
            <w:pPr>
              <w:suppressAutoHyphens w:val="0"/>
              <w:jc w:val="both"/>
              <w:rPr>
                <w:rFonts w:eastAsia="Times New Roman" w:cs="Arial"/>
                <w:sz w:val="20"/>
                <w:szCs w:val="20"/>
              </w:rPr>
            </w:pPr>
            <w:r w:rsidRPr="003D4838">
              <w:rPr>
                <w:sz w:val="20"/>
                <w:szCs w:val="20"/>
              </w:rPr>
              <w:t>"Promoting and Protecting Human Rights in the Northern Triangle of Central America" Phase II (November 2023)</w:t>
            </w:r>
          </w:p>
        </w:tc>
        <w:tc>
          <w:tcPr>
            <w:tcW w:w="1962" w:type="dxa"/>
            <w:shd w:val="clear" w:color="auto" w:fill="DEEAF6" w:themeFill="accent5" w:themeFillTint="33"/>
          </w:tcPr>
          <w:p w14:paraId="3C2AAEFF"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US$ 250,000 </w:t>
            </w:r>
          </w:p>
        </w:tc>
        <w:tc>
          <w:tcPr>
            <w:tcW w:w="2050" w:type="dxa"/>
            <w:shd w:val="clear" w:color="auto" w:fill="DEEAF6" w:themeFill="accent5" w:themeFillTint="33"/>
            <w:hideMark/>
          </w:tcPr>
          <w:p w14:paraId="4C884FB1" w14:textId="77777777" w:rsidR="00B246B9" w:rsidRPr="003D4838" w:rsidRDefault="00B246B9" w:rsidP="003D4838">
            <w:pPr>
              <w:suppressAutoHyphens w:val="0"/>
              <w:jc w:val="both"/>
              <w:rPr>
                <w:rFonts w:eastAsia="Times New Roman" w:cs="Arial"/>
                <w:sz w:val="20"/>
                <w:szCs w:val="20"/>
              </w:rPr>
            </w:pPr>
            <w:r w:rsidRPr="003D4838">
              <w:rPr>
                <w:sz w:val="20"/>
                <w:szCs w:val="20"/>
              </w:rPr>
              <w:t>PADF</w:t>
            </w:r>
          </w:p>
        </w:tc>
        <w:tc>
          <w:tcPr>
            <w:tcW w:w="1394" w:type="dxa"/>
            <w:shd w:val="clear" w:color="auto" w:fill="DEEAF6" w:themeFill="accent5" w:themeFillTint="33"/>
          </w:tcPr>
          <w:p w14:paraId="24661816" w14:textId="77777777" w:rsidR="00B246B9" w:rsidRPr="003D4838" w:rsidRDefault="00B246B9" w:rsidP="003D4838">
            <w:pPr>
              <w:suppressAutoHyphens w:val="0"/>
              <w:jc w:val="both"/>
              <w:rPr>
                <w:sz w:val="20"/>
                <w:szCs w:val="20"/>
              </w:rPr>
            </w:pPr>
            <w:r w:rsidRPr="003D4838">
              <w:rPr>
                <w:sz w:val="20"/>
                <w:szCs w:val="20"/>
              </w:rPr>
              <w:t>Three Quarterly Reports</w:t>
            </w:r>
          </w:p>
          <w:p w14:paraId="7BB6D536" w14:textId="77777777" w:rsidR="00B246B9" w:rsidRPr="003D4838" w:rsidRDefault="00B246B9" w:rsidP="003D4838">
            <w:pPr>
              <w:suppressAutoHyphens w:val="0"/>
              <w:jc w:val="both"/>
              <w:rPr>
                <w:rFonts w:eastAsia="Times New Roman" w:cs="Arial"/>
                <w:sz w:val="20"/>
                <w:szCs w:val="20"/>
              </w:rPr>
            </w:pPr>
            <w:r w:rsidRPr="003D4838">
              <w:rPr>
                <w:rFonts w:eastAsia="Times New Roman" w:cs="Arial"/>
                <w:sz w:val="20"/>
                <w:szCs w:val="20"/>
              </w:rPr>
              <w:t>Final Report</w:t>
            </w:r>
          </w:p>
        </w:tc>
      </w:tr>
      <w:tr w:rsidR="00B246B9" w:rsidRPr="003D4838" w14:paraId="7DEAD4FC" w14:textId="77777777" w:rsidTr="003D4838">
        <w:trPr>
          <w:trHeight w:val="355"/>
        </w:trPr>
        <w:tc>
          <w:tcPr>
            <w:tcW w:w="3954" w:type="dxa"/>
            <w:shd w:val="clear" w:color="auto" w:fill="DEEAF6" w:themeFill="accent5" w:themeFillTint="33"/>
          </w:tcPr>
          <w:p w14:paraId="1B7868C3" w14:textId="77777777" w:rsidR="00B246B9" w:rsidRPr="003D4838" w:rsidRDefault="00B246B9" w:rsidP="003D4838">
            <w:pPr>
              <w:suppressAutoHyphens w:val="0"/>
              <w:jc w:val="both"/>
              <w:rPr>
                <w:rFonts w:eastAsia="Times New Roman" w:cs="Arial"/>
                <w:sz w:val="20"/>
                <w:szCs w:val="20"/>
              </w:rPr>
            </w:pPr>
            <w:r w:rsidRPr="003D4838">
              <w:rPr>
                <w:sz w:val="20"/>
                <w:szCs w:val="20"/>
              </w:rPr>
              <w:t>"Strengthening the protection of human rights with emphasis on the most vulnerable populations in Central America" Phase III (ending March 2024)</w:t>
            </w:r>
          </w:p>
        </w:tc>
        <w:tc>
          <w:tcPr>
            <w:tcW w:w="1962" w:type="dxa"/>
            <w:shd w:val="clear" w:color="auto" w:fill="DEEAF6" w:themeFill="accent5" w:themeFillTint="33"/>
          </w:tcPr>
          <w:p w14:paraId="7557D14F"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US$ 1,400.000 </w:t>
            </w:r>
          </w:p>
        </w:tc>
        <w:tc>
          <w:tcPr>
            <w:tcW w:w="2050" w:type="dxa"/>
            <w:shd w:val="clear" w:color="auto" w:fill="DEEAF6" w:themeFill="accent5" w:themeFillTint="33"/>
          </w:tcPr>
          <w:p w14:paraId="4505C70C" w14:textId="77777777" w:rsidR="00B246B9" w:rsidRPr="003D4838" w:rsidRDefault="00B246B9" w:rsidP="003D4838">
            <w:pPr>
              <w:suppressAutoHyphens w:val="0"/>
              <w:jc w:val="both"/>
              <w:rPr>
                <w:rFonts w:eastAsia="Times New Roman" w:cs="Arial"/>
                <w:sz w:val="20"/>
                <w:szCs w:val="20"/>
              </w:rPr>
            </w:pPr>
            <w:r w:rsidRPr="003D4838">
              <w:rPr>
                <w:sz w:val="20"/>
                <w:szCs w:val="20"/>
              </w:rPr>
              <w:t>Switzerland</w:t>
            </w:r>
          </w:p>
        </w:tc>
        <w:tc>
          <w:tcPr>
            <w:tcW w:w="1394" w:type="dxa"/>
            <w:shd w:val="clear" w:color="auto" w:fill="DEEAF6" w:themeFill="accent5" w:themeFillTint="33"/>
          </w:tcPr>
          <w:p w14:paraId="09B2013D" w14:textId="77777777" w:rsidR="00B246B9" w:rsidRPr="003D4838" w:rsidRDefault="00B246B9" w:rsidP="003D4838">
            <w:pPr>
              <w:suppressAutoHyphens w:val="0"/>
              <w:jc w:val="both"/>
              <w:rPr>
                <w:rFonts w:eastAsia="Times New Roman" w:cs="Arial"/>
                <w:sz w:val="20"/>
                <w:szCs w:val="20"/>
              </w:rPr>
            </w:pPr>
            <w:r w:rsidRPr="003D4838">
              <w:rPr>
                <w:sz w:val="20"/>
                <w:szCs w:val="20"/>
              </w:rPr>
              <w:t>Phase II Final Report</w:t>
            </w:r>
          </w:p>
          <w:p w14:paraId="0CE62787" w14:textId="77777777" w:rsidR="00B246B9" w:rsidRPr="003D4838" w:rsidRDefault="00B246B9" w:rsidP="003D4838">
            <w:pPr>
              <w:suppressAutoHyphens w:val="0"/>
              <w:jc w:val="both"/>
              <w:rPr>
                <w:rFonts w:eastAsia="Times New Roman" w:cs="Arial"/>
                <w:sz w:val="20"/>
                <w:szCs w:val="20"/>
              </w:rPr>
            </w:pPr>
            <w:r w:rsidRPr="003D4838">
              <w:rPr>
                <w:sz w:val="20"/>
                <w:szCs w:val="20"/>
              </w:rPr>
              <w:t>Two Interim Reports</w:t>
            </w:r>
          </w:p>
          <w:p w14:paraId="74871984" w14:textId="77777777" w:rsidR="00B246B9" w:rsidRPr="003D4838" w:rsidRDefault="00B246B9" w:rsidP="003D4838">
            <w:pPr>
              <w:suppressAutoHyphens w:val="0"/>
              <w:jc w:val="both"/>
              <w:rPr>
                <w:rFonts w:eastAsia="Times New Roman" w:cs="Arial"/>
                <w:sz w:val="20"/>
                <w:szCs w:val="20"/>
              </w:rPr>
            </w:pPr>
            <w:r w:rsidRPr="003D4838">
              <w:rPr>
                <w:sz w:val="20"/>
                <w:szCs w:val="20"/>
              </w:rPr>
              <w:t xml:space="preserve">Four Bimonthly Reports </w:t>
            </w:r>
          </w:p>
        </w:tc>
      </w:tr>
      <w:tr w:rsidR="00B246B9" w:rsidRPr="003D4838" w14:paraId="1D5F8148" w14:textId="77777777" w:rsidTr="003D4838">
        <w:trPr>
          <w:trHeight w:val="355"/>
        </w:trPr>
        <w:tc>
          <w:tcPr>
            <w:tcW w:w="3954" w:type="dxa"/>
            <w:shd w:val="clear" w:color="auto" w:fill="DEEAF6" w:themeFill="accent5" w:themeFillTint="33"/>
          </w:tcPr>
          <w:p w14:paraId="34F9C773" w14:textId="77777777" w:rsidR="00B246B9" w:rsidRPr="003D4838" w:rsidRDefault="00B246B9" w:rsidP="003D4838">
            <w:pPr>
              <w:suppressAutoHyphens w:val="0"/>
              <w:jc w:val="both"/>
              <w:rPr>
                <w:rFonts w:eastAsia="Times New Roman" w:cs="Arial"/>
                <w:sz w:val="20"/>
                <w:szCs w:val="20"/>
              </w:rPr>
            </w:pPr>
            <w:r w:rsidRPr="003D4838">
              <w:rPr>
                <w:sz w:val="20"/>
                <w:szCs w:val="20"/>
              </w:rPr>
              <w:t>Increase protection and defense of human rights in the Americas (Petitions and Cases, Meseg and RELE components) (2023-2025)</w:t>
            </w:r>
          </w:p>
        </w:tc>
        <w:tc>
          <w:tcPr>
            <w:tcW w:w="1962" w:type="dxa"/>
            <w:shd w:val="clear" w:color="auto" w:fill="DEEAF6" w:themeFill="accent5" w:themeFillTint="33"/>
          </w:tcPr>
          <w:p w14:paraId="6D656303" w14:textId="78D4466F" w:rsidR="00B246B9" w:rsidRPr="003D4838" w:rsidRDefault="00B246B9" w:rsidP="003D4838">
            <w:pPr>
              <w:suppressAutoHyphens w:val="0"/>
              <w:ind w:hanging="3"/>
              <w:jc w:val="both"/>
              <w:rPr>
                <w:rFonts w:eastAsia="Times New Roman" w:cs="Arial"/>
                <w:sz w:val="20"/>
                <w:szCs w:val="20"/>
              </w:rPr>
            </w:pPr>
            <w:r w:rsidRPr="003D4838">
              <w:rPr>
                <w:sz w:val="20"/>
                <w:szCs w:val="20"/>
              </w:rPr>
              <w:t xml:space="preserve">Eur 1.75 </w:t>
            </w:r>
            <w:r w:rsidR="0002044F" w:rsidRPr="003D4838">
              <w:rPr>
                <w:sz w:val="20"/>
                <w:szCs w:val="20"/>
              </w:rPr>
              <w:t>million</w:t>
            </w:r>
            <w:r w:rsidRPr="003D4838">
              <w:rPr>
                <w:sz w:val="20"/>
                <w:szCs w:val="20"/>
              </w:rPr>
              <w:t xml:space="preserve"> </w:t>
            </w:r>
          </w:p>
        </w:tc>
        <w:tc>
          <w:tcPr>
            <w:tcW w:w="2050" w:type="dxa"/>
            <w:shd w:val="clear" w:color="auto" w:fill="DEEAF6" w:themeFill="accent5" w:themeFillTint="33"/>
          </w:tcPr>
          <w:p w14:paraId="65945AEE" w14:textId="77777777" w:rsidR="00B246B9" w:rsidRPr="003D4838" w:rsidRDefault="00B246B9" w:rsidP="003D4838">
            <w:pPr>
              <w:suppressAutoHyphens w:val="0"/>
              <w:jc w:val="both"/>
              <w:rPr>
                <w:rFonts w:eastAsia="Times New Roman" w:cs="Arial"/>
                <w:sz w:val="20"/>
                <w:szCs w:val="20"/>
              </w:rPr>
            </w:pPr>
            <w:r w:rsidRPr="003D4838">
              <w:rPr>
                <w:sz w:val="20"/>
                <w:szCs w:val="20"/>
              </w:rPr>
              <w:t>European Commission</w:t>
            </w:r>
          </w:p>
        </w:tc>
        <w:tc>
          <w:tcPr>
            <w:tcW w:w="1394" w:type="dxa"/>
            <w:shd w:val="clear" w:color="auto" w:fill="DEEAF6" w:themeFill="accent5" w:themeFillTint="33"/>
          </w:tcPr>
          <w:p w14:paraId="07714B95" w14:textId="77777777" w:rsidR="00B246B9" w:rsidRPr="003D4838" w:rsidRDefault="00B246B9" w:rsidP="003D4838">
            <w:pPr>
              <w:suppressAutoHyphens w:val="0"/>
              <w:jc w:val="both"/>
              <w:rPr>
                <w:rFonts w:eastAsia="Times New Roman" w:cs="Arial"/>
                <w:sz w:val="20"/>
                <w:szCs w:val="20"/>
              </w:rPr>
            </w:pPr>
            <w:r w:rsidRPr="003D4838">
              <w:rPr>
                <w:sz w:val="20"/>
                <w:szCs w:val="20"/>
              </w:rPr>
              <w:t>Under execution</w:t>
            </w:r>
          </w:p>
          <w:p w14:paraId="206D54EB" w14:textId="77777777" w:rsidR="00B246B9" w:rsidRPr="003D4838" w:rsidRDefault="00B246B9" w:rsidP="003D4838">
            <w:pPr>
              <w:suppressAutoHyphens w:val="0"/>
              <w:jc w:val="both"/>
              <w:rPr>
                <w:rFonts w:eastAsia="Times New Roman" w:cs="Arial"/>
                <w:sz w:val="20"/>
                <w:szCs w:val="20"/>
              </w:rPr>
            </w:pPr>
            <w:r w:rsidRPr="003D4838">
              <w:rPr>
                <w:sz w:val="20"/>
                <w:szCs w:val="20"/>
              </w:rPr>
              <w:t>Final Project Report (2019-2022)</w:t>
            </w:r>
          </w:p>
        </w:tc>
      </w:tr>
      <w:tr w:rsidR="00B246B9" w:rsidRPr="003D4838" w14:paraId="1525A4C7" w14:textId="77777777" w:rsidTr="003D4838">
        <w:trPr>
          <w:trHeight w:val="355"/>
        </w:trPr>
        <w:tc>
          <w:tcPr>
            <w:tcW w:w="3954" w:type="dxa"/>
            <w:shd w:val="clear" w:color="auto" w:fill="DEEAF6" w:themeFill="accent5" w:themeFillTint="33"/>
          </w:tcPr>
          <w:p w14:paraId="6464CC1B" w14:textId="77777777" w:rsidR="00B246B9" w:rsidRDefault="00B246B9" w:rsidP="003D4838">
            <w:pPr>
              <w:suppressAutoHyphens w:val="0"/>
              <w:contextualSpacing/>
              <w:jc w:val="both"/>
              <w:rPr>
                <w:sz w:val="20"/>
                <w:szCs w:val="20"/>
              </w:rPr>
            </w:pPr>
            <w:r w:rsidRPr="003D4838">
              <w:rPr>
                <w:sz w:val="20"/>
                <w:szCs w:val="20"/>
              </w:rPr>
              <w:t>Strengthening the capacities of the IACHR to address the human rights situation in the region</w:t>
            </w:r>
          </w:p>
          <w:p w14:paraId="73EF6CB0" w14:textId="77777777" w:rsidR="00B455DE" w:rsidRPr="003D4838" w:rsidRDefault="00B455DE" w:rsidP="003D4838">
            <w:pPr>
              <w:suppressAutoHyphens w:val="0"/>
              <w:contextualSpacing/>
              <w:jc w:val="both"/>
              <w:rPr>
                <w:sz w:val="20"/>
                <w:szCs w:val="20"/>
              </w:rPr>
            </w:pPr>
          </w:p>
        </w:tc>
        <w:tc>
          <w:tcPr>
            <w:tcW w:w="1962" w:type="dxa"/>
            <w:shd w:val="clear" w:color="auto" w:fill="DEEAF6" w:themeFill="accent5" w:themeFillTint="33"/>
          </w:tcPr>
          <w:p w14:paraId="43298B5B"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US$1,000,000</w:t>
            </w:r>
          </w:p>
        </w:tc>
        <w:tc>
          <w:tcPr>
            <w:tcW w:w="2050" w:type="dxa"/>
            <w:shd w:val="clear" w:color="auto" w:fill="DEEAF6" w:themeFill="accent5" w:themeFillTint="33"/>
          </w:tcPr>
          <w:p w14:paraId="2BD3FFCC" w14:textId="77777777" w:rsidR="00B246B9" w:rsidRPr="003D4838" w:rsidRDefault="00B246B9" w:rsidP="003D4838">
            <w:pPr>
              <w:suppressAutoHyphens w:val="0"/>
              <w:jc w:val="both"/>
              <w:rPr>
                <w:rFonts w:eastAsia="Times New Roman" w:cs="Arial"/>
                <w:sz w:val="20"/>
                <w:szCs w:val="20"/>
              </w:rPr>
            </w:pPr>
            <w:r w:rsidRPr="003D4838">
              <w:rPr>
                <w:sz w:val="20"/>
                <w:szCs w:val="20"/>
              </w:rPr>
              <w:t>Ford Foundation</w:t>
            </w:r>
          </w:p>
        </w:tc>
        <w:tc>
          <w:tcPr>
            <w:tcW w:w="1394" w:type="dxa"/>
            <w:shd w:val="clear" w:color="auto" w:fill="DEEAF6" w:themeFill="accent5" w:themeFillTint="33"/>
          </w:tcPr>
          <w:p w14:paraId="7F08F180" w14:textId="77777777" w:rsidR="00B246B9" w:rsidRPr="003D4838" w:rsidRDefault="00B246B9" w:rsidP="003D4838">
            <w:pPr>
              <w:suppressAutoHyphens w:val="0"/>
              <w:jc w:val="both"/>
              <w:rPr>
                <w:rFonts w:eastAsia="Times New Roman" w:cs="Arial"/>
                <w:sz w:val="20"/>
                <w:szCs w:val="20"/>
              </w:rPr>
            </w:pPr>
            <w:r w:rsidRPr="003D4838">
              <w:rPr>
                <w:sz w:val="20"/>
                <w:szCs w:val="20"/>
              </w:rPr>
              <w:t>Annual Report</w:t>
            </w:r>
          </w:p>
        </w:tc>
      </w:tr>
      <w:tr w:rsidR="00B246B9" w:rsidRPr="003D4838" w14:paraId="2B4D2CDC" w14:textId="77777777" w:rsidTr="003D4838">
        <w:trPr>
          <w:trHeight w:val="355"/>
        </w:trPr>
        <w:tc>
          <w:tcPr>
            <w:tcW w:w="3954" w:type="dxa"/>
            <w:shd w:val="clear" w:color="auto" w:fill="DEEAF6" w:themeFill="accent5" w:themeFillTint="33"/>
          </w:tcPr>
          <w:p w14:paraId="602F21B6" w14:textId="77777777" w:rsidR="00B246B9" w:rsidRPr="003D4838" w:rsidRDefault="00B246B9" w:rsidP="003D4838">
            <w:pPr>
              <w:suppressAutoHyphens w:val="0"/>
              <w:contextualSpacing/>
              <w:jc w:val="both"/>
              <w:rPr>
                <w:sz w:val="20"/>
                <w:szCs w:val="20"/>
              </w:rPr>
            </w:pPr>
            <w:r w:rsidRPr="003D4838">
              <w:rPr>
                <w:sz w:val="20"/>
                <w:szCs w:val="20"/>
              </w:rPr>
              <w:t>Increasing the enjoyment of the human rights of women and girls in the Americas (2023-2027) approved in the internal contract negotiation and OAS - PMS processes</w:t>
            </w:r>
          </w:p>
          <w:p w14:paraId="0B2D1E89" w14:textId="77777777" w:rsidR="00B246B9" w:rsidRPr="003D4838" w:rsidRDefault="00B246B9" w:rsidP="003D4838">
            <w:pPr>
              <w:suppressAutoHyphens w:val="0"/>
              <w:jc w:val="both"/>
              <w:rPr>
                <w:rFonts w:eastAsia="Times New Roman" w:cs="Arial"/>
                <w:sz w:val="20"/>
                <w:szCs w:val="20"/>
              </w:rPr>
            </w:pPr>
          </w:p>
        </w:tc>
        <w:tc>
          <w:tcPr>
            <w:tcW w:w="1962" w:type="dxa"/>
            <w:shd w:val="clear" w:color="auto" w:fill="DEEAF6" w:themeFill="accent5" w:themeFillTint="33"/>
          </w:tcPr>
          <w:p w14:paraId="5CF911F5" w14:textId="77777777" w:rsidR="00B246B9" w:rsidRPr="003D4838" w:rsidRDefault="00B246B9" w:rsidP="003D4838">
            <w:pPr>
              <w:suppressAutoHyphens w:val="0"/>
              <w:ind w:hanging="3"/>
              <w:jc w:val="both"/>
              <w:rPr>
                <w:rFonts w:eastAsia="Times New Roman" w:cs="Arial"/>
                <w:sz w:val="20"/>
                <w:szCs w:val="20"/>
              </w:rPr>
            </w:pPr>
            <w:r w:rsidRPr="003D4838">
              <w:rPr>
                <w:sz w:val="20"/>
                <w:szCs w:val="20"/>
              </w:rPr>
              <w:t>US$3,600,000</w:t>
            </w:r>
          </w:p>
        </w:tc>
        <w:tc>
          <w:tcPr>
            <w:tcW w:w="2050" w:type="dxa"/>
            <w:shd w:val="clear" w:color="auto" w:fill="DEEAF6" w:themeFill="accent5" w:themeFillTint="33"/>
          </w:tcPr>
          <w:p w14:paraId="5A32D9F1" w14:textId="77777777" w:rsidR="00B246B9" w:rsidRPr="003D4838" w:rsidRDefault="00B246B9" w:rsidP="003D4838">
            <w:pPr>
              <w:suppressAutoHyphens w:val="0"/>
              <w:jc w:val="both"/>
              <w:rPr>
                <w:rFonts w:eastAsia="Times New Roman" w:cs="Arial"/>
                <w:sz w:val="20"/>
                <w:szCs w:val="20"/>
              </w:rPr>
            </w:pPr>
            <w:r w:rsidRPr="003D4838">
              <w:rPr>
                <w:sz w:val="20"/>
                <w:szCs w:val="20"/>
              </w:rPr>
              <w:t>Canada</w:t>
            </w:r>
          </w:p>
        </w:tc>
        <w:tc>
          <w:tcPr>
            <w:tcW w:w="1394" w:type="dxa"/>
            <w:shd w:val="clear" w:color="auto" w:fill="DEEAF6" w:themeFill="accent5" w:themeFillTint="33"/>
          </w:tcPr>
          <w:p w14:paraId="6BDFC8A4" w14:textId="77777777" w:rsidR="00B246B9" w:rsidRPr="003D4838" w:rsidRDefault="00B246B9" w:rsidP="003D4838">
            <w:pPr>
              <w:suppressAutoHyphens w:val="0"/>
              <w:jc w:val="both"/>
              <w:rPr>
                <w:rFonts w:eastAsia="Times New Roman" w:cs="Arial"/>
                <w:sz w:val="20"/>
                <w:szCs w:val="20"/>
              </w:rPr>
            </w:pPr>
            <w:r w:rsidRPr="003D4838">
              <w:rPr>
                <w:sz w:val="20"/>
                <w:szCs w:val="20"/>
              </w:rPr>
              <w:t>Signed agreement</w:t>
            </w:r>
          </w:p>
          <w:p w14:paraId="03213078" w14:textId="77777777" w:rsidR="00B246B9" w:rsidRPr="003D4838" w:rsidRDefault="00B246B9" w:rsidP="003D4838">
            <w:pPr>
              <w:suppressAutoHyphens w:val="0"/>
              <w:jc w:val="both"/>
              <w:rPr>
                <w:rFonts w:eastAsia="Times New Roman" w:cs="Arial"/>
                <w:sz w:val="20"/>
                <w:szCs w:val="20"/>
                <w:lang w:val="es-ES_tradnl"/>
              </w:rPr>
            </w:pPr>
          </w:p>
        </w:tc>
      </w:tr>
      <w:tr w:rsidR="00B246B9" w:rsidRPr="003D4838" w14:paraId="44D335B4" w14:textId="77777777" w:rsidTr="003D4838">
        <w:trPr>
          <w:trHeight w:val="355"/>
        </w:trPr>
        <w:tc>
          <w:tcPr>
            <w:tcW w:w="3954" w:type="dxa"/>
            <w:tcBorders>
              <w:top w:val="nil"/>
              <w:left w:val="single" w:sz="8" w:space="0" w:color="FFFFFF"/>
              <w:bottom w:val="nil"/>
              <w:right w:val="nil"/>
            </w:tcBorders>
            <w:shd w:val="clear" w:color="000000" w:fill="DEEAF6"/>
            <w:vAlign w:val="center"/>
          </w:tcPr>
          <w:p w14:paraId="4ABEAF6B" w14:textId="77777777" w:rsidR="00B246B9" w:rsidRPr="003D4838" w:rsidRDefault="00B246B9" w:rsidP="003D4838">
            <w:pPr>
              <w:suppressAutoHyphens w:val="0"/>
              <w:contextualSpacing/>
              <w:jc w:val="both"/>
              <w:rPr>
                <w:sz w:val="20"/>
                <w:szCs w:val="20"/>
              </w:rPr>
            </w:pPr>
            <w:r w:rsidRPr="003D4838">
              <w:rPr>
                <w:rFonts w:cs="Calibri"/>
                <w:color w:val="000000"/>
                <w:sz w:val="20"/>
                <w:szCs w:val="20"/>
              </w:rPr>
              <w:t>Climate justice and economic, social, cultural, and environmental rights in Latin America and the Caribbean.</w:t>
            </w:r>
          </w:p>
        </w:tc>
        <w:tc>
          <w:tcPr>
            <w:tcW w:w="1962" w:type="dxa"/>
            <w:tcBorders>
              <w:top w:val="nil"/>
              <w:left w:val="single" w:sz="8" w:space="0" w:color="FFFFFF"/>
              <w:bottom w:val="nil"/>
              <w:right w:val="nil"/>
            </w:tcBorders>
            <w:shd w:val="clear" w:color="000000" w:fill="DEEAF6"/>
            <w:vAlign w:val="center"/>
          </w:tcPr>
          <w:p w14:paraId="105C6EE5" w14:textId="77777777" w:rsidR="00B246B9" w:rsidRPr="003D4838" w:rsidRDefault="00B246B9" w:rsidP="003D4838">
            <w:pPr>
              <w:suppressAutoHyphens w:val="0"/>
              <w:ind w:hanging="3"/>
              <w:jc w:val="both"/>
              <w:rPr>
                <w:sz w:val="20"/>
                <w:szCs w:val="20"/>
              </w:rPr>
            </w:pPr>
            <w:r w:rsidRPr="003D4838">
              <w:rPr>
                <w:rFonts w:cs="Calibri"/>
                <w:color w:val="000000"/>
                <w:sz w:val="20"/>
                <w:szCs w:val="20"/>
              </w:rPr>
              <w:t>$156,029 USD</w:t>
            </w:r>
          </w:p>
        </w:tc>
        <w:tc>
          <w:tcPr>
            <w:tcW w:w="2050" w:type="dxa"/>
            <w:shd w:val="clear" w:color="auto" w:fill="DEEAF6" w:themeFill="accent5" w:themeFillTint="33"/>
          </w:tcPr>
          <w:p w14:paraId="4517048F" w14:textId="77777777" w:rsidR="00B246B9" w:rsidRPr="003D4838" w:rsidRDefault="00B246B9" w:rsidP="003D4838">
            <w:pPr>
              <w:suppressAutoHyphens w:val="0"/>
              <w:jc w:val="both"/>
              <w:rPr>
                <w:sz w:val="20"/>
                <w:szCs w:val="20"/>
              </w:rPr>
            </w:pPr>
            <w:r w:rsidRPr="003D4838">
              <w:rPr>
                <w:rFonts w:eastAsia="Times New Roman" w:cs="Arial"/>
                <w:sz w:val="20"/>
                <w:szCs w:val="20"/>
                <w:lang w:val="es-ES_tradnl"/>
              </w:rPr>
              <w:t>Norway</w:t>
            </w:r>
          </w:p>
        </w:tc>
        <w:tc>
          <w:tcPr>
            <w:tcW w:w="1394" w:type="dxa"/>
            <w:shd w:val="clear" w:color="auto" w:fill="DEEAF6" w:themeFill="accent5" w:themeFillTint="33"/>
          </w:tcPr>
          <w:p w14:paraId="1F16B2B9" w14:textId="77777777" w:rsidR="00B246B9" w:rsidRPr="003D4838" w:rsidRDefault="00B246B9" w:rsidP="003D4838">
            <w:pPr>
              <w:suppressAutoHyphens w:val="0"/>
              <w:jc w:val="both"/>
              <w:rPr>
                <w:sz w:val="20"/>
                <w:szCs w:val="20"/>
              </w:rPr>
            </w:pPr>
            <w:r w:rsidRPr="003D4838">
              <w:rPr>
                <w:rFonts w:eastAsia="Times New Roman" w:cs="Arial"/>
                <w:sz w:val="20"/>
                <w:szCs w:val="20"/>
              </w:rPr>
              <w:t>Signed agreement and under execution</w:t>
            </w:r>
          </w:p>
        </w:tc>
      </w:tr>
      <w:tr w:rsidR="00B246B9" w:rsidRPr="003D4838" w14:paraId="7709162C" w14:textId="77777777" w:rsidTr="003D4838">
        <w:trPr>
          <w:trHeight w:val="355"/>
        </w:trPr>
        <w:tc>
          <w:tcPr>
            <w:tcW w:w="3954" w:type="dxa"/>
            <w:tcBorders>
              <w:top w:val="nil"/>
              <w:left w:val="single" w:sz="8" w:space="0" w:color="FFFFFF"/>
              <w:bottom w:val="single" w:sz="8" w:space="0" w:color="FFFFFF"/>
              <w:right w:val="nil"/>
            </w:tcBorders>
            <w:shd w:val="clear" w:color="000000" w:fill="DEEAF6"/>
            <w:vAlign w:val="center"/>
          </w:tcPr>
          <w:p w14:paraId="75C013B4" w14:textId="77777777" w:rsidR="00B246B9" w:rsidRPr="003D4838" w:rsidRDefault="00B246B9" w:rsidP="003D4838">
            <w:pPr>
              <w:suppressAutoHyphens w:val="0"/>
              <w:contextualSpacing/>
              <w:jc w:val="both"/>
              <w:rPr>
                <w:sz w:val="20"/>
                <w:szCs w:val="20"/>
              </w:rPr>
            </w:pPr>
            <w:r w:rsidRPr="003D4838">
              <w:rPr>
                <w:rFonts w:cs="Calibri"/>
                <w:color w:val="000000"/>
                <w:sz w:val="20"/>
                <w:szCs w:val="20"/>
              </w:rPr>
              <w:t>Monitoring of ESCERs (Economic, Social, Cultural, and Environmental Rights) in Central America 2019-2024.</w:t>
            </w:r>
          </w:p>
        </w:tc>
        <w:tc>
          <w:tcPr>
            <w:tcW w:w="1962" w:type="dxa"/>
            <w:tcBorders>
              <w:top w:val="nil"/>
              <w:left w:val="single" w:sz="8" w:space="0" w:color="FFFFFF"/>
              <w:bottom w:val="single" w:sz="8" w:space="0" w:color="FFFFFF"/>
              <w:right w:val="nil"/>
            </w:tcBorders>
            <w:shd w:val="clear" w:color="000000" w:fill="DEEAF6"/>
            <w:vAlign w:val="center"/>
          </w:tcPr>
          <w:p w14:paraId="64C0CE02" w14:textId="20D5C989" w:rsidR="00B246B9" w:rsidRPr="003D4838" w:rsidRDefault="00B246B9" w:rsidP="003D4838">
            <w:pPr>
              <w:suppressAutoHyphens w:val="0"/>
              <w:ind w:hanging="3"/>
              <w:jc w:val="both"/>
              <w:rPr>
                <w:sz w:val="20"/>
                <w:szCs w:val="20"/>
              </w:rPr>
            </w:pPr>
            <w:r w:rsidRPr="003D4838">
              <w:rPr>
                <w:rFonts w:cs="Calibri"/>
                <w:color w:val="000000"/>
                <w:sz w:val="20"/>
                <w:szCs w:val="20"/>
              </w:rPr>
              <w:t xml:space="preserve">$13.6 </w:t>
            </w:r>
            <w:r w:rsidR="0002044F" w:rsidRPr="003D4838">
              <w:rPr>
                <w:rFonts w:cs="Calibri"/>
                <w:color w:val="000000"/>
                <w:sz w:val="20"/>
                <w:szCs w:val="20"/>
              </w:rPr>
              <w:t>million</w:t>
            </w:r>
            <w:r w:rsidRPr="003D4838">
              <w:rPr>
                <w:rFonts w:cs="Calibri"/>
                <w:color w:val="000000"/>
                <w:sz w:val="20"/>
                <w:szCs w:val="20"/>
              </w:rPr>
              <w:t xml:space="preserve"> de Coronas Norwegian Crowns (</w:t>
            </w:r>
            <w:r w:rsidR="00B455DE" w:rsidRPr="003D4838">
              <w:rPr>
                <w:rFonts w:cs="Calibri"/>
                <w:color w:val="000000"/>
                <w:sz w:val="20"/>
                <w:szCs w:val="20"/>
              </w:rPr>
              <w:t>approx.</w:t>
            </w:r>
            <w:r w:rsidRPr="003D4838">
              <w:rPr>
                <w:rFonts w:cs="Calibri"/>
                <w:color w:val="000000"/>
                <w:sz w:val="20"/>
                <w:szCs w:val="20"/>
              </w:rPr>
              <w:t xml:space="preserve"> 1.46 million USD) </w:t>
            </w:r>
          </w:p>
        </w:tc>
        <w:tc>
          <w:tcPr>
            <w:tcW w:w="2050" w:type="dxa"/>
            <w:tcBorders>
              <w:top w:val="nil"/>
              <w:left w:val="nil"/>
              <w:bottom w:val="single" w:sz="8" w:space="0" w:color="FFFFFF"/>
              <w:right w:val="single" w:sz="8" w:space="0" w:color="FFFFFF"/>
            </w:tcBorders>
            <w:shd w:val="clear" w:color="000000" w:fill="DEEAF6"/>
            <w:vAlign w:val="center"/>
          </w:tcPr>
          <w:p w14:paraId="53AC190A" w14:textId="77777777" w:rsidR="00B246B9" w:rsidRPr="003D4838" w:rsidRDefault="00B246B9" w:rsidP="003D4838">
            <w:pPr>
              <w:suppressAutoHyphens w:val="0"/>
              <w:jc w:val="both"/>
              <w:rPr>
                <w:sz w:val="20"/>
                <w:szCs w:val="20"/>
              </w:rPr>
            </w:pPr>
            <w:r w:rsidRPr="003D4838">
              <w:rPr>
                <w:rFonts w:cs="Calibri"/>
                <w:color w:val="000000"/>
                <w:sz w:val="20"/>
                <w:szCs w:val="20"/>
              </w:rPr>
              <w:t>Norway I (extension)</w:t>
            </w:r>
          </w:p>
        </w:tc>
        <w:tc>
          <w:tcPr>
            <w:tcW w:w="1394" w:type="dxa"/>
            <w:shd w:val="clear" w:color="auto" w:fill="DEEAF6" w:themeFill="accent5" w:themeFillTint="33"/>
          </w:tcPr>
          <w:p w14:paraId="0C496735" w14:textId="77777777" w:rsidR="00B246B9" w:rsidRPr="003D4838" w:rsidRDefault="00B246B9" w:rsidP="003D4838">
            <w:pPr>
              <w:suppressAutoHyphens w:val="0"/>
              <w:jc w:val="both"/>
              <w:rPr>
                <w:sz w:val="20"/>
                <w:szCs w:val="20"/>
              </w:rPr>
            </w:pPr>
            <w:r w:rsidRPr="003D4838">
              <w:rPr>
                <w:rFonts w:eastAsia="Times New Roman" w:cs="Arial"/>
                <w:sz w:val="20"/>
                <w:szCs w:val="20"/>
              </w:rPr>
              <w:t>Annual Report</w:t>
            </w:r>
          </w:p>
        </w:tc>
      </w:tr>
      <w:tr w:rsidR="00B246B9" w:rsidRPr="003D4838" w14:paraId="36C712D2" w14:textId="77777777" w:rsidTr="003D4838">
        <w:trPr>
          <w:trHeight w:val="355"/>
        </w:trPr>
        <w:tc>
          <w:tcPr>
            <w:tcW w:w="3954" w:type="dxa"/>
            <w:tcBorders>
              <w:top w:val="nil"/>
              <w:left w:val="single" w:sz="8" w:space="0" w:color="FFFFFF"/>
              <w:bottom w:val="single" w:sz="8" w:space="0" w:color="FFFFFF"/>
              <w:right w:val="nil"/>
            </w:tcBorders>
            <w:shd w:val="clear" w:color="000000" w:fill="DEEAF6"/>
            <w:vAlign w:val="center"/>
          </w:tcPr>
          <w:p w14:paraId="32A47F7C" w14:textId="77777777" w:rsidR="00B246B9" w:rsidRPr="003D4838" w:rsidRDefault="00B246B9" w:rsidP="003D4838">
            <w:pPr>
              <w:suppressAutoHyphens w:val="0"/>
              <w:contextualSpacing/>
              <w:jc w:val="both"/>
              <w:rPr>
                <w:sz w:val="20"/>
                <w:szCs w:val="20"/>
              </w:rPr>
            </w:pPr>
            <w:r w:rsidRPr="003D4838">
              <w:rPr>
                <w:rFonts w:cs="Calibri"/>
                <w:color w:val="000000"/>
                <w:sz w:val="20"/>
                <w:szCs w:val="20"/>
              </w:rPr>
              <w:t>Strengthening Governance and Human Rights in Central America - Regional Program Central America Phase IV Year 5</w:t>
            </w:r>
          </w:p>
        </w:tc>
        <w:tc>
          <w:tcPr>
            <w:tcW w:w="1962" w:type="dxa"/>
            <w:tcBorders>
              <w:top w:val="nil"/>
              <w:left w:val="single" w:sz="8" w:space="0" w:color="FFFFFF"/>
              <w:bottom w:val="single" w:sz="8" w:space="0" w:color="FFFFFF"/>
              <w:right w:val="nil"/>
            </w:tcBorders>
            <w:shd w:val="clear" w:color="000000" w:fill="DEEAF6"/>
            <w:vAlign w:val="center"/>
          </w:tcPr>
          <w:p w14:paraId="6BBB884B" w14:textId="77777777" w:rsidR="00B246B9" w:rsidRPr="003D4838" w:rsidRDefault="00B246B9" w:rsidP="003D4838">
            <w:pPr>
              <w:suppressAutoHyphens w:val="0"/>
              <w:ind w:hanging="3"/>
              <w:jc w:val="both"/>
              <w:rPr>
                <w:sz w:val="20"/>
                <w:szCs w:val="20"/>
              </w:rPr>
            </w:pPr>
            <w:r w:rsidRPr="003D4838">
              <w:rPr>
                <w:rFonts w:cs="Calibri"/>
                <w:color w:val="000000"/>
                <w:sz w:val="20"/>
                <w:szCs w:val="20"/>
              </w:rPr>
              <w:t>240,000 Euros</w:t>
            </w:r>
          </w:p>
        </w:tc>
        <w:tc>
          <w:tcPr>
            <w:tcW w:w="2050" w:type="dxa"/>
            <w:tcBorders>
              <w:top w:val="nil"/>
              <w:left w:val="nil"/>
              <w:bottom w:val="single" w:sz="8" w:space="0" w:color="FFFFFF"/>
              <w:right w:val="single" w:sz="8" w:space="0" w:color="FFFFFF"/>
            </w:tcBorders>
            <w:shd w:val="clear" w:color="000000" w:fill="DEEAF6"/>
            <w:vAlign w:val="center"/>
          </w:tcPr>
          <w:p w14:paraId="146893B2" w14:textId="77777777" w:rsidR="00B246B9" w:rsidRPr="003D4838" w:rsidRDefault="00B246B9" w:rsidP="003D4838">
            <w:pPr>
              <w:suppressAutoHyphens w:val="0"/>
              <w:jc w:val="both"/>
              <w:rPr>
                <w:sz w:val="20"/>
                <w:szCs w:val="20"/>
              </w:rPr>
            </w:pPr>
            <w:r w:rsidRPr="003D4838">
              <w:rPr>
                <w:rFonts w:cs="Calibri"/>
                <w:color w:val="000000"/>
                <w:sz w:val="20"/>
                <w:szCs w:val="20"/>
              </w:rPr>
              <w:t>Italy</w:t>
            </w:r>
          </w:p>
        </w:tc>
        <w:tc>
          <w:tcPr>
            <w:tcW w:w="1394" w:type="dxa"/>
            <w:shd w:val="clear" w:color="auto" w:fill="DEEAF6" w:themeFill="accent5" w:themeFillTint="33"/>
          </w:tcPr>
          <w:p w14:paraId="0AF6BD41" w14:textId="77777777" w:rsidR="00B246B9" w:rsidRPr="003D4838" w:rsidRDefault="00B246B9" w:rsidP="003D4838">
            <w:pPr>
              <w:suppressAutoHyphens w:val="0"/>
              <w:jc w:val="both"/>
              <w:rPr>
                <w:sz w:val="20"/>
                <w:szCs w:val="20"/>
              </w:rPr>
            </w:pPr>
            <w:r w:rsidRPr="003D4838">
              <w:rPr>
                <w:rFonts w:eastAsia="Times New Roman" w:cs="Arial"/>
                <w:sz w:val="20"/>
                <w:szCs w:val="20"/>
              </w:rPr>
              <w:t>Signed agreement and under execution</w:t>
            </w:r>
          </w:p>
        </w:tc>
      </w:tr>
    </w:tbl>
    <w:p w14:paraId="0E29E293" w14:textId="77777777" w:rsidR="00B246B9" w:rsidRPr="009B0B2C" w:rsidRDefault="00B246B9" w:rsidP="00B246B9">
      <w:pPr>
        <w:ind w:left="900"/>
        <w:rPr>
          <w:sz w:val="18"/>
          <w:szCs w:val="18"/>
        </w:rPr>
      </w:pPr>
    </w:p>
    <w:p w14:paraId="67CE41C1" w14:textId="77777777" w:rsidR="00B246B9" w:rsidRPr="009B0B2C" w:rsidRDefault="00B246B9" w:rsidP="00B246B9">
      <w:pPr>
        <w:ind w:left="900"/>
        <w:rPr>
          <w:sz w:val="18"/>
          <w:szCs w:val="18"/>
        </w:rPr>
      </w:pPr>
    </w:p>
    <w:p w14:paraId="6EBD863E" w14:textId="77777777" w:rsidR="00B246B9" w:rsidRPr="00B455DE" w:rsidRDefault="00B246B9" w:rsidP="00B455DE">
      <w:pPr>
        <w:pStyle w:val="IAPrrafo"/>
      </w:pPr>
      <w:r w:rsidRPr="00B455DE">
        <w:t>During 2023, the Executive Secretariat of the IACHR prepared 17 funding proposals for presentation to donors. Most of the proposals were approved.</w:t>
      </w:r>
    </w:p>
    <w:p w14:paraId="77D3DF66"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Project proposal to support the activities of the rapporteurship on migrants submitted to UNHCR for US$80,000 (approved).</w:t>
      </w:r>
    </w:p>
    <w:p w14:paraId="162E3508"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Revised and expanded proposal to increase the enjoyment of the human rights of women and girls in the Americas to be submitted to Canada for US$5 million for the period 2023-2027 (Approved).</w:t>
      </w:r>
    </w:p>
    <w:p w14:paraId="05B539D1"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 xml:space="preserve">Concept note to support the GIEI Bolivia (MESEG Bolivia) recommendations follow-up mechanism for Spain for € 200,000. </w:t>
      </w:r>
      <w:r w:rsidRPr="00B455DE">
        <w:rPr>
          <w:sz w:val="20"/>
          <w:szCs w:val="20"/>
        </w:rPr>
        <w:t>(Approved for 100,000 Euros).</w:t>
      </w:r>
    </w:p>
    <w:p w14:paraId="1477CC76" w14:textId="21329C8F"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lastRenderedPageBreak/>
        <w:t>Concept note to support the Follow-up to the Situation in Nicaragua presented to the Spanish Fund of the OAS for US$200,000 (</w:t>
      </w:r>
      <w:r w:rsidRPr="00B455DE">
        <w:rPr>
          <w:sz w:val="20"/>
          <w:szCs w:val="20"/>
        </w:rPr>
        <w:t>Approved for 100,000 Euros</w:t>
      </w:r>
      <w:r w:rsidRPr="00B455DE">
        <w:rPr>
          <w:sz w:val="20"/>
        </w:rPr>
        <w:t>).</w:t>
      </w:r>
    </w:p>
    <w:p w14:paraId="52EB93EC"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Proposal to support the processing of decisions in the Petition and Case System submitted to Ireland € 50,000 (Approved).</w:t>
      </w:r>
    </w:p>
    <w:p w14:paraId="3296A265" w14:textId="2DACD153"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Proposal to support the LGTBI Rapporteur's plan for Wellspring /Trust for the Americas for the period 2023-2026 in the amount of US$450,000 (Approved).</w:t>
      </w:r>
    </w:p>
    <w:p w14:paraId="57E0D87A"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Year 3 Work Plan Proposal on the Program to Strengthen Governance and Human Rights in the Northern Triangle Countries and Nicaragua - Phase III for Italy for 100,000 Euros (Approved).</w:t>
      </w:r>
    </w:p>
    <w:p w14:paraId="67DDADB7" w14:textId="59E7198B"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Proposal to increase the capacity of civil society organizations to use the Inter-American Human Rights System submitted to PADF in the amount of US$100,000 (Approved)</w:t>
      </w:r>
      <w:r w:rsidR="00B455DE">
        <w:rPr>
          <w:sz w:val="20"/>
        </w:rPr>
        <w:t>.</w:t>
      </w:r>
    </w:p>
    <w:p w14:paraId="3E5E26D0" w14:textId="6D48E97F"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 xml:space="preserve">Proposal on Regional Program on Democracy and Human Rights in the Northern Triangle and Nicaragua-Phase IV submitted to PADF for US$500.000 </w:t>
      </w:r>
      <w:r w:rsidRPr="00B455DE">
        <w:rPr>
          <w:sz w:val="20"/>
          <w:szCs w:val="20"/>
        </w:rPr>
        <w:t>(Only two components approved in the amount of $</w:t>
      </w:r>
      <w:r w:rsidR="00B455DE" w:rsidRPr="00B455DE">
        <w:rPr>
          <w:sz w:val="20"/>
          <w:szCs w:val="20"/>
        </w:rPr>
        <w:t>177,000)</w:t>
      </w:r>
      <w:r w:rsidRPr="00B455DE">
        <w:rPr>
          <w:sz w:val="20"/>
          <w:szCs w:val="20"/>
        </w:rPr>
        <w:t>.</w:t>
      </w:r>
    </w:p>
    <w:p w14:paraId="3D03D187"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 xml:space="preserve">Proposal </w:t>
      </w:r>
      <w:bookmarkStart w:id="9" w:name="_Hlk121763427"/>
      <w:r w:rsidRPr="00B455DE">
        <w:rPr>
          <w:sz w:val="20"/>
        </w:rPr>
        <w:t xml:space="preserve">to increase the protection and defense of human rights in the Americas </w:t>
      </w:r>
      <w:bookmarkEnd w:id="9"/>
      <w:r w:rsidRPr="00B455DE">
        <w:rPr>
          <w:sz w:val="20"/>
        </w:rPr>
        <w:t xml:space="preserve">presented to the USA for US$4,937,500 (addendum to Agreement GR027 - 2022-2025) (approved). </w:t>
      </w:r>
    </w:p>
    <w:p w14:paraId="568A0B52" w14:textId="5DD52D6F"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rPr>
        <w:t>Proposals for strengthening the Democratic Charter (IACHR Component) in the amount of US$1.4 million submitted to the USA (under review).</w:t>
      </w:r>
    </w:p>
    <w:p w14:paraId="08E13C7B" w14:textId="11CBD2C6"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Project on Climate Justice and Economic, Social, Cultural, and Environmental Rights in Latin America and the Caribbean, submitted to Norway for $156,029 (Approved).</w:t>
      </w:r>
    </w:p>
    <w:p w14:paraId="43D9FF8B" w14:textId="5361B146"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Protection and Defense of Human Rights Defenders and Justice Operators in the Americas, submitted to the Spanish Fund of the OAS for $214,049 (Approved).</w:t>
      </w:r>
    </w:p>
    <w:p w14:paraId="1D2D4E91" w14:textId="1E73AFED"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Strengthening and Promotion of Inter-American Human Rights Standards within the framework of fiscal policies to guarantee and improve access to ESCERs, submitted to the Spanish Fund of the OAS for $235,461</w:t>
      </w:r>
      <w:r w:rsidR="00B455DE">
        <w:rPr>
          <w:sz w:val="20"/>
          <w:szCs w:val="20"/>
        </w:rPr>
        <w:t xml:space="preserve"> </w:t>
      </w:r>
      <w:r w:rsidRPr="00B455DE">
        <w:rPr>
          <w:sz w:val="20"/>
          <w:szCs w:val="20"/>
        </w:rPr>
        <w:t>(Approved).</w:t>
      </w:r>
    </w:p>
    <w:p w14:paraId="6E2BC6B2" w14:textId="77777777"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Proposal for Year 4 Work Plan on the Strengthening of Governance and Human Rights in the countries of the Northern Triangle and Nicaragua - Phase III for Italy for $258,480 (Approved).</w:t>
      </w:r>
    </w:p>
    <w:p w14:paraId="54FBDE83" w14:textId="77777777" w:rsid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Internationalization of Cuban Medical Missions submitted to PADF for $470,000 (Approved).</w:t>
      </w:r>
    </w:p>
    <w:p w14:paraId="67756AC6" w14:textId="5E5DF138" w:rsidR="00B246B9" w:rsidRPr="00B455DE" w:rsidRDefault="00B246B9" w:rsidP="00B455DE">
      <w:pPr>
        <w:numPr>
          <w:ilvl w:val="0"/>
          <w:numId w:val="39"/>
        </w:numPr>
        <w:suppressAutoHyphens w:val="0"/>
        <w:spacing w:after="240"/>
        <w:ind w:left="1440" w:hanging="630"/>
        <w:contextualSpacing/>
        <w:jc w:val="both"/>
        <w:rPr>
          <w:sz w:val="20"/>
          <w:szCs w:val="20"/>
        </w:rPr>
      </w:pPr>
      <w:r w:rsidRPr="00B455DE">
        <w:rPr>
          <w:sz w:val="20"/>
          <w:szCs w:val="20"/>
        </w:rPr>
        <w:t>Strengthening Governance and Human Rights in Central America - Regional Program Central America Phase IV Year 5 (Approved).</w:t>
      </w:r>
    </w:p>
    <w:p w14:paraId="4BF78E14" w14:textId="77777777" w:rsidR="00B246B9" w:rsidRPr="002B283E" w:rsidRDefault="00B246B9" w:rsidP="00B246B9"/>
    <w:p w14:paraId="24C1960B" w14:textId="6CBF5E99" w:rsidR="00B246B9" w:rsidRPr="00B455DE" w:rsidRDefault="00B246B9" w:rsidP="00B455DE">
      <w:pPr>
        <w:pStyle w:val="IASubttulo2"/>
        <w:rPr>
          <w:bCs/>
        </w:rPr>
      </w:pPr>
      <w:bookmarkStart w:id="10" w:name="_Toc162359434"/>
      <w:r>
        <w:t>Technological advances</w:t>
      </w:r>
      <w:bookmarkEnd w:id="10"/>
    </w:p>
    <w:p w14:paraId="31A5EEDA" w14:textId="5C0977CC" w:rsidR="00B246B9" w:rsidRPr="00ED01E6" w:rsidRDefault="00B246B9" w:rsidP="00ED01E6">
      <w:pPr>
        <w:pStyle w:val="IAPrrafo"/>
      </w:pPr>
      <w:r w:rsidRPr="00ED01E6">
        <w:t>The Inter-American Commission on Human Rights</w:t>
      </w:r>
      <w:r w:rsidR="00F81C81">
        <w:t xml:space="preserve"> </w:t>
      </w:r>
      <w:r w:rsidRPr="00ED01E6">
        <w:t xml:space="preserve">continues to incorporate technology as its cornerstone in the digital era. During this period, significant technological advances were </w:t>
      </w:r>
      <w:r w:rsidR="00ED01E6" w:rsidRPr="00ED01E6">
        <w:t>made,</w:t>
      </w:r>
      <w:r w:rsidRPr="00ED01E6">
        <w:t xml:space="preserve"> and strategies were adapted to address the evolving challenges of the electronic age. The implementation of cutting-edge solutions has become a priority for the IACHR, driving constant growth in the field of digital automation.</w:t>
      </w:r>
    </w:p>
    <w:p w14:paraId="45C8E647" w14:textId="77777777" w:rsidR="00B246B9" w:rsidRPr="00ED01E6" w:rsidRDefault="00B246B9" w:rsidP="00ED01E6">
      <w:pPr>
        <w:pStyle w:val="IAPrrafo"/>
      </w:pPr>
      <w:r w:rsidRPr="00ED01E6">
        <w:t xml:space="preserve">We achieved major technological advances in the SE/IACHR central system, an innovative project that has represented a significant milestone in the development and modernization of the Commission's central systems. In 2023, the IACHR underwent a transformative change in the development of the first phase of its new central system (GAIA). This review of the Commission's central systems had an impact on the IACHR's activities throughout 2023 and affected some goals in various areas of the Executive Secretariat. During the past year, significant progress was made in the implementation of Phase 1 of the system, leading the way to a more modern, efficient, and functional system. Likewise, the introduction of GAIA is expected to significantly enhance the organizational capacity and operational efficiency of the Commission. In this regard, member states have already acknowledged the positive changes brought about by the new system. In a letter addressed to the Executive Secretary, the Foreign Minister of Costa Rica expressed great satisfaction with the meticulous handling of petitions, where each document, evidence, and relevant annex is properly referenced. Furthermore, he appreciated the IACHR's decision to paginate the entire case file, recognizing its contribution to ensuring procedural security and equality of arms in these proceedings.   This achievement was possible thanks to the synergy with the in-house teams of the ES/IACHR, who shared knowledge, filed much-needed requests, and validated, observed, and supported the efforts made. We worked tirelessly in the evaluation of security standards, preparation of production environments, and processes necessary for data migration from previous </w:t>
      </w:r>
      <w:r w:rsidRPr="00ED01E6">
        <w:lastRenderedPageBreak/>
        <w:t>in-house systems. This critical phase paved the way for continuous improvement of the project. Additionally, in an effort to constantly add value to the system, new requirements have been integrated, using a strategy that allows the generation of Quick Wins in the system, even during the stabilization phase, seeking to continuously increase the value of the end-user experience. The positive reception from the member states reinforces the expectation of improved performance and more efficient processes with the full integration of the GAIA system in its future phases.</w:t>
      </w:r>
    </w:p>
    <w:p w14:paraId="47371DC4" w14:textId="77777777" w:rsidR="00B246B9" w:rsidRPr="00ED01E6" w:rsidRDefault="00B246B9" w:rsidP="00ED01E6">
      <w:pPr>
        <w:pStyle w:val="IAPrrafo"/>
      </w:pPr>
      <w:r w:rsidRPr="00ED01E6">
        <w:t>Recognizing the importance of training the team for the success of the new central system, resources were dedicated to the design and preparation of training tools. This included self-teaching manuals, videos using the E-learning methodology, and the scheduling of training for all personnel who would use the tool. Opportunities for collaboration and providing support were created with the different areas of the IACHR to strengthen their familiarity with the functionalities of the new platform, in order to achieve a smooth transition. We were able to implement a system for the automated transmission of audiovisual material with more than 44 information modules, which has revolutionized the way in which we share knowledge within the ES/IACHR. This technological approach has set a standard in presenting E-Learning in more agile ways.</w:t>
      </w:r>
    </w:p>
    <w:p w14:paraId="287DB83A" w14:textId="1BD87B88" w:rsidR="00B246B9" w:rsidRPr="00ED01E6" w:rsidRDefault="00B246B9" w:rsidP="00ED01E6">
      <w:pPr>
        <w:pStyle w:val="IAPrrafo"/>
      </w:pPr>
      <w:r w:rsidRPr="00ED01E6">
        <w:t xml:space="preserve">The system implemented for receiving new requirements on the central systems has been a critical component in the operability and improvement of the way in which the secretariat's needs are addressed. The tool was continuously adapted to the needs of the users and its development effectively standardized the procedures involved.  The unification of these tasks drove technological innovation to improve the quality of internal processes. A total of 893 requirements for </w:t>
      </w:r>
      <w:r w:rsidR="00A35F9A">
        <w:t>nine</w:t>
      </w:r>
      <w:r w:rsidRPr="00ED01E6">
        <w:t xml:space="preserve"> areas of the IACHR were addressed in </w:t>
      </w:r>
      <w:r w:rsidR="00A35F9A">
        <w:t>eight</w:t>
      </w:r>
      <w:r w:rsidRPr="00ED01E6">
        <w:t xml:space="preserve"> months of its implementation.</w:t>
      </w:r>
    </w:p>
    <w:p w14:paraId="7A11629B" w14:textId="77777777" w:rsidR="00B246B9" w:rsidRPr="00ED01E6" w:rsidRDefault="00B246B9" w:rsidP="00ED01E6">
      <w:pPr>
        <w:pStyle w:val="IAPrrafo"/>
      </w:pPr>
      <w:r w:rsidRPr="00ED01E6">
        <w:t>The tool developed for reception, logistics, and attention to requests has bolstered continuous streamlining and management of requirements received by the entire ES/IACHR, making it possible to achieve greater capacity to address technological needs. As an integral part of the adaptation of emerging technologies, its monitoring and focus on improvement opportunities is maintained so that the system continues to function in a constantly evolving technological environment.   A total of 647 requirements were addressed for 25 areas of the IACHR.</w:t>
      </w:r>
    </w:p>
    <w:p w14:paraId="0800D6D6" w14:textId="77777777" w:rsidR="00B246B9" w:rsidRPr="00ED01E6" w:rsidRDefault="00B246B9" w:rsidP="00ED01E6">
      <w:pPr>
        <w:pStyle w:val="IAPrrafo"/>
      </w:pPr>
      <w:r w:rsidRPr="00ED01E6">
        <w:t xml:space="preserve">During different facets, the Commission has experienced remarkable progress in multiple technological areas that have had a positive impact on our mission to promote and protect human rights in the digital age. The optimization of platforms allowed greater access to sessions (periods of sessions), encouraging more active participation. By recognizing the linguistic diversity of our audience and maintaining real-time translation and subtitling solutions in different simultaneous transmissions, a notable effect was obtained in terms of accessibility to sessions, hearings, meetings, and events. Technological coordination ensured effective organization of 186th, 187th, and188th sessions. These practices resulted in greater fluidity and consistency. Important technical training was provided, by transmitting knowledge and familiarization with the technologies and procedures needed to conduct successful periods of sessions. </w:t>
      </w:r>
    </w:p>
    <w:p w14:paraId="233E9368" w14:textId="77777777" w:rsidR="00B246B9" w:rsidRPr="00ED01E6" w:rsidRDefault="00B246B9" w:rsidP="00ED01E6">
      <w:pPr>
        <w:pStyle w:val="IAPrrafo"/>
      </w:pPr>
      <w:r w:rsidRPr="00ED01E6">
        <w:t xml:space="preserve">Necessary technological resources were identified and evaluated, and advances were made in the technological infrastructure, oriented towards state-of-the-art hardware and modernization of computer equipment. </w:t>
      </w:r>
    </w:p>
    <w:p w14:paraId="32A9B115" w14:textId="77777777" w:rsidR="00B246B9" w:rsidRPr="00ED01E6" w:rsidRDefault="00B246B9" w:rsidP="00ED01E6">
      <w:pPr>
        <w:pStyle w:val="IAPrrafo"/>
      </w:pPr>
      <w:r w:rsidRPr="00ED01E6">
        <w:t>With the need to keep SIMORE up-to-date with technological innovations and seeking to strengthen the functionality of the system, we are actively committed to analysis and exploration with a view to implementing improvements, data analysis tools, optimization of the experience and user interface for users and member states, strengthening their capacity to comply with their commitments on human rights.</w:t>
      </w:r>
    </w:p>
    <w:p w14:paraId="32FB443A" w14:textId="5BE8AB7A" w:rsidR="00B246B9" w:rsidRPr="00ED01E6" w:rsidRDefault="00B246B9" w:rsidP="00ED01E6">
      <w:pPr>
        <w:pStyle w:val="IAPrrafo"/>
      </w:pPr>
      <w:r w:rsidRPr="00ED01E6">
        <w:t>Continuing with the Commission's commitment to the Portal's users, the following achievements stand out: we provided assistance and support to address more than 12</w:t>
      </w:r>
      <w:r w:rsidR="005C1AA6">
        <w:t>,</w:t>
      </w:r>
      <w:r w:rsidRPr="00ED01E6">
        <w:t>325 queries; we had 4</w:t>
      </w:r>
      <w:r w:rsidR="005C1AA6">
        <w:t>,</w:t>
      </w:r>
      <w:r w:rsidRPr="00ED01E6">
        <w:t xml:space="preserve">314 new subscriptions from users and </w:t>
      </w:r>
      <w:r w:rsidR="005C1AA6">
        <w:t>ten</w:t>
      </w:r>
      <w:r w:rsidRPr="00ED01E6">
        <w:t xml:space="preserve"> accounts activated by States, experiencing significant growth; 77</w:t>
      </w:r>
      <w:r w:rsidR="005C1AA6">
        <w:t>,</w:t>
      </w:r>
      <w:r w:rsidRPr="00ED01E6">
        <w:t xml:space="preserve">160 additional information documents were processed in an automated manner. </w:t>
      </w:r>
    </w:p>
    <w:p w14:paraId="6C75377D" w14:textId="11DAAF51" w:rsidR="00B246B9" w:rsidRPr="00ED01E6" w:rsidRDefault="00B246B9" w:rsidP="00ED01E6">
      <w:pPr>
        <w:pStyle w:val="IAPrrafo"/>
      </w:pPr>
      <w:r w:rsidRPr="00ED01E6">
        <w:lastRenderedPageBreak/>
        <w:t xml:space="preserve">With the purpose of providing information in a centralized and automated way, thereby expediting the work of the SE/CIDH, online invitations were used in connection with the following: </w:t>
      </w:r>
      <w:r w:rsidR="00460846">
        <w:t>r</w:t>
      </w:r>
      <w:r w:rsidRPr="00ED01E6">
        <w:t xml:space="preserve">equests for Hearings and Meetings from the 186th to the 188th period of sessions in </w:t>
      </w:r>
      <w:r w:rsidR="00460846">
        <w:t>four</w:t>
      </w:r>
      <w:r w:rsidRPr="00ED01E6">
        <w:t xml:space="preserve"> official languages; </w:t>
      </w:r>
      <w:r w:rsidR="00460846">
        <w:t>c</w:t>
      </w:r>
      <w:r w:rsidRPr="00ED01E6">
        <w:t xml:space="preserve">alls to apply for fellowships in the case of the rapporteurships on Afro-descendants, children's rights, LGBT persons; </w:t>
      </w:r>
      <w:r w:rsidR="00460846">
        <w:t>r</w:t>
      </w:r>
      <w:r w:rsidRPr="00ED01E6">
        <w:t>egistration form for meetings during on-site visits to Bolivia, Human Rights Consultant, Rapporteurship on the Rights of Indigenous Peoples, Technical Cooperation, and Public Policy Section (English and Spanish)</w:t>
      </w:r>
      <w:r w:rsidR="00EB61EA">
        <w:t>;</w:t>
      </w:r>
      <w:r w:rsidRPr="00ED01E6">
        <w:t xml:space="preserve"> </w:t>
      </w:r>
      <w:r w:rsidR="00EB61EA">
        <w:t>c</w:t>
      </w:r>
      <w:r w:rsidRPr="00ED01E6">
        <w:t>omments on REDESCA competition (English and Spanish)</w:t>
      </w:r>
      <w:r w:rsidR="00EB61EA">
        <w:t xml:space="preserve"> and</w:t>
      </w:r>
      <w:r w:rsidRPr="00ED01E6">
        <w:t xml:space="preserve"> </w:t>
      </w:r>
      <w:r w:rsidR="00EB61EA">
        <w:t>c</w:t>
      </w:r>
      <w:r w:rsidRPr="00ED01E6">
        <w:t>onsultancy on Methodologies for risk analysis and early warnings.</w:t>
      </w:r>
    </w:p>
    <w:p w14:paraId="67DEAF1E" w14:textId="77777777" w:rsidR="00B246B9" w:rsidRPr="00324B33" w:rsidRDefault="00B246B9" w:rsidP="00B246B9"/>
    <w:p w14:paraId="4373827A" w14:textId="77777777" w:rsidR="003B41C5" w:rsidRPr="003B5BF1" w:rsidRDefault="003B41C5"/>
    <w:sectPr w:rsidR="003B41C5" w:rsidRPr="003B5BF1" w:rsidSect="00CF4919">
      <w:type w:val="oddPage"/>
      <w:pgSz w:w="12240" w:h="15840"/>
      <w:pgMar w:top="1440" w:right="1440" w:bottom="1440" w:left="1440" w:header="720" w:footer="720" w:gutter="0"/>
      <w:pgNumType w:start="113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662A" w14:textId="77777777" w:rsidR="005F162B" w:rsidRDefault="005F162B" w:rsidP="003B41C5">
      <w:r>
        <w:separator/>
      </w:r>
    </w:p>
  </w:endnote>
  <w:endnote w:type="continuationSeparator" w:id="0">
    <w:p w14:paraId="4093A8B7" w14:textId="77777777" w:rsidR="005F162B" w:rsidRDefault="005F162B" w:rsidP="003B41C5">
      <w:r>
        <w:continuationSeparator/>
      </w:r>
    </w:p>
  </w:endnote>
  <w:endnote w:type="continuationNotice" w:id="1">
    <w:p w14:paraId="01211C75" w14:textId="77777777" w:rsidR="005F162B" w:rsidRDefault="005F1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467E19D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833F" w14:textId="77777777" w:rsidR="005F162B" w:rsidRDefault="005F162B" w:rsidP="003B41C5">
      <w:r>
        <w:separator/>
      </w:r>
    </w:p>
  </w:footnote>
  <w:footnote w:type="continuationSeparator" w:id="0">
    <w:p w14:paraId="63ECC958" w14:textId="77777777" w:rsidR="005F162B" w:rsidRDefault="005F162B" w:rsidP="003B41C5">
      <w:r>
        <w:continuationSeparator/>
      </w:r>
    </w:p>
  </w:footnote>
  <w:footnote w:type="continuationNotice" w:id="1">
    <w:p w14:paraId="0DBEA771" w14:textId="77777777" w:rsidR="005F162B" w:rsidRDefault="005F162B"/>
  </w:footnote>
  <w:footnote w:id="2">
    <w:p w14:paraId="522667B9" w14:textId="77777777" w:rsidR="00B246B9" w:rsidRDefault="00B246B9" w:rsidP="004427B6">
      <w:pPr>
        <w:pStyle w:val="FootnoteText"/>
        <w:rPr>
          <w:rFonts w:eastAsia="Calibri"/>
          <w:szCs w:val="16"/>
        </w:rPr>
      </w:pPr>
      <w:r>
        <w:rPr>
          <w:rStyle w:val="FootnoteReference"/>
          <w:szCs w:val="16"/>
        </w:rPr>
        <w:footnoteRef/>
      </w:r>
      <w:r>
        <w:t xml:space="preserve"> The distribution of the program budget was approved by the General Assembly at its 52nd regular session in October 2022 through AG/RES.2985 (LI-O/22) for the period from January 1 to December 31, 2023. </w:t>
      </w:r>
    </w:p>
    <w:p w14:paraId="2665FA3A" w14:textId="77777777" w:rsidR="00B246B9" w:rsidRPr="00041E84" w:rsidRDefault="00B246B9" w:rsidP="004427B6">
      <w:pPr>
        <w:pStyle w:val="FootnoteText"/>
        <w:rPr>
          <w:szCs w:val="16"/>
        </w:rPr>
      </w:pPr>
      <w:r>
        <w:t>The value indicated under Administration corresponds to the Secretary of Administration and Finance (Chapter 11).</w:t>
      </w:r>
    </w:p>
  </w:footnote>
  <w:footnote w:id="3">
    <w:p w14:paraId="313D4AA1" w14:textId="0A4918CF" w:rsidR="00B246B9" w:rsidRPr="004427B6" w:rsidRDefault="00B246B9" w:rsidP="004427B6">
      <w:pPr>
        <w:pStyle w:val="FootnoteText"/>
        <w:rPr>
          <w:szCs w:val="16"/>
        </w:rPr>
      </w:pPr>
      <w:r w:rsidRPr="004427B6">
        <w:rPr>
          <w:rStyle w:val="FootnoteReference"/>
          <w:szCs w:val="16"/>
        </w:rPr>
        <w:footnoteRef/>
      </w:r>
      <w:r w:rsidRPr="004427B6">
        <w:rPr>
          <w:rStyle w:val="FootnoteReference"/>
        </w:rPr>
        <w:t xml:space="preserve"> </w:t>
      </w:r>
      <w:r w:rsidRPr="004427B6">
        <w:t xml:space="preserve">The IACHR signed an assistance agreement with the United States in the amount </w:t>
      </w:r>
      <w:r w:rsidR="004427B6" w:rsidRPr="004427B6">
        <w:t>of US</w:t>
      </w:r>
      <w:r w:rsidRPr="004427B6">
        <w:t xml:space="preserve">$14.2 million for the 2018-2023 period and another agreement in the amount of US$14.8 million for the 2021-2025 period. Both agreements entail sending disbursements to cover financial execution of the project. </w:t>
      </w:r>
    </w:p>
    <w:p w14:paraId="1764C7E0" w14:textId="77777777" w:rsidR="00B246B9" w:rsidRPr="004427B6" w:rsidRDefault="00B246B9" w:rsidP="004427B6">
      <w:pPr>
        <w:pStyle w:val="FootnoteText"/>
        <w:rPr>
          <w:rStyle w:val="FootnoteReference"/>
          <w:szCs w:val="16"/>
        </w:rPr>
      </w:pPr>
      <w:r w:rsidRPr="004427B6">
        <w:t>The Special Rapporteurship for Freedom of expression is allocated US$1.3 million (direct costs) under the first agreement and US$1.4 million under the second agreement. The allocation amounts do not include audit or project assessment costs.</w:t>
      </w:r>
    </w:p>
  </w:footnote>
  <w:footnote w:id="4">
    <w:p w14:paraId="1054977F" w14:textId="77777777" w:rsidR="00B246B9" w:rsidRPr="00631AE3" w:rsidRDefault="00B246B9" w:rsidP="004427B6">
      <w:pPr>
        <w:pStyle w:val="FootnoteText"/>
      </w:pPr>
      <w:r w:rsidRPr="004427B6">
        <w:rPr>
          <w:rStyle w:val="FootnoteReference"/>
          <w:szCs w:val="16"/>
        </w:rPr>
        <w:footnoteRef/>
      </w:r>
      <w:r w:rsidRPr="004427B6">
        <w:t xml:space="preserve"> The contribution from contribution ($200.00) was received before December 31, 2022, was in process at the Department of Financial Services (DFS), for that reason was not included at the time of issuance of the 2022 report.</w:t>
      </w:r>
    </w:p>
  </w:footnote>
  <w:footnote w:id="5">
    <w:p w14:paraId="1844A2AE" w14:textId="6E65581F" w:rsidR="00B246B9" w:rsidRPr="00041E84" w:rsidRDefault="00B246B9" w:rsidP="0054166C">
      <w:pPr>
        <w:pStyle w:val="FootnoteText"/>
        <w:rPr>
          <w:szCs w:val="16"/>
        </w:rPr>
      </w:pPr>
      <w:r>
        <w:rPr>
          <w:rStyle w:val="FootnoteReference"/>
          <w:szCs w:val="16"/>
        </w:rPr>
        <w:footnoteRef/>
      </w:r>
      <w:r>
        <w:t xml:space="preserve"> This table summarizes the Report entitled “Changes in the Balance of Funds” by activity and donor, published by the Department of Financial Services of the GS/</w:t>
      </w:r>
      <w:r w:rsidRPr="006B2ECB">
        <w:t>OAS at December</w:t>
      </w:r>
      <w:r>
        <w:t xml:space="preserve"> 31,2023</w:t>
      </w:r>
      <w:r w:rsidR="006B2ECB">
        <w:t>.</w:t>
      </w:r>
    </w:p>
  </w:footnote>
  <w:footnote w:id="6">
    <w:p w14:paraId="1C21A1E3" w14:textId="77777777" w:rsidR="00B246B9" w:rsidRPr="00041E84" w:rsidRDefault="00B246B9" w:rsidP="0054166C">
      <w:pPr>
        <w:pStyle w:val="FootnoteText"/>
        <w:rPr>
          <w:szCs w:val="16"/>
        </w:rPr>
      </w:pPr>
      <w:r>
        <w:rPr>
          <w:rStyle w:val="FootnoteReference"/>
          <w:szCs w:val="16"/>
        </w:rPr>
        <w:footnoteRef/>
      </w:r>
      <w:r>
        <w:t xml:space="preserve"> Negative end-balances appear because some agreements are implemented via disbursements against financial execution of the project.</w:t>
      </w:r>
    </w:p>
  </w:footnote>
  <w:footnote w:id="7">
    <w:p w14:paraId="514C4F8A" w14:textId="77777777" w:rsidR="00B246B9" w:rsidRPr="00D8258E" w:rsidRDefault="00B246B9" w:rsidP="0054166C">
      <w:pPr>
        <w:pStyle w:val="FootnoteText"/>
      </w:pPr>
      <w:r>
        <w:rPr>
          <w:rStyle w:val="FootnoteReference"/>
        </w:rPr>
        <w:footnoteRef/>
      </w:r>
      <w:r>
        <w:t xml:space="preserve"> This table includes the Oliver Jackman Fund of the IACHR.</w:t>
      </w:r>
    </w:p>
  </w:footnote>
  <w:footnote w:id="8">
    <w:p w14:paraId="7794454F" w14:textId="77777777" w:rsidR="00B246B9" w:rsidRDefault="00B246B9" w:rsidP="0054166C">
      <w:pPr>
        <w:pStyle w:val="FootnoteText"/>
        <w:rPr>
          <w:szCs w:val="16"/>
        </w:rPr>
      </w:pPr>
      <w:r>
        <w:rPr>
          <w:rStyle w:val="FootnoteReference"/>
        </w:rPr>
        <w:footnoteRef/>
      </w:r>
      <w:r>
        <w:t xml:space="preserve"> The information reported corresponds to preliminary, unaudited financial information published by the Department of Financial Services of the GS/OAS.</w:t>
      </w:r>
    </w:p>
    <w:p w14:paraId="0E33E249" w14:textId="77777777" w:rsidR="00B246B9" w:rsidRPr="00663065" w:rsidRDefault="00B246B9" w:rsidP="00B246B9">
      <w:pPr>
        <w:pStyle w:val="FootnoteText"/>
      </w:pPr>
    </w:p>
  </w:footnote>
  <w:footnote w:id="9">
    <w:p w14:paraId="777CC449" w14:textId="77777777" w:rsidR="00B246B9" w:rsidRPr="00FE78D6" w:rsidRDefault="00B246B9" w:rsidP="00FE78D6">
      <w:pPr>
        <w:pStyle w:val="FootnoteText"/>
        <w:rPr>
          <w:szCs w:val="16"/>
        </w:rPr>
      </w:pPr>
      <w:r w:rsidRPr="00FE78D6">
        <w:rPr>
          <w:rStyle w:val="FootnoteReference"/>
          <w:szCs w:val="16"/>
        </w:rPr>
        <w:footnoteRef/>
      </w:r>
      <w:r w:rsidRPr="00FE78D6">
        <w:t xml:space="preserve"> The distribution includes only expenditure as of December 31, 2023, financed with contributions received in 2023 and prior years (in the case of specific funds).</w:t>
      </w:r>
    </w:p>
  </w:footnote>
  <w:footnote w:id="10">
    <w:p w14:paraId="08832673" w14:textId="77777777" w:rsidR="00B246B9" w:rsidRPr="00FE78D6" w:rsidRDefault="00B246B9" w:rsidP="00FE78D6">
      <w:pPr>
        <w:pStyle w:val="FootnoteText"/>
        <w:rPr>
          <w:szCs w:val="16"/>
        </w:rPr>
      </w:pPr>
      <w:r w:rsidRPr="00FE78D6">
        <w:rPr>
          <w:rStyle w:val="FootnoteReference"/>
          <w:szCs w:val="16"/>
        </w:rPr>
        <w:footnoteRef/>
      </w:r>
      <w:r w:rsidRPr="00FE78D6">
        <w:t xml:space="preserve"> </w:t>
      </w:r>
      <w:r w:rsidRPr="00FE78D6">
        <w:rPr>
          <w:bCs/>
        </w:rPr>
        <w:t>Salaries include personnel/staff costs.</w:t>
      </w:r>
    </w:p>
  </w:footnote>
  <w:footnote w:id="11">
    <w:p w14:paraId="2A66BC0E" w14:textId="77777777" w:rsidR="00B246B9" w:rsidRPr="00FE78D6" w:rsidRDefault="00B246B9" w:rsidP="00FE78D6">
      <w:pPr>
        <w:pStyle w:val="FootnoteText"/>
        <w:rPr>
          <w:szCs w:val="16"/>
        </w:rPr>
      </w:pPr>
      <w:r w:rsidRPr="00FE78D6">
        <w:rPr>
          <w:rStyle w:val="FootnoteReference"/>
          <w:szCs w:val="16"/>
        </w:rPr>
        <w:footnoteRef/>
      </w:r>
      <w:r w:rsidRPr="00FE78D6">
        <w:t xml:space="preserve"> Performance contracts include conference services, fees, special services provided by Commissions, interpretation, translation, administrative and professional support, and consultants.</w:t>
      </w:r>
    </w:p>
  </w:footnote>
  <w:footnote w:id="12">
    <w:p w14:paraId="42493A5B" w14:textId="77777777" w:rsidR="00B246B9" w:rsidRDefault="00B246B9" w:rsidP="00FE78D6">
      <w:pPr>
        <w:pStyle w:val="FootnoteText"/>
        <w:rPr>
          <w:szCs w:val="16"/>
        </w:rPr>
      </w:pPr>
      <w:r w:rsidRPr="00FE78D6">
        <w:rPr>
          <w:rStyle w:val="FootnoteReference"/>
          <w:szCs w:val="16"/>
        </w:rPr>
        <w:footnoteRef/>
      </w:r>
      <w:r w:rsidRPr="00FE78D6">
        <w:t xml:space="preserve"> Other costs include office and equipment rental, courier service payments, other conference services, local area network (LAN), telephone, transportation, and office expenses.</w:t>
      </w:r>
    </w:p>
    <w:p w14:paraId="0E5083A9" w14:textId="77777777" w:rsidR="00B246B9" w:rsidRPr="00663065" w:rsidRDefault="00B246B9" w:rsidP="00B246B9">
      <w:pPr>
        <w:pStyle w:val="FootnoteText"/>
        <w:spacing w:after="120"/>
        <w:rPr>
          <w:szCs w:val="16"/>
        </w:rPr>
      </w:pPr>
    </w:p>
    <w:p w14:paraId="41D7B2A0" w14:textId="77777777" w:rsidR="00B246B9" w:rsidRPr="00663065" w:rsidRDefault="00B246B9" w:rsidP="00B246B9">
      <w:pPr>
        <w:pStyle w:val="FootnoteText"/>
        <w:spacing w:after="120"/>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002E0F88" w14:textId="77777777" w:rsidTr="003B5BF1">
      <w:trPr>
        <w:trHeight w:hRule="exact" w:val="860"/>
        <w:jc w:val="center"/>
      </w:trPr>
      <w:tc>
        <w:tcPr>
          <w:tcW w:w="4675" w:type="dxa"/>
          <w:shd w:val="clear" w:color="auto" w:fill="auto"/>
        </w:tcPr>
        <w:p w14:paraId="4AEF0375" w14:textId="35DD9579" w:rsidR="003B5BF1" w:rsidRDefault="003B5BF1" w:rsidP="003B5BF1">
          <w:pPr>
            <w:pStyle w:val="Header"/>
          </w:pPr>
          <w:r>
            <w:rPr>
              <w:noProof/>
            </w:rPr>
            <w:drawing>
              <wp:inline distT="0" distB="0" distL="0" distR="0" wp14:anchorId="10BC1B37" wp14:editId="47375340">
                <wp:extent cx="1248364"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4E647D77" w14:textId="75B78768" w:rsidR="003B5BF1" w:rsidRDefault="003B5BF1" w:rsidP="003B5BF1">
          <w:pPr>
            <w:pStyle w:val="Header"/>
            <w:jc w:val="right"/>
          </w:pPr>
          <w:r>
            <w:rPr>
              <w:noProof/>
            </w:rPr>
            <w:drawing>
              <wp:inline distT="0" distB="0" distL="0" distR="0" wp14:anchorId="1CD28B8E" wp14:editId="402AD51A">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124BD"/>
    <w:multiLevelType w:val="hybridMultilevel"/>
    <w:tmpl w:val="60EEF3B6"/>
    <w:lvl w:ilvl="0" w:tplc="4516CAB6">
      <w:start w:val="2"/>
      <w:numFmt w:val="decimal"/>
      <w:lvlText w:val="%1."/>
      <w:lvlJc w:val="left"/>
      <w:pPr>
        <w:ind w:left="720" w:hanging="360"/>
      </w:pPr>
    </w:lvl>
    <w:lvl w:ilvl="1" w:tplc="48FE9C6C">
      <w:start w:val="1"/>
      <w:numFmt w:val="lowerLetter"/>
      <w:lvlText w:val="%2."/>
      <w:lvlJc w:val="left"/>
      <w:pPr>
        <w:ind w:left="1440" w:hanging="360"/>
      </w:pPr>
    </w:lvl>
    <w:lvl w:ilvl="2" w:tplc="4CB65294">
      <w:start w:val="1"/>
      <w:numFmt w:val="lowerRoman"/>
      <w:lvlText w:val="%3."/>
      <w:lvlJc w:val="right"/>
      <w:pPr>
        <w:ind w:left="2160" w:hanging="180"/>
      </w:pPr>
    </w:lvl>
    <w:lvl w:ilvl="3" w:tplc="6FE2C2B4">
      <w:start w:val="1"/>
      <w:numFmt w:val="decimal"/>
      <w:lvlText w:val="%4."/>
      <w:lvlJc w:val="left"/>
      <w:pPr>
        <w:ind w:left="2880" w:hanging="360"/>
      </w:pPr>
    </w:lvl>
    <w:lvl w:ilvl="4" w:tplc="E47C0CBE">
      <w:start w:val="1"/>
      <w:numFmt w:val="lowerLetter"/>
      <w:lvlText w:val="%5."/>
      <w:lvlJc w:val="left"/>
      <w:pPr>
        <w:ind w:left="3600" w:hanging="360"/>
      </w:pPr>
    </w:lvl>
    <w:lvl w:ilvl="5" w:tplc="471A2034">
      <w:start w:val="1"/>
      <w:numFmt w:val="lowerRoman"/>
      <w:lvlText w:val="%6."/>
      <w:lvlJc w:val="right"/>
      <w:pPr>
        <w:ind w:left="4320" w:hanging="180"/>
      </w:pPr>
    </w:lvl>
    <w:lvl w:ilvl="6" w:tplc="F55A39A4">
      <w:start w:val="1"/>
      <w:numFmt w:val="decimal"/>
      <w:lvlText w:val="%7."/>
      <w:lvlJc w:val="left"/>
      <w:pPr>
        <w:ind w:left="5040" w:hanging="360"/>
      </w:pPr>
    </w:lvl>
    <w:lvl w:ilvl="7" w:tplc="960A7D78">
      <w:start w:val="1"/>
      <w:numFmt w:val="lowerLetter"/>
      <w:lvlText w:val="%8."/>
      <w:lvlJc w:val="left"/>
      <w:pPr>
        <w:ind w:left="5760" w:hanging="360"/>
      </w:pPr>
    </w:lvl>
    <w:lvl w:ilvl="8" w:tplc="D28CF0EA">
      <w:start w:val="1"/>
      <w:numFmt w:val="lowerRoman"/>
      <w:lvlText w:val="%9."/>
      <w:lvlJc w:val="right"/>
      <w:pPr>
        <w:ind w:left="6480" w:hanging="180"/>
      </w:pPr>
    </w:lvl>
  </w:abstractNum>
  <w:abstractNum w:abstractNumId="11" w15:restartNumberingAfterBreak="0">
    <w:nsid w:val="05EA2223"/>
    <w:multiLevelType w:val="multilevel"/>
    <w:tmpl w:val="D92860B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6C6C7A"/>
    <w:multiLevelType w:val="singleLevel"/>
    <w:tmpl w:val="FE86EC14"/>
    <w:lvl w:ilvl="0">
      <w:start w:val="1"/>
      <w:numFmt w:val="decimal"/>
      <w:lvlText w:val="%1."/>
      <w:lvlJc w:val="left"/>
      <w:pPr>
        <w:tabs>
          <w:tab w:val="num" w:pos="720"/>
        </w:tabs>
        <w:ind w:left="0" w:firstLine="720"/>
      </w:pPr>
    </w:lvl>
  </w:abstractNum>
  <w:abstractNum w:abstractNumId="13" w15:restartNumberingAfterBreak="0">
    <w:nsid w:val="1A805164"/>
    <w:multiLevelType w:val="hybridMultilevel"/>
    <w:tmpl w:val="FC4EE9FE"/>
    <w:lvl w:ilvl="0" w:tplc="5802A22E">
      <w:start w:val="1"/>
      <w:numFmt w:val="decimal"/>
      <w:pStyle w:val="IAPrrafo"/>
      <w:lvlText w:val="%1."/>
      <w:lvlJc w:val="left"/>
      <w:pPr>
        <w:tabs>
          <w:tab w:val="num" w:pos="720"/>
        </w:tabs>
        <w:ind w:left="0" w:firstLine="72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A24DD"/>
    <w:multiLevelType w:val="multilevel"/>
    <w:tmpl w:val="B91E465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B737AD"/>
    <w:multiLevelType w:val="hybridMultilevel"/>
    <w:tmpl w:val="7A7C6636"/>
    <w:lvl w:ilvl="0" w:tplc="0409000F">
      <w:start w:val="1"/>
      <w:numFmt w:val="decimal"/>
      <w:lvlText w:val="%1."/>
      <w:lvlJc w:val="left"/>
      <w:pPr>
        <w:ind w:left="1260" w:hanging="360"/>
      </w:pPr>
      <w:rPr>
        <w:rFonts w:hint="default"/>
        <w:b w:val="0"/>
        <w:i w:val="0"/>
        <w:strike w:val="0"/>
        <w:color w:val="auto"/>
        <w:sz w:val="20"/>
        <w:szCs w:val="20"/>
      </w:rPr>
    </w:lvl>
    <w:lvl w:ilvl="1" w:tplc="0409000F">
      <w:start w:val="1"/>
      <w:numFmt w:val="lowerLetter"/>
      <w:lvlText w:val="%2."/>
      <w:lvlJc w:val="left"/>
      <w:pPr>
        <w:ind w:left="1080" w:hanging="360"/>
      </w:pPr>
    </w:lvl>
    <w:lvl w:ilvl="2" w:tplc="8E108FAA">
      <w:numFmt w:val="bullet"/>
      <w:lvlText w:val="•"/>
      <w:lvlJc w:val="left"/>
      <w:pPr>
        <w:ind w:left="1980" w:hanging="360"/>
      </w:pPr>
      <w:rPr>
        <w:rFonts w:ascii="Cambria" w:eastAsia="Arial Unicode MS" w:hAnsi="Cambria" w:cstheme="minorHAns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F42EA2"/>
    <w:multiLevelType w:val="hybridMultilevel"/>
    <w:tmpl w:val="6EF08D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85671"/>
    <w:multiLevelType w:val="multilevel"/>
    <w:tmpl w:val="A9025B38"/>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B82BC3"/>
    <w:multiLevelType w:val="hybridMultilevel"/>
    <w:tmpl w:val="4C7E13AC"/>
    <w:lvl w:ilvl="0" w:tplc="DEAE7DAC">
      <w:start w:val="1"/>
      <w:numFmt w:val="decimal"/>
      <w:lvlText w:val="%1."/>
      <w:lvlJc w:val="left"/>
      <w:pPr>
        <w:tabs>
          <w:tab w:val="num" w:pos="720"/>
        </w:tabs>
        <w:ind w:left="0" w:firstLine="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FD05B1"/>
    <w:multiLevelType w:val="multilevel"/>
    <w:tmpl w:val="3DA6838E"/>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4D4C45"/>
    <w:multiLevelType w:val="multilevel"/>
    <w:tmpl w:val="3F46B072"/>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4278A"/>
    <w:multiLevelType w:val="multilevel"/>
    <w:tmpl w:val="479454E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5F7781"/>
    <w:multiLevelType w:val="multilevel"/>
    <w:tmpl w:val="B562137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F61174"/>
    <w:multiLevelType w:val="multilevel"/>
    <w:tmpl w:val="827A27A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6C7A26"/>
    <w:multiLevelType w:val="multilevel"/>
    <w:tmpl w:val="C7EC29CE"/>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7A58A3"/>
    <w:multiLevelType w:val="hybridMultilevel"/>
    <w:tmpl w:val="C3764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9CDB6"/>
    <w:multiLevelType w:val="hybridMultilevel"/>
    <w:tmpl w:val="699E4868"/>
    <w:lvl w:ilvl="0" w:tplc="2D52F9CC">
      <w:start w:val="1"/>
      <w:numFmt w:val="decimal"/>
      <w:lvlText w:val="%1."/>
      <w:lvlJc w:val="left"/>
      <w:pPr>
        <w:ind w:left="720" w:hanging="360"/>
      </w:pPr>
    </w:lvl>
    <w:lvl w:ilvl="1" w:tplc="C1EC0F98">
      <w:start w:val="1"/>
      <w:numFmt w:val="lowerLetter"/>
      <w:lvlText w:val="%2."/>
      <w:lvlJc w:val="left"/>
      <w:pPr>
        <w:ind w:left="1440" w:hanging="360"/>
      </w:pPr>
    </w:lvl>
    <w:lvl w:ilvl="2" w:tplc="79DC607A">
      <w:start w:val="1"/>
      <w:numFmt w:val="lowerRoman"/>
      <w:lvlText w:val="%3."/>
      <w:lvlJc w:val="right"/>
      <w:pPr>
        <w:ind w:left="2160" w:hanging="180"/>
      </w:pPr>
    </w:lvl>
    <w:lvl w:ilvl="3" w:tplc="7E447702">
      <w:start w:val="1"/>
      <w:numFmt w:val="decimal"/>
      <w:lvlText w:val="%4."/>
      <w:lvlJc w:val="left"/>
      <w:pPr>
        <w:ind w:left="2880" w:hanging="360"/>
      </w:pPr>
    </w:lvl>
    <w:lvl w:ilvl="4" w:tplc="16F2A664">
      <w:start w:val="1"/>
      <w:numFmt w:val="lowerLetter"/>
      <w:lvlText w:val="%5."/>
      <w:lvlJc w:val="left"/>
      <w:pPr>
        <w:ind w:left="3600" w:hanging="360"/>
      </w:pPr>
    </w:lvl>
    <w:lvl w:ilvl="5" w:tplc="E18C47B6">
      <w:start w:val="1"/>
      <w:numFmt w:val="lowerRoman"/>
      <w:lvlText w:val="%6."/>
      <w:lvlJc w:val="right"/>
      <w:pPr>
        <w:ind w:left="4320" w:hanging="180"/>
      </w:pPr>
    </w:lvl>
    <w:lvl w:ilvl="6" w:tplc="76DC704E">
      <w:start w:val="1"/>
      <w:numFmt w:val="decimal"/>
      <w:lvlText w:val="%7."/>
      <w:lvlJc w:val="left"/>
      <w:pPr>
        <w:ind w:left="5040" w:hanging="360"/>
      </w:pPr>
    </w:lvl>
    <w:lvl w:ilvl="7" w:tplc="CF022FC2">
      <w:start w:val="1"/>
      <w:numFmt w:val="lowerLetter"/>
      <w:lvlText w:val="%8."/>
      <w:lvlJc w:val="left"/>
      <w:pPr>
        <w:ind w:left="5760" w:hanging="360"/>
      </w:pPr>
    </w:lvl>
    <w:lvl w:ilvl="8" w:tplc="69FE95EC">
      <w:start w:val="1"/>
      <w:numFmt w:val="lowerRoman"/>
      <w:lvlText w:val="%9."/>
      <w:lvlJc w:val="right"/>
      <w:pPr>
        <w:ind w:left="6480" w:hanging="180"/>
      </w:pPr>
    </w:lvl>
  </w:abstractNum>
  <w:abstractNum w:abstractNumId="29" w15:restartNumberingAfterBreak="0">
    <w:nsid w:val="57093D48"/>
    <w:multiLevelType w:val="multilevel"/>
    <w:tmpl w:val="7C66BC96"/>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9074DC"/>
    <w:multiLevelType w:val="hybridMultilevel"/>
    <w:tmpl w:val="E22C60A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CE7CA4"/>
    <w:multiLevelType w:val="hybridMultilevel"/>
    <w:tmpl w:val="18A4A3E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855AE"/>
    <w:multiLevelType w:val="multilevel"/>
    <w:tmpl w:val="1F30F15E"/>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94233B"/>
    <w:multiLevelType w:val="singleLevel"/>
    <w:tmpl w:val="DFC08712"/>
    <w:lvl w:ilvl="0">
      <w:start w:val="1"/>
      <w:numFmt w:val="decimal"/>
      <w:lvlText w:val="%1."/>
      <w:lvlJc w:val="left"/>
      <w:pPr>
        <w:tabs>
          <w:tab w:val="num" w:pos="720"/>
        </w:tabs>
        <w:ind w:left="0" w:firstLine="720"/>
      </w:pPr>
    </w:lvl>
  </w:abstractNum>
  <w:abstractNum w:abstractNumId="35" w15:restartNumberingAfterBreak="0">
    <w:nsid w:val="74ED077D"/>
    <w:multiLevelType w:val="multilevel"/>
    <w:tmpl w:val="8378288E"/>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8A08D2"/>
    <w:multiLevelType w:val="multilevel"/>
    <w:tmpl w:val="1D00134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14300F"/>
    <w:multiLevelType w:val="hybridMultilevel"/>
    <w:tmpl w:val="9FC039F8"/>
    <w:lvl w:ilvl="0" w:tplc="FFFFFFFF">
      <w:start w:val="1"/>
      <w:numFmt w:val="decimal"/>
      <w:pStyle w:val="paragraphs"/>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35860"/>
    <w:multiLevelType w:val="hybridMultilevel"/>
    <w:tmpl w:val="478078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110247398">
    <w:abstractNumId w:val="20"/>
  </w:num>
  <w:num w:numId="12" w16cid:durableId="483663598">
    <w:abstractNumId w:val="29"/>
  </w:num>
  <w:num w:numId="13" w16cid:durableId="1459297800">
    <w:abstractNumId w:val="22"/>
  </w:num>
  <w:num w:numId="14" w16cid:durableId="1659768820">
    <w:abstractNumId w:val="24"/>
  </w:num>
  <w:num w:numId="15" w16cid:durableId="1170290510">
    <w:abstractNumId w:val="21"/>
  </w:num>
  <w:num w:numId="16" w16cid:durableId="2018655899">
    <w:abstractNumId w:val="11"/>
  </w:num>
  <w:num w:numId="17" w16cid:durableId="564225896">
    <w:abstractNumId w:val="14"/>
  </w:num>
  <w:num w:numId="18" w16cid:durableId="1300768087">
    <w:abstractNumId w:val="23"/>
  </w:num>
  <w:num w:numId="19" w16cid:durableId="788743602">
    <w:abstractNumId w:val="34"/>
  </w:num>
  <w:num w:numId="20" w16cid:durableId="1299725750">
    <w:abstractNumId w:val="18"/>
  </w:num>
  <w:num w:numId="21" w16cid:durableId="1900286566">
    <w:abstractNumId w:val="17"/>
  </w:num>
  <w:num w:numId="22" w16cid:durableId="60643468">
    <w:abstractNumId w:val="19"/>
  </w:num>
  <w:num w:numId="23" w16cid:durableId="442070355">
    <w:abstractNumId w:val="35"/>
  </w:num>
  <w:num w:numId="24" w16cid:durableId="1956398699">
    <w:abstractNumId w:val="25"/>
  </w:num>
  <w:num w:numId="25" w16cid:durableId="417870844">
    <w:abstractNumId w:val="33"/>
  </w:num>
  <w:num w:numId="26" w16cid:durableId="2122874164">
    <w:abstractNumId w:val="36"/>
  </w:num>
  <w:num w:numId="27" w16cid:durableId="208109339">
    <w:abstractNumId w:val="26"/>
  </w:num>
  <w:num w:numId="28" w16cid:durableId="90856609">
    <w:abstractNumId w:val="31"/>
  </w:num>
  <w:num w:numId="29" w16cid:durableId="844170941">
    <w:abstractNumId w:val="12"/>
  </w:num>
  <w:num w:numId="30" w16cid:durableId="1236355313">
    <w:abstractNumId w:val="13"/>
  </w:num>
  <w:num w:numId="31" w16cid:durableId="569272569">
    <w:abstractNumId w:val="28"/>
  </w:num>
  <w:num w:numId="32" w16cid:durableId="1516531726">
    <w:abstractNumId w:val="10"/>
  </w:num>
  <w:num w:numId="33" w16cid:durableId="1968733372">
    <w:abstractNumId w:val="16"/>
  </w:num>
  <w:num w:numId="34" w16cid:durableId="113181151">
    <w:abstractNumId w:val="37"/>
  </w:num>
  <w:num w:numId="35" w16cid:durableId="364871431">
    <w:abstractNumId w:val="15"/>
  </w:num>
  <w:num w:numId="36" w16cid:durableId="275329749">
    <w:abstractNumId w:val="32"/>
  </w:num>
  <w:num w:numId="37" w16cid:durableId="57366615">
    <w:abstractNumId w:val="27"/>
  </w:num>
  <w:num w:numId="38" w16cid:durableId="1854147183">
    <w:abstractNumId w:val="30"/>
  </w:num>
  <w:num w:numId="39" w16cid:durableId="1892879685">
    <w:abstractNumId w:val="38"/>
  </w:num>
  <w:num w:numId="40" w16cid:durableId="10804499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2044F"/>
    <w:rsid w:val="0005719F"/>
    <w:rsid w:val="000D4531"/>
    <w:rsid w:val="00133937"/>
    <w:rsid w:val="00143891"/>
    <w:rsid w:val="001C267D"/>
    <w:rsid w:val="001E148E"/>
    <w:rsid w:val="00206512"/>
    <w:rsid w:val="002844A8"/>
    <w:rsid w:val="002A566C"/>
    <w:rsid w:val="00352938"/>
    <w:rsid w:val="003B41C5"/>
    <w:rsid w:val="003B5BF1"/>
    <w:rsid w:val="003D4838"/>
    <w:rsid w:val="003E2161"/>
    <w:rsid w:val="003F768A"/>
    <w:rsid w:val="0040235D"/>
    <w:rsid w:val="00416C1D"/>
    <w:rsid w:val="0043134A"/>
    <w:rsid w:val="004427B6"/>
    <w:rsid w:val="00460846"/>
    <w:rsid w:val="0046578D"/>
    <w:rsid w:val="004A2544"/>
    <w:rsid w:val="004C7F7D"/>
    <w:rsid w:val="004E6489"/>
    <w:rsid w:val="0054166C"/>
    <w:rsid w:val="005C1AA6"/>
    <w:rsid w:val="005F162B"/>
    <w:rsid w:val="005F2320"/>
    <w:rsid w:val="006B2ECB"/>
    <w:rsid w:val="006C15AE"/>
    <w:rsid w:val="006E4906"/>
    <w:rsid w:val="007C0F93"/>
    <w:rsid w:val="00837010"/>
    <w:rsid w:val="00844F1F"/>
    <w:rsid w:val="00855BF6"/>
    <w:rsid w:val="008F5F38"/>
    <w:rsid w:val="00925C3C"/>
    <w:rsid w:val="0097211D"/>
    <w:rsid w:val="00990E76"/>
    <w:rsid w:val="009D08A3"/>
    <w:rsid w:val="009D1807"/>
    <w:rsid w:val="00A325C0"/>
    <w:rsid w:val="00A35F9A"/>
    <w:rsid w:val="00A806E2"/>
    <w:rsid w:val="00A810D3"/>
    <w:rsid w:val="00AC2AB1"/>
    <w:rsid w:val="00B246B9"/>
    <w:rsid w:val="00B455DE"/>
    <w:rsid w:val="00B53372"/>
    <w:rsid w:val="00B67B9C"/>
    <w:rsid w:val="00C53352"/>
    <w:rsid w:val="00CF4919"/>
    <w:rsid w:val="00D64F9A"/>
    <w:rsid w:val="00EB61EA"/>
    <w:rsid w:val="00ED01E6"/>
    <w:rsid w:val="00F51027"/>
    <w:rsid w:val="00F64382"/>
    <w:rsid w:val="00F81C81"/>
    <w:rsid w:val="00FD7F63"/>
    <w:rsid w:val="00FE7483"/>
    <w:rsid w:val="00FE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sz w:val="28"/>
    </w:rPr>
  </w:style>
  <w:style w:type="paragraph" w:styleId="TOC2">
    <w:name w:val="toc 2"/>
    <w:basedOn w:val="Normal"/>
    <w:next w:val="Normal"/>
    <w:autoRedefine/>
    <w:uiPriority w:val="39"/>
    <w:unhideWhenUsed/>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22"/>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24"/>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26"/>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28"/>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30"/>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egundo nivel de viñetas Char,List Paragraph1 Char,titulo 3 Char,Bullets Char,Llista Nivell1 Char,Párrafo de lista1 Char,Ha Char,Párrafo de lista2 Char,Lista vistosa - Énfasis 11 Char,Cuadrícula clara - Énfasis 31 Char,Dot pt Char"/>
    <w:link w:val="ListParagraph"/>
    <w:uiPriority w:val="34"/>
    <w:locked/>
    <w:rsid w:val="00B246B9"/>
    <w:rPr>
      <w:rFonts w:ascii="Cambria" w:hAnsi="Cambria"/>
    </w:rPr>
  </w:style>
  <w:style w:type="paragraph" w:customStyle="1" w:styleId="paragraphs">
    <w:name w:val="paragraphs"/>
    <w:basedOn w:val="Normal"/>
    <w:link w:val="paragraphsChar"/>
    <w:qFormat/>
    <w:rsid w:val="00B246B9"/>
    <w:pPr>
      <w:numPr>
        <w:numId w:val="34"/>
      </w:numPr>
      <w:suppressAutoHyphens w:val="0"/>
      <w:spacing w:after="240"/>
      <w:jc w:val="both"/>
    </w:pPr>
    <w:rPr>
      <w:rFonts w:eastAsia="Calibri" w:cs="Times New Roman"/>
      <w:sz w:val="20"/>
      <w:szCs w:val="20"/>
    </w:rPr>
  </w:style>
  <w:style w:type="character" w:customStyle="1" w:styleId="paragraphsChar">
    <w:name w:val="paragraphs Char"/>
    <w:link w:val="paragraphs"/>
    <w:rsid w:val="00B246B9"/>
    <w:rPr>
      <w:rFonts w:ascii="Cambria" w:eastAsia="Calibri" w:hAnsi="Cambria" w:cs="Times New Roman"/>
      <w:sz w:val="20"/>
      <w:szCs w:val="20"/>
    </w:rPr>
  </w:style>
  <w:style w:type="table" w:customStyle="1" w:styleId="GridTable4-Accent11">
    <w:name w:val="Grid Table 4 - Accent 11"/>
    <w:basedOn w:val="TableNormal"/>
    <w:uiPriority w:val="49"/>
    <w:rsid w:val="00B246B9"/>
    <w:pPr>
      <w:spacing w:after="0" w:line="240" w:lineRule="auto"/>
    </w:pPr>
    <w:rPr>
      <w:rFonts w:eastAsia="Helvetica"/>
      <w:sz w:val="21"/>
      <w:szCs w:val="21"/>
      <w:lang w:eastAsia="es-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Default">
    <w:name w:val="Default"/>
    <w:rsid w:val="00B246B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har2">
    <w:name w:val="Char2"/>
    <w:basedOn w:val="Normal"/>
    <w:link w:val="FootnoteReference"/>
    <w:uiPriority w:val="99"/>
    <w:rsid w:val="00B246B9"/>
    <w:pPr>
      <w:suppressAutoHyphens w:val="0"/>
      <w:spacing w:after="160" w:line="240" w:lineRule="exact"/>
    </w:pPr>
    <w:rPr>
      <w:rFonts w:asciiTheme="minorHAnsi" w:hAnsiTheme="minorHAnsi"/>
      <w:vertAlign w:val="superscript"/>
    </w:rPr>
  </w:style>
  <w:style w:type="table" w:styleId="ListTable4-Accent1">
    <w:name w:val="List Table 4 Accent 1"/>
    <w:basedOn w:val="TableNormal"/>
    <w:uiPriority w:val="49"/>
    <w:rsid w:val="00B246B9"/>
    <w:pPr>
      <w:spacing w:after="0" w:line="240" w:lineRule="auto"/>
    </w:pPr>
    <w:rPr>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xmsolistparagraph">
    <w:name w:val="x_xmsolistparagraph"/>
    <w:basedOn w:val="Normal"/>
    <w:rsid w:val="00B246B9"/>
    <w:pPr>
      <w:suppressAutoHyphens w:val="0"/>
      <w:spacing w:before="100" w:beforeAutospacing="1" w:after="100" w:afterAutospacing="1"/>
    </w:pPr>
    <w:rPr>
      <w:rFonts w:ascii="Calibri" w:eastAsia="MS Mincho" w:hAnsi="Calibri" w:cs="Calibri"/>
    </w:rPr>
  </w:style>
  <w:style w:type="paragraph" w:styleId="Revision">
    <w:name w:val="Revision"/>
    <w:hidden/>
    <w:uiPriority w:val="99"/>
    <w:semiHidden/>
    <w:rsid w:val="00B246B9"/>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4362</Words>
  <Characters>24868</Characters>
  <Application>Microsoft Office Word</Application>
  <DocSecurity>0</DocSecurity>
  <Lines>207</Lines>
  <Paragraphs>58</Paragraphs>
  <ScaleCrop>false</ScaleCrop>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2024-04-05T18:50:00Z</dcterms:created>
  <dcterms:modified xsi:type="dcterms:W3CDTF">2024-04-09T19:11:00Z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6</vt:lpwstr>
  </property>
  <property fmtid="{D5CDD505-2E9C-101B-9397-08002B2CF9AE}" pid="4" name="Country">
    <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