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0D5C3" w14:textId="77777777" w:rsidR="00E737AE" w:rsidRPr="007175E2" w:rsidRDefault="00E737AE" w:rsidP="00112395">
      <w:pPr>
        <w:spacing w:after="0" w:line="240" w:lineRule="auto"/>
        <w:ind w:right="4"/>
        <w:rPr>
          <w:rFonts w:ascii="Cambria" w:hAnsi="Cambria"/>
        </w:rPr>
      </w:pPr>
    </w:p>
    <w:p w14:paraId="2AC1CA8F" w14:textId="77777777" w:rsidR="00B74EA5" w:rsidRPr="007175E2" w:rsidRDefault="00B74EA5" w:rsidP="002E4FBC">
      <w:pPr>
        <w:spacing w:after="0" w:line="240" w:lineRule="auto"/>
        <w:ind w:right="4"/>
        <w:contextualSpacing/>
        <w:jc w:val="center"/>
        <w:rPr>
          <w:rFonts w:ascii="Cambria" w:eastAsia="Batang" w:hAnsi="Cambria"/>
          <w:b/>
          <w:color w:val="000000"/>
        </w:rPr>
      </w:pPr>
      <w:r w:rsidRPr="007175E2">
        <w:rPr>
          <w:rFonts w:ascii="Cambria" w:eastAsia="Batang" w:hAnsi="Cambria"/>
          <w:b/>
          <w:color w:val="000000"/>
        </w:rPr>
        <w:t>TECHNICAL INFORMATION SHEET</w:t>
      </w:r>
    </w:p>
    <w:p w14:paraId="67848EE3" w14:textId="77777777" w:rsidR="00B74EA5" w:rsidRPr="007175E2" w:rsidRDefault="00B74EA5" w:rsidP="002E4FBC">
      <w:pPr>
        <w:spacing w:after="0" w:line="240" w:lineRule="auto"/>
        <w:ind w:right="4"/>
        <w:contextualSpacing/>
        <w:jc w:val="center"/>
        <w:rPr>
          <w:rFonts w:ascii="Cambria" w:hAnsi="Cambria"/>
          <w:b/>
          <w:bCs/>
          <w:color w:val="000000"/>
        </w:rPr>
      </w:pPr>
      <w:r w:rsidRPr="007175E2">
        <w:rPr>
          <w:rFonts w:ascii="Cambria" w:hAnsi="Cambria"/>
          <w:b/>
          <w:color w:val="000000"/>
        </w:rPr>
        <w:t>PETITION 242/03</w:t>
      </w:r>
      <w:r w:rsidRPr="007175E2">
        <w:rPr>
          <w:rFonts w:ascii="Cambria" w:hAnsi="Cambria"/>
          <w:b/>
          <w:bCs/>
          <w:color w:val="000000"/>
        </w:rPr>
        <w:t xml:space="preserve"> </w:t>
      </w:r>
      <w:r w:rsidRPr="007175E2">
        <w:rPr>
          <w:rFonts w:ascii="Cambria" w:hAnsi="Cambria"/>
          <w:b/>
          <w:color w:val="000000"/>
        </w:rPr>
        <w:t xml:space="preserve">INOCENCIA LUCA PEGORARO </w:t>
      </w:r>
    </w:p>
    <w:p w14:paraId="636A8A7B" w14:textId="77777777" w:rsidR="00B74EA5" w:rsidRPr="007175E2" w:rsidRDefault="00B74EA5" w:rsidP="002E4FBC">
      <w:pPr>
        <w:spacing w:after="0" w:line="240" w:lineRule="auto"/>
        <w:ind w:right="4"/>
        <w:contextualSpacing/>
        <w:jc w:val="center"/>
        <w:rPr>
          <w:rFonts w:ascii="Cambria" w:eastAsia="Batang" w:hAnsi="Cambria"/>
          <w:b/>
          <w:color w:val="000000"/>
        </w:rPr>
      </w:pPr>
      <w:r w:rsidRPr="007175E2">
        <w:rPr>
          <w:rFonts w:ascii="Cambria" w:eastAsia="Batang" w:hAnsi="Cambria"/>
          <w:b/>
          <w:color w:val="000000"/>
        </w:rPr>
        <w:t>FRIENDLY SETTLEMENT REPORT</w:t>
      </w:r>
      <w:r w:rsidRPr="007175E2">
        <w:rPr>
          <w:rFonts w:ascii="Cambria" w:eastAsia="Batang" w:hAnsi="Cambria"/>
          <w:b/>
          <w:color w:val="000000" w:themeColor="text1"/>
        </w:rPr>
        <w:t xml:space="preserve"> No.</w:t>
      </w:r>
      <w:hyperlink r:id="rId11" w:history="1">
        <w:r w:rsidRPr="007175E2">
          <w:rPr>
            <w:rStyle w:val="Hyperlink"/>
            <w:rFonts w:ascii="Cambria" w:eastAsia="Batang" w:hAnsi="Cambria"/>
            <w:b/>
            <w:color w:val="000000" w:themeColor="text1"/>
            <w:u w:val="none"/>
          </w:rPr>
          <w:t>160/10</w:t>
        </w:r>
      </w:hyperlink>
    </w:p>
    <w:p w14:paraId="094F7FBB" w14:textId="77777777" w:rsidR="00B74EA5" w:rsidRPr="007175E2" w:rsidRDefault="00B74EA5" w:rsidP="002E4FBC">
      <w:pPr>
        <w:spacing w:after="0" w:line="240" w:lineRule="auto"/>
        <w:ind w:right="4"/>
        <w:contextualSpacing/>
        <w:jc w:val="center"/>
        <w:rPr>
          <w:rFonts w:ascii="Cambria" w:eastAsia="Batang" w:hAnsi="Cambria"/>
          <w:b/>
          <w:color w:val="000000"/>
        </w:rPr>
      </w:pPr>
      <w:r w:rsidRPr="007175E2">
        <w:rPr>
          <w:rFonts w:ascii="Cambria" w:eastAsia="Batang" w:hAnsi="Cambria"/>
          <w:b/>
          <w:color w:val="000000"/>
        </w:rPr>
        <w:t>TOTAL COMPLIANCE</w:t>
      </w:r>
    </w:p>
    <w:p w14:paraId="49E3E3C1" w14:textId="77777777" w:rsidR="00B74EA5" w:rsidRPr="007175E2" w:rsidRDefault="00B74EA5" w:rsidP="002E4FBC">
      <w:pPr>
        <w:spacing w:after="0" w:line="240" w:lineRule="auto"/>
        <w:ind w:right="4"/>
        <w:contextualSpacing/>
        <w:jc w:val="center"/>
        <w:rPr>
          <w:rFonts w:ascii="Cambria" w:eastAsia="Batang" w:hAnsi="Cambria"/>
          <w:b/>
          <w:color w:val="000000"/>
          <w:lang w:val="es-ES"/>
        </w:rPr>
      </w:pPr>
      <w:r w:rsidRPr="007175E2">
        <w:rPr>
          <w:rFonts w:ascii="Cambria" w:eastAsia="Batang" w:hAnsi="Cambria"/>
          <w:b/>
          <w:color w:val="000000"/>
          <w:lang w:val="es-ES"/>
        </w:rPr>
        <w:t>(ARGENTINA)</w:t>
      </w:r>
    </w:p>
    <w:p w14:paraId="46A52D24" w14:textId="77777777" w:rsidR="00B74EA5" w:rsidRPr="007175E2" w:rsidRDefault="00B74EA5" w:rsidP="00B74EA5">
      <w:pPr>
        <w:spacing w:after="0" w:line="240" w:lineRule="auto"/>
        <w:ind w:right="-270"/>
        <w:jc w:val="center"/>
        <w:rPr>
          <w:rFonts w:ascii="Cambria" w:eastAsia="Batang" w:hAnsi="Cambria"/>
          <w:b/>
          <w:color w:val="000000"/>
          <w:lang w:val="es-ES"/>
        </w:rPr>
      </w:pPr>
    </w:p>
    <w:p w14:paraId="49C1A99A" w14:textId="77777777" w:rsidR="00B74EA5" w:rsidRPr="007175E2" w:rsidRDefault="00B74EA5" w:rsidP="00B74EA5">
      <w:pPr>
        <w:numPr>
          <w:ilvl w:val="0"/>
          <w:numId w:val="16"/>
        </w:numPr>
        <w:spacing w:after="0" w:line="240" w:lineRule="auto"/>
        <w:rPr>
          <w:rFonts w:ascii="Cambria" w:eastAsia="Batang" w:hAnsi="Cambria" w:cs="Calibri Light"/>
          <w:b/>
          <w:color w:val="000000"/>
        </w:rPr>
      </w:pPr>
      <w:r w:rsidRPr="007175E2">
        <w:rPr>
          <w:rFonts w:ascii="Cambria" w:eastAsia="Batang" w:hAnsi="Cambria" w:cs="Calibri Light"/>
          <w:b/>
          <w:color w:val="000000"/>
        </w:rPr>
        <w:t>SUMMARY OF THE CASE</w:t>
      </w:r>
    </w:p>
    <w:p w14:paraId="25944586" w14:textId="77777777" w:rsidR="00B74EA5" w:rsidRPr="007175E2" w:rsidRDefault="00B74EA5" w:rsidP="00B74EA5">
      <w:pPr>
        <w:spacing w:after="0" w:line="240" w:lineRule="auto"/>
        <w:rPr>
          <w:rFonts w:ascii="Cambria" w:eastAsia="Batang" w:hAnsi="Cambria" w:cs="Calibri Light"/>
          <w:b/>
          <w:color w:val="000000"/>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209"/>
      </w:tblGrid>
      <w:tr w:rsidR="004C6CCF" w:rsidRPr="007175E2" w14:paraId="148BD9BE" w14:textId="77777777" w:rsidTr="004C6CCF">
        <w:trPr>
          <w:trHeight w:val="8101"/>
          <w:jc w:val="center"/>
        </w:trPr>
        <w:tc>
          <w:tcPr>
            <w:tcW w:w="9209" w:type="dxa"/>
            <w:shd w:val="clear" w:color="auto" w:fill="F2F2F2"/>
          </w:tcPr>
          <w:p w14:paraId="443BF195" w14:textId="77777777" w:rsidR="00B74EA5" w:rsidRPr="007175E2" w:rsidRDefault="00B74EA5" w:rsidP="00F024F0">
            <w:pPr>
              <w:tabs>
                <w:tab w:val="left" w:pos="9270"/>
              </w:tabs>
              <w:spacing w:after="0" w:line="240" w:lineRule="auto"/>
              <w:jc w:val="both"/>
              <w:rPr>
                <w:rFonts w:ascii="Cambria" w:eastAsia="Batang" w:hAnsi="Cambria"/>
                <w:b/>
                <w:color w:val="000000"/>
                <w:lang w:val="es-CO"/>
              </w:rPr>
            </w:pPr>
            <w:r w:rsidRPr="007175E2">
              <w:rPr>
                <w:rFonts w:ascii="Cambria" w:eastAsia="Batang" w:hAnsi="Cambria"/>
                <w:b/>
                <w:color w:val="000000"/>
                <w:lang w:val="es-CO"/>
              </w:rPr>
              <w:t xml:space="preserve">Victim(s): </w:t>
            </w:r>
            <w:r w:rsidRPr="007175E2">
              <w:rPr>
                <w:rFonts w:ascii="Cambria" w:eastAsia="Batang" w:hAnsi="Cambria"/>
                <w:bCs/>
                <w:color w:val="000000"/>
                <w:lang w:val="es-CO"/>
              </w:rPr>
              <w:t>Inocencia Luca Pegoraro</w:t>
            </w:r>
          </w:p>
          <w:p w14:paraId="4AAFBB0B" w14:textId="77777777" w:rsidR="00B74EA5" w:rsidRPr="007175E2" w:rsidRDefault="00B74EA5" w:rsidP="00F024F0">
            <w:pPr>
              <w:tabs>
                <w:tab w:val="left" w:pos="9270"/>
              </w:tabs>
              <w:spacing w:after="0" w:line="240" w:lineRule="auto"/>
              <w:jc w:val="both"/>
              <w:rPr>
                <w:rFonts w:ascii="Cambria" w:eastAsia="Batang" w:hAnsi="Cambria"/>
                <w:b/>
                <w:color w:val="000000"/>
              </w:rPr>
            </w:pPr>
            <w:r w:rsidRPr="007175E2">
              <w:rPr>
                <w:rFonts w:ascii="Cambria" w:eastAsia="Batang" w:hAnsi="Cambria"/>
                <w:b/>
                <w:color w:val="000000"/>
              </w:rPr>
              <w:t xml:space="preserve">Petitioner(s): </w:t>
            </w:r>
            <w:r w:rsidRPr="007175E2">
              <w:rPr>
                <w:rFonts w:ascii="Cambria" w:eastAsia="Batang" w:hAnsi="Cambria"/>
                <w:bCs/>
                <w:color w:val="000000"/>
              </w:rPr>
              <w:t>Grandmothers of Plaza de Mayo, Estela Barnes de Carlotto</w:t>
            </w:r>
          </w:p>
          <w:p w14:paraId="52A76DA3" w14:textId="77777777" w:rsidR="00B74EA5" w:rsidRPr="007175E2" w:rsidRDefault="00B74EA5" w:rsidP="00F024F0">
            <w:pPr>
              <w:tabs>
                <w:tab w:val="left" w:pos="9270"/>
              </w:tabs>
              <w:spacing w:after="0" w:line="240" w:lineRule="auto"/>
              <w:jc w:val="both"/>
              <w:rPr>
                <w:rFonts w:ascii="Cambria" w:eastAsia="Batang" w:hAnsi="Cambria"/>
                <w:b/>
                <w:color w:val="000000"/>
              </w:rPr>
            </w:pPr>
            <w:r w:rsidRPr="007175E2">
              <w:rPr>
                <w:rFonts w:ascii="Cambria" w:eastAsia="Batang" w:hAnsi="Cambria"/>
                <w:b/>
                <w:color w:val="000000"/>
              </w:rPr>
              <w:t xml:space="preserve">State: </w:t>
            </w:r>
            <w:r w:rsidRPr="007175E2">
              <w:rPr>
                <w:rFonts w:ascii="Cambria" w:eastAsia="Batang" w:hAnsi="Cambria"/>
                <w:bCs/>
                <w:color w:val="000000"/>
              </w:rPr>
              <w:t>Argentina</w:t>
            </w:r>
          </w:p>
          <w:p w14:paraId="7C25DB7B" w14:textId="77777777" w:rsidR="00B74EA5" w:rsidRPr="007175E2" w:rsidRDefault="00B74EA5" w:rsidP="00F024F0">
            <w:pPr>
              <w:tabs>
                <w:tab w:val="left" w:pos="9270"/>
              </w:tabs>
              <w:spacing w:after="0" w:line="240" w:lineRule="auto"/>
              <w:jc w:val="both"/>
              <w:rPr>
                <w:rFonts w:ascii="Cambria" w:eastAsia="Batang" w:hAnsi="Cambria"/>
                <w:b/>
                <w:bCs/>
                <w:color w:val="000000"/>
              </w:rPr>
            </w:pPr>
            <w:r w:rsidRPr="007175E2">
              <w:rPr>
                <w:rFonts w:ascii="Cambria" w:eastAsia="Batang" w:hAnsi="Cambria"/>
                <w:b/>
                <w:bCs/>
                <w:color w:val="000000"/>
              </w:rPr>
              <w:t xml:space="preserve">Beginning of the negotiation date: </w:t>
            </w:r>
            <w:r w:rsidRPr="007175E2">
              <w:rPr>
                <w:rFonts w:ascii="Cambria" w:eastAsia="Batang" w:hAnsi="Cambria"/>
                <w:color w:val="000000"/>
              </w:rPr>
              <w:t>June 06, 2007</w:t>
            </w:r>
          </w:p>
          <w:p w14:paraId="5361F2A5" w14:textId="77777777" w:rsidR="00B74EA5" w:rsidRPr="007175E2" w:rsidRDefault="00B74EA5" w:rsidP="00F024F0">
            <w:pPr>
              <w:tabs>
                <w:tab w:val="left" w:pos="9270"/>
              </w:tabs>
              <w:spacing w:after="0" w:line="240" w:lineRule="auto"/>
              <w:jc w:val="both"/>
              <w:rPr>
                <w:rFonts w:ascii="Cambria" w:eastAsia="Batang" w:hAnsi="Cambria"/>
                <w:b/>
                <w:bCs/>
                <w:color w:val="000000"/>
              </w:rPr>
            </w:pPr>
            <w:r w:rsidRPr="007175E2">
              <w:rPr>
                <w:rFonts w:ascii="Cambria" w:eastAsia="Batang" w:hAnsi="Cambria"/>
                <w:b/>
                <w:bCs/>
                <w:color w:val="000000"/>
              </w:rPr>
              <w:t xml:space="preserve">FSA signature date: </w:t>
            </w:r>
            <w:r w:rsidRPr="007175E2">
              <w:rPr>
                <w:rFonts w:ascii="Cambria" w:eastAsia="Batang" w:hAnsi="Cambria"/>
                <w:color w:val="000000"/>
              </w:rPr>
              <w:t>September 11, 2009</w:t>
            </w:r>
          </w:p>
          <w:p w14:paraId="6FA6929C" w14:textId="77777777" w:rsidR="00B74EA5" w:rsidRPr="007175E2" w:rsidRDefault="00B74EA5" w:rsidP="00F024F0">
            <w:pPr>
              <w:tabs>
                <w:tab w:val="left" w:pos="9270"/>
              </w:tabs>
              <w:spacing w:after="0" w:line="240" w:lineRule="auto"/>
              <w:jc w:val="both"/>
              <w:rPr>
                <w:rFonts w:ascii="Cambria" w:eastAsia="Batang" w:hAnsi="Cambria"/>
                <w:b/>
                <w:color w:val="000000"/>
              </w:rPr>
            </w:pPr>
            <w:r w:rsidRPr="007175E2">
              <w:rPr>
                <w:rFonts w:ascii="Cambria" w:eastAsia="Batang" w:hAnsi="Cambria"/>
                <w:b/>
                <w:color w:val="000000"/>
              </w:rPr>
              <w:t>Friendly Settlement Agreement Report N</w:t>
            </w:r>
            <w:r w:rsidR="00420BB1" w:rsidRPr="007175E2">
              <w:rPr>
                <w:rFonts w:ascii="Cambria" w:eastAsia="Batang" w:hAnsi="Cambria"/>
                <w:b/>
                <w:color w:val="000000" w:themeColor="text1"/>
              </w:rPr>
              <w:t>º:</w:t>
            </w:r>
            <w:r w:rsidRPr="007175E2">
              <w:rPr>
                <w:rFonts w:ascii="Cambria" w:eastAsia="Batang" w:hAnsi="Cambria"/>
                <w:b/>
                <w:color w:val="000000"/>
              </w:rPr>
              <w:t xml:space="preserve"> </w:t>
            </w:r>
            <w:hyperlink r:id="rId12" w:history="1">
              <w:r w:rsidRPr="007175E2">
                <w:rPr>
                  <w:rStyle w:val="Hyperlink"/>
                  <w:rFonts w:ascii="Cambria" w:eastAsia="Batang" w:hAnsi="Cambria"/>
                  <w:b/>
                  <w:bCs/>
                  <w:color w:val="000000" w:themeColor="text1"/>
                </w:rPr>
                <w:t>160/10</w:t>
              </w:r>
            </w:hyperlink>
            <w:r w:rsidRPr="007175E2">
              <w:rPr>
                <w:rFonts w:ascii="Cambria" w:eastAsia="Batang" w:hAnsi="Cambria"/>
                <w:b/>
                <w:bCs/>
                <w:color w:val="000000" w:themeColor="text1"/>
              </w:rPr>
              <w:t>,</w:t>
            </w:r>
            <w:r w:rsidRPr="007175E2">
              <w:rPr>
                <w:rFonts w:ascii="Cambria" w:eastAsia="Batang" w:hAnsi="Cambria"/>
                <w:bCs/>
                <w:color w:val="000000" w:themeColor="text1"/>
              </w:rPr>
              <w:t xml:space="preserve"> </w:t>
            </w:r>
            <w:r w:rsidRPr="007175E2">
              <w:rPr>
                <w:rFonts w:ascii="Cambria" w:eastAsia="Batang" w:hAnsi="Cambria"/>
                <w:bCs/>
                <w:color w:val="000000"/>
              </w:rPr>
              <w:t>published on November 1, 2010</w:t>
            </w:r>
          </w:p>
          <w:p w14:paraId="64534F60" w14:textId="77777777" w:rsidR="00B74EA5" w:rsidRPr="007175E2" w:rsidRDefault="00B74EA5" w:rsidP="00F024F0">
            <w:pPr>
              <w:tabs>
                <w:tab w:val="left" w:pos="9270"/>
              </w:tabs>
              <w:spacing w:after="0" w:line="240" w:lineRule="auto"/>
              <w:jc w:val="both"/>
              <w:rPr>
                <w:rFonts w:ascii="Cambria" w:eastAsia="Batang" w:hAnsi="Cambria"/>
                <w:b/>
                <w:bCs/>
                <w:color w:val="000000"/>
              </w:rPr>
            </w:pPr>
            <w:r w:rsidRPr="007175E2">
              <w:rPr>
                <w:rFonts w:ascii="Cambria" w:eastAsia="Batang" w:hAnsi="Cambria"/>
                <w:b/>
                <w:bCs/>
                <w:color w:val="000000"/>
              </w:rPr>
              <w:t xml:space="preserve">Estimated length of the negotiation phase: </w:t>
            </w:r>
            <w:r w:rsidRPr="007175E2">
              <w:rPr>
                <w:rFonts w:ascii="Cambria" w:eastAsia="Batang" w:hAnsi="Cambria"/>
                <w:color w:val="000000"/>
              </w:rPr>
              <w:t>3 years</w:t>
            </w:r>
          </w:p>
          <w:p w14:paraId="6B18F482" w14:textId="77777777" w:rsidR="00B74EA5" w:rsidRPr="007175E2" w:rsidRDefault="00B74EA5" w:rsidP="00F024F0">
            <w:pPr>
              <w:tabs>
                <w:tab w:val="left" w:pos="9270"/>
              </w:tabs>
              <w:spacing w:after="0" w:line="240" w:lineRule="auto"/>
              <w:jc w:val="both"/>
              <w:rPr>
                <w:rFonts w:ascii="Cambria" w:eastAsia="Batang" w:hAnsi="Cambria"/>
                <w:b/>
                <w:color w:val="000000"/>
              </w:rPr>
            </w:pPr>
            <w:r w:rsidRPr="007175E2">
              <w:rPr>
                <w:rFonts w:ascii="Cambria" w:eastAsia="Batang" w:hAnsi="Cambria"/>
                <w:b/>
                <w:color w:val="000000"/>
              </w:rPr>
              <w:t xml:space="preserve">Related Rapporteurship: </w:t>
            </w:r>
            <w:r w:rsidRPr="007175E2">
              <w:rPr>
                <w:rFonts w:ascii="Cambria" w:eastAsia="Batang" w:hAnsi="Cambria"/>
                <w:bCs/>
                <w:color w:val="000000"/>
              </w:rPr>
              <w:t>Women's rights; rights of children and adolescents.</w:t>
            </w:r>
          </w:p>
          <w:p w14:paraId="376908E0" w14:textId="77777777" w:rsidR="00B74EA5" w:rsidRPr="007175E2" w:rsidRDefault="00B74EA5" w:rsidP="00F024F0">
            <w:pPr>
              <w:tabs>
                <w:tab w:val="left" w:pos="9270"/>
              </w:tabs>
              <w:spacing w:after="0" w:line="240" w:lineRule="auto"/>
              <w:jc w:val="both"/>
              <w:rPr>
                <w:rFonts w:ascii="Cambria" w:eastAsia="Batang" w:hAnsi="Cambria"/>
                <w:b/>
                <w:color w:val="000000"/>
              </w:rPr>
            </w:pPr>
            <w:r w:rsidRPr="007175E2">
              <w:rPr>
                <w:rFonts w:ascii="Cambria" w:eastAsia="Batang" w:hAnsi="Cambria"/>
                <w:b/>
                <w:color w:val="000000"/>
              </w:rPr>
              <w:t xml:space="preserve">Topics: </w:t>
            </w:r>
            <w:r w:rsidRPr="007175E2">
              <w:rPr>
                <w:rFonts w:ascii="Cambria" w:eastAsia="Batang" w:hAnsi="Cambria"/>
                <w:bCs/>
                <w:color w:val="000000"/>
              </w:rPr>
              <w:t>Children and adolescents/youth/arbitrary or illegal detention/ Sexual and reproductive rights/Forced disappearance/Investigation</w:t>
            </w:r>
          </w:p>
          <w:p w14:paraId="538657B5" w14:textId="77777777" w:rsidR="00B74EA5" w:rsidRPr="007175E2" w:rsidRDefault="00B74EA5" w:rsidP="00F024F0">
            <w:pPr>
              <w:tabs>
                <w:tab w:val="left" w:pos="9270"/>
              </w:tabs>
              <w:spacing w:after="0" w:line="240" w:lineRule="auto"/>
              <w:jc w:val="both"/>
              <w:rPr>
                <w:rFonts w:ascii="Cambria" w:eastAsia="Batang" w:hAnsi="Cambria"/>
                <w:b/>
                <w:color w:val="000000"/>
              </w:rPr>
            </w:pPr>
          </w:p>
          <w:p w14:paraId="63DFAEE4" w14:textId="77777777" w:rsidR="00B74EA5" w:rsidRPr="007175E2" w:rsidRDefault="00B74EA5" w:rsidP="00F024F0">
            <w:pPr>
              <w:tabs>
                <w:tab w:val="left" w:pos="9270"/>
              </w:tabs>
              <w:spacing w:after="0" w:line="240" w:lineRule="auto"/>
              <w:jc w:val="both"/>
              <w:rPr>
                <w:rFonts w:ascii="Cambria" w:eastAsia="Batang" w:hAnsi="Cambria"/>
                <w:b/>
                <w:color w:val="000000"/>
              </w:rPr>
            </w:pPr>
            <w:r w:rsidRPr="007175E2">
              <w:rPr>
                <w:rFonts w:ascii="Cambria" w:eastAsia="Batang" w:hAnsi="Cambria"/>
                <w:b/>
                <w:color w:val="000000"/>
              </w:rPr>
              <w:t xml:space="preserve">Facts: </w:t>
            </w:r>
            <w:r w:rsidRPr="007175E2">
              <w:rPr>
                <w:rFonts w:ascii="Cambria" w:eastAsia="Batang" w:hAnsi="Cambria"/>
                <w:bCs/>
                <w:color w:val="000000"/>
              </w:rPr>
              <w:t>The petitioners maintained that the State was responsible for the events that occurred on June 18, 1977, Susana Pegoraro, Inocencia Pegoraro's daughter, who was five months pregnant at the time was arrested and taken to the Clandestine Detention Center that operated during the military dictatorship at the Naval Mechanics School (ESMA).  According to the testimony of Inocencia Luca Pegoraro, Susana Pegoraro gave birth to a daughter inside the detention’s facilities.  The petitioners state that, in 1999, Inocencia Luca Pegoraro and Angélica Chimeno de Bauer became complainants and initiated a court proceeding, denouncing the abduction of their granddaughter, who they identified as Evelin Vásquez Ferra.  Initially, the Federal National Court for Criminal and Correctional Matters No. 1 ordered expert testing to establish the identity of Evelin Vásquez Ferra.  However, when this testing was challenged, the procedure was finally determined by the Supreme Court as not being mandatory because it felt that the testing was complementary for the purposes of the process given that the adoptive parents, Policarpo Luis Vásquez and Ana María Ferra, had confessed that Evelin Vásquez Ferra was not their biological child. The court also felt that mandatory testing violated the latter’s right to privacy.  The petitioners alleged that the ruling of the Supreme Court of Justice of the Nation closed the door to possible investigation into the disappearance of Susana Pegoraro and Raúl Santiago Bauer as well as the identification of Evelin Vásquez Ferra.</w:t>
            </w:r>
            <w:r w:rsidRPr="007175E2">
              <w:rPr>
                <w:rFonts w:ascii="Cambria" w:eastAsia="Batang" w:hAnsi="Cambria"/>
                <w:b/>
                <w:color w:val="000000"/>
              </w:rPr>
              <w:t xml:space="preserve">  </w:t>
            </w:r>
          </w:p>
          <w:p w14:paraId="17454F80" w14:textId="77777777" w:rsidR="00B74EA5" w:rsidRPr="007175E2" w:rsidRDefault="00B74EA5" w:rsidP="00F024F0">
            <w:pPr>
              <w:tabs>
                <w:tab w:val="left" w:pos="9270"/>
              </w:tabs>
              <w:spacing w:after="0" w:line="240" w:lineRule="auto"/>
              <w:jc w:val="both"/>
              <w:rPr>
                <w:rFonts w:ascii="Cambria" w:eastAsia="Batang" w:hAnsi="Cambria"/>
                <w:b/>
                <w:color w:val="000000"/>
              </w:rPr>
            </w:pPr>
          </w:p>
          <w:p w14:paraId="59079FD7" w14:textId="77777777" w:rsidR="00B74EA5" w:rsidRPr="007175E2" w:rsidRDefault="00B74EA5" w:rsidP="00F024F0">
            <w:pPr>
              <w:tabs>
                <w:tab w:val="left" w:pos="9270"/>
              </w:tabs>
              <w:spacing w:after="0" w:line="240" w:lineRule="auto"/>
              <w:jc w:val="both"/>
              <w:rPr>
                <w:rFonts w:ascii="Cambria" w:eastAsia="Batang" w:hAnsi="Cambria"/>
                <w:color w:val="000000"/>
              </w:rPr>
            </w:pPr>
            <w:r w:rsidRPr="007175E2">
              <w:rPr>
                <w:rFonts w:ascii="Cambria" w:eastAsia="Batang" w:hAnsi="Cambria"/>
                <w:b/>
                <w:color w:val="000000"/>
              </w:rPr>
              <w:t xml:space="preserve">Rights alleged: </w:t>
            </w:r>
            <w:r w:rsidRPr="007175E2">
              <w:rPr>
                <w:rFonts w:ascii="Cambria" w:eastAsia="Batang" w:hAnsi="Cambria"/>
                <w:bCs/>
                <w:color w:val="000000"/>
              </w:rPr>
              <w:t>The petitioners alleged that the Argentine Republic violated Articles 5 (right to humane treatment), 8 (due process), 17 (right to protection of the family), and 25 (right to judicial protection) of the American Convention on Human Rights.</w:t>
            </w:r>
          </w:p>
        </w:tc>
      </w:tr>
    </w:tbl>
    <w:p w14:paraId="542D114F" w14:textId="77777777" w:rsidR="00B74EA5" w:rsidRPr="007175E2" w:rsidRDefault="00B74EA5" w:rsidP="00B74EA5">
      <w:pPr>
        <w:spacing w:after="0" w:line="240" w:lineRule="auto"/>
        <w:contextualSpacing/>
        <w:jc w:val="both"/>
        <w:rPr>
          <w:rFonts w:ascii="Cambria" w:eastAsia="Batang" w:hAnsi="Cambria" w:cs="Calibri Light"/>
          <w:b/>
          <w:color w:val="000000"/>
        </w:rPr>
      </w:pPr>
    </w:p>
    <w:p w14:paraId="5FFDE1E2" w14:textId="77777777" w:rsidR="00B74EA5" w:rsidRPr="007175E2" w:rsidRDefault="00B74EA5" w:rsidP="00B74EA5">
      <w:pPr>
        <w:numPr>
          <w:ilvl w:val="0"/>
          <w:numId w:val="16"/>
        </w:numPr>
        <w:spacing w:after="0" w:line="240" w:lineRule="auto"/>
        <w:ind w:left="0" w:firstLine="720"/>
        <w:contextualSpacing/>
        <w:jc w:val="both"/>
        <w:rPr>
          <w:rFonts w:ascii="Cambria" w:eastAsia="Batang" w:hAnsi="Cambria" w:cs="Calibri Light"/>
          <w:b/>
          <w:color w:val="000000"/>
        </w:rPr>
      </w:pPr>
      <w:r w:rsidRPr="007175E2">
        <w:rPr>
          <w:rFonts w:ascii="Cambria" w:eastAsia="Batang" w:hAnsi="Cambria"/>
          <w:b/>
          <w:color w:val="000000"/>
        </w:rPr>
        <w:t>PROCEDURAL ACTIVITY</w:t>
      </w:r>
    </w:p>
    <w:p w14:paraId="29CF814E" w14:textId="77777777" w:rsidR="00B74EA5" w:rsidRPr="007175E2" w:rsidRDefault="00B74EA5" w:rsidP="00B74EA5">
      <w:pPr>
        <w:spacing w:after="0" w:line="240" w:lineRule="auto"/>
        <w:ind w:firstLine="720"/>
        <w:contextualSpacing/>
        <w:jc w:val="both"/>
        <w:rPr>
          <w:rFonts w:ascii="Cambria" w:eastAsia="Batang" w:hAnsi="Cambria" w:cs="Calibri Light"/>
          <w:b/>
          <w:color w:val="000000"/>
        </w:rPr>
      </w:pPr>
    </w:p>
    <w:p w14:paraId="18A05DE3" w14:textId="77777777" w:rsidR="00B74EA5" w:rsidRPr="007175E2" w:rsidRDefault="00B74EA5" w:rsidP="00B74EA5">
      <w:pPr>
        <w:spacing w:after="0" w:line="240" w:lineRule="auto"/>
        <w:ind w:firstLine="709"/>
        <w:contextualSpacing/>
        <w:jc w:val="both"/>
        <w:rPr>
          <w:rFonts w:ascii="Cambria" w:eastAsia="Batang" w:hAnsi="Cambria" w:cs="Calibri Light"/>
          <w:color w:val="000000"/>
        </w:rPr>
      </w:pPr>
      <w:r w:rsidRPr="007175E2">
        <w:rPr>
          <w:rFonts w:ascii="Cambria" w:eastAsia="Batang" w:hAnsi="Cambria" w:cs="Calibri Light"/>
          <w:color w:val="000000"/>
        </w:rPr>
        <w:t>1.</w:t>
      </w:r>
      <w:r w:rsidRPr="007175E2">
        <w:rPr>
          <w:rFonts w:ascii="Cambria" w:eastAsia="Batang" w:hAnsi="Cambria" w:cs="Calibri Light"/>
          <w:color w:val="000000"/>
        </w:rPr>
        <w:tab/>
        <w:t>On September 11, 2009, the parties signed a friendly settlement agreement.</w:t>
      </w:r>
    </w:p>
    <w:p w14:paraId="5B3E8B0E" w14:textId="77777777" w:rsidR="00B74EA5" w:rsidRPr="007175E2" w:rsidRDefault="00B74EA5" w:rsidP="00B74EA5">
      <w:pPr>
        <w:spacing w:after="0" w:line="240" w:lineRule="auto"/>
        <w:ind w:firstLine="709"/>
        <w:contextualSpacing/>
        <w:jc w:val="both"/>
        <w:rPr>
          <w:rFonts w:ascii="Cambria" w:eastAsia="Batang" w:hAnsi="Cambria" w:cs="Calibri Light"/>
          <w:color w:val="000000"/>
        </w:rPr>
      </w:pPr>
    </w:p>
    <w:p w14:paraId="723EDAE8" w14:textId="77777777" w:rsidR="00420BB1" w:rsidRDefault="00B74EA5" w:rsidP="00B74EA5">
      <w:pPr>
        <w:spacing w:after="0" w:line="240" w:lineRule="auto"/>
        <w:ind w:firstLine="709"/>
        <w:contextualSpacing/>
        <w:jc w:val="both"/>
        <w:rPr>
          <w:rFonts w:ascii="Cambria" w:eastAsia="Batang" w:hAnsi="Cambria" w:cs="Calibri Light"/>
          <w:color w:val="000000"/>
        </w:rPr>
      </w:pPr>
      <w:r w:rsidRPr="007175E2">
        <w:rPr>
          <w:rFonts w:ascii="Cambria" w:eastAsia="Batang" w:hAnsi="Cambria" w:cs="Calibri Light"/>
          <w:color w:val="000000"/>
        </w:rPr>
        <w:t>2.</w:t>
      </w:r>
      <w:r w:rsidRPr="007175E2">
        <w:rPr>
          <w:rFonts w:ascii="Cambria" w:eastAsia="Batang" w:hAnsi="Cambria" w:cs="Calibri Light"/>
          <w:color w:val="000000"/>
        </w:rPr>
        <w:tab/>
        <w:t>On November 1, 2010, the Commission approved the agreement signed by the parties, by means of Report No. 160/10.</w:t>
      </w:r>
    </w:p>
    <w:p w14:paraId="533BA073" w14:textId="77777777" w:rsidR="00372947" w:rsidRDefault="00372947" w:rsidP="00B74EA5">
      <w:pPr>
        <w:spacing w:after="0" w:line="240" w:lineRule="auto"/>
        <w:ind w:firstLine="709"/>
        <w:contextualSpacing/>
        <w:jc w:val="both"/>
        <w:rPr>
          <w:rFonts w:ascii="Cambria" w:eastAsia="Batang" w:hAnsi="Cambria" w:cs="Calibri Light"/>
          <w:color w:val="000000"/>
        </w:rPr>
      </w:pPr>
    </w:p>
    <w:p w14:paraId="2F0A8E56" w14:textId="77777777" w:rsidR="00F14821" w:rsidRPr="007175E2" w:rsidRDefault="00F14821" w:rsidP="00F14821">
      <w:pPr>
        <w:pStyle w:val="ListParagraph"/>
        <w:numPr>
          <w:ilvl w:val="0"/>
          <w:numId w:val="16"/>
        </w:numPr>
        <w:spacing w:after="0" w:line="240" w:lineRule="auto"/>
        <w:ind w:left="0" w:firstLine="709"/>
        <w:jc w:val="both"/>
        <w:rPr>
          <w:rFonts w:ascii="Cambria" w:eastAsia="Batang" w:hAnsi="Cambria" w:cs="Calibri Light"/>
          <w:b/>
          <w:color w:val="000000"/>
        </w:rPr>
      </w:pPr>
      <w:r w:rsidRPr="007175E2">
        <w:rPr>
          <w:rFonts w:ascii="Cambria" w:eastAsia="Batang" w:hAnsi="Cambria" w:cs="Calibri Light"/>
          <w:b/>
          <w:color w:val="000000"/>
        </w:rPr>
        <w:t xml:space="preserve">ANALYSIS OF COMPLIANCE WITH THE CLAUSES OF THE FRIENDLY SETTLEMENT AGREEMENT </w:t>
      </w:r>
    </w:p>
    <w:p w14:paraId="430353AE" w14:textId="77777777" w:rsidR="00F74974" w:rsidRPr="007175E2" w:rsidRDefault="00F74974" w:rsidP="00B74EA5">
      <w:pPr>
        <w:spacing w:after="0" w:line="240" w:lineRule="auto"/>
        <w:ind w:firstLine="709"/>
        <w:contextualSpacing/>
        <w:jc w:val="both"/>
        <w:rPr>
          <w:rFonts w:ascii="Cambria" w:eastAsia="Batang" w:hAnsi="Cambria" w:cs="Calibri Light"/>
          <w:color w:val="000000"/>
          <w:highlight w:val="cyan"/>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8"/>
        <w:gridCol w:w="2098"/>
      </w:tblGrid>
      <w:tr w:rsidR="00C17E67" w:rsidRPr="007175E2" w14:paraId="4ED7C4B5" w14:textId="77777777" w:rsidTr="00C17E67">
        <w:tc>
          <w:tcPr>
            <w:tcW w:w="725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1AE1D43" w14:textId="77777777" w:rsidR="00F14821" w:rsidRPr="007175E2" w:rsidRDefault="00F14821" w:rsidP="00F024F0">
            <w:pPr>
              <w:tabs>
                <w:tab w:val="center" w:pos="2049"/>
              </w:tabs>
              <w:spacing w:after="0" w:line="240" w:lineRule="auto"/>
              <w:jc w:val="center"/>
              <w:rPr>
                <w:rFonts w:ascii="Cambria" w:eastAsia="Batang" w:hAnsi="Cambria"/>
                <w:b/>
                <w:color w:val="000000"/>
              </w:rPr>
            </w:pPr>
            <w:r w:rsidRPr="007175E2">
              <w:rPr>
                <w:rFonts w:ascii="Cambria" w:eastAsia="Batang" w:hAnsi="Cambria"/>
                <w:b/>
                <w:color w:val="000000"/>
              </w:rPr>
              <w:t xml:space="preserve">Clause of the Agreement </w:t>
            </w:r>
          </w:p>
        </w:tc>
        <w:tc>
          <w:tcPr>
            <w:tcW w:w="209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FA5987D" w14:textId="77777777" w:rsidR="00F14821" w:rsidRPr="007175E2" w:rsidRDefault="00F14821" w:rsidP="00F024F0">
            <w:pPr>
              <w:spacing w:after="0" w:line="240" w:lineRule="auto"/>
              <w:jc w:val="center"/>
              <w:rPr>
                <w:rFonts w:ascii="Cambria" w:eastAsia="Batang" w:hAnsi="Cambria"/>
                <w:b/>
                <w:color w:val="000000"/>
              </w:rPr>
            </w:pPr>
            <w:r w:rsidRPr="007175E2">
              <w:rPr>
                <w:rFonts w:ascii="Cambria" w:eastAsia="Batang" w:hAnsi="Cambria"/>
                <w:b/>
                <w:color w:val="000000"/>
              </w:rPr>
              <w:t xml:space="preserve">Status of Implementation </w:t>
            </w:r>
          </w:p>
        </w:tc>
      </w:tr>
      <w:tr w:rsidR="00C17E67" w:rsidRPr="007175E2" w14:paraId="2C8286BC" w14:textId="77777777" w:rsidTr="00C17E67">
        <w:tc>
          <w:tcPr>
            <w:tcW w:w="7258" w:type="dxa"/>
            <w:tcBorders>
              <w:top w:val="single" w:sz="4" w:space="0" w:color="auto"/>
              <w:left w:val="single" w:sz="4" w:space="0" w:color="auto"/>
              <w:bottom w:val="single" w:sz="4" w:space="0" w:color="auto"/>
              <w:right w:val="single" w:sz="4" w:space="0" w:color="auto"/>
            </w:tcBorders>
            <w:vAlign w:val="center"/>
          </w:tcPr>
          <w:p w14:paraId="46A230AA" w14:textId="77777777" w:rsidR="00F14821" w:rsidRPr="007175E2" w:rsidRDefault="00F14821" w:rsidP="00F024F0">
            <w:pPr>
              <w:spacing w:after="0" w:line="240" w:lineRule="auto"/>
              <w:rPr>
                <w:rFonts w:ascii="Cambria" w:hAnsi="Cambria"/>
                <w:b/>
                <w:bCs/>
                <w:color w:val="000000"/>
              </w:rPr>
            </w:pPr>
            <w:r w:rsidRPr="007175E2">
              <w:rPr>
                <w:rFonts w:ascii="Cambria" w:hAnsi="Cambria"/>
                <w:color w:val="000000"/>
              </w:rPr>
              <w:t>1.</w:t>
            </w:r>
            <w:r w:rsidRPr="007175E2">
              <w:rPr>
                <w:rFonts w:ascii="Cambria" w:hAnsi="Cambria"/>
                <w:color w:val="000000"/>
              </w:rPr>
              <w:tab/>
              <w:t>Recognition of facts. Adoption of measures</w:t>
            </w:r>
          </w:p>
        </w:tc>
        <w:tc>
          <w:tcPr>
            <w:tcW w:w="2098" w:type="dxa"/>
            <w:tcBorders>
              <w:top w:val="single" w:sz="4" w:space="0" w:color="auto"/>
              <w:left w:val="single" w:sz="4" w:space="0" w:color="auto"/>
              <w:bottom w:val="single" w:sz="4" w:space="0" w:color="auto"/>
              <w:right w:val="single" w:sz="4" w:space="0" w:color="auto"/>
            </w:tcBorders>
            <w:vAlign w:val="center"/>
          </w:tcPr>
          <w:p w14:paraId="5731CC96" w14:textId="77777777" w:rsidR="00F14821" w:rsidRPr="007175E2" w:rsidRDefault="00F14821" w:rsidP="00F024F0">
            <w:pPr>
              <w:spacing w:after="0" w:line="240" w:lineRule="auto"/>
              <w:jc w:val="center"/>
              <w:rPr>
                <w:rFonts w:ascii="Cambria" w:hAnsi="Cambria"/>
                <w:b/>
                <w:bCs/>
                <w:color w:val="000000"/>
              </w:rPr>
            </w:pPr>
            <w:r w:rsidRPr="007175E2">
              <w:rPr>
                <w:rFonts w:ascii="Cambria" w:hAnsi="Cambria"/>
                <w:b/>
                <w:color w:val="000000"/>
              </w:rPr>
              <w:t>Declarative clause</w:t>
            </w:r>
          </w:p>
        </w:tc>
      </w:tr>
      <w:tr w:rsidR="00C17E67" w:rsidRPr="007175E2" w14:paraId="59D62DEB" w14:textId="77777777" w:rsidTr="00C17E67">
        <w:tc>
          <w:tcPr>
            <w:tcW w:w="9356" w:type="dxa"/>
            <w:gridSpan w:val="2"/>
            <w:tcBorders>
              <w:top w:val="single" w:sz="4" w:space="0" w:color="auto"/>
              <w:left w:val="single" w:sz="4" w:space="0" w:color="auto"/>
              <w:bottom w:val="single" w:sz="4" w:space="0" w:color="auto"/>
              <w:right w:val="single" w:sz="4" w:space="0" w:color="auto"/>
            </w:tcBorders>
          </w:tcPr>
          <w:p w14:paraId="2677B7E2" w14:textId="77777777" w:rsidR="00F14821" w:rsidRPr="007175E2" w:rsidRDefault="00F14821" w:rsidP="00F024F0">
            <w:pPr>
              <w:spacing w:after="0" w:line="240" w:lineRule="auto"/>
              <w:rPr>
                <w:rFonts w:ascii="Cambria" w:hAnsi="Cambria"/>
                <w:b/>
                <w:color w:val="000000"/>
              </w:rPr>
            </w:pPr>
            <w:r w:rsidRPr="007175E2">
              <w:rPr>
                <w:rFonts w:ascii="Cambria" w:hAnsi="Cambria"/>
                <w:color w:val="000000"/>
              </w:rPr>
              <w:t>2.</w:t>
            </w:r>
            <w:r w:rsidRPr="007175E2">
              <w:rPr>
                <w:rFonts w:ascii="Cambria" w:hAnsi="Cambria"/>
                <w:color w:val="000000"/>
              </w:rPr>
              <w:tab/>
              <w:t>Non-monetary reparation measures</w:t>
            </w:r>
          </w:p>
        </w:tc>
      </w:tr>
      <w:tr w:rsidR="00C17E67" w:rsidRPr="007175E2" w14:paraId="3EA07854" w14:textId="77777777" w:rsidTr="00C17E67">
        <w:trPr>
          <w:trHeight w:val="608"/>
        </w:trPr>
        <w:tc>
          <w:tcPr>
            <w:tcW w:w="7258" w:type="dxa"/>
            <w:tcBorders>
              <w:top w:val="single" w:sz="4" w:space="0" w:color="auto"/>
              <w:left w:val="single" w:sz="4" w:space="0" w:color="auto"/>
              <w:bottom w:val="single" w:sz="4" w:space="0" w:color="auto"/>
              <w:right w:val="single" w:sz="4" w:space="0" w:color="auto"/>
            </w:tcBorders>
            <w:vAlign w:val="center"/>
          </w:tcPr>
          <w:p w14:paraId="08AC81E4" w14:textId="77777777" w:rsidR="00F14821" w:rsidRPr="007175E2" w:rsidRDefault="00F14821" w:rsidP="00F024F0">
            <w:pPr>
              <w:tabs>
                <w:tab w:val="left" w:pos="360"/>
              </w:tabs>
              <w:spacing w:after="0" w:line="240" w:lineRule="auto"/>
              <w:jc w:val="both"/>
              <w:rPr>
                <w:rFonts w:ascii="Cambria" w:hAnsi="Cambria"/>
                <w:color w:val="000000"/>
              </w:rPr>
            </w:pPr>
            <w:r w:rsidRPr="007175E2">
              <w:rPr>
                <w:rFonts w:ascii="Cambria" w:hAnsi="Cambria"/>
                <w:color w:val="000000"/>
              </w:rPr>
              <w:t>2.1. On the right to identity</w:t>
            </w:r>
          </w:p>
          <w:p w14:paraId="5CFFC26C" w14:textId="77777777" w:rsidR="00F14821" w:rsidRPr="007175E2" w:rsidRDefault="00F14821" w:rsidP="00F024F0">
            <w:pPr>
              <w:tabs>
                <w:tab w:val="left" w:pos="360"/>
              </w:tabs>
              <w:spacing w:after="0" w:line="240" w:lineRule="auto"/>
              <w:jc w:val="both"/>
              <w:rPr>
                <w:rFonts w:ascii="Cambria" w:hAnsi="Cambria"/>
                <w:color w:val="000000"/>
              </w:rPr>
            </w:pPr>
            <w:r w:rsidRPr="007175E2">
              <w:rPr>
                <w:rFonts w:ascii="Cambria" w:hAnsi="Cambria"/>
                <w:color w:val="000000"/>
              </w:rPr>
              <w:t>a.</w:t>
            </w:r>
            <w:r w:rsidRPr="007175E2">
              <w:rPr>
                <w:rFonts w:ascii="Cambria" w:hAnsi="Cambria"/>
                <w:color w:val="000000"/>
              </w:rPr>
              <w:tab/>
              <w:t>The National Executive Branch of the Argentine Republic agrees to send the Honorable Congress of the Nation a bill on establishing a procedure for obtaining DNA samples that protects the rights of those involved and effectively investigates and adjudicates the abduction of children during the military dictatorship.</w:t>
            </w:r>
          </w:p>
          <w:p w14:paraId="5AD284B8" w14:textId="4DB8989C" w:rsidR="00F14821" w:rsidRPr="007175E2" w:rsidRDefault="00F14821" w:rsidP="00F024F0">
            <w:pPr>
              <w:spacing w:after="0" w:line="240" w:lineRule="auto"/>
              <w:ind w:right="72"/>
              <w:jc w:val="both"/>
              <w:rPr>
                <w:rFonts w:ascii="Cambria" w:hAnsi="Cambria"/>
                <w:bCs/>
                <w:color w:val="000000"/>
                <w:kern w:val="36"/>
              </w:rPr>
            </w:pPr>
            <w:r w:rsidRPr="007175E2">
              <w:rPr>
                <w:rFonts w:ascii="Cambria" w:hAnsi="Cambria"/>
                <w:color w:val="000000"/>
              </w:rPr>
              <w:t xml:space="preserve">b. The National Executive Branch of the Argentine Republic agrees to send to the Honorable Congress of the Nation a bill to amend the legislation governing the operation of the National Genetic Data Bank </w:t>
            </w:r>
            <w:r w:rsidR="00CC0731" w:rsidRPr="007175E2">
              <w:rPr>
                <w:rFonts w:ascii="Cambria" w:hAnsi="Cambria"/>
                <w:color w:val="000000"/>
              </w:rPr>
              <w:t>to</w:t>
            </w:r>
            <w:r w:rsidRPr="007175E2">
              <w:rPr>
                <w:rFonts w:ascii="Cambria" w:hAnsi="Cambria"/>
                <w:color w:val="000000"/>
              </w:rPr>
              <w:t xml:space="preserve"> adapt it to scientific advances in this area.</w:t>
            </w:r>
          </w:p>
        </w:tc>
        <w:tc>
          <w:tcPr>
            <w:tcW w:w="2098" w:type="dxa"/>
            <w:tcBorders>
              <w:top w:val="single" w:sz="4" w:space="0" w:color="auto"/>
              <w:left w:val="single" w:sz="4" w:space="0" w:color="auto"/>
              <w:bottom w:val="single" w:sz="4" w:space="0" w:color="auto"/>
              <w:right w:val="single" w:sz="4" w:space="0" w:color="auto"/>
            </w:tcBorders>
            <w:vAlign w:val="center"/>
            <w:hideMark/>
          </w:tcPr>
          <w:p w14:paraId="593A7EBA" w14:textId="77777777" w:rsidR="00F14821" w:rsidRPr="007175E2" w:rsidRDefault="00F14821" w:rsidP="00F024F0">
            <w:pPr>
              <w:spacing w:after="0" w:line="240" w:lineRule="auto"/>
              <w:jc w:val="center"/>
              <w:rPr>
                <w:rFonts w:ascii="Cambria" w:hAnsi="Cambria"/>
                <w:b/>
                <w:color w:val="000000"/>
              </w:rPr>
            </w:pPr>
            <w:r w:rsidRPr="007175E2">
              <w:rPr>
                <w:rFonts w:ascii="Cambria" w:hAnsi="Cambria"/>
                <w:b/>
                <w:color w:val="000000"/>
              </w:rPr>
              <w:t>Total</w:t>
            </w:r>
            <w:r w:rsidRPr="007175E2">
              <w:rPr>
                <w:rFonts w:ascii="Cambria" w:hAnsi="Cambria"/>
                <w:b/>
                <w:color w:val="000000"/>
                <w:vertAlign w:val="superscript"/>
              </w:rPr>
              <w:footnoteReference w:id="1"/>
            </w:r>
          </w:p>
          <w:p w14:paraId="341C9763" w14:textId="77777777" w:rsidR="00F14821" w:rsidRPr="007175E2" w:rsidRDefault="00F14821" w:rsidP="00F024F0">
            <w:pPr>
              <w:spacing w:after="0" w:line="240" w:lineRule="auto"/>
              <w:jc w:val="center"/>
              <w:rPr>
                <w:rFonts w:ascii="Cambria" w:hAnsi="Cambria"/>
                <w:b/>
                <w:color w:val="000000"/>
              </w:rPr>
            </w:pPr>
          </w:p>
          <w:p w14:paraId="47E8876F" w14:textId="77777777" w:rsidR="00F14821" w:rsidRPr="007175E2" w:rsidRDefault="00F14821" w:rsidP="00F024F0">
            <w:pPr>
              <w:spacing w:after="0" w:line="240" w:lineRule="auto"/>
              <w:jc w:val="center"/>
              <w:rPr>
                <w:rFonts w:ascii="Cambria" w:eastAsia="Batang" w:hAnsi="Cambria"/>
                <w:b/>
                <w:bCs/>
                <w:color w:val="000000"/>
              </w:rPr>
            </w:pPr>
          </w:p>
        </w:tc>
      </w:tr>
      <w:tr w:rsidR="00C17E67" w:rsidRPr="007175E2" w14:paraId="44B02F6A" w14:textId="77777777" w:rsidTr="00C17E67">
        <w:trPr>
          <w:trHeight w:val="608"/>
        </w:trPr>
        <w:tc>
          <w:tcPr>
            <w:tcW w:w="7258" w:type="dxa"/>
            <w:tcBorders>
              <w:top w:val="single" w:sz="4" w:space="0" w:color="auto"/>
              <w:left w:val="single" w:sz="4" w:space="0" w:color="auto"/>
              <w:bottom w:val="single" w:sz="4" w:space="0" w:color="auto"/>
              <w:right w:val="single" w:sz="4" w:space="0" w:color="auto"/>
            </w:tcBorders>
            <w:vAlign w:val="center"/>
          </w:tcPr>
          <w:p w14:paraId="2D35018A" w14:textId="77777777" w:rsidR="00F14821" w:rsidRPr="007175E2" w:rsidRDefault="00F14821" w:rsidP="00F024F0">
            <w:pPr>
              <w:tabs>
                <w:tab w:val="left" w:pos="360"/>
              </w:tabs>
              <w:spacing w:after="0" w:line="240" w:lineRule="auto"/>
              <w:jc w:val="both"/>
              <w:rPr>
                <w:rFonts w:ascii="Cambria" w:hAnsi="Cambria"/>
                <w:color w:val="000000"/>
              </w:rPr>
            </w:pPr>
            <w:r w:rsidRPr="007175E2">
              <w:rPr>
                <w:rFonts w:ascii="Cambria" w:hAnsi="Cambria"/>
                <w:color w:val="000000"/>
              </w:rPr>
              <w:t>2.2. On the right of access to justice</w:t>
            </w:r>
          </w:p>
          <w:p w14:paraId="6588C87F" w14:textId="3DC37043" w:rsidR="00F14821" w:rsidRPr="007175E2" w:rsidRDefault="00F14821" w:rsidP="00F024F0">
            <w:pPr>
              <w:spacing w:after="0" w:line="240" w:lineRule="auto"/>
              <w:ind w:right="72"/>
              <w:jc w:val="both"/>
              <w:rPr>
                <w:rFonts w:ascii="Cambria" w:eastAsia="Batang" w:hAnsi="Cambria" w:cs="Calibri Light"/>
                <w:color w:val="000000"/>
              </w:rPr>
            </w:pPr>
            <w:r w:rsidRPr="007175E2">
              <w:rPr>
                <w:rFonts w:ascii="Cambria" w:hAnsi="Cambria"/>
                <w:color w:val="000000"/>
              </w:rPr>
              <w:t xml:space="preserve">a. The National Executive Branch of the Argentine Republic agrees to send to the Honorable Congress of the Nation a bill to </w:t>
            </w:r>
            <w:r w:rsidR="003E533F" w:rsidRPr="007175E2">
              <w:rPr>
                <w:rFonts w:ascii="Cambria" w:hAnsi="Cambria"/>
                <w:color w:val="000000"/>
              </w:rPr>
              <w:t>guarantee the judicial participation of victims more effectively</w:t>
            </w:r>
            <w:r w:rsidRPr="007175E2">
              <w:rPr>
                <w:rFonts w:ascii="Cambria" w:hAnsi="Cambria"/>
                <w:color w:val="000000"/>
              </w:rPr>
              <w:t xml:space="preserve"> –understanding as such persons allegedly kidnapped and their legitimate family members – and intermediate associations set up to defend their rights in proceedings investigating the kidnapping of children.</w:t>
            </w:r>
          </w:p>
        </w:tc>
        <w:tc>
          <w:tcPr>
            <w:tcW w:w="2098" w:type="dxa"/>
            <w:tcBorders>
              <w:top w:val="single" w:sz="4" w:space="0" w:color="auto"/>
              <w:left w:val="single" w:sz="4" w:space="0" w:color="auto"/>
              <w:bottom w:val="single" w:sz="4" w:space="0" w:color="auto"/>
              <w:right w:val="single" w:sz="4" w:space="0" w:color="auto"/>
            </w:tcBorders>
            <w:vAlign w:val="center"/>
          </w:tcPr>
          <w:p w14:paraId="4B80A746" w14:textId="77777777" w:rsidR="00F14821" w:rsidRPr="007175E2" w:rsidRDefault="00F14821" w:rsidP="00F024F0">
            <w:pPr>
              <w:spacing w:after="0" w:line="240" w:lineRule="auto"/>
              <w:jc w:val="center"/>
              <w:rPr>
                <w:rFonts w:ascii="Cambria" w:hAnsi="Cambria"/>
                <w:b/>
                <w:color w:val="000000"/>
              </w:rPr>
            </w:pPr>
            <w:r w:rsidRPr="007175E2">
              <w:rPr>
                <w:rFonts w:ascii="Cambria" w:hAnsi="Cambria"/>
                <w:b/>
                <w:color w:val="000000"/>
              </w:rPr>
              <w:t>Total</w:t>
            </w:r>
            <w:r w:rsidRPr="007175E2">
              <w:rPr>
                <w:rFonts w:ascii="Cambria" w:hAnsi="Cambria"/>
                <w:b/>
                <w:color w:val="000000"/>
                <w:vertAlign w:val="superscript"/>
              </w:rPr>
              <w:footnoteReference w:id="2"/>
            </w:r>
          </w:p>
          <w:p w14:paraId="219DFAEE" w14:textId="77777777" w:rsidR="00F14821" w:rsidRPr="007175E2" w:rsidRDefault="00F14821" w:rsidP="00F024F0">
            <w:pPr>
              <w:spacing w:after="0" w:line="240" w:lineRule="auto"/>
              <w:jc w:val="center"/>
              <w:rPr>
                <w:rFonts w:ascii="Cambria" w:eastAsia="Batang" w:hAnsi="Cambria"/>
                <w:b/>
                <w:color w:val="000000"/>
              </w:rPr>
            </w:pPr>
          </w:p>
        </w:tc>
      </w:tr>
      <w:tr w:rsidR="00C17E67" w:rsidRPr="007175E2" w14:paraId="7ECB79DD" w14:textId="77777777" w:rsidTr="00C17E67">
        <w:trPr>
          <w:trHeight w:val="608"/>
        </w:trPr>
        <w:tc>
          <w:tcPr>
            <w:tcW w:w="7258" w:type="dxa"/>
            <w:tcBorders>
              <w:top w:val="single" w:sz="4" w:space="0" w:color="auto"/>
              <w:left w:val="single" w:sz="4" w:space="0" w:color="auto"/>
              <w:bottom w:val="single" w:sz="4" w:space="0" w:color="auto"/>
              <w:right w:val="single" w:sz="4" w:space="0" w:color="auto"/>
            </w:tcBorders>
            <w:vAlign w:val="center"/>
          </w:tcPr>
          <w:p w14:paraId="3617BCC4" w14:textId="0DB6A125" w:rsidR="00F14821" w:rsidRPr="007175E2" w:rsidRDefault="00F14821" w:rsidP="00F024F0">
            <w:pPr>
              <w:tabs>
                <w:tab w:val="decimal" w:pos="744"/>
              </w:tabs>
              <w:spacing w:after="0" w:line="240" w:lineRule="auto"/>
              <w:ind w:right="72"/>
              <w:jc w:val="both"/>
              <w:rPr>
                <w:rFonts w:ascii="Cambria" w:eastAsia="Batang" w:hAnsi="Cambria" w:cs="Calibri Light"/>
                <w:color w:val="000000"/>
              </w:rPr>
            </w:pPr>
            <w:r w:rsidRPr="007175E2">
              <w:rPr>
                <w:rFonts w:ascii="Cambria" w:hAnsi="Cambria"/>
                <w:color w:val="000000"/>
              </w:rPr>
              <w:t xml:space="preserve">b. The National Executive Branch of the Argentine Republic agrees to adopt, within a reasonable </w:t>
            </w:r>
            <w:r w:rsidR="000667A7" w:rsidRPr="007175E2">
              <w:rPr>
                <w:rFonts w:ascii="Cambria" w:hAnsi="Cambria"/>
                <w:color w:val="000000"/>
              </w:rPr>
              <w:t>period</w:t>
            </w:r>
            <w:r w:rsidRPr="007175E2">
              <w:rPr>
                <w:rFonts w:ascii="Cambria" w:hAnsi="Cambria"/>
                <w:color w:val="000000"/>
              </w:rPr>
              <w:t>, the measures necessary to optimize and expand on the implementation of Resolution No. 1229/09 of the Ministry of Justice, Security, and Human Rights.</w:t>
            </w:r>
          </w:p>
        </w:tc>
        <w:tc>
          <w:tcPr>
            <w:tcW w:w="2098" w:type="dxa"/>
            <w:tcBorders>
              <w:top w:val="single" w:sz="4" w:space="0" w:color="auto"/>
              <w:left w:val="single" w:sz="4" w:space="0" w:color="auto"/>
              <w:bottom w:val="single" w:sz="4" w:space="0" w:color="auto"/>
              <w:right w:val="single" w:sz="4" w:space="0" w:color="auto"/>
            </w:tcBorders>
            <w:vAlign w:val="center"/>
          </w:tcPr>
          <w:p w14:paraId="47B17B14" w14:textId="77777777" w:rsidR="00F14821" w:rsidRPr="007175E2" w:rsidRDefault="00F14821" w:rsidP="00F024F0">
            <w:pPr>
              <w:spacing w:after="0" w:line="240" w:lineRule="auto"/>
              <w:jc w:val="center"/>
              <w:rPr>
                <w:rFonts w:ascii="Cambria" w:eastAsia="Batang" w:hAnsi="Cambria"/>
                <w:b/>
                <w:color w:val="000000"/>
              </w:rPr>
            </w:pPr>
            <w:r w:rsidRPr="007175E2">
              <w:rPr>
                <w:rFonts w:ascii="Cambria" w:hAnsi="Cambria"/>
                <w:b/>
                <w:color w:val="000000"/>
              </w:rPr>
              <w:t>Total</w:t>
            </w:r>
            <w:r w:rsidRPr="007175E2">
              <w:rPr>
                <w:rFonts w:ascii="Cambria" w:hAnsi="Cambria"/>
                <w:b/>
                <w:color w:val="000000"/>
                <w:vertAlign w:val="superscript"/>
              </w:rPr>
              <w:footnoteReference w:id="3"/>
            </w:r>
          </w:p>
        </w:tc>
      </w:tr>
      <w:tr w:rsidR="00C17E67" w:rsidRPr="007175E2" w14:paraId="5219759A" w14:textId="77777777" w:rsidTr="00C17E67">
        <w:trPr>
          <w:trHeight w:val="608"/>
        </w:trPr>
        <w:tc>
          <w:tcPr>
            <w:tcW w:w="7258" w:type="dxa"/>
            <w:tcBorders>
              <w:top w:val="single" w:sz="4" w:space="0" w:color="auto"/>
              <w:left w:val="single" w:sz="4" w:space="0" w:color="auto"/>
              <w:bottom w:val="single" w:sz="4" w:space="0" w:color="auto"/>
              <w:right w:val="single" w:sz="4" w:space="0" w:color="auto"/>
            </w:tcBorders>
            <w:vAlign w:val="center"/>
          </w:tcPr>
          <w:p w14:paraId="5F0F1E0D" w14:textId="77777777" w:rsidR="00F14821" w:rsidRPr="007175E2" w:rsidRDefault="00F14821" w:rsidP="00F024F0">
            <w:pPr>
              <w:spacing w:after="0" w:line="240" w:lineRule="auto"/>
              <w:ind w:right="72"/>
              <w:jc w:val="both"/>
              <w:rPr>
                <w:rFonts w:ascii="Cambria" w:eastAsia="Batang" w:hAnsi="Cambria" w:cs="Calibri Light"/>
                <w:color w:val="000000"/>
              </w:rPr>
            </w:pPr>
            <w:r w:rsidRPr="007175E2">
              <w:rPr>
                <w:rFonts w:ascii="Cambria" w:hAnsi="Cambria"/>
                <w:color w:val="000000"/>
              </w:rPr>
              <w:t>c. The National Executive Branch of the Argentine Republic agrees to work on adopting measures to optimize the use of the power conferred upon it by Art. 27 of Law No. 24.946 (Organic Law of the Attorney General’s Office) in order to propose that the Attorney General: 1) issue general instructions to prosecutors urging them to be present at residential searches conducted in cases in which the kidnapping of children is being investigated; and 2) design and execute a Special Investigation Plan on the kidnapping of children during the military dictatorship in order to optimize the resolution of cases, providing special prosecutors for the purpose in jurisdictions where the number of cases being processed justifies this.</w:t>
            </w:r>
          </w:p>
        </w:tc>
        <w:tc>
          <w:tcPr>
            <w:tcW w:w="2098" w:type="dxa"/>
            <w:tcBorders>
              <w:top w:val="single" w:sz="4" w:space="0" w:color="auto"/>
              <w:left w:val="single" w:sz="4" w:space="0" w:color="auto"/>
              <w:bottom w:val="single" w:sz="4" w:space="0" w:color="auto"/>
              <w:right w:val="single" w:sz="4" w:space="0" w:color="auto"/>
            </w:tcBorders>
            <w:vAlign w:val="center"/>
          </w:tcPr>
          <w:p w14:paraId="6200C1D8" w14:textId="77777777" w:rsidR="00F14821" w:rsidRPr="007175E2" w:rsidRDefault="00F14821" w:rsidP="00F024F0">
            <w:pPr>
              <w:spacing w:after="0" w:line="240" w:lineRule="auto"/>
              <w:jc w:val="center"/>
              <w:rPr>
                <w:rFonts w:ascii="Cambria" w:eastAsia="Batang" w:hAnsi="Cambria"/>
                <w:b/>
                <w:color w:val="000000"/>
              </w:rPr>
            </w:pPr>
            <w:r w:rsidRPr="007175E2">
              <w:rPr>
                <w:rFonts w:ascii="Cambria" w:hAnsi="Cambria"/>
                <w:b/>
                <w:color w:val="000000"/>
              </w:rPr>
              <w:t>Total</w:t>
            </w:r>
            <w:r w:rsidRPr="007175E2">
              <w:rPr>
                <w:rFonts w:ascii="Cambria" w:hAnsi="Cambria"/>
                <w:b/>
                <w:color w:val="000000"/>
                <w:vertAlign w:val="superscript"/>
              </w:rPr>
              <w:footnoteReference w:id="4"/>
            </w:r>
          </w:p>
        </w:tc>
      </w:tr>
      <w:tr w:rsidR="00C56464" w:rsidRPr="007175E2" w14:paraId="593121C7" w14:textId="77777777" w:rsidTr="00C56464">
        <w:trPr>
          <w:trHeight w:val="314"/>
        </w:trPr>
        <w:tc>
          <w:tcPr>
            <w:tcW w:w="9356" w:type="dxa"/>
            <w:gridSpan w:val="2"/>
            <w:tcBorders>
              <w:top w:val="single" w:sz="4" w:space="0" w:color="auto"/>
              <w:left w:val="single" w:sz="4" w:space="0" w:color="auto"/>
              <w:bottom w:val="single" w:sz="4" w:space="0" w:color="auto"/>
              <w:right w:val="single" w:sz="4" w:space="0" w:color="auto"/>
            </w:tcBorders>
            <w:vAlign w:val="center"/>
          </w:tcPr>
          <w:p w14:paraId="35C171A2" w14:textId="77777777" w:rsidR="00C56464" w:rsidRPr="007175E2" w:rsidRDefault="00C56464" w:rsidP="00C56464">
            <w:pPr>
              <w:spacing w:after="0" w:line="240" w:lineRule="auto"/>
              <w:rPr>
                <w:rFonts w:ascii="Cambria" w:hAnsi="Cambria"/>
                <w:b/>
                <w:color w:val="000000"/>
              </w:rPr>
            </w:pPr>
            <w:r w:rsidRPr="007175E2">
              <w:rPr>
                <w:rFonts w:ascii="Cambria" w:hAnsi="Cambria"/>
                <w:color w:val="000000"/>
              </w:rPr>
              <w:t xml:space="preserve">2.3. </w:t>
            </w:r>
            <w:r w:rsidRPr="007175E2">
              <w:rPr>
                <w:rFonts w:ascii="Cambria" w:hAnsi="Cambria"/>
                <w:color w:val="000000"/>
              </w:rPr>
              <w:tab/>
              <w:t>On the training of judicial actors</w:t>
            </w:r>
          </w:p>
        </w:tc>
      </w:tr>
      <w:tr w:rsidR="000B3203" w:rsidRPr="007175E2" w14:paraId="685297D1" w14:textId="77777777" w:rsidTr="00DA557D">
        <w:trPr>
          <w:trHeight w:val="608"/>
        </w:trPr>
        <w:tc>
          <w:tcPr>
            <w:tcW w:w="7258" w:type="dxa"/>
            <w:tcBorders>
              <w:top w:val="single" w:sz="4" w:space="0" w:color="auto"/>
              <w:left w:val="single" w:sz="4" w:space="0" w:color="auto"/>
              <w:bottom w:val="single" w:sz="4" w:space="0" w:color="auto"/>
              <w:right w:val="single" w:sz="4" w:space="0" w:color="auto"/>
            </w:tcBorders>
          </w:tcPr>
          <w:p w14:paraId="4CE9A589" w14:textId="77777777" w:rsidR="000B3203" w:rsidRPr="007175E2" w:rsidRDefault="000B3203" w:rsidP="000B3203">
            <w:pPr>
              <w:spacing w:after="0" w:line="240" w:lineRule="auto"/>
              <w:ind w:right="72"/>
              <w:jc w:val="both"/>
              <w:rPr>
                <w:rFonts w:ascii="Cambria" w:hAnsi="Cambria"/>
                <w:color w:val="000000"/>
              </w:rPr>
            </w:pPr>
            <w:r w:rsidRPr="007175E2">
              <w:rPr>
                <w:rFonts w:ascii="Cambria" w:hAnsi="Cambria"/>
                <w:color w:val="000000"/>
              </w:rPr>
              <w:lastRenderedPageBreak/>
              <w:t>a. The National Executive Branch of the Argentine Republic agrees to work on adopting measures associated with the use of the power conferred on it by Art. 27 of Law No. 24.946 (Organic Law of the Attorney General’s Office) in order to propose that the Attorney General provide training for prosecutors and other employees of the Attorney General’s Office in the appropriate handling of the victims of these serious crimes.</w:t>
            </w:r>
          </w:p>
        </w:tc>
        <w:tc>
          <w:tcPr>
            <w:tcW w:w="2098" w:type="dxa"/>
            <w:tcBorders>
              <w:top w:val="single" w:sz="4" w:space="0" w:color="auto"/>
              <w:left w:val="single" w:sz="4" w:space="0" w:color="auto"/>
              <w:bottom w:val="single" w:sz="4" w:space="0" w:color="auto"/>
              <w:right w:val="single" w:sz="4" w:space="0" w:color="auto"/>
            </w:tcBorders>
            <w:vAlign w:val="center"/>
          </w:tcPr>
          <w:p w14:paraId="3A80553B" w14:textId="77777777" w:rsidR="000B3203" w:rsidRPr="007175E2" w:rsidRDefault="000B3203" w:rsidP="000B3203">
            <w:pPr>
              <w:spacing w:after="0" w:line="240" w:lineRule="auto"/>
              <w:jc w:val="center"/>
              <w:rPr>
                <w:rFonts w:ascii="Cambria" w:hAnsi="Cambria"/>
                <w:b/>
                <w:color w:val="000000"/>
              </w:rPr>
            </w:pPr>
            <w:r w:rsidRPr="007175E2">
              <w:rPr>
                <w:rFonts w:ascii="Cambria" w:hAnsi="Cambria"/>
                <w:b/>
                <w:color w:val="000000"/>
              </w:rPr>
              <w:t>Total</w:t>
            </w:r>
            <w:r w:rsidRPr="007175E2">
              <w:rPr>
                <w:rStyle w:val="FootnoteReference"/>
                <w:rFonts w:ascii="Cambria" w:hAnsi="Cambria"/>
                <w:color w:val="000000"/>
              </w:rPr>
              <w:footnoteReference w:id="5"/>
            </w:r>
          </w:p>
        </w:tc>
      </w:tr>
      <w:tr w:rsidR="000B3203" w:rsidRPr="007175E2" w14:paraId="2DD1F5F9" w14:textId="77777777" w:rsidTr="00A54880">
        <w:trPr>
          <w:trHeight w:val="608"/>
        </w:trPr>
        <w:tc>
          <w:tcPr>
            <w:tcW w:w="7258" w:type="dxa"/>
            <w:tcBorders>
              <w:top w:val="single" w:sz="4" w:space="0" w:color="auto"/>
              <w:left w:val="single" w:sz="4" w:space="0" w:color="auto"/>
              <w:bottom w:val="single" w:sz="4" w:space="0" w:color="auto"/>
              <w:right w:val="single" w:sz="4" w:space="0" w:color="auto"/>
            </w:tcBorders>
          </w:tcPr>
          <w:p w14:paraId="43970F88" w14:textId="77777777" w:rsidR="000B3203" w:rsidRPr="007175E2" w:rsidRDefault="000B3203" w:rsidP="000B3203">
            <w:pPr>
              <w:spacing w:after="0" w:line="240" w:lineRule="auto"/>
              <w:ind w:right="72"/>
              <w:jc w:val="both"/>
              <w:rPr>
                <w:rFonts w:ascii="Cambria" w:hAnsi="Cambria"/>
                <w:color w:val="000000"/>
              </w:rPr>
            </w:pPr>
            <w:r w:rsidRPr="007175E2">
              <w:rPr>
                <w:rFonts w:ascii="Cambria" w:hAnsi="Cambria"/>
                <w:color w:val="000000"/>
              </w:rPr>
              <w:t>b. The National Executive Branch of the Argentine Republic agrees to urge the Council of the Judiciary of the Nation to plan training courses for judges, functionaries, and employees of the Judicial Branch in the appropriate handling of the victims of these serious crimes (see. Art. 7(11) of Law No. 24.937, o.t. Art. 3 of Law No. 26.080).</w:t>
            </w:r>
          </w:p>
        </w:tc>
        <w:tc>
          <w:tcPr>
            <w:tcW w:w="2098" w:type="dxa"/>
            <w:tcBorders>
              <w:top w:val="single" w:sz="4" w:space="0" w:color="auto"/>
              <w:left w:val="single" w:sz="4" w:space="0" w:color="auto"/>
              <w:bottom w:val="single" w:sz="4" w:space="0" w:color="auto"/>
              <w:right w:val="single" w:sz="4" w:space="0" w:color="auto"/>
            </w:tcBorders>
            <w:vAlign w:val="center"/>
          </w:tcPr>
          <w:p w14:paraId="153BAFBF" w14:textId="77777777" w:rsidR="000B3203" w:rsidRPr="007175E2" w:rsidRDefault="000B3203" w:rsidP="000B3203">
            <w:pPr>
              <w:spacing w:after="0" w:line="240" w:lineRule="auto"/>
              <w:jc w:val="center"/>
              <w:rPr>
                <w:rFonts w:ascii="Cambria" w:hAnsi="Cambria"/>
                <w:b/>
                <w:color w:val="000000"/>
              </w:rPr>
            </w:pPr>
            <w:r w:rsidRPr="007175E2">
              <w:rPr>
                <w:rFonts w:ascii="Cambria" w:hAnsi="Cambria"/>
                <w:b/>
                <w:color w:val="000000"/>
              </w:rPr>
              <w:t>Total</w:t>
            </w:r>
            <w:r w:rsidRPr="007175E2">
              <w:rPr>
                <w:rStyle w:val="FootnoteReference"/>
                <w:rFonts w:ascii="Cambria" w:hAnsi="Cambria"/>
                <w:b/>
                <w:color w:val="000000"/>
              </w:rPr>
              <w:footnoteReference w:id="6"/>
            </w:r>
          </w:p>
        </w:tc>
      </w:tr>
      <w:tr w:rsidR="000B3203" w:rsidRPr="007175E2" w14:paraId="6F61C375" w14:textId="77777777" w:rsidTr="00C17E67">
        <w:trPr>
          <w:trHeight w:val="608"/>
        </w:trPr>
        <w:tc>
          <w:tcPr>
            <w:tcW w:w="7258" w:type="dxa"/>
            <w:tcBorders>
              <w:top w:val="single" w:sz="4" w:space="0" w:color="auto"/>
              <w:left w:val="single" w:sz="4" w:space="0" w:color="auto"/>
              <w:bottom w:val="single" w:sz="4" w:space="0" w:color="auto"/>
              <w:right w:val="single" w:sz="4" w:space="0" w:color="auto"/>
            </w:tcBorders>
            <w:vAlign w:val="center"/>
          </w:tcPr>
          <w:p w14:paraId="6AD62526" w14:textId="77777777" w:rsidR="000B3203" w:rsidRPr="007175E2" w:rsidRDefault="000B3203" w:rsidP="000B3203">
            <w:pPr>
              <w:tabs>
                <w:tab w:val="left" w:pos="360"/>
              </w:tabs>
              <w:spacing w:after="0" w:line="240" w:lineRule="auto"/>
              <w:jc w:val="both"/>
              <w:rPr>
                <w:rFonts w:ascii="Cambria" w:hAnsi="Cambria"/>
                <w:color w:val="000000"/>
              </w:rPr>
            </w:pPr>
            <w:r w:rsidRPr="007175E2">
              <w:rPr>
                <w:rFonts w:ascii="Cambria" w:hAnsi="Cambria"/>
                <w:color w:val="000000"/>
              </w:rPr>
              <w:t>2.4. Regarding the task force</w:t>
            </w:r>
          </w:p>
          <w:p w14:paraId="345C1EE3" w14:textId="77777777" w:rsidR="000B3203" w:rsidRPr="007175E2" w:rsidRDefault="000B3203" w:rsidP="000B3203">
            <w:pPr>
              <w:spacing w:after="0" w:line="240" w:lineRule="auto"/>
              <w:ind w:right="72"/>
              <w:jc w:val="both"/>
              <w:rPr>
                <w:rFonts w:ascii="Cambria" w:hAnsi="Cambria"/>
                <w:color w:val="000000"/>
              </w:rPr>
            </w:pPr>
            <w:r w:rsidRPr="007175E2">
              <w:rPr>
                <w:rFonts w:ascii="Cambria" w:hAnsi="Cambria"/>
                <w:color w:val="000000"/>
              </w:rPr>
              <w:t>a. The National Executive Branch of the Argentine Republic agrees to establish specific mechanisms to facilitate the correction of national, provincial, and municipal public and private documentation and records of anyone whose identity was changed during the military dictatorship, in order to promote the restoration of identity.</w:t>
            </w:r>
          </w:p>
        </w:tc>
        <w:tc>
          <w:tcPr>
            <w:tcW w:w="2098" w:type="dxa"/>
            <w:tcBorders>
              <w:top w:val="single" w:sz="4" w:space="0" w:color="auto"/>
              <w:left w:val="single" w:sz="4" w:space="0" w:color="auto"/>
              <w:bottom w:val="single" w:sz="4" w:space="0" w:color="auto"/>
              <w:right w:val="single" w:sz="4" w:space="0" w:color="auto"/>
            </w:tcBorders>
            <w:vAlign w:val="center"/>
          </w:tcPr>
          <w:p w14:paraId="4D19BC83" w14:textId="77777777" w:rsidR="000B3203" w:rsidRPr="007175E2" w:rsidRDefault="000B3203" w:rsidP="000B3203">
            <w:pPr>
              <w:spacing w:after="0" w:line="240" w:lineRule="auto"/>
              <w:jc w:val="center"/>
              <w:rPr>
                <w:rFonts w:ascii="Cambria" w:hAnsi="Cambria"/>
                <w:b/>
                <w:color w:val="000000"/>
              </w:rPr>
            </w:pPr>
            <w:r w:rsidRPr="007175E2">
              <w:rPr>
                <w:rFonts w:ascii="Cambria" w:hAnsi="Cambria"/>
                <w:b/>
                <w:color w:val="000000"/>
              </w:rPr>
              <w:t>Total</w:t>
            </w:r>
            <w:r w:rsidRPr="007175E2">
              <w:rPr>
                <w:rFonts w:ascii="Cambria" w:hAnsi="Cambria"/>
                <w:b/>
                <w:color w:val="000000"/>
                <w:vertAlign w:val="superscript"/>
              </w:rPr>
              <w:footnoteReference w:id="7"/>
            </w:r>
          </w:p>
        </w:tc>
      </w:tr>
      <w:tr w:rsidR="000B3203" w:rsidRPr="007175E2" w14:paraId="3FC455DF" w14:textId="77777777" w:rsidTr="00E63BB6">
        <w:trPr>
          <w:trHeight w:val="608"/>
        </w:trPr>
        <w:tc>
          <w:tcPr>
            <w:tcW w:w="7258" w:type="dxa"/>
            <w:tcBorders>
              <w:top w:val="single" w:sz="4" w:space="0" w:color="auto"/>
              <w:left w:val="single" w:sz="4" w:space="0" w:color="auto"/>
              <w:bottom w:val="single" w:sz="4" w:space="0" w:color="auto"/>
              <w:right w:val="single" w:sz="4" w:space="0" w:color="auto"/>
            </w:tcBorders>
            <w:vAlign w:val="center"/>
          </w:tcPr>
          <w:p w14:paraId="14943F7D" w14:textId="77777777" w:rsidR="000B3203" w:rsidRPr="007175E2" w:rsidRDefault="000B3203" w:rsidP="000B3203">
            <w:pPr>
              <w:spacing w:after="0" w:line="240" w:lineRule="auto"/>
              <w:ind w:right="72"/>
              <w:jc w:val="both"/>
              <w:rPr>
                <w:rFonts w:ascii="Cambria" w:hAnsi="Cambria"/>
                <w:color w:val="000000"/>
              </w:rPr>
            </w:pPr>
            <w:r w:rsidRPr="007175E2">
              <w:rPr>
                <w:rFonts w:ascii="Cambria" w:hAnsi="Cambria"/>
                <w:color w:val="000000"/>
              </w:rPr>
              <w:t>b. The parties agree to hold periodic working meetings, in the Foreign Ministry, for purposes of evaluating progress made with the measures agreed to herein.</w:t>
            </w:r>
          </w:p>
        </w:tc>
        <w:tc>
          <w:tcPr>
            <w:tcW w:w="2098" w:type="dxa"/>
            <w:vMerge w:val="restart"/>
            <w:tcBorders>
              <w:top w:val="single" w:sz="4" w:space="0" w:color="auto"/>
              <w:left w:val="single" w:sz="4" w:space="0" w:color="auto"/>
              <w:right w:val="single" w:sz="4" w:space="0" w:color="auto"/>
            </w:tcBorders>
            <w:vAlign w:val="center"/>
          </w:tcPr>
          <w:p w14:paraId="16546C1D" w14:textId="77777777" w:rsidR="000B3203" w:rsidRPr="007175E2" w:rsidRDefault="00CB7CD5" w:rsidP="000B3203">
            <w:pPr>
              <w:spacing w:after="0" w:line="240" w:lineRule="auto"/>
              <w:jc w:val="center"/>
              <w:rPr>
                <w:rFonts w:ascii="Cambria" w:hAnsi="Cambria"/>
                <w:b/>
                <w:color w:val="000000"/>
              </w:rPr>
            </w:pPr>
            <w:r w:rsidRPr="007175E2">
              <w:rPr>
                <w:rFonts w:ascii="Cambria" w:hAnsi="Cambria"/>
                <w:b/>
                <w:color w:val="000000"/>
              </w:rPr>
              <w:t>Total</w:t>
            </w:r>
            <w:r w:rsidRPr="007175E2">
              <w:rPr>
                <w:rStyle w:val="FootnoteReference"/>
                <w:rFonts w:ascii="Cambria" w:hAnsi="Cambria"/>
                <w:color w:val="000000"/>
              </w:rPr>
              <w:footnoteReference w:id="8"/>
            </w:r>
          </w:p>
        </w:tc>
      </w:tr>
      <w:tr w:rsidR="000B3203" w:rsidRPr="007175E2" w14:paraId="4DE3F12C" w14:textId="77777777" w:rsidTr="00E63BB6">
        <w:trPr>
          <w:trHeight w:val="608"/>
        </w:trPr>
        <w:tc>
          <w:tcPr>
            <w:tcW w:w="7258" w:type="dxa"/>
            <w:tcBorders>
              <w:top w:val="single" w:sz="4" w:space="0" w:color="auto"/>
              <w:left w:val="single" w:sz="4" w:space="0" w:color="auto"/>
              <w:bottom w:val="single" w:sz="4" w:space="0" w:color="auto"/>
              <w:right w:val="single" w:sz="4" w:space="0" w:color="auto"/>
            </w:tcBorders>
            <w:vAlign w:val="center"/>
          </w:tcPr>
          <w:p w14:paraId="6A1F34D6" w14:textId="77777777" w:rsidR="000B3203" w:rsidRPr="007175E2" w:rsidRDefault="000B3203" w:rsidP="000B3203">
            <w:pPr>
              <w:spacing w:after="0" w:line="240" w:lineRule="auto"/>
              <w:ind w:right="72"/>
              <w:jc w:val="both"/>
              <w:rPr>
                <w:rFonts w:ascii="Cambria" w:hAnsi="Cambria"/>
                <w:color w:val="000000"/>
              </w:rPr>
            </w:pPr>
            <w:r w:rsidRPr="007175E2">
              <w:rPr>
                <w:rFonts w:ascii="Cambria" w:hAnsi="Cambria"/>
                <w:color w:val="000000"/>
              </w:rPr>
              <w:t>c. The Government of the Argentine Republic agrees to facilitate the activities of the task force and provide it with technical support and the use of facilities as needed to develop its tasks, agreeing to report periodically to the Inter-American Commission on Human Rights.</w:t>
            </w:r>
          </w:p>
        </w:tc>
        <w:tc>
          <w:tcPr>
            <w:tcW w:w="2098" w:type="dxa"/>
            <w:vMerge/>
            <w:tcBorders>
              <w:left w:val="single" w:sz="4" w:space="0" w:color="auto"/>
              <w:bottom w:val="single" w:sz="4" w:space="0" w:color="auto"/>
              <w:right w:val="single" w:sz="4" w:space="0" w:color="auto"/>
            </w:tcBorders>
            <w:vAlign w:val="center"/>
          </w:tcPr>
          <w:p w14:paraId="4A3AD400" w14:textId="77777777" w:rsidR="000B3203" w:rsidRPr="007175E2" w:rsidRDefault="000B3203" w:rsidP="000B3203">
            <w:pPr>
              <w:spacing w:after="0" w:line="240" w:lineRule="auto"/>
              <w:jc w:val="center"/>
              <w:rPr>
                <w:rFonts w:ascii="Cambria" w:hAnsi="Cambria"/>
                <w:b/>
                <w:color w:val="000000"/>
              </w:rPr>
            </w:pPr>
          </w:p>
        </w:tc>
      </w:tr>
      <w:tr w:rsidR="00CB7CD5" w:rsidRPr="007175E2" w14:paraId="6216F96D" w14:textId="77777777" w:rsidTr="00AB3AE7">
        <w:trPr>
          <w:trHeight w:val="608"/>
        </w:trPr>
        <w:tc>
          <w:tcPr>
            <w:tcW w:w="7258" w:type="dxa"/>
            <w:tcBorders>
              <w:top w:val="single" w:sz="4" w:space="0" w:color="auto"/>
              <w:left w:val="single" w:sz="4" w:space="0" w:color="auto"/>
              <w:bottom w:val="single" w:sz="4" w:space="0" w:color="auto"/>
              <w:right w:val="single" w:sz="4" w:space="0" w:color="auto"/>
            </w:tcBorders>
          </w:tcPr>
          <w:p w14:paraId="3CA7F169" w14:textId="77777777" w:rsidR="00CB7CD5" w:rsidRPr="007175E2" w:rsidRDefault="00CB7CD5" w:rsidP="00CB7CD5">
            <w:pPr>
              <w:tabs>
                <w:tab w:val="left" w:pos="360"/>
              </w:tabs>
              <w:spacing w:after="0" w:line="240" w:lineRule="auto"/>
              <w:jc w:val="both"/>
              <w:rPr>
                <w:rFonts w:ascii="Cambria" w:hAnsi="Cambria"/>
                <w:color w:val="000000"/>
              </w:rPr>
            </w:pPr>
            <w:r w:rsidRPr="007175E2">
              <w:rPr>
                <w:rFonts w:ascii="Cambria" w:hAnsi="Cambria"/>
                <w:color w:val="000000"/>
              </w:rPr>
              <w:t>2.5. On publicity</w:t>
            </w:r>
          </w:p>
          <w:p w14:paraId="11E52D7A" w14:textId="6E12FEA1" w:rsidR="00CB7CD5" w:rsidRPr="007175E2" w:rsidRDefault="00CB7CD5" w:rsidP="00CB7CD5">
            <w:pPr>
              <w:spacing w:after="0" w:line="240" w:lineRule="auto"/>
              <w:ind w:right="72"/>
              <w:jc w:val="both"/>
              <w:rPr>
                <w:rFonts w:ascii="Cambria" w:hAnsi="Cambria"/>
                <w:color w:val="000000"/>
              </w:rPr>
            </w:pPr>
            <w:r w:rsidRPr="007175E2">
              <w:rPr>
                <w:rFonts w:ascii="Cambria" w:hAnsi="Cambria"/>
                <w:color w:val="000000"/>
              </w:rPr>
              <w:t>The Government of the Argentine Republic agrees to publicize this agreement in the Official Bulletin of the Argentine Republic and in the newspapers “Clarín,” “La Nación,” and “Página 12,” once it is approved by the Inter-American Commission on Human Rights in accordance with the provisions of Article 49 of the American Convention on Human Rights</w:t>
            </w:r>
            <w:r w:rsidR="00594A1B" w:rsidRPr="007175E2">
              <w:rPr>
                <w:rFonts w:ascii="Cambria" w:hAnsi="Cambria"/>
                <w:color w:val="000000"/>
              </w:rPr>
              <w:t>.</w:t>
            </w:r>
          </w:p>
        </w:tc>
        <w:tc>
          <w:tcPr>
            <w:tcW w:w="2098" w:type="dxa"/>
            <w:tcBorders>
              <w:top w:val="single" w:sz="4" w:space="0" w:color="auto"/>
              <w:left w:val="single" w:sz="4" w:space="0" w:color="auto"/>
              <w:bottom w:val="single" w:sz="4" w:space="0" w:color="auto"/>
              <w:right w:val="single" w:sz="4" w:space="0" w:color="auto"/>
            </w:tcBorders>
            <w:vAlign w:val="center"/>
          </w:tcPr>
          <w:p w14:paraId="200E5D1E" w14:textId="77777777" w:rsidR="00CB7CD5" w:rsidRPr="007175E2" w:rsidRDefault="00CB7CD5" w:rsidP="00CB7CD5">
            <w:pPr>
              <w:spacing w:after="0" w:line="240" w:lineRule="auto"/>
              <w:jc w:val="center"/>
              <w:rPr>
                <w:rFonts w:ascii="Cambria" w:hAnsi="Cambria"/>
                <w:b/>
                <w:color w:val="000000"/>
              </w:rPr>
            </w:pPr>
            <w:r w:rsidRPr="007175E2">
              <w:rPr>
                <w:rFonts w:ascii="Cambria" w:hAnsi="Cambria"/>
                <w:b/>
                <w:color w:val="000000"/>
              </w:rPr>
              <w:t>Total</w:t>
            </w:r>
            <w:r w:rsidRPr="007175E2">
              <w:rPr>
                <w:rFonts w:ascii="Cambria" w:hAnsi="Cambria"/>
                <w:b/>
                <w:color w:val="000000"/>
                <w:vertAlign w:val="superscript"/>
              </w:rPr>
              <w:footnoteReference w:id="9"/>
            </w:r>
          </w:p>
        </w:tc>
      </w:tr>
    </w:tbl>
    <w:p w14:paraId="266BA6E9" w14:textId="0593F0A5" w:rsidR="008521E0" w:rsidRDefault="008521E0" w:rsidP="008521E0">
      <w:pPr>
        <w:tabs>
          <w:tab w:val="left" w:pos="720"/>
        </w:tabs>
        <w:autoSpaceDE w:val="0"/>
        <w:autoSpaceDN w:val="0"/>
        <w:adjustRightInd w:val="0"/>
        <w:spacing w:after="0" w:line="240" w:lineRule="auto"/>
        <w:ind w:left="1440"/>
        <w:jc w:val="both"/>
        <w:rPr>
          <w:rFonts w:ascii="Cambria" w:eastAsia="Batang" w:hAnsi="Cambria"/>
          <w:color w:val="000000"/>
        </w:rPr>
      </w:pPr>
    </w:p>
    <w:p w14:paraId="17839960" w14:textId="77777777" w:rsidR="009D2127" w:rsidRPr="007175E2" w:rsidRDefault="009D2127" w:rsidP="008521E0">
      <w:pPr>
        <w:tabs>
          <w:tab w:val="left" w:pos="720"/>
        </w:tabs>
        <w:autoSpaceDE w:val="0"/>
        <w:autoSpaceDN w:val="0"/>
        <w:adjustRightInd w:val="0"/>
        <w:spacing w:after="0" w:line="240" w:lineRule="auto"/>
        <w:ind w:left="1440"/>
        <w:jc w:val="both"/>
        <w:rPr>
          <w:rFonts w:ascii="Cambria" w:eastAsia="Batang" w:hAnsi="Cambria"/>
          <w:color w:val="000000"/>
        </w:rPr>
      </w:pPr>
    </w:p>
    <w:p w14:paraId="0F62FF35" w14:textId="77777777" w:rsidR="008521E0" w:rsidRPr="007175E2" w:rsidRDefault="008521E0" w:rsidP="00372947">
      <w:pPr>
        <w:numPr>
          <w:ilvl w:val="0"/>
          <w:numId w:val="16"/>
        </w:numPr>
        <w:tabs>
          <w:tab w:val="left" w:pos="720"/>
        </w:tabs>
        <w:autoSpaceDE w:val="0"/>
        <w:autoSpaceDN w:val="0"/>
        <w:adjustRightInd w:val="0"/>
        <w:spacing w:after="0" w:line="240" w:lineRule="auto"/>
        <w:ind w:left="0" w:right="4" w:firstLine="720"/>
        <w:jc w:val="both"/>
        <w:rPr>
          <w:rFonts w:ascii="Cambria" w:eastAsia="Batang" w:hAnsi="Cambria"/>
          <w:color w:val="000000"/>
        </w:rPr>
      </w:pPr>
      <w:r w:rsidRPr="007175E2">
        <w:rPr>
          <w:rFonts w:ascii="Cambria" w:eastAsia="Batang" w:hAnsi="Cambria" w:cs="Calibri Light"/>
          <w:b/>
          <w:color w:val="000000"/>
        </w:rPr>
        <w:t xml:space="preserve">LEVEL OF COMPLIANCE OF THE CASE </w:t>
      </w:r>
    </w:p>
    <w:p w14:paraId="63E5487A" w14:textId="77777777" w:rsidR="008521E0" w:rsidRPr="007175E2" w:rsidRDefault="008521E0" w:rsidP="00372947">
      <w:pPr>
        <w:tabs>
          <w:tab w:val="left" w:pos="720"/>
        </w:tabs>
        <w:autoSpaceDE w:val="0"/>
        <w:autoSpaceDN w:val="0"/>
        <w:adjustRightInd w:val="0"/>
        <w:spacing w:after="0" w:line="240" w:lineRule="auto"/>
        <w:ind w:right="4" w:firstLine="720"/>
        <w:jc w:val="both"/>
        <w:rPr>
          <w:rFonts w:ascii="Cambria" w:eastAsia="Batang" w:hAnsi="Cambria"/>
          <w:color w:val="000000"/>
        </w:rPr>
      </w:pPr>
    </w:p>
    <w:p w14:paraId="6E1A614F" w14:textId="6646F027" w:rsidR="008521E0" w:rsidRPr="00372947" w:rsidRDefault="008521E0" w:rsidP="00372947">
      <w:pPr>
        <w:pStyle w:val="ListParagraph"/>
        <w:numPr>
          <w:ilvl w:val="0"/>
          <w:numId w:val="40"/>
        </w:numPr>
        <w:autoSpaceDE w:val="0"/>
        <w:autoSpaceDN w:val="0"/>
        <w:adjustRightInd w:val="0"/>
        <w:spacing w:after="0" w:line="240" w:lineRule="auto"/>
        <w:ind w:left="0" w:right="4" w:firstLine="720"/>
        <w:jc w:val="both"/>
        <w:rPr>
          <w:rFonts w:ascii="Cambria" w:eastAsia="Batang" w:hAnsi="Cambria" w:cs="Calibri Light"/>
          <w:b/>
          <w:color w:val="080808"/>
        </w:rPr>
      </w:pPr>
      <w:r w:rsidRPr="00372947">
        <w:rPr>
          <w:rFonts w:ascii="Cambria" w:hAnsi="Cambria"/>
          <w:color w:val="080808"/>
        </w:rPr>
        <w:t>The Commission declared full compliance with the case and the ceasing of the follow-up of the friendly settlement agreement in the 2021 Annual Report.</w:t>
      </w:r>
    </w:p>
    <w:p w14:paraId="0514109C" w14:textId="5BBCB861" w:rsidR="008521E0" w:rsidRDefault="008521E0" w:rsidP="00372947">
      <w:pPr>
        <w:autoSpaceDE w:val="0"/>
        <w:autoSpaceDN w:val="0"/>
        <w:adjustRightInd w:val="0"/>
        <w:spacing w:after="0" w:line="240" w:lineRule="auto"/>
        <w:ind w:right="4" w:firstLine="720"/>
        <w:jc w:val="both"/>
        <w:rPr>
          <w:rFonts w:ascii="Cambria" w:eastAsia="Batang" w:hAnsi="Cambria" w:cs="Calibri Light"/>
          <w:b/>
          <w:color w:val="080808"/>
          <w:highlight w:val="cyan"/>
        </w:rPr>
      </w:pPr>
    </w:p>
    <w:p w14:paraId="71FA47BD" w14:textId="299F0A15" w:rsidR="00372947" w:rsidRDefault="00372947" w:rsidP="00372947">
      <w:pPr>
        <w:autoSpaceDE w:val="0"/>
        <w:autoSpaceDN w:val="0"/>
        <w:adjustRightInd w:val="0"/>
        <w:spacing w:after="0" w:line="240" w:lineRule="auto"/>
        <w:ind w:right="4" w:firstLine="720"/>
        <w:jc w:val="both"/>
        <w:rPr>
          <w:rFonts w:ascii="Cambria" w:eastAsia="Batang" w:hAnsi="Cambria" w:cs="Calibri Light"/>
          <w:b/>
          <w:color w:val="080808"/>
          <w:highlight w:val="cyan"/>
        </w:rPr>
      </w:pPr>
    </w:p>
    <w:p w14:paraId="55529B2C" w14:textId="5D17D521" w:rsidR="00372947" w:rsidRDefault="00372947" w:rsidP="00372947">
      <w:pPr>
        <w:autoSpaceDE w:val="0"/>
        <w:autoSpaceDN w:val="0"/>
        <w:adjustRightInd w:val="0"/>
        <w:spacing w:after="0" w:line="240" w:lineRule="auto"/>
        <w:ind w:right="4" w:firstLine="720"/>
        <w:jc w:val="both"/>
        <w:rPr>
          <w:rFonts w:ascii="Cambria" w:eastAsia="Batang" w:hAnsi="Cambria" w:cs="Calibri Light"/>
          <w:b/>
          <w:color w:val="080808"/>
          <w:highlight w:val="cyan"/>
        </w:rPr>
      </w:pPr>
    </w:p>
    <w:p w14:paraId="76582D46" w14:textId="2FCDD1EA" w:rsidR="00372947" w:rsidRDefault="00372947" w:rsidP="00372947">
      <w:pPr>
        <w:autoSpaceDE w:val="0"/>
        <w:autoSpaceDN w:val="0"/>
        <w:adjustRightInd w:val="0"/>
        <w:spacing w:after="0" w:line="240" w:lineRule="auto"/>
        <w:ind w:right="4" w:firstLine="720"/>
        <w:jc w:val="both"/>
        <w:rPr>
          <w:rFonts w:ascii="Cambria" w:eastAsia="Batang" w:hAnsi="Cambria" w:cs="Calibri Light"/>
          <w:b/>
          <w:color w:val="080808"/>
          <w:highlight w:val="cyan"/>
        </w:rPr>
      </w:pPr>
    </w:p>
    <w:p w14:paraId="05FABEAD" w14:textId="77777777" w:rsidR="00372947" w:rsidRPr="007175E2" w:rsidRDefault="00372947" w:rsidP="00372947">
      <w:pPr>
        <w:autoSpaceDE w:val="0"/>
        <w:autoSpaceDN w:val="0"/>
        <w:adjustRightInd w:val="0"/>
        <w:spacing w:after="0" w:line="240" w:lineRule="auto"/>
        <w:ind w:right="4" w:firstLine="720"/>
        <w:jc w:val="both"/>
        <w:rPr>
          <w:rFonts w:ascii="Cambria" w:eastAsia="Batang" w:hAnsi="Cambria" w:cs="Calibri Light"/>
          <w:b/>
          <w:color w:val="080808"/>
          <w:highlight w:val="cyan"/>
        </w:rPr>
      </w:pPr>
    </w:p>
    <w:p w14:paraId="6DCDDC5A" w14:textId="49812B42" w:rsidR="008521E0" w:rsidRPr="00372947" w:rsidRDefault="008521E0" w:rsidP="00372947">
      <w:pPr>
        <w:pStyle w:val="ListParagraph"/>
        <w:numPr>
          <w:ilvl w:val="0"/>
          <w:numId w:val="16"/>
        </w:numPr>
        <w:spacing w:after="0" w:line="240" w:lineRule="auto"/>
        <w:ind w:left="0" w:right="4" w:firstLine="720"/>
        <w:jc w:val="both"/>
        <w:rPr>
          <w:rFonts w:ascii="Cambria" w:eastAsia="Batang" w:hAnsi="Cambria" w:cs="Calibri Light"/>
          <w:b/>
          <w:color w:val="000000"/>
        </w:rPr>
      </w:pPr>
      <w:r w:rsidRPr="00372947">
        <w:rPr>
          <w:rFonts w:ascii="Cambria" w:eastAsia="Batang" w:hAnsi="Cambria" w:cs="Calibri Light"/>
          <w:b/>
          <w:color w:val="000000"/>
        </w:rPr>
        <w:t xml:space="preserve">INDIVIDUAL AND STRUCTURAL OUTCOMES OF THE CASE </w:t>
      </w:r>
    </w:p>
    <w:p w14:paraId="0D8B64EE" w14:textId="77777777" w:rsidR="008521E0" w:rsidRPr="007175E2" w:rsidRDefault="008521E0" w:rsidP="00893661">
      <w:pPr>
        <w:spacing w:after="0" w:line="240" w:lineRule="auto"/>
        <w:ind w:left="1440" w:right="4"/>
        <w:contextualSpacing/>
        <w:jc w:val="both"/>
        <w:rPr>
          <w:rFonts w:ascii="Cambria" w:eastAsia="Batang" w:hAnsi="Cambria" w:cs="Calibri Light"/>
          <w:b/>
          <w:color w:val="000000"/>
        </w:rPr>
      </w:pPr>
    </w:p>
    <w:p w14:paraId="37ABB83B" w14:textId="77777777" w:rsidR="008521E0" w:rsidRPr="007175E2" w:rsidRDefault="008521E0" w:rsidP="00637AFB">
      <w:pPr>
        <w:numPr>
          <w:ilvl w:val="0"/>
          <w:numId w:val="18"/>
        </w:numPr>
        <w:spacing w:after="0" w:line="240" w:lineRule="auto"/>
        <w:ind w:left="0" w:right="4" w:firstLine="709"/>
        <w:contextualSpacing/>
        <w:jc w:val="both"/>
        <w:rPr>
          <w:rFonts w:ascii="Cambria" w:eastAsia="Batang" w:hAnsi="Cambria" w:cs="Calibri Light"/>
          <w:b/>
          <w:color w:val="000000"/>
        </w:rPr>
      </w:pPr>
      <w:r w:rsidRPr="007175E2">
        <w:rPr>
          <w:rFonts w:ascii="Cambria" w:eastAsia="Batang" w:hAnsi="Cambria" w:cs="Calibri Light"/>
          <w:b/>
          <w:color w:val="000000"/>
        </w:rPr>
        <w:t xml:space="preserve">Individual outcomes of the case </w:t>
      </w:r>
    </w:p>
    <w:p w14:paraId="51C78AFF" w14:textId="77777777" w:rsidR="008521E0" w:rsidRPr="007175E2" w:rsidRDefault="008521E0" w:rsidP="00893661">
      <w:pPr>
        <w:pStyle w:val="ListParagraph"/>
        <w:spacing w:after="0" w:line="240" w:lineRule="auto"/>
        <w:ind w:right="4"/>
        <w:jc w:val="both"/>
        <w:rPr>
          <w:rFonts w:ascii="Cambria" w:hAnsi="Cambria" w:cs="Calibri Light"/>
          <w:b/>
          <w:color w:val="000000"/>
        </w:rPr>
      </w:pPr>
    </w:p>
    <w:p w14:paraId="6F2C3120" w14:textId="77777777" w:rsidR="008521E0" w:rsidRPr="007175E2" w:rsidRDefault="008521E0" w:rsidP="00637AFB">
      <w:pPr>
        <w:numPr>
          <w:ilvl w:val="0"/>
          <w:numId w:val="17"/>
        </w:numPr>
        <w:spacing w:after="0" w:line="240" w:lineRule="auto"/>
        <w:ind w:left="1440" w:right="4" w:hanging="720"/>
        <w:rPr>
          <w:rFonts w:ascii="Cambria" w:hAnsi="Cambria"/>
          <w:color w:val="000000"/>
        </w:rPr>
      </w:pPr>
      <w:r w:rsidRPr="007175E2">
        <w:rPr>
          <w:rFonts w:ascii="Cambria" w:hAnsi="Cambria"/>
          <w:color w:val="000000"/>
        </w:rPr>
        <w:t>The State acknowledged the facts of the case, as agreed.</w:t>
      </w:r>
    </w:p>
    <w:p w14:paraId="0D658653" w14:textId="77777777" w:rsidR="008521E0" w:rsidRPr="007175E2" w:rsidRDefault="008521E0" w:rsidP="00637AFB">
      <w:pPr>
        <w:numPr>
          <w:ilvl w:val="0"/>
          <w:numId w:val="17"/>
        </w:numPr>
        <w:spacing w:after="0" w:line="240" w:lineRule="auto"/>
        <w:ind w:left="1440" w:right="4" w:hanging="720"/>
        <w:rPr>
          <w:rFonts w:ascii="Cambria" w:hAnsi="Cambria"/>
          <w:color w:val="000000"/>
        </w:rPr>
      </w:pPr>
      <w:r w:rsidRPr="007175E2">
        <w:rPr>
          <w:rFonts w:ascii="Cambria" w:hAnsi="Cambria"/>
          <w:color w:val="000000"/>
        </w:rPr>
        <w:t xml:space="preserve">The State published the friendly settlement agreement, as agreed. </w:t>
      </w:r>
    </w:p>
    <w:p w14:paraId="0ADECEA2" w14:textId="77777777" w:rsidR="008521E0" w:rsidRPr="007175E2" w:rsidRDefault="008521E0" w:rsidP="00893661">
      <w:pPr>
        <w:spacing w:after="0" w:line="240" w:lineRule="auto"/>
        <w:ind w:right="4"/>
        <w:contextualSpacing/>
        <w:jc w:val="both"/>
        <w:rPr>
          <w:rFonts w:ascii="Cambria" w:eastAsia="Batang" w:hAnsi="Cambria"/>
          <w:color w:val="000000"/>
        </w:rPr>
      </w:pPr>
    </w:p>
    <w:p w14:paraId="20A9E456" w14:textId="77777777" w:rsidR="008521E0" w:rsidRPr="007175E2" w:rsidRDefault="008521E0" w:rsidP="00637AFB">
      <w:pPr>
        <w:pStyle w:val="ListParagraph"/>
        <w:numPr>
          <w:ilvl w:val="0"/>
          <w:numId w:val="18"/>
        </w:numPr>
        <w:tabs>
          <w:tab w:val="left" w:pos="1440"/>
        </w:tabs>
        <w:spacing w:after="0" w:line="240" w:lineRule="auto"/>
        <w:ind w:left="0" w:right="4" w:firstLine="709"/>
        <w:rPr>
          <w:rFonts w:ascii="Cambria" w:hAnsi="Cambria" w:cs="Calibri Light"/>
          <w:b/>
          <w:color w:val="000000"/>
        </w:rPr>
      </w:pPr>
      <w:r w:rsidRPr="007175E2">
        <w:rPr>
          <w:rFonts w:ascii="Cambria" w:hAnsi="Cambria"/>
          <w:b/>
          <w:color w:val="000000"/>
        </w:rPr>
        <w:t>Structural outcomes of the case</w:t>
      </w:r>
    </w:p>
    <w:p w14:paraId="30A975A9" w14:textId="77777777" w:rsidR="008521E0" w:rsidRPr="007175E2" w:rsidRDefault="008521E0" w:rsidP="00893661">
      <w:pPr>
        <w:pStyle w:val="ListParagraph"/>
        <w:tabs>
          <w:tab w:val="left" w:pos="1440"/>
        </w:tabs>
        <w:spacing w:after="0" w:line="240" w:lineRule="auto"/>
        <w:ind w:left="1560" w:right="4" w:hanging="851"/>
        <w:jc w:val="both"/>
        <w:rPr>
          <w:rFonts w:ascii="Cambria" w:hAnsi="Cambria" w:cs="Calibri Light"/>
          <w:b/>
          <w:color w:val="000000"/>
        </w:rPr>
      </w:pPr>
    </w:p>
    <w:p w14:paraId="701393A2" w14:textId="77777777" w:rsidR="008521E0" w:rsidRPr="007175E2" w:rsidRDefault="008521E0" w:rsidP="00637AFB">
      <w:pPr>
        <w:pStyle w:val="NoSpacing"/>
        <w:numPr>
          <w:ilvl w:val="0"/>
          <w:numId w:val="17"/>
        </w:numPr>
        <w:tabs>
          <w:tab w:val="left" w:pos="450"/>
        </w:tabs>
        <w:ind w:left="1560" w:right="4" w:hanging="851"/>
        <w:jc w:val="both"/>
        <w:rPr>
          <w:rFonts w:ascii="Cambria" w:hAnsi="Cambria"/>
          <w:color w:val="000000"/>
        </w:rPr>
      </w:pPr>
      <w:r w:rsidRPr="007175E2">
        <w:rPr>
          <w:rFonts w:ascii="Cambria" w:hAnsi="Cambria"/>
          <w:color w:val="000000"/>
        </w:rPr>
        <w:t>The "Unit for documentary regularization of victims of human rights violations in the context of terrorist actions of the State” was created</w:t>
      </w:r>
      <w:r w:rsidR="003419CC" w:rsidRPr="007175E2">
        <w:rPr>
          <w:rFonts w:ascii="Cambria" w:hAnsi="Cambria"/>
          <w:color w:val="000000"/>
        </w:rPr>
        <w:t>.</w:t>
      </w:r>
    </w:p>
    <w:p w14:paraId="3A139361" w14:textId="77777777" w:rsidR="008521E0" w:rsidRPr="007175E2" w:rsidRDefault="008521E0" w:rsidP="00637AFB">
      <w:pPr>
        <w:pStyle w:val="NoSpacing"/>
        <w:numPr>
          <w:ilvl w:val="0"/>
          <w:numId w:val="17"/>
        </w:numPr>
        <w:tabs>
          <w:tab w:val="left" w:pos="450"/>
        </w:tabs>
        <w:ind w:left="1560" w:right="4" w:hanging="851"/>
        <w:jc w:val="both"/>
        <w:rPr>
          <w:rFonts w:ascii="Cambria" w:hAnsi="Cambria"/>
          <w:color w:val="000000"/>
        </w:rPr>
      </w:pPr>
      <w:r w:rsidRPr="007175E2">
        <w:rPr>
          <w:rFonts w:ascii="Cambria" w:hAnsi="Cambria"/>
          <w:color w:val="000000"/>
        </w:rPr>
        <w:t>Procedures were created to obtain DNA samples to identify grandchildren abducted during the dictatorship</w:t>
      </w:r>
      <w:r w:rsidR="003419CC" w:rsidRPr="007175E2">
        <w:rPr>
          <w:rFonts w:ascii="Cambria" w:hAnsi="Cambria"/>
          <w:color w:val="000000"/>
        </w:rPr>
        <w:t>.</w:t>
      </w:r>
    </w:p>
    <w:p w14:paraId="1C09CEE0" w14:textId="77777777" w:rsidR="008521E0" w:rsidRPr="007175E2" w:rsidRDefault="008521E0" w:rsidP="00637AFB">
      <w:pPr>
        <w:pStyle w:val="NoSpacing"/>
        <w:numPr>
          <w:ilvl w:val="0"/>
          <w:numId w:val="17"/>
        </w:numPr>
        <w:tabs>
          <w:tab w:val="left" w:pos="450"/>
        </w:tabs>
        <w:ind w:left="1560" w:right="4" w:hanging="851"/>
        <w:jc w:val="both"/>
        <w:rPr>
          <w:rFonts w:ascii="Cambria" w:hAnsi="Cambria"/>
          <w:color w:val="000000"/>
        </w:rPr>
      </w:pPr>
      <w:r w:rsidRPr="007175E2">
        <w:rPr>
          <w:rFonts w:ascii="Cambria" w:hAnsi="Cambria"/>
          <w:color w:val="000000"/>
        </w:rPr>
        <w:t>The “Judicial Assistance Group” was set up under Resolution No. 1229-1209 of the Ministry of Justice and Human Rights</w:t>
      </w:r>
      <w:r w:rsidR="003419CC" w:rsidRPr="007175E2">
        <w:rPr>
          <w:rFonts w:ascii="Cambria" w:hAnsi="Cambria"/>
          <w:color w:val="000000"/>
        </w:rPr>
        <w:t>.</w:t>
      </w:r>
    </w:p>
    <w:p w14:paraId="3F522AA9" w14:textId="77777777" w:rsidR="008521E0" w:rsidRPr="00A51DE7" w:rsidRDefault="008521E0" w:rsidP="00637AFB">
      <w:pPr>
        <w:pStyle w:val="NoSpacing"/>
        <w:numPr>
          <w:ilvl w:val="0"/>
          <w:numId w:val="17"/>
        </w:numPr>
        <w:tabs>
          <w:tab w:val="left" w:pos="450"/>
        </w:tabs>
        <w:ind w:left="1560" w:right="4" w:hanging="851"/>
        <w:jc w:val="both"/>
        <w:rPr>
          <w:rFonts w:ascii="Cambria" w:hAnsi="Cambria"/>
          <w:color w:val="000000"/>
        </w:rPr>
      </w:pPr>
      <w:r w:rsidRPr="007175E2">
        <w:rPr>
          <w:rFonts w:ascii="Cambria" w:hAnsi="Cambria"/>
          <w:color w:val="000000"/>
        </w:rPr>
        <w:t xml:space="preserve">Implementation of Resolution No. 1229/09 of the Ministry of Justice, Security, and Human Rights </w:t>
      </w:r>
      <w:r w:rsidRPr="00A51DE7">
        <w:rPr>
          <w:rFonts w:ascii="Cambria" w:hAnsi="Cambria"/>
          <w:color w:val="000000"/>
        </w:rPr>
        <w:t>was optimized and expanded</w:t>
      </w:r>
      <w:r w:rsidR="003419CC" w:rsidRPr="00A51DE7">
        <w:rPr>
          <w:rFonts w:ascii="Cambria" w:hAnsi="Cambria"/>
          <w:color w:val="000000"/>
        </w:rPr>
        <w:t>.</w:t>
      </w:r>
    </w:p>
    <w:p w14:paraId="4E3B7394" w14:textId="77777777" w:rsidR="008521E0" w:rsidRPr="00A51DE7" w:rsidRDefault="008521E0" w:rsidP="00637AFB">
      <w:pPr>
        <w:pStyle w:val="Default"/>
        <w:numPr>
          <w:ilvl w:val="0"/>
          <w:numId w:val="17"/>
        </w:numPr>
        <w:ind w:left="1560" w:right="4" w:hanging="851"/>
        <w:jc w:val="both"/>
        <w:rPr>
          <w:rFonts w:cs="Times New Roman"/>
          <w:sz w:val="22"/>
          <w:szCs w:val="22"/>
        </w:rPr>
      </w:pPr>
      <w:r w:rsidRPr="00A51DE7">
        <w:rPr>
          <w:sz w:val="22"/>
          <w:szCs w:val="22"/>
        </w:rPr>
        <w:t>A protocol was adopted for addressing cases involving child abduction during State terrorism</w:t>
      </w:r>
      <w:r w:rsidR="003419CC" w:rsidRPr="00A51DE7">
        <w:rPr>
          <w:sz w:val="22"/>
          <w:szCs w:val="22"/>
        </w:rPr>
        <w:t>.</w:t>
      </w:r>
    </w:p>
    <w:p w14:paraId="59CDDAF7" w14:textId="77777777" w:rsidR="008521E0" w:rsidRPr="00A51DE7" w:rsidRDefault="008521E0" w:rsidP="00637AFB">
      <w:pPr>
        <w:pStyle w:val="Default"/>
        <w:numPr>
          <w:ilvl w:val="0"/>
          <w:numId w:val="17"/>
        </w:numPr>
        <w:ind w:left="1560" w:right="4" w:hanging="851"/>
        <w:jc w:val="both"/>
        <w:rPr>
          <w:rFonts w:cs="Times New Roman"/>
          <w:sz w:val="22"/>
          <w:szCs w:val="22"/>
        </w:rPr>
      </w:pPr>
      <w:r w:rsidRPr="00A51DE7">
        <w:rPr>
          <w:sz w:val="22"/>
          <w:szCs w:val="22"/>
        </w:rPr>
        <w:t>The "Dr. Fernando Ulloa” Center to Assist Victims of Human Rights Violations was established by the Secretariat for Human Rights of the Ministry of Justice and Human Rights of the Nation. It prepared a "Protocol for handling victims - witnesses in connection with judicial proceedings," written for judges, officials, and justice system operators involved in the judicial handling of witnesses and victims of State terrorism, as a guide to avoiding the revictimization of victims - witnesses</w:t>
      </w:r>
      <w:r w:rsidR="003419CC" w:rsidRPr="00A51DE7">
        <w:rPr>
          <w:sz w:val="22"/>
          <w:szCs w:val="22"/>
        </w:rPr>
        <w:t>.</w:t>
      </w:r>
    </w:p>
    <w:p w14:paraId="49562CA4" w14:textId="77777777" w:rsidR="008521E0" w:rsidRPr="00A51DE7" w:rsidRDefault="008521E0" w:rsidP="00637AFB">
      <w:pPr>
        <w:pStyle w:val="Default"/>
        <w:numPr>
          <w:ilvl w:val="0"/>
          <w:numId w:val="17"/>
        </w:numPr>
        <w:ind w:left="1560" w:right="4" w:hanging="851"/>
        <w:jc w:val="both"/>
        <w:rPr>
          <w:rFonts w:cs="Times New Roman"/>
          <w:sz w:val="22"/>
          <w:szCs w:val="22"/>
        </w:rPr>
      </w:pPr>
      <w:r w:rsidRPr="00A51DE7">
        <w:rPr>
          <w:sz w:val="22"/>
          <w:szCs w:val="22"/>
        </w:rPr>
        <w:t>The Prosecutor General of the Nation approved a course designed by the above-mentioned Specialized Unit on the investigation of crimes of abduction of children during State terrorism</w:t>
      </w:r>
      <w:r w:rsidR="003419CC" w:rsidRPr="00A51DE7">
        <w:rPr>
          <w:sz w:val="22"/>
          <w:szCs w:val="22"/>
        </w:rPr>
        <w:t>.</w:t>
      </w:r>
    </w:p>
    <w:p w14:paraId="09FB7389" w14:textId="77777777" w:rsidR="008521E0" w:rsidRPr="00A51DE7" w:rsidRDefault="008521E0" w:rsidP="00637AFB">
      <w:pPr>
        <w:pStyle w:val="NoSpacing"/>
        <w:numPr>
          <w:ilvl w:val="0"/>
          <w:numId w:val="17"/>
        </w:numPr>
        <w:tabs>
          <w:tab w:val="left" w:pos="450"/>
        </w:tabs>
        <w:ind w:left="1560" w:right="4" w:hanging="851"/>
        <w:jc w:val="both"/>
        <w:rPr>
          <w:rFonts w:ascii="Cambria" w:hAnsi="Cambria"/>
          <w:color w:val="000000"/>
        </w:rPr>
      </w:pPr>
      <w:r w:rsidRPr="00A51DE7">
        <w:rPr>
          <w:rFonts w:ascii="Cambria" w:hAnsi="Cambria"/>
          <w:color w:val="000000"/>
        </w:rPr>
        <w:t>Training courses were conducted for government officials</w:t>
      </w:r>
      <w:r w:rsidR="003419CC" w:rsidRPr="00A51DE7">
        <w:rPr>
          <w:rFonts w:ascii="Cambria" w:hAnsi="Cambria"/>
          <w:color w:val="000000"/>
        </w:rPr>
        <w:t>.</w:t>
      </w:r>
    </w:p>
    <w:p w14:paraId="0E8C0E16" w14:textId="76942267" w:rsidR="008521E0" w:rsidRPr="00A51DE7" w:rsidRDefault="008521E0" w:rsidP="00637AFB">
      <w:pPr>
        <w:pStyle w:val="NoSpacing"/>
        <w:numPr>
          <w:ilvl w:val="0"/>
          <w:numId w:val="17"/>
        </w:numPr>
        <w:tabs>
          <w:tab w:val="left" w:pos="450"/>
        </w:tabs>
        <w:ind w:left="1560" w:right="4" w:hanging="851"/>
        <w:jc w:val="both"/>
        <w:rPr>
          <w:rFonts w:ascii="Cambria" w:hAnsi="Cambria"/>
          <w:color w:val="000000"/>
        </w:rPr>
      </w:pPr>
      <w:r w:rsidRPr="00A51DE7">
        <w:rPr>
          <w:rFonts w:ascii="Cambria" w:hAnsi="Cambria"/>
          <w:color w:val="000000"/>
        </w:rPr>
        <w:t xml:space="preserve">Specific mechanisms were established to facilitate the correction of national, provincial, and municipal public and private documents and records relating any person whose identity was substituted during the military dictatorship, </w:t>
      </w:r>
      <w:r w:rsidR="001834F6" w:rsidRPr="00A51DE7">
        <w:rPr>
          <w:rFonts w:ascii="Cambria" w:hAnsi="Cambria"/>
          <w:color w:val="000000"/>
        </w:rPr>
        <w:t>to</w:t>
      </w:r>
      <w:r w:rsidRPr="00A51DE7">
        <w:rPr>
          <w:rFonts w:ascii="Cambria" w:hAnsi="Cambria"/>
          <w:color w:val="000000"/>
        </w:rPr>
        <w:t xml:space="preserve"> assist the restitution of identity process.</w:t>
      </w:r>
    </w:p>
    <w:p w14:paraId="2E052820" w14:textId="77777777" w:rsidR="008521E0" w:rsidRPr="00A51DE7" w:rsidRDefault="008521E0" w:rsidP="00637AFB">
      <w:pPr>
        <w:numPr>
          <w:ilvl w:val="0"/>
          <w:numId w:val="17"/>
        </w:numPr>
        <w:tabs>
          <w:tab w:val="left" w:pos="450"/>
        </w:tabs>
        <w:spacing w:after="0" w:line="240" w:lineRule="auto"/>
        <w:ind w:left="1560" w:right="4" w:hanging="851"/>
        <w:jc w:val="both"/>
        <w:rPr>
          <w:rFonts w:ascii="Cambria" w:hAnsi="Cambria"/>
          <w:color w:val="000000"/>
        </w:rPr>
      </w:pPr>
      <w:r w:rsidRPr="00A51DE7">
        <w:rPr>
          <w:rFonts w:ascii="Cambria" w:hAnsi="Cambria"/>
          <w:color w:val="000000"/>
        </w:rPr>
        <w:t xml:space="preserve">The State set up a working group with the participation of the petitioners, representatives of the </w:t>
      </w:r>
      <w:r w:rsidRPr="00A51DE7">
        <w:rPr>
          <w:rFonts w:ascii="Cambria" w:hAnsi="Cambria" w:cs="Calibri Light"/>
          <w:color w:val="000000"/>
        </w:rPr>
        <w:t>National Council of the Judiciary, and the Secretariat for Human Rights</w:t>
      </w:r>
      <w:r w:rsidRPr="00A51DE7">
        <w:rPr>
          <w:rFonts w:ascii="Cambria" w:hAnsi="Cambria"/>
          <w:color w:val="000000"/>
        </w:rPr>
        <w:t xml:space="preserve">, as agreed to in the FSA. </w:t>
      </w:r>
    </w:p>
    <w:p w14:paraId="57B0FEDE" w14:textId="78C4CC57" w:rsidR="008521E0" w:rsidRPr="00A51DE7" w:rsidRDefault="008521E0" w:rsidP="00F95C15">
      <w:pPr>
        <w:numPr>
          <w:ilvl w:val="0"/>
          <w:numId w:val="17"/>
        </w:numPr>
        <w:tabs>
          <w:tab w:val="left" w:pos="450"/>
        </w:tabs>
        <w:autoSpaceDE w:val="0"/>
        <w:autoSpaceDN w:val="0"/>
        <w:adjustRightInd w:val="0"/>
        <w:spacing w:after="0" w:line="240" w:lineRule="auto"/>
        <w:ind w:left="1560" w:right="4" w:hanging="851"/>
        <w:jc w:val="both"/>
        <w:rPr>
          <w:rFonts w:ascii="Cambria" w:eastAsia="Batang" w:hAnsi="Cambria" w:cs="Calibri Light"/>
          <w:b/>
          <w:color w:val="080808"/>
        </w:rPr>
      </w:pPr>
      <w:r w:rsidRPr="00A51DE7">
        <w:rPr>
          <w:rFonts w:ascii="Cambria" w:hAnsi="Cambria"/>
          <w:color w:val="000000"/>
          <w:lang w:val="en"/>
        </w:rPr>
        <w:t xml:space="preserve">The course </w:t>
      </w:r>
      <w:r w:rsidRPr="00A51DE7">
        <w:rPr>
          <w:rFonts w:ascii="Cambria" w:hAnsi="Cambria"/>
          <w:i/>
          <w:color w:val="000000"/>
          <w:lang w:val="en"/>
        </w:rPr>
        <w:t xml:space="preserve">"Investigation in cases of child abduction during State terrorism" </w:t>
      </w:r>
      <w:r w:rsidRPr="00A51DE7">
        <w:rPr>
          <w:rFonts w:ascii="Cambria" w:hAnsi="Cambria"/>
          <w:iCs/>
          <w:color w:val="000000"/>
          <w:lang w:val="en"/>
        </w:rPr>
        <w:t>of the Law School of the Judiciary Council was inaugurated</w:t>
      </w:r>
      <w:r w:rsidR="00F7589F" w:rsidRPr="00A51DE7">
        <w:rPr>
          <w:rFonts w:ascii="Cambria" w:hAnsi="Cambria"/>
          <w:iCs/>
          <w:color w:val="000000"/>
          <w:lang w:val="en"/>
        </w:rPr>
        <w:t>.</w:t>
      </w:r>
    </w:p>
    <w:sectPr w:rsidR="008521E0" w:rsidRPr="00A51DE7" w:rsidSect="00A51DE7">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B74A4" w14:textId="77777777" w:rsidR="00CE480B" w:rsidRDefault="00CE480B" w:rsidP="00A343FF">
      <w:pPr>
        <w:spacing w:after="0" w:line="240" w:lineRule="auto"/>
      </w:pPr>
      <w:r>
        <w:separator/>
      </w:r>
    </w:p>
  </w:endnote>
  <w:endnote w:type="continuationSeparator" w:id="0">
    <w:p w14:paraId="6715A27F" w14:textId="77777777" w:rsidR="00CE480B" w:rsidRDefault="00CE480B" w:rsidP="00A34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7F71F" w14:textId="77777777" w:rsidR="00F74974" w:rsidRDefault="00F749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43703" w14:textId="77777777" w:rsidR="00A61B5E" w:rsidRPr="00A61B5E" w:rsidRDefault="00A61B5E">
    <w:pPr>
      <w:pStyle w:val="Footer"/>
      <w:jc w:val="center"/>
      <w:rPr>
        <w:color w:val="404040"/>
        <w:sz w:val="16"/>
        <w:szCs w:val="16"/>
      </w:rPr>
    </w:pPr>
    <w:r w:rsidRPr="00A61B5E">
      <w:rPr>
        <w:color w:val="404040"/>
        <w:sz w:val="16"/>
        <w:szCs w:val="16"/>
      </w:rPr>
      <w:fldChar w:fldCharType="begin"/>
    </w:r>
    <w:r w:rsidRPr="00A61B5E">
      <w:rPr>
        <w:color w:val="404040"/>
        <w:sz w:val="16"/>
        <w:szCs w:val="16"/>
      </w:rPr>
      <w:instrText xml:space="preserve"> PAGE   \* MERGEFORMAT </w:instrText>
    </w:r>
    <w:r w:rsidRPr="00A61B5E">
      <w:rPr>
        <w:color w:val="404040"/>
        <w:sz w:val="16"/>
        <w:szCs w:val="16"/>
      </w:rPr>
      <w:fldChar w:fldCharType="separate"/>
    </w:r>
    <w:r w:rsidR="00F74974">
      <w:rPr>
        <w:noProof/>
        <w:color w:val="404040"/>
        <w:sz w:val="16"/>
        <w:szCs w:val="16"/>
      </w:rPr>
      <w:t>2</w:t>
    </w:r>
    <w:r w:rsidRPr="00A61B5E">
      <w:rPr>
        <w:noProof/>
        <w:color w:val="404040"/>
        <w:sz w:val="16"/>
        <w:szCs w:val="16"/>
      </w:rPr>
      <w:fldChar w:fldCharType="end"/>
    </w:r>
  </w:p>
  <w:p w14:paraId="242F45FC" w14:textId="77777777" w:rsidR="00F66FEE" w:rsidRDefault="00F66FEE" w:rsidP="008550EF">
    <w:pPr>
      <w:pStyle w:val="Footer"/>
      <w:spacing w:line="360" w:lineRule="auto"/>
      <w:jc w:val="center"/>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BF5ED" w14:textId="77777777" w:rsidR="008F2248" w:rsidRDefault="001170B8" w:rsidP="008F2248">
    <w:pPr>
      <w:pStyle w:val="Footer"/>
      <w:spacing w:line="360" w:lineRule="auto"/>
    </w:pPr>
    <w:r>
      <w:rPr>
        <w:noProof/>
      </w:rPr>
      <w:pict w14:anchorId="7DFD246B">
        <v:rect id="_x0000_i1027" alt="" style="width:441.9pt;height:.05pt;mso-width-percent:0;mso-height-percent:0;mso-width-percent:0;mso-height-percent:0" o:hralign="center" o:hrstd="t" o:hr="t" fillcolor="#a0a0a0" stroked="f"/>
      </w:pict>
    </w:r>
  </w:p>
  <w:p w14:paraId="6EC67A5C" w14:textId="77777777" w:rsidR="008F2248" w:rsidRDefault="00AB253B" w:rsidP="006E2BD8">
    <w:pPr>
      <w:pStyle w:val="Footer"/>
      <w:jc w:val="center"/>
    </w:pPr>
    <w:r>
      <w:rPr>
        <w:noProof/>
      </w:rPr>
      <w:drawing>
        <wp:inline distT="0" distB="0" distL="0" distR="0" wp14:anchorId="6DBA9108" wp14:editId="295ADEE9">
          <wp:extent cx="5235575" cy="324485"/>
          <wp:effectExtent l="0" t="0" r="0" b="0"/>
          <wp:docPr id="8" name="Imagen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5575" cy="32448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7B5E2" w14:textId="77777777" w:rsidR="00CE480B" w:rsidRDefault="00CE480B" w:rsidP="00A343FF">
      <w:pPr>
        <w:spacing w:after="0" w:line="240" w:lineRule="auto"/>
      </w:pPr>
      <w:r>
        <w:separator/>
      </w:r>
    </w:p>
  </w:footnote>
  <w:footnote w:type="continuationSeparator" w:id="0">
    <w:p w14:paraId="79C18D5F" w14:textId="77777777" w:rsidR="00CE480B" w:rsidRDefault="00CE480B" w:rsidP="00A343FF">
      <w:pPr>
        <w:spacing w:after="0" w:line="240" w:lineRule="auto"/>
      </w:pPr>
      <w:r>
        <w:continuationSeparator/>
      </w:r>
    </w:p>
  </w:footnote>
  <w:footnote w:id="1">
    <w:p w14:paraId="5F0FCF53" w14:textId="77777777" w:rsidR="00F14821" w:rsidRPr="00417964" w:rsidRDefault="00F14821" w:rsidP="007175E2">
      <w:pPr>
        <w:pStyle w:val="FootnoteText"/>
        <w:tabs>
          <w:tab w:val="left" w:pos="180"/>
        </w:tabs>
        <w:ind w:right="-448" w:firstLine="720"/>
        <w:contextualSpacing/>
        <w:jc w:val="both"/>
        <w:rPr>
          <w:rFonts w:ascii="Cambria" w:hAnsi="Cambria"/>
          <w:color w:val="000000"/>
          <w:sz w:val="16"/>
          <w:szCs w:val="16"/>
          <w:lang w:val="es-CO"/>
        </w:rPr>
      </w:pPr>
      <w:r w:rsidRPr="007175E2">
        <w:rPr>
          <w:rStyle w:val="FootnoteReference"/>
          <w:rFonts w:ascii="Cambria" w:hAnsi="Cambria"/>
          <w:color w:val="000000"/>
          <w:sz w:val="16"/>
          <w:szCs w:val="16"/>
        </w:rPr>
        <w:footnoteRef/>
      </w:r>
      <w:r w:rsidRPr="007175E2">
        <w:rPr>
          <w:rStyle w:val="FootnoteReference"/>
          <w:rFonts w:ascii="Cambria" w:hAnsi="Cambria"/>
          <w:color w:val="000000"/>
          <w:sz w:val="16"/>
          <w:szCs w:val="16"/>
        </w:rPr>
        <w:t xml:space="preserve"> </w:t>
      </w:r>
      <w:r w:rsidRPr="007175E2">
        <w:rPr>
          <w:rFonts w:ascii="Cambria" w:hAnsi="Cambria"/>
          <w:color w:val="000000"/>
          <w:sz w:val="16"/>
          <w:szCs w:val="16"/>
        </w:rPr>
        <w:t xml:space="preserve">IACHR, Report N° 160/10, Petition 242-03. Friendly settlement. </w:t>
      </w:r>
      <w:r w:rsidRPr="00417964">
        <w:rPr>
          <w:rFonts w:ascii="Cambria" w:hAnsi="Cambria"/>
          <w:color w:val="000000"/>
          <w:sz w:val="16"/>
          <w:szCs w:val="16"/>
          <w:lang w:val="es-CO"/>
        </w:rPr>
        <w:t>Inocencia Luca de Pegoraro et al. Argentina. Adopted on November 1, 2010.</w:t>
      </w:r>
    </w:p>
  </w:footnote>
  <w:footnote w:id="2">
    <w:p w14:paraId="7C919C3C" w14:textId="77777777" w:rsidR="00F14821" w:rsidRPr="00417964" w:rsidRDefault="00F14821" w:rsidP="007175E2">
      <w:pPr>
        <w:pStyle w:val="FootnoteText"/>
        <w:tabs>
          <w:tab w:val="left" w:pos="180"/>
        </w:tabs>
        <w:ind w:right="-448" w:firstLine="720"/>
        <w:contextualSpacing/>
        <w:jc w:val="both"/>
        <w:rPr>
          <w:rFonts w:ascii="Cambria" w:hAnsi="Cambria"/>
          <w:color w:val="000000"/>
          <w:sz w:val="16"/>
          <w:szCs w:val="16"/>
          <w:lang w:val="es-CO"/>
        </w:rPr>
      </w:pPr>
      <w:r w:rsidRPr="007175E2">
        <w:rPr>
          <w:rStyle w:val="FootnoteReference"/>
          <w:rFonts w:ascii="Cambria" w:hAnsi="Cambria"/>
          <w:color w:val="000000"/>
          <w:sz w:val="16"/>
          <w:szCs w:val="16"/>
        </w:rPr>
        <w:footnoteRef/>
      </w:r>
      <w:r w:rsidRPr="007175E2">
        <w:rPr>
          <w:rFonts w:ascii="Cambria" w:hAnsi="Cambria"/>
          <w:color w:val="000000"/>
          <w:sz w:val="16"/>
          <w:szCs w:val="16"/>
        </w:rPr>
        <w:t xml:space="preserve"> IACHR, Report N° 160/10, Petition 242-03. Friendly settlement. </w:t>
      </w:r>
      <w:r w:rsidRPr="00417964">
        <w:rPr>
          <w:rFonts w:ascii="Cambria" w:hAnsi="Cambria"/>
          <w:color w:val="000000"/>
          <w:sz w:val="16"/>
          <w:szCs w:val="16"/>
          <w:lang w:val="es-CO"/>
        </w:rPr>
        <w:t>Inocencia Luca de Pegoraro et al. Argentina. Adopted on November 1, 2010.</w:t>
      </w:r>
    </w:p>
  </w:footnote>
  <w:footnote w:id="3">
    <w:p w14:paraId="79239803" w14:textId="77777777" w:rsidR="00F14821" w:rsidRPr="00417964" w:rsidRDefault="00F14821" w:rsidP="007175E2">
      <w:pPr>
        <w:pStyle w:val="FootnoteText"/>
        <w:tabs>
          <w:tab w:val="left" w:pos="180"/>
        </w:tabs>
        <w:ind w:right="-448" w:firstLine="720"/>
        <w:contextualSpacing/>
        <w:jc w:val="both"/>
        <w:rPr>
          <w:rFonts w:ascii="Cambria" w:hAnsi="Cambria"/>
          <w:color w:val="000000"/>
          <w:sz w:val="16"/>
          <w:szCs w:val="16"/>
          <w:lang w:val="es-CO"/>
        </w:rPr>
      </w:pPr>
      <w:r w:rsidRPr="007175E2">
        <w:rPr>
          <w:rStyle w:val="FootnoteReference"/>
          <w:rFonts w:ascii="Cambria" w:hAnsi="Cambria"/>
          <w:color w:val="000000"/>
          <w:sz w:val="16"/>
          <w:szCs w:val="16"/>
        </w:rPr>
        <w:footnoteRef/>
      </w:r>
      <w:r w:rsidRPr="007175E2">
        <w:rPr>
          <w:rFonts w:ascii="Cambria" w:hAnsi="Cambria"/>
          <w:color w:val="000000"/>
          <w:sz w:val="16"/>
          <w:szCs w:val="16"/>
        </w:rPr>
        <w:t xml:space="preserve"> IACHR, Report N° 160/10, Petition 242-03. Friendly settlement. </w:t>
      </w:r>
      <w:r w:rsidRPr="00417964">
        <w:rPr>
          <w:rFonts w:ascii="Cambria" w:hAnsi="Cambria"/>
          <w:color w:val="000000"/>
          <w:sz w:val="16"/>
          <w:szCs w:val="16"/>
          <w:lang w:val="es-CO"/>
        </w:rPr>
        <w:t>Inocencia Luca de Pegoraro et al. Argentina. Adopted on November 1, 2010.</w:t>
      </w:r>
    </w:p>
  </w:footnote>
  <w:footnote w:id="4">
    <w:p w14:paraId="658BB2C8" w14:textId="77777777" w:rsidR="00F14821" w:rsidRPr="007175E2" w:rsidRDefault="00F14821" w:rsidP="007175E2">
      <w:pPr>
        <w:pStyle w:val="FootnoteText"/>
        <w:tabs>
          <w:tab w:val="left" w:pos="180"/>
        </w:tabs>
        <w:ind w:right="-448" w:firstLine="720"/>
        <w:contextualSpacing/>
        <w:jc w:val="both"/>
        <w:rPr>
          <w:rFonts w:ascii="Cambria" w:hAnsi="Cambria"/>
          <w:color w:val="000000"/>
          <w:sz w:val="16"/>
          <w:szCs w:val="16"/>
        </w:rPr>
      </w:pPr>
      <w:r w:rsidRPr="007175E2">
        <w:rPr>
          <w:rStyle w:val="FootnoteReference"/>
          <w:rFonts w:ascii="Cambria" w:hAnsi="Cambria"/>
          <w:color w:val="000000"/>
          <w:sz w:val="16"/>
          <w:szCs w:val="16"/>
        </w:rPr>
        <w:footnoteRef/>
      </w:r>
      <w:r w:rsidRPr="007175E2">
        <w:rPr>
          <w:rFonts w:ascii="Cambria" w:hAnsi="Cambria"/>
          <w:color w:val="000000"/>
          <w:sz w:val="16"/>
          <w:szCs w:val="16"/>
        </w:rPr>
        <w:t xml:space="preserve">  See IACHR, 2016 Annual Report, Chapter II, Section D: Status of Compliance with the Recommendations of the IACHR, paras. 172-193.</w:t>
      </w:r>
    </w:p>
  </w:footnote>
  <w:footnote w:id="5">
    <w:p w14:paraId="3B56A110" w14:textId="77777777" w:rsidR="000B3203" w:rsidRPr="007175E2" w:rsidRDefault="000B3203" w:rsidP="007175E2">
      <w:pPr>
        <w:pStyle w:val="FootnoteText"/>
        <w:ind w:firstLine="720"/>
        <w:jc w:val="both"/>
        <w:rPr>
          <w:rFonts w:ascii="Cambria" w:hAnsi="Cambria"/>
          <w:color w:val="000000" w:themeColor="text1"/>
          <w:sz w:val="16"/>
          <w:szCs w:val="16"/>
        </w:rPr>
      </w:pPr>
      <w:r w:rsidRPr="007175E2">
        <w:rPr>
          <w:rStyle w:val="FootnoteReference"/>
          <w:rFonts w:ascii="Cambria" w:hAnsi="Cambria"/>
          <w:color w:val="000000" w:themeColor="text1"/>
          <w:sz w:val="16"/>
          <w:szCs w:val="16"/>
        </w:rPr>
        <w:footnoteRef/>
      </w:r>
      <w:r w:rsidRPr="007175E2">
        <w:rPr>
          <w:rFonts w:ascii="Cambria" w:hAnsi="Cambria"/>
          <w:color w:val="000000" w:themeColor="text1"/>
          <w:sz w:val="16"/>
          <w:szCs w:val="16"/>
        </w:rPr>
        <w:t xml:space="preserve"> See IACHR, 2018 Annual Report, Chapter II, Section G. Status of compliance with the recommendations issued by the IACHR in merits reports and friendly settlement agreements approved by the IACHR, Available at: </w:t>
      </w:r>
      <w:hyperlink r:id="rId1" w:history="1">
        <w:r w:rsidRPr="007175E2">
          <w:rPr>
            <w:rStyle w:val="Hyperlink"/>
            <w:rFonts w:ascii="Cambria" w:hAnsi="Cambria"/>
            <w:color w:val="000000" w:themeColor="text1"/>
            <w:sz w:val="16"/>
            <w:szCs w:val="16"/>
          </w:rPr>
          <w:t>http://www.oas.org/es/cidh/docs/anual/2018/docs/IA2018cap.2-es.pdf</w:t>
        </w:r>
      </w:hyperlink>
    </w:p>
  </w:footnote>
  <w:footnote w:id="6">
    <w:p w14:paraId="056DA6B4" w14:textId="77777777" w:rsidR="000B3203" w:rsidRPr="007175E2" w:rsidRDefault="000B3203" w:rsidP="007175E2">
      <w:pPr>
        <w:pStyle w:val="FootnoteText"/>
        <w:ind w:firstLine="709"/>
        <w:jc w:val="both"/>
        <w:rPr>
          <w:rFonts w:ascii="Cambria" w:hAnsi="Cambria"/>
          <w:color w:val="000000" w:themeColor="text1"/>
          <w:sz w:val="16"/>
          <w:szCs w:val="16"/>
        </w:rPr>
      </w:pPr>
      <w:r w:rsidRPr="007175E2">
        <w:rPr>
          <w:rStyle w:val="FootnoteReference"/>
          <w:rFonts w:ascii="Cambria" w:hAnsi="Cambria"/>
          <w:color w:val="000000" w:themeColor="text1"/>
          <w:sz w:val="16"/>
          <w:szCs w:val="16"/>
        </w:rPr>
        <w:footnoteRef/>
      </w:r>
      <w:r w:rsidRPr="007175E2">
        <w:rPr>
          <w:rFonts w:ascii="Cambria" w:hAnsi="Cambria"/>
          <w:color w:val="000000" w:themeColor="text1"/>
          <w:sz w:val="16"/>
          <w:szCs w:val="16"/>
        </w:rPr>
        <w:t xml:space="preserve"> See IACHR, Annual Report 2021, Chapter II, Section F: Progress and Setbacks in the Negotiation and Implementation of Friendly Settlement Agreements, Available at: https://www.oas.org/es/cidh/docs/anual/2021/capitulos/IA2021cap2-es.pdf.</w:t>
      </w:r>
    </w:p>
  </w:footnote>
  <w:footnote w:id="7">
    <w:p w14:paraId="5AA0EA3B" w14:textId="77777777" w:rsidR="000B3203" w:rsidRPr="007175E2" w:rsidRDefault="000B3203" w:rsidP="007175E2">
      <w:pPr>
        <w:pStyle w:val="FootnoteText"/>
        <w:tabs>
          <w:tab w:val="left" w:pos="180"/>
        </w:tabs>
        <w:ind w:right="-450" w:firstLine="720"/>
        <w:jc w:val="both"/>
        <w:rPr>
          <w:rFonts w:ascii="Cambria" w:hAnsi="Cambria"/>
          <w:color w:val="000000" w:themeColor="text1"/>
          <w:sz w:val="16"/>
          <w:szCs w:val="16"/>
          <w:lang w:val="es-US"/>
        </w:rPr>
      </w:pPr>
      <w:r w:rsidRPr="007175E2">
        <w:rPr>
          <w:rStyle w:val="FootnoteReference"/>
          <w:rFonts w:ascii="Cambria" w:hAnsi="Cambria"/>
          <w:color w:val="000000" w:themeColor="text1"/>
          <w:sz w:val="16"/>
          <w:szCs w:val="16"/>
        </w:rPr>
        <w:footnoteRef/>
      </w:r>
      <w:r w:rsidRPr="007175E2">
        <w:rPr>
          <w:rFonts w:ascii="Cambria" w:hAnsi="Cambria"/>
          <w:color w:val="000000" w:themeColor="text1"/>
          <w:sz w:val="16"/>
          <w:szCs w:val="16"/>
        </w:rPr>
        <w:t xml:space="preserve">  IACHR, Report N° 160/10, Petition 242-03. Friendly settlement. </w:t>
      </w:r>
      <w:r w:rsidRPr="007175E2">
        <w:rPr>
          <w:rFonts w:ascii="Cambria" w:hAnsi="Cambria"/>
          <w:color w:val="000000" w:themeColor="text1"/>
          <w:sz w:val="16"/>
          <w:szCs w:val="16"/>
          <w:lang w:val="es-US"/>
        </w:rPr>
        <w:t>Inocencia Luca de Pegoraro et al. Argentina. Adopted on November 1, 2010.</w:t>
      </w:r>
    </w:p>
  </w:footnote>
  <w:footnote w:id="8">
    <w:p w14:paraId="6A46C507" w14:textId="77777777" w:rsidR="00CB7CD5" w:rsidRPr="007175E2" w:rsidRDefault="00CB7CD5" w:rsidP="007175E2">
      <w:pPr>
        <w:pStyle w:val="FootnoteText"/>
        <w:ind w:firstLine="720"/>
        <w:jc w:val="both"/>
        <w:rPr>
          <w:rFonts w:ascii="Cambria" w:hAnsi="Cambria"/>
          <w:color w:val="000000" w:themeColor="text1"/>
          <w:sz w:val="16"/>
          <w:szCs w:val="16"/>
        </w:rPr>
      </w:pPr>
      <w:r w:rsidRPr="007175E2">
        <w:rPr>
          <w:rStyle w:val="FootnoteReference"/>
          <w:rFonts w:ascii="Cambria" w:hAnsi="Cambria"/>
          <w:color w:val="000000" w:themeColor="text1"/>
          <w:sz w:val="16"/>
          <w:szCs w:val="16"/>
          <w:lang w:val="en"/>
        </w:rPr>
        <w:footnoteRef/>
      </w:r>
      <w:r w:rsidRPr="007175E2">
        <w:rPr>
          <w:rFonts w:ascii="Cambria" w:hAnsi="Cambria"/>
          <w:color w:val="000000" w:themeColor="text1"/>
          <w:sz w:val="16"/>
          <w:szCs w:val="16"/>
          <w:lang w:val="en"/>
        </w:rPr>
        <w:t xml:space="preserve">See IACHR, Annual Report 2020, Chapter II, Section F. Negotiation and Implementation of Friendly Settlement Agreements. Available at:  </w:t>
      </w:r>
      <w:hyperlink r:id="rId2" w:history="1">
        <w:r w:rsidRPr="007175E2">
          <w:rPr>
            <w:rStyle w:val="Hyperlink"/>
            <w:rFonts w:ascii="Cambria" w:hAnsi="Cambria"/>
            <w:color w:val="000000" w:themeColor="text1"/>
            <w:sz w:val="16"/>
            <w:szCs w:val="16"/>
            <w:lang w:val="en"/>
          </w:rPr>
          <w:t>https://www.oas.org/es/cidh/docs/anual/2020/capitulos/IA2020cap2-es.pdf</w:t>
        </w:r>
      </w:hyperlink>
    </w:p>
  </w:footnote>
  <w:footnote w:id="9">
    <w:p w14:paraId="38019774" w14:textId="77777777" w:rsidR="00CB7CD5" w:rsidRPr="007175E2" w:rsidRDefault="00CB7CD5" w:rsidP="007175E2">
      <w:pPr>
        <w:pStyle w:val="FootnoteText"/>
        <w:tabs>
          <w:tab w:val="left" w:pos="180"/>
        </w:tabs>
        <w:ind w:right="-450" w:firstLine="720"/>
        <w:jc w:val="both"/>
        <w:rPr>
          <w:rFonts w:ascii="Cambria" w:hAnsi="Cambria"/>
          <w:color w:val="000000"/>
          <w:sz w:val="16"/>
          <w:szCs w:val="16"/>
        </w:rPr>
      </w:pPr>
      <w:r w:rsidRPr="007175E2">
        <w:rPr>
          <w:rStyle w:val="FootnoteReference"/>
          <w:rFonts w:ascii="Cambria" w:hAnsi="Cambria"/>
          <w:color w:val="000000" w:themeColor="text1"/>
          <w:sz w:val="16"/>
          <w:szCs w:val="16"/>
        </w:rPr>
        <w:footnoteRef/>
      </w:r>
      <w:r w:rsidRPr="007175E2">
        <w:rPr>
          <w:rStyle w:val="FootnoteReference"/>
          <w:rFonts w:ascii="Cambria" w:hAnsi="Cambria"/>
          <w:color w:val="000000" w:themeColor="text1"/>
          <w:sz w:val="16"/>
          <w:szCs w:val="16"/>
        </w:rPr>
        <w:t xml:space="preserve"> </w:t>
      </w:r>
      <w:r w:rsidRPr="007175E2">
        <w:rPr>
          <w:rFonts w:ascii="Cambria" w:hAnsi="Cambria"/>
          <w:color w:val="000000" w:themeColor="text1"/>
          <w:sz w:val="16"/>
          <w:szCs w:val="16"/>
        </w:rPr>
        <w:t xml:space="preserve">See IACHR, 2016 Annual Report, Chapter II, Section D. Status of compliance with Recommendations and Friendly Settlements in individual cases, paras. 172-193.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BEDE9" w14:textId="77777777" w:rsidR="00F74974" w:rsidRDefault="00F749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F101B" w14:textId="77777777" w:rsidR="00A343FF" w:rsidRDefault="00AB253B" w:rsidP="00DC7C8F">
    <w:pPr>
      <w:pStyle w:val="Header"/>
      <w:jc w:val="center"/>
    </w:pPr>
    <w:r>
      <w:rPr>
        <w:noProof/>
      </w:rPr>
      <w:drawing>
        <wp:inline distT="0" distB="0" distL="0" distR="0" wp14:anchorId="12DE2D16" wp14:editId="70746368">
          <wp:extent cx="2271395" cy="118110"/>
          <wp:effectExtent l="0" t="0" r="0"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1395" cy="118110"/>
                  </a:xfrm>
                  <a:prstGeom prst="rect">
                    <a:avLst/>
                  </a:prstGeom>
                  <a:noFill/>
                  <a:ln>
                    <a:noFill/>
                  </a:ln>
                </pic:spPr>
              </pic:pic>
            </a:graphicData>
          </a:graphic>
        </wp:inline>
      </w:drawing>
    </w:r>
  </w:p>
  <w:p w14:paraId="54B9C190" w14:textId="77777777" w:rsidR="00A343FF" w:rsidRDefault="001170B8">
    <w:pPr>
      <w:pStyle w:val="Header"/>
    </w:pPr>
    <w:r>
      <w:rPr>
        <w:noProof/>
      </w:rPr>
      <w:pict w14:anchorId="3C167262">
        <v:rect id="_x0000_i1025" alt="" style="width:441.9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9FB95" w14:textId="77777777" w:rsidR="00A61B5E" w:rsidRDefault="00AB253B" w:rsidP="00A61B5E">
    <w:pPr>
      <w:pStyle w:val="Header"/>
    </w:pPr>
    <w:r>
      <w:rPr>
        <w:noProof/>
      </w:rPr>
      <w:drawing>
        <wp:anchor distT="0" distB="0" distL="114300" distR="114300" simplePos="0" relativeHeight="251656192" behindDoc="1" locked="0" layoutInCell="1" allowOverlap="1" wp14:anchorId="59FE738C" wp14:editId="11A3A48B">
          <wp:simplePos x="0" y="0"/>
          <wp:positionH relativeFrom="column">
            <wp:posOffset>0</wp:posOffset>
          </wp:positionH>
          <wp:positionV relativeFrom="paragraph">
            <wp:posOffset>-28575</wp:posOffset>
          </wp:positionV>
          <wp:extent cx="2567940" cy="495300"/>
          <wp:effectExtent l="0" t="0" r="0" b="0"/>
          <wp:wrapThrough wrapText="bothSides">
            <wp:wrapPolygon edited="0">
              <wp:start x="0" y="0"/>
              <wp:lineTo x="0" y="21046"/>
              <wp:lineTo x="21472" y="21046"/>
              <wp:lineTo x="21472" y="0"/>
              <wp:lineTo x="0" y="0"/>
            </wp:wrapPolygon>
          </wp:wrapThrough>
          <wp:docPr id="2"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794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4DEC2470" wp14:editId="773EC283">
          <wp:simplePos x="0" y="0"/>
          <wp:positionH relativeFrom="column">
            <wp:posOffset>4019550</wp:posOffset>
          </wp:positionH>
          <wp:positionV relativeFrom="paragraph">
            <wp:posOffset>-34290</wp:posOffset>
          </wp:positionV>
          <wp:extent cx="1924050" cy="499110"/>
          <wp:effectExtent l="0" t="0" r="0" b="0"/>
          <wp:wrapThrough wrapText="bothSides">
            <wp:wrapPolygon edited="0">
              <wp:start x="1711" y="0"/>
              <wp:lineTo x="0" y="3298"/>
              <wp:lineTo x="0" y="14290"/>
              <wp:lineTo x="428" y="18137"/>
              <wp:lineTo x="1568" y="20885"/>
              <wp:lineTo x="1711" y="20885"/>
              <wp:lineTo x="3850" y="20885"/>
              <wp:lineTo x="3992" y="20885"/>
              <wp:lineTo x="5133" y="17588"/>
              <wp:lineTo x="21529" y="17588"/>
              <wp:lineTo x="21529" y="11542"/>
              <wp:lineTo x="20103" y="8794"/>
              <wp:lineTo x="20388" y="5496"/>
              <wp:lineTo x="18962" y="4397"/>
              <wp:lineTo x="3707" y="0"/>
              <wp:lineTo x="1711" y="0"/>
            </wp:wrapPolygon>
          </wp:wrapThrough>
          <wp:docPr id="3"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4050" cy="499110"/>
                  </a:xfrm>
                  <a:prstGeom prst="rect">
                    <a:avLst/>
                  </a:prstGeom>
                  <a:noFill/>
                  <a:ln>
                    <a:noFill/>
                  </a:ln>
                </pic:spPr>
              </pic:pic>
            </a:graphicData>
          </a:graphic>
          <wp14:sizeRelH relativeFrom="page">
            <wp14:pctWidth>0</wp14:pctWidth>
          </wp14:sizeRelH>
          <wp14:sizeRelV relativeFrom="page">
            <wp14:pctHeight>0</wp14:pctHeight>
          </wp14:sizeRelV>
        </wp:anchor>
      </w:drawing>
    </w:r>
    <w:r w:rsidR="00A61B5E">
      <w:tab/>
    </w:r>
    <w:r w:rsidR="00A61B5E">
      <w:tab/>
    </w:r>
  </w:p>
  <w:p w14:paraId="16B56DFB" w14:textId="77777777" w:rsidR="00F53B51" w:rsidRDefault="00F53B51" w:rsidP="00A61B5E">
    <w:pPr>
      <w:pStyle w:val="Header"/>
    </w:pPr>
  </w:p>
  <w:p w14:paraId="4948EA69" w14:textId="77777777" w:rsidR="00F53B51" w:rsidRDefault="00F53B51" w:rsidP="00A61B5E">
    <w:pPr>
      <w:pStyle w:val="Header"/>
    </w:pPr>
  </w:p>
  <w:p w14:paraId="0D5588C7" w14:textId="77777777" w:rsidR="00A61B5E" w:rsidRDefault="001170B8" w:rsidP="00A61B5E">
    <w:pPr>
      <w:pStyle w:val="Header"/>
    </w:pPr>
    <w:r>
      <w:rPr>
        <w:noProof/>
      </w:rPr>
      <w:pict w14:anchorId="3DB91606">
        <v:rect id="_x0000_i1026" alt="" style="width:441.9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67BDB"/>
    <w:multiLevelType w:val="hybridMultilevel"/>
    <w:tmpl w:val="61D47DB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6C30BBE"/>
    <w:multiLevelType w:val="hybridMultilevel"/>
    <w:tmpl w:val="BBF0671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B45238"/>
    <w:multiLevelType w:val="hybridMultilevel"/>
    <w:tmpl w:val="E132C0D0"/>
    <w:lvl w:ilvl="0" w:tplc="65526156">
      <w:start w:val="1"/>
      <w:numFmt w:val="bullet"/>
      <w:lvlText w:val=""/>
      <w:lvlJc w:val="left"/>
      <w:pPr>
        <w:ind w:left="1530" w:hanging="360"/>
      </w:pPr>
      <w:rPr>
        <w:rFonts w:ascii="Symbol" w:hAnsi="Symbol" w:hint="default"/>
        <w:color w:val="000000"/>
        <w:sz w:val="20"/>
        <w:szCs w:val="20"/>
      </w:rPr>
    </w:lvl>
    <w:lvl w:ilvl="1" w:tplc="0C0A0003">
      <w:start w:val="1"/>
      <w:numFmt w:val="bullet"/>
      <w:lvlText w:val="o"/>
      <w:lvlJc w:val="left"/>
      <w:pPr>
        <w:ind w:left="2250" w:hanging="360"/>
      </w:pPr>
      <w:rPr>
        <w:rFonts w:ascii="Courier New" w:hAnsi="Courier New" w:cs="Courier New" w:hint="default"/>
      </w:rPr>
    </w:lvl>
    <w:lvl w:ilvl="2" w:tplc="0C0A0005" w:tentative="1">
      <w:start w:val="1"/>
      <w:numFmt w:val="bullet"/>
      <w:lvlText w:val=""/>
      <w:lvlJc w:val="left"/>
      <w:pPr>
        <w:ind w:left="2970" w:hanging="360"/>
      </w:pPr>
      <w:rPr>
        <w:rFonts w:ascii="Wingdings" w:hAnsi="Wingdings" w:hint="default"/>
      </w:rPr>
    </w:lvl>
    <w:lvl w:ilvl="3" w:tplc="0C0A0001" w:tentative="1">
      <w:start w:val="1"/>
      <w:numFmt w:val="bullet"/>
      <w:lvlText w:val=""/>
      <w:lvlJc w:val="left"/>
      <w:pPr>
        <w:ind w:left="3690" w:hanging="360"/>
      </w:pPr>
      <w:rPr>
        <w:rFonts w:ascii="Symbol" w:hAnsi="Symbol" w:hint="default"/>
      </w:rPr>
    </w:lvl>
    <w:lvl w:ilvl="4" w:tplc="0C0A0003" w:tentative="1">
      <w:start w:val="1"/>
      <w:numFmt w:val="bullet"/>
      <w:lvlText w:val="o"/>
      <w:lvlJc w:val="left"/>
      <w:pPr>
        <w:ind w:left="4410" w:hanging="360"/>
      </w:pPr>
      <w:rPr>
        <w:rFonts w:ascii="Courier New" w:hAnsi="Courier New" w:cs="Courier New" w:hint="default"/>
      </w:rPr>
    </w:lvl>
    <w:lvl w:ilvl="5" w:tplc="0C0A0005" w:tentative="1">
      <w:start w:val="1"/>
      <w:numFmt w:val="bullet"/>
      <w:lvlText w:val=""/>
      <w:lvlJc w:val="left"/>
      <w:pPr>
        <w:ind w:left="5130" w:hanging="360"/>
      </w:pPr>
      <w:rPr>
        <w:rFonts w:ascii="Wingdings" w:hAnsi="Wingdings" w:hint="default"/>
      </w:rPr>
    </w:lvl>
    <w:lvl w:ilvl="6" w:tplc="0C0A0001" w:tentative="1">
      <w:start w:val="1"/>
      <w:numFmt w:val="bullet"/>
      <w:lvlText w:val=""/>
      <w:lvlJc w:val="left"/>
      <w:pPr>
        <w:ind w:left="5850" w:hanging="360"/>
      </w:pPr>
      <w:rPr>
        <w:rFonts w:ascii="Symbol" w:hAnsi="Symbol" w:hint="default"/>
      </w:rPr>
    </w:lvl>
    <w:lvl w:ilvl="7" w:tplc="0C0A0003" w:tentative="1">
      <w:start w:val="1"/>
      <w:numFmt w:val="bullet"/>
      <w:lvlText w:val="o"/>
      <w:lvlJc w:val="left"/>
      <w:pPr>
        <w:ind w:left="6570" w:hanging="360"/>
      </w:pPr>
      <w:rPr>
        <w:rFonts w:ascii="Courier New" w:hAnsi="Courier New" w:cs="Courier New" w:hint="default"/>
      </w:rPr>
    </w:lvl>
    <w:lvl w:ilvl="8" w:tplc="0C0A0005" w:tentative="1">
      <w:start w:val="1"/>
      <w:numFmt w:val="bullet"/>
      <w:lvlText w:val=""/>
      <w:lvlJc w:val="left"/>
      <w:pPr>
        <w:ind w:left="7290" w:hanging="360"/>
      </w:pPr>
      <w:rPr>
        <w:rFonts w:ascii="Wingdings" w:hAnsi="Wingdings" w:hint="default"/>
      </w:rPr>
    </w:lvl>
  </w:abstractNum>
  <w:abstractNum w:abstractNumId="3" w15:restartNumberingAfterBreak="0">
    <w:nsid w:val="13E57989"/>
    <w:multiLevelType w:val="hybridMultilevel"/>
    <w:tmpl w:val="4E486E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67C4600"/>
    <w:multiLevelType w:val="multilevel"/>
    <w:tmpl w:val="4E824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4236A5"/>
    <w:multiLevelType w:val="hybridMultilevel"/>
    <w:tmpl w:val="2F82DD5C"/>
    <w:lvl w:ilvl="0" w:tplc="4C7ECB12">
      <w:start w:val="1"/>
      <w:numFmt w:val="decimal"/>
      <w:lvlText w:val="%1)"/>
      <w:lvlJc w:val="left"/>
      <w:pPr>
        <w:ind w:left="720" w:hanging="360"/>
      </w:pPr>
      <w:rPr>
        <w:rFonts w:eastAsia="MS Mincho"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C0D445F"/>
    <w:multiLevelType w:val="hybridMultilevel"/>
    <w:tmpl w:val="4D32D53E"/>
    <w:lvl w:ilvl="0" w:tplc="F6584E7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7C14DC"/>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8312A9F"/>
    <w:multiLevelType w:val="hybridMultilevel"/>
    <w:tmpl w:val="CDE0C29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837127D"/>
    <w:multiLevelType w:val="hybridMultilevel"/>
    <w:tmpl w:val="CDE0C29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85B60A1"/>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8B27913"/>
    <w:multiLevelType w:val="hybridMultilevel"/>
    <w:tmpl w:val="D33EA58C"/>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333480"/>
    <w:multiLevelType w:val="hybridMultilevel"/>
    <w:tmpl w:val="52D07F1C"/>
    <w:lvl w:ilvl="0" w:tplc="FFFFFFFF">
      <w:start w:val="1"/>
      <w:numFmt w:val="upperRoman"/>
      <w:lvlText w:val="%1."/>
      <w:lvlJc w:val="left"/>
      <w:pPr>
        <w:ind w:left="1890" w:hanging="72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C352DCD4">
      <w:start w:val="1"/>
      <w:numFmt w:val="decimal"/>
      <w:lvlText w:val="%4."/>
      <w:lvlJc w:val="left"/>
      <w:pPr>
        <w:ind w:left="2880" w:hanging="360"/>
      </w:pPr>
      <w:rPr>
        <w:b w:val="0"/>
        <w:bCs/>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2BCA2B85"/>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C2833C9"/>
    <w:multiLevelType w:val="hybridMultilevel"/>
    <w:tmpl w:val="1E680606"/>
    <w:lvl w:ilvl="0" w:tplc="8BD876CA">
      <w:start w:val="1"/>
      <w:numFmt w:val="bullet"/>
      <w:lvlText w:val=""/>
      <w:lvlJc w:val="left"/>
      <w:pPr>
        <w:ind w:left="1440" w:hanging="360"/>
      </w:pPr>
      <w:rPr>
        <w:rFonts w:ascii="Symbol" w:hAnsi="Symbol" w:hint="default"/>
        <w:lang w:val="en-U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CC005EC"/>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EEE2BBA"/>
    <w:multiLevelType w:val="hybridMultilevel"/>
    <w:tmpl w:val="CDE0C29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1276FA0"/>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7CD7804"/>
    <w:multiLevelType w:val="hybridMultilevel"/>
    <w:tmpl w:val="084A5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4D22AE"/>
    <w:multiLevelType w:val="hybridMultilevel"/>
    <w:tmpl w:val="CDE0C29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21F5CCD"/>
    <w:multiLevelType w:val="hybridMultilevel"/>
    <w:tmpl w:val="842AE3C4"/>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49302B1"/>
    <w:multiLevelType w:val="hybridMultilevel"/>
    <w:tmpl w:val="CDE0C29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5422B71"/>
    <w:multiLevelType w:val="hybridMultilevel"/>
    <w:tmpl w:val="BD1ED690"/>
    <w:lvl w:ilvl="0" w:tplc="FFFFFFFF">
      <w:start w:val="1"/>
      <w:numFmt w:val="upperLetter"/>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3" w15:restartNumberingAfterBreak="0">
    <w:nsid w:val="46253A63"/>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02F62E1"/>
    <w:multiLevelType w:val="multilevel"/>
    <w:tmpl w:val="52D07F1C"/>
    <w:styleLink w:val="CurrentList1"/>
    <w:lvl w:ilvl="0">
      <w:start w:val="1"/>
      <w:numFmt w:val="upperRoman"/>
      <w:lvlText w:val="%1."/>
      <w:lvlJc w:val="left"/>
      <w:pPr>
        <w:ind w:left="189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112EDA"/>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3E961B8"/>
    <w:multiLevelType w:val="hybridMultilevel"/>
    <w:tmpl w:val="6C02FA7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7" w15:restartNumberingAfterBreak="0">
    <w:nsid w:val="55252B23"/>
    <w:multiLevelType w:val="hybridMultilevel"/>
    <w:tmpl w:val="5262080E"/>
    <w:lvl w:ilvl="0" w:tplc="42D8C1E4">
      <w:start w:val="1"/>
      <w:numFmt w:val="decimal"/>
      <w:lvlText w:val="%1."/>
      <w:lvlJc w:val="left"/>
      <w:pPr>
        <w:ind w:left="1080" w:hanging="360"/>
      </w:pPr>
      <w:rPr>
        <w:rFonts w:ascii="Cambria" w:hAnsi="Cambria" w:hint="default"/>
        <w:b w:val="0"/>
        <w:bCs/>
        <w:sz w:val="22"/>
        <w:szCs w:val="22"/>
      </w:rPr>
    </w:lvl>
    <w:lvl w:ilvl="1" w:tplc="2C0A0019">
      <w:start w:val="1"/>
      <w:numFmt w:val="lowerLetter"/>
      <w:lvlText w:val="%2."/>
      <w:lvlJc w:val="left"/>
      <w:pPr>
        <w:ind w:left="1800" w:hanging="360"/>
      </w:pPr>
    </w:lvl>
    <w:lvl w:ilvl="2" w:tplc="2C0A001B">
      <w:start w:val="1"/>
      <w:numFmt w:val="lowerRoman"/>
      <w:lvlText w:val="%3."/>
      <w:lvlJc w:val="right"/>
      <w:pPr>
        <w:ind w:left="2520" w:hanging="180"/>
      </w:pPr>
    </w:lvl>
    <w:lvl w:ilvl="3" w:tplc="4B9C0506">
      <w:start w:val="1"/>
      <w:numFmt w:val="decimal"/>
      <w:lvlText w:val="%4."/>
      <w:lvlJc w:val="left"/>
      <w:pPr>
        <w:ind w:left="3240" w:hanging="360"/>
      </w:pPr>
      <w:rPr>
        <w:b w:val="0"/>
        <w:bCs/>
      </w:rPr>
    </w:lvl>
    <w:lvl w:ilvl="4" w:tplc="2C0A0019">
      <w:start w:val="1"/>
      <w:numFmt w:val="lowerLetter"/>
      <w:lvlText w:val="%5."/>
      <w:lvlJc w:val="left"/>
      <w:pPr>
        <w:ind w:left="3960" w:hanging="360"/>
      </w:pPr>
    </w:lvl>
    <w:lvl w:ilvl="5" w:tplc="2C0A001B">
      <w:start w:val="1"/>
      <w:numFmt w:val="lowerRoman"/>
      <w:lvlText w:val="%6."/>
      <w:lvlJc w:val="right"/>
      <w:pPr>
        <w:ind w:left="4680" w:hanging="180"/>
      </w:pPr>
    </w:lvl>
    <w:lvl w:ilvl="6" w:tplc="64F4750E">
      <w:start w:val="1"/>
      <w:numFmt w:val="decimal"/>
      <w:lvlText w:val="%7."/>
      <w:lvlJc w:val="left"/>
      <w:pPr>
        <w:ind w:left="5400" w:hanging="360"/>
      </w:pPr>
      <w:rPr>
        <w:b w:val="0"/>
        <w:bCs/>
      </w:rPr>
    </w:lvl>
    <w:lvl w:ilvl="7" w:tplc="2C0A0019">
      <w:start w:val="1"/>
      <w:numFmt w:val="lowerLetter"/>
      <w:lvlText w:val="%8."/>
      <w:lvlJc w:val="left"/>
      <w:pPr>
        <w:ind w:left="6120" w:hanging="360"/>
      </w:pPr>
    </w:lvl>
    <w:lvl w:ilvl="8" w:tplc="2C0A001B">
      <w:start w:val="1"/>
      <w:numFmt w:val="lowerRoman"/>
      <w:lvlText w:val="%9."/>
      <w:lvlJc w:val="right"/>
      <w:pPr>
        <w:ind w:left="6840" w:hanging="180"/>
      </w:pPr>
    </w:lvl>
  </w:abstractNum>
  <w:abstractNum w:abstractNumId="28" w15:restartNumberingAfterBreak="0">
    <w:nsid w:val="5C1A141F"/>
    <w:multiLevelType w:val="hybridMultilevel"/>
    <w:tmpl w:val="BBF067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6656B3"/>
    <w:multiLevelType w:val="hybridMultilevel"/>
    <w:tmpl w:val="43E40206"/>
    <w:lvl w:ilvl="0" w:tplc="41547E1A">
      <w:start w:val="3"/>
      <w:numFmt w:val="decimal"/>
      <w:lvlText w:val="%1."/>
      <w:lvlJc w:val="left"/>
      <w:pPr>
        <w:ind w:left="720" w:hanging="360"/>
      </w:pPr>
      <w:rPr>
        <w:rFonts w:eastAsia="Calibri"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A5433B"/>
    <w:multiLevelType w:val="hybridMultilevel"/>
    <w:tmpl w:val="BBF42C0A"/>
    <w:lvl w:ilvl="0" w:tplc="08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1" w15:restartNumberingAfterBreak="0">
    <w:nsid w:val="6DE83646"/>
    <w:multiLevelType w:val="hybridMultilevel"/>
    <w:tmpl w:val="AB56968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2" w15:restartNumberingAfterBreak="0">
    <w:nsid w:val="7437226A"/>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4374125"/>
    <w:multiLevelType w:val="hybridMultilevel"/>
    <w:tmpl w:val="BD1ED690"/>
    <w:lvl w:ilvl="0" w:tplc="0C0A0015">
      <w:start w:val="1"/>
      <w:numFmt w:val="upp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4" w15:restartNumberingAfterBreak="0">
    <w:nsid w:val="7777634B"/>
    <w:multiLevelType w:val="hybridMultilevel"/>
    <w:tmpl w:val="BBF0671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B413E71"/>
    <w:multiLevelType w:val="hybridMultilevel"/>
    <w:tmpl w:val="639CBA1A"/>
    <w:lvl w:ilvl="0" w:tplc="17E875D0">
      <w:start w:val="2"/>
      <w:numFmt w:val="decimal"/>
      <w:lvlText w:val="%1."/>
      <w:lvlJc w:val="left"/>
      <w:pPr>
        <w:ind w:left="1440" w:hanging="360"/>
      </w:pPr>
      <w:rPr>
        <w:rFonts w:hint="default"/>
        <w:b w:val="0"/>
        <w:bC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6" w15:restartNumberingAfterBreak="0">
    <w:nsid w:val="7BE974E9"/>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D4E5D74"/>
    <w:multiLevelType w:val="hybridMultilevel"/>
    <w:tmpl w:val="E530F43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8" w15:restartNumberingAfterBreak="0">
    <w:nsid w:val="7D5B68B4"/>
    <w:multiLevelType w:val="hybridMultilevel"/>
    <w:tmpl w:val="660A1088"/>
    <w:lvl w:ilvl="0" w:tplc="13EC8CA0">
      <w:start w:val="1"/>
      <w:numFmt w:val="lowerLetter"/>
      <w:lvlText w:val="%1)"/>
      <w:lvlJc w:val="left"/>
      <w:pPr>
        <w:ind w:left="720" w:hanging="360"/>
      </w:pPr>
      <w:rPr>
        <w:rFonts w:eastAsia="Batang" w:cs="Calibri Light"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EC35B0D"/>
    <w:multiLevelType w:val="hybridMultilevel"/>
    <w:tmpl w:val="BD1ED690"/>
    <w:lvl w:ilvl="0" w:tplc="FFFFFFFF">
      <w:start w:val="1"/>
      <w:numFmt w:val="upperLetter"/>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num w:numId="1" w16cid:durableId="533809320">
    <w:abstractNumId w:val="11"/>
  </w:num>
  <w:num w:numId="2" w16cid:durableId="453600156">
    <w:abstractNumId w:val="28"/>
  </w:num>
  <w:num w:numId="3" w16cid:durableId="897327684">
    <w:abstractNumId w:val="18"/>
  </w:num>
  <w:num w:numId="4" w16cid:durableId="1141650489">
    <w:abstractNumId w:val="27"/>
  </w:num>
  <w:num w:numId="5" w16cid:durableId="746342540">
    <w:abstractNumId w:val="13"/>
  </w:num>
  <w:num w:numId="6" w16cid:durableId="1621692518">
    <w:abstractNumId w:val="6"/>
  </w:num>
  <w:num w:numId="7" w16cid:durableId="971790784">
    <w:abstractNumId w:val="1"/>
  </w:num>
  <w:num w:numId="8" w16cid:durableId="1387029646">
    <w:abstractNumId w:val="35"/>
  </w:num>
  <w:num w:numId="9" w16cid:durableId="1086881292">
    <w:abstractNumId w:val="7"/>
  </w:num>
  <w:num w:numId="10" w16cid:durableId="1292322756">
    <w:abstractNumId w:val="12"/>
  </w:num>
  <w:num w:numId="11" w16cid:durableId="1000500350">
    <w:abstractNumId w:val="2"/>
  </w:num>
  <w:num w:numId="12" w16cid:durableId="1706103099">
    <w:abstractNumId w:val="34"/>
  </w:num>
  <w:num w:numId="13" w16cid:durableId="1756710271">
    <w:abstractNumId w:val="20"/>
  </w:num>
  <w:num w:numId="14" w16cid:durableId="1099252676">
    <w:abstractNumId w:val="38"/>
  </w:num>
  <w:num w:numId="15" w16cid:durableId="1030109151">
    <w:abstractNumId w:val="16"/>
  </w:num>
  <w:num w:numId="16" w16cid:durableId="1722748191">
    <w:abstractNumId w:val="15"/>
  </w:num>
  <w:num w:numId="17" w16cid:durableId="351491452">
    <w:abstractNumId w:val="26"/>
  </w:num>
  <w:num w:numId="18" w16cid:durableId="1027633537">
    <w:abstractNumId w:val="9"/>
  </w:num>
  <w:num w:numId="19" w16cid:durableId="457845413">
    <w:abstractNumId w:val="25"/>
  </w:num>
  <w:num w:numId="20" w16cid:durableId="12115720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98907281">
    <w:abstractNumId w:val="19"/>
  </w:num>
  <w:num w:numId="22" w16cid:durableId="2003926928">
    <w:abstractNumId w:val="10"/>
  </w:num>
  <w:num w:numId="23" w16cid:durableId="1497725357">
    <w:abstractNumId w:val="21"/>
  </w:num>
  <w:num w:numId="24" w16cid:durableId="307248652">
    <w:abstractNumId w:val="23"/>
  </w:num>
  <w:num w:numId="25" w16cid:durableId="1985550389">
    <w:abstractNumId w:val="5"/>
  </w:num>
  <w:num w:numId="26" w16cid:durableId="1478456909">
    <w:abstractNumId w:val="8"/>
  </w:num>
  <w:num w:numId="27" w16cid:durableId="1176925587">
    <w:abstractNumId w:val="3"/>
  </w:num>
  <w:num w:numId="28" w16cid:durableId="1876766616">
    <w:abstractNumId w:val="36"/>
  </w:num>
  <w:num w:numId="29" w16cid:durableId="2142572164">
    <w:abstractNumId w:val="33"/>
  </w:num>
  <w:num w:numId="30" w16cid:durableId="571933528">
    <w:abstractNumId w:val="31"/>
  </w:num>
  <w:num w:numId="31" w16cid:durableId="1861430946">
    <w:abstractNumId w:val="14"/>
  </w:num>
  <w:num w:numId="32" w16cid:durableId="803893092">
    <w:abstractNumId w:val="17"/>
  </w:num>
  <w:num w:numId="33" w16cid:durableId="1739936026">
    <w:abstractNumId w:val="4"/>
  </w:num>
  <w:num w:numId="34" w16cid:durableId="1458915668">
    <w:abstractNumId w:val="30"/>
  </w:num>
  <w:num w:numId="35" w16cid:durableId="1599485303">
    <w:abstractNumId w:val="39"/>
  </w:num>
  <w:num w:numId="36" w16cid:durableId="1664964272">
    <w:abstractNumId w:val="37"/>
  </w:num>
  <w:num w:numId="37" w16cid:durableId="2074966919">
    <w:abstractNumId w:val="32"/>
  </w:num>
  <w:num w:numId="38" w16cid:durableId="20934263">
    <w:abstractNumId w:val="22"/>
  </w:num>
  <w:num w:numId="39" w16cid:durableId="195656616">
    <w:abstractNumId w:val="24"/>
  </w:num>
  <w:num w:numId="40" w16cid:durableId="2034571028">
    <w:abstractNumId w:val="2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val="bestFit" w:percent="222"/>
  <w:removePersonalInformation/>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2B6"/>
    <w:rsid w:val="000161DA"/>
    <w:rsid w:val="000244BA"/>
    <w:rsid w:val="00047B56"/>
    <w:rsid w:val="00054EA0"/>
    <w:rsid w:val="00062031"/>
    <w:rsid w:val="0006625E"/>
    <w:rsid w:val="000667A7"/>
    <w:rsid w:val="00074D00"/>
    <w:rsid w:val="00096079"/>
    <w:rsid w:val="000B3203"/>
    <w:rsid w:val="000B3318"/>
    <w:rsid w:val="000D32B6"/>
    <w:rsid w:val="001011E0"/>
    <w:rsid w:val="00101E3E"/>
    <w:rsid w:val="00112395"/>
    <w:rsid w:val="001170B8"/>
    <w:rsid w:val="0012586C"/>
    <w:rsid w:val="00127F17"/>
    <w:rsid w:val="001511FD"/>
    <w:rsid w:val="001541D4"/>
    <w:rsid w:val="00162518"/>
    <w:rsid w:val="001834F6"/>
    <w:rsid w:val="001B30CC"/>
    <w:rsid w:val="001C516B"/>
    <w:rsid w:val="001E3F4C"/>
    <w:rsid w:val="00215215"/>
    <w:rsid w:val="0021669C"/>
    <w:rsid w:val="00226F48"/>
    <w:rsid w:val="00240E8E"/>
    <w:rsid w:val="002547E7"/>
    <w:rsid w:val="00260836"/>
    <w:rsid w:val="00277604"/>
    <w:rsid w:val="002859A9"/>
    <w:rsid w:val="00292B52"/>
    <w:rsid w:val="00294B17"/>
    <w:rsid w:val="002A39B2"/>
    <w:rsid w:val="002D40CD"/>
    <w:rsid w:val="002E4FBC"/>
    <w:rsid w:val="002F156A"/>
    <w:rsid w:val="00324C1A"/>
    <w:rsid w:val="00335042"/>
    <w:rsid w:val="00336E78"/>
    <w:rsid w:val="003419CC"/>
    <w:rsid w:val="00343CED"/>
    <w:rsid w:val="0036283E"/>
    <w:rsid w:val="00372947"/>
    <w:rsid w:val="00385F0C"/>
    <w:rsid w:val="00393310"/>
    <w:rsid w:val="00394EEF"/>
    <w:rsid w:val="003C4836"/>
    <w:rsid w:val="003E4C2F"/>
    <w:rsid w:val="003E533F"/>
    <w:rsid w:val="003E6F57"/>
    <w:rsid w:val="003F3C6B"/>
    <w:rsid w:val="00402700"/>
    <w:rsid w:val="00417964"/>
    <w:rsid w:val="00420BB1"/>
    <w:rsid w:val="0043583A"/>
    <w:rsid w:val="004545D1"/>
    <w:rsid w:val="00470C7B"/>
    <w:rsid w:val="0047146A"/>
    <w:rsid w:val="004722BC"/>
    <w:rsid w:val="00472E04"/>
    <w:rsid w:val="0047567D"/>
    <w:rsid w:val="00477BF2"/>
    <w:rsid w:val="004B3074"/>
    <w:rsid w:val="004B7CA6"/>
    <w:rsid w:val="004C6CCF"/>
    <w:rsid w:val="004C7C99"/>
    <w:rsid w:val="004F5CA9"/>
    <w:rsid w:val="004F5F70"/>
    <w:rsid w:val="00504855"/>
    <w:rsid w:val="005145CC"/>
    <w:rsid w:val="005205B9"/>
    <w:rsid w:val="00534F2B"/>
    <w:rsid w:val="005566F5"/>
    <w:rsid w:val="005829B9"/>
    <w:rsid w:val="00594A1B"/>
    <w:rsid w:val="005A328E"/>
    <w:rsid w:val="005A4D20"/>
    <w:rsid w:val="005A5AE8"/>
    <w:rsid w:val="005A5E14"/>
    <w:rsid w:val="005B2E65"/>
    <w:rsid w:val="005C2637"/>
    <w:rsid w:val="005C414D"/>
    <w:rsid w:val="005D7F05"/>
    <w:rsid w:val="005E3720"/>
    <w:rsid w:val="005E4B03"/>
    <w:rsid w:val="005F171A"/>
    <w:rsid w:val="005F4AAA"/>
    <w:rsid w:val="0060081A"/>
    <w:rsid w:val="00604132"/>
    <w:rsid w:val="00634F89"/>
    <w:rsid w:val="00637AFB"/>
    <w:rsid w:val="00655003"/>
    <w:rsid w:val="00660EF3"/>
    <w:rsid w:val="00663A76"/>
    <w:rsid w:val="0067152B"/>
    <w:rsid w:val="00672090"/>
    <w:rsid w:val="006C2941"/>
    <w:rsid w:val="006C2B06"/>
    <w:rsid w:val="006C7308"/>
    <w:rsid w:val="006E2BD8"/>
    <w:rsid w:val="006F0429"/>
    <w:rsid w:val="0070407B"/>
    <w:rsid w:val="00705E57"/>
    <w:rsid w:val="007175E2"/>
    <w:rsid w:val="00727940"/>
    <w:rsid w:val="00730193"/>
    <w:rsid w:val="0073227E"/>
    <w:rsid w:val="00732EA4"/>
    <w:rsid w:val="007377D4"/>
    <w:rsid w:val="007B0327"/>
    <w:rsid w:val="007B3452"/>
    <w:rsid w:val="007B3D07"/>
    <w:rsid w:val="007C2CC3"/>
    <w:rsid w:val="007C351D"/>
    <w:rsid w:val="007D4C18"/>
    <w:rsid w:val="007E463E"/>
    <w:rsid w:val="007F5F4E"/>
    <w:rsid w:val="00801509"/>
    <w:rsid w:val="00802867"/>
    <w:rsid w:val="00806082"/>
    <w:rsid w:val="00807BAA"/>
    <w:rsid w:val="008145AE"/>
    <w:rsid w:val="00817E0C"/>
    <w:rsid w:val="008338E4"/>
    <w:rsid w:val="00833BA8"/>
    <w:rsid w:val="00846397"/>
    <w:rsid w:val="008521E0"/>
    <w:rsid w:val="00854914"/>
    <w:rsid w:val="008550EF"/>
    <w:rsid w:val="00893661"/>
    <w:rsid w:val="008A1CBE"/>
    <w:rsid w:val="008B1EA8"/>
    <w:rsid w:val="008B2A99"/>
    <w:rsid w:val="008B6DA8"/>
    <w:rsid w:val="008E42E1"/>
    <w:rsid w:val="008E751C"/>
    <w:rsid w:val="008F2248"/>
    <w:rsid w:val="009162E7"/>
    <w:rsid w:val="00941BE5"/>
    <w:rsid w:val="009457D8"/>
    <w:rsid w:val="0096142F"/>
    <w:rsid w:val="0096419E"/>
    <w:rsid w:val="00994458"/>
    <w:rsid w:val="009949ED"/>
    <w:rsid w:val="009B1135"/>
    <w:rsid w:val="009B219C"/>
    <w:rsid w:val="009C227B"/>
    <w:rsid w:val="009C4D87"/>
    <w:rsid w:val="009C5BE9"/>
    <w:rsid w:val="009D2127"/>
    <w:rsid w:val="009E73F0"/>
    <w:rsid w:val="009F66EA"/>
    <w:rsid w:val="00A2502C"/>
    <w:rsid w:val="00A25CA7"/>
    <w:rsid w:val="00A343FF"/>
    <w:rsid w:val="00A51DE7"/>
    <w:rsid w:val="00A61B5E"/>
    <w:rsid w:val="00A678C3"/>
    <w:rsid w:val="00A70B4A"/>
    <w:rsid w:val="00A76705"/>
    <w:rsid w:val="00A7781B"/>
    <w:rsid w:val="00A860C7"/>
    <w:rsid w:val="00AA164D"/>
    <w:rsid w:val="00AB253B"/>
    <w:rsid w:val="00AC2C8E"/>
    <w:rsid w:val="00AE1B0F"/>
    <w:rsid w:val="00AF2D92"/>
    <w:rsid w:val="00B002D8"/>
    <w:rsid w:val="00B056D9"/>
    <w:rsid w:val="00B063D6"/>
    <w:rsid w:val="00B120EB"/>
    <w:rsid w:val="00B205A7"/>
    <w:rsid w:val="00B3732F"/>
    <w:rsid w:val="00B40F77"/>
    <w:rsid w:val="00B4343F"/>
    <w:rsid w:val="00B60889"/>
    <w:rsid w:val="00B674F5"/>
    <w:rsid w:val="00B74EA5"/>
    <w:rsid w:val="00B8008C"/>
    <w:rsid w:val="00B806AC"/>
    <w:rsid w:val="00B93993"/>
    <w:rsid w:val="00BA2B9F"/>
    <w:rsid w:val="00BB0A8F"/>
    <w:rsid w:val="00BC3854"/>
    <w:rsid w:val="00C03B37"/>
    <w:rsid w:val="00C17E67"/>
    <w:rsid w:val="00C17F04"/>
    <w:rsid w:val="00C30658"/>
    <w:rsid w:val="00C3260E"/>
    <w:rsid w:val="00C3445F"/>
    <w:rsid w:val="00C402CB"/>
    <w:rsid w:val="00C55E1C"/>
    <w:rsid w:val="00C56464"/>
    <w:rsid w:val="00C57947"/>
    <w:rsid w:val="00C76780"/>
    <w:rsid w:val="00CB6344"/>
    <w:rsid w:val="00CB7CD5"/>
    <w:rsid w:val="00CB7D17"/>
    <w:rsid w:val="00CC0731"/>
    <w:rsid w:val="00CC6DB2"/>
    <w:rsid w:val="00CE024B"/>
    <w:rsid w:val="00CE480B"/>
    <w:rsid w:val="00CE74B7"/>
    <w:rsid w:val="00CF54E1"/>
    <w:rsid w:val="00D048B2"/>
    <w:rsid w:val="00D05BCC"/>
    <w:rsid w:val="00D23C64"/>
    <w:rsid w:val="00D735C2"/>
    <w:rsid w:val="00D76EDC"/>
    <w:rsid w:val="00D9413D"/>
    <w:rsid w:val="00DA7797"/>
    <w:rsid w:val="00DC5A37"/>
    <w:rsid w:val="00DC7C8F"/>
    <w:rsid w:val="00DE4A18"/>
    <w:rsid w:val="00DF0FE5"/>
    <w:rsid w:val="00E12118"/>
    <w:rsid w:val="00E177B0"/>
    <w:rsid w:val="00E24621"/>
    <w:rsid w:val="00E3040C"/>
    <w:rsid w:val="00E31824"/>
    <w:rsid w:val="00E42870"/>
    <w:rsid w:val="00E525B3"/>
    <w:rsid w:val="00E6614F"/>
    <w:rsid w:val="00E737AE"/>
    <w:rsid w:val="00E953CE"/>
    <w:rsid w:val="00EC2A38"/>
    <w:rsid w:val="00ED7332"/>
    <w:rsid w:val="00ED73A5"/>
    <w:rsid w:val="00F14821"/>
    <w:rsid w:val="00F43314"/>
    <w:rsid w:val="00F45256"/>
    <w:rsid w:val="00F53B51"/>
    <w:rsid w:val="00F54F60"/>
    <w:rsid w:val="00F61B1D"/>
    <w:rsid w:val="00F62829"/>
    <w:rsid w:val="00F66FEE"/>
    <w:rsid w:val="00F74974"/>
    <w:rsid w:val="00F7589F"/>
    <w:rsid w:val="00F9351A"/>
    <w:rsid w:val="00FC304E"/>
    <w:rsid w:val="00FC62AE"/>
    <w:rsid w:val="00FC66C2"/>
    <w:rsid w:val="00FC769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99C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3FF"/>
    <w:pPr>
      <w:tabs>
        <w:tab w:val="center" w:pos="4680"/>
        <w:tab w:val="right" w:pos="9360"/>
      </w:tabs>
      <w:spacing w:after="0" w:line="240" w:lineRule="auto"/>
    </w:pPr>
  </w:style>
  <w:style w:type="character" w:customStyle="1" w:styleId="HeaderChar">
    <w:name w:val="Header Char"/>
    <w:link w:val="Header"/>
    <w:uiPriority w:val="99"/>
    <w:rsid w:val="00A343FF"/>
    <w:rPr>
      <w:sz w:val="22"/>
      <w:szCs w:val="22"/>
    </w:rPr>
  </w:style>
  <w:style w:type="paragraph" w:styleId="Footer">
    <w:name w:val="footer"/>
    <w:basedOn w:val="Normal"/>
    <w:link w:val="FooterChar"/>
    <w:uiPriority w:val="99"/>
    <w:unhideWhenUsed/>
    <w:rsid w:val="00A343FF"/>
    <w:pPr>
      <w:tabs>
        <w:tab w:val="center" w:pos="4680"/>
        <w:tab w:val="right" w:pos="9360"/>
      </w:tabs>
      <w:spacing w:after="0" w:line="240" w:lineRule="auto"/>
    </w:pPr>
  </w:style>
  <w:style w:type="character" w:customStyle="1" w:styleId="FooterChar">
    <w:name w:val="Footer Char"/>
    <w:link w:val="Footer"/>
    <w:uiPriority w:val="99"/>
    <w:rsid w:val="00A343FF"/>
    <w:rPr>
      <w:sz w:val="22"/>
      <w:szCs w:val="22"/>
    </w:rPr>
  </w:style>
  <w:style w:type="paragraph" w:styleId="BalloonText">
    <w:name w:val="Balloon Text"/>
    <w:basedOn w:val="Normal"/>
    <w:link w:val="BalloonTextChar"/>
    <w:uiPriority w:val="99"/>
    <w:semiHidden/>
    <w:unhideWhenUsed/>
    <w:rsid w:val="00A343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43FF"/>
    <w:rPr>
      <w:rFonts w:ascii="Tahoma" w:hAnsi="Tahoma" w:cs="Tahoma"/>
      <w:sz w:val="16"/>
      <w:szCs w:val="16"/>
    </w:rPr>
  </w:style>
  <w:style w:type="paragraph" w:styleId="NormalWeb">
    <w:name w:val="Normal (Web)"/>
    <w:basedOn w:val="Normal"/>
    <w:uiPriority w:val="99"/>
    <w:unhideWhenUsed/>
    <w:rsid w:val="0047146A"/>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aliases w:val="Párrafo de lista1,List Paragraph1,Colorful List - Accent 11,List Paragraph11"/>
    <w:basedOn w:val="Normal"/>
    <w:link w:val="ListParagraphChar"/>
    <w:uiPriority w:val="34"/>
    <w:qFormat/>
    <w:rsid w:val="00470C7B"/>
    <w:pPr>
      <w:ind w:left="720"/>
      <w:contextualSpacing/>
    </w:pPr>
    <w:rPr>
      <w:rFonts w:eastAsia="Times New Roman"/>
    </w:rPr>
  </w:style>
  <w:style w:type="character" w:styleId="Hyperlink">
    <w:name w:val="Hyperlink"/>
    <w:uiPriority w:val="99"/>
    <w:unhideWhenUsed/>
    <w:rsid w:val="00470C7B"/>
    <w:rPr>
      <w:color w:val="0000FF"/>
      <w:u w:val="single"/>
    </w:rPr>
  </w:style>
  <w:style w:type="character" w:customStyle="1" w:styleId="ListParagraphChar">
    <w:name w:val="List Paragraph Char"/>
    <w:aliases w:val="Párrafo de lista1 Char,List Paragraph1 Char,Colorful List - Accent 11 Char,List Paragraph11 Char"/>
    <w:link w:val="ListParagraph"/>
    <w:uiPriority w:val="34"/>
    <w:locked/>
    <w:rsid w:val="00470C7B"/>
    <w:rPr>
      <w:rFonts w:eastAsia="Times New Roman"/>
      <w:sz w:val="22"/>
      <w:szCs w:val="22"/>
      <w:lang w:val="en-US" w:eastAsia="en-US"/>
    </w:rPr>
  </w:style>
  <w:style w:type="character" w:styleId="FootnoteReference">
    <w:name w:val="footnote reference"/>
    <w:aliases w:val="Ref,f1,4,norma"/>
    <w:link w:val="Appelnotedebasde"/>
    <w:uiPriority w:val="99"/>
    <w:unhideWhenUsed/>
    <w:qFormat/>
    <w:rsid w:val="00470C7B"/>
    <w:rPr>
      <w:vertAlign w:val="superscript"/>
    </w:rPr>
  </w:style>
  <w:style w:type="paragraph" w:customStyle="1" w:styleId="Appelnotedebasde">
    <w:name w:val="Appel note de bas de..."/>
    <w:basedOn w:val="Normal"/>
    <w:link w:val="FootnoteReference"/>
    <w:uiPriority w:val="99"/>
    <w:rsid w:val="00470C7B"/>
    <w:pPr>
      <w:spacing w:after="160" w:line="240" w:lineRule="exact"/>
    </w:pPr>
    <w:rPr>
      <w:sz w:val="20"/>
      <w:szCs w:val="20"/>
      <w:vertAlign w:val="superscript"/>
      <w:lang w:val="es-CO" w:eastAsia="es-MX"/>
    </w:rPr>
  </w:style>
  <w:style w:type="character" w:styleId="FollowedHyperlink">
    <w:name w:val="FollowedHyperlink"/>
    <w:basedOn w:val="DefaultParagraphFont"/>
    <w:uiPriority w:val="99"/>
    <w:semiHidden/>
    <w:unhideWhenUsed/>
    <w:rsid w:val="00385F0C"/>
    <w:rPr>
      <w:color w:val="954F72" w:themeColor="followedHyperlink"/>
      <w:u w:val="single"/>
    </w:rPr>
  </w:style>
  <w:style w:type="paragraph" w:styleId="FootnoteText">
    <w:name w:val="footnote text"/>
    <w:aliases w:val="Footnote Reference1,Footnotes refss,Texto de nota al pie,referencia nota al pie,BVI fnr,Appel note de bas de page,Footnote symbol,Footnote number,f,Ref. de nota al pie.,4_G,16 Point,Superscript 6 Point,Texto nota al pie,Ref. de nota al pi"/>
    <w:basedOn w:val="Normal"/>
    <w:link w:val="FootnoteTextChar"/>
    <w:uiPriority w:val="99"/>
    <w:unhideWhenUsed/>
    <w:qFormat/>
    <w:rsid w:val="00672090"/>
    <w:pPr>
      <w:spacing w:after="0" w:line="240" w:lineRule="auto"/>
    </w:pPr>
    <w:rPr>
      <w:rFonts w:ascii="Times New Roman" w:eastAsia="Times New Roman" w:hAnsi="Times New Roman"/>
      <w:sz w:val="20"/>
      <w:szCs w:val="20"/>
    </w:rPr>
  </w:style>
  <w:style w:type="character" w:customStyle="1" w:styleId="FootnoteTextChar">
    <w:name w:val="Footnote Text Char"/>
    <w:aliases w:val="Footnote Reference1 Char,Footnotes refss Char,Texto de nota al pie Char,referencia nota al pie Char,BVI fnr Char,Appel note de bas de page Char,Footnote symbol Char,Footnote number Char,f Char,Ref. de nota al pie. Char,4_G Char"/>
    <w:basedOn w:val="DefaultParagraphFont"/>
    <w:link w:val="FootnoteText"/>
    <w:uiPriority w:val="99"/>
    <w:rsid w:val="00672090"/>
    <w:rPr>
      <w:rFonts w:ascii="Times New Roman" w:eastAsia="Times New Roman" w:hAnsi="Times New Roman"/>
      <w:lang w:val="en-US" w:eastAsia="en-US"/>
    </w:rPr>
  </w:style>
  <w:style w:type="paragraph" w:styleId="NoSpacing">
    <w:name w:val="No Spacing"/>
    <w:uiPriority w:val="1"/>
    <w:qFormat/>
    <w:rsid w:val="008521E0"/>
    <w:rPr>
      <w:sz w:val="22"/>
      <w:szCs w:val="22"/>
      <w:lang w:val="en-US" w:eastAsia="en-US"/>
    </w:rPr>
  </w:style>
  <w:style w:type="paragraph" w:customStyle="1" w:styleId="Default">
    <w:name w:val="Default"/>
    <w:rsid w:val="008521E0"/>
    <w:pPr>
      <w:autoSpaceDE w:val="0"/>
      <w:autoSpaceDN w:val="0"/>
      <w:adjustRightInd w:val="0"/>
    </w:pPr>
    <w:rPr>
      <w:rFonts w:ascii="Cambria" w:hAnsi="Cambria" w:cs="Cambria"/>
      <w:color w:val="000000"/>
      <w:sz w:val="24"/>
      <w:szCs w:val="24"/>
      <w:lang w:val="en-US" w:eastAsia="en-US"/>
    </w:rPr>
  </w:style>
  <w:style w:type="paragraph" w:styleId="Revision">
    <w:name w:val="Revision"/>
    <w:hidden/>
    <w:uiPriority w:val="99"/>
    <w:semiHidden/>
    <w:rsid w:val="00B120EB"/>
    <w:rPr>
      <w:sz w:val="22"/>
      <w:szCs w:val="22"/>
      <w:lang w:val="en-US" w:eastAsia="en-US"/>
    </w:rPr>
  </w:style>
  <w:style w:type="character" w:styleId="UnresolvedMention">
    <w:name w:val="Unresolved Mention"/>
    <w:basedOn w:val="DefaultParagraphFont"/>
    <w:uiPriority w:val="99"/>
    <w:semiHidden/>
    <w:unhideWhenUsed/>
    <w:rsid w:val="00634F89"/>
    <w:rPr>
      <w:color w:val="605E5C"/>
      <w:shd w:val="clear" w:color="auto" w:fill="E1DFDD"/>
    </w:rPr>
  </w:style>
  <w:style w:type="numbering" w:customStyle="1" w:styleId="CurrentList1">
    <w:name w:val="Current List1"/>
    <w:uiPriority w:val="99"/>
    <w:rsid w:val="004C7C99"/>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79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as.org/en/iachr/decisions/friendly.asp"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as.org/en/iachr/decisions/friendly.as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2" Type="http://schemas.openxmlformats.org/officeDocument/2006/relationships/hyperlink" Target="https://www.oas.org/es/cidh/docs/anual/2020/capitulos/IA2020cap2-es.pdf" TargetMode="External"/><Relationship Id="rId1" Type="http://schemas.openxmlformats.org/officeDocument/2006/relationships/hyperlink" Target="http://www.oas.org/es/cidh/docs/anual/2018/docs/IA2018cap.2-e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6" ma:contentTypeDescription="Create a new document." ma:contentTypeScope="" ma:versionID="8320a09ae00a1f0dc305485fa1bf5fd2">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d5f400581fcfbc5c2b880261c5748ac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BF31B657-F33D-43CC-9F55-73619C379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8CE3C7-B026-E241-B903-18C1190A9A5F}">
  <ds:schemaRefs>
    <ds:schemaRef ds:uri="http://schemas.openxmlformats.org/officeDocument/2006/bibliography"/>
  </ds:schemaRefs>
</ds:datastoreItem>
</file>

<file path=customXml/itemProps3.xml><?xml version="1.0" encoding="utf-8"?>
<ds:datastoreItem xmlns:ds="http://schemas.openxmlformats.org/officeDocument/2006/customXml" ds:itemID="{490A2D28-5FAE-4C93-A166-435BBB1CA95B}">
  <ds:schemaRefs>
    <ds:schemaRef ds:uri="http://schemas.microsoft.com/sharepoint/v3/contenttype/forms"/>
  </ds:schemaRefs>
</ds:datastoreItem>
</file>

<file path=customXml/itemProps4.xml><?xml version="1.0" encoding="utf-8"?>
<ds:datastoreItem xmlns:ds="http://schemas.openxmlformats.org/officeDocument/2006/customXml" ds:itemID="{2C534A0D-18CE-4362-9E26-A3C7BFDE772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1426</Words>
  <Characters>8131</Characters>
  <Application>Microsoft Office Word</Application>
  <DocSecurity>0</DocSecurity>
  <Lines>67</Lines>
  <Paragraphs>19</Paragraphs>
  <ScaleCrop>false</ScaleCrop>
  <Company/>
  <LinksUpToDate>false</LinksUpToDate>
  <CharactersWithSpaces>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2023-03-07T20:27:00Z</dcterms:created>
  <dcterms:modified xsi:type="dcterms:W3CDTF">2023-03-07T20:27:00Z</dcterms:modified>
</cp:coreProperties>
</file>