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42D77ECA" w14:textId="77777777" w:rsidR="00F62829" w:rsidRPr="007175E2" w:rsidRDefault="00F62829" w:rsidP="00AC2C8E">
      <w:pPr>
        <w:pStyle w:val="ListParagraph"/>
        <w:spacing w:after="0" w:line="240" w:lineRule="auto"/>
        <w:ind w:left="0" w:right="4"/>
        <w:jc w:val="center"/>
        <w:rPr>
          <w:rFonts w:ascii="Cambria" w:eastAsia="MS Mincho" w:hAnsi="Cambria"/>
        </w:rPr>
      </w:pPr>
      <w:r w:rsidRPr="007175E2">
        <w:rPr>
          <w:rFonts w:ascii="Cambria" w:eastAsia="Batang" w:hAnsi="Cambria"/>
          <w:b/>
          <w:color w:val="000000"/>
        </w:rPr>
        <w:t>TECHNICAL INFORMATION SHEET</w:t>
      </w:r>
    </w:p>
    <w:p w14:paraId="1D988582" w14:textId="011D5464" w:rsidR="00AC2C8E" w:rsidRPr="007175E2" w:rsidRDefault="00AC2C8E" w:rsidP="00E525B3">
      <w:pPr>
        <w:spacing w:after="0"/>
        <w:ind w:right="4"/>
        <w:jc w:val="center"/>
        <w:rPr>
          <w:rFonts w:ascii="Cambria" w:eastAsia="Batang" w:hAnsi="Cambria"/>
          <w:b/>
        </w:rPr>
      </w:pPr>
      <w:r w:rsidRPr="007175E2">
        <w:rPr>
          <w:rFonts w:ascii="Cambria" w:eastAsia="Batang" w:hAnsi="Cambria"/>
          <w:b/>
        </w:rPr>
        <w:t xml:space="preserve">CASE 12.915 </w:t>
      </w:r>
      <w:r w:rsidRPr="007175E2">
        <w:rPr>
          <w:rFonts w:ascii="Cambria" w:hAnsi="Cambria"/>
          <w:b/>
          <w:bCs/>
        </w:rPr>
        <w:t xml:space="preserve">ÁNGEL DÍAZ CRUZ </w:t>
      </w:r>
      <w:r w:rsidR="00B3732F" w:rsidRPr="007175E2">
        <w:rPr>
          <w:rFonts w:ascii="Cambria" w:hAnsi="Cambria"/>
          <w:b/>
          <w:bCs/>
        </w:rPr>
        <w:t>ET AL</w:t>
      </w:r>
      <w:r w:rsidRPr="007175E2">
        <w:rPr>
          <w:rFonts w:ascii="Cambria" w:hAnsi="Cambria"/>
          <w:b/>
          <w:bCs/>
        </w:rPr>
        <w:t>, MEXICO</w:t>
      </w:r>
    </w:p>
    <w:p w14:paraId="7F46920E" w14:textId="43050871" w:rsidR="00AC2C8E" w:rsidRPr="007175E2" w:rsidRDefault="00AC2C8E" w:rsidP="00E525B3">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FRIENDLY SETTLEMENT REPORT No.</w:t>
      </w:r>
      <w:r w:rsidR="009457D8" w:rsidRPr="007175E2">
        <w:rPr>
          <w:rFonts w:ascii="Cambria" w:eastAsia="Batang" w:hAnsi="Cambria"/>
          <w:b/>
          <w:color w:val="000000"/>
        </w:rPr>
        <w:t xml:space="preserve"> </w:t>
      </w:r>
      <w:hyperlink r:id="rId11" w:history="1">
        <w:r w:rsidRPr="007175E2">
          <w:rPr>
            <w:rStyle w:val="Hyperlink"/>
            <w:rFonts w:ascii="Cambria" w:eastAsia="Batang" w:hAnsi="Cambria"/>
            <w:b/>
            <w:color w:val="000000" w:themeColor="text1"/>
            <w:u w:val="none"/>
          </w:rPr>
          <w:t>2/20</w:t>
        </w:r>
      </w:hyperlink>
    </w:p>
    <w:p w14:paraId="515E2E60" w14:textId="77777777" w:rsidR="00AC2C8E" w:rsidRPr="007175E2" w:rsidRDefault="00AC2C8E" w:rsidP="00E525B3">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TOTAL COMPLIANCE</w:t>
      </w:r>
    </w:p>
    <w:p w14:paraId="25260C7E" w14:textId="77777777" w:rsidR="00AC2C8E" w:rsidRPr="007175E2" w:rsidRDefault="00AC2C8E" w:rsidP="00E525B3">
      <w:pPr>
        <w:spacing w:after="0" w:line="240" w:lineRule="auto"/>
        <w:ind w:right="4"/>
        <w:contextualSpacing/>
        <w:jc w:val="center"/>
        <w:rPr>
          <w:rFonts w:ascii="Cambria" w:eastAsia="Batang" w:hAnsi="Cambria"/>
          <w:b/>
          <w:color w:val="000000"/>
          <w:lang w:val="es-ES"/>
        </w:rPr>
      </w:pPr>
      <w:r w:rsidRPr="007175E2">
        <w:rPr>
          <w:rFonts w:ascii="Cambria" w:eastAsia="Batang" w:hAnsi="Cambria"/>
          <w:b/>
          <w:color w:val="000000"/>
          <w:lang w:val="es-ES"/>
        </w:rPr>
        <w:t>(MEXICO)</w:t>
      </w:r>
    </w:p>
    <w:p w14:paraId="3FB9FBAA" w14:textId="77777777" w:rsidR="00AC2C8E" w:rsidRPr="007175E2" w:rsidRDefault="00AC2C8E" w:rsidP="00AC2C8E">
      <w:pPr>
        <w:spacing w:after="0" w:line="240" w:lineRule="auto"/>
        <w:ind w:right="-270"/>
        <w:jc w:val="center"/>
        <w:rPr>
          <w:rFonts w:ascii="Cambria" w:eastAsia="Batang" w:hAnsi="Cambria"/>
          <w:b/>
          <w:color w:val="000000"/>
          <w:lang w:val="es-ES"/>
        </w:rPr>
      </w:pPr>
    </w:p>
    <w:p w14:paraId="5CF883F2" w14:textId="77777777" w:rsidR="00AC2C8E" w:rsidRPr="007175E2" w:rsidRDefault="00AC2C8E" w:rsidP="00637AFB">
      <w:pPr>
        <w:numPr>
          <w:ilvl w:val="0"/>
          <w:numId w:val="32"/>
        </w:numPr>
        <w:spacing w:after="0" w:line="240" w:lineRule="auto"/>
        <w:rPr>
          <w:rFonts w:ascii="Cambria" w:eastAsia="Batang" w:hAnsi="Cambria" w:cs="Calibri Light"/>
          <w:b/>
          <w:color w:val="000000"/>
        </w:rPr>
      </w:pPr>
      <w:r w:rsidRPr="007175E2">
        <w:rPr>
          <w:rFonts w:ascii="Cambria" w:eastAsia="Batang" w:hAnsi="Cambria" w:cs="Calibri Light"/>
          <w:b/>
          <w:color w:val="000000"/>
        </w:rPr>
        <w:t>SUMMARY OF THE CASE</w:t>
      </w:r>
    </w:p>
    <w:p w14:paraId="44EAB6ED" w14:textId="77777777" w:rsidR="00AC2C8E" w:rsidRPr="007175E2" w:rsidRDefault="00AC2C8E" w:rsidP="00AC2C8E">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AC2C8E" w:rsidRPr="007175E2" w14:paraId="42F7BC9D" w14:textId="77777777" w:rsidTr="00F024F0">
        <w:trPr>
          <w:trHeight w:val="5967"/>
          <w:jc w:val="center"/>
        </w:trPr>
        <w:tc>
          <w:tcPr>
            <w:tcW w:w="9576" w:type="dxa"/>
            <w:shd w:val="clear" w:color="auto" w:fill="F2F2F2"/>
          </w:tcPr>
          <w:p w14:paraId="7B787E08" w14:textId="77777777" w:rsidR="00AC2C8E" w:rsidRPr="007175E2" w:rsidRDefault="00AC2C8E"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Victim(s)</w:t>
            </w:r>
            <w:r w:rsidRPr="007175E2">
              <w:rPr>
                <w:rFonts w:ascii="Cambria" w:eastAsia="Batang" w:hAnsi="Cambria"/>
                <w:bCs/>
                <w:color w:val="000000"/>
              </w:rPr>
              <w:t>: Ángel Díaz Cruz</w:t>
            </w:r>
            <w:r w:rsidRPr="007175E2">
              <w:rPr>
                <w:rFonts w:ascii="Cambria" w:eastAsia="Batang" w:hAnsi="Cambria"/>
                <w:b/>
                <w:color w:val="000000"/>
              </w:rPr>
              <w:t xml:space="preserve"> </w:t>
            </w:r>
          </w:p>
          <w:p w14:paraId="5887F43D" w14:textId="77777777" w:rsidR="00AC2C8E" w:rsidRPr="007175E2" w:rsidRDefault="00AC2C8E" w:rsidP="00F024F0">
            <w:pPr>
              <w:tabs>
                <w:tab w:val="left" w:pos="9270"/>
              </w:tabs>
              <w:spacing w:after="0" w:line="240" w:lineRule="auto"/>
              <w:jc w:val="both"/>
              <w:rPr>
                <w:rFonts w:ascii="Cambria" w:eastAsia="Batang" w:hAnsi="Cambria"/>
                <w:b/>
                <w:color w:val="000000"/>
                <w:lang w:val="es-ES_tradnl"/>
              </w:rPr>
            </w:pPr>
            <w:r w:rsidRPr="007175E2">
              <w:rPr>
                <w:rFonts w:ascii="Cambria" w:eastAsia="Batang" w:hAnsi="Cambria"/>
                <w:b/>
                <w:color w:val="000000"/>
                <w:lang w:val="es-ES_tradnl"/>
              </w:rPr>
              <w:t xml:space="preserve">Petitioner(s):  </w:t>
            </w:r>
            <w:r w:rsidRPr="007175E2">
              <w:rPr>
                <w:rFonts w:ascii="Cambria" w:eastAsia="Batang" w:hAnsi="Cambria"/>
                <w:bCs/>
                <w:color w:val="000000"/>
                <w:lang w:val="es-ES_tradnl"/>
              </w:rPr>
              <w:t>Human Rights Center of the Fray Bartolomé de las Casas Civil Association (</w:t>
            </w:r>
            <w:r w:rsidRPr="007175E2">
              <w:rPr>
                <w:rFonts w:ascii="Cambria" w:eastAsia="Batang" w:hAnsi="Cambria"/>
                <w:bCs/>
                <w:i/>
                <w:color w:val="000000"/>
                <w:lang w:val="es-ES_tradnl"/>
              </w:rPr>
              <w:t>Centro de Derechos Humanos Fray Bartolomé de las Casas Asociación Civil</w:t>
            </w:r>
            <w:r w:rsidRPr="007175E2">
              <w:rPr>
                <w:rFonts w:ascii="Cambria" w:eastAsia="Batang" w:hAnsi="Cambria"/>
                <w:bCs/>
                <w:color w:val="000000"/>
                <w:lang w:val="es-ES_tradnl"/>
              </w:rPr>
              <w:t>)</w:t>
            </w:r>
          </w:p>
          <w:p w14:paraId="72B1A166" w14:textId="77777777" w:rsidR="00AC2C8E" w:rsidRPr="007175E2" w:rsidRDefault="00AC2C8E"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State: </w:t>
            </w:r>
            <w:r w:rsidRPr="007175E2">
              <w:rPr>
                <w:rFonts w:ascii="Cambria" w:eastAsia="Batang" w:hAnsi="Cambria"/>
                <w:bCs/>
                <w:color w:val="000000"/>
              </w:rPr>
              <w:t>Mexico</w:t>
            </w:r>
          </w:p>
          <w:p w14:paraId="2389ACB5" w14:textId="77777777" w:rsidR="00AC2C8E" w:rsidRPr="007175E2" w:rsidRDefault="00AC2C8E" w:rsidP="00F024F0">
            <w:pPr>
              <w:tabs>
                <w:tab w:val="left" w:pos="9270"/>
              </w:tabs>
              <w:spacing w:after="0" w:line="240" w:lineRule="auto"/>
              <w:jc w:val="both"/>
              <w:rPr>
                <w:rFonts w:ascii="Cambria" w:eastAsia="Batang" w:hAnsi="Cambria"/>
                <w:b/>
                <w:color w:val="000000"/>
              </w:rPr>
            </w:pPr>
            <w:r w:rsidRPr="007175E2">
              <w:rPr>
                <w:rFonts w:ascii="Cambria" w:eastAsia="Batang" w:hAnsi="Cambria"/>
                <w:b/>
                <w:bCs/>
                <w:color w:val="000000"/>
              </w:rPr>
              <w:t xml:space="preserve">Date negotiations began: </w:t>
            </w:r>
            <w:r w:rsidRPr="007175E2">
              <w:rPr>
                <w:rFonts w:ascii="Cambria" w:eastAsia="Batang" w:hAnsi="Cambria"/>
                <w:bCs/>
                <w:color w:val="000000"/>
              </w:rPr>
              <w:t>September 3, 2015</w:t>
            </w:r>
          </w:p>
          <w:p w14:paraId="73B36FE5" w14:textId="78F4D6D4" w:rsidR="00AC2C8E" w:rsidRPr="007175E2" w:rsidRDefault="00AC2C8E" w:rsidP="00F024F0">
            <w:pPr>
              <w:tabs>
                <w:tab w:val="left" w:pos="9270"/>
              </w:tabs>
              <w:spacing w:after="0" w:line="240" w:lineRule="auto"/>
              <w:jc w:val="both"/>
              <w:rPr>
                <w:rFonts w:ascii="Cambria" w:eastAsia="Batang" w:hAnsi="Cambria"/>
                <w:bCs/>
                <w:color w:val="000000"/>
              </w:rPr>
            </w:pPr>
            <w:r w:rsidRPr="007175E2">
              <w:rPr>
                <w:rFonts w:ascii="Cambria" w:eastAsia="Batang" w:hAnsi="Cambria"/>
                <w:b/>
                <w:bCs/>
                <w:color w:val="000000"/>
              </w:rPr>
              <w:t xml:space="preserve">FSA signature date: </w:t>
            </w:r>
            <w:r w:rsidRPr="007175E2">
              <w:rPr>
                <w:rFonts w:ascii="Cambria" w:eastAsia="Batang" w:hAnsi="Cambria"/>
                <w:bCs/>
                <w:color w:val="000000"/>
              </w:rPr>
              <w:t>January 28, 2016</w:t>
            </w:r>
          </w:p>
          <w:p w14:paraId="63E270DC" w14:textId="3EEDCE23" w:rsidR="00101E3E" w:rsidRPr="007175E2" w:rsidRDefault="00101E3E"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bCs/>
                <w:color w:val="000000"/>
              </w:rPr>
              <w:t xml:space="preserve">Admissibility Report </w:t>
            </w:r>
            <w:r w:rsidRPr="007175E2">
              <w:rPr>
                <w:rFonts w:ascii="Cambria" w:eastAsia="Batang" w:hAnsi="Cambria"/>
                <w:b/>
                <w:color w:val="000000" w:themeColor="text1"/>
              </w:rPr>
              <w:t>Nº</w:t>
            </w:r>
            <w:r w:rsidRPr="007175E2">
              <w:rPr>
                <w:rFonts w:ascii="Cambria" w:eastAsia="Batang" w:hAnsi="Cambria"/>
                <w:bCs/>
                <w:color w:val="000000" w:themeColor="text1"/>
              </w:rPr>
              <w:t>:</w:t>
            </w:r>
            <w:r w:rsidR="00F43314" w:rsidRPr="007175E2">
              <w:rPr>
                <w:rFonts w:ascii="Cambria" w:eastAsia="Batang" w:hAnsi="Cambria"/>
                <w:bCs/>
              </w:rPr>
              <w:t xml:space="preserve"> </w:t>
            </w:r>
            <w:hyperlink r:id="rId12" w:history="1">
              <w:r w:rsidR="00F43314" w:rsidRPr="007175E2">
                <w:rPr>
                  <w:rStyle w:val="Hyperlink"/>
                  <w:rFonts w:ascii="Cambria" w:hAnsi="Cambria"/>
                  <w:b/>
                  <w:color w:val="auto"/>
                </w:rPr>
                <w:t>47/13</w:t>
              </w:r>
            </w:hyperlink>
          </w:p>
          <w:p w14:paraId="45D8A3B8" w14:textId="77777777" w:rsidR="00AC2C8E" w:rsidRPr="007175E2" w:rsidRDefault="00AC2C8E"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Report on Friendly Settlement Agreement </w:t>
            </w:r>
            <w:r w:rsidR="00AA164D" w:rsidRPr="007175E2">
              <w:rPr>
                <w:rFonts w:ascii="Cambria" w:eastAsia="Batang" w:hAnsi="Cambria"/>
                <w:b/>
                <w:color w:val="000000"/>
              </w:rPr>
              <w:t>Nº</w:t>
            </w:r>
            <w:r w:rsidRPr="007175E2">
              <w:rPr>
                <w:rFonts w:ascii="Cambria" w:eastAsia="Batang" w:hAnsi="Cambria"/>
                <w:b/>
                <w:color w:val="000000"/>
              </w:rPr>
              <w:t xml:space="preserve">: </w:t>
            </w:r>
            <w:hyperlink r:id="rId13" w:history="1">
              <w:r w:rsidRPr="007175E2">
                <w:rPr>
                  <w:rStyle w:val="Hyperlink"/>
                  <w:rFonts w:ascii="Cambria" w:eastAsia="Batang" w:hAnsi="Cambria"/>
                  <w:b/>
                  <w:bCs/>
                  <w:color w:val="000000" w:themeColor="text1"/>
                </w:rPr>
                <w:t>2/20</w:t>
              </w:r>
            </w:hyperlink>
            <w:r w:rsidRPr="007175E2">
              <w:rPr>
                <w:rFonts w:ascii="Cambria" w:eastAsia="Batang" w:hAnsi="Cambria"/>
                <w:bCs/>
                <w:color w:val="000000" w:themeColor="text1"/>
              </w:rPr>
              <w:t xml:space="preserve"> </w:t>
            </w:r>
            <w:r w:rsidRPr="007175E2">
              <w:rPr>
                <w:rFonts w:ascii="Cambria" w:eastAsia="Batang" w:hAnsi="Cambria"/>
                <w:bCs/>
                <w:color w:val="000000"/>
              </w:rPr>
              <w:t>published on February 24, 2020</w:t>
            </w:r>
          </w:p>
          <w:p w14:paraId="230DA9AE" w14:textId="77777777" w:rsidR="00AC2C8E" w:rsidRPr="007175E2" w:rsidRDefault="00AC2C8E"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bCs/>
                <w:color w:val="000000"/>
              </w:rPr>
              <w:t xml:space="preserve">Estimated length of the negotiation phase: </w:t>
            </w:r>
            <w:r w:rsidRPr="007175E2">
              <w:rPr>
                <w:rFonts w:ascii="Cambria" w:eastAsia="Batang" w:hAnsi="Cambria"/>
                <w:color w:val="000000"/>
              </w:rPr>
              <w:t>4 years 5 months</w:t>
            </w:r>
          </w:p>
          <w:p w14:paraId="5E3337E6" w14:textId="77777777" w:rsidR="00AC2C8E" w:rsidRPr="007175E2" w:rsidRDefault="00AC2C8E"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Associated Rapporteurship:</w:t>
            </w:r>
            <w:r w:rsidRPr="007175E2">
              <w:rPr>
                <w:rFonts w:ascii="Cambria" w:eastAsia="Batang" w:hAnsi="Cambria"/>
                <w:b/>
                <w:bCs/>
                <w:color w:val="000000"/>
              </w:rPr>
              <w:t xml:space="preserve"> </w:t>
            </w:r>
            <w:r w:rsidRPr="007175E2">
              <w:rPr>
                <w:rFonts w:ascii="Cambria" w:eastAsia="Batang" w:hAnsi="Cambria"/>
                <w:color w:val="000000"/>
              </w:rPr>
              <w:t>Rapporteurship on the Rights of Indigenous Peoples / Rapporteurship on the Rights of the Child</w:t>
            </w:r>
          </w:p>
          <w:p w14:paraId="6DF45B87" w14:textId="77777777" w:rsidR="00AC2C8E" w:rsidRPr="007175E2" w:rsidRDefault="00AC2C8E"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color w:val="000000"/>
              </w:rPr>
              <w:t xml:space="preserve">Topics: </w:t>
            </w:r>
            <w:r w:rsidRPr="007175E2">
              <w:rPr>
                <w:rFonts w:ascii="Cambria" w:eastAsia="Batang" w:hAnsi="Cambria"/>
                <w:color w:val="000000"/>
              </w:rPr>
              <w:t>Right to life/ rights of children and adolescents/ right to a fair trial/ investigation and due diligence/ military jurisdiction/ judicial protection</w:t>
            </w:r>
          </w:p>
          <w:p w14:paraId="5268363D" w14:textId="77777777" w:rsidR="00AC2C8E" w:rsidRPr="007175E2" w:rsidRDefault="00AC2C8E" w:rsidP="00F024F0">
            <w:pPr>
              <w:tabs>
                <w:tab w:val="left" w:pos="9270"/>
              </w:tabs>
              <w:spacing w:after="0" w:line="240" w:lineRule="auto"/>
              <w:jc w:val="both"/>
              <w:rPr>
                <w:rFonts w:ascii="Cambria" w:eastAsia="Batang" w:hAnsi="Cambria"/>
                <w:b/>
                <w:color w:val="000000"/>
              </w:rPr>
            </w:pPr>
          </w:p>
          <w:p w14:paraId="02F5A718" w14:textId="77777777" w:rsidR="00AC2C8E" w:rsidRPr="007175E2" w:rsidRDefault="00AC2C8E"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Facts: </w:t>
            </w:r>
            <w:r w:rsidRPr="007175E2">
              <w:rPr>
                <w:rFonts w:ascii="Cambria" w:eastAsia="Batang" w:hAnsi="Cambria"/>
                <w:bCs/>
                <w:color w:val="000000"/>
              </w:rPr>
              <w:t>On November 16, 2006, the Inter-American Commission on Human Rights received a petition submitted by the Human Rights Center of the Fray Bartolomé de las Casas Civil Association (</w:t>
            </w:r>
            <w:r w:rsidRPr="007175E2">
              <w:rPr>
                <w:rFonts w:ascii="Cambria" w:eastAsia="Batang" w:hAnsi="Cambria"/>
                <w:bCs/>
                <w:i/>
                <w:color w:val="000000"/>
              </w:rPr>
              <w:t>Centro de Derechos Humanos Fray Bartolomé de las Casas Asociación Civil</w:t>
            </w:r>
            <w:r w:rsidRPr="007175E2">
              <w:rPr>
                <w:rFonts w:ascii="Cambria" w:eastAsia="Batang" w:hAnsi="Cambria"/>
                <w:bCs/>
                <w:color w:val="000000"/>
              </w:rPr>
              <w:t>), alleging responsibility of the Mexican state for the death of the child Ángel Díaz Cruz, who was 9 years old at the time, and for the injuries inflicted on the child Ricardo López Hernández, who was 11 years at the time, and on José Leonardo López Hernández, who belonged to the Tsotiles indigenous group, allegedly occurring on December 17, 2000, in the municipality of San Cristóbal de las Casas, state of Chiapas, as a result of an explosive device belonging to the Mexican Federal Army. The petitioners also alleged that said incidents continued to go unpunished because of the investigation’s referral to the jurisdiction of the armed forces and the failure to punish those responsible.</w:t>
            </w:r>
          </w:p>
          <w:p w14:paraId="2517EA89" w14:textId="77777777" w:rsidR="00AC2C8E" w:rsidRPr="007175E2" w:rsidRDefault="00AC2C8E" w:rsidP="00F024F0">
            <w:pPr>
              <w:tabs>
                <w:tab w:val="left" w:pos="9270"/>
              </w:tabs>
              <w:spacing w:after="0" w:line="240" w:lineRule="auto"/>
              <w:jc w:val="both"/>
              <w:rPr>
                <w:rFonts w:ascii="Cambria" w:eastAsia="Batang" w:hAnsi="Cambria"/>
                <w:b/>
                <w:color w:val="000000"/>
              </w:rPr>
            </w:pPr>
          </w:p>
          <w:p w14:paraId="218D40B2" w14:textId="77777777" w:rsidR="00AC2C8E" w:rsidRPr="007175E2" w:rsidRDefault="00AC2C8E" w:rsidP="00F024F0">
            <w:pPr>
              <w:tabs>
                <w:tab w:val="left" w:pos="9270"/>
              </w:tabs>
              <w:spacing w:after="0" w:line="240" w:lineRule="auto"/>
              <w:jc w:val="both"/>
              <w:rPr>
                <w:rFonts w:ascii="Cambria" w:eastAsia="Batang" w:hAnsi="Cambria"/>
                <w:color w:val="000000"/>
              </w:rPr>
            </w:pPr>
            <w:r w:rsidRPr="007175E2">
              <w:rPr>
                <w:rFonts w:ascii="Cambria" w:eastAsia="Batang" w:hAnsi="Cambria"/>
                <w:b/>
                <w:color w:val="000000"/>
              </w:rPr>
              <w:t xml:space="preserve">Rights declared admissible: </w:t>
            </w:r>
            <w:r w:rsidRPr="007175E2">
              <w:rPr>
                <w:rFonts w:ascii="Cambria" w:eastAsia="Batang" w:hAnsi="Cambria"/>
                <w:bCs/>
                <w:color w:val="000000"/>
              </w:rPr>
              <w:t>On July 12, 2013, the IACHR decided to declare the petition admissible in its report 47/13 for the alleged violation of Article 4 (right to life) and Article 5 (right to personal integrity) of the American Convention, in connection with Article 1.1 of the same instrument, to the detriment of Ángel Díaz Cruz and; Article 5 (right to personal integrity), Article 8 (right to a fair trial), and Article 25 (right to the guarantees of judicial protection), in connection with Article 1.1 of said instrument, to the detriment of the alleged surviving victims and the next-of-kin of the three alleged victims. It also declared that the petition was admissible for the alleged violation of Article 19 (rights of the child) of the American Convention to the detriment of Ángel Díaz Cruz and Ricardo López Hernández.</w:t>
            </w:r>
          </w:p>
        </w:tc>
      </w:tr>
    </w:tbl>
    <w:p w14:paraId="350BA59B" w14:textId="77777777" w:rsidR="00AC2C8E" w:rsidRPr="007175E2" w:rsidRDefault="00AC2C8E" w:rsidP="00AC2C8E">
      <w:pPr>
        <w:spacing w:after="0" w:line="240" w:lineRule="auto"/>
        <w:ind w:left="720"/>
        <w:contextualSpacing/>
        <w:jc w:val="both"/>
        <w:rPr>
          <w:rFonts w:ascii="Cambria" w:eastAsia="Batang" w:hAnsi="Cambria" w:cs="Calibri Light"/>
          <w:b/>
          <w:color w:val="000000"/>
        </w:rPr>
      </w:pPr>
    </w:p>
    <w:p w14:paraId="1ADD0B98" w14:textId="77777777" w:rsidR="00AC2C8E" w:rsidRPr="007175E2" w:rsidRDefault="00AC2C8E" w:rsidP="00637AFB">
      <w:pPr>
        <w:numPr>
          <w:ilvl w:val="0"/>
          <w:numId w:val="32"/>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2D12895B" w14:textId="77777777" w:rsidR="00AC2C8E" w:rsidRPr="007175E2" w:rsidRDefault="00AC2C8E" w:rsidP="00AC2C8E">
      <w:pPr>
        <w:spacing w:after="0" w:line="240" w:lineRule="auto"/>
        <w:ind w:firstLine="720"/>
        <w:contextualSpacing/>
        <w:jc w:val="both"/>
        <w:rPr>
          <w:rFonts w:ascii="Cambria" w:eastAsia="Batang" w:hAnsi="Cambria" w:cs="Calibri Light"/>
          <w:b/>
          <w:color w:val="000000"/>
        </w:rPr>
      </w:pPr>
    </w:p>
    <w:p w14:paraId="3B2C384F" w14:textId="6A3275BB" w:rsidR="00AC2C8E" w:rsidRPr="007175E2" w:rsidRDefault="00AC2C8E" w:rsidP="004C7C99">
      <w:pPr>
        <w:numPr>
          <w:ilvl w:val="3"/>
          <w:numId w:val="4"/>
        </w:numPr>
        <w:spacing w:after="0" w:line="240" w:lineRule="auto"/>
        <w:ind w:left="0" w:firstLine="709"/>
        <w:contextualSpacing/>
        <w:jc w:val="both"/>
        <w:rPr>
          <w:rFonts w:ascii="Cambria" w:eastAsia="Batang" w:hAnsi="Cambria" w:cs="Calibri Light"/>
          <w:color w:val="000000"/>
        </w:rPr>
      </w:pPr>
      <w:r w:rsidRPr="007175E2">
        <w:rPr>
          <w:rFonts w:ascii="Cambria" w:eastAsia="Batang" w:hAnsi="Cambria" w:cs="Calibri Light"/>
          <w:color w:val="000000"/>
        </w:rPr>
        <w:t xml:space="preserve">On January 28, 2016, the parties </w:t>
      </w:r>
      <w:r w:rsidR="005E4B03" w:rsidRPr="007175E2">
        <w:rPr>
          <w:rFonts w:ascii="Cambria" w:eastAsia="Batang" w:hAnsi="Cambria" w:cs="Calibri Light"/>
          <w:color w:val="000000"/>
        </w:rPr>
        <w:t>signed</w:t>
      </w:r>
      <w:r w:rsidRPr="007175E2">
        <w:rPr>
          <w:rFonts w:ascii="Cambria" w:eastAsia="Batang" w:hAnsi="Cambria" w:cs="Calibri Light"/>
          <w:color w:val="000000"/>
        </w:rPr>
        <w:t xml:space="preserve"> a friendly settlement</w:t>
      </w:r>
      <w:r w:rsidR="005B2E65" w:rsidRPr="007175E2">
        <w:rPr>
          <w:rFonts w:ascii="Cambria" w:eastAsia="Batang" w:hAnsi="Cambria" w:cs="Calibri Light"/>
          <w:color w:val="000000"/>
        </w:rPr>
        <w:t xml:space="preserve"> agreement</w:t>
      </w:r>
      <w:r w:rsidRPr="007175E2">
        <w:rPr>
          <w:rFonts w:ascii="Cambria" w:eastAsia="Batang" w:hAnsi="Cambria" w:cs="Calibri Light"/>
          <w:color w:val="000000"/>
        </w:rPr>
        <w:t>.</w:t>
      </w:r>
    </w:p>
    <w:p w14:paraId="2A78F6C8" w14:textId="77777777" w:rsidR="00F62829" w:rsidRPr="007175E2" w:rsidRDefault="00F62829" w:rsidP="00AC2C8E">
      <w:pPr>
        <w:spacing w:after="0" w:line="240" w:lineRule="auto"/>
        <w:jc w:val="both"/>
        <w:rPr>
          <w:rFonts w:ascii="Cambria" w:eastAsia="Batang" w:hAnsi="Cambria" w:cs="Calibri Light"/>
          <w:color w:val="000000"/>
        </w:rPr>
      </w:pPr>
    </w:p>
    <w:p w14:paraId="7DA02674" w14:textId="77777777" w:rsidR="00AA164D" w:rsidRPr="007175E2" w:rsidRDefault="00AA164D" w:rsidP="004C7C99">
      <w:pPr>
        <w:numPr>
          <w:ilvl w:val="3"/>
          <w:numId w:val="4"/>
        </w:numPr>
        <w:spacing w:after="0" w:line="240" w:lineRule="auto"/>
        <w:ind w:left="0" w:firstLine="709"/>
        <w:contextualSpacing/>
        <w:jc w:val="both"/>
        <w:rPr>
          <w:rFonts w:ascii="Cambria" w:eastAsia="Batang" w:hAnsi="Cambria" w:cs="Calibri Light"/>
          <w:color w:val="000000"/>
        </w:rPr>
      </w:pPr>
      <w:r w:rsidRPr="007175E2">
        <w:rPr>
          <w:rFonts w:ascii="Cambria" w:eastAsia="Batang" w:hAnsi="Cambria" w:cs="Calibri Light"/>
          <w:color w:val="000000"/>
        </w:rPr>
        <w:t>On February 24, 2020, the Commission approved the agreement signed by the parties, by means of Report No.2/20.</w:t>
      </w:r>
    </w:p>
    <w:p w14:paraId="03F01B24" w14:textId="77777777" w:rsidR="00AA164D" w:rsidRPr="007175E2" w:rsidRDefault="00AA164D" w:rsidP="001541D4">
      <w:pPr>
        <w:spacing w:after="0" w:line="240" w:lineRule="auto"/>
        <w:ind w:firstLine="709"/>
        <w:contextualSpacing/>
        <w:jc w:val="both"/>
        <w:rPr>
          <w:rFonts w:ascii="Cambria" w:eastAsia="Batang" w:hAnsi="Cambria" w:cs="Calibri Light"/>
          <w:b/>
          <w:color w:val="000000"/>
        </w:rPr>
      </w:pPr>
    </w:p>
    <w:p w14:paraId="2D4DF63E" w14:textId="77777777" w:rsidR="00AA164D" w:rsidRPr="007175E2" w:rsidRDefault="00AA164D" w:rsidP="00637AFB">
      <w:pPr>
        <w:pStyle w:val="ListParagraph"/>
        <w:numPr>
          <w:ilvl w:val="0"/>
          <w:numId w:val="32"/>
        </w:numPr>
        <w:spacing w:after="0" w:line="240" w:lineRule="auto"/>
        <w:ind w:left="0" w:firstLine="709"/>
        <w:jc w:val="both"/>
        <w:rPr>
          <w:rFonts w:ascii="Cambria" w:eastAsia="Batang" w:hAnsi="Cambria" w:cs="Calibri Light"/>
          <w:color w:val="000000"/>
        </w:rPr>
      </w:pPr>
      <w:r w:rsidRPr="007175E2">
        <w:rPr>
          <w:rFonts w:ascii="Cambria" w:eastAsia="Batang" w:hAnsi="Cambria" w:cs="Calibri Light"/>
          <w:b/>
          <w:color w:val="000000"/>
        </w:rPr>
        <w:t xml:space="preserve">ANALYSIS OF COMPLIANCE WITH THE CLAUSES OF THE FRIENDLY SETTLEMENT </w:t>
      </w:r>
    </w:p>
    <w:p w14:paraId="22EC6AE9" w14:textId="77777777" w:rsidR="00AA164D" w:rsidRPr="007175E2" w:rsidRDefault="00AA164D" w:rsidP="00AC2C8E">
      <w:pPr>
        <w:spacing w:after="0" w:line="240" w:lineRule="auto"/>
        <w:jc w:val="both"/>
        <w:rPr>
          <w:rFonts w:ascii="Cambria" w:eastAsia="Batang" w:hAnsi="Cambria" w:cs="Calibri Light"/>
          <w:color w:val="000000"/>
          <w:highlight w:val="cy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1541D4" w:rsidRPr="007175E2" w14:paraId="10FD5FF4" w14:textId="77777777" w:rsidTr="003E6F57">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CE43EF" w14:textId="77777777" w:rsidR="001541D4" w:rsidRPr="007175E2" w:rsidRDefault="001541D4" w:rsidP="00F024F0">
            <w:pPr>
              <w:tabs>
                <w:tab w:val="center" w:pos="2049"/>
              </w:tabs>
              <w:spacing w:after="0" w:line="240" w:lineRule="auto"/>
              <w:jc w:val="center"/>
              <w:rPr>
                <w:rFonts w:ascii="Cambria" w:eastAsia="Batang" w:hAnsi="Cambria"/>
                <w:b/>
                <w:color w:val="000000"/>
              </w:rPr>
            </w:pPr>
            <w:r w:rsidRPr="007175E2">
              <w:rPr>
                <w:rFonts w:ascii="Cambria" w:eastAsia="Batang" w:hAnsi="Cambria"/>
                <w:b/>
                <w:color w:val="00000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11191E" w14:textId="77777777" w:rsidR="001541D4" w:rsidRPr="007175E2" w:rsidRDefault="001541D4" w:rsidP="00F024F0">
            <w:pPr>
              <w:spacing w:after="0" w:line="240" w:lineRule="auto"/>
              <w:jc w:val="center"/>
              <w:rPr>
                <w:rFonts w:ascii="Cambria" w:eastAsia="Batang" w:hAnsi="Cambria"/>
                <w:b/>
                <w:color w:val="000000"/>
              </w:rPr>
            </w:pPr>
            <w:r w:rsidRPr="007175E2">
              <w:rPr>
                <w:rFonts w:ascii="Cambria" w:eastAsia="Batang" w:hAnsi="Cambria"/>
                <w:b/>
                <w:color w:val="000000"/>
              </w:rPr>
              <w:t xml:space="preserve">Status of Implementation </w:t>
            </w:r>
          </w:p>
        </w:tc>
      </w:tr>
      <w:tr w:rsidR="001541D4" w:rsidRPr="007175E2" w14:paraId="18C962FC" w14:textId="77777777" w:rsidTr="003E6F57">
        <w:trPr>
          <w:trHeight w:val="221"/>
        </w:trPr>
        <w:tc>
          <w:tcPr>
            <w:tcW w:w="7371" w:type="dxa"/>
            <w:tcBorders>
              <w:top w:val="single" w:sz="4" w:space="0" w:color="auto"/>
              <w:left w:val="single" w:sz="4" w:space="0" w:color="auto"/>
              <w:bottom w:val="single" w:sz="4" w:space="0" w:color="auto"/>
              <w:right w:val="single" w:sz="4" w:space="0" w:color="auto"/>
            </w:tcBorders>
            <w:vAlign w:val="center"/>
          </w:tcPr>
          <w:p w14:paraId="6356D520" w14:textId="77777777" w:rsidR="001541D4" w:rsidRPr="007175E2" w:rsidRDefault="001541D4" w:rsidP="00F024F0">
            <w:pPr>
              <w:spacing w:after="0" w:line="240" w:lineRule="auto"/>
              <w:jc w:val="both"/>
              <w:rPr>
                <w:rFonts w:ascii="Cambria" w:eastAsia="MS Mincho" w:hAnsi="Cambria"/>
                <w:b/>
                <w:lang w:eastAsia="es-ES_tradnl"/>
              </w:rPr>
            </w:pPr>
            <w:r w:rsidRPr="007175E2">
              <w:rPr>
                <w:rFonts w:ascii="Cambria" w:hAnsi="Cambria"/>
                <w:b/>
                <w:bCs/>
              </w:rPr>
              <w:t>RECOGNITION OF INTERNATIONAL RESPONSIBILITY</w:t>
            </w:r>
          </w:p>
        </w:tc>
        <w:tc>
          <w:tcPr>
            <w:tcW w:w="1985" w:type="dxa"/>
            <w:tcBorders>
              <w:top w:val="single" w:sz="4" w:space="0" w:color="auto"/>
              <w:left w:val="single" w:sz="4" w:space="0" w:color="auto"/>
              <w:bottom w:val="single" w:sz="4" w:space="0" w:color="auto"/>
              <w:right w:val="single" w:sz="4" w:space="0" w:color="auto"/>
            </w:tcBorders>
            <w:vAlign w:val="center"/>
          </w:tcPr>
          <w:p w14:paraId="153B2364" w14:textId="77777777" w:rsidR="001541D4" w:rsidRPr="007175E2" w:rsidRDefault="001541D4" w:rsidP="00F024F0">
            <w:pPr>
              <w:spacing w:after="0" w:line="240" w:lineRule="auto"/>
              <w:jc w:val="center"/>
              <w:rPr>
                <w:rFonts w:ascii="Cambria" w:hAnsi="Cambria"/>
                <w:b/>
              </w:rPr>
            </w:pPr>
            <w:r w:rsidRPr="007175E2">
              <w:rPr>
                <w:rFonts w:ascii="Cambria" w:eastAsia="Batang" w:hAnsi="Cambria"/>
                <w:b/>
              </w:rPr>
              <w:t>Declarative clause</w:t>
            </w:r>
          </w:p>
        </w:tc>
      </w:tr>
      <w:tr w:rsidR="001541D4" w:rsidRPr="007175E2" w14:paraId="23D34286" w14:textId="77777777" w:rsidTr="003E6F57">
        <w:trPr>
          <w:trHeight w:val="608"/>
        </w:trPr>
        <w:tc>
          <w:tcPr>
            <w:tcW w:w="7371" w:type="dxa"/>
            <w:tcBorders>
              <w:top w:val="single" w:sz="4" w:space="0" w:color="auto"/>
              <w:left w:val="single" w:sz="4" w:space="0" w:color="auto"/>
              <w:bottom w:val="single" w:sz="4" w:space="0" w:color="auto"/>
              <w:right w:val="single" w:sz="4" w:space="0" w:color="auto"/>
            </w:tcBorders>
          </w:tcPr>
          <w:p w14:paraId="00E7251C"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b/>
                <w:bCs/>
                <w:sz w:val="22"/>
                <w:szCs w:val="22"/>
              </w:rPr>
              <w:t xml:space="preserve">Clause 2.1. Recognition of international responsibility. </w:t>
            </w:r>
            <w:r w:rsidRPr="007175E2">
              <w:rPr>
                <w:rFonts w:ascii="Cambria" w:hAnsi="Cambria"/>
                <w:sz w:val="22"/>
                <w:szCs w:val="22"/>
              </w:rPr>
              <w:t xml:space="preserve">The “MEXICAN STATE” recognizes that the events described constitute violations of Articles 4, 5, 8, 19, and 25 of the American Convention on Human Rights, in connection with Articles 1.1 and 2 of the same instrument, to the detriment of the alleged victims and their next-of-kin. </w:t>
            </w:r>
          </w:p>
          <w:p w14:paraId="3E874231" w14:textId="77777777" w:rsidR="001541D4" w:rsidRPr="007175E2" w:rsidRDefault="001541D4" w:rsidP="00F024F0">
            <w:pPr>
              <w:spacing w:after="0" w:line="240" w:lineRule="auto"/>
              <w:ind w:right="72"/>
              <w:jc w:val="both"/>
              <w:rPr>
                <w:rFonts w:ascii="Cambria" w:hAnsi="Cambria"/>
                <w:bCs/>
                <w:color w:val="000000"/>
                <w:kern w:val="36"/>
              </w:rPr>
            </w:pPr>
            <w:r w:rsidRPr="007175E2">
              <w:rPr>
                <w:rFonts w:ascii="Cambria" w:hAnsi="Cambria"/>
              </w:rPr>
              <w:t xml:space="preserve">The </w:t>
            </w:r>
            <w:r w:rsidRPr="007175E2">
              <w:rPr>
                <w:rFonts w:ascii="Cambria" w:hAnsi="Cambria"/>
                <w:b/>
                <w:bCs/>
              </w:rPr>
              <w:t xml:space="preserve">"MEXICAN STATE" </w:t>
            </w:r>
            <w:r w:rsidRPr="007175E2">
              <w:rPr>
                <w:rFonts w:ascii="Cambria" w:hAnsi="Cambria"/>
              </w:rPr>
              <w:t xml:space="preserve">recognizes that the violations set forth in the paragraph above are attributable to it and generate its international responsibility with respect to </w:t>
            </w:r>
            <w:r w:rsidRPr="007175E2">
              <w:rPr>
                <w:rFonts w:ascii="Cambria" w:hAnsi="Cambria"/>
                <w:b/>
                <w:bCs/>
              </w:rPr>
              <w:t xml:space="preserve">"THE VICTIMS," </w:t>
            </w:r>
            <w:r w:rsidRPr="007175E2">
              <w:rPr>
                <w:rFonts w:ascii="Cambria" w:hAnsi="Cambria"/>
                <w:bCs/>
              </w:rPr>
              <w:t>as well as its obligation to ensure reparations for them</w:t>
            </w:r>
            <w:r w:rsidRPr="007175E2">
              <w:rPr>
                <w:rFonts w:ascii="Cambria" w:hAnsi="Cambria"/>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033348" w14:textId="77777777" w:rsidR="001541D4" w:rsidRPr="007175E2" w:rsidRDefault="001541D4" w:rsidP="00F024F0">
            <w:pPr>
              <w:spacing w:after="0" w:line="240" w:lineRule="auto"/>
              <w:jc w:val="center"/>
              <w:rPr>
                <w:rFonts w:ascii="Cambria" w:eastAsia="Batang" w:hAnsi="Cambria"/>
                <w:b/>
                <w:bCs/>
                <w:color w:val="000000"/>
              </w:rPr>
            </w:pPr>
            <w:r w:rsidRPr="007175E2">
              <w:rPr>
                <w:rFonts w:ascii="Cambria" w:eastAsia="Batang" w:hAnsi="Cambria"/>
                <w:b/>
                <w:bCs/>
              </w:rPr>
              <w:t>Declarative</w:t>
            </w:r>
          </w:p>
        </w:tc>
      </w:tr>
      <w:tr w:rsidR="001541D4" w:rsidRPr="007175E2" w14:paraId="4F7481BE" w14:textId="77777777" w:rsidTr="003E6F57">
        <w:trPr>
          <w:trHeight w:val="367"/>
        </w:trPr>
        <w:tc>
          <w:tcPr>
            <w:tcW w:w="7371" w:type="dxa"/>
            <w:tcBorders>
              <w:top w:val="single" w:sz="4" w:space="0" w:color="auto"/>
              <w:left w:val="single" w:sz="4" w:space="0" w:color="auto"/>
              <w:bottom w:val="single" w:sz="4" w:space="0" w:color="auto"/>
              <w:right w:val="single" w:sz="4" w:space="0" w:color="auto"/>
            </w:tcBorders>
            <w:vAlign w:val="center"/>
          </w:tcPr>
          <w:p w14:paraId="7AABE1B2"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b/>
                <w:bCs/>
                <w:sz w:val="22"/>
                <w:szCs w:val="22"/>
              </w:rPr>
              <w:t>A. OBLIGATION TO INVESTIGATE THE FACTS OF THE CASE</w:t>
            </w:r>
          </w:p>
          <w:p w14:paraId="2EFE73C2"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b/>
                <w:bCs/>
                <w:sz w:val="22"/>
                <w:szCs w:val="22"/>
              </w:rPr>
              <w:t xml:space="preserve">Clause 3.2. "THE PARTIES" </w:t>
            </w:r>
            <w:r w:rsidRPr="007175E2">
              <w:rPr>
                <w:rFonts w:ascii="Cambria" w:hAnsi="Cambria"/>
                <w:sz w:val="22"/>
                <w:szCs w:val="22"/>
              </w:rPr>
              <w:t xml:space="preserve">recognize that </w:t>
            </w:r>
            <w:r w:rsidRPr="007175E2">
              <w:rPr>
                <w:rFonts w:ascii="Cambria" w:hAnsi="Cambria"/>
                <w:b/>
                <w:bCs/>
                <w:sz w:val="22"/>
                <w:szCs w:val="22"/>
              </w:rPr>
              <w:t xml:space="preserve">"THE MEXICAN STATE" </w:t>
            </w:r>
            <w:r w:rsidRPr="007175E2">
              <w:rPr>
                <w:rFonts w:ascii="Cambria" w:hAnsi="Cambria"/>
                <w:sz w:val="22"/>
                <w:szCs w:val="22"/>
              </w:rPr>
              <w:t xml:space="preserve">conducted punitive proceedings against those responsible for the incidents in the instant case under the jurisdiction of the armed forces, pursuant to Mexican law in force at the time of the incidents. </w:t>
            </w:r>
            <w:r w:rsidRPr="007175E2">
              <w:rPr>
                <w:rFonts w:ascii="Cambria" w:hAnsi="Cambria"/>
                <w:b/>
                <w:bCs/>
                <w:sz w:val="22"/>
                <w:szCs w:val="22"/>
              </w:rPr>
              <w:t xml:space="preserve">"THE PARTIES" </w:t>
            </w:r>
            <w:r w:rsidRPr="007175E2">
              <w:rPr>
                <w:rFonts w:ascii="Cambria" w:hAnsi="Cambria"/>
                <w:sz w:val="22"/>
                <w:szCs w:val="22"/>
              </w:rPr>
              <w:t xml:space="preserve">recognize that, at present, the jurisdiction of the armed forces is not suitable for judging human rights violations. Nevertheless, </w:t>
            </w:r>
            <w:r w:rsidRPr="007175E2">
              <w:rPr>
                <w:rFonts w:ascii="Cambria" w:hAnsi="Cambria"/>
                <w:b/>
                <w:bCs/>
                <w:sz w:val="22"/>
                <w:szCs w:val="22"/>
              </w:rPr>
              <w:t xml:space="preserve">"THE PARTIES" </w:t>
            </w:r>
            <w:r w:rsidRPr="007175E2">
              <w:rPr>
                <w:rFonts w:ascii="Cambria" w:hAnsi="Cambria"/>
                <w:sz w:val="22"/>
                <w:szCs w:val="22"/>
              </w:rPr>
              <w:t>also recognize the limitations that the principle of double jeopardy (</w:t>
            </w:r>
            <w:r w:rsidRPr="007175E2">
              <w:rPr>
                <w:rFonts w:ascii="Cambria" w:hAnsi="Cambria"/>
                <w:i/>
                <w:iCs/>
                <w:sz w:val="22"/>
                <w:szCs w:val="22"/>
              </w:rPr>
              <w:t>no bis in idem</w:t>
            </w:r>
            <w:r w:rsidRPr="007175E2">
              <w:rPr>
                <w:rFonts w:ascii="Cambria" w:hAnsi="Cambria"/>
                <w:iCs/>
                <w:sz w:val="22"/>
                <w:szCs w:val="22"/>
              </w:rPr>
              <w:t>)</w:t>
            </w:r>
            <w:r w:rsidRPr="007175E2">
              <w:rPr>
                <w:rFonts w:ascii="Cambria" w:hAnsi="Cambria"/>
                <w:i/>
                <w:iCs/>
                <w:sz w:val="22"/>
                <w:szCs w:val="22"/>
              </w:rPr>
              <w:t xml:space="preserve"> </w:t>
            </w:r>
            <w:r w:rsidRPr="007175E2">
              <w:rPr>
                <w:rFonts w:ascii="Cambria" w:hAnsi="Cambria"/>
                <w:sz w:val="22"/>
                <w:szCs w:val="22"/>
              </w:rPr>
              <w:t xml:space="preserve">entails for the present case. In accordance with the above, </w:t>
            </w:r>
            <w:r w:rsidRPr="007175E2">
              <w:rPr>
                <w:rFonts w:ascii="Cambria" w:hAnsi="Cambria"/>
                <w:b/>
                <w:bCs/>
                <w:sz w:val="22"/>
                <w:szCs w:val="22"/>
              </w:rPr>
              <w:t xml:space="preserve">"THE MEXICAN STATE" </w:t>
            </w:r>
            <w:r w:rsidRPr="007175E2">
              <w:rPr>
                <w:rFonts w:ascii="Cambria" w:hAnsi="Cambria"/>
                <w:sz w:val="22"/>
                <w:szCs w:val="22"/>
              </w:rPr>
              <w:t xml:space="preserve">pledges to hold an informative meeting with </w:t>
            </w:r>
            <w:r w:rsidRPr="007175E2">
              <w:rPr>
                <w:rFonts w:ascii="Cambria" w:hAnsi="Cambria"/>
                <w:b/>
                <w:bCs/>
                <w:sz w:val="22"/>
                <w:szCs w:val="22"/>
              </w:rPr>
              <w:t xml:space="preserve">"THE VICTIMS" </w:t>
            </w:r>
            <w:r w:rsidRPr="007175E2">
              <w:rPr>
                <w:rFonts w:ascii="Cambria" w:hAnsi="Cambria"/>
                <w:sz w:val="22"/>
                <w:szCs w:val="22"/>
              </w:rPr>
              <w:t xml:space="preserve">and </w:t>
            </w:r>
            <w:r w:rsidRPr="007175E2">
              <w:rPr>
                <w:rFonts w:ascii="Cambria" w:hAnsi="Cambria"/>
                <w:b/>
                <w:bCs/>
                <w:sz w:val="22"/>
                <w:szCs w:val="22"/>
              </w:rPr>
              <w:t xml:space="preserve">"THE REPRESENTATIVE" </w:t>
            </w:r>
            <w:r w:rsidRPr="007175E2">
              <w:rPr>
                <w:rFonts w:ascii="Cambria" w:hAnsi="Cambria"/>
                <w:sz w:val="22"/>
                <w:szCs w:val="22"/>
              </w:rPr>
              <w:t xml:space="preserve">in order to inform them of the jurisdictional proceedings conducted in the jurisdiction of the armed forces, the punitive sanctions given to those responsible, and the measures implemented by the State’s security forces to prevent the repetition of a similar action. The </w:t>
            </w:r>
            <w:r w:rsidRPr="007175E2">
              <w:rPr>
                <w:rFonts w:ascii="Cambria" w:hAnsi="Cambria"/>
                <w:b/>
                <w:bCs/>
                <w:sz w:val="22"/>
                <w:szCs w:val="22"/>
              </w:rPr>
              <w:t xml:space="preserve">"MEXICAN STATE" </w:t>
            </w:r>
            <w:r w:rsidRPr="007175E2">
              <w:rPr>
                <w:rFonts w:ascii="Cambria" w:hAnsi="Cambria"/>
                <w:sz w:val="22"/>
                <w:szCs w:val="22"/>
              </w:rPr>
              <w:t xml:space="preserve">shall respond in writing to all of the proposals submitted by </w:t>
            </w:r>
            <w:r w:rsidRPr="007175E2">
              <w:rPr>
                <w:rFonts w:ascii="Cambria" w:hAnsi="Cambria"/>
                <w:b/>
                <w:bCs/>
                <w:sz w:val="22"/>
                <w:szCs w:val="22"/>
              </w:rPr>
              <w:t xml:space="preserve">“THE VICTIMS" </w:t>
            </w:r>
            <w:r w:rsidRPr="007175E2">
              <w:rPr>
                <w:rFonts w:ascii="Cambria" w:hAnsi="Cambria"/>
                <w:sz w:val="22"/>
                <w:szCs w:val="22"/>
              </w:rPr>
              <w:t xml:space="preserve">and </w:t>
            </w:r>
            <w:r w:rsidRPr="007175E2">
              <w:rPr>
                <w:rFonts w:ascii="Cambria" w:hAnsi="Cambria"/>
                <w:b/>
                <w:bCs/>
                <w:sz w:val="22"/>
                <w:szCs w:val="22"/>
              </w:rPr>
              <w:t xml:space="preserve">"THE REPRESENTATIVE." </w:t>
            </w:r>
            <w:r w:rsidRPr="007175E2">
              <w:rPr>
                <w:rFonts w:ascii="Cambria" w:hAnsi="Cambria"/>
                <w:sz w:val="22"/>
                <w:szCs w:val="22"/>
              </w:rPr>
              <w:t xml:space="preserve">At this meeting, a certified copy of the corresponding military criminal and administrative files shall be handed over and the victims’ rights shall be safeguarded so that they can file the proceedings they are rightfully entitled to. The meeting must be held within three months, at the latest, after the </w:t>
            </w:r>
            <w:r w:rsidRPr="007175E2">
              <w:rPr>
                <w:rFonts w:ascii="Cambria" w:hAnsi="Cambria"/>
                <w:b/>
                <w:sz w:val="22"/>
                <w:szCs w:val="22"/>
              </w:rPr>
              <w:t>“AGREEMENT”</w:t>
            </w:r>
            <w:r w:rsidRPr="007175E2">
              <w:rPr>
                <w:rFonts w:ascii="Cambria" w:hAnsi="Cambria"/>
                <w:sz w:val="22"/>
                <w:szCs w:val="22"/>
              </w:rPr>
              <w:t xml:space="preserve"> has been signed. </w:t>
            </w:r>
          </w:p>
          <w:p w14:paraId="72ABAA52" w14:textId="77777777" w:rsidR="001541D4" w:rsidRPr="007175E2" w:rsidRDefault="001541D4" w:rsidP="00F024F0">
            <w:pPr>
              <w:spacing w:after="0" w:line="240" w:lineRule="auto"/>
              <w:ind w:right="72"/>
              <w:jc w:val="both"/>
              <w:rPr>
                <w:rFonts w:ascii="Cambria" w:eastAsia="Times New Roman" w:hAnsi="Cambria"/>
                <w:bCs/>
              </w:rPr>
            </w:pPr>
            <w:r w:rsidRPr="007175E2">
              <w:rPr>
                <w:rFonts w:ascii="Cambria" w:hAnsi="Cambria"/>
                <w:b/>
                <w:bCs/>
              </w:rPr>
              <w:t xml:space="preserve">“THE PARTIES” </w:t>
            </w:r>
            <w:r w:rsidRPr="007175E2">
              <w:rPr>
                <w:rFonts w:ascii="Cambria" w:hAnsi="Cambria"/>
              </w:rPr>
              <w:t>acknowledge that this measure is adequate to allow the victims to exercise their right to truth and justice.</w:t>
            </w:r>
          </w:p>
        </w:tc>
        <w:tc>
          <w:tcPr>
            <w:tcW w:w="1985" w:type="dxa"/>
            <w:tcBorders>
              <w:top w:val="single" w:sz="4" w:space="0" w:color="auto"/>
              <w:left w:val="single" w:sz="4" w:space="0" w:color="auto"/>
              <w:bottom w:val="single" w:sz="4" w:space="0" w:color="auto"/>
              <w:right w:val="single" w:sz="4" w:space="0" w:color="auto"/>
            </w:tcBorders>
            <w:vAlign w:val="center"/>
          </w:tcPr>
          <w:p w14:paraId="3EB20B9E" w14:textId="77777777" w:rsidR="001541D4" w:rsidRPr="007175E2" w:rsidRDefault="001541D4" w:rsidP="00F024F0">
            <w:pPr>
              <w:spacing w:after="0" w:line="240" w:lineRule="auto"/>
              <w:jc w:val="center"/>
              <w:rPr>
                <w:rFonts w:ascii="Cambria" w:hAnsi="Cambria"/>
                <w:b/>
                <w:color w:val="000000"/>
              </w:rPr>
            </w:pPr>
            <w:r w:rsidRPr="007175E2">
              <w:rPr>
                <w:rFonts w:ascii="Cambria" w:hAnsi="Cambria"/>
                <w:b/>
              </w:rPr>
              <w:t>Total</w:t>
            </w:r>
            <w:r w:rsidRPr="007175E2">
              <w:rPr>
                <w:rFonts w:ascii="Cambria" w:eastAsia="MS Mincho" w:hAnsi="Cambria"/>
                <w:vertAlign w:val="superscript"/>
                <w:lang w:eastAsia="es-ES_tradnl"/>
              </w:rPr>
              <w:footnoteReference w:id="1"/>
            </w:r>
          </w:p>
        </w:tc>
      </w:tr>
      <w:tr w:rsidR="001541D4" w:rsidRPr="007175E2" w14:paraId="3F6F2A54" w14:textId="77777777" w:rsidTr="003E6F57">
        <w:trPr>
          <w:trHeight w:val="274"/>
        </w:trPr>
        <w:tc>
          <w:tcPr>
            <w:tcW w:w="9356" w:type="dxa"/>
            <w:gridSpan w:val="2"/>
            <w:tcBorders>
              <w:top w:val="single" w:sz="4" w:space="0" w:color="auto"/>
              <w:left w:val="single" w:sz="4" w:space="0" w:color="auto"/>
              <w:bottom w:val="single" w:sz="4" w:space="0" w:color="auto"/>
              <w:right w:val="single" w:sz="4" w:space="0" w:color="auto"/>
            </w:tcBorders>
          </w:tcPr>
          <w:p w14:paraId="43A22B97" w14:textId="77777777" w:rsidR="001541D4" w:rsidRPr="007175E2" w:rsidRDefault="001541D4" w:rsidP="00F024F0">
            <w:pPr>
              <w:spacing w:after="0" w:line="240" w:lineRule="auto"/>
              <w:rPr>
                <w:rFonts w:ascii="Cambria" w:hAnsi="Cambria"/>
                <w:b/>
              </w:rPr>
            </w:pPr>
            <w:r w:rsidRPr="007175E2">
              <w:rPr>
                <w:rFonts w:ascii="Cambria" w:hAnsi="Cambria"/>
                <w:b/>
                <w:bCs/>
              </w:rPr>
              <w:t>B. REHABILITATION MEASURES</w:t>
            </w:r>
          </w:p>
        </w:tc>
      </w:tr>
      <w:tr w:rsidR="001541D4" w:rsidRPr="007175E2" w14:paraId="1FC53BC4" w14:textId="77777777" w:rsidTr="003E6F57">
        <w:trPr>
          <w:trHeight w:val="274"/>
        </w:trPr>
        <w:tc>
          <w:tcPr>
            <w:tcW w:w="7371" w:type="dxa"/>
            <w:tcBorders>
              <w:top w:val="single" w:sz="4" w:space="0" w:color="auto"/>
              <w:left w:val="single" w:sz="4" w:space="0" w:color="auto"/>
              <w:bottom w:val="single" w:sz="4" w:space="0" w:color="auto"/>
              <w:right w:val="single" w:sz="4" w:space="0" w:color="auto"/>
            </w:tcBorders>
          </w:tcPr>
          <w:p w14:paraId="26B7B6A1"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b/>
                <w:bCs/>
                <w:sz w:val="22"/>
                <w:szCs w:val="22"/>
              </w:rPr>
              <w:lastRenderedPageBreak/>
              <w:t>Clause 3.3. Comprehensive healthcare services.</w:t>
            </w:r>
            <w:r w:rsidRPr="007175E2">
              <w:rPr>
                <w:rFonts w:ascii="Cambria" w:hAnsi="Cambria"/>
                <w:bCs/>
                <w:sz w:val="22"/>
                <w:szCs w:val="22"/>
              </w:rPr>
              <w:t xml:space="preserve"> The </w:t>
            </w:r>
            <w:r w:rsidRPr="007175E2">
              <w:rPr>
                <w:rFonts w:ascii="Cambria" w:hAnsi="Cambria"/>
                <w:b/>
                <w:bCs/>
                <w:sz w:val="22"/>
                <w:szCs w:val="22"/>
              </w:rPr>
              <w:t xml:space="preserve">"MEXICAN STATE" </w:t>
            </w:r>
            <w:r w:rsidRPr="007175E2">
              <w:rPr>
                <w:rFonts w:ascii="Cambria" w:hAnsi="Cambria"/>
                <w:sz w:val="22"/>
                <w:szCs w:val="22"/>
              </w:rPr>
              <w:t xml:space="preserve">is required to provide </w:t>
            </w:r>
            <w:r w:rsidRPr="007175E2">
              <w:rPr>
                <w:rFonts w:ascii="Cambria" w:hAnsi="Cambria"/>
                <w:b/>
                <w:bCs/>
                <w:sz w:val="22"/>
                <w:szCs w:val="22"/>
              </w:rPr>
              <w:t xml:space="preserve">"THE VICTIMS" </w:t>
            </w:r>
            <w:r w:rsidRPr="007175E2">
              <w:rPr>
                <w:rFonts w:ascii="Cambria" w:hAnsi="Cambria"/>
                <w:sz w:val="22"/>
                <w:szCs w:val="22"/>
              </w:rPr>
              <w:t xml:space="preserve">and their direct next-of-kin priority and free comprehensive healthcare services on the basis of services provided by the State. This obligation extends to medical care, as well as psychological and psychiatric care. </w:t>
            </w:r>
          </w:p>
          <w:p w14:paraId="70E5F75B"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sz w:val="22"/>
                <w:szCs w:val="22"/>
              </w:rPr>
              <w:t xml:space="preserve">The services shall be provided in the public institutions of the Mexican State. Only when the public institutions of the Mexican State cannot provide the services that </w:t>
            </w:r>
            <w:r w:rsidRPr="007175E2">
              <w:rPr>
                <w:rFonts w:ascii="Cambria" w:hAnsi="Cambria"/>
                <w:b/>
                <w:sz w:val="22"/>
                <w:szCs w:val="22"/>
              </w:rPr>
              <w:t>“THE VICTIMS”</w:t>
            </w:r>
            <w:r w:rsidRPr="007175E2">
              <w:rPr>
                <w:rFonts w:ascii="Cambria" w:hAnsi="Cambria"/>
                <w:sz w:val="22"/>
                <w:szCs w:val="22"/>
              </w:rPr>
              <w:t xml:space="preserve"> or their next-of-kin need, shall a private institution be considered, in which case the expenses shall be covered by the </w:t>
            </w:r>
            <w:r w:rsidRPr="007175E2">
              <w:rPr>
                <w:rFonts w:ascii="Cambria" w:hAnsi="Cambria"/>
                <w:b/>
                <w:bCs/>
                <w:sz w:val="22"/>
                <w:szCs w:val="22"/>
              </w:rPr>
              <w:t>"MEXICAN STATE."</w:t>
            </w:r>
          </w:p>
          <w:p w14:paraId="414F5917" w14:textId="77777777" w:rsidR="001541D4" w:rsidRPr="007175E2" w:rsidRDefault="001541D4" w:rsidP="00F024F0">
            <w:pPr>
              <w:spacing w:after="0" w:line="240" w:lineRule="auto"/>
              <w:ind w:right="72"/>
              <w:jc w:val="both"/>
              <w:rPr>
                <w:rFonts w:ascii="Cambria" w:eastAsia="Times New Roman" w:hAnsi="Cambria"/>
                <w:bCs/>
              </w:rPr>
            </w:pPr>
            <w:r w:rsidRPr="007175E2">
              <w:rPr>
                <w:rFonts w:ascii="Cambria" w:hAnsi="Cambria"/>
              </w:rPr>
              <w:t xml:space="preserve">In the event that the medical or psychological care services that are required by </w:t>
            </w:r>
            <w:r w:rsidRPr="007175E2">
              <w:rPr>
                <w:rFonts w:ascii="Cambria" w:hAnsi="Cambria"/>
                <w:b/>
                <w:bCs/>
              </w:rPr>
              <w:t xml:space="preserve">"THE VICTIMS" </w:t>
            </w:r>
            <w:r w:rsidRPr="007175E2">
              <w:rPr>
                <w:rFonts w:ascii="Cambria" w:hAnsi="Cambria"/>
              </w:rPr>
              <w:t xml:space="preserve">or their next-of-kin must be provided in facilities outside their place of residence, the </w:t>
            </w:r>
            <w:r w:rsidRPr="007175E2">
              <w:rPr>
                <w:rFonts w:ascii="Cambria" w:hAnsi="Cambria"/>
                <w:b/>
                <w:bCs/>
              </w:rPr>
              <w:t xml:space="preserve">"MEXICAN STATE" </w:t>
            </w:r>
            <w:r w:rsidRPr="007175E2">
              <w:rPr>
                <w:rFonts w:ascii="Cambria" w:hAnsi="Cambria"/>
              </w:rPr>
              <w:t xml:space="preserve">shall pay for the travel expenses and respective allowances, as long as these services are in Mexican territory and are not available in their place of residence. </w:t>
            </w:r>
          </w:p>
        </w:tc>
        <w:tc>
          <w:tcPr>
            <w:tcW w:w="1985" w:type="dxa"/>
            <w:tcBorders>
              <w:top w:val="single" w:sz="4" w:space="0" w:color="auto"/>
              <w:left w:val="single" w:sz="4" w:space="0" w:color="auto"/>
              <w:bottom w:val="single" w:sz="4" w:space="0" w:color="auto"/>
              <w:right w:val="single" w:sz="4" w:space="0" w:color="auto"/>
            </w:tcBorders>
            <w:vAlign w:val="center"/>
          </w:tcPr>
          <w:p w14:paraId="1C19AB16" w14:textId="77777777" w:rsidR="001541D4" w:rsidRPr="007175E2" w:rsidRDefault="001541D4" w:rsidP="00F024F0">
            <w:pPr>
              <w:spacing w:after="0" w:line="240" w:lineRule="auto"/>
              <w:jc w:val="center"/>
              <w:rPr>
                <w:rFonts w:ascii="Cambria" w:hAnsi="Cambria"/>
                <w:b/>
                <w:color w:val="000000"/>
              </w:rPr>
            </w:pPr>
            <w:r w:rsidRPr="007175E2">
              <w:rPr>
                <w:rFonts w:ascii="Cambria" w:hAnsi="Cambria"/>
                <w:b/>
              </w:rPr>
              <w:t>Total</w:t>
            </w:r>
            <w:r w:rsidRPr="007175E2">
              <w:rPr>
                <w:rStyle w:val="FootnoteReference"/>
                <w:rFonts w:ascii="Cambria" w:eastAsia="Batang" w:hAnsi="Cambria"/>
                <w:b/>
              </w:rPr>
              <w:footnoteReference w:id="2"/>
            </w:r>
          </w:p>
        </w:tc>
      </w:tr>
      <w:tr w:rsidR="001541D4" w:rsidRPr="007175E2" w14:paraId="4AF97A84" w14:textId="77777777" w:rsidTr="003E6F57">
        <w:trPr>
          <w:trHeight w:val="64"/>
        </w:trPr>
        <w:tc>
          <w:tcPr>
            <w:tcW w:w="7371" w:type="dxa"/>
            <w:tcBorders>
              <w:top w:val="single" w:sz="4" w:space="0" w:color="auto"/>
              <w:left w:val="single" w:sz="4" w:space="0" w:color="auto"/>
              <w:bottom w:val="single" w:sz="4" w:space="0" w:color="auto"/>
              <w:right w:val="single" w:sz="4" w:space="0" w:color="auto"/>
            </w:tcBorders>
          </w:tcPr>
          <w:p w14:paraId="6C92A0B2" w14:textId="77777777" w:rsidR="001541D4" w:rsidRPr="007175E2" w:rsidRDefault="001541D4" w:rsidP="00F024F0">
            <w:pPr>
              <w:spacing w:after="0" w:line="240" w:lineRule="auto"/>
              <w:ind w:right="72"/>
              <w:jc w:val="both"/>
              <w:rPr>
                <w:rFonts w:ascii="Cambria" w:hAnsi="Cambria"/>
                <w:bCs/>
                <w:kern w:val="36"/>
              </w:rPr>
            </w:pPr>
            <w:r w:rsidRPr="007175E2">
              <w:rPr>
                <w:rFonts w:ascii="Cambria" w:hAnsi="Cambria"/>
                <w:b/>
                <w:bCs/>
              </w:rPr>
              <w:t xml:space="preserve">Clause 3.4. Agreement on the roadmap for health. </w:t>
            </w:r>
            <w:r w:rsidRPr="007175E2">
              <w:rPr>
                <w:rFonts w:ascii="Cambria" w:hAnsi="Cambria"/>
              </w:rPr>
              <w:t xml:space="preserve">The specific healthcare needs of </w:t>
            </w:r>
            <w:r w:rsidRPr="007175E2">
              <w:rPr>
                <w:rFonts w:ascii="Cambria" w:hAnsi="Cambria"/>
                <w:b/>
                <w:bCs/>
              </w:rPr>
              <w:t xml:space="preserve">"THE VICTIMS" </w:t>
            </w:r>
            <w:r w:rsidRPr="007175E2">
              <w:rPr>
                <w:rFonts w:ascii="Cambria" w:hAnsi="Cambria"/>
              </w:rPr>
              <w:t xml:space="preserve">and their next-of-kin shall be incorporated into the present </w:t>
            </w:r>
            <w:r w:rsidRPr="007175E2">
              <w:rPr>
                <w:rFonts w:ascii="Cambria" w:hAnsi="Cambria"/>
                <w:b/>
                <w:bCs/>
              </w:rPr>
              <w:t xml:space="preserve">"AGREEMENT" </w:t>
            </w:r>
            <w:r w:rsidRPr="007175E2">
              <w:rPr>
                <w:rFonts w:ascii="Cambria" w:hAnsi="Cambria"/>
              </w:rPr>
              <w:t xml:space="preserve">in Annex 1. Annex 1 shall be defined on the basis of medical and psychological review of </w:t>
            </w:r>
            <w:r w:rsidRPr="007175E2">
              <w:rPr>
                <w:rFonts w:ascii="Cambria" w:hAnsi="Cambria"/>
                <w:b/>
                <w:bCs/>
              </w:rPr>
              <w:t xml:space="preserve">"THE VICTIMS" </w:t>
            </w:r>
            <w:r w:rsidRPr="007175E2">
              <w:rPr>
                <w:rFonts w:ascii="Cambria" w:hAnsi="Cambria"/>
              </w:rPr>
              <w:t xml:space="preserve">and their next-of-kin and shall be agreed upon by </w:t>
            </w:r>
            <w:r w:rsidRPr="007175E2">
              <w:rPr>
                <w:rFonts w:ascii="Cambria" w:hAnsi="Cambria"/>
                <w:b/>
                <w:bCs/>
              </w:rPr>
              <w:t xml:space="preserve">"THE PARTIES" </w:t>
            </w:r>
            <w:r w:rsidRPr="007175E2">
              <w:rPr>
                <w:rFonts w:ascii="Cambria" w:hAnsi="Cambria"/>
              </w:rPr>
              <w:t xml:space="preserve">after the Agreement is signed. </w:t>
            </w:r>
          </w:p>
          <w:p w14:paraId="502BCC57"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b/>
                <w:bCs/>
                <w:sz w:val="22"/>
                <w:szCs w:val="22"/>
              </w:rPr>
              <w:t xml:space="preserve">"THE VICTIMS" </w:t>
            </w:r>
            <w:r w:rsidRPr="007175E2">
              <w:rPr>
                <w:rFonts w:ascii="Cambria" w:hAnsi="Cambria"/>
                <w:sz w:val="22"/>
                <w:szCs w:val="22"/>
              </w:rPr>
              <w:t xml:space="preserve">and their next-of-kin must provide the </w:t>
            </w:r>
            <w:r w:rsidRPr="007175E2">
              <w:rPr>
                <w:rFonts w:ascii="Cambria" w:hAnsi="Cambria"/>
                <w:b/>
                <w:bCs/>
                <w:sz w:val="22"/>
                <w:szCs w:val="22"/>
              </w:rPr>
              <w:t xml:space="preserve">"SEGOB" </w:t>
            </w:r>
            <w:r w:rsidRPr="007175E2">
              <w:rPr>
                <w:rFonts w:ascii="Cambria" w:hAnsi="Cambria"/>
                <w:sz w:val="22"/>
                <w:szCs w:val="22"/>
              </w:rPr>
              <w:t xml:space="preserve">with all the necessary information for their registration, assessment, and/or service in public health institutions before the Parties agree on the terms of Annex 1. </w:t>
            </w:r>
          </w:p>
          <w:p w14:paraId="3B4B133A" w14:textId="77777777" w:rsidR="001541D4" w:rsidRPr="007175E2" w:rsidRDefault="001541D4" w:rsidP="00F024F0">
            <w:pPr>
              <w:spacing w:after="0" w:line="240" w:lineRule="auto"/>
              <w:ind w:right="72"/>
              <w:jc w:val="both"/>
              <w:rPr>
                <w:rFonts w:ascii="Cambria" w:eastAsia="Times New Roman" w:hAnsi="Cambria"/>
                <w:bCs/>
              </w:rPr>
            </w:pPr>
            <w:r w:rsidRPr="007175E2">
              <w:rPr>
                <w:rFonts w:ascii="Cambria" w:hAnsi="Cambria"/>
              </w:rPr>
              <w:t xml:space="preserve">As for </w:t>
            </w:r>
            <w:r w:rsidRPr="007175E2">
              <w:rPr>
                <w:rFonts w:ascii="Cambria" w:hAnsi="Cambria"/>
                <w:b/>
                <w:bCs/>
              </w:rPr>
              <w:t xml:space="preserve">"THE VICTIMS" </w:t>
            </w:r>
            <w:r w:rsidRPr="007175E2">
              <w:rPr>
                <w:rFonts w:ascii="Cambria" w:hAnsi="Cambria"/>
              </w:rPr>
              <w:t xml:space="preserve">and their next of kin, they must go to the consultations, checkups, assessments, sessions, treatments, or any other kind of procedure as established by or stemming from the agreements of </w:t>
            </w:r>
            <w:r w:rsidRPr="007175E2">
              <w:rPr>
                <w:rFonts w:ascii="Cambria" w:hAnsi="Cambria"/>
                <w:b/>
                <w:bCs/>
              </w:rPr>
              <w:t xml:space="preserve">"THE PARTIES" </w:t>
            </w:r>
            <w:r w:rsidRPr="007175E2">
              <w:rPr>
                <w:rFonts w:ascii="Cambria" w:hAnsi="Cambria"/>
              </w:rPr>
              <w:t xml:space="preserve">appearing in Annex 1. </w:t>
            </w:r>
          </w:p>
        </w:tc>
        <w:tc>
          <w:tcPr>
            <w:tcW w:w="1985" w:type="dxa"/>
            <w:tcBorders>
              <w:top w:val="single" w:sz="4" w:space="0" w:color="auto"/>
              <w:left w:val="single" w:sz="4" w:space="0" w:color="auto"/>
              <w:bottom w:val="single" w:sz="4" w:space="0" w:color="auto"/>
              <w:right w:val="single" w:sz="4" w:space="0" w:color="auto"/>
            </w:tcBorders>
            <w:vAlign w:val="center"/>
          </w:tcPr>
          <w:p w14:paraId="4A2D67F2" w14:textId="77777777" w:rsidR="001541D4" w:rsidRPr="007175E2" w:rsidRDefault="001541D4" w:rsidP="00F024F0">
            <w:pPr>
              <w:spacing w:after="0" w:line="240" w:lineRule="auto"/>
              <w:jc w:val="center"/>
              <w:rPr>
                <w:rFonts w:ascii="Cambria" w:hAnsi="Cambria"/>
                <w:b/>
                <w:color w:val="000000"/>
              </w:rPr>
            </w:pPr>
            <w:r w:rsidRPr="007175E2">
              <w:rPr>
                <w:rFonts w:ascii="Cambria" w:hAnsi="Cambria"/>
                <w:b/>
              </w:rPr>
              <w:t>Total</w:t>
            </w:r>
            <w:r w:rsidRPr="007175E2">
              <w:rPr>
                <w:rStyle w:val="FootnoteReference"/>
                <w:rFonts w:ascii="Cambria" w:eastAsia="Batang" w:hAnsi="Cambria"/>
                <w:b/>
              </w:rPr>
              <w:footnoteReference w:id="3"/>
            </w:r>
          </w:p>
        </w:tc>
      </w:tr>
      <w:tr w:rsidR="001541D4" w:rsidRPr="007175E2" w14:paraId="105328D9" w14:textId="77777777" w:rsidTr="003E6F57">
        <w:trPr>
          <w:trHeight w:val="64"/>
        </w:trPr>
        <w:tc>
          <w:tcPr>
            <w:tcW w:w="7371" w:type="dxa"/>
            <w:tcBorders>
              <w:top w:val="single" w:sz="4" w:space="0" w:color="auto"/>
              <w:left w:val="single" w:sz="4" w:space="0" w:color="auto"/>
              <w:bottom w:val="single" w:sz="4" w:space="0" w:color="auto"/>
              <w:right w:val="single" w:sz="4" w:space="0" w:color="auto"/>
            </w:tcBorders>
          </w:tcPr>
          <w:p w14:paraId="5FDDFE5B" w14:textId="77777777" w:rsidR="001541D4" w:rsidRPr="007175E2" w:rsidRDefault="001541D4" w:rsidP="00F024F0">
            <w:pPr>
              <w:spacing w:after="0" w:line="240" w:lineRule="auto"/>
              <w:ind w:right="72"/>
              <w:jc w:val="both"/>
              <w:rPr>
                <w:rFonts w:ascii="Cambria" w:hAnsi="Cambria"/>
                <w:b/>
                <w:bCs/>
              </w:rPr>
            </w:pPr>
            <w:r w:rsidRPr="007175E2">
              <w:rPr>
                <w:rFonts w:ascii="Cambria" w:hAnsi="Cambria"/>
                <w:b/>
                <w:bCs/>
              </w:rPr>
              <w:t>Clause 3.5. Affiliation to the People’s Social Security (</w:t>
            </w:r>
            <w:r w:rsidRPr="007175E2">
              <w:rPr>
                <w:rFonts w:ascii="Cambria" w:hAnsi="Cambria"/>
                <w:b/>
                <w:bCs/>
                <w:i/>
              </w:rPr>
              <w:t>Seguro Popular</w:t>
            </w:r>
            <w:r w:rsidRPr="007175E2">
              <w:rPr>
                <w:rFonts w:ascii="Cambria" w:hAnsi="Cambria"/>
                <w:b/>
                <w:bCs/>
              </w:rPr>
              <w:t xml:space="preserve">). </w:t>
            </w:r>
            <w:r w:rsidRPr="007175E2">
              <w:rPr>
                <w:rFonts w:ascii="Cambria" w:hAnsi="Cambria"/>
              </w:rPr>
              <w:t xml:space="preserve">Both </w:t>
            </w:r>
            <w:r w:rsidRPr="007175E2">
              <w:rPr>
                <w:rFonts w:ascii="Cambria" w:hAnsi="Cambria"/>
                <w:b/>
                <w:bCs/>
              </w:rPr>
              <w:t xml:space="preserve">"THE VICTIMS" </w:t>
            </w:r>
            <w:r w:rsidRPr="007175E2">
              <w:rPr>
                <w:rFonts w:ascii="Cambria" w:hAnsi="Cambria"/>
              </w:rPr>
              <w:t>and their next of kin shall be affiliated to the People’s Social Security and, as a result, they shall have access to the pharmaceutical services and supplies indicated in the medical coverage of that insurance. […]</w:t>
            </w:r>
          </w:p>
        </w:tc>
        <w:tc>
          <w:tcPr>
            <w:tcW w:w="1985" w:type="dxa"/>
            <w:tcBorders>
              <w:top w:val="single" w:sz="4" w:space="0" w:color="auto"/>
              <w:left w:val="single" w:sz="4" w:space="0" w:color="auto"/>
              <w:bottom w:val="single" w:sz="4" w:space="0" w:color="auto"/>
              <w:right w:val="single" w:sz="4" w:space="0" w:color="auto"/>
            </w:tcBorders>
            <w:vAlign w:val="center"/>
          </w:tcPr>
          <w:p w14:paraId="6273D22E" w14:textId="77777777" w:rsidR="001541D4" w:rsidRPr="007175E2" w:rsidRDefault="001541D4" w:rsidP="00F024F0">
            <w:pPr>
              <w:spacing w:after="0" w:line="240" w:lineRule="auto"/>
              <w:jc w:val="center"/>
              <w:rPr>
                <w:rFonts w:ascii="Cambria" w:hAnsi="Cambria"/>
                <w:b/>
              </w:rPr>
            </w:pPr>
            <w:r w:rsidRPr="007175E2">
              <w:rPr>
                <w:rFonts w:ascii="Cambria" w:hAnsi="Cambria"/>
                <w:b/>
              </w:rPr>
              <w:t>Total</w:t>
            </w:r>
            <w:r w:rsidRPr="007175E2">
              <w:rPr>
                <w:rStyle w:val="FootnoteReference"/>
                <w:rFonts w:ascii="Cambria" w:eastAsia="Batang" w:hAnsi="Cambria"/>
                <w:b/>
              </w:rPr>
              <w:footnoteReference w:id="4"/>
            </w:r>
          </w:p>
        </w:tc>
      </w:tr>
      <w:tr w:rsidR="001541D4" w:rsidRPr="007175E2" w14:paraId="75831036" w14:textId="77777777" w:rsidTr="003E6F57">
        <w:trPr>
          <w:trHeight w:val="64"/>
        </w:trPr>
        <w:tc>
          <w:tcPr>
            <w:tcW w:w="7371" w:type="dxa"/>
            <w:tcBorders>
              <w:top w:val="single" w:sz="4" w:space="0" w:color="auto"/>
              <w:left w:val="single" w:sz="4" w:space="0" w:color="auto"/>
              <w:bottom w:val="single" w:sz="4" w:space="0" w:color="auto"/>
              <w:right w:val="single" w:sz="4" w:space="0" w:color="auto"/>
            </w:tcBorders>
          </w:tcPr>
          <w:p w14:paraId="6152C327"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b/>
                <w:bCs/>
                <w:sz w:val="22"/>
                <w:szCs w:val="22"/>
              </w:rPr>
              <w:t xml:space="preserve">Clause 3.7. Awarding of scholarships. </w:t>
            </w:r>
            <w:r w:rsidRPr="007175E2">
              <w:rPr>
                <w:rFonts w:ascii="Cambria" w:hAnsi="Cambria"/>
                <w:sz w:val="22"/>
                <w:szCs w:val="22"/>
              </w:rPr>
              <w:t xml:space="preserve">The </w:t>
            </w:r>
            <w:r w:rsidRPr="007175E2">
              <w:rPr>
                <w:rFonts w:ascii="Cambria" w:hAnsi="Cambria"/>
                <w:b/>
                <w:bCs/>
                <w:sz w:val="22"/>
                <w:szCs w:val="22"/>
              </w:rPr>
              <w:t xml:space="preserve">"MEXICAN STATE" </w:t>
            </w:r>
            <w:r w:rsidRPr="007175E2">
              <w:rPr>
                <w:rFonts w:ascii="Cambria" w:hAnsi="Cambria"/>
                <w:sz w:val="22"/>
                <w:szCs w:val="22"/>
              </w:rPr>
              <w:t xml:space="preserve">shall award scholarships to Jonathan Ricardo López Gómez, Marina Isabel López Gómez, José Gerardo López Díaz, Juan Daniel López Díaz, Laura Jennifer López Díaz, Alan Enrique López Díaz, Marina Karen López Díaz, Erika de Jesús Cruz López, and Blanca Laura Cruz López. The scholarships shall be given until the beneficiaries complete their university education. </w:t>
            </w:r>
          </w:p>
          <w:p w14:paraId="3F15A375"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sz w:val="22"/>
                <w:szCs w:val="22"/>
              </w:rPr>
              <w:t xml:space="preserve">Once the scholarships have been awarded, this measure shall be monitored for the academic performance of the beneficiaries and may be withdrawn and/or suspended pursuant to paragraph 38 of the </w:t>
            </w:r>
            <w:r w:rsidRPr="007175E2">
              <w:rPr>
                <w:rFonts w:ascii="Cambria" w:hAnsi="Cambria"/>
                <w:b/>
                <w:bCs/>
                <w:sz w:val="22"/>
                <w:szCs w:val="22"/>
              </w:rPr>
              <w:t>"OPERATING RULES OF THE TRUST FUND,"</w:t>
            </w:r>
            <w:r w:rsidRPr="007175E2">
              <w:rPr>
                <w:rFonts w:ascii="Cambria" w:hAnsi="Cambria"/>
                <w:sz w:val="22"/>
                <w:szCs w:val="22"/>
              </w:rPr>
              <w:t xml:space="preserve"> as well as when the latter do not abide by the academic </w:t>
            </w:r>
            <w:r w:rsidRPr="007175E2">
              <w:rPr>
                <w:rFonts w:ascii="Cambria" w:hAnsi="Cambria"/>
                <w:sz w:val="22"/>
                <w:szCs w:val="22"/>
              </w:rPr>
              <w:lastRenderedPageBreak/>
              <w:t xml:space="preserve">administrative, disciplinary, or other standards of the schools they are enrolled in, regardless of their academic performance. </w:t>
            </w:r>
          </w:p>
          <w:p w14:paraId="3C2C95BF" w14:textId="77777777" w:rsidR="001541D4" w:rsidRPr="007175E2" w:rsidRDefault="001541D4" w:rsidP="00F024F0">
            <w:pPr>
              <w:spacing w:after="0" w:line="240" w:lineRule="auto"/>
              <w:ind w:right="72"/>
              <w:jc w:val="both"/>
              <w:rPr>
                <w:rFonts w:ascii="Cambria" w:hAnsi="Cambria"/>
                <w:b/>
                <w:bCs/>
              </w:rPr>
            </w:pPr>
            <w:r w:rsidRPr="007175E2">
              <w:rPr>
                <w:rFonts w:ascii="Cambria" w:hAnsi="Cambria"/>
              </w:rPr>
              <w:t xml:space="preserve">The </w:t>
            </w:r>
            <w:r w:rsidRPr="007175E2">
              <w:rPr>
                <w:rFonts w:ascii="Cambria" w:hAnsi="Cambria"/>
                <w:b/>
                <w:bCs/>
              </w:rPr>
              <w:t xml:space="preserve">"MEXICAN STATE" </w:t>
            </w:r>
            <w:r w:rsidRPr="007175E2">
              <w:rPr>
                <w:rFonts w:ascii="Cambria" w:hAnsi="Cambria"/>
              </w:rPr>
              <w:t xml:space="preserve">shall be released from fulfilling this obligation if, for reasons attributable to the beneficiaries, the latter do not meet the requirements set forth in the present clause. </w:t>
            </w:r>
          </w:p>
        </w:tc>
        <w:tc>
          <w:tcPr>
            <w:tcW w:w="1985" w:type="dxa"/>
            <w:tcBorders>
              <w:top w:val="single" w:sz="4" w:space="0" w:color="auto"/>
              <w:left w:val="single" w:sz="4" w:space="0" w:color="auto"/>
              <w:bottom w:val="single" w:sz="4" w:space="0" w:color="auto"/>
              <w:right w:val="single" w:sz="4" w:space="0" w:color="auto"/>
            </w:tcBorders>
            <w:vAlign w:val="center"/>
          </w:tcPr>
          <w:p w14:paraId="15799CDA" w14:textId="77777777" w:rsidR="001541D4" w:rsidRPr="007175E2" w:rsidRDefault="001541D4" w:rsidP="00F024F0">
            <w:pPr>
              <w:spacing w:after="0" w:line="240" w:lineRule="auto"/>
              <w:jc w:val="center"/>
              <w:rPr>
                <w:rFonts w:ascii="Cambria" w:hAnsi="Cambria"/>
                <w:b/>
                <w:highlight w:val="yellow"/>
              </w:rPr>
            </w:pPr>
            <w:r w:rsidRPr="007175E2">
              <w:rPr>
                <w:rFonts w:ascii="Cambria" w:hAnsi="Cambria"/>
                <w:b/>
              </w:rPr>
              <w:lastRenderedPageBreak/>
              <w:t>Total</w:t>
            </w:r>
            <w:r w:rsidRPr="007175E2">
              <w:rPr>
                <w:rFonts w:ascii="Cambria" w:eastAsia="Batang" w:hAnsi="Cambria"/>
                <w:b/>
                <w:vertAlign w:val="superscript"/>
              </w:rPr>
              <w:footnoteReference w:id="5"/>
            </w:r>
          </w:p>
        </w:tc>
      </w:tr>
      <w:tr w:rsidR="001541D4" w:rsidRPr="007175E2" w14:paraId="3DFA7D51" w14:textId="77777777" w:rsidTr="003E6F57">
        <w:trPr>
          <w:trHeight w:val="64"/>
        </w:trPr>
        <w:tc>
          <w:tcPr>
            <w:tcW w:w="7371" w:type="dxa"/>
            <w:tcBorders>
              <w:top w:val="single" w:sz="4" w:space="0" w:color="auto"/>
              <w:left w:val="single" w:sz="4" w:space="0" w:color="auto"/>
              <w:bottom w:val="single" w:sz="4" w:space="0" w:color="auto"/>
              <w:right w:val="single" w:sz="4" w:space="0" w:color="auto"/>
            </w:tcBorders>
          </w:tcPr>
          <w:p w14:paraId="4011F096"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b/>
                <w:bCs/>
                <w:sz w:val="22"/>
                <w:szCs w:val="22"/>
              </w:rPr>
              <w:t xml:space="preserve">Clause 3.8. Employment for the victims. </w:t>
            </w:r>
            <w:r w:rsidRPr="007175E2">
              <w:rPr>
                <w:rFonts w:ascii="Cambria" w:hAnsi="Cambria"/>
                <w:sz w:val="22"/>
                <w:szCs w:val="22"/>
              </w:rPr>
              <w:t xml:space="preserve">The </w:t>
            </w:r>
            <w:r w:rsidRPr="007175E2">
              <w:rPr>
                <w:rFonts w:ascii="Cambria" w:hAnsi="Cambria"/>
                <w:b/>
                <w:bCs/>
                <w:sz w:val="22"/>
                <w:szCs w:val="22"/>
              </w:rPr>
              <w:t xml:space="preserve">"MEXICAN STATE" </w:t>
            </w:r>
            <w:r w:rsidRPr="007175E2">
              <w:rPr>
                <w:rFonts w:ascii="Cambria" w:hAnsi="Cambria"/>
                <w:sz w:val="22"/>
                <w:szCs w:val="22"/>
              </w:rPr>
              <w:t xml:space="preserve">shall take the respective steps to include </w:t>
            </w:r>
            <w:r w:rsidRPr="007175E2">
              <w:rPr>
                <w:rFonts w:ascii="Cambria" w:hAnsi="Cambria"/>
                <w:b/>
                <w:bCs/>
                <w:sz w:val="22"/>
                <w:szCs w:val="22"/>
              </w:rPr>
              <w:t xml:space="preserve">José Leonardo López Hernández </w:t>
            </w:r>
            <w:r w:rsidRPr="007175E2">
              <w:rPr>
                <w:rFonts w:ascii="Cambria" w:hAnsi="Cambria"/>
                <w:sz w:val="22"/>
                <w:szCs w:val="22"/>
              </w:rPr>
              <w:t xml:space="preserve">and </w:t>
            </w:r>
            <w:r w:rsidRPr="007175E2">
              <w:rPr>
                <w:rFonts w:ascii="Cambria" w:hAnsi="Cambria"/>
                <w:b/>
                <w:bCs/>
                <w:sz w:val="22"/>
                <w:szCs w:val="22"/>
              </w:rPr>
              <w:t xml:space="preserve">Ricardo López Hernández </w:t>
            </w:r>
            <w:r w:rsidRPr="007175E2">
              <w:rPr>
                <w:rFonts w:ascii="Cambria" w:hAnsi="Cambria"/>
                <w:sz w:val="22"/>
                <w:szCs w:val="22"/>
              </w:rPr>
              <w:t xml:space="preserve">in the firefighting brigades of the National Forest Commission in San Cristóbal de las Casas beginning in March 2016. </w:t>
            </w:r>
          </w:p>
          <w:p w14:paraId="0B4785D5"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sz w:val="22"/>
                <w:szCs w:val="22"/>
              </w:rPr>
              <w:t xml:space="preserve">This measure shall be deemed implemented once the </w:t>
            </w:r>
            <w:r w:rsidRPr="007175E2">
              <w:rPr>
                <w:rFonts w:ascii="Cambria" w:hAnsi="Cambria"/>
                <w:b/>
                <w:bCs/>
                <w:sz w:val="22"/>
                <w:szCs w:val="22"/>
              </w:rPr>
              <w:t xml:space="preserve">"MEXICAN STATE" </w:t>
            </w:r>
            <w:r w:rsidRPr="007175E2">
              <w:rPr>
                <w:rFonts w:ascii="Cambria" w:hAnsi="Cambria"/>
                <w:sz w:val="22"/>
                <w:szCs w:val="22"/>
              </w:rPr>
              <w:t xml:space="preserve">ensures that they have the joined the above-mentioned brigades. Staying in the job shall be subject to the applicable labor and administrative laws, as well as the codes and regulatory framework of the National Forest Commission. </w:t>
            </w:r>
          </w:p>
          <w:p w14:paraId="51E5FFF7" w14:textId="77777777" w:rsidR="001541D4" w:rsidRPr="007175E2" w:rsidRDefault="001541D4" w:rsidP="00F024F0">
            <w:pPr>
              <w:pStyle w:val="NormalWeb"/>
              <w:spacing w:before="0" w:beforeAutospacing="0" w:after="0" w:afterAutospacing="0"/>
              <w:jc w:val="both"/>
              <w:rPr>
                <w:rFonts w:ascii="Cambria" w:hAnsi="Cambria"/>
                <w:b/>
                <w:bCs/>
                <w:sz w:val="22"/>
                <w:szCs w:val="22"/>
              </w:rPr>
            </w:pPr>
            <w:r w:rsidRPr="007175E2">
              <w:rPr>
                <w:rFonts w:ascii="Cambria" w:hAnsi="Cambria"/>
                <w:b/>
                <w:bCs/>
                <w:sz w:val="22"/>
                <w:szCs w:val="22"/>
              </w:rPr>
              <w:t xml:space="preserve">"THE PARTIES" </w:t>
            </w:r>
            <w:r w:rsidRPr="007175E2">
              <w:rPr>
                <w:rFonts w:ascii="Cambria" w:hAnsi="Cambria"/>
                <w:sz w:val="22"/>
                <w:szCs w:val="22"/>
              </w:rPr>
              <w:t xml:space="preserve">recognize that the </w:t>
            </w:r>
            <w:r w:rsidRPr="007175E2">
              <w:rPr>
                <w:rFonts w:ascii="Cambria" w:hAnsi="Cambria"/>
                <w:b/>
                <w:bCs/>
                <w:sz w:val="22"/>
                <w:szCs w:val="22"/>
              </w:rPr>
              <w:t xml:space="preserve">"MEXICAN STATE" </w:t>
            </w:r>
            <w:r w:rsidRPr="007175E2">
              <w:rPr>
                <w:rFonts w:ascii="Cambria" w:hAnsi="Cambria"/>
                <w:sz w:val="22"/>
                <w:szCs w:val="22"/>
              </w:rPr>
              <w:t xml:space="preserve">shall not be required to provide them with a new job if they do not meet the requirements stipulated in the preceding paragraph. </w:t>
            </w:r>
          </w:p>
        </w:tc>
        <w:tc>
          <w:tcPr>
            <w:tcW w:w="1985" w:type="dxa"/>
            <w:tcBorders>
              <w:top w:val="single" w:sz="4" w:space="0" w:color="auto"/>
              <w:left w:val="single" w:sz="4" w:space="0" w:color="auto"/>
              <w:bottom w:val="single" w:sz="4" w:space="0" w:color="auto"/>
              <w:right w:val="single" w:sz="4" w:space="0" w:color="auto"/>
            </w:tcBorders>
            <w:vAlign w:val="center"/>
          </w:tcPr>
          <w:p w14:paraId="7F997A6C" w14:textId="77777777" w:rsidR="001541D4" w:rsidRPr="007175E2" w:rsidRDefault="001541D4" w:rsidP="00F024F0">
            <w:pPr>
              <w:spacing w:after="0" w:line="240" w:lineRule="auto"/>
              <w:jc w:val="center"/>
              <w:rPr>
                <w:rFonts w:ascii="Cambria" w:hAnsi="Cambria"/>
                <w:b/>
              </w:rPr>
            </w:pPr>
            <w:r w:rsidRPr="007175E2">
              <w:rPr>
                <w:rFonts w:ascii="Cambria" w:hAnsi="Cambria"/>
                <w:b/>
              </w:rPr>
              <w:t>Total</w:t>
            </w:r>
            <w:r w:rsidRPr="007175E2">
              <w:rPr>
                <w:rStyle w:val="FootnoteReference"/>
                <w:rFonts w:ascii="Cambria" w:hAnsi="Cambria"/>
                <w:b/>
              </w:rPr>
              <w:footnoteReference w:id="6"/>
            </w:r>
          </w:p>
        </w:tc>
      </w:tr>
      <w:tr w:rsidR="001541D4" w:rsidRPr="007175E2" w14:paraId="7D5DC5D7" w14:textId="77777777" w:rsidTr="003E6F57">
        <w:trPr>
          <w:trHeight w:val="64"/>
        </w:trPr>
        <w:tc>
          <w:tcPr>
            <w:tcW w:w="7371" w:type="dxa"/>
            <w:tcBorders>
              <w:top w:val="single" w:sz="4" w:space="0" w:color="auto"/>
              <w:left w:val="single" w:sz="4" w:space="0" w:color="auto"/>
              <w:bottom w:val="single" w:sz="4" w:space="0" w:color="auto"/>
              <w:right w:val="single" w:sz="4" w:space="0" w:color="auto"/>
            </w:tcBorders>
          </w:tcPr>
          <w:p w14:paraId="4DA65E79"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b/>
                <w:bCs/>
                <w:sz w:val="22"/>
                <w:szCs w:val="22"/>
              </w:rPr>
              <w:t xml:space="preserve">C. MEASURES OF SATISFACTION </w:t>
            </w:r>
          </w:p>
          <w:p w14:paraId="02831DD4" w14:textId="77777777" w:rsidR="001541D4" w:rsidRPr="007175E2" w:rsidRDefault="001541D4" w:rsidP="00F024F0">
            <w:pPr>
              <w:pStyle w:val="NormalWeb"/>
              <w:spacing w:before="0" w:beforeAutospacing="0" w:after="0" w:afterAutospacing="0"/>
              <w:jc w:val="both"/>
              <w:rPr>
                <w:rFonts w:ascii="Cambria" w:hAnsi="Cambria"/>
                <w:b/>
                <w:bCs/>
                <w:sz w:val="22"/>
                <w:szCs w:val="22"/>
              </w:rPr>
            </w:pPr>
            <w:r w:rsidRPr="007175E2">
              <w:rPr>
                <w:rFonts w:ascii="Cambria" w:hAnsi="Cambria"/>
                <w:b/>
                <w:bCs/>
                <w:sz w:val="22"/>
                <w:szCs w:val="22"/>
              </w:rPr>
              <w:t xml:space="preserve">Clause 3.9. Ceremony recognizing responsibility. </w:t>
            </w:r>
            <w:r w:rsidRPr="007175E2">
              <w:rPr>
                <w:rFonts w:ascii="Cambria" w:hAnsi="Cambria"/>
                <w:sz w:val="22"/>
                <w:szCs w:val="22"/>
              </w:rPr>
              <w:t xml:space="preserve">The </w:t>
            </w:r>
            <w:r w:rsidRPr="007175E2">
              <w:rPr>
                <w:rFonts w:ascii="Cambria" w:hAnsi="Cambria"/>
                <w:b/>
                <w:bCs/>
                <w:sz w:val="22"/>
                <w:szCs w:val="22"/>
              </w:rPr>
              <w:t xml:space="preserve">“MEXICAN STATE” </w:t>
            </w:r>
            <w:r w:rsidRPr="007175E2">
              <w:rPr>
                <w:rFonts w:ascii="Cambria" w:hAnsi="Cambria"/>
                <w:sz w:val="22"/>
                <w:szCs w:val="22"/>
              </w:rPr>
              <w:t xml:space="preserve">shall hold a public ceremony to recognize its responsibility and extend a public apology for the violation of the rights mentioned in </w:t>
            </w:r>
            <w:r w:rsidRPr="007175E2">
              <w:rPr>
                <w:rFonts w:ascii="Cambria" w:hAnsi="Cambria"/>
                <w:b/>
                <w:bCs/>
                <w:sz w:val="22"/>
                <w:szCs w:val="22"/>
              </w:rPr>
              <w:t xml:space="preserve">Clause 2.1. </w:t>
            </w:r>
            <w:r w:rsidRPr="007175E2">
              <w:rPr>
                <w:rFonts w:ascii="Cambria" w:hAnsi="Cambria"/>
                <w:bCs/>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7B1C07A2" w14:textId="77777777" w:rsidR="001541D4" w:rsidRPr="007175E2" w:rsidRDefault="001541D4" w:rsidP="00F024F0">
            <w:pPr>
              <w:spacing w:after="0" w:line="240" w:lineRule="auto"/>
              <w:jc w:val="center"/>
              <w:rPr>
                <w:rFonts w:ascii="Cambria" w:hAnsi="Cambria"/>
                <w:b/>
              </w:rPr>
            </w:pPr>
            <w:r w:rsidRPr="007175E2">
              <w:rPr>
                <w:rFonts w:ascii="Cambria" w:hAnsi="Cambria"/>
                <w:b/>
              </w:rPr>
              <w:t>Total</w:t>
            </w:r>
            <w:r w:rsidRPr="007175E2">
              <w:rPr>
                <w:rStyle w:val="FootnoteReference"/>
                <w:rFonts w:ascii="Cambria" w:eastAsia="Batang" w:hAnsi="Cambria"/>
                <w:b/>
              </w:rPr>
              <w:footnoteReference w:id="7"/>
            </w:r>
          </w:p>
        </w:tc>
      </w:tr>
      <w:tr w:rsidR="001541D4" w:rsidRPr="007175E2" w14:paraId="71CA7B04" w14:textId="77777777" w:rsidTr="003E6F57">
        <w:trPr>
          <w:trHeight w:val="64"/>
        </w:trPr>
        <w:tc>
          <w:tcPr>
            <w:tcW w:w="7371" w:type="dxa"/>
            <w:tcBorders>
              <w:top w:val="single" w:sz="4" w:space="0" w:color="auto"/>
              <w:left w:val="single" w:sz="4" w:space="0" w:color="auto"/>
              <w:bottom w:val="single" w:sz="4" w:space="0" w:color="auto"/>
              <w:right w:val="single" w:sz="4" w:space="0" w:color="auto"/>
            </w:tcBorders>
          </w:tcPr>
          <w:p w14:paraId="117BC0EB" w14:textId="77777777" w:rsidR="001541D4" w:rsidRPr="007175E2" w:rsidRDefault="001541D4" w:rsidP="00F024F0">
            <w:pPr>
              <w:pStyle w:val="NormalWeb"/>
              <w:spacing w:before="0" w:beforeAutospacing="0" w:after="0" w:afterAutospacing="0"/>
              <w:jc w:val="both"/>
              <w:rPr>
                <w:rFonts w:ascii="Cambria" w:hAnsi="Cambria"/>
                <w:b/>
                <w:bCs/>
                <w:sz w:val="22"/>
                <w:szCs w:val="22"/>
              </w:rPr>
            </w:pPr>
            <w:r w:rsidRPr="007175E2">
              <w:rPr>
                <w:rFonts w:ascii="Cambria" w:hAnsi="Cambria"/>
                <w:b/>
                <w:bCs/>
                <w:sz w:val="22"/>
                <w:szCs w:val="22"/>
              </w:rPr>
              <w:t xml:space="preserve">Clause 3.10. Dissemination of the ceremony of recognition of responsibility. "SEGOB" </w:t>
            </w:r>
            <w:r w:rsidRPr="007175E2">
              <w:rPr>
                <w:rFonts w:ascii="Cambria" w:hAnsi="Cambria"/>
                <w:bCs/>
                <w:sz w:val="22"/>
                <w:szCs w:val="22"/>
              </w:rPr>
              <w:t>shall take steps for the one-time publication of an excerpt of the public ceremony of recognition of responsibility and public apology, which shall be disseminated in the official gazette of the federal State (</w:t>
            </w:r>
            <w:r w:rsidRPr="007175E2">
              <w:rPr>
                <w:rFonts w:ascii="Cambria" w:hAnsi="Cambria"/>
                <w:i/>
                <w:sz w:val="22"/>
                <w:szCs w:val="22"/>
              </w:rPr>
              <w:t>Diario Oficial de la Federación</w:t>
            </w:r>
            <w:r w:rsidRPr="007175E2">
              <w:rPr>
                <w:rFonts w:ascii="Cambria" w:hAnsi="Cambria"/>
                <w:sz w:val="22"/>
                <w:szCs w:val="22"/>
              </w:rPr>
              <w:t xml:space="preserve">) and in two newspapers, one with nationwide circulation and the other in the state of Chiapas. </w:t>
            </w:r>
            <w:r w:rsidRPr="007175E2">
              <w:rPr>
                <w:rFonts w:ascii="Cambria" w:hAnsi="Cambria"/>
                <w:bCs/>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53A4BBEE" w14:textId="77777777" w:rsidR="001541D4" w:rsidRPr="007175E2" w:rsidRDefault="001541D4" w:rsidP="00F024F0">
            <w:pPr>
              <w:spacing w:after="0" w:line="240" w:lineRule="auto"/>
              <w:jc w:val="center"/>
              <w:rPr>
                <w:rFonts w:ascii="Cambria" w:hAnsi="Cambria"/>
                <w:b/>
              </w:rPr>
            </w:pPr>
            <w:r w:rsidRPr="007175E2">
              <w:rPr>
                <w:rFonts w:ascii="Cambria" w:hAnsi="Cambria"/>
                <w:b/>
              </w:rPr>
              <w:t>Total</w:t>
            </w:r>
            <w:r w:rsidRPr="007175E2">
              <w:rPr>
                <w:rStyle w:val="FootnoteReference"/>
                <w:rFonts w:ascii="Cambria" w:eastAsia="Batang" w:hAnsi="Cambria"/>
                <w:b/>
              </w:rPr>
              <w:footnoteReference w:id="8"/>
            </w:r>
          </w:p>
        </w:tc>
      </w:tr>
      <w:tr w:rsidR="001541D4" w:rsidRPr="007175E2" w14:paraId="188E5240" w14:textId="77777777" w:rsidTr="003E6F57">
        <w:trPr>
          <w:trHeight w:val="61"/>
        </w:trPr>
        <w:tc>
          <w:tcPr>
            <w:tcW w:w="7371" w:type="dxa"/>
            <w:tcBorders>
              <w:top w:val="single" w:sz="4" w:space="0" w:color="auto"/>
              <w:left w:val="single" w:sz="4" w:space="0" w:color="auto"/>
              <w:bottom w:val="single" w:sz="4" w:space="0" w:color="auto"/>
              <w:right w:val="single" w:sz="4" w:space="0" w:color="auto"/>
            </w:tcBorders>
          </w:tcPr>
          <w:p w14:paraId="7FDE3552"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b/>
                <w:bCs/>
                <w:sz w:val="22"/>
                <w:szCs w:val="22"/>
              </w:rPr>
              <w:t xml:space="preserve">Clause 3.11. Health center and unveiling of a commemorative plaque. </w:t>
            </w:r>
            <w:r w:rsidRPr="007175E2">
              <w:rPr>
                <w:rFonts w:ascii="Cambria" w:hAnsi="Cambria"/>
                <w:sz w:val="22"/>
                <w:szCs w:val="22"/>
              </w:rPr>
              <w:t xml:space="preserve">The </w:t>
            </w:r>
            <w:r w:rsidRPr="007175E2">
              <w:rPr>
                <w:rFonts w:ascii="Cambria" w:hAnsi="Cambria"/>
                <w:b/>
                <w:bCs/>
                <w:sz w:val="22"/>
                <w:szCs w:val="22"/>
              </w:rPr>
              <w:t xml:space="preserve">"MEXICAN STATE," </w:t>
            </w:r>
            <w:r w:rsidRPr="007175E2">
              <w:rPr>
                <w:rFonts w:ascii="Cambria" w:hAnsi="Cambria"/>
                <w:sz w:val="22"/>
                <w:szCs w:val="22"/>
              </w:rPr>
              <w:t xml:space="preserve">through the Health Secretariat of the state of Chiapas, shall name the community clinic of El Aguaje, in the municipality of San Cristóbal de las Casas, Chiapas, "Ángel Díaz Cruz," in tribute to the child who lost his life. In addition, the following actions shall be undertaken: </w:t>
            </w:r>
          </w:p>
          <w:p w14:paraId="0AB08826" w14:textId="77777777" w:rsidR="001541D4" w:rsidRPr="007175E2" w:rsidRDefault="001541D4" w:rsidP="00637AFB">
            <w:pPr>
              <w:pStyle w:val="NormalWeb"/>
              <w:numPr>
                <w:ilvl w:val="0"/>
                <w:numId w:val="33"/>
              </w:numPr>
              <w:spacing w:before="0" w:beforeAutospacing="0" w:after="0" w:afterAutospacing="0"/>
              <w:jc w:val="both"/>
              <w:rPr>
                <w:rFonts w:ascii="Cambria" w:hAnsi="Cambria"/>
                <w:sz w:val="22"/>
                <w:szCs w:val="22"/>
              </w:rPr>
            </w:pPr>
            <w:r w:rsidRPr="007175E2">
              <w:rPr>
                <w:rFonts w:ascii="Cambria" w:hAnsi="Cambria"/>
                <w:sz w:val="22"/>
                <w:szCs w:val="22"/>
              </w:rPr>
              <w:t xml:space="preserve">A person for the nursing area shall be hired. </w:t>
            </w:r>
          </w:p>
          <w:p w14:paraId="3163C8F0" w14:textId="77777777" w:rsidR="001541D4" w:rsidRPr="007175E2" w:rsidRDefault="001541D4" w:rsidP="00637AFB">
            <w:pPr>
              <w:pStyle w:val="NormalWeb"/>
              <w:numPr>
                <w:ilvl w:val="0"/>
                <w:numId w:val="33"/>
              </w:numPr>
              <w:spacing w:before="0" w:beforeAutospacing="0" w:after="0" w:afterAutospacing="0"/>
              <w:jc w:val="both"/>
              <w:rPr>
                <w:rFonts w:ascii="Cambria" w:hAnsi="Cambria"/>
                <w:sz w:val="22"/>
                <w:szCs w:val="22"/>
              </w:rPr>
            </w:pPr>
            <w:r w:rsidRPr="007175E2">
              <w:rPr>
                <w:rFonts w:ascii="Cambria" w:hAnsi="Cambria"/>
                <w:sz w:val="22"/>
                <w:szCs w:val="22"/>
              </w:rPr>
              <w:t>Change of status of the community health center so that it will become a Mononuclear Clinic.</w:t>
            </w:r>
          </w:p>
          <w:p w14:paraId="5C205C54" w14:textId="77777777" w:rsidR="001541D4" w:rsidRPr="007175E2" w:rsidRDefault="001541D4" w:rsidP="00F024F0">
            <w:pPr>
              <w:pStyle w:val="NormalWeb"/>
              <w:spacing w:before="0" w:beforeAutospacing="0" w:after="0" w:afterAutospacing="0"/>
              <w:jc w:val="both"/>
              <w:rPr>
                <w:rFonts w:ascii="Cambria" w:hAnsi="Cambria"/>
                <w:b/>
                <w:bCs/>
                <w:sz w:val="22"/>
                <w:szCs w:val="22"/>
              </w:rPr>
            </w:pPr>
            <w:r w:rsidRPr="007175E2">
              <w:rPr>
                <w:rFonts w:ascii="Cambria" w:hAnsi="Cambria"/>
                <w:sz w:val="22"/>
                <w:szCs w:val="22"/>
              </w:rPr>
              <w:t>In said clinic, the plaque shall be unveiled by the state of Chiapas.</w:t>
            </w:r>
          </w:p>
        </w:tc>
        <w:tc>
          <w:tcPr>
            <w:tcW w:w="1985" w:type="dxa"/>
            <w:tcBorders>
              <w:top w:val="single" w:sz="4" w:space="0" w:color="auto"/>
              <w:left w:val="single" w:sz="4" w:space="0" w:color="auto"/>
              <w:bottom w:val="single" w:sz="4" w:space="0" w:color="auto"/>
              <w:right w:val="single" w:sz="4" w:space="0" w:color="auto"/>
            </w:tcBorders>
            <w:vAlign w:val="center"/>
          </w:tcPr>
          <w:p w14:paraId="6082E4BF" w14:textId="77777777" w:rsidR="001541D4" w:rsidRPr="007175E2" w:rsidRDefault="001541D4" w:rsidP="00F024F0">
            <w:pPr>
              <w:spacing w:after="0" w:line="240" w:lineRule="auto"/>
              <w:jc w:val="center"/>
              <w:rPr>
                <w:rFonts w:ascii="Cambria" w:hAnsi="Cambria"/>
                <w:b/>
              </w:rPr>
            </w:pPr>
            <w:r w:rsidRPr="007175E2">
              <w:rPr>
                <w:rFonts w:ascii="Cambria" w:hAnsi="Cambria"/>
                <w:b/>
              </w:rPr>
              <w:t>Total</w:t>
            </w:r>
            <w:r w:rsidRPr="007175E2">
              <w:rPr>
                <w:rStyle w:val="FootnoteReference"/>
                <w:rFonts w:ascii="Cambria" w:hAnsi="Cambria"/>
                <w:b/>
              </w:rPr>
              <w:footnoteReference w:id="9"/>
            </w:r>
          </w:p>
        </w:tc>
      </w:tr>
      <w:tr w:rsidR="001541D4" w:rsidRPr="007175E2" w14:paraId="43FF8E6E" w14:textId="77777777" w:rsidTr="003E6F57">
        <w:trPr>
          <w:trHeight w:val="61"/>
        </w:trPr>
        <w:tc>
          <w:tcPr>
            <w:tcW w:w="7371" w:type="dxa"/>
            <w:tcBorders>
              <w:top w:val="single" w:sz="4" w:space="0" w:color="auto"/>
              <w:left w:val="single" w:sz="4" w:space="0" w:color="auto"/>
              <w:bottom w:val="single" w:sz="4" w:space="0" w:color="auto"/>
              <w:right w:val="single" w:sz="4" w:space="0" w:color="auto"/>
            </w:tcBorders>
          </w:tcPr>
          <w:p w14:paraId="26F61314"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b/>
                <w:bCs/>
                <w:sz w:val="22"/>
                <w:szCs w:val="22"/>
              </w:rPr>
              <w:t xml:space="preserve">D. GUARANTEES OF NON-REPETITION </w:t>
            </w:r>
          </w:p>
          <w:p w14:paraId="4946B816"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b/>
                <w:bCs/>
                <w:sz w:val="22"/>
                <w:szCs w:val="22"/>
              </w:rPr>
              <w:t xml:space="preserve">3.12. Training courses for operators of justice. </w:t>
            </w:r>
            <w:r w:rsidRPr="007175E2">
              <w:rPr>
                <w:rFonts w:ascii="Cambria" w:hAnsi="Cambria"/>
                <w:sz w:val="22"/>
                <w:szCs w:val="22"/>
              </w:rPr>
              <w:t xml:space="preserve">The </w:t>
            </w:r>
            <w:r w:rsidRPr="007175E2">
              <w:rPr>
                <w:rFonts w:ascii="Cambria" w:hAnsi="Cambria"/>
                <w:b/>
                <w:bCs/>
                <w:sz w:val="22"/>
                <w:szCs w:val="22"/>
              </w:rPr>
              <w:t xml:space="preserve">“SG OF CHIAPAS” </w:t>
            </w:r>
            <w:r w:rsidRPr="007175E2">
              <w:rPr>
                <w:rFonts w:ascii="Cambria" w:hAnsi="Cambria"/>
                <w:sz w:val="22"/>
                <w:szCs w:val="22"/>
              </w:rPr>
              <w:t xml:space="preserve">shall provide human rights training to the civil servants of the law enforcement and administration of justice institutions of Chiapas. </w:t>
            </w:r>
          </w:p>
          <w:p w14:paraId="39110B52" w14:textId="77777777" w:rsidR="001541D4" w:rsidRPr="007175E2" w:rsidRDefault="001541D4" w:rsidP="00F024F0">
            <w:pPr>
              <w:pStyle w:val="NormalWeb"/>
              <w:spacing w:before="0" w:beforeAutospacing="0" w:after="0" w:afterAutospacing="0"/>
              <w:jc w:val="both"/>
              <w:rPr>
                <w:rFonts w:ascii="Cambria" w:hAnsi="Cambria"/>
                <w:b/>
                <w:bCs/>
                <w:sz w:val="22"/>
                <w:szCs w:val="22"/>
              </w:rPr>
            </w:pPr>
            <w:r w:rsidRPr="007175E2">
              <w:rPr>
                <w:rFonts w:ascii="Cambria" w:hAnsi="Cambria"/>
                <w:sz w:val="22"/>
                <w:szCs w:val="22"/>
              </w:rPr>
              <w:lastRenderedPageBreak/>
              <w:t xml:space="preserve">In addition to the ongoing training programs that are currently available, the </w:t>
            </w:r>
            <w:r w:rsidRPr="007175E2">
              <w:rPr>
                <w:rFonts w:ascii="Cambria" w:hAnsi="Cambria"/>
                <w:b/>
                <w:bCs/>
                <w:sz w:val="22"/>
                <w:szCs w:val="22"/>
              </w:rPr>
              <w:t xml:space="preserve">“SG OF CHIAPAS” </w:t>
            </w:r>
            <w:r w:rsidRPr="007175E2">
              <w:rPr>
                <w:rFonts w:ascii="Cambria" w:hAnsi="Cambria"/>
                <w:sz w:val="22"/>
                <w:szCs w:val="22"/>
              </w:rPr>
              <w:t xml:space="preserve">shall conduct a training course for at least 80 members of the Office of the Attorney General of Chiapas and 80 members of the Superior Court of Justice of the state of Chiapas. The course must be provided within 12 months after the present instrument has been signed. </w:t>
            </w:r>
          </w:p>
        </w:tc>
        <w:tc>
          <w:tcPr>
            <w:tcW w:w="1985" w:type="dxa"/>
            <w:tcBorders>
              <w:top w:val="single" w:sz="4" w:space="0" w:color="auto"/>
              <w:left w:val="single" w:sz="4" w:space="0" w:color="auto"/>
              <w:bottom w:val="single" w:sz="4" w:space="0" w:color="auto"/>
              <w:right w:val="single" w:sz="4" w:space="0" w:color="auto"/>
            </w:tcBorders>
            <w:vAlign w:val="center"/>
          </w:tcPr>
          <w:p w14:paraId="5DEC0EC5" w14:textId="77777777" w:rsidR="001541D4" w:rsidRPr="007175E2" w:rsidRDefault="001541D4" w:rsidP="00F024F0">
            <w:pPr>
              <w:spacing w:after="0" w:line="240" w:lineRule="auto"/>
              <w:jc w:val="center"/>
              <w:rPr>
                <w:rFonts w:ascii="Cambria" w:hAnsi="Cambria"/>
                <w:b/>
              </w:rPr>
            </w:pPr>
            <w:r w:rsidRPr="007175E2">
              <w:rPr>
                <w:rFonts w:ascii="Cambria" w:hAnsi="Cambria"/>
                <w:b/>
              </w:rPr>
              <w:lastRenderedPageBreak/>
              <w:t>Total</w:t>
            </w:r>
            <w:r w:rsidRPr="007175E2">
              <w:rPr>
                <w:rStyle w:val="FootnoteReference"/>
                <w:rFonts w:ascii="Cambria" w:eastAsia="Batang" w:hAnsi="Cambria"/>
                <w:b/>
              </w:rPr>
              <w:footnoteReference w:id="10"/>
            </w:r>
          </w:p>
        </w:tc>
      </w:tr>
      <w:tr w:rsidR="001541D4" w:rsidRPr="007175E2" w14:paraId="32F8FDDA" w14:textId="77777777" w:rsidTr="003E6F57">
        <w:trPr>
          <w:trHeight w:val="61"/>
        </w:trPr>
        <w:tc>
          <w:tcPr>
            <w:tcW w:w="7371" w:type="dxa"/>
            <w:tcBorders>
              <w:top w:val="single" w:sz="4" w:space="0" w:color="auto"/>
              <w:left w:val="single" w:sz="4" w:space="0" w:color="auto"/>
              <w:bottom w:val="single" w:sz="4" w:space="0" w:color="auto"/>
              <w:right w:val="single" w:sz="4" w:space="0" w:color="auto"/>
            </w:tcBorders>
          </w:tcPr>
          <w:p w14:paraId="3E07FD42" w14:textId="77777777" w:rsidR="001541D4" w:rsidRPr="007175E2" w:rsidRDefault="001541D4" w:rsidP="00F024F0">
            <w:pPr>
              <w:pStyle w:val="NormalWeb"/>
              <w:spacing w:before="0" w:beforeAutospacing="0" w:after="0" w:afterAutospacing="0"/>
              <w:rPr>
                <w:rFonts w:ascii="Cambria" w:hAnsi="Cambria"/>
                <w:b/>
                <w:bCs/>
                <w:sz w:val="22"/>
                <w:szCs w:val="22"/>
              </w:rPr>
            </w:pPr>
            <w:r w:rsidRPr="007175E2">
              <w:rPr>
                <w:rFonts w:ascii="Cambria" w:hAnsi="Cambria"/>
                <w:b/>
                <w:bCs/>
                <w:sz w:val="22"/>
                <w:szCs w:val="22"/>
              </w:rPr>
              <w:t>E. COMPENSATORY DAMAGES</w:t>
            </w:r>
          </w:p>
          <w:p w14:paraId="538BAB03" w14:textId="77777777" w:rsidR="001541D4" w:rsidRPr="007175E2" w:rsidRDefault="001541D4" w:rsidP="00F024F0">
            <w:pPr>
              <w:pStyle w:val="NormalWeb"/>
              <w:spacing w:before="0" w:beforeAutospacing="0" w:after="0" w:afterAutospacing="0"/>
              <w:jc w:val="both"/>
              <w:rPr>
                <w:rFonts w:ascii="Cambria" w:hAnsi="Cambria"/>
                <w:b/>
                <w:bCs/>
                <w:sz w:val="22"/>
                <w:szCs w:val="22"/>
              </w:rPr>
            </w:pPr>
            <w:r w:rsidRPr="007175E2">
              <w:rPr>
                <w:rFonts w:ascii="Cambria" w:hAnsi="Cambria"/>
                <w:b/>
                <w:bCs/>
                <w:sz w:val="22"/>
                <w:szCs w:val="22"/>
              </w:rPr>
              <w:t xml:space="preserve">Clause 3.13. Compensation for pecuniary and nonpecuniary damages: </w:t>
            </w:r>
            <w:r w:rsidRPr="007175E2">
              <w:rPr>
                <w:rFonts w:ascii="Cambria" w:hAnsi="Cambria"/>
                <w:sz w:val="22"/>
                <w:szCs w:val="22"/>
              </w:rPr>
              <w:t xml:space="preserve">The amounts for the payment of pecuniary and nonpecuniary damages shall be calculated in conformity with the </w:t>
            </w:r>
            <w:r w:rsidRPr="007175E2">
              <w:rPr>
                <w:rFonts w:ascii="Cambria" w:hAnsi="Cambria"/>
                <w:b/>
                <w:bCs/>
                <w:sz w:val="22"/>
                <w:szCs w:val="22"/>
              </w:rPr>
              <w:t xml:space="preserve">"RULES OF OPERATION OF THE TRUST FUND" </w:t>
            </w:r>
            <w:r w:rsidRPr="007175E2">
              <w:rPr>
                <w:rFonts w:ascii="Cambria" w:hAnsi="Cambria"/>
                <w:bCs/>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302C6A5B" w14:textId="77777777" w:rsidR="001541D4" w:rsidRPr="007175E2" w:rsidRDefault="001541D4" w:rsidP="00F024F0">
            <w:pPr>
              <w:spacing w:after="0" w:line="240" w:lineRule="auto"/>
              <w:jc w:val="center"/>
              <w:rPr>
                <w:rFonts w:ascii="Cambria" w:hAnsi="Cambria"/>
                <w:b/>
              </w:rPr>
            </w:pPr>
            <w:r w:rsidRPr="007175E2">
              <w:rPr>
                <w:rFonts w:ascii="Cambria" w:hAnsi="Cambria"/>
                <w:b/>
              </w:rPr>
              <w:t>Total</w:t>
            </w:r>
            <w:r w:rsidRPr="007175E2">
              <w:rPr>
                <w:rStyle w:val="FootnoteReference"/>
                <w:rFonts w:ascii="Cambria" w:eastAsia="Batang" w:hAnsi="Cambria"/>
                <w:b/>
              </w:rPr>
              <w:footnoteReference w:id="11"/>
            </w:r>
          </w:p>
        </w:tc>
      </w:tr>
      <w:tr w:rsidR="001541D4" w:rsidRPr="007175E2" w14:paraId="19CD2F3F" w14:textId="77777777" w:rsidTr="003E6F57">
        <w:trPr>
          <w:trHeight w:val="61"/>
        </w:trPr>
        <w:tc>
          <w:tcPr>
            <w:tcW w:w="7371" w:type="dxa"/>
            <w:tcBorders>
              <w:top w:val="single" w:sz="4" w:space="0" w:color="auto"/>
              <w:left w:val="single" w:sz="4" w:space="0" w:color="auto"/>
              <w:bottom w:val="single" w:sz="4" w:space="0" w:color="auto"/>
              <w:right w:val="single" w:sz="4" w:space="0" w:color="auto"/>
            </w:tcBorders>
          </w:tcPr>
          <w:p w14:paraId="152F510A" w14:textId="77777777" w:rsidR="001541D4" w:rsidRPr="007175E2" w:rsidRDefault="001541D4" w:rsidP="00F024F0">
            <w:pPr>
              <w:pStyle w:val="NormalWeb"/>
              <w:spacing w:before="0" w:beforeAutospacing="0" w:after="0" w:afterAutospacing="0"/>
              <w:jc w:val="both"/>
              <w:rPr>
                <w:rFonts w:ascii="Cambria" w:hAnsi="Cambria"/>
                <w:b/>
                <w:bCs/>
                <w:sz w:val="22"/>
                <w:szCs w:val="22"/>
              </w:rPr>
            </w:pPr>
            <w:r w:rsidRPr="007175E2">
              <w:rPr>
                <w:rFonts w:ascii="Cambria" w:hAnsi="Cambria"/>
                <w:b/>
                <w:bCs/>
                <w:sz w:val="22"/>
                <w:szCs w:val="22"/>
              </w:rPr>
              <w:t>Clause 3.14. Methods to payment the compensation:</w:t>
            </w:r>
          </w:p>
          <w:p w14:paraId="5344B2FD"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sz w:val="22"/>
                <w:szCs w:val="22"/>
              </w:rPr>
              <w:t xml:space="preserve">The amounts indicated in Annex 2 shall be paid to the victims within one month after the present </w:t>
            </w:r>
            <w:r w:rsidRPr="007175E2">
              <w:rPr>
                <w:rFonts w:ascii="Cambria" w:hAnsi="Cambria"/>
                <w:b/>
                <w:sz w:val="22"/>
                <w:szCs w:val="22"/>
              </w:rPr>
              <w:t>“AGREEMENT”</w:t>
            </w:r>
            <w:r w:rsidRPr="007175E2">
              <w:rPr>
                <w:rFonts w:ascii="Cambria" w:hAnsi="Cambria"/>
                <w:sz w:val="22"/>
                <w:szCs w:val="22"/>
              </w:rPr>
              <w:t xml:space="preserve"> has been signed, as long as they meet the indispensable formal requirements stipulated by Mexican law for its payment. If any circumstance relative to the payment of the amounts arises, the provisions of the </w:t>
            </w:r>
            <w:r w:rsidRPr="007175E2">
              <w:rPr>
                <w:rFonts w:ascii="Cambria" w:hAnsi="Cambria"/>
                <w:b/>
                <w:bCs/>
                <w:sz w:val="22"/>
                <w:szCs w:val="22"/>
              </w:rPr>
              <w:t>"RULES OF OPERATION OF THE TRUST FUND"</w:t>
            </w:r>
            <w:r w:rsidRPr="007175E2">
              <w:rPr>
                <w:rFonts w:ascii="Cambria" w:hAnsi="Cambria"/>
                <w:bCs/>
                <w:sz w:val="22"/>
                <w:szCs w:val="22"/>
              </w:rPr>
              <w:t xml:space="preserve"> shall be followed.</w:t>
            </w:r>
          </w:p>
          <w:p w14:paraId="0D938342" w14:textId="77777777" w:rsidR="001541D4" w:rsidRPr="007175E2" w:rsidRDefault="001541D4" w:rsidP="00F024F0">
            <w:pPr>
              <w:pStyle w:val="NormalWeb"/>
              <w:spacing w:before="0" w:beforeAutospacing="0" w:after="0" w:afterAutospacing="0"/>
              <w:rPr>
                <w:rFonts w:ascii="Cambria" w:hAnsi="Cambria"/>
                <w:b/>
                <w:bCs/>
                <w:sz w:val="22"/>
                <w:szCs w:val="22"/>
              </w:rPr>
            </w:pPr>
            <w:r w:rsidRPr="007175E2">
              <w:rPr>
                <w:rFonts w:ascii="Cambria" w:hAnsi="Cambria"/>
                <w:sz w:val="22"/>
                <w:szCs w:val="22"/>
              </w:rPr>
              <w:t xml:space="preserve">These payments shall be made only once and constitute the total amount of the economic reparations that the </w:t>
            </w:r>
            <w:r w:rsidRPr="007175E2">
              <w:rPr>
                <w:rFonts w:ascii="Cambria" w:hAnsi="Cambria"/>
                <w:b/>
                <w:bCs/>
                <w:sz w:val="22"/>
                <w:szCs w:val="22"/>
              </w:rPr>
              <w:t xml:space="preserve">"MEXICAN STATE" </w:t>
            </w:r>
            <w:r w:rsidRPr="007175E2">
              <w:rPr>
                <w:rFonts w:ascii="Cambria" w:hAnsi="Cambria"/>
                <w:sz w:val="22"/>
                <w:szCs w:val="22"/>
              </w:rPr>
              <w:t>shall pay in compensation for the damages stemming from the violations indicated in Clause 2.1.</w:t>
            </w:r>
          </w:p>
        </w:tc>
        <w:tc>
          <w:tcPr>
            <w:tcW w:w="1985" w:type="dxa"/>
            <w:tcBorders>
              <w:top w:val="single" w:sz="4" w:space="0" w:color="auto"/>
              <w:left w:val="single" w:sz="4" w:space="0" w:color="auto"/>
              <w:bottom w:val="single" w:sz="4" w:space="0" w:color="auto"/>
              <w:right w:val="single" w:sz="4" w:space="0" w:color="auto"/>
            </w:tcBorders>
            <w:vAlign w:val="center"/>
          </w:tcPr>
          <w:p w14:paraId="6F1F2B4E" w14:textId="77777777" w:rsidR="001541D4" w:rsidRPr="007175E2" w:rsidRDefault="001541D4" w:rsidP="00F024F0">
            <w:pPr>
              <w:spacing w:after="0" w:line="240" w:lineRule="auto"/>
              <w:jc w:val="center"/>
              <w:rPr>
                <w:rFonts w:ascii="Cambria" w:hAnsi="Cambria"/>
                <w:b/>
              </w:rPr>
            </w:pPr>
            <w:r w:rsidRPr="007175E2">
              <w:rPr>
                <w:rFonts w:ascii="Cambria" w:hAnsi="Cambria"/>
                <w:b/>
              </w:rPr>
              <w:t>Total</w:t>
            </w:r>
            <w:r w:rsidRPr="007175E2">
              <w:rPr>
                <w:rStyle w:val="FootnoteReference"/>
                <w:rFonts w:ascii="Cambria" w:eastAsia="Batang" w:hAnsi="Cambria"/>
                <w:b/>
              </w:rPr>
              <w:footnoteReference w:id="12"/>
            </w:r>
          </w:p>
        </w:tc>
      </w:tr>
      <w:tr w:rsidR="001541D4" w:rsidRPr="007175E2" w14:paraId="6030D69B" w14:textId="77777777" w:rsidTr="003E6F57">
        <w:trPr>
          <w:trHeight w:val="61"/>
        </w:trPr>
        <w:tc>
          <w:tcPr>
            <w:tcW w:w="7371" w:type="dxa"/>
            <w:tcBorders>
              <w:top w:val="single" w:sz="4" w:space="0" w:color="auto"/>
              <w:left w:val="single" w:sz="4" w:space="0" w:color="auto"/>
              <w:bottom w:val="single" w:sz="4" w:space="0" w:color="auto"/>
              <w:right w:val="single" w:sz="4" w:space="0" w:color="auto"/>
            </w:tcBorders>
          </w:tcPr>
          <w:p w14:paraId="6F9A4A8B" w14:textId="77777777" w:rsidR="001541D4" w:rsidRPr="007175E2" w:rsidRDefault="001541D4" w:rsidP="00F024F0">
            <w:pPr>
              <w:pStyle w:val="NormalWeb"/>
              <w:spacing w:before="0" w:beforeAutospacing="0" w:after="0" w:afterAutospacing="0"/>
              <w:jc w:val="both"/>
              <w:rPr>
                <w:rFonts w:ascii="Cambria" w:hAnsi="Cambria"/>
                <w:sz w:val="22"/>
                <w:szCs w:val="22"/>
              </w:rPr>
            </w:pPr>
            <w:r w:rsidRPr="007175E2">
              <w:rPr>
                <w:rFonts w:ascii="Cambria" w:hAnsi="Cambria"/>
                <w:b/>
                <w:bCs/>
                <w:sz w:val="22"/>
                <w:szCs w:val="22"/>
              </w:rPr>
              <w:t xml:space="preserve">Clause 3.15. Delivery of the Production Project: </w:t>
            </w:r>
            <w:r w:rsidRPr="007175E2">
              <w:rPr>
                <w:rFonts w:ascii="Cambria" w:hAnsi="Cambria"/>
                <w:sz w:val="22"/>
                <w:szCs w:val="22"/>
              </w:rPr>
              <w:t xml:space="preserve">As a measure of compensation, the </w:t>
            </w:r>
            <w:r w:rsidRPr="007175E2">
              <w:rPr>
                <w:rFonts w:ascii="Cambria" w:hAnsi="Cambria"/>
                <w:b/>
                <w:bCs/>
                <w:sz w:val="22"/>
                <w:szCs w:val="22"/>
              </w:rPr>
              <w:t xml:space="preserve">"MEXICAN STATE,” </w:t>
            </w:r>
            <w:r w:rsidRPr="007175E2">
              <w:rPr>
                <w:rFonts w:ascii="Cambria" w:hAnsi="Cambria"/>
                <w:sz w:val="22"/>
                <w:szCs w:val="22"/>
              </w:rPr>
              <w:t xml:space="preserve">through the government of the state of Chiapas, the </w:t>
            </w:r>
            <w:r w:rsidRPr="007175E2">
              <w:rPr>
                <w:rFonts w:ascii="Cambria" w:hAnsi="Cambria"/>
                <w:b/>
                <w:bCs/>
                <w:sz w:val="22"/>
                <w:szCs w:val="22"/>
              </w:rPr>
              <w:t xml:space="preserve">"SG OF CHIAPAS" </w:t>
            </w:r>
            <w:r w:rsidRPr="007175E2">
              <w:rPr>
                <w:rFonts w:ascii="Cambria" w:hAnsi="Cambria"/>
                <w:sz w:val="22"/>
                <w:szCs w:val="22"/>
              </w:rPr>
              <w:t xml:space="preserve">pledges to implement a production project for each one of </w:t>
            </w:r>
            <w:r w:rsidRPr="007175E2">
              <w:rPr>
                <w:rFonts w:ascii="Cambria" w:hAnsi="Cambria"/>
                <w:b/>
                <w:bCs/>
                <w:sz w:val="22"/>
                <w:szCs w:val="22"/>
              </w:rPr>
              <w:t xml:space="preserve">"THE VICTIMS” </w:t>
            </w:r>
            <w:r w:rsidRPr="007175E2">
              <w:rPr>
                <w:rFonts w:ascii="Cambria" w:hAnsi="Cambria"/>
                <w:bCs/>
                <w:sz w:val="22"/>
                <w:szCs w:val="22"/>
              </w:rPr>
              <w:t>from among the current programs in various competent state entities in conformity with the applicable law and regulatory framework</w:t>
            </w:r>
            <w:r w:rsidRPr="007175E2">
              <w:rPr>
                <w:rFonts w:ascii="Cambria" w:hAnsi="Cambria"/>
                <w:sz w:val="22"/>
                <w:szCs w:val="22"/>
              </w:rPr>
              <w:t>.</w:t>
            </w:r>
          </w:p>
          <w:p w14:paraId="0D2A9B5A" w14:textId="77777777" w:rsidR="001541D4" w:rsidRPr="007175E2" w:rsidRDefault="001541D4" w:rsidP="00F024F0">
            <w:pPr>
              <w:pStyle w:val="Default"/>
              <w:jc w:val="both"/>
              <w:rPr>
                <w:color w:val="auto"/>
                <w:sz w:val="22"/>
                <w:szCs w:val="22"/>
              </w:rPr>
            </w:pPr>
            <w:r w:rsidRPr="007175E2">
              <w:rPr>
                <w:color w:val="auto"/>
                <w:sz w:val="22"/>
                <w:szCs w:val="22"/>
              </w:rPr>
              <w:t xml:space="preserve">For the purposes of the present document, </w:t>
            </w:r>
            <w:r w:rsidRPr="007175E2">
              <w:rPr>
                <w:b/>
                <w:bCs/>
                <w:color w:val="auto"/>
                <w:sz w:val="22"/>
                <w:szCs w:val="22"/>
              </w:rPr>
              <w:t xml:space="preserve">"THE PARTIES" </w:t>
            </w:r>
            <w:r w:rsidRPr="007175E2">
              <w:rPr>
                <w:bCs/>
                <w:color w:val="auto"/>
                <w:sz w:val="22"/>
                <w:szCs w:val="22"/>
              </w:rPr>
              <w:t>shall understand that a “production project” is one of the programs currently in force in the government of the state of</w:t>
            </w:r>
            <w:r w:rsidRPr="007175E2">
              <w:rPr>
                <w:color w:val="auto"/>
                <w:sz w:val="22"/>
                <w:szCs w:val="22"/>
              </w:rPr>
              <w:t xml:space="preserve"> Chiapas, which is aimed at promoting the development of activities that boost income earning and increase the level of productivity of the persons implementing it. </w:t>
            </w:r>
          </w:p>
          <w:p w14:paraId="3696920E" w14:textId="77777777" w:rsidR="001541D4" w:rsidRPr="007175E2" w:rsidRDefault="001541D4" w:rsidP="00F024F0">
            <w:pPr>
              <w:pStyle w:val="Default"/>
              <w:jc w:val="both"/>
              <w:rPr>
                <w:color w:val="auto"/>
                <w:sz w:val="22"/>
                <w:szCs w:val="22"/>
              </w:rPr>
            </w:pPr>
            <w:r w:rsidRPr="007175E2">
              <w:rPr>
                <w:color w:val="auto"/>
                <w:sz w:val="22"/>
                <w:szCs w:val="22"/>
              </w:rPr>
              <w:t xml:space="preserve">The program shall be implemented just once. The </w:t>
            </w:r>
            <w:r w:rsidRPr="007175E2">
              <w:rPr>
                <w:b/>
                <w:bCs/>
                <w:color w:val="auto"/>
                <w:sz w:val="22"/>
                <w:szCs w:val="22"/>
              </w:rPr>
              <w:t xml:space="preserve">"SG OF CHIAPAS" </w:t>
            </w:r>
            <w:r w:rsidRPr="007175E2">
              <w:rPr>
                <w:color w:val="auto"/>
                <w:sz w:val="22"/>
                <w:szCs w:val="22"/>
              </w:rPr>
              <w:t xml:space="preserve">pledges to present the production project options to </w:t>
            </w:r>
            <w:r w:rsidRPr="007175E2">
              <w:rPr>
                <w:b/>
                <w:bCs/>
                <w:color w:val="auto"/>
                <w:sz w:val="22"/>
                <w:szCs w:val="22"/>
              </w:rPr>
              <w:t xml:space="preserve">"THE VICTIMS," </w:t>
            </w:r>
            <w:r w:rsidRPr="007175E2">
              <w:rPr>
                <w:color w:val="auto"/>
                <w:sz w:val="22"/>
                <w:szCs w:val="22"/>
              </w:rPr>
              <w:t xml:space="preserve">and the latter pledge to choose one that meets their needs. If none of the existing production projects meets their needs and they decide to opt not to choose any of them, the obligations contained in the present clause to be implemented by the </w:t>
            </w:r>
            <w:r w:rsidRPr="007175E2">
              <w:rPr>
                <w:b/>
                <w:bCs/>
                <w:color w:val="auto"/>
                <w:sz w:val="22"/>
                <w:szCs w:val="22"/>
              </w:rPr>
              <w:t xml:space="preserve">"MEXICAN STATE" </w:t>
            </w:r>
            <w:r w:rsidRPr="007175E2">
              <w:rPr>
                <w:color w:val="auto"/>
                <w:sz w:val="22"/>
                <w:szCs w:val="22"/>
              </w:rPr>
              <w:t xml:space="preserve">shall be deemed duly fulfilled. </w:t>
            </w:r>
          </w:p>
          <w:p w14:paraId="496DEC11" w14:textId="77777777" w:rsidR="001541D4" w:rsidRPr="007175E2" w:rsidRDefault="001541D4" w:rsidP="00F024F0">
            <w:pPr>
              <w:pStyle w:val="Default"/>
              <w:jc w:val="both"/>
              <w:rPr>
                <w:color w:val="auto"/>
                <w:sz w:val="22"/>
                <w:szCs w:val="22"/>
              </w:rPr>
            </w:pPr>
            <w:r w:rsidRPr="007175E2">
              <w:rPr>
                <w:color w:val="auto"/>
                <w:sz w:val="22"/>
                <w:szCs w:val="22"/>
              </w:rPr>
              <w:t xml:space="preserve">If </w:t>
            </w:r>
            <w:r w:rsidRPr="007175E2">
              <w:rPr>
                <w:b/>
                <w:bCs/>
                <w:color w:val="auto"/>
                <w:sz w:val="22"/>
                <w:szCs w:val="22"/>
              </w:rPr>
              <w:t xml:space="preserve">"THE VICTIMS" </w:t>
            </w:r>
            <w:r w:rsidRPr="007175E2">
              <w:rPr>
                <w:color w:val="auto"/>
                <w:sz w:val="22"/>
                <w:szCs w:val="22"/>
              </w:rPr>
              <w:t xml:space="preserve">choose a production project sponsored by the </w:t>
            </w:r>
            <w:r w:rsidRPr="007175E2">
              <w:rPr>
                <w:b/>
                <w:bCs/>
                <w:color w:val="auto"/>
                <w:sz w:val="22"/>
                <w:szCs w:val="22"/>
              </w:rPr>
              <w:t xml:space="preserve">"SG OF CHIAPAS," </w:t>
            </w:r>
            <w:r w:rsidRPr="007175E2">
              <w:rPr>
                <w:color w:val="auto"/>
                <w:sz w:val="22"/>
                <w:szCs w:val="22"/>
              </w:rPr>
              <w:t xml:space="preserve">it shall be their responsibility to ensure the project’s continuity. They also pledge to receive the training needed to implement it, and they cannot miss it more than twice. </w:t>
            </w:r>
            <w:r w:rsidRPr="007175E2">
              <w:rPr>
                <w:b/>
                <w:bCs/>
                <w:color w:val="auto"/>
                <w:sz w:val="22"/>
                <w:szCs w:val="22"/>
              </w:rPr>
              <w:t xml:space="preserve">“THE PARTIES" </w:t>
            </w:r>
            <w:r w:rsidRPr="007175E2">
              <w:rPr>
                <w:color w:val="auto"/>
                <w:sz w:val="22"/>
                <w:szCs w:val="22"/>
              </w:rPr>
              <w:t xml:space="preserve">agree that, if </w:t>
            </w:r>
            <w:r w:rsidRPr="007175E2">
              <w:rPr>
                <w:b/>
                <w:bCs/>
                <w:color w:val="auto"/>
                <w:sz w:val="22"/>
                <w:szCs w:val="22"/>
              </w:rPr>
              <w:t xml:space="preserve">"THE VICTIMS" </w:t>
            </w:r>
            <w:r w:rsidRPr="007175E2">
              <w:rPr>
                <w:color w:val="auto"/>
                <w:sz w:val="22"/>
                <w:szCs w:val="22"/>
              </w:rPr>
              <w:t xml:space="preserve">decide to miss the stipulated training more than twice, the </w:t>
            </w:r>
            <w:r w:rsidRPr="007175E2">
              <w:rPr>
                <w:color w:val="auto"/>
                <w:sz w:val="22"/>
                <w:szCs w:val="22"/>
              </w:rPr>
              <w:lastRenderedPageBreak/>
              <w:t xml:space="preserve">obligations in the present clause under the aegis of the </w:t>
            </w:r>
            <w:r w:rsidRPr="007175E2">
              <w:rPr>
                <w:b/>
                <w:bCs/>
                <w:color w:val="auto"/>
                <w:sz w:val="22"/>
                <w:szCs w:val="22"/>
              </w:rPr>
              <w:t xml:space="preserve">"MEXICAN STATE" </w:t>
            </w:r>
            <w:r w:rsidRPr="007175E2">
              <w:rPr>
                <w:color w:val="auto"/>
                <w:sz w:val="22"/>
                <w:szCs w:val="22"/>
              </w:rPr>
              <w:t xml:space="preserve">shall be deemed duly fulfilled. </w:t>
            </w:r>
          </w:p>
          <w:p w14:paraId="19061EDF" w14:textId="77777777" w:rsidR="001541D4" w:rsidRPr="007175E2" w:rsidRDefault="001541D4" w:rsidP="00F024F0">
            <w:pPr>
              <w:pStyle w:val="NormalWeb"/>
              <w:spacing w:before="0" w:beforeAutospacing="0" w:after="0" w:afterAutospacing="0"/>
              <w:jc w:val="both"/>
              <w:rPr>
                <w:rFonts w:ascii="Cambria" w:hAnsi="Cambria"/>
                <w:b/>
                <w:bCs/>
                <w:sz w:val="22"/>
                <w:szCs w:val="22"/>
              </w:rPr>
            </w:pPr>
            <w:r w:rsidRPr="007175E2">
              <w:rPr>
                <w:rFonts w:ascii="Cambria" w:hAnsi="Cambria"/>
                <w:sz w:val="22"/>
                <w:szCs w:val="22"/>
              </w:rPr>
              <w:t xml:space="preserve">The characteristics of the production projects for each one of the families are described in Annex 3, which shall be agreed upon by </w:t>
            </w:r>
            <w:r w:rsidRPr="007175E2">
              <w:rPr>
                <w:rFonts w:ascii="Cambria" w:hAnsi="Cambria"/>
                <w:b/>
                <w:bCs/>
                <w:sz w:val="22"/>
                <w:szCs w:val="22"/>
              </w:rPr>
              <w:t>"THE PARTIES"</w:t>
            </w:r>
            <w:r w:rsidRPr="007175E2">
              <w:rPr>
                <w:rFonts w:ascii="Cambria" w:hAnsi="Cambria"/>
                <w:bCs/>
                <w:sz w:val="22"/>
                <w:szCs w:val="22"/>
              </w:rPr>
              <w:t xml:space="preserve"> within three months, at the latest, after the present</w:t>
            </w:r>
            <w:r w:rsidRPr="007175E2">
              <w:rPr>
                <w:rFonts w:ascii="Cambria" w:hAnsi="Cambria"/>
                <w:sz w:val="22"/>
                <w:szCs w:val="22"/>
              </w:rPr>
              <w:t xml:space="preserve"> </w:t>
            </w:r>
            <w:r w:rsidRPr="007175E2">
              <w:rPr>
                <w:rFonts w:ascii="Cambria" w:hAnsi="Cambria"/>
                <w:b/>
                <w:bCs/>
                <w:sz w:val="22"/>
                <w:szCs w:val="22"/>
              </w:rPr>
              <w:t>"AGREEMENT"</w:t>
            </w:r>
            <w:r w:rsidRPr="007175E2">
              <w:rPr>
                <w:rFonts w:ascii="Cambria" w:hAnsi="Cambria"/>
                <w:bCs/>
                <w:sz w:val="22"/>
                <w:szCs w:val="22"/>
              </w:rPr>
              <w:t xml:space="preserve"> has been signed.</w:t>
            </w:r>
          </w:p>
        </w:tc>
        <w:tc>
          <w:tcPr>
            <w:tcW w:w="1985" w:type="dxa"/>
            <w:tcBorders>
              <w:top w:val="single" w:sz="4" w:space="0" w:color="auto"/>
              <w:left w:val="single" w:sz="4" w:space="0" w:color="auto"/>
              <w:bottom w:val="single" w:sz="4" w:space="0" w:color="auto"/>
              <w:right w:val="single" w:sz="4" w:space="0" w:color="auto"/>
            </w:tcBorders>
            <w:vAlign w:val="center"/>
          </w:tcPr>
          <w:p w14:paraId="1ADB0A8F" w14:textId="77777777" w:rsidR="001541D4" w:rsidRPr="007175E2" w:rsidRDefault="001541D4" w:rsidP="00F024F0">
            <w:pPr>
              <w:spacing w:after="0" w:line="240" w:lineRule="auto"/>
              <w:jc w:val="center"/>
              <w:rPr>
                <w:rFonts w:ascii="Cambria" w:hAnsi="Cambria"/>
                <w:b/>
              </w:rPr>
            </w:pPr>
            <w:r w:rsidRPr="007175E2">
              <w:rPr>
                <w:rFonts w:ascii="Cambria" w:hAnsi="Cambria"/>
                <w:b/>
              </w:rPr>
              <w:lastRenderedPageBreak/>
              <w:t>Total</w:t>
            </w:r>
            <w:r w:rsidRPr="007175E2">
              <w:rPr>
                <w:rStyle w:val="FootnoteReference"/>
                <w:rFonts w:ascii="Cambria" w:hAnsi="Cambria"/>
                <w:b/>
              </w:rPr>
              <w:footnoteReference w:id="13"/>
            </w:r>
          </w:p>
        </w:tc>
      </w:tr>
    </w:tbl>
    <w:p w14:paraId="4CA5DD29" w14:textId="77777777" w:rsidR="001541D4" w:rsidRPr="007175E2" w:rsidRDefault="001541D4" w:rsidP="00AC2C8E">
      <w:pPr>
        <w:spacing w:after="0" w:line="240" w:lineRule="auto"/>
        <w:jc w:val="both"/>
        <w:rPr>
          <w:rFonts w:ascii="Cambria" w:eastAsia="Batang" w:hAnsi="Cambria" w:cs="Calibri Light"/>
          <w:color w:val="000000"/>
          <w:highlight w:val="cyan"/>
        </w:rPr>
      </w:pPr>
    </w:p>
    <w:p w14:paraId="12225A78" w14:textId="77777777" w:rsidR="001541D4" w:rsidRPr="007175E2" w:rsidRDefault="001541D4" w:rsidP="00637AFB">
      <w:pPr>
        <w:numPr>
          <w:ilvl w:val="0"/>
          <w:numId w:val="32"/>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 xml:space="preserve">LEVEL OF COMPLIANCE OF THE CASE </w:t>
      </w:r>
    </w:p>
    <w:p w14:paraId="4AF568A3" w14:textId="77777777" w:rsidR="001541D4" w:rsidRPr="007175E2" w:rsidRDefault="001541D4" w:rsidP="001541D4">
      <w:pPr>
        <w:tabs>
          <w:tab w:val="left" w:pos="720"/>
        </w:tabs>
        <w:autoSpaceDE w:val="0"/>
        <w:autoSpaceDN w:val="0"/>
        <w:adjustRightInd w:val="0"/>
        <w:spacing w:after="0" w:line="240" w:lineRule="auto"/>
        <w:ind w:left="1440"/>
        <w:jc w:val="both"/>
        <w:rPr>
          <w:rFonts w:ascii="Cambria" w:eastAsia="Batang" w:hAnsi="Cambria"/>
          <w:color w:val="000000"/>
        </w:rPr>
      </w:pPr>
    </w:p>
    <w:p w14:paraId="43BC1426" w14:textId="77777777" w:rsidR="001541D4" w:rsidRPr="007175E2" w:rsidRDefault="001541D4" w:rsidP="004C7C99">
      <w:pPr>
        <w:pStyle w:val="ListParagraph"/>
        <w:numPr>
          <w:ilvl w:val="3"/>
          <w:numId w:val="4"/>
        </w:numPr>
        <w:autoSpaceDE w:val="0"/>
        <w:autoSpaceDN w:val="0"/>
        <w:adjustRightInd w:val="0"/>
        <w:spacing w:after="0" w:line="240" w:lineRule="auto"/>
        <w:ind w:left="0" w:firstLine="709"/>
        <w:jc w:val="both"/>
        <w:rPr>
          <w:rFonts w:ascii="Cambria" w:eastAsia="Batang" w:hAnsi="Cambria" w:cs="Calibri Light"/>
          <w:b/>
          <w:color w:val="080808"/>
        </w:rPr>
      </w:pPr>
      <w:r w:rsidRPr="007175E2">
        <w:rPr>
          <w:rFonts w:ascii="Cambria" w:hAnsi="Cambria"/>
          <w:color w:val="080808"/>
        </w:rPr>
        <w:t>The Commission declared full compliance with the case and the ceasing of the follow-up of the friendly settlement agreement in the 2021 Annual Report.</w:t>
      </w:r>
    </w:p>
    <w:p w14:paraId="215DD4F7" w14:textId="77777777" w:rsidR="001541D4" w:rsidRPr="007175E2" w:rsidRDefault="001541D4" w:rsidP="001541D4">
      <w:pPr>
        <w:pStyle w:val="ListParagraph"/>
        <w:autoSpaceDE w:val="0"/>
        <w:autoSpaceDN w:val="0"/>
        <w:adjustRightInd w:val="0"/>
        <w:spacing w:after="0" w:line="240" w:lineRule="auto"/>
        <w:ind w:left="709"/>
        <w:jc w:val="both"/>
        <w:rPr>
          <w:rFonts w:ascii="Cambria" w:eastAsia="Batang" w:hAnsi="Cambria" w:cs="Calibri Light"/>
          <w:b/>
          <w:color w:val="080808"/>
        </w:rPr>
      </w:pPr>
    </w:p>
    <w:p w14:paraId="27BFD56F" w14:textId="77777777" w:rsidR="001541D4" w:rsidRPr="007175E2" w:rsidRDefault="001541D4" w:rsidP="00637AFB">
      <w:pPr>
        <w:pStyle w:val="ListParagraph"/>
        <w:numPr>
          <w:ilvl w:val="0"/>
          <w:numId w:val="32"/>
        </w:numPr>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 xml:space="preserve">INVIDUAL AND STRUCTURAL OUTCOMES OF THE CASE </w:t>
      </w:r>
    </w:p>
    <w:p w14:paraId="056BC4AA" w14:textId="77777777" w:rsidR="001541D4" w:rsidRPr="007175E2" w:rsidRDefault="001541D4" w:rsidP="001541D4">
      <w:pPr>
        <w:spacing w:after="0" w:line="240" w:lineRule="auto"/>
        <w:ind w:firstLine="709"/>
        <w:contextualSpacing/>
        <w:jc w:val="both"/>
        <w:rPr>
          <w:rFonts w:ascii="Cambria" w:eastAsia="Batang" w:hAnsi="Cambria" w:cs="Calibri Light"/>
          <w:b/>
          <w:color w:val="000000"/>
        </w:rPr>
      </w:pPr>
    </w:p>
    <w:p w14:paraId="12647039" w14:textId="77777777" w:rsidR="001541D4" w:rsidRPr="007175E2" w:rsidRDefault="001541D4" w:rsidP="00637AFB">
      <w:pPr>
        <w:numPr>
          <w:ilvl w:val="0"/>
          <w:numId w:val="35"/>
        </w:numPr>
        <w:spacing w:line="240" w:lineRule="auto"/>
        <w:ind w:left="0" w:firstLine="709"/>
        <w:contextualSpacing/>
        <w:jc w:val="both"/>
        <w:rPr>
          <w:rFonts w:ascii="Cambria" w:hAnsi="Cambria" w:cs="Calibri Light"/>
          <w:b/>
        </w:rPr>
      </w:pPr>
      <w:r w:rsidRPr="007175E2">
        <w:rPr>
          <w:rFonts w:ascii="Cambria" w:hAnsi="Cambria" w:cs="Calibri Light"/>
          <w:b/>
        </w:rPr>
        <w:t>Individual outcomes of the case</w:t>
      </w:r>
    </w:p>
    <w:p w14:paraId="3231F29B" w14:textId="77777777" w:rsidR="001541D4" w:rsidRPr="007175E2" w:rsidRDefault="001541D4" w:rsidP="001541D4">
      <w:pPr>
        <w:spacing w:line="240" w:lineRule="auto"/>
        <w:ind w:firstLine="720"/>
        <w:contextualSpacing/>
        <w:jc w:val="both"/>
        <w:rPr>
          <w:rFonts w:ascii="Cambria" w:hAnsi="Cambria" w:cs="Calibri Light"/>
          <w:b/>
        </w:rPr>
      </w:pPr>
    </w:p>
    <w:p w14:paraId="4134EB1E" w14:textId="77777777" w:rsidR="001541D4" w:rsidRPr="007175E2" w:rsidRDefault="001541D4" w:rsidP="00637AFB">
      <w:pPr>
        <w:numPr>
          <w:ilvl w:val="0"/>
          <w:numId w:val="34"/>
        </w:numPr>
        <w:spacing w:after="0" w:line="240" w:lineRule="auto"/>
        <w:ind w:left="1418" w:right="4" w:hanging="709"/>
        <w:contextualSpacing/>
        <w:jc w:val="both"/>
        <w:rPr>
          <w:rFonts w:ascii="Cambria" w:eastAsia="Batang" w:hAnsi="Cambria"/>
        </w:rPr>
      </w:pPr>
      <w:r w:rsidRPr="007175E2">
        <w:rPr>
          <w:rFonts w:ascii="Cambria" w:eastAsia="Batang" w:hAnsi="Cambria"/>
        </w:rPr>
        <w:t>The State held the international responsibility recognition ceremony</w:t>
      </w:r>
      <w:r w:rsidRPr="007175E2">
        <w:rPr>
          <w:rFonts w:ascii="Cambria" w:eastAsia="MS Mincho" w:hAnsi="Cambria"/>
        </w:rPr>
        <w:t>.</w:t>
      </w:r>
    </w:p>
    <w:p w14:paraId="262CAA54" w14:textId="77777777" w:rsidR="001541D4" w:rsidRPr="007175E2" w:rsidRDefault="001541D4" w:rsidP="00637AFB">
      <w:pPr>
        <w:numPr>
          <w:ilvl w:val="0"/>
          <w:numId w:val="34"/>
        </w:numPr>
        <w:spacing w:after="0" w:line="240" w:lineRule="auto"/>
        <w:ind w:left="1418" w:right="4" w:hanging="709"/>
        <w:contextualSpacing/>
        <w:jc w:val="both"/>
        <w:rPr>
          <w:rFonts w:ascii="Cambria" w:eastAsia="Batang" w:hAnsi="Cambria"/>
        </w:rPr>
      </w:pPr>
      <w:r w:rsidRPr="007175E2">
        <w:rPr>
          <w:rFonts w:ascii="Cambria" w:hAnsi="Cambria"/>
        </w:rPr>
        <w:t>The State implemented various actions for access to comprehensive healthcare services for the victims through affiliation to the people’s social security (</w:t>
      </w:r>
      <w:r w:rsidRPr="007175E2">
        <w:rPr>
          <w:rFonts w:ascii="Cambria" w:hAnsi="Cambria"/>
          <w:i/>
        </w:rPr>
        <w:t>Seguro Popular</w:t>
      </w:r>
      <w:r w:rsidRPr="007175E2">
        <w:rPr>
          <w:rFonts w:ascii="Cambria" w:hAnsi="Cambria"/>
        </w:rPr>
        <w:t>), the implementation of a roadmap, and a comprehensive healthcare services plan.</w:t>
      </w:r>
    </w:p>
    <w:p w14:paraId="1A8F167C" w14:textId="77777777" w:rsidR="001541D4" w:rsidRPr="007175E2" w:rsidRDefault="001541D4" w:rsidP="00637AFB">
      <w:pPr>
        <w:numPr>
          <w:ilvl w:val="0"/>
          <w:numId w:val="34"/>
        </w:numPr>
        <w:spacing w:after="0" w:line="240" w:lineRule="auto"/>
        <w:ind w:left="1418" w:right="4" w:hanging="709"/>
        <w:contextualSpacing/>
        <w:jc w:val="both"/>
        <w:rPr>
          <w:rFonts w:ascii="Cambria" w:eastAsia="Batang" w:hAnsi="Cambria"/>
        </w:rPr>
      </w:pPr>
      <w:r w:rsidRPr="007175E2">
        <w:rPr>
          <w:rFonts w:ascii="Cambria" w:hAnsi="Cambria"/>
        </w:rPr>
        <w:t>The State awarded scholarships to the victims.</w:t>
      </w:r>
    </w:p>
    <w:p w14:paraId="7E5E4ED6" w14:textId="77777777" w:rsidR="001541D4" w:rsidRPr="007175E2" w:rsidRDefault="001541D4" w:rsidP="00637AFB">
      <w:pPr>
        <w:numPr>
          <w:ilvl w:val="0"/>
          <w:numId w:val="34"/>
        </w:numPr>
        <w:spacing w:after="0" w:line="240" w:lineRule="auto"/>
        <w:ind w:left="1418" w:right="4" w:hanging="709"/>
        <w:contextualSpacing/>
        <w:jc w:val="both"/>
        <w:rPr>
          <w:rFonts w:ascii="Cambria" w:eastAsia="Batang" w:hAnsi="Cambria"/>
        </w:rPr>
      </w:pPr>
      <w:r w:rsidRPr="007175E2">
        <w:rPr>
          <w:rFonts w:ascii="Cambria" w:hAnsi="Cambria"/>
        </w:rPr>
        <w:t>The State paid monetary compensation to the acknowledged victims, as agreed upon.</w:t>
      </w:r>
    </w:p>
    <w:p w14:paraId="03036600" w14:textId="77777777" w:rsidR="001541D4" w:rsidRPr="007175E2" w:rsidRDefault="001541D4" w:rsidP="00637AFB">
      <w:pPr>
        <w:numPr>
          <w:ilvl w:val="0"/>
          <w:numId w:val="34"/>
        </w:numPr>
        <w:spacing w:after="0" w:line="240" w:lineRule="auto"/>
        <w:ind w:left="1418" w:right="4" w:hanging="709"/>
        <w:contextualSpacing/>
        <w:jc w:val="both"/>
        <w:rPr>
          <w:rFonts w:ascii="Cambria" w:eastAsia="Batang" w:hAnsi="Cambria"/>
          <w:color w:val="000000"/>
        </w:rPr>
      </w:pPr>
      <w:r w:rsidRPr="007175E2">
        <w:rPr>
          <w:rFonts w:ascii="Cambria" w:hAnsi="Cambria"/>
        </w:rPr>
        <w:t>The State provided the victims with a complete digital copy of the military criminal file.</w:t>
      </w:r>
    </w:p>
    <w:p w14:paraId="346CC406" w14:textId="77777777" w:rsidR="001541D4" w:rsidRPr="007175E2" w:rsidRDefault="001541D4" w:rsidP="00637AFB">
      <w:pPr>
        <w:numPr>
          <w:ilvl w:val="0"/>
          <w:numId w:val="34"/>
        </w:numPr>
        <w:spacing w:after="0" w:line="240" w:lineRule="auto"/>
        <w:ind w:left="1418" w:right="4" w:hanging="709"/>
        <w:contextualSpacing/>
        <w:jc w:val="both"/>
        <w:rPr>
          <w:rFonts w:ascii="Cambria" w:eastAsia="Batang" w:hAnsi="Cambria"/>
          <w:color w:val="000000"/>
        </w:rPr>
      </w:pPr>
      <w:r w:rsidRPr="007175E2">
        <w:rPr>
          <w:rFonts w:ascii="Cambria" w:hAnsi="Cambria"/>
        </w:rPr>
        <w:t>The State disbursed the amounts agreed in equity for two beneficiaries of the agreement, for a total of twenty-five thousand eight hundred and forty-six Mexican pesos ($25,846.08 P.M.), as well as payment of the costs of processing the passports, totaling three thousand six hundred and ninety Mexican pesos ($3,690 P.M.).</w:t>
      </w:r>
    </w:p>
    <w:p w14:paraId="4BA8F299" w14:textId="77777777" w:rsidR="001541D4" w:rsidRPr="007175E2" w:rsidRDefault="001541D4" w:rsidP="00637AFB">
      <w:pPr>
        <w:numPr>
          <w:ilvl w:val="0"/>
          <w:numId w:val="34"/>
        </w:numPr>
        <w:spacing w:after="0" w:line="240" w:lineRule="auto"/>
        <w:ind w:left="1418" w:right="4" w:hanging="709"/>
        <w:contextualSpacing/>
        <w:jc w:val="both"/>
        <w:rPr>
          <w:rFonts w:ascii="Cambria" w:eastAsia="Batang" w:hAnsi="Cambria"/>
          <w:color w:val="000000"/>
        </w:rPr>
      </w:pPr>
      <w:r w:rsidRPr="007175E2">
        <w:rPr>
          <w:rFonts w:ascii="Cambria" w:hAnsi="Cambria"/>
        </w:rPr>
        <w:t xml:space="preserve">The State delivered passports to the beneficiaries of the agreement. </w:t>
      </w:r>
    </w:p>
    <w:p w14:paraId="2B6FAEF3" w14:textId="77777777" w:rsidR="001541D4" w:rsidRPr="007175E2" w:rsidRDefault="001541D4" w:rsidP="00637AFB">
      <w:pPr>
        <w:numPr>
          <w:ilvl w:val="0"/>
          <w:numId w:val="34"/>
        </w:numPr>
        <w:spacing w:after="0" w:line="240" w:lineRule="auto"/>
        <w:ind w:left="1418" w:right="4" w:hanging="709"/>
        <w:contextualSpacing/>
        <w:jc w:val="both"/>
        <w:rPr>
          <w:rFonts w:ascii="Cambria" w:eastAsia="Batang" w:hAnsi="Cambria"/>
          <w:color w:val="000000"/>
        </w:rPr>
      </w:pPr>
      <w:r w:rsidRPr="007175E2">
        <w:rPr>
          <w:rFonts w:ascii="Cambria" w:eastAsia="Batang" w:hAnsi="Cambria"/>
          <w:color w:val="000000"/>
        </w:rPr>
        <w:t>The State provided information on programs abroad for Mexican agricultural workers</w:t>
      </w:r>
      <w:r w:rsidRPr="007175E2">
        <w:rPr>
          <w:rFonts w:ascii="Cambria" w:hAnsi="Cambria"/>
        </w:rPr>
        <w:t xml:space="preserve">. </w:t>
      </w:r>
    </w:p>
    <w:p w14:paraId="7697722C" w14:textId="77777777" w:rsidR="001541D4" w:rsidRPr="007175E2" w:rsidRDefault="001541D4" w:rsidP="00637AFB">
      <w:pPr>
        <w:numPr>
          <w:ilvl w:val="0"/>
          <w:numId w:val="34"/>
        </w:numPr>
        <w:spacing w:after="0" w:line="240" w:lineRule="auto"/>
        <w:ind w:left="1418" w:right="4" w:hanging="709"/>
        <w:contextualSpacing/>
        <w:jc w:val="both"/>
        <w:rPr>
          <w:rFonts w:ascii="Cambria" w:eastAsia="Batang" w:hAnsi="Cambria"/>
          <w:color w:val="000000"/>
        </w:rPr>
      </w:pPr>
      <w:r w:rsidRPr="007175E2">
        <w:rPr>
          <w:rFonts w:ascii="Cambria" w:hAnsi="Cambria"/>
        </w:rPr>
        <w:t>The State unveiled a plaque at the El Aguaje "Ángel Díaz Cruz" health center in memory of the victim.</w:t>
      </w:r>
    </w:p>
    <w:p w14:paraId="2B03F048" w14:textId="77777777" w:rsidR="001541D4" w:rsidRPr="007175E2" w:rsidRDefault="001541D4" w:rsidP="00637AFB">
      <w:pPr>
        <w:numPr>
          <w:ilvl w:val="0"/>
          <w:numId w:val="34"/>
        </w:numPr>
        <w:spacing w:after="0" w:line="240" w:lineRule="auto"/>
        <w:ind w:left="1418" w:right="4" w:hanging="709"/>
        <w:contextualSpacing/>
        <w:jc w:val="both"/>
        <w:rPr>
          <w:rFonts w:ascii="Cambria" w:eastAsia="Batang" w:hAnsi="Cambria"/>
          <w:color w:val="000000"/>
        </w:rPr>
      </w:pPr>
      <w:r w:rsidRPr="007175E2">
        <w:rPr>
          <w:rFonts w:ascii="Cambria" w:hAnsi="Cambria"/>
        </w:rPr>
        <w:t xml:space="preserve">The State provided the victims with production projects consisting of three sheep breeding packages (5 ewes, 1 stud, 1 sheepfold, 50 meters of wire fencing, and four months’ worth of breeding feed); improved corn seed, fertilizers; and 2010 backyard garden blackberry plants. </w:t>
      </w:r>
    </w:p>
    <w:p w14:paraId="5125BC04" w14:textId="77777777" w:rsidR="001541D4" w:rsidRPr="007175E2" w:rsidRDefault="001541D4" w:rsidP="001541D4">
      <w:pPr>
        <w:spacing w:after="0" w:line="240" w:lineRule="auto"/>
        <w:ind w:left="1418" w:right="4" w:hanging="709"/>
        <w:contextualSpacing/>
        <w:jc w:val="both"/>
        <w:rPr>
          <w:rFonts w:ascii="Cambria" w:eastAsia="Batang" w:hAnsi="Cambria"/>
          <w:color w:val="000000"/>
        </w:rPr>
      </w:pPr>
    </w:p>
    <w:p w14:paraId="2FAAD8B2" w14:textId="77777777" w:rsidR="001541D4" w:rsidRPr="007175E2" w:rsidRDefault="001541D4" w:rsidP="00637AFB">
      <w:pPr>
        <w:numPr>
          <w:ilvl w:val="0"/>
          <w:numId w:val="35"/>
        </w:numPr>
        <w:spacing w:after="0" w:line="240" w:lineRule="auto"/>
        <w:ind w:left="1418" w:right="4" w:hanging="709"/>
        <w:jc w:val="both"/>
        <w:rPr>
          <w:rFonts w:ascii="Cambria" w:eastAsia="MS Mincho" w:hAnsi="Cambria"/>
          <w:b/>
          <w:lang w:eastAsia="es-ES_tradnl"/>
        </w:rPr>
      </w:pPr>
      <w:r w:rsidRPr="007175E2">
        <w:rPr>
          <w:rFonts w:ascii="Cambria" w:eastAsia="MS Mincho" w:hAnsi="Cambria"/>
          <w:b/>
          <w:lang w:eastAsia="es-ES_tradnl"/>
        </w:rPr>
        <w:t>Structural outcomes of the case</w:t>
      </w:r>
    </w:p>
    <w:p w14:paraId="4847E614" w14:textId="77777777" w:rsidR="001541D4" w:rsidRPr="007175E2" w:rsidRDefault="001541D4" w:rsidP="001541D4">
      <w:pPr>
        <w:spacing w:after="0" w:line="240" w:lineRule="auto"/>
        <w:ind w:left="1418" w:right="4" w:hanging="709"/>
        <w:jc w:val="both"/>
        <w:rPr>
          <w:rFonts w:ascii="Cambria" w:eastAsia="MS Mincho" w:hAnsi="Cambria"/>
          <w:lang w:eastAsia="es-ES_tradnl"/>
        </w:rPr>
      </w:pPr>
    </w:p>
    <w:p w14:paraId="095256B3" w14:textId="77777777" w:rsidR="001541D4" w:rsidRPr="00EE4240" w:rsidRDefault="001541D4" w:rsidP="00EE4240">
      <w:pPr>
        <w:numPr>
          <w:ilvl w:val="0"/>
          <w:numId w:val="36"/>
        </w:numPr>
        <w:spacing w:after="0" w:line="240" w:lineRule="auto"/>
        <w:ind w:left="1418" w:right="4" w:hanging="709"/>
        <w:jc w:val="both"/>
        <w:rPr>
          <w:rFonts w:ascii="Cambria" w:eastAsia="MS Mincho" w:hAnsi="Cambria"/>
        </w:rPr>
      </w:pPr>
      <w:r w:rsidRPr="00EE4240">
        <w:rPr>
          <w:rFonts w:ascii="Cambria" w:eastAsia="Batang" w:hAnsi="Cambria"/>
        </w:rPr>
        <w:t>The State drew up training plans for the military, within the scope of the Armed Forces.</w:t>
      </w:r>
    </w:p>
    <w:p w14:paraId="348955C8" w14:textId="46F1BDE9" w:rsidR="003E6F57" w:rsidRPr="00EE4240" w:rsidRDefault="001541D4" w:rsidP="00EE4240">
      <w:pPr>
        <w:numPr>
          <w:ilvl w:val="0"/>
          <w:numId w:val="36"/>
        </w:numPr>
        <w:spacing w:after="0" w:line="240" w:lineRule="auto"/>
        <w:ind w:left="1418" w:right="4" w:hanging="709"/>
        <w:jc w:val="both"/>
        <w:rPr>
          <w:rFonts w:ascii="Cambria" w:eastAsia="MS Mincho" w:hAnsi="Cambria"/>
          <w:color w:val="000000"/>
        </w:rPr>
      </w:pPr>
      <w:r w:rsidRPr="00EE4240">
        <w:rPr>
          <w:rFonts w:ascii="Cambria" w:eastAsia="MS Mincho" w:hAnsi="Cambria"/>
          <w:color w:val="000000"/>
        </w:rPr>
        <w:t xml:space="preserve">The State built the </w:t>
      </w:r>
      <w:r w:rsidRPr="00EE4240">
        <w:rPr>
          <w:rFonts w:ascii="Cambria" w:hAnsi="Cambria"/>
        </w:rPr>
        <w:t>"Ángel Díaz Cruz" community health center in El Aguaje, San Cristóbal de las Casas municipality, Chiapas, in memory of the boy who lost his life.</w:t>
      </w:r>
    </w:p>
    <w:sectPr w:rsidR="003E6F57" w:rsidRPr="00EE4240" w:rsidSect="00EE4240">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77D0" w14:textId="77777777" w:rsidR="002B3080" w:rsidRDefault="002B3080" w:rsidP="00A343FF">
      <w:pPr>
        <w:spacing w:after="0" w:line="240" w:lineRule="auto"/>
      </w:pPr>
      <w:r>
        <w:separator/>
      </w:r>
    </w:p>
  </w:endnote>
  <w:endnote w:type="continuationSeparator" w:id="0">
    <w:p w14:paraId="0D7E21BD" w14:textId="77777777" w:rsidR="002B3080" w:rsidRDefault="002B3080"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71F"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562B63"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1535" w14:textId="77777777" w:rsidR="002B3080" w:rsidRDefault="002B3080" w:rsidP="00A343FF">
      <w:pPr>
        <w:spacing w:after="0" w:line="240" w:lineRule="auto"/>
      </w:pPr>
      <w:r>
        <w:separator/>
      </w:r>
    </w:p>
  </w:footnote>
  <w:footnote w:type="continuationSeparator" w:id="0">
    <w:p w14:paraId="6B9E3DC8" w14:textId="77777777" w:rsidR="002B3080" w:rsidRDefault="002B3080" w:rsidP="00A343FF">
      <w:pPr>
        <w:spacing w:after="0" w:line="240" w:lineRule="auto"/>
      </w:pPr>
      <w:r>
        <w:continuationSeparator/>
      </w:r>
    </w:p>
  </w:footnote>
  <w:footnote w:id="1">
    <w:p w14:paraId="08310348" w14:textId="77777777" w:rsidR="001541D4" w:rsidRPr="007175E2" w:rsidRDefault="001541D4" w:rsidP="007175E2">
      <w:pPr>
        <w:pStyle w:val="FootnoteText"/>
        <w:ind w:firstLine="709"/>
        <w:jc w:val="both"/>
        <w:rPr>
          <w:rFonts w:ascii="Cambria" w:hAnsi="Cambria"/>
          <w:sz w:val="16"/>
          <w:szCs w:val="16"/>
          <w:highlight w:val="yellow"/>
        </w:rPr>
      </w:pPr>
      <w:r w:rsidRPr="007175E2">
        <w:rPr>
          <w:rFonts w:ascii="Cambria" w:hAnsi="Cambria"/>
          <w:color w:val="000000"/>
          <w:sz w:val="16"/>
          <w:szCs w:val="16"/>
          <w:vertAlign w:val="superscript"/>
        </w:rPr>
        <w:footnoteRef/>
      </w:r>
      <w:r w:rsidRPr="007175E2">
        <w:rPr>
          <w:rFonts w:ascii="Cambria" w:hAnsi="Cambria"/>
          <w:color w:val="000000"/>
          <w:sz w:val="16"/>
          <w:szCs w:val="16"/>
        </w:rPr>
        <w:t xml:space="preserve"> </w:t>
      </w:r>
      <w:r w:rsidRPr="007175E2">
        <w:rPr>
          <w:rFonts w:ascii="Cambria" w:hAnsi="Cambria"/>
          <w:sz w:val="16"/>
          <w:szCs w:val="16"/>
        </w:rPr>
        <w:t>See IACHR, Annual Report 2021, Chapter II, Section F: Progress and Setbacks in the Negotiation and Implementation of Friendly Settlement Agreements, Available at: https://www.oas.org/es/cidh/docs/anual/2021/capitulos/IA2021cap2-es.pdf.</w:t>
      </w:r>
    </w:p>
  </w:footnote>
  <w:footnote w:id="2">
    <w:p w14:paraId="5B579528" w14:textId="77777777" w:rsidR="001541D4" w:rsidRPr="007175E2" w:rsidRDefault="001541D4" w:rsidP="007175E2">
      <w:pPr>
        <w:pStyle w:val="NoSpacing"/>
        <w:tabs>
          <w:tab w:val="left" w:pos="900"/>
        </w:tabs>
        <w:ind w:firstLine="720"/>
        <w:jc w:val="both"/>
        <w:rPr>
          <w:rFonts w:ascii="Cambria" w:hAnsi="Cambria"/>
          <w:color w:val="000000" w:themeColor="text1"/>
          <w:sz w:val="16"/>
          <w:szCs w:val="16"/>
        </w:rPr>
      </w:pPr>
      <w:r w:rsidRPr="007175E2">
        <w:rPr>
          <w:rStyle w:val="FootnoteReference"/>
          <w:rFonts w:ascii="Cambria" w:hAnsi="Cambria"/>
          <w:sz w:val="16"/>
          <w:szCs w:val="16"/>
        </w:rPr>
        <w:footnoteRef/>
      </w:r>
      <w:r w:rsidRPr="007175E2">
        <w:rPr>
          <w:rFonts w:ascii="Cambria" w:hAnsi="Cambria"/>
          <w:sz w:val="16"/>
          <w:szCs w:val="16"/>
        </w:rPr>
        <w:t xml:space="preserve"> </w:t>
      </w:r>
      <w:r w:rsidRPr="007175E2">
        <w:rPr>
          <w:rFonts w:ascii="Cambria" w:hAnsi="Cambria"/>
          <w:color w:val="000000"/>
          <w:sz w:val="16"/>
          <w:szCs w:val="16"/>
        </w:rPr>
        <w:t xml:space="preserve">IACHR, Report No. 2/20, Case 12.915. Friendly Settlement. </w:t>
      </w:r>
      <w:r w:rsidRPr="007175E2">
        <w:rPr>
          <w:rFonts w:ascii="Cambria" w:hAnsi="Cambria"/>
          <w:color w:val="000000"/>
          <w:sz w:val="16"/>
          <w:szCs w:val="16"/>
          <w:lang w:val="es-ES_tradnl"/>
        </w:rPr>
        <w:t xml:space="preserve">Ángel Díaz Cruz et al. </w:t>
      </w:r>
      <w:r w:rsidRPr="007175E2">
        <w:rPr>
          <w:rFonts w:ascii="Cambria" w:hAnsi="Cambria"/>
          <w:color w:val="000000"/>
          <w:sz w:val="16"/>
          <w:szCs w:val="16"/>
          <w:lang w:val="es-VE"/>
        </w:rPr>
        <w:t xml:space="preserve">Mexico. </w:t>
      </w:r>
      <w:r w:rsidRPr="007175E2">
        <w:rPr>
          <w:rFonts w:ascii="Cambria" w:hAnsi="Cambria"/>
          <w:color w:val="000000"/>
          <w:sz w:val="16"/>
          <w:szCs w:val="16"/>
        </w:rPr>
        <w:t xml:space="preserve">February 24, 2020. </w:t>
      </w:r>
      <w:hyperlink r:id="rId1" w:history="1">
        <w:r w:rsidRPr="007175E2">
          <w:rPr>
            <w:rStyle w:val="Hyperlink"/>
            <w:rFonts w:ascii="Cambria" w:hAnsi="Cambria"/>
            <w:color w:val="000000" w:themeColor="text1"/>
            <w:sz w:val="16"/>
            <w:szCs w:val="16"/>
          </w:rPr>
          <w:t>http://www.oas.org/es/cidh/decisiones/2020/mxsa12915es.pdf</w:t>
        </w:r>
      </w:hyperlink>
      <w:r w:rsidRPr="007175E2">
        <w:rPr>
          <w:rFonts w:ascii="Cambria" w:hAnsi="Cambria"/>
          <w:color w:val="000000" w:themeColor="text1"/>
          <w:sz w:val="16"/>
          <w:szCs w:val="16"/>
        </w:rPr>
        <w:t xml:space="preserve"> </w:t>
      </w:r>
    </w:p>
  </w:footnote>
  <w:footnote w:id="3">
    <w:p w14:paraId="4A01FB9E" w14:textId="77777777" w:rsidR="001541D4" w:rsidRPr="007175E2" w:rsidRDefault="001541D4" w:rsidP="007175E2">
      <w:pPr>
        <w:pStyle w:val="NoSpacing"/>
        <w:tabs>
          <w:tab w:val="left" w:pos="900"/>
        </w:tabs>
        <w:ind w:firstLine="720"/>
        <w:jc w:val="both"/>
        <w:rPr>
          <w:rFonts w:ascii="Cambria" w:hAnsi="Cambria"/>
          <w:color w:val="000000" w:themeColor="text1"/>
          <w:sz w:val="16"/>
          <w:szCs w:val="16"/>
          <w:lang w:val="es-US"/>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IACHR, Report No. 2/20, Case 12.915. Friendly Settlement. </w:t>
      </w:r>
      <w:r w:rsidRPr="00417964">
        <w:rPr>
          <w:rFonts w:ascii="Cambria" w:hAnsi="Cambria"/>
          <w:color w:val="000000" w:themeColor="text1"/>
          <w:sz w:val="16"/>
          <w:szCs w:val="16"/>
        </w:rPr>
        <w:t xml:space="preserve">Ángel Díaz Cruz et al. </w:t>
      </w:r>
      <w:r w:rsidRPr="007175E2">
        <w:rPr>
          <w:rFonts w:ascii="Cambria" w:hAnsi="Cambria"/>
          <w:color w:val="000000" w:themeColor="text1"/>
          <w:sz w:val="16"/>
          <w:szCs w:val="16"/>
          <w:lang w:val="es-VE"/>
        </w:rPr>
        <w:t xml:space="preserve">Mexico. </w:t>
      </w:r>
      <w:r w:rsidRPr="007175E2">
        <w:rPr>
          <w:rFonts w:ascii="Cambria" w:hAnsi="Cambria"/>
          <w:color w:val="000000" w:themeColor="text1"/>
          <w:sz w:val="16"/>
          <w:szCs w:val="16"/>
          <w:lang w:val="es-US"/>
        </w:rPr>
        <w:t xml:space="preserve">February 24, 2020. </w:t>
      </w:r>
      <w:hyperlink r:id="rId2" w:history="1">
        <w:r w:rsidRPr="007175E2">
          <w:rPr>
            <w:rStyle w:val="Hyperlink"/>
            <w:rFonts w:ascii="Cambria" w:hAnsi="Cambria"/>
            <w:color w:val="000000" w:themeColor="text1"/>
            <w:sz w:val="16"/>
            <w:szCs w:val="16"/>
            <w:lang w:val="es-US"/>
          </w:rPr>
          <w:t>http://www.oas.org/es/cidh/decisiones/2020/mxsa12915es.pdf</w:t>
        </w:r>
      </w:hyperlink>
      <w:r w:rsidRPr="007175E2">
        <w:rPr>
          <w:rFonts w:ascii="Cambria" w:hAnsi="Cambria"/>
          <w:color w:val="000000" w:themeColor="text1"/>
          <w:sz w:val="16"/>
          <w:szCs w:val="16"/>
          <w:lang w:val="es-US"/>
        </w:rPr>
        <w:t xml:space="preserve"> </w:t>
      </w:r>
    </w:p>
  </w:footnote>
  <w:footnote w:id="4">
    <w:p w14:paraId="491EBF4E" w14:textId="77777777" w:rsidR="001541D4" w:rsidRPr="007175E2" w:rsidRDefault="001541D4" w:rsidP="007175E2">
      <w:pPr>
        <w:pStyle w:val="FootnoteText"/>
        <w:tabs>
          <w:tab w:val="left" w:pos="900"/>
        </w:tabs>
        <w:ind w:firstLine="720"/>
        <w:jc w:val="both"/>
        <w:rPr>
          <w:rFonts w:ascii="Cambria" w:hAnsi="Cambria"/>
          <w:color w:val="000000" w:themeColor="text1"/>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IACHR, Report No. 2/20, Case 12.915. Friendly Settlement. </w:t>
      </w:r>
      <w:r w:rsidRPr="007175E2">
        <w:rPr>
          <w:rFonts w:ascii="Cambria" w:hAnsi="Cambria"/>
          <w:color w:val="000000" w:themeColor="text1"/>
          <w:sz w:val="16"/>
          <w:szCs w:val="16"/>
          <w:lang w:val="es-US"/>
        </w:rPr>
        <w:t xml:space="preserve">Ángel Díaz Cruz et al. </w:t>
      </w:r>
      <w:r w:rsidRPr="007175E2">
        <w:rPr>
          <w:rFonts w:ascii="Cambria" w:hAnsi="Cambria"/>
          <w:color w:val="000000" w:themeColor="text1"/>
          <w:sz w:val="16"/>
          <w:szCs w:val="16"/>
          <w:lang w:val="es-VE"/>
        </w:rPr>
        <w:t xml:space="preserve">Mexico. </w:t>
      </w:r>
      <w:r w:rsidRPr="007175E2">
        <w:rPr>
          <w:rFonts w:ascii="Cambria" w:hAnsi="Cambria"/>
          <w:color w:val="000000" w:themeColor="text1"/>
          <w:sz w:val="16"/>
          <w:szCs w:val="16"/>
        </w:rPr>
        <w:t xml:space="preserve">February 24, 2020. </w:t>
      </w:r>
      <w:hyperlink r:id="rId3" w:history="1">
        <w:r w:rsidRPr="007175E2">
          <w:rPr>
            <w:rStyle w:val="Hyperlink"/>
            <w:rFonts w:ascii="Cambria" w:hAnsi="Cambria"/>
            <w:color w:val="000000" w:themeColor="text1"/>
            <w:sz w:val="16"/>
            <w:szCs w:val="16"/>
          </w:rPr>
          <w:t>http://www.oas.org/es/cidh/decisiones/2020/mxsa12915es.pdf</w:t>
        </w:r>
      </w:hyperlink>
    </w:p>
  </w:footnote>
  <w:footnote w:id="5">
    <w:p w14:paraId="3B9DE42F" w14:textId="77777777" w:rsidR="001541D4" w:rsidRPr="007175E2" w:rsidRDefault="001541D4" w:rsidP="007175E2">
      <w:pPr>
        <w:pStyle w:val="FootnoteText"/>
        <w:tabs>
          <w:tab w:val="left" w:pos="900"/>
        </w:tabs>
        <w:ind w:firstLine="720"/>
        <w:jc w:val="both"/>
        <w:rPr>
          <w:rFonts w:ascii="Cambria" w:hAnsi="Cambria"/>
          <w:sz w:val="16"/>
          <w:szCs w:val="16"/>
          <w:lang w:val="es-US"/>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IACHR, Report No. 2/20, Case 12.915. Friendly Settlement. </w:t>
      </w:r>
      <w:r w:rsidRPr="00417964">
        <w:rPr>
          <w:rFonts w:ascii="Cambria" w:hAnsi="Cambria"/>
          <w:color w:val="000000" w:themeColor="text1"/>
          <w:sz w:val="16"/>
          <w:szCs w:val="16"/>
        </w:rPr>
        <w:t xml:space="preserve">Ángel Díaz Cruz et al. </w:t>
      </w:r>
      <w:r w:rsidRPr="007175E2">
        <w:rPr>
          <w:rFonts w:ascii="Cambria" w:hAnsi="Cambria"/>
          <w:color w:val="000000" w:themeColor="text1"/>
          <w:sz w:val="16"/>
          <w:szCs w:val="16"/>
          <w:lang w:val="es-VE"/>
        </w:rPr>
        <w:t xml:space="preserve">Mexico. </w:t>
      </w:r>
      <w:r w:rsidRPr="007175E2">
        <w:rPr>
          <w:rFonts w:ascii="Cambria" w:hAnsi="Cambria"/>
          <w:color w:val="000000" w:themeColor="text1"/>
          <w:sz w:val="16"/>
          <w:szCs w:val="16"/>
          <w:lang w:val="es-US"/>
        </w:rPr>
        <w:t xml:space="preserve">February 24, 2020. </w:t>
      </w:r>
      <w:hyperlink r:id="rId4" w:history="1">
        <w:r w:rsidRPr="007175E2">
          <w:rPr>
            <w:rStyle w:val="Hyperlink"/>
            <w:rFonts w:ascii="Cambria" w:hAnsi="Cambria"/>
            <w:color w:val="000000" w:themeColor="text1"/>
            <w:sz w:val="16"/>
            <w:szCs w:val="16"/>
            <w:lang w:val="es-US"/>
          </w:rPr>
          <w:t>http://www.oas.org/es/cidh/decisiones/2020/mxsa12915es.pdf</w:t>
        </w:r>
      </w:hyperlink>
    </w:p>
  </w:footnote>
  <w:footnote w:id="6">
    <w:p w14:paraId="3347B88A" w14:textId="77777777" w:rsidR="001541D4" w:rsidRPr="007175E2" w:rsidRDefault="001541D4" w:rsidP="007175E2">
      <w:pPr>
        <w:pStyle w:val="FootnoteText"/>
        <w:ind w:firstLine="709"/>
        <w:contextualSpacing/>
        <w:jc w:val="both"/>
        <w:rPr>
          <w:rFonts w:ascii="Cambria" w:hAnsi="Cambria"/>
          <w:color w:val="000000" w:themeColor="text1"/>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See IACHR, Annual Report 2021, Chapter II, Section F: Progress and Setbacks in the Negotiation and Implementation of Friendly Settlement Agreements, Available at: https://www.oas.org/es/cidh/docs/anual/2021/capitulos/IA2021cap2-es.pdf.</w:t>
      </w:r>
    </w:p>
  </w:footnote>
  <w:footnote w:id="7">
    <w:p w14:paraId="617F5B53" w14:textId="77777777" w:rsidR="001541D4" w:rsidRPr="007175E2" w:rsidRDefault="001541D4" w:rsidP="007175E2">
      <w:pPr>
        <w:pStyle w:val="FootnoteText"/>
        <w:tabs>
          <w:tab w:val="left" w:pos="900"/>
        </w:tabs>
        <w:ind w:firstLine="709"/>
        <w:contextualSpacing/>
        <w:jc w:val="both"/>
        <w:rPr>
          <w:rFonts w:ascii="Cambria" w:hAnsi="Cambria"/>
          <w:color w:val="000000" w:themeColor="text1"/>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IACHR, Report No. 2/20, Case</w:t>
      </w:r>
      <w:r w:rsidR="00941BE5" w:rsidRPr="007175E2">
        <w:rPr>
          <w:rFonts w:ascii="Cambria" w:hAnsi="Cambria"/>
          <w:color w:val="000000" w:themeColor="text1"/>
          <w:sz w:val="16"/>
          <w:szCs w:val="16"/>
        </w:rPr>
        <w:t xml:space="preserve"> </w:t>
      </w:r>
      <w:r w:rsidRPr="007175E2">
        <w:rPr>
          <w:rFonts w:ascii="Cambria" w:hAnsi="Cambria"/>
          <w:color w:val="000000" w:themeColor="text1"/>
          <w:sz w:val="16"/>
          <w:szCs w:val="16"/>
        </w:rPr>
        <w:t xml:space="preserve">12.915. Friendly Settlement. </w:t>
      </w:r>
      <w:r w:rsidRPr="007175E2">
        <w:rPr>
          <w:rFonts w:ascii="Cambria" w:hAnsi="Cambria"/>
          <w:color w:val="000000" w:themeColor="text1"/>
          <w:sz w:val="16"/>
          <w:szCs w:val="16"/>
          <w:lang w:val="es-ES_tradnl"/>
        </w:rPr>
        <w:t xml:space="preserve">Ángel Díaz Cruz et al. </w:t>
      </w:r>
      <w:r w:rsidRPr="007175E2">
        <w:rPr>
          <w:rFonts w:ascii="Cambria" w:hAnsi="Cambria"/>
          <w:color w:val="000000" w:themeColor="text1"/>
          <w:sz w:val="16"/>
          <w:szCs w:val="16"/>
          <w:lang w:val="es-VE"/>
        </w:rPr>
        <w:t xml:space="preserve">Mexico. </w:t>
      </w:r>
      <w:r w:rsidRPr="007175E2">
        <w:rPr>
          <w:rFonts w:ascii="Cambria" w:hAnsi="Cambria"/>
          <w:color w:val="000000" w:themeColor="text1"/>
          <w:sz w:val="16"/>
          <w:szCs w:val="16"/>
        </w:rPr>
        <w:t xml:space="preserve">February 24, 2020. </w:t>
      </w:r>
      <w:hyperlink r:id="rId5" w:history="1">
        <w:r w:rsidRPr="007175E2">
          <w:rPr>
            <w:rStyle w:val="Hyperlink"/>
            <w:rFonts w:ascii="Cambria" w:hAnsi="Cambria"/>
            <w:color w:val="000000" w:themeColor="text1"/>
            <w:sz w:val="16"/>
            <w:szCs w:val="16"/>
          </w:rPr>
          <w:t>http://www.oas.org/es/cidh/decisiones/2020/mxsa12915es.pdf</w:t>
        </w:r>
      </w:hyperlink>
    </w:p>
  </w:footnote>
  <w:footnote w:id="8">
    <w:p w14:paraId="6DDF6D25" w14:textId="77777777" w:rsidR="001541D4" w:rsidRPr="007175E2" w:rsidRDefault="001541D4" w:rsidP="007175E2">
      <w:pPr>
        <w:pStyle w:val="FootnoteText"/>
        <w:tabs>
          <w:tab w:val="left" w:pos="900"/>
        </w:tabs>
        <w:ind w:firstLine="709"/>
        <w:contextualSpacing/>
        <w:jc w:val="both"/>
        <w:rPr>
          <w:rFonts w:ascii="Cambria" w:hAnsi="Cambria"/>
          <w:color w:val="000000" w:themeColor="text1"/>
          <w:sz w:val="16"/>
          <w:szCs w:val="16"/>
          <w:lang w:val="es-US"/>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IACHR, Report No. 2/20, Case 12.915. Friendly Settlement. </w:t>
      </w:r>
      <w:r w:rsidRPr="00417964">
        <w:rPr>
          <w:rFonts w:ascii="Cambria" w:hAnsi="Cambria"/>
          <w:color w:val="000000" w:themeColor="text1"/>
          <w:sz w:val="16"/>
          <w:szCs w:val="16"/>
        </w:rPr>
        <w:t xml:space="preserve">Ángel Díaz Cruz et al. </w:t>
      </w:r>
      <w:r w:rsidRPr="007175E2">
        <w:rPr>
          <w:rFonts w:ascii="Cambria" w:hAnsi="Cambria"/>
          <w:color w:val="000000" w:themeColor="text1"/>
          <w:sz w:val="16"/>
          <w:szCs w:val="16"/>
          <w:lang w:val="es-VE"/>
        </w:rPr>
        <w:t xml:space="preserve">Mexico. </w:t>
      </w:r>
      <w:r w:rsidRPr="007175E2">
        <w:rPr>
          <w:rFonts w:ascii="Cambria" w:hAnsi="Cambria"/>
          <w:color w:val="000000" w:themeColor="text1"/>
          <w:sz w:val="16"/>
          <w:szCs w:val="16"/>
          <w:lang w:val="es-US"/>
        </w:rPr>
        <w:t xml:space="preserve">February 24, 2020. </w:t>
      </w:r>
      <w:hyperlink r:id="rId6" w:history="1">
        <w:r w:rsidRPr="007175E2">
          <w:rPr>
            <w:rStyle w:val="Hyperlink"/>
            <w:rFonts w:ascii="Cambria" w:hAnsi="Cambria"/>
            <w:color w:val="000000" w:themeColor="text1"/>
            <w:sz w:val="16"/>
            <w:szCs w:val="16"/>
            <w:lang w:val="es-US"/>
          </w:rPr>
          <w:t>http://www.oas.org/es/cidh/decisiones/2020/mxsa12915es.pdf</w:t>
        </w:r>
      </w:hyperlink>
    </w:p>
  </w:footnote>
  <w:footnote w:id="9">
    <w:p w14:paraId="2F6B1728" w14:textId="77777777" w:rsidR="001541D4" w:rsidRPr="007175E2" w:rsidRDefault="001541D4" w:rsidP="007175E2">
      <w:pPr>
        <w:pStyle w:val="FootnoteText"/>
        <w:ind w:firstLine="709"/>
        <w:contextualSpacing/>
        <w:jc w:val="both"/>
        <w:rPr>
          <w:rFonts w:ascii="Cambria" w:hAnsi="Cambria"/>
          <w:color w:val="000000" w:themeColor="text1"/>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See IACHR, Annual Report 2021, Chapter II, Section F: Progress and Setbacks in the Negotiation and Implementation of Friendly Settlement Agreements, Available at: https://www.oas.org/es/cidh/docs/anual/2021/capitulos/IA2021cap2-es.pdf.</w:t>
      </w:r>
    </w:p>
  </w:footnote>
  <w:footnote w:id="10">
    <w:p w14:paraId="3A6436F8" w14:textId="77777777" w:rsidR="001541D4" w:rsidRPr="007175E2" w:rsidRDefault="001541D4" w:rsidP="007175E2">
      <w:pPr>
        <w:pStyle w:val="FootnoteText"/>
        <w:tabs>
          <w:tab w:val="left" w:pos="900"/>
        </w:tabs>
        <w:ind w:firstLine="720"/>
        <w:jc w:val="both"/>
        <w:rPr>
          <w:rFonts w:ascii="Cambria" w:hAnsi="Cambria"/>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IACHR, Report No. 2/20, Case 12.915. Friendly Settlement. </w:t>
      </w:r>
      <w:r w:rsidRPr="007175E2">
        <w:rPr>
          <w:rFonts w:ascii="Cambria" w:hAnsi="Cambria"/>
          <w:color w:val="000000" w:themeColor="text1"/>
          <w:sz w:val="16"/>
          <w:szCs w:val="16"/>
          <w:lang w:val="es-ES_tradnl"/>
        </w:rPr>
        <w:t xml:space="preserve">Ángel Díaz Cruz et al. </w:t>
      </w:r>
      <w:r w:rsidRPr="007175E2">
        <w:rPr>
          <w:rFonts w:ascii="Cambria" w:hAnsi="Cambria"/>
          <w:color w:val="000000" w:themeColor="text1"/>
          <w:sz w:val="16"/>
          <w:szCs w:val="16"/>
          <w:lang w:val="es-VE"/>
        </w:rPr>
        <w:t xml:space="preserve">Mexico. </w:t>
      </w:r>
      <w:r w:rsidRPr="007175E2">
        <w:rPr>
          <w:rFonts w:ascii="Cambria" w:hAnsi="Cambria"/>
          <w:color w:val="000000" w:themeColor="text1"/>
          <w:sz w:val="16"/>
          <w:szCs w:val="16"/>
        </w:rPr>
        <w:t xml:space="preserve">February 24, 2020. </w:t>
      </w:r>
      <w:hyperlink r:id="rId7" w:history="1">
        <w:r w:rsidRPr="007175E2">
          <w:rPr>
            <w:rStyle w:val="Hyperlink"/>
            <w:rFonts w:ascii="Cambria" w:hAnsi="Cambria"/>
            <w:color w:val="000000" w:themeColor="text1"/>
            <w:sz w:val="16"/>
            <w:szCs w:val="16"/>
          </w:rPr>
          <w:t>http://www.oas.org/es/cidh/decisiones/2020/mxsa12915es.pdf</w:t>
        </w:r>
      </w:hyperlink>
    </w:p>
  </w:footnote>
  <w:footnote w:id="11">
    <w:p w14:paraId="319D8EFA" w14:textId="77777777" w:rsidR="001541D4" w:rsidRPr="007175E2" w:rsidRDefault="001541D4" w:rsidP="007175E2">
      <w:pPr>
        <w:pStyle w:val="FootnoteText"/>
        <w:tabs>
          <w:tab w:val="left" w:pos="900"/>
        </w:tabs>
        <w:ind w:firstLine="709"/>
        <w:jc w:val="both"/>
        <w:rPr>
          <w:rFonts w:ascii="Cambria" w:hAnsi="Cambria"/>
          <w:color w:val="000000" w:themeColor="text1"/>
          <w:sz w:val="16"/>
          <w:szCs w:val="16"/>
          <w:lang w:val="es-US"/>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IACHR, Report No. 2/20, Case 12.915. Friendly Settlement. Ángel Díaz Cruz et al. </w:t>
      </w:r>
      <w:r w:rsidRPr="007175E2">
        <w:rPr>
          <w:rFonts w:ascii="Cambria" w:hAnsi="Cambria"/>
          <w:color w:val="000000" w:themeColor="text1"/>
          <w:sz w:val="16"/>
          <w:szCs w:val="16"/>
          <w:lang w:val="es-VE"/>
        </w:rPr>
        <w:t xml:space="preserve">Mexico. </w:t>
      </w:r>
      <w:r w:rsidRPr="007175E2">
        <w:rPr>
          <w:rFonts w:ascii="Cambria" w:hAnsi="Cambria"/>
          <w:color w:val="000000" w:themeColor="text1"/>
          <w:sz w:val="16"/>
          <w:szCs w:val="16"/>
          <w:lang w:val="es-US"/>
        </w:rPr>
        <w:t xml:space="preserve">February 24, 2020. </w:t>
      </w:r>
      <w:hyperlink r:id="rId8" w:history="1">
        <w:r w:rsidRPr="007175E2">
          <w:rPr>
            <w:rStyle w:val="Hyperlink"/>
            <w:rFonts w:ascii="Cambria" w:hAnsi="Cambria"/>
            <w:color w:val="000000" w:themeColor="text1"/>
            <w:sz w:val="16"/>
            <w:szCs w:val="16"/>
            <w:lang w:val="es-US"/>
          </w:rPr>
          <w:t>http://www.oas.org/es/cidh/decisiones/2020/mxsa12915es.pdf</w:t>
        </w:r>
      </w:hyperlink>
    </w:p>
  </w:footnote>
  <w:footnote w:id="12">
    <w:p w14:paraId="0482E038" w14:textId="77777777" w:rsidR="001541D4" w:rsidRPr="007175E2" w:rsidRDefault="001541D4" w:rsidP="007175E2">
      <w:pPr>
        <w:pStyle w:val="FootnoteText"/>
        <w:tabs>
          <w:tab w:val="left" w:pos="900"/>
        </w:tabs>
        <w:ind w:firstLine="709"/>
        <w:jc w:val="both"/>
        <w:rPr>
          <w:rFonts w:ascii="Cambria" w:hAnsi="Cambria"/>
          <w:color w:val="000000" w:themeColor="text1"/>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IACHR, Report No. 2/20, Case 12.915. Friendly Settlement. </w:t>
      </w:r>
      <w:r w:rsidRPr="007175E2">
        <w:rPr>
          <w:rFonts w:ascii="Cambria" w:hAnsi="Cambria"/>
          <w:color w:val="000000" w:themeColor="text1"/>
          <w:sz w:val="16"/>
          <w:szCs w:val="16"/>
          <w:lang w:val="es-US"/>
        </w:rPr>
        <w:t xml:space="preserve">Ángel Díaz Cruz et al. </w:t>
      </w:r>
      <w:r w:rsidRPr="007175E2">
        <w:rPr>
          <w:rFonts w:ascii="Cambria" w:hAnsi="Cambria"/>
          <w:color w:val="000000" w:themeColor="text1"/>
          <w:sz w:val="16"/>
          <w:szCs w:val="16"/>
          <w:lang w:val="es-VE"/>
        </w:rPr>
        <w:t xml:space="preserve">Mexico. </w:t>
      </w:r>
      <w:r w:rsidRPr="007175E2">
        <w:rPr>
          <w:rFonts w:ascii="Cambria" w:hAnsi="Cambria"/>
          <w:color w:val="000000" w:themeColor="text1"/>
          <w:sz w:val="16"/>
          <w:szCs w:val="16"/>
        </w:rPr>
        <w:t xml:space="preserve">February 24, 2020. </w:t>
      </w:r>
      <w:hyperlink r:id="rId9" w:history="1">
        <w:r w:rsidRPr="007175E2">
          <w:rPr>
            <w:rStyle w:val="Hyperlink"/>
            <w:rFonts w:ascii="Cambria" w:hAnsi="Cambria"/>
            <w:color w:val="000000" w:themeColor="text1"/>
            <w:sz w:val="16"/>
            <w:szCs w:val="16"/>
          </w:rPr>
          <w:t>http://www.oas.org/es/cidh/decisiones/2020/mxsa12915es.pdf</w:t>
        </w:r>
      </w:hyperlink>
    </w:p>
  </w:footnote>
  <w:footnote w:id="13">
    <w:p w14:paraId="2BE07E31" w14:textId="77777777" w:rsidR="001541D4" w:rsidRPr="007175E2" w:rsidRDefault="001541D4" w:rsidP="007175E2">
      <w:pPr>
        <w:pStyle w:val="FootnoteText"/>
        <w:ind w:firstLine="709"/>
        <w:rPr>
          <w:rFonts w:ascii="Cambria" w:hAnsi="Cambria"/>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See IACHR, Annual Report 2021, Chapter II, Section F: Progress and Setbacks in the Negotiation and Implementation of Friendly Settlement Agreements, Available at: https://www.oas.org/es/cidh/docs/anual/2021/capitulos/IA2021cap2-es.pdf.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DE9"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562B63">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5168"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562B63"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8"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1"/>
  </w:num>
  <w:num w:numId="2" w16cid:durableId="453600156">
    <w:abstractNumId w:val="28"/>
  </w:num>
  <w:num w:numId="3" w16cid:durableId="897327684">
    <w:abstractNumId w:val="18"/>
  </w:num>
  <w:num w:numId="4" w16cid:durableId="1141650489">
    <w:abstractNumId w:val="27"/>
  </w:num>
  <w:num w:numId="5" w16cid:durableId="746342540">
    <w:abstractNumId w:val="13"/>
  </w:num>
  <w:num w:numId="6" w16cid:durableId="1621692518">
    <w:abstractNumId w:val="6"/>
  </w:num>
  <w:num w:numId="7" w16cid:durableId="971790784">
    <w:abstractNumId w:val="1"/>
  </w:num>
  <w:num w:numId="8" w16cid:durableId="1387029646">
    <w:abstractNumId w:val="34"/>
  </w:num>
  <w:num w:numId="9" w16cid:durableId="1086881292">
    <w:abstractNumId w:val="7"/>
  </w:num>
  <w:num w:numId="10" w16cid:durableId="1292322756">
    <w:abstractNumId w:val="12"/>
  </w:num>
  <w:num w:numId="11" w16cid:durableId="1000500350">
    <w:abstractNumId w:val="2"/>
  </w:num>
  <w:num w:numId="12" w16cid:durableId="1706103099">
    <w:abstractNumId w:val="33"/>
  </w:num>
  <w:num w:numId="13" w16cid:durableId="1756710271">
    <w:abstractNumId w:val="20"/>
  </w:num>
  <w:num w:numId="14" w16cid:durableId="1099252676">
    <w:abstractNumId w:val="37"/>
  </w:num>
  <w:num w:numId="15" w16cid:durableId="1030109151">
    <w:abstractNumId w:val="16"/>
  </w:num>
  <w:num w:numId="16" w16cid:durableId="1722748191">
    <w:abstractNumId w:val="15"/>
  </w:num>
  <w:num w:numId="17" w16cid:durableId="351491452">
    <w:abstractNumId w:val="26"/>
  </w:num>
  <w:num w:numId="18" w16cid:durableId="1027633537">
    <w:abstractNumId w:val="9"/>
  </w:num>
  <w:num w:numId="19" w16cid:durableId="457845413">
    <w:abstractNumId w:val="25"/>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19"/>
  </w:num>
  <w:num w:numId="22" w16cid:durableId="2003926928">
    <w:abstractNumId w:val="10"/>
  </w:num>
  <w:num w:numId="23" w16cid:durableId="1497725357">
    <w:abstractNumId w:val="21"/>
  </w:num>
  <w:num w:numId="24" w16cid:durableId="307248652">
    <w:abstractNumId w:val="23"/>
  </w:num>
  <w:num w:numId="25" w16cid:durableId="1985550389">
    <w:abstractNumId w:val="5"/>
  </w:num>
  <w:num w:numId="26" w16cid:durableId="1478456909">
    <w:abstractNumId w:val="8"/>
  </w:num>
  <w:num w:numId="27" w16cid:durableId="1176925587">
    <w:abstractNumId w:val="3"/>
  </w:num>
  <w:num w:numId="28" w16cid:durableId="1876766616">
    <w:abstractNumId w:val="35"/>
  </w:num>
  <w:num w:numId="29" w16cid:durableId="2142572164">
    <w:abstractNumId w:val="32"/>
  </w:num>
  <w:num w:numId="30" w16cid:durableId="571933528">
    <w:abstractNumId w:val="30"/>
  </w:num>
  <w:num w:numId="31" w16cid:durableId="1861430946">
    <w:abstractNumId w:val="14"/>
  </w:num>
  <w:num w:numId="32" w16cid:durableId="803893092">
    <w:abstractNumId w:val="17"/>
  </w:num>
  <w:num w:numId="33" w16cid:durableId="1739936026">
    <w:abstractNumId w:val="4"/>
  </w:num>
  <w:num w:numId="34" w16cid:durableId="1458915668">
    <w:abstractNumId w:val="29"/>
  </w:num>
  <w:num w:numId="35" w16cid:durableId="1599485303">
    <w:abstractNumId w:val="38"/>
  </w:num>
  <w:num w:numId="36" w16cid:durableId="1664964272">
    <w:abstractNumId w:val="36"/>
  </w:num>
  <w:num w:numId="37" w16cid:durableId="2074966919">
    <w:abstractNumId w:val="31"/>
  </w:num>
  <w:num w:numId="38" w16cid:durableId="20934263">
    <w:abstractNumId w:val="22"/>
  </w:num>
  <w:num w:numId="39" w16cid:durableId="195656616">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D32B6"/>
    <w:rsid w:val="001011E0"/>
    <w:rsid w:val="00101E3E"/>
    <w:rsid w:val="00112395"/>
    <w:rsid w:val="0012326D"/>
    <w:rsid w:val="0012586C"/>
    <w:rsid w:val="00127F17"/>
    <w:rsid w:val="001511FD"/>
    <w:rsid w:val="001541D4"/>
    <w:rsid w:val="00162518"/>
    <w:rsid w:val="001834F6"/>
    <w:rsid w:val="001C516B"/>
    <w:rsid w:val="001E3F4C"/>
    <w:rsid w:val="00215215"/>
    <w:rsid w:val="0021669C"/>
    <w:rsid w:val="00226F48"/>
    <w:rsid w:val="00236411"/>
    <w:rsid w:val="00240E8E"/>
    <w:rsid w:val="002547E7"/>
    <w:rsid w:val="00260836"/>
    <w:rsid w:val="00277604"/>
    <w:rsid w:val="002859A9"/>
    <w:rsid w:val="00292B52"/>
    <w:rsid w:val="00294A83"/>
    <w:rsid w:val="00294B17"/>
    <w:rsid w:val="002A39B2"/>
    <w:rsid w:val="002B3080"/>
    <w:rsid w:val="002D40CD"/>
    <w:rsid w:val="002E4FBC"/>
    <w:rsid w:val="002F156A"/>
    <w:rsid w:val="00324C1A"/>
    <w:rsid w:val="00335042"/>
    <w:rsid w:val="00336E78"/>
    <w:rsid w:val="003419CC"/>
    <w:rsid w:val="00343CED"/>
    <w:rsid w:val="0036283E"/>
    <w:rsid w:val="00385F0C"/>
    <w:rsid w:val="00393310"/>
    <w:rsid w:val="00394EEF"/>
    <w:rsid w:val="003C4836"/>
    <w:rsid w:val="003E4C2F"/>
    <w:rsid w:val="003E533F"/>
    <w:rsid w:val="003E6F57"/>
    <w:rsid w:val="003F3C6B"/>
    <w:rsid w:val="00402700"/>
    <w:rsid w:val="00417964"/>
    <w:rsid w:val="00420BB1"/>
    <w:rsid w:val="0043583A"/>
    <w:rsid w:val="004545D1"/>
    <w:rsid w:val="00457BAB"/>
    <w:rsid w:val="00470C7B"/>
    <w:rsid w:val="0047146A"/>
    <w:rsid w:val="004722BC"/>
    <w:rsid w:val="00472E04"/>
    <w:rsid w:val="0047567D"/>
    <w:rsid w:val="00477BF2"/>
    <w:rsid w:val="004B3074"/>
    <w:rsid w:val="004B7CA6"/>
    <w:rsid w:val="004C6CCF"/>
    <w:rsid w:val="004C7C99"/>
    <w:rsid w:val="004F5CA9"/>
    <w:rsid w:val="004F5F70"/>
    <w:rsid w:val="00504855"/>
    <w:rsid w:val="005145CC"/>
    <w:rsid w:val="005205B9"/>
    <w:rsid w:val="00534F2B"/>
    <w:rsid w:val="005566F5"/>
    <w:rsid w:val="00562B63"/>
    <w:rsid w:val="005829B9"/>
    <w:rsid w:val="00594A1B"/>
    <w:rsid w:val="005A328E"/>
    <w:rsid w:val="005A49FD"/>
    <w:rsid w:val="005A4D20"/>
    <w:rsid w:val="005A5AE8"/>
    <w:rsid w:val="005A5E14"/>
    <w:rsid w:val="005B2E65"/>
    <w:rsid w:val="005C2637"/>
    <w:rsid w:val="005C414D"/>
    <w:rsid w:val="005D7F05"/>
    <w:rsid w:val="005E3720"/>
    <w:rsid w:val="005E4B03"/>
    <w:rsid w:val="005F171A"/>
    <w:rsid w:val="005F4AAA"/>
    <w:rsid w:val="0060081A"/>
    <w:rsid w:val="00604132"/>
    <w:rsid w:val="00634F89"/>
    <w:rsid w:val="00637AFB"/>
    <w:rsid w:val="00655003"/>
    <w:rsid w:val="00660EF3"/>
    <w:rsid w:val="00663A76"/>
    <w:rsid w:val="0067152B"/>
    <w:rsid w:val="00672090"/>
    <w:rsid w:val="006C2941"/>
    <w:rsid w:val="006C2B06"/>
    <w:rsid w:val="006C7308"/>
    <w:rsid w:val="006E2BD8"/>
    <w:rsid w:val="006F0429"/>
    <w:rsid w:val="0070407B"/>
    <w:rsid w:val="00705E57"/>
    <w:rsid w:val="007175E2"/>
    <w:rsid w:val="00727940"/>
    <w:rsid w:val="00730193"/>
    <w:rsid w:val="0073227E"/>
    <w:rsid w:val="00732EA4"/>
    <w:rsid w:val="007377D4"/>
    <w:rsid w:val="007B0327"/>
    <w:rsid w:val="007B3452"/>
    <w:rsid w:val="007B3D07"/>
    <w:rsid w:val="007C2CC3"/>
    <w:rsid w:val="007C351D"/>
    <w:rsid w:val="007D4C18"/>
    <w:rsid w:val="007E463E"/>
    <w:rsid w:val="007F5F4E"/>
    <w:rsid w:val="00801509"/>
    <w:rsid w:val="00802867"/>
    <w:rsid w:val="00806082"/>
    <w:rsid w:val="00807BAA"/>
    <w:rsid w:val="008145AE"/>
    <w:rsid w:val="00817E0C"/>
    <w:rsid w:val="008338E4"/>
    <w:rsid w:val="00833BA8"/>
    <w:rsid w:val="00846397"/>
    <w:rsid w:val="008521E0"/>
    <w:rsid w:val="00854914"/>
    <w:rsid w:val="008550EF"/>
    <w:rsid w:val="00893661"/>
    <w:rsid w:val="008A1CBE"/>
    <w:rsid w:val="008B1EA8"/>
    <w:rsid w:val="008B2A99"/>
    <w:rsid w:val="008B6DA8"/>
    <w:rsid w:val="008E42E1"/>
    <w:rsid w:val="008E751C"/>
    <w:rsid w:val="008F2248"/>
    <w:rsid w:val="009108A4"/>
    <w:rsid w:val="009162E7"/>
    <w:rsid w:val="00941BE5"/>
    <w:rsid w:val="009457D8"/>
    <w:rsid w:val="0096142F"/>
    <w:rsid w:val="0096419E"/>
    <w:rsid w:val="00994458"/>
    <w:rsid w:val="009949ED"/>
    <w:rsid w:val="009B1135"/>
    <w:rsid w:val="009B219C"/>
    <w:rsid w:val="009C227B"/>
    <w:rsid w:val="009C4D87"/>
    <w:rsid w:val="009C5BE9"/>
    <w:rsid w:val="009E73F0"/>
    <w:rsid w:val="009F66EA"/>
    <w:rsid w:val="00A2502C"/>
    <w:rsid w:val="00A25CA7"/>
    <w:rsid w:val="00A343FF"/>
    <w:rsid w:val="00A61B5E"/>
    <w:rsid w:val="00A678C3"/>
    <w:rsid w:val="00A70B4A"/>
    <w:rsid w:val="00A76705"/>
    <w:rsid w:val="00A7781B"/>
    <w:rsid w:val="00A860C7"/>
    <w:rsid w:val="00AA164D"/>
    <w:rsid w:val="00AB0F8C"/>
    <w:rsid w:val="00AB253B"/>
    <w:rsid w:val="00AC2C8E"/>
    <w:rsid w:val="00AE1B0F"/>
    <w:rsid w:val="00AF2D92"/>
    <w:rsid w:val="00B002D8"/>
    <w:rsid w:val="00B056D9"/>
    <w:rsid w:val="00B063D6"/>
    <w:rsid w:val="00B120EB"/>
    <w:rsid w:val="00B205A7"/>
    <w:rsid w:val="00B3732F"/>
    <w:rsid w:val="00B40F77"/>
    <w:rsid w:val="00B4343F"/>
    <w:rsid w:val="00B60889"/>
    <w:rsid w:val="00B674F5"/>
    <w:rsid w:val="00B74EA5"/>
    <w:rsid w:val="00B8008C"/>
    <w:rsid w:val="00B806AC"/>
    <w:rsid w:val="00B93993"/>
    <w:rsid w:val="00BA2B9F"/>
    <w:rsid w:val="00BB0A8F"/>
    <w:rsid w:val="00BC3854"/>
    <w:rsid w:val="00C03B37"/>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D169F"/>
    <w:rsid w:val="00CE024B"/>
    <w:rsid w:val="00CE74B7"/>
    <w:rsid w:val="00CF54E1"/>
    <w:rsid w:val="00D048B2"/>
    <w:rsid w:val="00D05BCC"/>
    <w:rsid w:val="00D23C64"/>
    <w:rsid w:val="00D735C2"/>
    <w:rsid w:val="00D76EDC"/>
    <w:rsid w:val="00D91EBA"/>
    <w:rsid w:val="00D9413D"/>
    <w:rsid w:val="00DA7797"/>
    <w:rsid w:val="00DC5A37"/>
    <w:rsid w:val="00DC7C8F"/>
    <w:rsid w:val="00DE4A18"/>
    <w:rsid w:val="00DF0FE5"/>
    <w:rsid w:val="00E12118"/>
    <w:rsid w:val="00E177B0"/>
    <w:rsid w:val="00E24621"/>
    <w:rsid w:val="00E3040C"/>
    <w:rsid w:val="00E31824"/>
    <w:rsid w:val="00E42870"/>
    <w:rsid w:val="00E525B3"/>
    <w:rsid w:val="00E6614F"/>
    <w:rsid w:val="00E737AE"/>
    <w:rsid w:val="00E953CE"/>
    <w:rsid w:val="00EC2A38"/>
    <w:rsid w:val="00ED7332"/>
    <w:rsid w:val="00ED73A5"/>
    <w:rsid w:val="00EE4240"/>
    <w:rsid w:val="00F14821"/>
    <w:rsid w:val="00F43314"/>
    <w:rsid w:val="00F45256"/>
    <w:rsid w:val="00F53B51"/>
    <w:rsid w:val="00F54F60"/>
    <w:rsid w:val="00F61B1D"/>
    <w:rsid w:val="00F62829"/>
    <w:rsid w:val="00F66FEE"/>
    <w:rsid w:val="00F74974"/>
    <w:rsid w:val="00F7589F"/>
    <w:rsid w:val="00F8575B"/>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as.org/en/iachr/decisions/2020/mxsa12915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s.org/en/iachr/decisions/2013/MXAD1266-06EN.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org/en/iachr/decisions/2020/mxsa12915e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ecisiones/2020/mxsa12915es.pdf" TargetMode="External"/><Relationship Id="rId3" Type="http://schemas.openxmlformats.org/officeDocument/2006/relationships/hyperlink" Target="http://www.oas.org/es/cidh/decisiones/2020/mxsa12915es.pdf" TargetMode="External"/><Relationship Id="rId7" Type="http://schemas.openxmlformats.org/officeDocument/2006/relationships/hyperlink" Target="http://www.oas.org/es/cidh/decisiones/2020/mxsa12915es.pdf" TargetMode="External"/><Relationship Id="rId2" Type="http://schemas.openxmlformats.org/officeDocument/2006/relationships/hyperlink" Target="http://www.oas.org/es/cidh/decisiones/2020/mxsa12915es.pdf" TargetMode="External"/><Relationship Id="rId1" Type="http://schemas.openxmlformats.org/officeDocument/2006/relationships/hyperlink" Target="http://www.oas.org/es/cidh/decisiones/2020/mxsa12915es.pdf" TargetMode="External"/><Relationship Id="rId6" Type="http://schemas.openxmlformats.org/officeDocument/2006/relationships/hyperlink" Target="http://www.oas.org/es/cidh/decisiones/2020/mxsa12915es.pdf" TargetMode="External"/><Relationship Id="rId5" Type="http://schemas.openxmlformats.org/officeDocument/2006/relationships/hyperlink" Target="http://www.oas.org/es/cidh/decisiones/2020/mxsa12915es.pdf" TargetMode="External"/><Relationship Id="rId4" Type="http://schemas.openxmlformats.org/officeDocument/2006/relationships/hyperlink" Target="http://www.oas.org/es/cidh/decisiones/2020/mxsa12915es.pdf" TargetMode="External"/><Relationship Id="rId9" Type="http://schemas.openxmlformats.org/officeDocument/2006/relationships/hyperlink" Target="http://www.oas.org/es/cidh/decisiones/2020/mxsa12915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3.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4.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2399</Words>
  <Characters>13679</Characters>
  <Application>Microsoft Office Word</Application>
  <DocSecurity>0</DocSecurity>
  <Lines>113</Lines>
  <Paragraphs>32</Paragraphs>
  <ScaleCrop>false</ScaleCrop>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2023-03-07T20:29:00Z</dcterms:created>
  <dcterms:modified xsi:type="dcterms:W3CDTF">2023-03-07T20:29:00Z</dcterms:modified>
</cp:coreProperties>
</file>