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E819" w14:textId="77777777" w:rsidR="00EE2B3B" w:rsidRDefault="00EE2B3B" w:rsidP="00EE2B3B">
      <w:pPr>
        <w:pStyle w:val="NoSpacing"/>
        <w:ind w:left="-270" w:right="-270"/>
        <w:jc w:val="center"/>
        <w:rPr>
          <w:rFonts w:ascii="Cambria" w:hAnsi="Cambria"/>
          <w:b/>
          <w:color w:val="000000"/>
          <w:sz w:val="24"/>
          <w:szCs w:val="24"/>
        </w:rPr>
      </w:pPr>
    </w:p>
    <w:p w14:paraId="036D26F6" w14:textId="77777777" w:rsidR="00EE2B3B" w:rsidRPr="00EE2B3B" w:rsidRDefault="00EE2B3B" w:rsidP="00EE2B3B">
      <w:pPr>
        <w:pStyle w:val="NoSpacing"/>
        <w:ind w:left="-270" w:right="-270"/>
        <w:jc w:val="center"/>
        <w:rPr>
          <w:rFonts w:ascii="Cambria" w:hAnsi="Cambria"/>
          <w:b/>
          <w:color w:val="000000"/>
          <w:sz w:val="24"/>
          <w:szCs w:val="24"/>
        </w:rPr>
      </w:pPr>
      <w:r w:rsidRPr="00EE2B3B">
        <w:rPr>
          <w:rFonts w:ascii="Cambria" w:hAnsi="Cambria"/>
          <w:b/>
          <w:color w:val="000000"/>
          <w:sz w:val="24"/>
          <w:szCs w:val="24"/>
        </w:rPr>
        <w:t>TECHNICAL INFORMATION SHEET</w:t>
      </w:r>
    </w:p>
    <w:p w14:paraId="71CB167D" w14:textId="3C537486" w:rsidR="00275469" w:rsidRPr="003507A6" w:rsidRDefault="00275469" w:rsidP="00275469">
      <w:pPr>
        <w:pStyle w:val="NoSpacing"/>
        <w:jc w:val="center"/>
        <w:rPr>
          <w:rFonts w:ascii="Cambria" w:hAnsi="Cambria"/>
          <w:b/>
          <w:color w:val="000000"/>
          <w:sz w:val="24"/>
        </w:rPr>
      </w:pPr>
      <w:r w:rsidRPr="003507A6">
        <w:rPr>
          <w:rFonts w:ascii="Cambria" w:hAnsi="Cambria"/>
          <w:b/>
          <w:color w:val="000000"/>
          <w:sz w:val="24"/>
          <w:szCs w:val="24"/>
        </w:rPr>
        <w:t>CASE 12.756</w:t>
      </w:r>
      <w:r>
        <w:rPr>
          <w:rFonts w:ascii="Cambria" w:hAnsi="Cambria"/>
          <w:b/>
          <w:color w:val="000000"/>
          <w:sz w:val="24"/>
          <w:szCs w:val="24"/>
        </w:rPr>
        <w:t xml:space="preserve"> </w:t>
      </w:r>
      <w:r w:rsidRPr="003507A6">
        <w:rPr>
          <w:rFonts w:ascii="Cambria" w:hAnsi="Cambria"/>
          <w:b/>
          <w:color w:val="000000"/>
          <w:sz w:val="24"/>
          <w:szCs w:val="24"/>
        </w:rPr>
        <w:t>EL ARACATAZZO BAR MASSACRE</w:t>
      </w:r>
    </w:p>
    <w:p w14:paraId="589F3041" w14:textId="34936CE6" w:rsidR="00EE2B3B" w:rsidRPr="003F7365" w:rsidRDefault="00EE2B3B" w:rsidP="00EE2B3B">
      <w:pPr>
        <w:pStyle w:val="NoSpacing"/>
        <w:ind w:left="-270" w:right="-270"/>
        <w:jc w:val="center"/>
        <w:rPr>
          <w:rFonts w:ascii="Cambria" w:hAnsi="Cambria"/>
          <w:b/>
          <w:color w:val="000000"/>
          <w:sz w:val="24"/>
          <w:szCs w:val="24"/>
        </w:rPr>
      </w:pPr>
      <w:r w:rsidRPr="003F7365">
        <w:rPr>
          <w:rFonts w:ascii="Cambria" w:hAnsi="Cambria"/>
          <w:b/>
          <w:color w:val="000000"/>
          <w:sz w:val="24"/>
          <w:szCs w:val="24"/>
        </w:rPr>
        <w:t>REPORT ON FRIENDLY SETTLEMENT Nº</w:t>
      </w:r>
      <w:r w:rsidR="00F64E08">
        <w:rPr>
          <w:rFonts w:ascii="Cambria" w:hAnsi="Cambria"/>
          <w:b/>
          <w:color w:val="000000"/>
          <w:sz w:val="24"/>
          <w:szCs w:val="24"/>
        </w:rPr>
        <w:t xml:space="preserve"> </w:t>
      </w:r>
      <w:hyperlink r:id="rId8" w:history="1">
        <w:r w:rsidR="00275469" w:rsidRPr="0061101E">
          <w:rPr>
            <w:rStyle w:val="Hyperlink"/>
            <w:rFonts w:ascii="Cambria" w:hAnsi="Cambria"/>
            <w:b/>
            <w:sz w:val="24"/>
            <w:szCs w:val="24"/>
          </w:rPr>
          <w:t>10/15</w:t>
        </w:r>
      </w:hyperlink>
    </w:p>
    <w:p w14:paraId="291D19F8" w14:textId="77777777" w:rsidR="00EE2B3B" w:rsidRDefault="00EE2B3B" w:rsidP="00EE2B3B">
      <w:pPr>
        <w:pStyle w:val="NoSpacing"/>
        <w:ind w:left="-270" w:right="-270"/>
        <w:jc w:val="center"/>
        <w:rPr>
          <w:rFonts w:ascii="Cambria" w:hAnsi="Cambria"/>
          <w:b/>
          <w:color w:val="000000"/>
          <w:sz w:val="24"/>
          <w:szCs w:val="24"/>
        </w:rPr>
      </w:pPr>
      <w:r w:rsidRPr="00EE2B3B">
        <w:rPr>
          <w:rFonts w:ascii="Cambria" w:hAnsi="Cambria"/>
          <w:b/>
          <w:color w:val="000000"/>
          <w:sz w:val="24"/>
          <w:szCs w:val="24"/>
        </w:rPr>
        <w:t>TOTAL COMPLIANCE</w:t>
      </w:r>
      <w:r w:rsidRPr="003F7365">
        <w:rPr>
          <w:rFonts w:ascii="Cambria" w:hAnsi="Cambria"/>
          <w:b/>
          <w:color w:val="000000"/>
          <w:sz w:val="24"/>
          <w:szCs w:val="24"/>
        </w:rPr>
        <w:t xml:space="preserve"> </w:t>
      </w:r>
    </w:p>
    <w:p w14:paraId="731B0D08" w14:textId="04BAF173" w:rsidR="00EE2B3B" w:rsidRPr="003F7365" w:rsidRDefault="00EE2B3B" w:rsidP="00EE2B3B">
      <w:pPr>
        <w:pStyle w:val="NoSpacing"/>
        <w:ind w:left="-270" w:right="-270"/>
        <w:jc w:val="center"/>
        <w:rPr>
          <w:rFonts w:ascii="Cambria" w:hAnsi="Cambria"/>
          <w:b/>
          <w:color w:val="000000"/>
          <w:sz w:val="24"/>
          <w:szCs w:val="24"/>
        </w:rPr>
      </w:pPr>
      <w:r w:rsidRPr="003F7365">
        <w:rPr>
          <w:rFonts w:ascii="Cambria" w:hAnsi="Cambria"/>
          <w:b/>
          <w:color w:val="000000"/>
          <w:sz w:val="24"/>
          <w:szCs w:val="24"/>
        </w:rPr>
        <w:t>(</w:t>
      </w:r>
      <w:r w:rsidR="007827AF">
        <w:rPr>
          <w:rFonts w:ascii="Cambria" w:hAnsi="Cambria"/>
          <w:b/>
          <w:color w:val="000000"/>
          <w:sz w:val="24"/>
          <w:szCs w:val="24"/>
        </w:rPr>
        <w:t>COLOMBIA</w:t>
      </w:r>
      <w:r w:rsidRPr="003F7365">
        <w:rPr>
          <w:rFonts w:ascii="Cambria" w:hAnsi="Cambria"/>
          <w:b/>
          <w:color w:val="000000"/>
          <w:sz w:val="24"/>
          <w:szCs w:val="24"/>
        </w:rPr>
        <w:t>)</w:t>
      </w:r>
    </w:p>
    <w:p w14:paraId="6FCFDEEB" w14:textId="77777777" w:rsidR="00EE2B3B" w:rsidRPr="003F7365" w:rsidRDefault="00EE2B3B" w:rsidP="00EE2B3B">
      <w:pPr>
        <w:pStyle w:val="NoSpacing"/>
        <w:ind w:left="-270" w:right="-270"/>
        <w:jc w:val="center"/>
        <w:rPr>
          <w:rFonts w:ascii="Cambria" w:hAnsi="Cambria"/>
          <w:b/>
          <w:color w:val="000000"/>
          <w:sz w:val="20"/>
          <w:szCs w:val="20"/>
        </w:rPr>
      </w:pPr>
    </w:p>
    <w:p w14:paraId="14A7D6AF" w14:textId="77777777" w:rsidR="00EE2B3B" w:rsidRPr="003F7365" w:rsidRDefault="00EE2B3B" w:rsidP="00EE2B3B">
      <w:pPr>
        <w:numPr>
          <w:ilvl w:val="0"/>
          <w:numId w:val="1"/>
        </w:numPr>
        <w:ind w:left="0" w:firstLine="720"/>
        <w:rPr>
          <w:rFonts w:ascii="Cambria" w:hAnsi="Cambria" w:cs="Calibri Light"/>
          <w:b/>
          <w:color w:val="000000"/>
          <w:sz w:val="20"/>
          <w:szCs w:val="20"/>
        </w:rPr>
      </w:pPr>
      <w:r w:rsidRPr="003F7365">
        <w:rPr>
          <w:rFonts w:ascii="Cambria" w:hAnsi="Cambria"/>
          <w:b/>
          <w:color w:val="000000"/>
          <w:sz w:val="20"/>
          <w:szCs w:val="20"/>
        </w:rPr>
        <w:t xml:space="preserve">SUMMARY OF THE CASE </w:t>
      </w:r>
    </w:p>
    <w:p w14:paraId="05E3AE0D" w14:textId="77777777" w:rsidR="00EE2B3B" w:rsidRPr="003F7365" w:rsidRDefault="00EE2B3B" w:rsidP="00EE2B3B">
      <w:pPr>
        <w:ind w:left="720"/>
        <w:rPr>
          <w:rFonts w:ascii="Cambria" w:hAnsi="Cambria" w:cs="Calibri Light"/>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EE2B3B" w:rsidRPr="003F7365" w14:paraId="0DA6B01E" w14:textId="77777777" w:rsidTr="00D53017">
        <w:trPr>
          <w:jc w:val="center"/>
        </w:trPr>
        <w:tc>
          <w:tcPr>
            <w:tcW w:w="9576" w:type="dxa"/>
            <w:tcBorders>
              <w:top w:val="single" w:sz="4" w:space="0" w:color="auto"/>
              <w:left w:val="single" w:sz="4" w:space="0" w:color="auto"/>
              <w:bottom w:val="single" w:sz="4" w:space="0" w:color="auto"/>
              <w:right w:val="single" w:sz="4" w:space="0" w:color="auto"/>
            </w:tcBorders>
            <w:shd w:val="clear" w:color="auto" w:fill="F2F2F2"/>
          </w:tcPr>
          <w:p w14:paraId="54DCFC6C" w14:textId="77777777" w:rsidR="006C7932" w:rsidRPr="003507A6" w:rsidRDefault="006C7932" w:rsidP="006C7932">
            <w:pPr>
              <w:pStyle w:val="NoSpacing"/>
              <w:jc w:val="both"/>
              <w:rPr>
                <w:rFonts w:ascii="Cambria" w:hAnsi="Cambria"/>
                <w:color w:val="000000"/>
                <w:sz w:val="20"/>
                <w:szCs w:val="20"/>
              </w:rPr>
            </w:pPr>
            <w:r w:rsidRPr="003507A6">
              <w:rPr>
                <w:rFonts w:ascii="Cambria" w:hAnsi="Cambria"/>
                <w:b/>
                <w:color w:val="000000"/>
                <w:sz w:val="20"/>
              </w:rPr>
              <w:t>Victim (s):</w:t>
            </w:r>
            <w:r w:rsidRPr="003507A6">
              <w:rPr>
                <w:rFonts w:ascii="Cambria" w:hAnsi="Cambria"/>
                <w:color w:val="000000"/>
                <w:sz w:val="20"/>
              </w:rPr>
              <w:t xml:space="preserve"> El Aracatazzo Bar Massacre</w:t>
            </w:r>
          </w:p>
          <w:p w14:paraId="3CCC9D51" w14:textId="77777777" w:rsidR="006C7932" w:rsidRPr="00F05488" w:rsidRDefault="006C7932" w:rsidP="006C7932">
            <w:pPr>
              <w:pStyle w:val="NoSpacing"/>
              <w:jc w:val="both"/>
              <w:rPr>
                <w:rFonts w:ascii="Cambria" w:hAnsi="Cambria"/>
                <w:color w:val="000000"/>
                <w:sz w:val="20"/>
                <w:szCs w:val="20"/>
                <w:lang w:val="es-CO"/>
              </w:rPr>
            </w:pPr>
            <w:r w:rsidRPr="00F05488">
              <w:rPr>
                <w:rFonts w:ascii="Cambria" w:hAnsi="Cambria"/>
                <w:b/>
                <w:color w:val="000000"/>
                <w:sz w:val="20"/>
                <w:lang w:val="es-CO"/>
              </w:rPr>
              <w:t xml:space="preserve">Petitioner (s): </w:t>
            </w:r>
            <w:r w:rsidRPr="00F05488">
              <w:rPr>
                <w:rFonts w:ascii="Cambria" w:hAnsi="Cambria"/>
                <w:color w:val="000000"/>
                <w:sz w:val="20"/>
                <w:lang w:val="es-CO"/>
              </w:rPr>
              <w:t>Luis Felipe Viveros Montoya, José Luis Viveros Abisambra, and Juan Esteban Montoya Hincapié</w:t>
            </w:r>
          </w:p>
          <w:p w14:paraId="10BBFD5A" w14:textId="77777777" w:rsidR="006C7932" w:rsidRPr="003507A6" w:rsidRDefault="006C7932" w:rsidP="006C7932">
            <w:pPr>
              <w:pStyle w:val="NoSpacing"/>
              <w:jc w:val="both"/>
              <w:rPr>
                <w:rFonts w:ascii="Cambria" w:hAnsi="Cambria"/>
                <w:color w:val="000000"/>
                <w:sz w:val="20"/>
                <w:szCs w:val="20"/>
              </w:rPr>
            </w:pPr>
            <w:r w:rsidRPr="003507A6">
              <w:rPr>
                <w:rFonts w:ascii="Cambria" w:hAnsi="Cambria"/>
                <w:b/>
                <w:color w:val="000000"/>
                <w:sz w:val="20"/>
              </w:rPr>
              <w:t>State:</w:t>
            </w:r>
            <w:r w:rsidRPr="003507A6">
              <w:rPr>
                <w:rFonts w:ascii="Cambria" w:hAnsi="Cambria"/>
                <w:color w:val="000000"/>
                <w:sz w:val="20"/>
              </w:rPr>
              <w:t xml:space="preserve"> Colombia</w:t>
            </w:r>
          </w:p>
          <w:p w14:paraId="16F31FC4" w14:textId="77777777" w:rsidR="006C7932" w:rsidRPr="003507A6" w:rsidRDefault="006C7932" w:rsidP="006C7932">
            <w:pPr>
              <w:pStyle w:val="NoSpacing"/>
              <w:tabs>
                <w:tab w:val="left" w:pos="9270"/>
              </w:tabs>
              <w:jc w:val="both"/>
              <w:rPr>
                <w:rFonts w:ascii="Cambria" w:hAnsi="Cambria"/>
                <w:b/>
                <w:bCs/>
                <w:color w:val="000000"/>
                <w:sz w:val="20"/>
                <w:szCs w:val="20"/>
              </w:rPr>
            </w:pPr>
            <w:r w:rsidRPr="003507A6">
              <w:rPr>
                <w:rFonts w:ascii="Cambria" w:hAnsi="Cambria"/>
                <w:b/>
                <w:color w:val="000000"/>
                <w:sz w:val="20"/>
              </w:rPr>
              <w:t>Beginning of the negotiation date:</w:t>
            </w:r>
            <w:r w:rsidRPr="003507A6">
              <w:rPr>
                <w:rFonts w:ascii="Cambria" w:hAnsi="Cambria"/>
                <w:color w:val="000000"/>
                <w:sz w:val="20"/>
              </w:rPr>
              <w:t xml:space="preserve"> </w:t>
            </w:r>
            <w:r w:rsidRPr="003507A6">
              <w:rPr>
                <w:rFonts w:ascii="Cambria" w:hAnsi="Cambria"/>
                <w:sz w:val="20"/>
              </w:rPr>
              <w:t>September 29, 2010</w:t>
            </w:r>
            <w:r w:rsidRPr="003507A6">
              <w:rPr>
                <w:rFonts w:ascii="Cambria" w:hAnsi="Cambria"/>
                <w:color w:val="000000"/>
                <w:sz w:val="20"/>
              </w:rPr>
              <w:t xml:space="preserve"> </w:t>
            </w:r>
          </w:p>
          <w:p w14:paraId="08167347" w14:textId="77777777" w:rsidR="006C7932" w:rsidRPr="003507A6" w:rsidRDefault="006C7932" w:rsidP="006C7932">
            <w:pPr>
              <w:jc w:val="both"/>
              <w:rPr>
                <w:rFonts w:ascii="Cambria" w:hAnsi="Cambria"/>
                <w:bCs/>
                <w:color w:val="000000"/>
                <w:sz w:val="20"/>
                <w:szCs w:val="20"/>
              </w:rPr>
            </w:pPr>
            <w:r w:rsidRPr="003507A6">
              <w:rPr>
                <w:rFonts w:ascii="Cambria" w:hAnsi="Cambria"/>
                <w:b/>
                <w:color w:val="000000"/>
                <w:sz w:val="20"/>
              </w:rPr>
              <w:t xml:space="preserve">FSA signature date: </w:t>
            </w:r>
            <w:r w:rsidRPr="003507A6">
              <w:rPr>
                <w:rFonts w:ascii="Cambria" w:hAnsi="Cambria"/>
                <w:color w:val="000000"/>
                <w:sz w:val="20"/>
              </w:rPr>
              <w:t>December 12, 2014</w:t>
            </w:r>
          </w:p>
          <w:p w14:paraId="605132CC" w14:textId="77777777" w:rsidR="006C7932" w:rsidRPr="003507A6" w:rsidRDefault="006C7932" w:rsidP="006C7932">
            <w:pPr>
              <w:pStyle w:val="NoSpacing"/>
              <w:jc w:val="both"/>
              <w:rPr>
                <w:rFonts w:ascii="Cambria" w:hAnsi="Cambria"/>
                <w:color w:val="000000"/>
                <w:sz w:val="20"/>
                <w:szCs w:val="20"/>
              </w:rPr>
            </w:pPr>
            <w:r w:rsidRPr="003507A6">
              <w:rPr>
                <w:rFonts w:ascii="Cambria" w:hAnsi="Cambria"/>
                <w:b/>
                <w:color w:val="000000"/>
                <w:sz w:val="20"/>
              </w:rPr>
              <w:t xml:space="preserve">Friendly Settlement Agreement Report No.: </w:t>
            </w:r>
            <w:hyperlink r:id="rId9">
              <w:r w:rsidRPr="003507A6">
                <w:rPr>
                  <w:rStyle w:val="Hyperlink"/>
                  <w:rFonts w:ascii="Cambria" w:hAnsi="Cambria"/>
                  <w:b/>
                  <w:color w:val="000000"/>
                  <w:sz w:val="20"/>
                </w:rPr>
                <w:t>10/15</w:t>
              </w:r>
            </w:hyperlink>
            <w:r w:rsidRPr="003507A6">
              <w:rPr>
                <w:rFonts w:ascii="Cambria" w:hAnsi="Cambria"/>
                <w:color w:val="000000"/>
                <w:sz w:val="20"/>
              </w:rPr>
              <w:t>, published on January 30, 2015</w:t>
            </w:r>
          </w:p>
          <w:p w14:paraId="2616AB4E" w14:textId="77777777" w:rsidR="006C7932" w:rsidRPr="003507A6" w:rsidRDefault="006C7932" w:rsidP="006C7932">
            <w:pPr>
              <w:pStyle w:val="NoSpacing"/>
              <w:jc w:val="both"/>
              <w:rPr>
                <w:rFonts w:ascii="Cambria" w:hAnsi="Cambria"/>
                <w:color w:val="000000"/>
                <w:sz w:val="20"/>
                <w:szCs w:val="20"/>
              </w:rPr>
            </w:pPr>
            <w:r w:rsidRPr="003507A6">
              <w:rPr>
                <w:rFonts w:ascii="Cambria" w:hAnsi="Cambria"/>
                <w:b/>
                <w:color w:val="000000"/>
                <w:sz w:val="20"/>
              </w:rPr>
              <w:t xml:space="preserve">Admissibility Report No.: </w:t>
            </w:r>
            <w:hyperlink r:id="rId10">
              <w:r w:rsidRPr="003507A6">
                <w:rPr>
                  <w:rStyle w:val="Hyperlink"/>
                  <w:rFonts w:ascii="Cambria" w:hAnsi="Cambria"/>
                  <w:b/>
                  <w:color w:val="000000"/>
                  <w:sz w:val="20"/>
                </w:rPr>
                <w:t>47/10</w:t>
              </w:r>
            </w:hyperlink>
            <w:r w:rsidRPr="003507A6">
              <w:rPr>
                <w:rFonts w:ascii="Cambria" w:hAnsi="Cambria"/>
                <w:color w:val="000000"/>
                <w:sz w:val="20"/>
              </w:rPr>
              <w:t>, published on March 18, 2010</w:t>
            </w:r>
          </w:p>
          <w:p w14:paraId="4EB69817" w14:textId="77777777" w:rsidR="006C7932" w:rsidRPr="003507A6" w:rsidRDefault="006C7932" w:rsidP="006C7932">
            <w:pPr>
              <w:jc w:val="both"/>
              <w:rPr>
                <w:rFonts w:ascii="Cambria" w:hAnsi="Cambria"/>
                <w:b/>
                <w:bCs/>
                <w:color w:val="000000"/>
                <w:sz w:val="20"/>
                <w:szCs w:val="20"/>
              </w:rPr>
            </w:pPr>
            <w:r w:rsidRPr="003507A6">
              <w:rPr>
                <w:rFonts w:ascii="Cambria" w:hAnsi="Cambria"/>
                <w:b/>
                <w:color w:val="000000"/>
                <w:sz w:val="20"/>
              </w:rPr>
              <w:t>Estimated length of the negotiation phase:</w:t>
            </w:r>
            <w:r w:rsidRPr="003507A6">
              <w:rPr>
                <w:rFonts w:ascii="Cambria" w:hAnsi="Cambria"/>
                <w:color w:val="000000"/>
                <w:sz w:val="20"/>
              </w:rPr>
              <w:t xml:space="preserve"> 5 years</w:t>
            </w:r>
          </w:p>
          <w:p w14:paraId="4DF59281" w14:textId="77777777" w:rsidR="006C7932" w:rsidRPr="003507A6" w:rsidRDefault="006C7932" w:rsidP="006C7932">
            <w:pPr>
              <w:pStyle w:val="NoSpacing"/>
              <w:jc w:val="both"/>
              <w:rPr>
                <w:rFonts w:ascii="Cambria" w:hAnsi="Cambria"/>
                <w:color w:val="000000"/>
                <w:sz w:val="20"/>
                <w:szCs w:val="20"/>
              </w:rPr>
            </w:pPr>
            <w:r w:rsidRPr="003507A6">
              <w:rPr>
                <w:rFonts w:ascii="Cambria" w:hAnsi="Cambria"/>
                <w:b/>
                <w:color w:val="000000"/>
                <w:sz w:val="20"/>
              </w:rPr>
              <w:t>Related Rapporteurship(s):</w:t>
            </w:r>
            <w:r w:rsidRPr="003507A6">
              <w:rPr>
                <w:rFonts w:ascii="Cambria" w:hAnsi="Cambria"/>
                <w:color w:val="000000"/>
                <w:sz w:val="20"/>
              </w:rPr>
              <w:t xml:space="preserve"> Memory, Truth, and Justice Unit</w:t>
            </w:r>
          </w:p>
          <w:p w14:paraId="61024B22" w14:textId="77777777" w:rsidR="006C7932" w:rsidRPr="003507A6" w:rsidRDefault="006C7932" w:rsidP="006C7932">
            <w:pPr>
              <w:pStyle w:val="NoSpacing"/>
              <w:jc w:val="both"/>
              <w:rPr>
                <w:rFonts w:ascii="Cambria" w:hAnsi="Cambria"/>
                <w:color w:val="000000"/>
                <w:sz w:val="20"/>
                <w:szCs w:val="20"/>
              </w:rPr>
            </w:pPr>
            <w:r w:rsidRPr="003507A6">
              <w:rPr>
                <w:rFonts w:ascii="Cambria" w:hAnsi="Cambria"/>
                <w:b/>
                <w:color w:val="000000"/>
                <w:sz w:val="20"/>
              </w:rPr>
              <w:t>Topics:</w:t>
            </w:r>
            <w:r w:rsidRPr="003507A6">
              <w:rPr>
                <w:rFonts w:ascii="Cambria" w:hAnsi="Cambria"/>
                <w:color w:val="000000"/>
                <w:sz w:val="20"/>
              </w:rPr>
              <w:t xml:space="preserve"> Summary, extrajudicial, or arbitrary executions / Right to life / Massacre / Right to a fair trial / Right to judicial protection guarantees / Investigation</w:t>
            </w:r>
          </w:p>
          <w:p w14:paraId="30094340" w14:textId="77777777" w:rsidR="006C7932" w:rsidRPr="003507A6" w:rsidRDefault="006C7932" w:rsidP="006C7932">
            <w:pPr>
              <w:pStyle w:val="NoSpacing"/>
              <w:jc w:val="both"/>
              <w:rPr>
                <w:rFonts w:ascii="Cambria" w:hAnsi="Cambria"/>
                <w:color w:val="000000"/>
                <w:sz w:val="20"/>
                <w:szCs w:val="20"/>
              </w:rPr>
            </w:pPr>
          </w:p>
          <w:p w14:paraId="6E65B74D" w14:textId="77777777" w:rsidR="006C7932" w:rsidRPr="003507A6" w:rsidRDefault="006C7932" w:rsidP="006C7932">
            <w:pPr>
              <w:pStyle w:val="NoSpacing"/>
              <w:jc w:val="both"/>
              <w:rPr>
                <w:rFonts w:ascii="Cambria" w:hAnsi="Cambria"/>
                <w:color w:val="000000"/>
                <w:sz w:val="20"/>
                <w:szCs w:val="20"/>
              </w:rPr>
            </w:pPr>
            <w:r w:rsidRPr="003507A6">
              <w:rPr>
                <w:rFonts w:ascii="Cambria" w:hAnsi="Cambria"/>
                <w:b/>
                <w:color w:val="000000"/>
                <w:sz w:val="20"/>
              </w:rPr>
              <w:t>Facts:</w:t>
            </w:r>
            <w:r w:rsidRPr="003507A6">
              <w:rPr>
                <w:rFonts w:ascii="Cambria" w:hAnsi="Cambria"/>
                <w:color w:val="000000"/>
                <w:sz w:val="20"/>
              </w:rPr>
              <w:t xml:space="preserve"> The case refers to incidents that occurred on August 12, 1995, when members of paramilitary groups killed 18 persons in the bar “Estadero El Aracatazzo,” municipality of Chigorodó, Antioquia, with the acquiescence of law enforcement officers who were at a checkpoint of Infantry Battalion No. 46 of the National Army. In that respect, the officers neglected their duty to adopt protection measures in response to gunshots that were heard and to rescue the civilian population, despite their close proximity to the bar and hearing the gunshots. Subsequent to the incidents, there was neither a criminal nor a disciplinary investigation regarding those involved, and more than 10 years elapsed without any punishment given to the alleged persons responsible for the above-mentioned incidents.</w:t>
            </w:r>
          </w:p>
          <w:p w14:paraId="4F3608FF" w14:textId="77777777" w:rsidR="006C7932" w:rsidRPr="003507A6" w:rsidRDefault="006C7932" w:rsidP="006C7932">
            <w:pPr>
              <w:pStyle w:val="NoSpacing"/>
              <w:jc w:val="both"/>
              <w:rPr>
                <w:rFonts w:ascii="Cambria" w:hAnsi="Cambria"/>
                <w:color w:val="000000"/>
                <w:sz w:val="20"/>
                <w:szCs w:val="20"/>
              </w:rPr>
            </w:pPr>
          </w:p>
          <w:p w14:paraId="2ADA2413" w14:textId="54472BA9" w:rsidR="00EE2B3B" w:rsidRPr="003F7365" w:rsidRDefault="006C7932" w:rsidP="006C7932">
            <w:pPr>
              <w:pStyle w:val="NoSpacing"/>
              <w:tabs>
                <w:tab w:val="left" w:pos="9270"/>
              </w:tabs>
              <w:jc w:val="both"/>
              <w:rPr>
                <w:rFonts w:ascii="Cambria" w:hAnsi="Cambria"/>
                <w:color w:val="000000"/>
                <w:sz w:val="20"/>
                <w:szCs w:val="20"/>
              </w:rPr>
            </w:pPr>
            <w:r w:rsidRPr="003507A6">
              <w:rPr>
                <w:rFonts w:ascii="Cambria" w:hAnsi="Cambria"/>
                <w:b/>
                <w:color w:val="000000"/>
                <w:sz w:val="20"/>
              </w:rPr>
              <w:t>Rights declared admissible:</w:t>
            </w:r>
            <w:r w:rsidRPr="003507A6">
              <w:rPr>
                <w:rFonts w:ascii="Cambria" w:hAnsi="Cambria"/>
                <w:color w:val="000000"/>
                <w:sz w:val="20"/>
              </w:rPr>
              <w:t xml:space="preserve"> The Commission concluded that it was competent to hear the case of the filings and that the petition was admissible with respect to Articles 2 (duty to adopt domestic law provisions), 4 (right to life), 8 (right to a fair trial), and 25 (right to judicial protection guarantees) of the American Convention in connection with its Article 1.1, in compliance with the requirements set forth in its Articles 46 and 47, and decided to notify the parties and publish its report in its Annual Report.</w:t>
            </w:r>
          </w:p>
        </w:tc>
      </w:tr>
    </w:tbl>
    <w:p w14:paraId="4EBF1FC0" w14:textId="77777777" w:rsidR="00EE2B3B" w:rsidRPr="003F7365" w:rsidRDefault="00EE2B3B" w:rsidP="00EE2B3B">
      <w:pPr>
        <w:pStyle w:val="ListParagraph"/>
        <w:rPr>
          <w:rFonts w:ascii="Cambria" w:hAnsi="Cambria" w:cs="Calibri Light"/>
          <w:b/>
          <w:color w:val="000000"/>
          <w:sz w:val="20"/>
          <w:szCs w:val="20"/>
        </w:rPr>
      </w:pPr>
    </w:p>
    <w:p w14:paraId="1531F314" w14:textId="77777777" w:rsidR="00EE2B3B" w:rsidRPr="003F7365" w:rsidRDefault="00EE2B3B" w:rsidP="00F84B42">
      <w:pPr>
        <w:pStyle w:val="ListParagraph"/>
        <w:numPr>
          <w:ilvl w:val="0"/>
          <w:numId w:val="1"/>
        </w:numPr>
        <w:ind w:left="0" w:firstLine="720"/>
        <w:rPr>
          <w:rFonts w:ascii="Cambria" w:hAnsi="Cambria" w:cs="Calibri Light"/>
          <w:b/>
          <w:color w:val="000000"/>
          <w:sz w:val="20"/>
          <w:szCs w:val="20"/>
        </w:rPr>
      </w:pPr>
      <w:r w:rsidRPr="003F7365">
        <w:rPr>
          <w:rFonts w:ascii="Cambria" w:hAnsi="Cambria"/>
          <w:b/>
          <w:color w:val="000000"/>
          <w:sz w:val="20"/>
          <w:szCs w:val="20"/>
        </w:rPr>
        <w:t>PROCEDURAL ACTIVITY</w:t>
      </w:r>
    </w:p>
    <w:p w14:paraId="3846F014" w14:textId="77777777" w:rsidR="00EE2B3B" w:rsidRPr="003F7365" w:rsidRDefault="00EE2B3B" w:rsidP="00F84B42">
      <w:pPr>
        <w:pStyle w:val="ListParagraph"/>
        <w:ind w:left="0" w:firstLine="720"/>
        <w:rPr>
          <w:rFonts w:ascii="Cambria" w:hAnsi="Cambria" w:cs="Calibri Light"/>
          <w:b/>
          <w:color w:val="000000"/>
          <w:sz w:val="20"/>
          <w:szCs w:val="20"/>
        </w:rPr>
      </w:pPr>
    </w:p>
    <w:p w14:paraId="163579AD" w14:textId="38386560" w:rsidR="00EE2B3B" w:rsidRDefault="00EE2B3B" w:rsidP="00F84B42">
      <w:pPr>
        <w:numPr>
          <w:ilvl w:val="0"/>
          <w:numId w:val="2"/>
        </w:numPr>
        <w:ind w:left="0" w:firstLine="720"/>
        <w:jc w:val="both"/>
        <w:rPr>
          <w:rFonts w:ascii="Cambria" w:hAnsi="Cambria"/>
          <w:color w:val="000000"/>
          <w:sz w:val="20"/>
          <w:szCs w:val="20"/>
        </w:rPr>
      </w:pPr>
      <w:r>
        <w:rPr>
          <w:rFonts w:ascii="Cambria" w:hAnsi="Cambria"/>
          <w:color w:val="000000"/>
          <w:sz w:val="20"/>
          <w:szCs w:val="20"/>
        </w:rPr>
        <w:t xml:space="preserve">On </w:t>
      </w:r>
      <w:r w:rsidR="00B15B0C">
        <w:rPr>
          <w:rFonts w:ascii="Cambria" w:hAnsi="Cambria"/>
          <w:color w:val="000000"/>
          <w:sz w:val="20"/>
        </w:rPr>
        <w:t>December 12, 2014</w:t>
      </w:r>
      <w:r>
        <w:rPr>
          <w:rFonts w:ascii="Cambria" w:hAnsi="Cambria"/>
          <w:color w:val="000000"/>
          <w:sz w:val="20"/>
          <w:szCs w:val="20"/>
        </w:rPr>
        <w:t xml:space="preserve">, </w:t>
      </w:r>
      <w:r w:rsidRPr="00EE2B3B">
        <w:rPr>
          <w:rFonts w:ascii="Cambria" w:hAnsi="Cambria"/>
          <w:color w:val="000000"/>
          <w:sz w:val="20"/>
          <w:szCs w:val="20"/>
        </w:rPr>
        <w:t>the parties signed a friendly settlement agreement.</w:t>
      </w:r>
    </w:p>
    <w:p w14:paraId="7E9E5C89" w14:textId="77777777" w:rsidR="00EE2B3B" w:rsidRPr="00EE2B3B" w:rsidRDefault="00EE2B3B" w:rsidP="00F84B42">
      <w:pPr>
        <w:ind w:firstLine="720"/>
        <w:jc w:val="both"/>
        <w:rPr>
          <w:rFonts w:ascii="Cambria" w:hAnsi="Cambria"/>
          <w:color w:val="000000"/>
          <w:sz w:val="20"/>
          <w:szCs w:val="20"/>
        </w:rPr>
      </w:pPr>
    </w:p>
    <w:p w14:paraId="1474F062" w14:textId="179C481E" w:rsidR="00EE2B3B" w:rsidRPr="003F7365" w:rsidRDefault="00EE2B3B" w:rsidP="00F84B42">
      <w:pPr>
        <w:numPr>
          <w:ilvl w:val="0"/>
          <w:numId w:val="2"/>
        </w:numPr>
        <w:ind w:left="0" w:firstLine="720"/>
        <w:jc w:val="both"/>
        <w:rPr>
          <w:rFonts w:ascii="Cambria" w:hAnsi="Cambria" w:cs="Calibri Light"/>
          <w:color w:val="000000"/>
          <w:sz w:val="20"/>
          <w:szCs w:val="20"/>
        </w:rPr>
      </w:pPr>
      <w:r w:rsidRPr="00EE2B3B">
        <w:rPr>
          <w:rFonts w:ascii="Cambria" w:hAnsi="Cambria"/>
          <w:color w:val="000000"/>
          <w:sz w:val="20"/>
          <w:szCs w:val="20"/>
        </w:rPr>
        <w:t xml:space="preserve">On </w:t>
      </w:r>
      <w:r w:rsidR="00B15B0C">
        <w:rPr>
          <w:rFonts w:ascii="Cambria" w:hAnsi="Cambria"/>
          <w:color w:val="000000"/>
          <w:sz w:val="20"/>
        </w:rPr>
        <w:t>January 30, 2015</w:t>
      </w:r>
      <w:r w:rsidRPr="00EE2B3B">
        <w:rPr>
          <w:rFonts w:ascii="Cambria" w:hAnsi="Cambria"/>
          <w:color w:val="000000"/>
          <w:sz w:val="20"/>
          <w:szCs w:val="20"/>
        </w:rPr>
        <w:t>, the Commission approved the agreement signed by the parties, by means of Report No.</w:t>
      </w:r>
      <w:r>
        <w:rPr>
          <w:rFonts w:ascii="Cambria" w:hAnsi="Cambria"/>
          <w:color w:val="000000"/>
          <w:sz w:val="20"/>
          <w:szCs w:val="20"/>
        </w:rPr>
        <w:t xml:space="preserve"> </w:t>
      </w:r>
      <w:r w:rsidR="007C3163">
        <w:rPr>
          <w:rFonts w:ascii="Cambria" w:hAnsi="Cambria"/>
          <w:color w:val="000000"/>
          <w:sz w:val="20"/>
          <w:szCs w:val="20"/>
        </w:rPr>
        <w:t>10/15</w:t>
      </w:r>
      <w:r w:rsidRPr="003F7365">
        <w:rPr>
          <w:rFonts w:ascii="Cambria" w:hAnsi="Cambria" w:cs="Calibri Light"/>
          <w:color w:val="000000"/>
          <w:sz w:val="20"/>
          <w:szCs w:val="20"/>
        </w:rPr>
        <w:t>.</w:t>
      </w:r>
    </w:p>
    <w:p w14:paraId="516953C5" w14:textId="77777777" w:rsidR="00EE2B3B" w:rsidRDefault="00EE2B3B" w:rsidP="00EE2B3B">
      <w:pPr>
        <w:ind w:left="720"/>
        <w:rPr>
          <w:rFonts w:ascii="Cambria" w:hAnsi="Cambria" w:cs="Calibri Light"/>
          <w:color w:val="000000"/>
          <w:sz w:val="20"/>
          <w:szCs w:val="20"/>
        </w:rPr>
      </w:pPr>
    </w:p>
    <w:p w14:paraId="37EAF938" w14:textId="77777777" w:rsidR="001D48C1" w:rsidRDefault="001D48C1" w:rsidP="00EE2B3B">
      <w:pPr>
        <w:ind w:left="720"/>
        <w:rPr>
          <w:rFonts w:ascii="Cambria" w:hAnsi="Cambria" w:cs="Calibri Light"/>
          <w:color w:val="000000"/>
          <w:sz w:val="20"/>
          <w:szCs w:val="20"/>
        </w:rPr>
      </w:pPr>
    </w:p>
    <w:p w14:paraId="3F7A78F5" w14:textId="77777777" w:rsidR="001D48C1" w:rsidRDefault="001D48C1" w:rsidP="00EE2B3B">
      <w:pPr>
        <w:ind w:left="720"/>
        <w:rPr>
          <w:rFonts w:ascii="Cambria" w:hAnsi="Cambria" w:cs="Calibri Light"/>
          <w:color w:val="000000"/>
          <w:sz w:val="20"/>
          <w:szCs w:val="20"/>
        </w:rPr>
      </w:pPr>
    </w:p>
    <w:p w14:paraId="1F0A1244" w14:textId="77777777" w:rsidR="001D48C1" w:rsidRDefault="001D48C1" w:rsidP="00EE2B3B">
      <w:pPr>
        <w:ind w:left="720"/>
        <w:rPr>
          <w:rFonts w:ascii="Cambria" w:hAnsi="Cambria" w:cs="Calibri Light"/>
          <w:color w:val="000000"/>
          <w:sz w:val="20"/>
          <w:szCs w:val="20"/>
        </w:rPr>
      </w:pPr>
    </w:p>
    <w:p w14:paraId="18627EDD" w14:textId="77777777" w:rsidR="001D48C1" w:rsidRDefault="001D48C1" w:rsidP="00EE2B3B">
      <w:pPr>
        <w:ind w:left="720"/>
        <w:rPr>
          <w:rFonts w:ascii="Cambria" w:hAnsi="Cambria" w:cs="Calibri Light"/>
          <w:color w:val="000000"/>
          <w:sz w:val="20"/>
          <w:szCs w:val="20"/>
        </w:rPr>
      </w:pPr>
    </w:p>
    <w:p w14:paraId="273299E0" w14:textId="77777777" w:rsidR="001D48C1" w:rsidRDefault="001D48C1" w:rsidP="00EE2B3B">
      <w:pPr>
        <w:ind w:left="720"/>
        <w:rPr>
          <w:rFonts w:ascii="Cambria" w:hAnsi="Cambria" w:cs="Calibri Light"/>
          <w:color w:val="000000"/>
          <w:sz w:val="20"/>
          <w:szCs w:val="20"/>
        </w:rPr>
      </w:pPr>
    </w:p>
    <w:p w14:paraId="239ABCA9" w14:textId="77777777" w:rsidR="001D48C1" w:rsidRPr="003F7365" w:rsidRDefault="001D48C1" w:rsidP="00EE2B3B">
      <w:pPr>
        <w:ind w:left="720"/>
        <w:rPr>
          <w:rFonts w:ascii="Cambria" w:hAnsi="Cambria" w:cs="Calibri Light"/>
          <w:color w:val="000000"/>
          <w:sz w:val="20"/>
          <w:szCs w:val="20"/>
        </w:rPr>
      </w:pPr>
    </w:p>
    <w:p w14:paraId="50BF87C1" w14:textId="77777777" w:rsidR="00EE2B3B" w:rsidRPr="003F7365" w:rsidRDefault="00EE2B3B" w:rsidP="00EE2B3B">
      <w:pPr>
        <w:pStyle w:val="ListParagraph"/>
        <w:numPr>
          <w:ilvl w:val="0"/>
          <w:numId w:val="1"/>
        </w:numPr>
        <w:ind w:left="0" w:firstLine="720"/>
        <w:jc w:val="both"/>
        <w:rPr>
          <w:rFonts w:ascii="Cambria" w:hAnsi="Cambria" w:cs="Calibri Light"/>
          <w:b/>
          <w:color w:val="000000"/>
          <w:sz w:val="20"/>
          <w:szCs w:val="20"/>
        </w:rPr>
      </w:pPr>
      <w:r w:rsidRPr="003F7365">
        <w:rPr>
          <w:rFonts w:ascii="Cambria" w:hAnsi="Cambria"/>
          <w:b/>
          <w:bCs/>
          <w:color w:val="000000"/>
          <w:sz w:val="20"/>
          <w:szCs w:val="20"/>
        </w:rPr>
        <w:lastRenderedPageBreak/>
        <w:t xml:space="preserve">ANALYSIS OF COMPLIANCE WITH THE CLAUSES OF THE FRIENDLY SETTLEMENT AGREEMENT </w:t>
      </w:r>
    </w:p>
    <w:p w14:paraId="5EC7D320" w14:textId="77777777" w:rsidR="00EE2B3B" w:rsidRPr="003F7365" w:rsidRDefault="00EE2B3B" w:rsidP="00EE2B3B">
      <w:pPr>
        <w:pStyle w:val="ListParagraph"/>
        <w:jc w:val="both"/>
        <w:rPr>
          <w:rFonts w:ascii="Cambria" w:hAnsi="Cambria" w:cs="Calibri Light"/>
          <w:b/>
          <w:color w:val="000000"/>
          <w:sz w:val="20"/>
          <w:szCs w:val="20"/>
        </w:rPr>
      </w:pP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7"/>
        <w:gridCol w:w="1373"/>
      </w:tblGrid>
      <w:tr w:rsidR="001D48C1" w:rsidRPr="003507A6" w14:paraId="1C6313CA" w14:textId="77777777" w:rsidTr="001D48C1">
        <w:tc>
          <w:tcPr>
            <w:tcW w:w="86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185E4C" w14:textId="77777777" w:rsidR="001D48C1" w:rsidRPr="003507A6" w:rsidRDefault="001D48C1" w:rsidP="00534A0C">
            <w:pPr>
              <w:jc w:val="center"/>
              <w:rPr>
                <w:rFonts w:ascii="Cambria" w:hAnsi="Cambria"/>
                <w:b/>
                <w:color w:val="000000"/>
                <w:sz w:val="20"/>
                <w:szCs w:val="20"/>
              </w:rPr>
            </w:pPr>
            <w:r w:rsidRPr="003507A6">
              <w:rPr>
                <w:rFonts w:ascii="Cambria" w:hAnsi="Cambria"/>
                <w:b/>
                <w:color w:val="000000"/>
                <w:sz w:val="20"/>
              </w:rPr>
              <w:t>Agreement clause</w:t>
            </w:r>
          </w:p>
        </w:tc>
        <w:tc>
          <w:tcPr>
            <w:tcW w:w="13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DF30E1" w14:textId="1DAE3B80" w:rsidR="001D48C1" w:rsidRPr="003507A6" w:rsidRDefault="001D48C1" w:rsidP="00534A0C">
            <w:pPr>
              <w:jc w:val="center"/>
              <w:rPr>
                <w:rFonts w:ascii="Cambria" w:hAnsi="Cambria"/>
                <w:b/>
                <w:color w:val="000000"/>
                <w:sz w:val="20"/>
                <w:szCs w:val="20"/>
              </w:rPr>
            </w:pPr>
            <w:r w:rsidRPr="003507A6">
              <w:rPr>
                <w:rFonts w:ascii="Cambria" w:hAnsi="Cambria"/>
                <w:b/>
                <w:color w:val="000000"/>
                <w:sz w:val="20"/>
              </w:rPr>
              <w:t>State of compliance</w:t>
            </w:r>
          </w:p>
        </w:tc>
      </w:tr>
      <w:tr w:rsidR="00635EC2" w:rsidRPr="003507A6" w14:paraId="49F79344" w14:textId="77777777" w:rsidTr="001D48C1">
        <w:tc>
          <w:tcPr>
            <w:tcW w:w="8617" w:type="dxa"/>
            <w:tcBorders>
              <w:top w:val="single" w:sz="4" w:space="0" w:color="auto"/>
              <w:left w:val="single" w:sz="4" w:space="0" w:color="auto"/>
              <w:bottom w:val="single" w:sz="4" w:space="0" w:color="auto"/>
              <w:right w:val="single" w:sz="4" w:space="0" w:color="auto"/>
            </w:tcBorders>
            <w:vAlign w:val="center"/>
          </w:tcPr>
          <w:p w14:paraId="1FFADD03" w14:textId="77777777" w:rsidR="00635EC2" w:rsidRPr="003507A6" w:rsidRDefault="00635EC2" w:rsidP="00534A0C">
            <w:pPr>
              <w:jc w:val="both"/>
              <w:rPr>
                <w:rFonts w:ascii="Cambria" w:eastAsia="Times New Roman" w:hAnsi="Cambria"/>
                <w:b/>
                <w:bCs/>
                <w:color w:val="000000"/>
                <w:kern w:val="36"/>
                <w:sz w:val="20"/>
                <w:szCs w:val="20"/>
              </w:rPr>
            </w:pPr>
            <w:r w:rsidRPr="003507A6">
              <w:rPr>
                <w:rFonts w:ascii="Cambria" w:hAnsi="Cambria"/>
                <w:b/>
                <w:color w:val="000000"/>
                <w:kern w:val="36"/>
                <w:sz w:val="20"/>
              </w:rPr>
              <w:t xml:space="preserve">FIRST: RECOGNITION OF RESPONSIBILITY </w:t>
            </w:r>
          </w:p>
          <w:p w14:paraId="75FD9181" w14:textId="77777777" w:rsidR="00635EC2" w:rsidRPr="003507A6" w:rsidRDefault="00635EC2" w:rsidP="00534A0C">
            <w:pPr>
              <w:jc w:val="both"/>
              <w:rPr>
                <w:rFonts w:ascii="Cambria" w:eastAsia="Times New Roman" w:hAnsi="Cambria"/>
                <w:bCs/>
                <w:color w:val="000000"/>
                <w:kern w:val="36"/>
                <w:sz w:val="20"/>
                <w:szCs w:val="20"/>
              </w:rPr>
            </w:pPr>
            <w:r w:rsidRPr="003507A6">
              <w:rPr>
                <w:rFonts w:ascii="Cambria" w:hAnsi="Cambria"/>
                <w:color w:val="000000"/>
                <w:kern w:val="36"/>
                <w:sz w:val="20"/>
              </w:rPr>
              <w:t xml:space="preserve">In view of the events transpiring on August 12, 1995 at the restaurant "El Aracatazo", located in the neighborhood El Bosque of the municipality of Chigorodó- Antioquia, when a group of outlaws murdered Jorge Luis Julio Cárdenas, Luis Alberto Guisao Ríos, Mélida María Jiménez Borja, Leonardo Minota Mosquera, Francisco Leonardo Panesso Castañeda, Willinton de Jesús Tascón Duque, Héctor Alonso Tascón Duque, Libia Úsuga Úsuga and Jorge Iván Zúñiga Becerra; the Colombian State recognizes its international responsibility for failing in its duty to ensure the rights recognized in Articles 4 (right to life) and 5 (right to humane treatment) of the American Convention on Human Rights, in connection with the general obligation set forth in Article 1.1 of the same instrument. Additionally, the Colombian State recognizes its international responsibility for violation of the right to humane treatment (Article 5) with respect to the victims’ next of kin. </w:t>
            </w:r>
          </w:p>
        </w:tc>
        <w:tc>
          <w:tcPr>
            <w:tcW w:w="1373" w:type="dxa"/>
            <w:tcBorders>
              <w:top w:val="single" w:sz="4" w:space="0" w:color="auto"/>
              <w:left w:val="single" w:sz="4" w:space="0" w:color="auto"/>
              <w:bottom w:val="single" w:sz="4" w:space="0" w:color="auto"/>
              <w:right w:val="single" w:sz="4" w:space="0" w:color="auto"/>
            </w:tcBorders>
            <w:vAlign w:val="center"/>
          </w:tcPr>
          <w:p w14:paraId="1BC404C4" w14:textId="716A0937" w:rsidR="00635EC2" w:rsidRPr="003507A6" w:rsidRDefault="00635EC2" w:rsidP="00534A0C">
            <w:pPr>
              <w:jc w:val="center"/>
              <w:rPr>
                <w:rFonts w:ascii="Cambria" w:hAnsi="Cambria"/>
                <w:b/>
                <w:color w:val="000000"/>
                <w:sz w:val="20"/>
                <w:szCs w:val="20"/>
              </w:rPr>
            </w:pPr>
          </w:p>
        </w:tc>
      </w:tr>
      <w:tr w:rsidR="00635EC2" w:rsidRPr="003507A6" w14:paraId="483F33ED" w14:textId="77777777" w:rsidTr="001D48C1">
        <w:trPr>
          <w:trHeight w:val="872"/>
        </w:trPr>
        <w:tc>
          <w:tcPr>
            <w:tcW w:w="8617" w:type="dxa"/>
            <w:tcBorders>
              <w:top w:val="single" w:sz="4" w:space="0" w:color="auto"/>
              <w:left w:val="single" w:sz="4" w:space="0" w:color="auto"/>
              <w:bottom w:val="single" w:sz="4" w:space="0" w:color="auto"/>
              <w:right w:val="single" w:sz="4" w:space="0" w:color="auto"/>
            </w:tcBorders>
            <w:hideMark/>
          </w:tcPr>
          <w:p w14:paraId="39D97D28" w14:textId="77777777" w:rsidR="00635EC2" w:rsidRPr="003507A6" w:rsidRDefault="00635EC2" w:rsidP="00534A0C">
            <w:pPr>
              <w:jc w:val="both"/>
              <w:rPr>
                <w:rFonts w:ascii="Cambria" w:eastAsia="Times New Roman" w:hAnsi="Cambria"/>
                <w:b/>
                <w:bCs/>
                <w:color w:val="000000"/>
                <w:kern w:val="36"/>
                <w:sz w:val="20"/>
                <w:szCs w:val="20"/>
              </w:rPr>
            </w:pPr>
            <w:r w:rsidRPr="003507A6">
              <w:rPr>
                <w:rFonts w:ascii="Cambria" w:hAnsi="Cambria"/>
                <w:b/>
                <w:color w:val="000000"/>
                <w:kern w:val="36"/>
                <w:sz w:val="20"/>
              </w:rPr>
              <w:t xml:space="preserve">SECOND: ON THE SUBJECT OF JUSTICE </w:t>
            </w:r>
          </w:p>
          <w:p w14:paraId="7CB96F0F" w14:textId="1EA480AD" w:rsidR="00635EC2" w:rsidRPr="003507A6" w:rsidRDefault="00635EC2" w:rsidP="001D48C1">
            <w:pPr>
              <w:jc w:val="both"/>
              <w:rPr>
                <w:rFonts w:ascii="Cambria" w:eastAsia="Times New Roman" w:hAnsi="Cambria"/>
                <w:bCs/>
                <w:color w:val="000000"/>
                <w:kern w:val="36"/>
                <w:sz w:val="20"/>
                <w:szCs w:val="20"/>
              </w:rPr>
            </w:pPr>
            <w:r w:rsidRPr="003507A6">
              <w:rPr>
                <w:rFonts w:ascii="Cambria" w:hAnsi="Cambria"/>
                <w:color w:val="000000"/>
                <w:kern w:val="36"/>
                <w:sz w:val="20"/>
              </w:rPr>
              <w:t xml:space="preserve">The parties recognize the progress made in the area of justice in the instant case. However, the State undertakes to continue to honor its obligation to investigate, try and punish those responsible for the crimes. </w:t>
            </w:r>
          </w:p>
        </w:tc>
        <w:tc>
          <w:tcPr>
            <w:tcW w:w="1373" w:type="dxa"/>
            <w:tcBorders>
              <w:top w:val="single" w:sz="4" w:space="0" w:color="auto"/>
              <w:left w:val="single" w:sz="4" w:space="0" w:color="auto"/>
              <w:bottom w:val="single" w:sz="4" w:space="0" w:color="auto"/>
              <w:right w:val="single" w:sz="4" w:space="0" w:color="auto"/>
            </w:tcBorders>
            <w:vAlign w:val="center"/>
          </w:tcPr>
          <w:p w14:paraId="1AA50861" w14:textId="411EFC87" w:rsidR="00635EC2" w:rsidRPr="00635EC2" w:rsidRDefault="00635EC2" w:rsidP="00635EC2">
            <w:pPr>
              <w:jc w:val="center"/>
              <w:rPr>
                <w:rFonts w:ascii="Cambria" w:hAnsi="Cambria"/>
                <w:b/>
                <w:bCs/>
                <w:color w:val="000000"/>
                <w:sz w:val="20"/>
                <w:szCs w:val="20"/>
              </w:rPr>
            </w:pPr>
            <w:r w:rsidRPr="00635EC2">
              <w:rPr>
                <w:rFonts w:ascii="Cambria" w:hAnsi="Cambria"/>
                <w:b/>
                <w:bCs/>
                <w:color w:val="000000"/>
                <w:sz w:val="20"/>
                <w:szCs w:val="20"/>
              </w:rPr>
              <w:t>Total</w:t>
            </w:r>
            <w:r>
              <w:rPr>
                <w:rStyle w:val="FootnoteReference"/>
                <w:rFonts w:ascii="Cambria" w:hAnsi="Cambria"/>
                <w:b/>
                <w:bCs/>
                <w:color w:val="000000"/>
                <w:sz w:val="20"/>
                <w:szCs w:val="20"/>
              </w:rPr>
              <w:footnoteReference w:id="1"/>
            </w:r>
          </w:p>
        </w:tc>
      </w:tr>
      <w:tr w:rsidR="00635EC2" w:rsidRPr="003507A6" w14:paraId="7340646D" w14:textId="77777777" w:rsidTr="001D48C1">
        <w:trPr>
          <w:trHeight w:val="1187"/>
        </w:trPr>
        <w:tc>
          <w:tcPr>
            <w:tcW w:w="8617" w:type="dxa"/>
            <w:tcBorders>
              <w:top w:val="single" w:sz="4" w:space="0" w:color="auto"/>
              <w:left w:val="single" w:sz="4" w:space="0" w:color="auto"/>
              <w:bottom w:val="single" w:sz="4" w:space="0" w:color="auto"/>
              <w:right w:val="single" w:sz="4" w:space="0" w:color="auto"/>
            </w:tcBorders>
          </w:tcPr>
          <w:p w14:paraId="3BB7D7E6" w14:textId="77777777" w:rsidR="00635EC2" w:rsidRPr="003507A6" w:rsidRDefault="00635EC2" w:rsidP="00534A0C">
            <w:pPr>
              <w:jc w:val="both"/>
              <w:rPr>
                <w:rFonts w:ascii="Cambria" w:eastAsia="Times New Roman" w:hAnsi="Cambria"/>
                <w:b/>
                <w:bCs/>
                <w:color w:val="000000"/>
                <w:kern w:val="36"/>
                <w:sz w:val="20"/>
                <w:szCs w:val="20"/>
              </w:rPr>
            </w:pPr>
            <w:r w:rsidRPr="003507A6">
              <w:rPr>
                <w:rFonts w:ascii="Cambria" w:hAnsi="Cambria"/>
                <w:b/>
                <w:color w:val="000000"/>
                <w:kern w:val="36"/>
                <w:sz w:val="20"/>
              </w:rPr>
              <w:t xml:space="preserve">THIRD: MEASURES OF SATISFACTION AND REHABILITATION </w:t>
            </w:r>
          </w:p>
          <w:p w14:paraId="08708457" w14:textId="15EA5C70" w:rsidR="00635EC2" w:rsidRPr="003507A6" w:rsidRDefault="00635EC2" w:rsidP="001D48C1">
            <w:pPr>
              <w:jc w:val="both"/>
              <w:rPr>
                <w:rFonts w:ascii="Cambria" w:eastAsia="Times New Roman" w:hAnsi="Cambria"/>
                <w:bCs/>
                <w:color w:val="000000"/>
                <w:kern w:val="36"/>
                <w:sz w:val="20"/>
                <w:szCs w:val="20"/>
              </w:rPr>
            </w:pPr>
            <w:r w:rsidRPr="003507A6">
              <w:rPr>
                <w:rFonts w:ascii="Cambria" w:hAnsi="Cambria"/>
                <w:color w:val="000000"/>
                <w:kern w:val="36"/>
                <w:sz w:val="20"/>
              </w:rPr>
              <w:t xml:space="preserve">The State undertakes to support and assist the victims in the present case, in order to help them to gain access to reparation plans, programs and projects offered by the Colombian State using a model of comprehensive care, assistance and reparation of victims, as implemented by the Unit for Comprehensive Victim Support and Reparation. </w:t>
            </w:r>
          </w:p>
        </w:tc>
        <w:tc>
          <w:tcPr>
            <w:tcW w:w="1373" w:type="dxa"/>
            <w:tcBorders>
              <w:top w:val="single" w:sz="4" w:space="0" w:color="auto"/>
              <w:left w:val="single" w:sz="4" w:space="0" w:color="auto"/>
              <w:bottom w:val="single" w:sz="4" w:space="0" w:color="auto"/>
              <w:right w:val="single" w:sz="4" w:space="0" w:color="auto"/>
            </w:tcBorders>
            <w:vAlign w:val="center"/>
          </w:tcPr>
          <w:p w14:paraId="5F91B101" w14:textId="77777777" w:rsidR="00635EC2" w:rsidRPr="003507A6" w:rsidRDefault="00635EC2" w:rsidP="00534A0C">
            <w:pPr>
              <w:jc w:val="center"/>
              <w:rPr>
                <w:rFonts w:ascii="Cambria" w:hAnsi="Cambria"/>
                <w:color w:val="000000"/>
                <w:sz w:val="20"/>
                <w:szCs w:val="20"/>
              </w:rPr>
            </w:pPr>
            <w:r w:rsidRPr="003507A6">
              <w:rPr>
                <w:rFonts w:ascii="Cambria" w:hAnsi="Cambria"/>
                <w:b/>
                <w:color w:val="000000"/>
                <w:sz w:val="20"/>
              </w:rPr>
              <w:t>Total</w:t>
            </w:r>
            <w:r w:rsidRPr="003507A6">
              <w:rPr>
                <w:rStyle w:val="FootnoteReference"/>
                <w:rFonts w:ascii="Cambria" w:hAnsi="Cambria"/>
                <w:b/>
                <w:color w:val="000000"/>
                <w:sz w:val="20"/>
              </w:rPr>
              <w:footnoteReference w:id="2"/>
            </w:r>
          </w:p>
        </w:tc>
      </w:tr>
      <w:tr w:rsidR="00635EC2" w:rsidRPr="003507A6" w14:paraId="3E280EB1" w14:textId="77777777" w:rsidTr="001D48C1">
        <w:trPr>
          <w:trHeight w:val="1268"/>
        </w:trPr>
        <w:tc>
          <w:tcPr>
            <w:tcW w:w="8617" w:type="dxa"/>
            <w:tcBorders>
              <w:top w:val="single" w:sz="4" w:space="0" w:color="auto"/>
              <w:left w:val="single" w:sz="4" w:space="0" w:color="auto"/>
              <w:bottom w:val="single" w:sz="4" w:space="0" w:color="auto"/>
              <w:right w:val="single" w:sz="4" w:space="0" w:color="auto"/>
            </w:tcBorders>
          </w:tcPr>
          <w:p w14:paraId="0859AD7A" w14:textId="77777777" w:rsidR="00635EC2" w:rsidRPr="003507A6" w:rsidRDefault="00635EC2" w:rsidP="00534A0C">
            <w:pPr>
              <w:jc w:val="both"/>
              <w:rPr>
                <w:rFonts w:ascii="Cambria" w:eastAsia="Times New Roman" w:hAnsi="Cambria"/>
                <w:b/>
                <w:bCs/>
                <w:color w:val="000000"/>
                <w:kern w:val="36"/>
                <w:sz w:val="20"/>
                <w:szCs w:val="20"/>
              </w:rPr>
            </w:pPr>
            <w:r w:rsidRPr="003507A6">
              <w:rPr>
                <w:rFonts w:ascii="Cambria" w:hAnsi="Cambria"/>
                <w:b/>
                <w:color w:val="000000"/>
                <w:kern w:val="36"/>
                <w:sz w:val="20"/>
              </w:rPr>
              <w:t xml:space="preserve">FOURTH: GUARANTEES OF NON-REPETITION </w:t>
            </w:r>
          </w:p>
          <w:p w14:paraId="7360C8CE" w14:textId="19A6002A" w:rsidR="001D48C1" w:rsidRPr="001D48C1" w:rsidRDefault="00635EC2" w:rsidP="00534A0C">
            <w:pPr>
              <w:jc w:val="both"/>
              <w:rPr>
                <w:rFonts w:ascii="Cambria" w:hAnsi="Cambria"/>
                <w:color w:val="000000"/>
                <w:kern w:val="36"/>
                <w:sz w:val="20"/>
              </w:rPr>
            </w:pPr>
            <w:r w:rsidRPr="003507A6">
              <w:rPr>
                <w:rFonts w:ascii="Cambria" w:hAnsi="Cambria"/>
                <w:color w:val="000000"/>
                <w:kern w:val="36"/>
                <w:sz w:val="20"/>
              </w:rPr>
              <w:t xml:space="preserve">The Colombian State undertakes to continue human rights and international humanitarian law education programs within the Colombian armed forces.  It further undertakes to include case 12.756, the Massacre of Estadero "El Aracatazzo," as a case study at extracurricular training events on human rights at different academies and training schools. </w:t>
            </w:r>
          </w:p>
        </w:tc>
        <w:tc>
          <w:tcPr>
            <w:tcW w:w="1373" w:type="dxa"/>
            <w:tcBorders>
              <w:top w:val="single" w:sz="4" w:space="0" w:color="auto"/>
              <w:left w:val="single" w:sz="4" w:space="0" w:color="auto"/>
              <w:bottom w:val="single" w:sz="4" w:space="0" w:color="auto"/>
              <w:right w:val="single" w:sz="4" w:space="0" w:color="auto"/>
            </w:tcBorders>
            <w:vAlign w:val="center"/>
          </w:tcPr>
          <w:p w14:paraId="63047C79" w14:textId="77777777" w:rsidR="00635EC2" w:rsidRPr="003507A6" w:rsidRDefault="00635EC2" w:rsidP="00534A0C">
            <w:pPr>
              <w:jc w:val="center"/>
              <w:rPr>
                <w:rFonts w:ascii="Cambria" w:hAnsi="Cambria"/>
                <w:b/>
                <w:color w:val="000000"/>
                <w:sz w:val="20"/>
                <w:szCs w:val="20"/>
              </w:rPr>
            </w:pPr>
            <w:r w:rsidRPr="003507A6">
              <w:rPr>
                <w:rFonts w:ascii="Cambria" w:hAnsi="Cambria"/>
                <w:b/>
                <w:color w:val="000000"/>
                <w:sz w:val="20"/>
              </w:rPr>
              <w:t>Total</w:t>
            </w:r>
            <w:r w:rsidRPr="003507A6">
              <w:rPr>
                <w:rFonts w:ascii="Cambria" w:hAnsi="Cambria"/>
                <w:b/>
                <w:color w:val="000000"/>
                <w:sz w:val="20"/>
                <w:vertAlign w:val="superscript"/>
              </w:rPr>
              <w:footnoteReference w:id="3"/>
            </w:r>
          </w:p>
        </w:tc>
      </w:tr>
      <w:tr w:rsidR="00635EC2" w:rsidRPr="003507A6" w14:paraId="35080176" w14:textId="77777777" w:rsidTr="001D48C1">
        <w:trPr>
          <w:trHeight w:val="350"/>
        </w:trPr>
        <w:tc>
          <w:tcPr>
            <w:tcW w:w="8617" w:type="dxa"/>
            <w:tcBorders>
              <w:top w:val="single" w:sz="4" w:space="0" w:color="auto"/>
              <w:left w:val="single" w:sz="4" w:space="0" w:color="auto"/>
              <w:bottom w:val="single" w:sz="4" w:space="0" w:color="auto"/>
              <w:right w:val="single" w:sz="4" w:space="0" w:color="auto"/>
            </w:tcBorders>
          </w:tcPr>
          <w:p w14:paraId="21C862E3" w14:textId="77777777" w:rsidR="00635EC2" w:rsidRPr="003507A6" w:rsidRDefault="00635EC2" w:rsidP="00534A0C">
            <w:pPr>
              <w:jc w:val="both"/>
              <w:rPr>
                <w:rFonts w:ascii="Cambria" w:eastAsia="Times New Roman" w:hAnsi="Cambria"/>
                <w:b/>
                <w:bCs/>
                <w:color w:val="000000"/>
                <w:kern w:val="36"/>
                <w:sz w:val="20"/>
                <w:szCs w:val="20"/>
              </w:rPr>
            </w:pPr>
            <w:r w:rsidRPr="003507A6">
              <w:rPr>
                <w:rFonts w:ascii="Cambria" w:hAnsi="Cambria"/>
                <w:b/>
                <w:color w:val="000000"/>
                <w:kern w:val="36"/>
                <w:sz w:val="20"/>
              </w:rPr>
              <w:t xml:space="preserve">FIFTH: MONETARY REPARATION </w:t>
            </w:r>
          </w:p>
          <w:p w14:paraId="1F8655FD" w14:textId="77777777" w:rsidR="00635EC2" w:rsidRPr="003507A6" w:rsidRDefault="00635EC2" w:rsidP="00534A0C">
            <w:pPr>
              <w:jc w:val="both"/>
              <w:rPr>
                <w:rFonts w:ascii="Cambria" w:eastAsia="Times New Roman" w:hAnsi="Cambria"/>
                <w:bCs/>
                <w:color w:val="000000"/>
                <w:kern w:val="36"/>
                <w:sz w:val="20"/>
                <w:szCs w:val="20"/>
              </w:rPr>
            </w:pPr>
            <w:r w:rsidRPr="003507A6">
              <w:rPr>
                <w:rFonts w:ascii="Cambria" w:hAnsi="Cambria"/>
                <w:color w:val="000000"/>
                <w:kern w:val="36"/>
                <w:sz w:val="20"/>
              </w:rPr>
              <w:t xml:space="preserve">The State undertakes to enforce Law 288 of 1996 once the instant friendly settlement agreement is approved by means of the issuing of an Article 49 report under the American Convention, for the purpose of redressing the following damages: </w:t>
            </w:r>
          </w:p>
          <w:p w14:paraId="7F9D953C" w14:textId="77777777" w:rsidR="00635EC2" w:rsidRPr="003507A6" w:rsidRDefault="00635EC2" w:rsidP="00534A0C">
            <w:pPr>
              <w:jc w:val="both"/>
              <w:rPr>
                <w:rFonts w:ascii="Cambria" w:eastAsia="Times New Roman" w:hAnsi="Cambria"/>
                <w:bCs/>
                <w:color w:val="000000"/>
                <w:kern w:val="36"/>
                <w:sz w:val="20"/>
                <w:szCs w:val="20"/>
              </w:rPr>
            </w:pPr>
          </w:p>
          <w:p w14:paraId="5B732631" w14:textId="77777777" w:rsidR="00635EC2" w:rsidRPr="003507A6" w:rsidRDefault="00635EC2" w:rsidP="00534A0C">
            <w:pPr>
              <w:jc w:val="both"/>
              <w:rPr>
                <w:rFonts w:ascii="Cambria" w:eastAsia="Times New Roman" w:hAnsi="Cambria"/>
                <w:bCs/>
                <w:color w:val="000000"/>
                <w:kern w:val="36"/>
                <w:sz w:val="20"/>
                <w:szCs w:val="20"/>
              </w:rPr>
            </w:pPr>
            <w:r w:rsidRPr="003507A6">
              <w:rPr>
                <w:rFonts w:ascii="Cambria" w:hAnsi="Cambria"/>
                <w:color w:val="000000"/>
                <w:kern w:val="36"/>
                <w:sz w:val="20"/>
              </w:rPr>
              <w:t xml:space="preserve">• The moral damages directly caused to victims Jorge Luis Julio Cárdenas, Luis Alberto Guisao Ríos, Mélida María Jiménez Borja, Leonardo Minota Mosquera, Francisco Leonardo Panesso Castañeda, Willinton de Jesús Tascón Duque, Héctor Alonso Tascón Duque, Libia Úsuga Úsuga and Jorge Iván Zúñiga Becerra, by the events occurring at the restaurant "El Aracatazo" in the neighborhood of El Bosque of the municipality of Chigorodó - Antioquia. </w:t>
            </w:r>
          </w:p>
          <w:p w14:paraId="6B8D0854" w14:textId="77777777" w:rsidR="00635EC2" w:rsidRPr="003507A6" w:rsidRDefault="00635EC2" w:rsidP="00534A0C">
            <w:pPr>
              <w:jc w:val="both"/>
              <w:rPr>
                <w:rFonts w:ascii="Cambria" w:eastAsia="Times New Roman" w:hAnsi="Cambria"/>
                <w:bCs/>
                <w:color w:val="000000"/>
                <w:kern w:val="36"/>
                <w:sz w:val="20"/>
                <w:szCs w:val="20"/>
              </w:rPr>
            </w:pPr>
          </w:p>
          <w:p w14:paraId="1C857940" w14:textId="77777777" w:rsidR="00635EC2" w:rsidRPr="003507A6" w:rsidRDefault="00635EC2" w:rsidP="00534A0C">
            <w:pPr>
              <w:jc w:val="both"/>
              <w:rPr>
                <w:rFonts w:ascii="Cambria" w:eastAsia="Times New Roman" w:hAnsi="Cambria"/>
                <w:bCs/>
                <w:color w:val="000000"/>
                <w:kern w:val="36"/>
                <w:sz w:val="20"/>
                <w:szCs w:val="20"/>
              </w:rPr>
            </w:pPr>
            <w:r w:rsidRPr="003507A6">
              <w:rPr>
                <w:rFonts w:ascii="Cambria" w:hAnsi="Cambria"/>
                <w:color w:val="000000"/>
                <w:kern w:val="36"/>
                <w:sz w:val="20"/>
              </w:rPr>
              <w:t>• Any moral damages that may be proven to have been suffered by Jorge Eliecer Julio Gutierrez, Luis Alfonso Julio Gutierrez, Ana Paola Julio Amaya, in their status as the children of victim Jorge Luis Julio Cárdenas. Additionally, any moral damages that may be proven to have been suffered by Arleiber de Jesús Barrientos Usuga, Jorge Andrés Barrientos Úsuga, Adolfo Enrique Gómez Usuga and Daniel Jose Gómez Usuga, the children of victim Libia Úsuga Úsuga.</w:t>
            </w:r>
          </w:p>
        </w:tc>
        <w:tc>
          <w:tcPr>
            <w:tcW w:w="1373" w:type="dxa"/>
            <w:tcBorders>
              <w:top w:val="single" w:sz="4" w:space="0" w:color="auto"/>
              <w:left w:val="single" w:sz="4" w:space="0" w:color="auto"/>
              <w:bottom w:val="single" w:sz="4" w:space="0" w:color="auto"/>
              <w:right w:val="single" w:sz="4" w:space="0" w:color="auto"/>
            </w:tcBorders>
            <w:vAlign w:val="center"/>
          </w:tcPr>
          <w:p w14:paraId="4789541B" w14:textId="77777777" w:rsidR="00635EC2" w:rsidRPr="003507A6" w:rsidRDefault="00635EC2" w:rsidP="00534A0C">
            <w:pPr>
              <w:jc w:val="center"/>
              <w:rPr>
                <w:rFonts w:ascii="Cambria" w:hAnsi="Cambria"/>
                <w:b/>
                <w:color w:val="000000"/>
                <w:sz w:val="20"/>
                <w:szCs w:val="20"/>
              </w:rPr>
            </w:pPr>
            <w:r w:rsidRPr="003507A6">
              <w:rPr>
                <w:rFonts w:ascii="Cambria" w:hAnsi="Cambria"/>
                <w:b/>
                <w:color w:val="000000"/>
                <w:sz w:val="20"/>
              </w:rPr>
              <w:t>Total</w:t>
            </w:r>
            <w:r w:rsidRPr="003507A6">
              <w:rPr>
                <w:rStyle w:val="FootnoteReference"/>
                <w:rFonts w:ascii="Cambria" w:hAnsi="Cambria"/>
                <w:b/>
                <w:color w:val="000000"/>
                <w:sz w:val="20"/>
              </w:rPr>
              <w:footnoteReference w:id="4"/>
            </w:r>
          </w:p>
          <w:p w14:paraId="7A6C7110" w14:textId="77777777" w:rsidR="00635EC2" w:rsidRPr="003507A6" w:rsidRDefault="00635EC2" w:rsidP="00534A0C">
            <w:pPr>
              <w:jc w:val="both"/>
              <w:rPr>
                <w:rFonts w:ascii="Cambria" w:hAnsi="Cambria"/>
                <w:iCs/>
                <w:color w:val="000000"/>
                <w:sz w:val="20"/>
                <w:szCs w:val="20"/>
              </w:rPr>
            </w:pPr>
          </w:p>
          <w:p w14:paraId="2D3A6A2D" w14:textId="77777777" w:rsidR="00635EC2" w:rsidRPr="003507A6" w:rsidRDefault="00635EC2" w:rsidP="00534A0C">
            <w:pPr>
              <w:jc w:val="both"/>
              <w:rPr>
                <w:rFonts w:ascii="Cambria" w:hAnsi="Cambria"/>
                <w:iCs/>
                <w:color w:val="000000"/>
                <w:sz w:val="20"/>
                <w:szCs w:val="20"/>
              </w:rPr>
            </w:pPr>
          </w:p>
        </w:tc>
      </w:tr>
    </w:tbl>
    <w:p w14:paraId="570310D3" w14:textId="77777777" w:rsidR="00EE2B3B" w:rsidRPr="003F7365" w:rsidRDefault="00EE2B3B" w:rsidP="00EE2B3B">
      <w:pPr>
        <w:pStyle w:val="ListParagraph"/>
        <w:jc w:val="both"/>
        <w:rPr>
          <w:rFonts w:ascii="Cambria" w:hAnsi="Cambria" w:cs="Calibri Light"/>
          <w:b/>
          <w:color w:val="000000"/>
          <w:sz w:val="20"/>
          <w:szCs w:val="20"/>
        </w:rPr>
      </w:pPr>
    </w:p>
    <w:p w14:paraId="23CE78ED" w14:textId="77777777" w:rsidR="00EE2B3B" w:rsidRPr="003F7365" w:rsidRDefault="00EE2B3B" w:rsidP="00EE2B3B">
      <w:pPr>
        <w:contextualSpacing/>
        <w:jc w:val="both"/>
        <w:rPr>
          <w:rFonts w:ascii="Cambria" w:hAnsi="Cambria" w:cs="Calibri Light"/>
          <w:color w:val="000000"/>
          <w:sz w:val="20"/>
          <w:szCs w:val="20"/>
        </w:rPr>
      </w:pPr>
    </w:p>
    <w:p w14:paraId="4301E707" w14:textId="77777777" w:rsidR="00EE2B3B" w:rsidRPr="003F7365" w:rsidRDefault="00EE2B3B" w:rsidP="00EE2B3B">
      <w:pPr>
        <w:numPr>
          <w:ilvl w:val="0"/>
          <w:numId w:val="1"/>
        </w:numPr>
        <w:ind w:left="0" w:firstLine="720"/>
        <w:contextualSpacing/>
        <w:jc w:val="both"/>
        <w:rPr>
          <w:rFonts w:ascii="Cambria" w:hAnsi="Cambria" w:cs="Calibri Light"/>
          <w:color w:val="000000"/>
          <w:sz w:val="20"/>
          <w:szCs w:val="20"/>
        </w:rPr>
      </w:pPr>
      <w:r w:rsidRPr="003F7365">
        <w:rPr>
          <w:rFonts w:ascii="Cambria" w:hAnsi="Cambria"/>
          <w:b/>
          <w:color w:val="000000"/>
          <w:sz w:val="20"/>
          <w:szCs w:val="20"/>
        </w:rPr>
        <w:t>LEVEL OF COMPLIANCE OF THE CASE</w:t>
      </w:r>
    </w:p>
    <w:p w14:paraId="3B08C399"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5A448611" w14:textId="1C53CB62" w:rsidR="00EE2B3B" w:rsidRPr="003F7365" w:rsidRDefault="00EE2B3B" w:rsidP="00EE2B3B">
      <w:pPr>
        <w:pStyle w:val="ListParagraph"/>
        <w:numPr>
          <w:ilvl w:val="0"/>
          <w:numId w:val="2"/>
        </w:numPr>
        <w:ind w:left="0" w:firstLine="720"/>
        <w:jc w:val="both"/>
        <w:rPr>
          <w:rFonts w:ascii="Cambria" w:hAnsi="Cambria" w:cs="Calibri Light"/>
          <w:color w:val="000000"/>
          <w:sz w:val="20"/>
          <w:szCs w:val="20"/>
        </w:rPr>
      </w:pPr>
      <w:r w:rsidRPr="003F7365">
        <w:rPr>
          <w:rFonts w:ascii="Cambria" w:hAnsi="Cambria"/>
          <w:color w:val="000000"/>
          <w:sz w:val="20"/>
          <w:szCs w:val="20"/>
        </w:rPr>
        <w:t xml:space="preserve"> </w:t>
      </w:r>
      <w:r w:rsidRPr="00EE2B3B">
        <w:rPr>
          <w:rFonts w:ascii="Cambria" w:hAnsi="Cambria"/>
          <w:color w:val="000000"/>
          <w:sz w:val="20"/>
          <w:szCs w:val="20"/>
        </w:rPr>
        <w:t xml:space="preserve">The Commission declared full compliance with the case and the ceasing of the </w:t>
      </w:r>
      <w:r w:rsidR="005A5A31" w:rsidRPr="00EE2B3B">
        <w:rPr>
          <w:rFonts w:ascii="Cambria" w:hAnsi="Cambria"/>
          <w:color w:val="000000"/>
          <w:sz w:val="20"/>
          <w:szCs w:val="20"/>
        </w:rPr>
        <w:t>follow-up</w:t>
      </w:r>
      <w:r w:rsidRPr="00EE2B3B">
        <w:rPr>
          <w:rFonts w:ascii="Cambria" w:hAnsi="Cambria"/>
          <w:color w:val="000000"/>
          <w:sz w:val="20"/>
          <w:szCs w:val="20"/>
        </w:rPr>
        <w:t xml:space="preserve"> of the friendly settlement agreement in the 202</w:t>
      </w:r>
      <w:r>
        <w:rPr>
          <w:rFonts w:ascii="Cambria" w:hAnsi="Cambria"/>
          <w:color w:val="000000"/>
          <w:sz w:val="20"/>
          <w:szCs w:val="20"/>
        </w:rPr>
        <w:t>2</w:t>
      </w:r>
      <w:r w:rsidRPr="00EE2B3B">
        <w:rPr>
          <w:rFonts w:ascii="Cambria" w:hAnsi="Cambria"/>
          <w:color w:val="000000"/>
          <w:sz w:val="20"/>
          <w:szCs w:val="20"/>
        </w:rPr>
        <w:t xml:space="preserve"> Annual Report.</w:t>
      </w:r>
    </w:p>
    <w:p w14:paraId="286AE1D0" w14:textId="77777777" w:rsidR="00EE2B3B" w:rsidRPr="003F7365" w:rsidRDefault="00EE2B3B" w:rsidP="00EE2B3B">
      <w:pPr>
        <w:autoSpaceDE w:val="0"/>
        <w:autoSpaceDN w:val="0"/>
        <w:adjustRightInd w:val="0"/>
        <w:jc w:val="both"/>
        <w:rPr>
          <w:rFonts w:ascii="Cambria" w:hAnsi="Cambria"/>
          <w:color w:val="000000"/>
          <w:sz w:val="20"/>
          <w:szCs w:val="20"/>
        </w:rPr>
      </w:pPr>
    </w:p>
    <w:p w14:paraId="2765ADF3" w14:textId="77777777" w:rsidR="00EE2B3B" w:rsidRPr="003F7365" w:rsidRDefault="00EE2B3B" w:rsidP="00EE2B3B">
      <w:pPr>
        <w:pStyle w:val="ListParagraph"/>
        <w:numPr>
          <w:ilvl w:val="0"/>
          <w:numId w:val="1"/>
        </w:numPr>
        <w:ind w:left="0" w:firstLine="720"/>
        <w:jc w:val="both"/>
        <w:rPr>
          <w:rFonts w:ascii="Cambria" w:hAnsi="Cambria" w:cs="Calibri Light"/>
          <w:b/>
          <w:color w:val="000000"/>
          <w:sz w:val="20"/>
          <w:szCs w:val="20"/>
        </w:rPr>
      </w:pPr>
      <w:r w:rsidRPr="003F7365">
        <w:rPr>
          <w:rFonts w:ascii="Cambria" w:hAnsi="Cambria"/>
          <w:b/>
          <w:color w:val="000000"/>
          <w:sz w:val="20"/>
          <w:szCs w:val="20"/>
        </w:rPr>
        <w:t xml:space="preserve">INDIVIDUAL AND STRUCTURAL OUTCOMES OF THE CASE </w:t>
      </w:r>
    </w:p>
    <w:p w14:paraId="02CEFE66"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0CA9BEBC" w14:textId="77777777" w:rsidR="00CC3D32" w:rsidRPr="003507A6" w:rsidRDefault="00CC3D32" w:rsidP="00CC3D32">
      <w:pPr>
        <w:numPr>
          <w:ilvl w:val="0"/>
          <w:numId w:val="17"/>
        </w:numPr>
        <w:ind w:firstLine="0"/>
        <w:contextualSpacing/>
        <w:jc w:val="both"/>
        <w:rPr>
          <w:rFonts w:ascii="Cambria" w:hAnsi="Cambria" w:cs="Calibri Light"/>
          <w:b/>
          <w:color w:val="000000"/>
          <w:sz w:val="20"/>
          <w:szCs w:val="20"/>
        </w:rPr>
      </w:pPr>
      <w:r w:rsidRPr="003507A6">
        <w:rPr>
          <w:rFonts w:ascii="Cambria" w:hAnsi="Cambria"/>
          <w:b/>
          <w:color w:val="000000"/>
          <w:sz w:val="20"/>
        </w:rPr>
        <w:t>Individual outcomes of the case</w:t>
      </w:r>
    </w:p>
    <w:p w14:paraId="6706EC97" w14:textId="77777777" w:rsidR="00CC3D32" w:rsidRPr="003507A6" w:rsidRDefault="00CC3D32" w:rsidP="00CC3D32">
      <w:pPr>
        <w:ind w:left="720"/>
        <w:contextualSpacing/>
        <w:jc w:val="both"/>
        <w:rPr>
          <w:rFonts w:ascii="Cambria" w:hAnsi="Cambria" w:cs="Calibri Light"/>
          <w:b/>
          <w:color w:val="000000"/>
          <w:sz w:val="20"/>
          <w:szCs w:val="20"/>
        </w:rPr>
      </w:pPr>
    </w:p>
    <w:p w14:paraId="0FAF42D6" w14:textId="77777777" w:rsidR="00CC3D32" w:rsidRPr="003507A6" w:rsidRDefault="00CC3D32" w:rsidP="00CC3D32">
      <w:pPr>
        <w:numPr>
          <w:ilvl w:val="0"/>
          <w:numId w:val="10"/>
        </w:numPr>
        <w:ind w:left="1440" w:hanging="720"/>
        <w:contextualSpacing/>
        <w:jc w:val="both"/>
        <w:rPr>
          <w:rFonts w:ascii="Cambria" w:hAnsi="Cambria"/>
          <w:color w:val="000000"/>
          <w:sz w:val="20"/>
          <w:szCs w:val="20"/>
        </w:rPr>
      </w:pPr>
      <w:r w:rsidRPr="003507A6">
        <w:rPr>
          <w:rFonts w:ascii="Cambria" w:hAnsi="Cambria"/>
          <w:color w:val="000000"/>
          <w:sz w:val="20"/>
        </w:rPr>
        <w:t xml:space="preserve">The State formally acknowledged its responsibility. </w:t>
      </w:r>
    </w:p>
    <w:p w14:paraId="51A3C762" w14:textId="77777777" w:rsidR="00CC3D32" w:rsidRPr="003507A6" w:rsidRDefault="00CC3D32" w:rsidP="00CC3D32">
      <w:pPr>
        <w:numPr>
          <w:ilvl w:val="0"/>
          <w:numId w:val="10"/>
        </w:numPr>
        <w:ind w:left="1440" w:hanging="720"/>
        <w:contextualSpacing/>
        <w:jc w:val="both"/>
        <w:rPr>
          <w:rFonts w:ascii="Cambria" w:hAnsi="Cambria"/>
          <w:color w:val="000000"/>
          <w:sz w:val="20"/>
          <w:szCs w:val="20"/>
        </w:rPr>
      </w:pPr>
      <w:r w:rsidRPr="003507A6">
        <w:rPr>
          <w:rFonts w:ascii="Cambria" w:hAnsi="Cambria"/>
          <w:color w:val="000000"/>
          <w:sz w:val="20"/>
        </w:rPr>
        <w:t>The Third Criminal Court of the Specialized Circuit Court issued a judgment of conviction against Álvaro Géz Mesa.</w:t>
      </w:r>
    </w:p>
    <w:p w14:paraId="1324EAEC" w14:textId="77777777" w:rsidR="00CC3D32" w:rsidRPr="003507A6" w:rsidRDefault="00CC3D32" w:rsidP="00CC3D32">
      <w:pPr>
        <w:numPr>
          <w:ilvl w:val="0"/>
          <w:numId w:val="10"/>
        </w:numPr>
        <w:ind w:left="1440" w:hanging="720"/>
        <w:contextualSpacing/>
        <w:jc w:val="both"/>
        <w:rPr>
          <w:rFonts w:ascii="Cambria" w:hAnsi="Cambria"/>
          <w:color w:val="000000"/>
          <w:sz w:val="20"/>
          <w:szCs w:val="20"/>
        </w:rPr>
      </w:pPr>
      <w:r w:rsidRPr="003507A6">
        <w:rPr>
          <w:rFonts w:ascii="Cambria" w:hAnsi="Cambria"/>
          <w:color w:val="000000"/>
          <w:sz w:val="20"/>
        </w:rPr>
        <w:t>The State registered the victims in the Consolidated Victims Registry (RUV).</w:t>
      </w:r>
    </w:p>
    <w:p w14:paraId="0A551DEE" w14:textId="77777777" w:rsidR="00CC3D32" w:rsidRPr="003507A6" w:rsidRDefault="00CC3D32" w:rsidP="00CC3D32">
      <w:pPr>
        <w:numPr>
          <w:ilvl w:val="0"/>
          <w:numId w:val="10"/>
        </w:numPr>
        <w:ind w:left="1440" w:hanging="720"/>
        <w:contextualSpacing/>
        <w:jc w:val="both"/>
        <w:rPr>
          <w:rFonts w:ascii="Cambria" w:hAnsi="Cambria"/>
          <w:color w:val="000000"/>
          <w:sz w:val="20"/>
          <w:szCs w:val="20"/>
        </w:rPr>
      </w:pPr>
      <w:r w:rsidRPr="003507A6">
        <w:rPr>
          <w:rFonts w:ascii="Cambria" w:hAnsi="Cambria"/>
          <w:color w:val="000000"/>
          <w:sz w:val="20"/>
          <w:szCs w:val="20"/>
        </w:rPr>
        <w:t>In the framework of the procedure established in Law 288/96, the State –Ministry of Defense of the Nation- made payment of compensation to the beneficiaries of the friendly settlement agreement, through resolution No. 1528, of March 8, 2018, for a total amount of COP $</w:t>
      </w:r>
      <w:r w:rsidRPr="003507A6">
        <w:rPr>
          <w:rFonts w:ascii="Cambria" w:hAnsi="Cambria"/>
          <w:iCs/>
          <w:color w:val="000000"/>
          <w:sz w:val="20"/>
          <w:szCs w:val="20"/>
        </w:rPr>
        <w:t>1,387,204,479.20 in favor of 16 direct victims and/or family members recognized in the FSA, through their legal representative.</w:t>
      </w:r>
    </w:p>
    <w:p w14:paraId="7E69DDCB" w14:textId="77777777" w:rsidR="00CC3D32" w:rsidRPr="003507A6" w:rsidRDefault="00CC3D32" w:rsidP="00CC3D32">
      <w:pPr>
        <w:contextualSpacing/>
        <w:jc w:val="both"/>
        <w:rPr>
          <w:rFonts w:ascii="Cambria" w:hAnsi="Cambria"/>
          <w:color w:val="000000"/>
          <w:sz w:val="20"/>
          <w:szCs w:val="20"/>
        </w:rPr>
      </w:pPr>
    </w:p>
    <w:p w14:paraId="3E6EA6A3" w14:textId="77777777" w:rsidR="00CC3D32" w:rsidRPr="003507A6" w:rsidRDefault="00CC3D32" w:rsidP="00CC3D32">
      <w:pPr>
        <w:numPr>
          <w:ilvl w:val="0"/>
          <w:numId w:val="17"/>
        </w:numPr>
        <w:ind w:left="1440" w:hanging="720"/>
        <w:contextualSpacing/>
        <w:jc w:val="both"/>
        <w:rPr>
          <w:rFonts w:ascii="Cambria" w:hAnsi="Cambria" w:cs="Calibri Light"/>
          <w:b/>
          <w:color w:val="000000"/>
          <w:sz w:val="20"/>
          <w:szCs w:val="20"/>
        </w:rPr>
      </w:pPr>
      <w:r w:rsidRPr="003507A6">
        <w:rPr>
          <w:rFonts w:ascii="Cambria" w:hAnsi="Cambria"/>
          <w:b/>
          <w:color w:val="000000"/>
          <w:sz w:val="20"/>
        </w:rPr>
        <w:t>Structural outcomes of the case</w:t>
      </w:r>
    </w:p>
    <w:p w14:paraId="35FB98A7" w14:textId="77777777" w:rsidR="00CC3D32" w:rsidRPr="003507A6" w:rsidRDefault="00CC3D32" w:rsidP="00CC3D32">
      <w:pPr>
        <w:ind w:left="360"/>
        <w:contextualSpacing/>
        <w:jc w:val="both"/>
        <w:rPr>
          <w:rFonts w:ascii="Cambria" w:hAnsi="Cambria" w:cs="Calibri Light"/>
          <w:b/>
          <w:color w:val="000000"/>
          <w:sz w:val="20"/>
          <w:szCs w:val="20"/>
        </w:rPr>
      </w:pPr>
    </w:p>
    <w:p w14:paraId="101C058E" w14:textId="77777777" w:rsidR="00CC3D32" w:rsidRPr="003507A6" w:rsidRDefault="00CC3D32" w:rsidP="00CC3D32">
      <w:pPr>
        <w:numPr>
          <w:ilvl w:val="0"/>
          <w:numId w:val="16"/>
        </w:numPr>
        <w:ind w:hanging="720"/>
        <w:jc w:val="both"/>
        <w:rPr>
          <w:rFonts w:ascii="Cambria" w:hAnsi="Cambria"/>
          <w:color w:val="000000"/>
          <w:sz w:val="20"/>
          <w:szCs w:val="20"/>
        </w:rPr>
      </w:pPr>
      <w:r w:rsidRPr="003507A6">
        <w:rPr>
          <w:rFonts w:ascii="Cambria" w:hAnsi="Cambria"/>
          <w:color w:val="000000"/>
          <w:sz w:val="20"/>
        </w:rPr>
        <w:t>The State carried out extracurricular training programs held in various sessions between 2015 and 2017, coordinated by the Head Office for Continuing Education and Joint Doctrine, encompassing various military and police units in the country’s territory. The training used the case-study methodology applied in the Inter-American Human Rights System, the State’s international human rights obligations, and the friendly settlement mechanism as an effective alternative for the settlement of complaints filed with the IACHR.</w:t>
      </w:r>
    </w:p>
    <w:p w14:paraId="1E0DC59F" w14:textId="77777777" w:rsidR="00CC3D32" w:rsidRPr="003507A6" w:rsidRDefault="00CC3D32" w:rsidP="00CC3D32">
      <w:pPr>
        <w:numPr>
          <w:ilvl w:val="0"/>
          <w:numId w:val="16"/>
        </w:numPr>
        <w:ind w:hanging="720"/>
        <w:jc w:val="both"/>
        <w:rPr>
          <w:rFonts w:ascii="Cambria" w:hAnsi="Cambria"/>
          <w:color w:val="000000"/>
          <w:sz w:val="20"/>
          <w:szCs w:val="20"/>
        </w:rPr>
      </w:pPr>
      <w:r w:rsidRPr="003507A6">
        <w:rPr>
          <w:rFonts w:ascii="Cambria" w:hAnsi="Cambria"/>
          <w:color w:val="000000"/>
          <w:sz w:val="20"/>
          <w:szCs w:val="20"/>
        </w:rPr>
        <w:t xml:space="preserve">The State criminally sanctioned, within the framework of the ordinary jurisdiction, one of those responsible for the events. </w:t>
      </w:r>
    </w:p>
    <w:p w14:paraId="11631E9C" w14:textId="77777777" w:rsidR="00CC3D32" w:rsidRPr="003507A6" w:rsidRDefault="00CC3D32" w:rsidP="00CC3D32">
      <w:pPr>
        <w:numPr>
          <w:ilvl w:val="0"/>
          <w:numId w:val="16"/>
        </w:numPr>
        <w:ind w:hanging="720"/>
        <w:jc w:val="both"/>
        <w:rPr>
          <w:rFonts w:ascii="Cambria" w:hAnsi="Cambria"/>
          <w:color w:val="000000"/>
          <w:sz w:val="20"/>
          <w:szCs w:val="20"/>
        </w:rPr>
      </w:pPr>
      <w:r w:rsidRPr="003507A6">
        <w:rPr>
          <w:rFonts w:ascii="Cambria" w:hAnsi="Cambria"/>
          <w:color w:val="000000"/>
          <w:sz w:val="20"/>
          <w:szCs w:val="20"/>
          <w:lang w:eastAsia="es-ES_tradnl"/>
        </w:rPr>
        <w:t xml:space="preserve">The investigations continue, outside the framework of the supervision of this friendly settlement agreement, in macro-Case </w:t>
      </w:r>
      <w:r w:rsidRPr="003507A6">
        <w:rPr>
          <w:rFonts w:ascii="Cambria" w:hAnsi="Cambria"/>
          <w:color w:val="000000"/>
          <w:sz w:val="20"/>
          <w:szCs w:val="20"/>
        </w:rPr>
        <w:t>04 before the JEP, in the framework of which six groups of armed forces members (one as a result of the events in the El Aracatazzo case) were summoned to give voluntary testimony. In this group, the testimony was taken of three military members, and their cases closed. Also, one person died before his testimony could be taken. Subsequently, a second group of military members was summoned to give voluntary testimony. In that context, the case of one person was closed and the proceedings regarding another two were rescheduled.</w:t>
      </w:r>
    </w:p>
    <w:p w14:paraId="229A02D7" w14:textId="77777777" w:rsidR="00CC3D32" w:rsidRPr="003507A6" w:rsidRDefault="00CC3D32" w:rsidP="00CC3D32">
      <w:pPr>
        <w:numPr>
          <w:ilvl w:val="0"/>
          <w:numId w:val="16"/>
        </w:numPr>
        <w:ind w:hanging="720"/>
        <w:jc w:val="both"/>
        <w:rPr>
          <w:rFonts w:ascii="Cambria" w:hAnsi="Cambria"/>
          <w:color w:val="000000"/>
          <w:sz w:val="20"/>
          <w:szCs w:val="20"/>
        </w:rPr>
      </w:pPr>
      <w:r w:rsidRPr="003507A6">
        <w:rPr>
          <w:rFonts w:ascii="Cambria" w:hAnsi="Cambria"/>
          <w:color w:val="000000"/>
          <w:sz w:val="20"/>
          <w:szCs w:val="20"/>
        </w:rPr>
        <w:t>The JEP Office took 131 voluntary statements from a number of deponents, among them, 69 former military members assigned to military units</w:t>
      </w:r>
      <w:r w:rsidRPr="003507A6">
        <w:rPr>
          <w:rFonts w:ascii="Cambria" w:hAnsi="Cambria"/>
          <w:color w:val="000000"/>
          <w:sz w:val="20"/>
          <w:szCs w:val="20"/>
          <w:lang w:eastAsia="es-ES_tradnl"/>
        </w:rPr>
        <w:t xml:space="preserve">. </w:t>
      </w:r>
    </w:p>
    <w:p w14:paraId="13998905" w14:textId="1445D3FE" w:rsidR="00551343" w:rsidRPr="00CC3D32" w:rsidRDefault="00CC3D32" w:rsidP="00CC3D32">
      <w:pPr>
        <w:numPr>
          <w:ilvl w:val="0"/>
          <w:numId w:val="16"/>
        </w:numPr>
        <w:ind w:hanging="720"/>
        <w:jc w:val="both"/>
        <w:rPr>
          <w:rFonts w:ascii="Cambria" w:hAnsi="Cambria"/>
          <w:color w:val="000000"/>
          <w:sz w:val="20"/>
          <w:szCs w:val="20"/>
        </w:rPr>
      </w:pPr>
      <w:r w:rsidRPr="003507A6">
        <w:rPr>
          <w:rFonts w:ascii="Cambria" w:hAnsi="Cambria"/>
          <w:color w:val="000000"/>
          <w:sz w:val="20"/>
          <w:szCs w:val="20"/>
          <w:lang w:eastAsia="es-ES_tradnl"/>
        </w:rPr>
        <w:t>In the framework of macro-Case 04, 45,333 victims were formally accredited (340 individuals and 44,993 corresponding to 116 groups). The 340 individuals include 14 victims from the El Aracatazzo case.</w:t>
      </w:r>
    </w:p>
    <w:sectPr w:rsidR="00551343" w:rsidRPr="00CC3D32" w:rsidSect="00EE2B3B">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9204" w14:textId="77777777" w:rsidR="00985340" w:rsidRDefault="00985340" w:rsidP="00EE2B3B">
      <w:r>
        <w:separator/>
      </w:r>
    </w:p>
  </w:endnote>
  <w:endnote w:type="continuationSeparator" w:id="0">
    <w:p w14:paraId="42759F3C" w14:textId="77777777" w:rsidR="00985340" w:rsidRDefault="00985340" w:rsidP="00EE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49D5" w14:textId="1B0D8F23" w:rsidR="00EE2B3B" w:rsidRDefault="00EE2B3B" w:rsidP="00EE2B3B">
    <w:pPr>
      <w:pStyle w:val="Footer"/>
      <w:jc w:val="center"/>
    </w:pPr>
    <w:r>
      <w:rPr>
        <w:noProof/>
      </w:rPr>
      <w:drawing>
        <wp:inline distT="0" distB="0" distL="0" distR="0" wp14:anchorId="716D0634" wp14:editId="040054FF">
          <wp:extent cx="5238750" cy="314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570E" w14:textId="77777777" w:rsidR="00EE2B3B" w:rsidRDefault="00AB03D2" w:rsidP="00EE2B3B">
    <w:pPr>
      <w:pStyle w:val="Footer"/>
      <w:spacing w:line="360" w:lineRule="auto"/>
    </w:pPr>
    <w:r>
      <w:pict w14:anchorId="14B294CB">
        <v:rect id="_x0000_i1027" style="width:0;height:1.5pt" o:hralign="center" o:hrstd="t" o:hr="t" fillcolor="#a0a0a0" stroked="f"/>
      </w:pict>
    </w:r>
  </w:p>
  <w:p w14:paraId="33E89147" w14:textId="232012CD" w:rsidR="00EE2B3B" w:rsidRDefault="00EE2B3B" w:rsidP="00EE2B3B">
    <w:pPr>
      <w:pStyle w:val="Footer"/>
      <w:jc w:val="center"/>
    </w:pPr>
    <w:bookmarkStart w:id="2" w:name="_Hlk138256818"/>
    <w:bookmarkStart w:id="3" w:name="_Hlk138256819"/>
    <w:r>
      <w:rPr>
        <w:noProof/>
      </w:rPr>
      <w:drawing>
        <wp:inline distT="0" distB="0" distL="0" distR="0" wp14:anchorId="2202F3A2" wp14:editId="2F018423">
          <wp:extent cx="5238750" cy="314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EB0AD" w14:textId="77777777" w:rsidR="00985340" w:rsidRDefault="00985340" w:rsidP="00EE2B3B">
      <w:r>
        <w:separator/>
      </w:r>
    </w:p>
  </w:footnote>
  <w:footnote w:type="continuationSeparator" w:id="0">
    <w:p w14:paraId="52F84832" w14:textId="77777777" w:rsidR="00985340" w:rsidRDefault="00985340" w:rsidP="00EE2B3B">
      <w:r>
        <w:continuationSeparator/>
      </w:r>
    </w:p>
  </w:footnote>
  <w:footnote w:id="1">
    <w:p w14:paraId="5CCA8CBA" w14:textId="7988D5F9" w:rsidR="00635EC2" w:rsidRPr="001D48C1" w:rsidRDefault="00635EC2" w:rsidP="001D48C1">
      <w:pPr>
        <w:ind w:firstLine="720"/>
        <w:jc w:val="both"/>
        <w:rPr>
          <w:rFonts w:ascii="Cambria" w:hAnsi="Cambria"/>
          <w:sz w:val="16"/>
          <w:szCs w:val="16"/>
        </w:rPr>
      </w:pPr>
      <w:r w:rsidRPr="001D48C1">
        <w:rPr>
          <w:rStyle w:val="FootnoteReference"/>
          <w:rFonts w:ascii="Cambria" w:hAnsi="Cambria"/>
          <w:sz w:val="16"/>
          <w:szCs w:val="16"/>
        </w:rPr>
        <w:footnoteRef/>
      </w:r>
      <w:r w:rsidRPr="001D48C1">
        <w:rPr>
          <w:rFonts w:ascii="Cambria" w:hAnsi="Cambria"/>
          <w:sz w:val="16"/>
          <w:szCs w:val="16"/>
        </w:rPr>
        <w:t xml:space="preserve"> </w:t>
      </w:r>
      <w:r w:rsidR="001D48C1" w:rsidRPr="001D48C1">
        <w:rPr>
          <w:rFonts w:ascii="Cambria" w:hAnsi="Cambria"/>
          <w:color w:val="000000"/>
          <w:sz w:val="16"/>
          <w:szCs w:val="16"/>
        </w:rPr>
        <w:t xml:space="preserve">See IACHR, 2022 Annual Report, Chapter II, Section C. Advances and challenges on negotiation and implementation of friendly settlements, Available at: </w:t>
      </w:r>
      <w:hyperlink r:id="rId1" w:history="1">
        <w:r w:rsidR="001D48C1" w:rsidRPr="001D48C1">
          <w:rPr>
            <w:rStyle w:val="Hyperlink"/>
            <w:rFonts w:ascii="Cambria" w:hAnsi="Cambria"/>
            <w:sz w:val="16"/>
            <w:szCs w:val="16"/>
          </w:rPr>
          <w:t>4-IA2022_Cap_2_EN.pdf (oas.org)</w:t>
        </w:r>
      </w:hyperlink>
    </w:p>
  </w:footnote>
  <w:footnote w:id="2">
    <w:p w14:paraId="47920CA4" w14:textId="77777777" w:rsidR="00635EC2" w:rsidRPr="001D48C1" w:rsidRDefault="00635EC2" w:rsidP="001D48C1">
      <w:pPr>
        <w:ind w:firstLine="720"/>
        <w:jc w:val="both"/>
        <w:rPr>
          <w:rFonts w:ascii="Cambria" w:hAnsi="Cambria"/>
          <w:sz w:val="16"/>
          <w:szCs w:val="16"/>
        </w:rPr>
      </w:pPr>
      <w:r w:rsidRPr="001D48C1">
        <w:rPr>
          <w:rStyle w:val="FootnoteReference"/>
          <w:rFonts w:ascii="Cambria" w:hAnsi="Cambria"/>
          <w:sz w:val="16"/>
          <w:szCs w:val="16"/>
        </w:rPr>
        <w:footnoteRef/>
      </w:r>
      <w:r w:rsidRPr="001D48C1">
        <w:rPr>
          <w:rFonts w:ascii="Cambria" w:hAnsi="Cambria"/>
          <w:sz w:val="16"/>
          <w:szCs w:val="16"/>
        </w:rPr>
        <w:t xml:space="preserve"> See IACHR, </w:t>
      </w:r>
      <w:r w:rsidRPr="001D48C1">
        <w:rPr>
          <w:rFonts w:ascii="Cambria" w:hAnsi="Cambria"/>
          <w:i/>
          <w:iCs/>
          <w:sz w:val="16"/>
          <w:szCs w:val="16"/>
        </w:rPr>
        <w:t>Annual Report 2021</w:t>
      </w:r>
      <w:r w:rsidRPr="001D48C1">
        <w:rPr>
          <w:rFonts w:ascii="Cambria" w:hAnsi="Cambria"/>
          <w:sz w:val="16"/>
          <w:szCs w:val="16"/>
        </w:rPr>
        <w:t xml:space="preserve">, Chapter II, Section F. Negotiation, and implementation of friendly settlement agreements. Available in: </w:t>
      </w:r>
      <w:hyperlink r:id="rId2" w:history="1">
        <w:r w:rsidRPr="001D48C1">
          <w:rPr>
            <w:rStyle w:val="Hyperlink"/>
            <w:rFonts w:ascii="Cambria" w:hAnsi="Cambria"/>
            <w:sz w:val="16"/>
            <w:szCs w:val="16"/>
          </w:rPr>
          <w:t>http://www.oas.org/en/iachr/docs/annual/2021/Chapters/IA2021cap2-en.pdf</w:t>
        </w:r>
      </w:hyperlink>
    </w:p>
  </w:footnote>
  <w:footnote w:id="3">
    <w:p w14:paraId="48FBDBA0" w14:textId="77777777" w:rsidR="00635EC2" w:rsidRPr="001D48C1" w:rsidRDefault="00635EC2" w:rsidP="001D48C1">
      <w:pPr>
        <w:pStyle w:val="FootnoteText"/>
        <w:tabs>
          <w:tab w:val="left" w:pos="180"/>
          <w:tab w:val="left" w:pos="270"/>
          <w:tab w:val="left" w:pos="360"/>
        </w:tabs>
        <w:ind w:firstLine="720"/>
        <w:jc w:val="both"/>
        <w:rPr>
          <w:rFonts w:ascii="Cambria" w:hAnsi="Cambria"/>
          <w:color w:val="000000"/>
          <w:sz w:val="16"/>
          <w:szCs w:val="16"/>
        </w:rPr>
      </w:pPr>
      <w:r w:rsidRPr="001D48C1">
        <w:rPr>
          <w:rStyle w:val="FootnoteReference"/>
          <w:rFonts w:ascii="Cambria" w:hAnsi="Cambria"/>
          <w:color w:val="000000"/>
          <w:sz w:val="16"/>
          <w:szCs w:val="16"/>
        </w:rPr>
        <w:footnoteRef/>
      </w:r>
      <w:r w:rsidRPr="001D48C1">
        <w:rPr>
          <w:rFonts w:ascii="Cambria" w:hAnsi="Cambria"/>
          <w:color w:val="000000"/>
          <w:sz w:val="16"/>
          <w:szCs w:val="16"/>
        </w:rPr>
        <w:t xml:space="preserve"> See IACHR, </w:t>
      </w:r>
      <w:r w:rsidRPr="001D48C1">
        <w:rPr>
          <w:rFonts w:ascii="Cambria" w:hAnsi="Cambria"/>
          <w:i/>
          <w:color w:val="000000"/>
          <w:sz w:val="16"/>
          <w:szCs w:val="16"/>
        </w:rPr>
        <w:t>Annual Report 2017,</w:t>
      </w:r>
      <w:r w:rsidRPr="001D48C1">
        <w:rPr>
          <w:rFonts w:ascii="Cambria" w:hAnsi="Cambria"/>
          <w:color w:val="000000"/>
          <w:sz w:val="16"/>
          <w:szCs w:val="16"/>
        </w:rPr>
        <w:t xml:space="preserve"> Chapter II, Section D: Status of Compliance with the Recommendations of the IACHR, paras. 105-117. </w:t>
      </w:r>
    </w:p>
  </w:footnote>
  <w:footnote w:id="4">
    <w:p w14:paraId="0125601F" w14:textId="77777777" w:rsidR="00635EC2" w:rsidRPr="001D48C1" w:rsidRDefault="00635EC2" w:rsidP="001D48C1">
      <w:pPr>
        <w:tabs>
          <w:tab w:val="left" w:pos="180"/>
          <w:tab w:val="left" w:pos="270"/>
          <w:tab w:val="left" w:pos="360"/>
        </w:tabs>
        <w:ind w:firstLine="720"/>
        <w:jc w:val="both"/>
        <w:rPr>
          <w:rFonts w:ascii="Cambria" w:hAnsi="Cambria"/>
          <w:sz w:val="16"/>
          <w:szCs w:val="16"/>
        </w:rPr>
      </w:pPr>
      <w:r w:rsidRPr="001D48C1">
        <w:rPr>
          <w:rStyle w:val="FootnoteReference"/>
          <w:rFonts w:ascii="Cambria" w:hAnsi="Cambria"/>
          <w:sz w:val="16"/>
          <w:szCs w:val="16"/>
        </w:rPr>
        <w:footnoteRef/>
      </w:r>
      <w:r w:rsidRPr="001D48C1">
        <w:rPr>
          <w:rFonts w:ascii="Cambria" w:hAnsi="Cambria"/>
          <w:sz w:val="16"/>
          <w:szCs w:val="16"/>
        </w:rPr>
        <w:t xml:space="preserve"> </w:t>
      </w:r>
      <w:r w:rsidRPr="001D48C1">
        <w:rPr>
          <w:rFonts w:ascii="Cambria" w:hAnsi="Cambria"/>
          <w:color w:val="000000"/>
          <w:sz w:val="16"/>
          <w:szCs w:val="16"/>
        </w:rPr>
        <w:t xml:space="preserve">See IACHR, </w:t>
      </w:r>
      <w:r w:rsidRPr="001D48C1">
        <w:rPr>
          <w:rFonts w:ascii="Cambria" w:hAnsi="Cambria"/>
          <w:i/>
          <w:iCs/>
          <w:color w:val="000000"/>
          <w:sz w:val="16"/>
          <w:szCs w:val="16"/>
        </w:rPr>
        <w:t>Annual Report 2018</w:t>
      </w:r>
      <w:r w:rsidRPr="001D48C1">
        <w:rPr>
          <w:rFonts w:ascii="Cambria" w:hAnsi="Cambria"/>
          <w:color w:val="000000"/>
          <w:sz w:val="16"/>
          <w:szCs w:val="16"/>
        </w:rPr>
        <w:t xml:space="preserve">, Chapter II, Section G. Status of Compliance with the Recommendations Issued by the IACHR in Merits Reports and Friendly Settlement Agreements Approved by the IACHR, Available at: </w:t>
      </w:r>
      <w:r w:rsidRPr="001D48C1">
        <w:rPr>
          <w:rStyle w:val="Hyperlink"/>
          <w:rFonts w:ascii="Cambria" w:hAnsi="Cambria"/>
          <w:sz w:val="16"/>
          <w:szCs w:val="16"/>
        </w:rPr>
        <w:t>http://www.oas.org/en/iachr/docs/annual/2018/docs/IA2018cap.2-en.pdf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D2E5" w14:textId="61BDB6F8" w:rsidR="00EE2B3B" w:rsidRDefault="00EE2B3B" w:rsidP="00EE2B3B">
    <w:pPr>
      <w:pStyle w:val="Header"/>
      <w:jc w:val="center"/>
    </w:pPr>
    <w:r>
      <w:rPr>
        <w:noProof/>
      </w:rPr>
      <w:drawing>
        <wp:inline distT="0" distB="0" distL="0" distR="0" wp14:anchorId="05F89FF3" wp14:editId="35C856FB">
          <wp:extent cx="227647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14300"/>
                  </a:xfrm>
                  <a:prstGeom prst="rect">
                    <a:avLst/>
                  </a:prstGeom>
                  <a:noFill/>
                  <a:ln>
                    <a:noFill/>
                  </a:ln>
                </pic:spPr>
              </pic:pic>
            </a:graphicData>
          </a:graphic>
        </wp:inline>
      </w:drawing>
    </w:r>
  </w:p>
  <w:p w14:paraId="5C22E6E7" w14:textId="19B082BD" w:rsidR="00EE2B3B" w:rsidRPr="00EE2B3B" w:rsidRDefault="00AB03D2" w:rsidP="00EE2B3B">
    <w:pPr>
      <w:pStyle w:val="Header"/>
    </w:pPr>
    <w:r>
      <w:pict w14:anchorId="04325340">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A139" w14:textId="1F58B056" w:rsidR="00EE2B3B" w:rsidRDefault="00EE2B3B" w:rsidP="00EE2B3B">
    <w:pPr>
      <w:pStyle w:val="Header"/>
    </w:pPr>
    <w:bookmarkStart w:id="0" w:name="_Hlk138256805"/>
    <w:bookmarkStart w:id="1" w:name="_Hlk138256806"/>
    <w:r>
      <w:rPr>
        <w:noProof/>
      </w:rPr>
      <w:drawing>
        <wp:anchor distT="0" distB="0" distL="114300" distR="114300" simplePos="0" relativeHeight="251659264" behindDoc="1" locked="0" layoutInCell="1" allowOverlap="1" wp14:anchorId="041316FD" wp14:editId="7A155487">
          <wp:simplePos x="0" y="0"/>
          <wp:positionH relativeFrom="column">
            <wp:posOffset>0</wp:posOffset>
          </wp:positionH>
          <wp:positionV relativeFrom="paragraph">
            <wp:posOffset>-28575</wp:posOffset>
          </wp:positionV>
          <wp:extent cx="2567940" cy="495300"/>
          <wp:effectExtent l="0" t="0" r="3810" b="0"/>
          <wp:wrapThrough wrapText="bothSides">
            <wp:wrapPolygon edited="0">
              <wp:start x="0" y="0"/>
              <wp:lineTo x="0" y="20769"/>
              <wp:lineTo x="21472" y="20769"/>
              <wp:lineTo x="2147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B65916B" wp14:editId="2EBBB3D4">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069" y="0"/>
              <wp:lineTo x="0" y="4122"/>
              <wp:lineTo x="0" y="16489"/>
              <wp:lineTo x="1069" y="20611"/>
              <wp:lineTo x="4277" y="20611"/>
              <wp:lineTo x="21386" y="18137"/>
              <wp:lineTo x="21386" y="4122"/>
              <wp:lineTo x="4063" y="0"/>
              <wp:lineTo x="1069"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5084D170" w14:textId="77777777" w:rsidR="00EE2B3B" w:rsidRDefault="00EE2B3B" w:rsidP="00EE2B3B">
    <w:pPr>
      <w:pStyle w:val="Header"/>
    </w:pPr>
  </w:p>
  <w:p w14:paraId="12638557" w14:textId="77777777" w:rsidR="00EE2B3B" w:rsidRDefault="00EE2B3B" w:rsidP="00EE2B3B">
    <w:pPr>
      <w:pStyle w:val="Header"/>
    </w:pPr>
  </w:p>
  <w:p w14:paraId="0EFF114E" w14:textId="77777777" w:rsidR="00EE2B3B" w:rsidRDefault="00AB03D2" w:rsidP="00EE2B3B">
    <w:pPr>
      <w:pStyle w:val="Header"/>
    </w:pPr>
    <w:r>
      <w:pict w14:anchorId="3288A7D7">
        <v:rect id="_x0000_i1026" style="width:0;height:1.5pt" o:hralign="center" o:hrstd="t" o:hr="t" fillcolor="#a0a0a0" stroked="f"/>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452"/>
    <w:multiLevelType w:val="hybridMultilevel"/>
    <w:tmpl w:val="6686A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54FE1"/>
    <w:multiLevelType w:val="hybridMultilevel"/>
    <w:tmpl w:val="EEB433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96523D7"/>
    <w:multiLevelType w:val="hybridMultilevel"/>
    <w:tmpl w:val="40B49FE4"/>
    <w:lvl w:ilvl="0" w:tplc="298AE86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A470B"/>
    <w:multiLevelType w:val="hybridMultilevel"/>
    <w:tmpl w:val="2D8E04F4"/>
    <w:lvl w:ilvl="0" w:tplc="FFFFFFFF">
      <w:start w:val="1"/>
      <w:numFmt w:val="upperRoman"/>
      <w:lvlText w:val="%1."/>
      <w:lvlJc w:val="left"/>
      <w:pPr>
        <w:ind w:left="1080" w:hanging="720"/>
      </w:pPr>
      <w:rPr>
        <w:rFonts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C0D445F"/>
    <w:multiLevelType w:val="hybridMultilevel"/>
    <w:tmpl w:val="FFFFFFFF"/>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617DD"/>
    <w:multiLevelType w:val="hybridMultilevel"/>
    <w:tmpl w:val="69F6654C"/>
    <w:lvl w:ilvl="0" w:tplc="4B8E1B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E316D8"/>
    <w:multiLevelType w:val="hybridMultilevel"/>
    <w:tmpl w:val="054A6BA8"/>
    <w:lvl w:ilvl="0" w:tplc="298AE862">
      <w:numFmt w:val="bullet"/>
      <w:lvlText w:val="-"/>
      <w:lvlJc w:val="left"/>
      <w:pPr>
        <w:ind w:left="706" w:hanging="360"/>
      </w:pPr>
      <w:rPr>
        <w:rFonts w:ascii="Cambria" w:eastAsia="MS Mincho" w:hAnsi="Cambria" w:cs="Times New Roman"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7" w15:restartNumberingAfterBreak="0">
    <w:nsid w:val="38735C95"/>
    <w:multiLevelType w:val="hybridMultilevel"/>
    <w:tmpl w:val="1DD0FA30"/>
    <w:lvl w:ilvl="0" w:tplc="298AE86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C04F9"/>
    <w:multiLevelType w:val="hybridMultilevel"/>
    <w:tmpl w:val="98E0532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E255ED6"/>
    <w:multiLevelType w:val="hybridMultilevel"/>
    <w:tmpl w:val="0E9E492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41E655F"/>
    <w:multiLevelType w:val="hybridMultilevel"/>
    <w:tmpl w:val="38EAC91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0951C10"/>
    <w:multiLevelType w:val="hybridMultilevel"/>
    <w:tmpl w:val="2F123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83397B"/>
    <w:multiLevelType w:val="hybridMultilevel"/>
    <w:tmpl w:val="905A73D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8C26CC1"/>
    <w:multiLevelType w:val="hybridMultilevel"/>
    <w:tmpl w:val="1DDE1E8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36202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633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524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2929156">
    <w:abstractNumId w:val="9"/>
  </w:num>
  <w:num w:numId="5" w16cid:durableId="56173509">
    <w:abstractNumId w:val="12"/>
  </w:num>
  <w:num w:numId="6" w16cid:durableId="56518530">
    <w:abstractNumId w:val="1"/>
  </w:num>
  <w:num w:numId="7" w16cid:durableId="4633522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972006">
    <w:abstractNumId w:val="8"/>
  </w:num>
  <w:num w:numId="9" w16cid:durableId="1574849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7116927">
    <w:abstractNumId w:val="4"/>
  </w:num>
  <w:num w:numId="11" w16cid:durableId="779616454">
    <w:abstractNumId w:val="5"/>
  </w:num>
  <w:num w:numId="12" w16cid:durableId="1678575092">
    <w:abstractNumId w:val="13"/>
  </w:num>
  <w:num w:numId="13" w16cid:durableId="336924394">
    <w:abstractNumId w:val="2"/>
  </w:num>
  <w:num w:numId="14" w16cid:durableId="1682513041">
    <w:abstractNumId w:val="6"/>
  </w:num>
  <w:num w:numId="15" w16cid:durableId="317002975">
    <w:abstractNumId w:val="7"/>
  </w:num>
  <w:num w:numId="16" w16cid:durableId="1026760033">
    <w:abstractNumId w:val="11"/>
  </w:num>
  <w:num w:numId="17" w16cid:durableId="137797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3B"/>
    <w:rsid w:val="00016B55"/>
    <w:rsid w:val="00044697"/>
    <w:rsid w:val="001C78F9"/>
    <w:rsid w:val="001D1BFB"/>
    <w:rsid w:val="001D48C1"/>
    <w:rsid w:val="001D6063"/>
    <w:rsid w:val="00275469"/>
    <w:rsid w:val="00336986"/>
    <w:rsid w:val="004F6608"/>
    <w:rsid w:val="00551343"/>
    <w:rsid w:val="005710FB"/>
    <w:rsid w:val="005A5A31"/>
    <w:rsid w:val="0061101E"/>
    <w:rsid w:val="00635EC2"/>
    <w:rsid w:val="006C7932"/>
    <w:rsid w:val="007827AF"/>
    <w:rsid w:val="007C3163"/>
    <w:rsid w:val="008646A9"/>
    <w:rsid w:val="00985340"/>
    <w:rsid w:val="00A15312"/>
    <w:rsid w:val="00AB03D2"/>
    <w:rsid w:val="00B15B0C"/>
    <w:rsid w:val="00BB339B"/>
    <w:rsid w:val="00CC3D32"/>
    <w:rsid w:val="00D04AF5"/>
    <w:rsid w:val="00D11C69"/>
    <w:rsid w:val="00DA1784"/>
    <w:rsid w:val="00EB6320"/>
    <w:rsid w:val="00EE2B3B"/>
    <w:rsid w:val="00F64E08"/>
    <w:rsid w:val="00F84B42"/>
    <w:rsid w:val="00FA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F7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B3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DH1"/>
    <w:basedOn w:val="Normal"/>
    <w:link w:val="ListParagraphChar"/>
    <w:uiPriority w:val="34"/>
    <w:qFormat/>
    <w:rsid w:val="00EE2B3B"/>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EE2B3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EE2B3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E2B3B"/>
    <w:rPr>
      <w:vertAlign w:val="superscript"/>
    </w:rPr>
  </w:style>
  <w:style w:type="character" w:styleId="Hyperlink">
    <w:name w:val="Hyperlink"/>
    <w:uiPriority w:val="99"/>
    <w:unhideWhenUsed/>
    <w:rsid w:val="00EE2B3B"/>
    <w:rPr>
      <w:color w:val="0000FF"/>
      <w:u w:val="single"/>
      <w:lang w:val="en-US" w:eastAsia="en-US"/>
    </w:rPr>
  </w:style>
  <w:style w:type="paragraph" w:styleId="NoSpacing">
    <w:name w:val="No Spacing"/>
    <w:uiPriority w:val="1"/>
    <w:qFormat/>
    <w:rsid w:val="00EE2B3B"/>
    <w:pPr>
      <w:spacing w:after="0" w:line="240" w:lineRule="auto"/>
    </w:pPr>
    <w:rPr>
      <w:rFonts w:ascii="Calibri" w:eastAsia="Calibri" w:hAnsi="Calibri" w:cs="Times New Roman"/>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DH1 Char"/>
    <w:link w:val="ListParagraph"/>
    <w:uiPriority w:val="34"/>
    <w:locked/>
    <w:rsid w:val="00EE2B3B"/>
    <w:rPr>
      <w:sz w:val="24"/>
      <w:szCs w:val="24"/>
    </w:rPr>
  </w:style>
  <w:style w:type="paragraph" w:customStyle="1" w:styleId="Appelnotedebasde">
    <w:name w:val="Appel note de bas de..."/>
    <w:basedOn w:val="Normal"/>
    <w:link w:val="FootnoteReference"/>
    <w:uiPriority w:val="99"/>
    <w:rsid w:val="00EE2B3B"/>
    <w:pPr>
      <w:spacing w:after="160" w:line="240" w:lineRule="exact"/>
    </w:pPr>
    <w:rPr>
      <w:sz w:val="22"/>
      <w:szCs w:val="22"/>
      <w:vertAlign w:val="superscript"/>
    </w:rPr>
  </w:style>
  <w:style w:type="paragraph" w:styleId="Header">
    <w:name w:val="header"/>
    <w:basedOn w:val="Normal"/>
    <w:link w:val="HeaderChar"/>
    <w:uiPriority w:val="99"/>
    <w:unhideWhenUsed/>
    <w:rsid w:val="00EE2B3B"/>
    <w:pPr>
      <w:tabs>
        <w:tab w:val="center" w:pos="4680"/>
        <w:tab w:val="right" w:pos="9360"/>
      </w:tabs>
    </w:pPr>
  </w:style>
  <w:style w:type="character" w:customStyle="1" w:styleId="HeaderChar">
    <w:name w:val="Header Char"/>
    <w:basedOn w:val="DefaultParagraphFont"/>
    <w:link w:val="Header"/>
    <w:uiPriority w:val="99"/>
    <w:rsid w:val="00EE2B3B"/>
    <w:rPr>
      <w:sz w:val="24"/>
      <w:szCs w:val="24"/>
    </w:rPr>
  </w:style>
  <w:style w:type="paragraph" w:styleId="Footer">
    <w:name w:val="footer"/>
    <w:basedOn w:val="Normal"/>
    <w:link w:val="FooterChar"/>
    <w:uiPriority w:val="99"/>
    <w:unhideWhenUsed/>
    <w:rsid w:val="00EE2B3B"/>
    <w:pPr>
      <w:tabs>
        <w:tab w:val="center" w:pos="4680"/>
        <w:tab w:val="right" w:pos="9360"/>
      </w:tabs>
    </w:pPr>
  </w:style>
  <w:style w:type="character" w:customStyle="1" w:styleId="FooterChar">
    <w:name w:val="Footer Char"/>
    <w:basedOn w:val="DefaultParagraphFont"/>
    <w:link w:val="Footer"/>
    <w:uiPriority w:val="99"/>
    <w:rsid w:val="00EE2B3B"/>
    <w:rPr>
      <w:sz w:val="24"/>
      <w:szCs w:val="24"/>
    </w:rPr>
  </w:style>
  <w:style w:type="character" w:styleId="FollowedHyperlink">
    <w:name w:val="FollowedHyperlink"/>
    <w:basedOn w:val="DefaultParagraphFont"/>
    <w:uiPriority w:val="99"/>
    <w:semiHidden/>
    <w:unhideWhenUsed/>
    <w:rsid w:val="00EE2B3B"/>
    <w:rPr>
      <w:color w:val="954F72" w:themeColor="followedHyperlink"/>
      <w:u w:val="single"/>
    </w:rPr>
  </w:style>
  <w:style w:type="character" w:styleId="UnresolvedMention">
    <w:name w:val="Unresolved Mention"/>
    <w:basedOn w:val="DefaultParagraphFont"/>
    <w:uiPriority w:val="99"/>
    <w:semiHidden/>
    <w:unhideWhenUsed/>
    <w:rsid w:val="00EE2B3B"/>
    <w:rPr>
      <w:color w:val="605E5C"/>
      <w:shd w:val="clear" w:color="auto" w:fill="E1DFDD"/>
    </w:rPr>
  </w:style>
  <w:style w:type="paragraph" w:styleId="Title">
    <w:name w:val="Title"/>
    <w:basedOn w:val="Normal"/>
    <w:next w:val="Normal"/>
    <w:link w:val="TitleChar"/>
    <w:uiPriority w:val="10"/>
    <w:qFormat/>
    <w:rsid w:val="001D1BF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BF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n/iachr/decisions/2015/COSA12756EN.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as.org/en/iachr/decisions/admissibilities.asp" TargetMode="External"/><Relationship Id="rId4" Type="http://schemas.openxmlformats.org/officeDocument/2006/relationships/settings" Target="settings.xml"/><Relationship Id="rId9" Type="http://schemas.openxmlformats.org/officeDocument/2006/relationships/hyperlink" Target="http://www.oas.org/en/iachr/decisions/2015/COSA12756EN.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n/iachr/docs/annual/2021/Chapters/IA2021cap2-en.pdf" TargetMode="External"/><Relationship Id="rId1" Type="http://schemas.openxmlformats.org/officeDocument/2006/relationships/hyperlink" Target="https://www.oas.org/en/iachr/docs/annual/2022/Chapters/4-IA2022_Cap_2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EF23-5EC8-47BB-AEC1-2CD4B91D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7261</Characters>
  <Application>Microsoft Office Word</Application>
  <DocSecurity>0</DocSecurity>
  <Lines>60</Lines>
  <Paragraphs>17</Paragraphs>
  <ScaleCrop>false</ScaleCrop>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2023-06-28T14:55:00Z</dcterms:created>
  <dcterms:modified xsi:type="dcterms:W3CDTF">2023-06-28T14:55:00Z</dcterms:modified>
</cp:coreProperties>
</file>