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E819" w14:textId="77777777" w:rsidR="00EE2B3B" w:rsidRDefault="00EE2B3B" w:rsidP="00EE2B3B">
      <w:pPr>
        <w:pStyle w:val="NoSpacing"/>
        <w:ind w:left="-270" w:right="-270"/>
        <w:jc w:val="center"/>
        <w:rPr>
          <w:rFonts w:ascii="Cambria" w:hAnsi="Cambria"/>
          <w:b/>
          <w:color w:val="000000"/>
          <w:sz w:val="24"/>
          <w:szCs w:val="24"/>
        </w:rPr>
      </w:pPr>
    </w:p>
    <w:p w14:paraId="036D26F6" w14:textId="77777777" w:rsidR="00EE2B3B" w:rsidRP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TECHNICAL INFORMATION SHEET</w:t>
      </w:r>
    </w:p>
    <w:p w14:paraId="0240A646" w14:textId="07D54A18" w:rsidR="00F64E08" w:rsidRPr="00F64E08" w:rsidRDefault="00F64E08" w:rsidP="00F64E08">
      <w:pPr>
        <w:ind w:right="-270"/>
        <w:jc w:val="center"/>
        <w:rPr>
          <w:rFonts w:ascii="Cambria" w:eastAsia="Batang" w:hAnsi="Cambria"/>
          <w:b/>
          <w:color w:val="000000"/>
        </w:rPr>
      </w:pPr>
      <w:r w:rsidRPr="00F64E08">
        <w:rPr>
          <w:rFonts w:ascii="Cambria" w:hAnsi="Cambria"/>
          <w:b/>
          <w:color w:val="000000"/>
        </w:rPr>
        <w:t>CASE 13.728</w:t>
      </w:r>
      <w:r>
        <w:rPr>
          <w:rFonts w:ascii="Cambria" w:hAnsi="Cambria"/>
          <w:b/>
          <w:color w:val="000000"/>
        </w:rPr>
        <w:t xml:space="preserve"> </w:t>
      </w:r>
      <w:r w:rsidRPr="00F64E08">
        <w:rPr>
          <w:rFonts w:ascii="Cambria" w:hAnsi="Cambria"/>
          <w:b/>
          <w:color w:val="000000"/>
        </w:rPr>
        <w:t xml:space="preserve">AMIRA GUZMÁN DE ALONSO AND FAMILY </w:t>
      </w:r>
    </w:p>
    <w:p w14:paraId="589F3041" w14:textId="61E16B0B"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REPORT ON FRIENDLY SETTLEMENT Nº</w:t>
      </w:r>
      <w:r w:rsidR="00F64E08">
        <w:rPr>
          <w:rFonts w:ascii="Cambria" w:hAnsi="Cambria"/>
          <w:b/>
          <w:color w:val="000000"/>
          <w:sz w:val="24"/>
          <w:szCs w:val="24"/>
        </w:rPr>
        <w:t xml:space="preserve"> </w:t>
      </w:r>
      <w:hyperlink r:id="rId8" w:history="1">
        <w:r w:rsidR="00F64E08" w:rsidRPr="00336986">
          <w:rPr>
            <w:rStyle w:val="Hyperlink"/>
            <w:rFonts w:ascii="Cambria" w:hAnsi="Cambria"/>
            <w:b/>
            <w:sz w:val="24"/>
            <w:szCs w:val="24"/>
          </w:rPr>
          <w:t>21/20</w:t>
        </w:r>
      </w:hyperlink>
    </w:p>
    <w:p w14:paraId="291D19F8" w14:textId="77777777" w:rsidR="00EE2B3B" w:rsidRDefault="00EE2B3B" w:rsidP="00EE2B3B">
      <w:pPr>
        <w:pStyle w:val="NoSpacing"/>
        <w:ind w:left="-270" w:right="-270"/>
        <w:jc w:val="center"/>
        <w:rPr>
          <w:rFonts w:ascii="Cambria" w:hAnsi="Cambria"/>
          <w:b/>
          <w:color w:val="000000"/>
          <w:sz w:val="24"/>
          <w:szCs w:val="24"/>
        </w:rPr>
      </w:pPr>
      <w:r w:rsidRPr="00EE2B3B">
        <w:rPr>
          <w:rFonts w:ascii="Cambria" w:hAnsi="Cambria"/>
          <w:b/>
          <w:color w:val="000000"/>
          <w:sz w:val="24"/>
          <w:szCs w:val="24"/>
        </w:rPr>
        <w:t>TOTAL COMPLIANCE</w:t>
      </w:r>
      <w:r w:rsidRPr="003F7365">
        <w:rPr>
          <w:rFonts w:ascii="Cambria" w:hAnsi="Cambria"/>
          <w:b/>
          <w:color w:val="000000"/>
          <w:sz w:val="24"/>
          <w:szCs w:val="24"/>
        </w:rPr>
        <w:t xml:space="preserve"> </w:t>
      </w:r>
    </w:p>
    <w:p w14:paraId="731B0D08" w14:textId="11548501" w:rsidR="00EE2B3B" w:rsidRPr="003F7365" w:rsidRDefault="00EE2B3B" w:rsidP="00EE2B3B">
      <w:pPr>
        <w:pStyle w:val="NoSpacing"/>
        <w:ind w:left="-270" w:right="-270"/>
        <w:jc w:val="center"/>
        <w:rPr>
          <w:rFonts w:ascii="Cambria" w:hAnsi="Cambria"/>
          <w:b/>
          <w:color w:val="000000"/>
          <w:sz w:val="24"/>
          <w:szCs w:val="24"/>
        </w:rPr>
      </w:pPr>
      <w:r w:rsidRPr="003F7365">
        <w:rPr>
          <w:rFonts w:ascii="Cambria" w:hAnsi="Cambria"/>
          <w:b/>
          <w:color w:val="000000"/>
          <w:sz w:val="24"/>
          <w:szCs w:val="24"/>
        </w:rPr>
        <w:t>(</w:t>
      </w:r>
      <w:r w:rsidR="00DA7D6A">
        <w:rPr>
          <w:rFonts w:ascii="Cambria" w:hAnsi="Cambria"/>
          <w:b/>
          <w:color w:val="000000"/>
          <w:sz w:val="24"/>
          <w:szCs w:val="24"/>
        </w:rPr>
        <w:t>COLOMBIA</w:t>
      </w:r>
      <w:r w:rsidRPr="003F7365">
        <w:rPr>
          <w:rFonts w:ascii="Cambria" w:hAnsi="Cambria"/>
          <w:b/>
          <w:color w:val="000000"/>
          <w:sz w:val="24"/>
          <w:szCs w:val="24"/>
        </w:rPr>
        <w:t>)</w:t>
      </w:r>
    </w:p>
    <w:p w14:paraId="6FCFDEEB" w14:textId="77777777" w:rsidR="00EE2B3B" w:rsidRPr="003F7365" w:rsidRDefault="00EE2B3B" w:rsidP="00EE2B3B">
      <w:pPr>
        <w:pStyle w:val="NoSpacing"/>
        <w:ind w:left="-270" w:right="-270"/>
        <w:jc w:val="center"/>
        <w:rPr>
          <w:rFonts w:ascii="Cambria" w:hAnsi="Cambria"/>
          <w:b/>
          <w:color w:val="000000"/>
          <w:sz w:val="20"/>
          <w:szCs w:val="20"/>
        </w:rPr>
      </w:pPr>
    </w:p>
    <w:p w14:paraId="14A7D6AF" w14:textId="77777777" w:rsidR="00EE2B3B" w:rsidRPr="003F7365" w:rsidRDefault="00EE2B3B" w:rsidP="00EE2B3B">
      <w:pPr>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 xml:space="preserve">SUMMARY OF THE CASE </w:t>
      </w:r>
    </w:p>
    <w:p w14:paraId="05E3AE0D" w14:textId="77777777" w:rsidR="00EE2B3B" w:rsidRPr="003F7365" w:rsidRDefault="00EE2B3B" w:rsidP="00EE2B3B">
      <w:pPr>
        <w:ind w:left="720"/>
        <w:rPr>
          <w:rFonts w:ascii="Cambria" w:hAnsi="Cambria" w:cs="Calibri Light"/>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EE2B3B" w:rsidRPr="003F7365" w14:paraId="0DA6B01E" w14:textId="77777777" w:rsidTr="00D53017">
        <w:trPr>
          <w:jc w:val="center"/>
        </w:trPr>
        <w:tc>
          <w:tcPr>
            <w:tcW w:w="9576" w:type="dxa"/>
            <w:tcBorders>
              <w:top w:val="single" w:sz="4" w:space="0" w:color="auto"/>
              <w:left w:val="single" w:sz="4" w:space="0" w:color="auto"/>
              <w:bottom w:val="single" w:sz="4" w:space="0" w:color="auto"/>
              <w:right w:val="single" w:sz="4" w:space="0" w:color="auto"/>
            </w:tcBorders>
            <w:shd w:val="clear" w:color="auto" w:fill="F2F2F2"/>
          </w:tcPr>
          <w:p w14:paraId="2C82357B" w14:textId="77777777" w:rsidR="008646A9" w:rsidRPr="003507A6" w:rsidRDefault="008646A9" w:rsidP="008646A9">
            <w:pPr>
              <w:tabs>
                <w:tab w:val="center" w:pos="4513"/>
              </w:tabs>
              <w:jc w:val="both"/>
              <w:rPr>
                <w:rFonts w:ascii="Cambria" w:eastAsia="Batang" w:hAnsi="Cambria"/>
                <w:color w:val="000000"/>
                <w:sz w:val="20"/>
                <w:szCs w:val="20"/>
              </w:rPr>
            </w:pPr>
            <w:r w:rsidRPr="003507A6">
              <w:rPr>
                <w:rFonts w:ascii="Cambria" w:hAnsi="Cambria"/>
                <w:b/>
                <w:color w:val="000000"/>
                <w:sz w:val="20"/>
              </w:rPr>
              <w:t>Victim(s):</w:t>
            </w:r>
            <w:r w:rsidRPr="003507A6">
              <w:rPr>
                <w:rFonts w:ascii="Cambria" w:hAnsi="Cambria"/>
                <w:color w:val="000000"/>
                <w:sz w:val="20"/>
              </w:rPr>
              <w:t xml:space="preserve"> Amira Guzmán de Alonso</w:t>
            </w:r>
          </w:p>
          <w:p w14:paraId="1A4A6F60" w14:textId="77777777" w:rsidR="008646A9" w:rsidRPr="003507A6" w:rsidRDefault="008646A9" w:rsidP="008646A9">
            <w:pPr>
              <w:tabs>
                <w:tab w:val="left" w:pos="9270"/>
              </w:tabs>
              <w:jc w:val="both"/>
              <w:rPr>
                <w:rFonts w:ascii="Cambria" w:eastAsia="Batang" w:hAnsi="Cambria"/>
                <w:color w:val="000000"/>
                <w:sz w:val="20"/>
                <w:szCs w:val="20"/>
              </w:rPr>
            </w:pPr>
            <w:r w:rsidRPr="003507A6">
              <w:rPr>
                <w:rFonts w:ascii="Cambria" w:hAnsi="Cambria"/>
                <w:b/>
                <w:color w:val="000000"/>
                <w:sz w:val="20"/>
              </w:rPr>
              <w:t xml:space="preserve">Petitioner(s): </w:t>
            </w:r>
            <w:r w:rsidRPr="003507A6">
              <w:rPr>
                <w:rFonts w:ascii="Cambria" w:hAnsi="Cambria"/>
                <w:color w:val="000000"/>
                <w:sz w:val="20"/>
              </w:rPr>
              <w:t>Leonardo Fidel Guerra-Acero Ospina</w:t>
            </w:r>
          </w:p>
          <w:p w14:paraId="349F787D" w14:textId="77777777" w:rsidR="008646A9" w:rsidRPr="003507A6" w:rsidRDefault="008646A9" w:rsidP="008646A9">
            <w:pPr>
              <w:tabs>
                <w:tab w:val="left" w:pos="9270"/>
              </w:tabs>
              <w:jc w:val="both"/>
              <w:rPr>
                <w:rFonts w:ascii="Cambria" w:eastAsia="Batang" w:hAnsi="Cambria"/>
                <w:color w:val="000000"/>
                <w:sz w:val="20"/>
                <w:szCs w:val="20"/>
              </w:rPr>
            </w:pPr>
            <w:r w:rsidRPr="003507A6">
              <w:rPr>
                <w:rFonts w:ascii="Cambria" w:hAnsi="Cambria"/>
                <w:b/>
                <w:color w:val="000000"/>
                <w:sz w:val="20"/>
              </w:rPr>
              <w:t>State</w:t>
            </w:r>
            <w:r w:rsidRPr="003507A6">
              <w:rPr>
                <w:rFonts w:ascii="Cambria" w:hAnsi="Cambria"/>
                <w:color w:val="000000"/>
                <w:sz w:val="20"/>
              </w:rPr>
              <w:t xml:space="preserve"> Colombia</w:t>
            </w:r>
          </w:p>
          <w:p w14:paraId="64DE193E" w14:textId="77777777" w:rsidR="008646A9" w:rsidRPr="003507A6" w:rsidRDefault="008646A9" w:rsidP="008646A9">
            <w:pPr>
              <w:tabs>
                <w:tab w:val="left" w:pos="9270"/>
              </w:tabs>
              <w:jc w:val="both"/>
              <w:rPr>
                <w:rFonts w:ascii="Cambria" w:eastAsia="Batang" w:hAnsi="Cambria"/>
                <w:color w:val="000000"/>
                <w:sz w:val="20"/>
                <w:szCs w:val="20"/>
              </w:rPr>
            </w:pPr>
            <w:r w:rsidRPr="003507A6">
              <w:rPr>
                <w:rFonts w:ascii="Cambria" w:hAnsi="Cambria"/>
                <w:b/>
                <w:color w:val="000000"/>
                <w:sz w:val="20"/>
              </w:rPr>
              <w:t xml:space="preserve">Beginning of the negotiations date: </w:t>
            </w:r>
            <w:r w:rsidRPr="003507A6">
              <w:rPr>
                <w:rFonts w:ascii="Cambria" w:hAnsi="Cambria"/>
                <w:color w:val="000000"/>
                <w:sz w:val="20"/>
              </w:rPr>
              <w:t>July 25, 2019</w:t>
            </w:r>
          </w:p>
          <w:p w14:paraId="377B4474" w14:textId="77777777" w:rsidR="008646A9" w:rsidRPr="003507A6" w:rsidRDefault="008646A9" w:rsidP="008646A9">
            <w:pPr>
              <w:tabs>
                <w:tab w:val="left" w:pos="9270"/>
              </w:tabs>
              <w:jc w:val="both"/>
              <w:rPr>
                <w:rFonts w:ascii="Cambria" w:hAnsi="Cambria"/>
                <w:b/>
                <w:bCs/>
                <w:color w:val="000000"/>
                <w:sz w:val="20"/>
                <w:szCs w:val="20"/>
              </w:rPr>
            </w:pPr>
            <w:r w:rsidRPr="003507A6">
              <w:rPr>
                <w:rFonts w:ascii="Cambria" w:hAnsi="Cambria"/>
                <w:b/>
                <w:color w:val="000000"/>
                <w:sz w:val="20"/>
              </w:rPr>
              <w:t xml:space="preserve">FSA signature date: </w:t>
            </w:r>
            <w:r w:rsidRPr="003507A6">
              <w:rPr>
                <w:rFonts w:ascii="Cambria" w:hAnsi="Cambria"/>
                <w:color w:val="000000"/>
                <w:sz w:val="20"/>
              </w:rPr>
              <w:t>November 5, 2014</w:t>
            </w:r>
          </w:p>
          <w:p w14:paraId="0EFDE352" w14:textId="77777777" w:rsidR="008646A9" w:rsidRPr="003507A6" w:rsidRDefault="008646A9" w:rsidP="008646A9">
            <w:pPr>
              <w:tabs>
                <w:tab w:val="left" w:pos="9270"/>
              </w:tabs>
              <w:jc w:val="both"/>
              <w:rPr>
                <w:rFonts w:ascii="Cambria" w:hAnsi="Cambria"/>
                <w:bCs/>
                <w:color w:val="000000"/>
                <w:sz w:val="20"/>
                <w:szCs w:val="20"/>
              </w:rPr>
            </w:pPr>
            <w:r w:rsidRPr="003507A6">
              <w:rPr>
                <w:rFonts w:ascii="Cambria" w:hAnsi="Cambria"/>
                <w:b/>
                <w:color w:val="000000"/>
                <w:sz w:val="20"/>
              </w:rPr>
              <w:t xml:space="preserve">Friendly Settlement Agreement Report No. </w:t>
            </w:r>
            <w:hyperlink r:id="rId9">
              <w:r w:rsidRPr="003507A6">
                <w:rPr>
                  <w:rStyle w:val="Hyperlink"/>
                  <w:rFonts w:ascii="Cambria" w:hAnsi="Cambria"/>
                  <w:b/>
                  <w:sz w:val="20"/>
                </w:rPr>
                <w:t>21/20</w:t>
              </w:r>
            </w:hyperlink>
            <w:r w:rsidRPr="003507A6">
              <w:rPr>
                <w:rFonts w:ascii="Cambria" w:hAnsi="Cambria"/>
                <w:color w:val="000000"/>
                <w:sz w:val="20"/>
              </w:rPr>
              <w:t xml:space="preserve">, published on April 13, 2020 </w:t>
            </w:r>
          </w:p>
          <w:p w14:paraId="3D0677B6" w14:textId="77777777" w:rsidR="008646A9" w:rsidRPr="003507A6" w:rsidRDefault="008646A9" w:rsidP="008646A9">
            <w:pPr>
              <w:tabs>
                <w:tab w:val="left" w:pos="9270"/>
              </w:tabs>
              <w:jc w:val="both"/>
              <w:rPr>
                <w:rFonts w:ascii="Cambria" w:hAnsi="Cambria"/>
                <w:b/>
                <w:bCs/>
                <w:color w:val="000000"/>
                <w:sz w:val="20"/>
                <w:szCs w:val="20"/>
              </w:rPr>
            </w:pPr>
            <w:r w:rsidRPr="003507A6">
              <w:rPr>
                <w:rFonts w:ascii="Cambria" w:hAnsi="Cambria"/>
                <w:b/>
                <w:color w:val="000000"/>
                <w:sz w:val="20"/>
              </w:rPr>
              <w:t xml:space="preserve">Estimated length of the negotiation phase: </w:t>
            </w:r>
            <w:r w:rsidRPr="003507A6">
              <w:rPr>
                <w:rFonts w:ascii="Cambria" w:hAnsi="Cambria"/>
                <w:color w:val="000000"/>
                <w:sz w:val="20"/>
              </w:rPr>
              <w:t>9 months</w:t>
            </w:r>
          </w:p>
          <w:p w14:paraId="3C2B606D" w14:textId="77777777" w:rsidR="008646A9" w:rsidRPr="003507A6" w:rsidRDefault="008646A9" w:rsidP="008646A9">
            <w:pPr>
              <w:tabs>
                <w:tab w:val="left" w:pos="9270"/>
              </w:tabs>
              <w:jc w:val="both"/>
              <w:rPr>
                <w:rFonts w:ascii="Cambria" w:eastAsia="Batang" w:hAnsi="Cambria"/>
                <w:color w:val="000000"/>
                <w:sz w:val="20"/>
                <w:szCs w:val="20"/>
              </w:rPr>
            </w:pPr>
            <w:r w:rsidRPr="003507A6">
              <w:rPr>
                <w:rFonts w:ascii="Cambria" w:hAnsi="Cambria"/>
                <w:b/>
                <w:color w:val="000000"/>
                <w:sz w:val="20"/>
              </w:rPr>
              <w:t>Related Rapporteurship (s):</w:t>
            </w:r>
            <w:r w:rsidRPr="003507A6">
              <w:rPr>
                <w:rFonts w:ascii="Cambria" w:hAnsi="Cambria"/>
                <w:color w:val="000000"/>
                <w:sz w:val="20"/>
              </w:rPr>
              <w:t xml:space="preserve"> Rapporteurship on the Rights of Women </w:t>
            </w:r>
          </w:p>
          <w:p w14:paraId="671F113C" w14:textId="77777777" w:rsidR="008646A9" w:rsidRPr="003507A6" w:rsidRDefault="008646A9" w:rsidP="008646A9">
            <w:pPr>
              <w:tabs>
                <w:tab w:val="left" w:pos="9270"/>
              </w:tabs>
              <w:jc w:val="both"/>
              <w:rPr>
                <w:rFonts w:ascii="Cambria" w:eastAsia="Batang" w:hAnsi="Cambria"/>
                <w:color w:val="000000"/>
                <w:sz w:val="20"/>
                <w:szCs w:val="20"/>
              </w:rPr>
            </w:pPr>
            <w:r w:rsidRPr="003507A6">
              <w:rPr>
                <w:rFonts w:ascii="Cambria" w:hAnsi="Cambria"/>
                <w:b/>
                <w:color w:val="000000"/>
                <w:sz w:val="20"/>
              </w:rPr>
              <w:t xml:space="preserve">Topics: </w:t>
            </w:r>
            <w:r w:rsidRPr="003507A6">
              <w:rPr>
                <w:rFonts w:ascii="Cambria" w:hAnsi="Cambria"/>
                <w:color w:val="000000"/>
                <w:sz w:val="20"/>
              </w:rPr>
              <w:t>Right to life/ Judicial guarantees/ Investigation and due diligence/ Judicial protection/ Terrorism and human rights/ Gender-based violence</w:t>
            </w:r>
          </w:p>
          <w:p w14:paraId="2DE50A42" w14:textId="77777777" w:rsidR="008646A9" w:rsidRPr="003507A6" w:rsidRDefault="008646A9" w:rsidP="008646A9">
            <w:pPr>
              <w:tabs>
                <w:tab w:val="left" w:pos="9270"/>
              </w:tabs>
              <w:jc w:val="both"/>
              <w:rPr>
                <w:rFonts w:ascii="Cambria" w:eastAsia="Batang" w:hAnsi="Cambria"/>
                <w:color w:val="000000"/>
                <w:sz w:val="20"/>
                <w:szCs w:val="20"/>
              </w:rPr>
            </w:pPr>
          </w:p>
          <w:p w14:paraId="46C74930" w14:textId="77777777" w:rsidR="008646A9" w:rsidRPr="003507A6" w:rsidRDefault="008646A9" w:rsidP="008646A9">
            <w:pPr>
              <w:tabs>
                <w:tab w:val="left" w:pos="9270"/>
              </w:tabs>
              <w:jc w:val="both"/>
              <w:rPr>
                <w:rFonts w:ascii="Cambria" w:hAnsi="Cambria"/>
                <w:sz w:val="20"/>
                <w:szCs w:val="20"/>
              </w:rPr>
            </w:pPr>
            <w:r w:rsidRPr="003507A6">
              <w:rPr>
                <w:rFonts w:ascii="Cambria" w:hAnsi="Cambria"/>
                <w:b/>
                <w:color w:val="000000"/>
                <w:sz w:val="20"/>
              </w:rPr>
              <w:t>Facts:</w:t>
            </w:r>
            <w:r w:rsidRPr="003507A6">
              <w:rPr>
                <w:rFonts w:ascii="Cambria" w:hAnsi="Cambria"/>
                <w:color w:val="000000"/>
                <w:sz w:val="20"/>
              </w:rPr>
              <w:t xml:space="preserve"> On December 21, 2007, the IACHR received a petition in which the petitioner alleged that Mrs. Amira Guzmán had been murdered in an area besieged by guerrilla groups and that, at the time, was a hub of violence.</w:t>
            </w:r>
            <w:r w:rsidRPr="003507A6">
              <w:rPr>
                <w:rFonts w:ascii="Cambria" w:hAnsi="Cambria"/>
                <w:sz w:val="20"/>
              </w:rPr>
              <w:t xml:space="preserve"> The petitioner indicated that Mrs. Guzmán sold household supplies and cattle to segments of the population living in the Municipality of Florencia in the Department of Caquetá, so that her usual form of transport was a motorized canoe on the Orteguaza River, between Puerto Remolinos and Puerto Arango. The petitioner told how, on October 4, 1988, while she was working, three unknown men dragged her out of her boat and kidnapped her. Three days later her body had been found near the Orteguaza River. According to the petitioner, the alleged victim had stones tied to her body to prevent it from floating and it proved very difficult to identify her because they had tossed acid on her face, head, feet, and hands, so that her family was only able to recognize her by her clothes and bodily features. The petitioner pointed out that the autopsy showed that the absence of muscles and skin tissue was due to the application of an acid and that the probable cause of death had been strangling. According to the petitioners, on January 10 and October 4, 2006, when they were old enough to do so, the alleged victim's children filed to petitions before the Office of the Attorney General (FGN), requesting information and a copy of the file.  The petitioning party argued that as of the date on which the petition was filed with the IACHR no investigation had been conducted into what happened and those responsible had not been punished. </w:t>
            </w:r>
          </w:p>
          <w:p w14:paraId="664F8DA7" w14:textId="77777777" w:rsidR="008646A9" w:rsidRPr="003507A6" w:rsidRDefault="008646A9" w:rsidP="008646A9">
            <w:pPr>
              <w:tabs>
                <w:tab w:val="left" w:pos="9270"/>
              </w:tabs>
              <w:jc w:val="both"/>
              <w:rPr>
                <w:rFonts w:ascii="Cambria" w:hAnsi="Cambria"/>
                <w:sz w:val="20"/>
                <w:szCs w:val="20"/>
              </w:rPr>
            </w:pPr>
          </w:p>
          <w:p w14:paraId="2ADA2413" w14:textId="16B837C0" w:rsidR="00EE2B3B" w:rsidRPr="003F7365" w:rsidRDefault="008646A9" w:rsidP="008646A9">
            <w:pPr>
              <w:pStyle w:val="NoSpacing"/>
              <w:tabs>
                <w:tab w:val="left" w:pos="9270"/>
              </w:tabs>
              <w:jc w:val="both"/>
              <w:rPr>
                <w:rFonts w:ascii="Cambria" w:hAnsi="Cambria"/>
                <w:color w:val="000000"/>
                <w:sz w:val="20"/>
                <w:szCs w:val="20"/>
              </w:rPr>
            </w:pPr>
            <w:r w:rsidRPr="003507A6">
              <w:rPr>
                <w:rFonts w:ascii="Cambria" w:hAnsi="Cambria"/>
                <w:b/>
                <w:color w:val="000000"/>
                <w:sz w:val="20"/>
              </w:rPr>
              <w:t>Rights declared admissible:</w:t>
            </w:r>
            <w:r w:rsidRPr="003507A6">
              <w:t xml:space="preserve"> </w:t>
            </w:r>
            <w:r w:rsidRPr="003507A6">
              <w:rPr>
                <w:rFonts w:ascii="Cambria" w:hAnsi="Cambria"/>
                <w:sz w:val="20"/>
              </w:rPr>
              <w:t>The IACHR declared the petition admissible in Admissibility Report No. 180/18, in which it concluded that it was competent to examine the alleged violation of the rights embodied in Articles 4 (right to life), 5 (right to personal integrity), 8 (judicial guarantees), 24 (equality before the law), and 25 (judicial protection) of the American Convention on Human Rights in conjunction with Article 1.1 thereof. The Commission also declared the petition admissible in respect of the alleged violation of Article 7 of the Convention of Belém do Pará and Articles 1, 6, and 8of the Inter-American Convention to Prevent and Punish Torture.</w:t>
            </w:r>
          </w:p>
        </w:tc>
      </w:tr>
    </w:tbl>
    <w:p w14:paraId="4EBF1FC0" w14:textId="77777777" w:rsidR="00EE2B3B" w:rsidRPr="003F7365" w:rsidRDefault="00EE2B3B" w:rsidP="00EE2B3B">
      <w:pPr>
        <w:pStyle w:val="ListParagraph"/>
        <w:rPr>
          <w:rFonts w:ascii="Cambria" w:hAnsi="Cambria" w:cs="Calibri Light"/>
          <w:b/>
          <w:color w:val="000000"/>
          <w:sz w:val="20"/>
          <w:szCs w:val="20"/>
        </w:rPr>
      </w:pPr>
    </w:p>
    <w:p w14:paraId="1531F314" w14:textId="77777777" w:rsidR="00EE2B3B" w:rsidRPr="003F7365" w:rsidRDefault="00EE2B3B" w:rsidP="00F84B42">
      <w:pPr>
        <w:pStyle w:val="ListParagraph"/>
        <w:numPr>
          <w:ilvl w:val="0"/>
          <w:numId w:val="1"/>
        </w:numPr>
        <w:ind w:left="0" w:firstLine="720"/>
        <w:rPr>
          <w:rFonts w:ascii="Cambria" w:hAnsi="Cambria" w:cs="Calibri Light"/>
          <w:b/>
          <w:color w:val="000000"/>
          <w:sz w:val="20"/>
          <w:szCs w:val="20"/>
        </w:rPr>
      </w:pPr>
      <w:r w:rsidRPr="003F7365">
        <w:rPr>
          <w:rFonts w:ascii="Cambria" w:hAnsi="Cambria"/>
          <w:b/>
          <w:color w:val="000000"/>
          <w:sz w:val="20"/>
          <w:szCs w:val="20"/>
        </w:rPr>
        <w:t>PROCEDURAL ACTIVITY</w:t>
      </w:r>
    </w:p>
    <w:p w14:paraId="3846F014" w14:textId="77777777" w:rsidR="00EE2B3B" w:rsidRPr="003F7365" w:rsidRDefault="00EE2B3B" w:rsidP="00F84B42">
      <w:pPr>
        <w:pStyle w:val="ListParagraph"/>
        <w:ind w:left="0" w:firstLine="720"/>
        <w:rPr>
          <w:rFonts w:ascii="Cambria" w:hAnsi="Cambria" w:cs="Calibri Light"/>
          <w:b/>
          <w:color w:val="000000"/>
          <w:sz w:val="20"/>
          <w:szCs w:val="20"/>
        </w:rPr>
      </w:pPr>
    </w:p>
    <w:p w14:paraId="163579AD" w14:textId="32B32243" w:rsidR="00EE2B3B" w:rsidRDefault="00EE2B3B" w:rsidP="00F84B42">
      <w:pPr>
        <w:numPr>
          <w:ilvl w:val="0"/>
          <w:numId w:val="2"/>
        </w:numPr>
        <w:ind w:left="0" w:firstLine="720"/>
        <w:jc w:val="both"/>
        <w:rPr>
          <w:rFonts w:ascii="Cambria" w:hAnsi="Cambria"/>
          <w:color w:val="000000"/>
          <w:sz w:val="20"/>
          <w:szCs w:val="20"/>
        </w:rPr>
      </w:pPr>
      <w:r>
        <w:rPr>
          <w:rFonts w:ascii="Cambria" w:hAnsi="Cambria"/>
          <w:color w:val="000000"/>
          <w:sz w:val="20"/>
          <w:szCs w:val="20"/>
        </w:rPr>
        <w:t xml:space="preserve">On </w:t>
      </w:r>
      <w:r w:rsidR="008646A9" w:rsidRPr="003507A6">
        <w:rPr>
          <w:rFonts w:ascii="Cambria" w:hAnsi="Cambria"/>
          <w:color w:val="000000"/>
          <w:sz w:val="20"/>
        </w:rPr>
        <w:t>November 5, 2014</w:t>
      </w:r>
      <w:r>
        <w:rPr>
          <w:rFonts w:ascii="Cambria" w:hAnsi="Cambria"/>
          <w:color w:val="000000"/>
          <w:sz w:val="20"/>
          <w:szCs w:val="20"/>
        </w:rPr>
        <w:t xml:space="preserve">, </w:t>
      </w:r>
      <w:r w:rsidRPr="00EE2B3B">
        <w:rPr>
          <w:rFonts w:ascii="Cambria" w:hAnsi="Cambria"/>
          <w:color w:val="000000"/>
          <w:sz w:val="20"/>
          <w:szCs w:val="20"/>
        </w:rPr>
        <w:t>the parties signed a friendly settlement agreement.</w:t>
      </w:r>
    </w:p>
    <w:p w14:paraId="7E9E5C89" w14:textId="77777777" w:rsidR="00EE2B3B" w:rsidRPr="00EE2B3B" w:rsidRDefault="00EE2B3B" w:rsidP="00F84B42">
      <w:pPr>
        <w:ind w:firstLine="720"/>
        <w:jc w:val="both"/>
        <w:rPr>
          <w:rFonts w:ascii="Cambria" w:hAnsi="Cambria"/>
          <w:color w:val="000000"/>
          <w:sz w:val="20"/>
          <w:szCs w:val="20"/>
        </w:rPr>
      </w:pPr>
    </w:p>
    <w:p w14:paraId="1474F062" w14:textId="58820F51" w:rsidR="00EE2B3B" w:rsidRPr="003F7365" w:rsidRDefault="00EE2B3B" w:rsidP="00F84B42">
      <w:pPr>
        <w:numPr>
          <w:ilvl w:val="0"/>
          <w:numId w:val="2"/>
        </w:numPr>
        <w:ind w:left="0" w:firstLine="720"/>
        <w:jc w:val="both"/>
        <w:rPr>
          <w:rFonts w:ascii="Cambria" w:hAnsi="Cambria" w:cs="Calibri Light"/>
          <w:color w:val="000000"/>
          <w:sz w:val="20"/>
          <w:szCs w:val="20"/>
        </w:rPr>
      </w:pPr>
      <w:r w:rsidRPr="00EE2B3B">
        <w:rPr>
          <w:rFonts w:ascii="Cambria" w:hAnsi="Cambria"/>
          <w:color w:val="000000"/>
          <w:sz w:val="20"/>
          <w:szCs w:val="20"/>
        </w:rPr>
        <w:t xml:space="preserve">On </w:t>
      </w:r>
      <w:r w:rsidR="008646A9" w:rsidRPr="003507A6">
        <w:rPr>
          <w:rFonts w:ascii="Cambria" w:hAnsi="Cambria"/>
          <w:color w:val="000000"/>
          <w:sz w:val="20"/>
        </w:rPr>
        <w:t>April 13, 2020</w:t>
      </w:r>
      <w:r w:rsidRPr="00EE2B3B">
        <w:rPr>
          <w:rFonts w:ascii="Cambria" w:hAnsi="Cambria"/>
          <w:color w:val="000000"/>
          <w:sz w:val="20"/>
          <w:szCs w:val="20"/>
        </w:rPr>
        <w:t>, the Commission approved the agreement signed by the parties, by means of Report No.</w:t>
      </w:r>
      <w:r>
        <w:rPr>
          <w:rFonts w:ascii="Cambria" w:hAnsi="Cambria"/>
          <w:color w:val="000000"/>
          <w:sz w:val="20"/>
          <w:szCs w:val="20"/>
        </w:rPr>
        <w:t xml:space="preserve"> </w:t>
      </w:r>
      <w:r w:rsidR="008646A9">
        <w:rPr>
          <w:rFonts w:ascii="Cambria" w:hAnsi="Cambria"/>
          <w:color w:val="000000"/>
          <w:sz w:val="20"/>
          <w:szCs w:val="20"/>
        </w:rPr>
        <w:t>21/20</w:t>
      </w:r>
      <w:r w:rsidRPr="003F7365">
        <w:rPr>
          <w:rFonts w:ascii="Cambria" w:hAnsi="Cambria" w:cs="Calibri Light"/>
          <w:color w:val="000000"/>
          <w:sz w:val="20"/>
          <w:szCs w:val="20"/>
        </w:rPr>
        <w:t>.</w:t>
      </w:r>
    </w:p>
    <w:p w14:paraId="516953C5" w14:textId="77777777" w:rsidR="00EE2B3B" w:rsidRPr="003F7365" w:rsidRDefault="00EE2B3B" w:rsidP="00EE2B3B">
      <w:pPr>
        <w:ind w:left="720"/>
        <w:rPr>
          <w:rFonts w:ascii="Cambria" w:hAnsi="Cambria" w:cs="Calibri Light"/>
          <w:color w:val="000000"/>
          <w:sz w:val="20"/>
          <w:szCs w:val="20"/>
        </w:rPr>
      </w:pPr>
    </w:p>
    <w:p w14:paraId="50BF87C1"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bCs/>
          <w:color w:val="000000"/>
          <w:sz w:val="20"/>
          <w:szCs w:val="20"/>
        </w:rPr>
        <w:t xml:space="preserve">ANALYSIS OF COMPLIANCE WITH THE CLAUSES OF THE FRIENDLY SETTLEMENT AGREEMENT </w:t>
      </w:r>
    </w:p>
    <w:p w14:paraId="5EC7D320" w14:textId="77777777" w:rsidR="00EE2B3B" w:rsidRPr="003F7365" w:rsidRDefault="00EE2B3B" w:rsidP="00EE2B3B">
      <w:pPr>
        <w:pStyle w:val="ListParagraph"/>
        <w:jc w:val="both"/>
        <w:rPr>
          <w:rFonts w:ascii="Cambria" w:hAnsi="Cambria" w:cs="Calibri Light"/>
          <w:b/>
          <w:color w:val="000000"/>
          <w:sz w:val="20"/>
          <w:szCs w:val="20"/>
        </w:rPr>
      </w:pPr>
    </w:p>
    <w:tbl>
      <w:tblPr>
        <w:tblpPr w:leftFromText="180" w:rightFromText="180" w:vertAnchor="text" w:tblpX="-34" w:tblpY="1"/>
        <w:tblOverlap w:val="neve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5"/>
        <w:gridCol w:w="1802"/>
      </w:tblGrid>
      <w:tr w:rsidR="005A5A31" w:rsidRPr="003507A6" w14:paraId="3BC3C69E" w14:textId="77777777" w:rsidTr="001077C0">
        <w:trPr>
          <w:trHeight w:val="1079"/>
        </w:trPr>
        <w:tc>
          <w:tcPr>
            <w:tcW w:w="8005" w:type="dxa"/>
            <w:shd w:val="clear" w:color="auto" w:fill="D9D9D9"/>
            <w:vAlign w:val="center"/>
            <w:hideMark/>
          </w:tcPr>
          <w:p w14:paraId="678A4D71" w14:textId="77777777" w:rsidR="005A5A31" w:rsidRPr="003507A6" w:rsidRDefault="005A5A31" w:rsidP="001077C0">
            <w:pPr>
              <w:tabs>
                <w:tab w:val="center" w:pos="2049"/>
              </w:tabs>
              <w:jc w:val="center"/>
              <w:rPr>
                <w:rFonts w:ascii="Cambria" w:eastAsia="Batang" w:hAnsi="Cambria"/>
                <w:b/>
                <w:color w:val="000000"/>
                <w:sz w:val="20"/>
                <w:szCs w:val="20"/>
              </w:rPr>
            </w:pPr>
            <w:r w:rsidRPr="003507A6">
              <w:rPr>
                <w:rFonts w:ascii="Cambria" w:hAnsi="Cambria"/>
                <w:b/>
                <w:color w:val="000000"/>
                <w:sz w:val="20"/>
              </w:rPr>
              <w:t>Agreement clause</w:t>
            </w:r>
          </w:p>
        </w:tc>
        <w:tc>
          <w:tcPr>
            <w:tcW w:w="1802" w:type="dxa"/>
            <w:shd w:val="clear" w:color="auto" w:fill="D9D9D9"/>
            <w:vAlign w:val="center"/>
            <w:hideMark/>
          </w:tcPr>
          <w:p w14:paraId="3FC9CCD4" w14:textId="77777777" w:rsidR="005A5A31" w:rsidRPr="003507A6" w:rsidRDefault="005A5A31" w:rsidP="001077C0">
            <w:pPr>
              <w:jc w:val="center"/>
              <w:rPr>
                <w:rFonts w:ascii="Cambria" w:eastAsia="Batang" w:hAnsi="Cambria"/>
                <w:b/>
                <w:color w:val="000000"/>
                <w:sz w:val="20"/>
                <w:szCs w:val="20"/>
              </w:rPr>
            </w:pPr>
            <w:r w:rsidRPr="003507A6">
              <w:rPr>
                <w:rFonts w:ascii="Cambria" w:hAnsi="Cambria"/>
                <w:b/>
                <w:color w:val="000000"/>
                <w:sz w:val="20"/>
              </w:rPr>
              <w:t>Status of compliance</w:t>
            </w:r>
          </w:p>
        </w:tc>
      </w:tr>
      <w:tr w:rsidR="005A5A31" w:rsidRPr="003507A6" w14:paraId="7159CE0F" w14:textId="77777777" w:rsidTr="001077C0">
        <w:trPr>
          <w:trHeight w:val="287"/>
        </w:trPr>
        <w:tc>
          <w:tcPr>
            <w:tcW w:w="8005" w:type="dxa"/>
          </w:tcPr>
          <w:p w14:paraId="60A780ED" w14:textId="77777777" w:rsidR="005A5A31" w:rsidRPr="003507A6" w:rsidRDefault="005A5A31" w:rsidP="001077C0">
            <w:pPr>
              <w:tabs>
                <w:tab w:val="left" w:pos="3921"/>
              </w:tabs>
              <w:ind w:right="69"/>
              <w:jc w:val="both"/>
              <w:rPr>
                <w:rFonts w:ascii="Cambria" w:eastAsia="Times New Roman" w:hAnsi="Cambria"/>
                <w:b/>
                <w:color w:val="000000"/>
                <w:sz w:val="20"/>
                <w:szCs w:val="20"/>
              </w:rPr>
            </w:pPr>
            <w:r w:rsidRPr="003507A6">
              <w:rPr>
                <w:rFonts w:ascii="Cambria" w:hAnsi="Cambria"/>
                <w:b/>
                <w:color w:val="000000"/>
                <w:sz w:val="20"/>
              </w:rPr>
              <w:t>FIRST: ACKNOWLEDGMENT OF RESPONSIBILITY</w:t>
            </w:r>
          </w:p>
          <w:p w14:paraId="1509E2A9" w14:textId="77777777" w:rsidR="005A5A31" w:rsidRPr="003507A6" w:rsidRDefault="005A5A31" w:rsidP="001077C0">
            <w:pPr>
              <w:tabs>
                <w:tab w:val="left" w:pos="3921"/>
              </w:tabs>
              <w:ind w:right="69"/>
              <w:jc w:val="both"/>
              <w:rPr>
                <w:rFonts w:ascii="Cambria" w:eastAsia="Times New Roman" w:hAnsi="Cambria"/>
                <w:b/>
                <w:color w:val="000000"/>
                <w:sz w:val="20"/>
                <w:szCs w:val="20"/>
              </w:rPr>
            </w:pPr>
          </w:p>
          <w:p w14:paraId="374929B6" w14:textId="77777777" w:rsidR="005A5A31" w:rsidRPr="003507A6" w:rsidRDefault="005A5A31" w:rsidP="001077C0">
            <w:pPr>
              <w:tabs>
                <w:tab w:val="left" w:pos="3921"/>
              </w:tabs>
              <w:ind w:right="69"/>
              <w:jc w:val="both"/>
              <w:rPr>
                <w:rFonts w:ascii="Cambria" w:eastAsia="Times New Roman" w:hAnsi="Cambria"/>
                <w:bCs/>
                <w:color w:val="000000"/>
                <w:sz w:val="20"/>
                <w:szCs w:val="20"/>
              </w:rPr>
            </w:pPr>
            <w:r w:rsidRPr="003507A6">
              <w:rPr>
                <w:rFonts w:ascii="Cambria" w:hAnsi="Cambria"/>
                <w:sz w:val="20"/>
              </w:rPr>
              <w:t>The Colombian State acknowledges international responsibility for the violation of Article 8 (right to judicial guarantees) and Article 25 (right to judicial protection) of the American Convention on Human Rights to the detriment of family members of the victim, for lack of diligence in investigating deeds that occurred on October 4, 1988, in which Mrs. Amira Guzmán de Alonso died.</w:t>
            </w:r>
          </w:p>
        </w:tc>
        <w:tc>
          <w:tcPr>
            <w:tcW w:w="1802" w:type="dxa"/>
            <w:vAlign w:val="center"/>
          </w:tcPr>
          <w:p w14:paraId="0CD20D6D"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Declarative clause</w:t>
            </w:r>
          </w:p>
        </w:tc>
      </w:tr>
      <w:tr w:rsidR="005A5A31" w:rsidRPr="003507A6" w14:paraId="3A670608" w14:textId="77777777" w:rsidTr="001077C0">
        <w:trPr>
          <w:trHeight w:val="287"/>
        </w:trPr>
        <w:tc>
          <w:tcPr>
            <w:tcW w:w="8005" w:type="dxa"/>
          </w:tcPr>
          <w:p w14:paraId="1D430FE2" w14:textId="77777777" w:rsidR="005A5A31" w:rsidRPr="003507A6" w:rsidRDefault="005A5A31" w:rsidP="001077C0">
            <w:pPr>
              <w:tabs>
                <w:tab w:val="left" w:pos="3921"/>
              </w:tabs>
              <w:ind w:right="69"/>
              <w:jc w:val="both"/>
              <w:rPr>
                <w:rFonts w:ascii="Cambria" w:hAnsi="Cambria"/>
                <w:b/>
                <w:sz w:val="20"/>
                <w:szCs w:val="20"/>
              </w:rPr>
            </w:pPr>
            <w:r w:rsidRPr="003507A6">
              <w:rPr>
                <w:rFonts w:ascii="Cambria" w:hAnsi="Cambria"/>
                <w:b/>
                <w:sz w:val="20"/>
              </w:rPr>
              <w:t>SECOND: DISCONTINUANCE OF THE DIRECT REPARATION SUIT</w:t>
            </w:r>
          </w:p>
          <w:p w14:paraId="30C52373" w14:textId="77777777" w:rsidR="005A5A31" w:rsidRPr="003507A6" w:rsidRDefault="005A5A31" w:rsidP="001077C0">
            <w:pPr>
              <w:tabs>
                <w:tab w:val="left" w:pos="3921"/>
              </w:tabs>
              <w:ind w:right="69"/>
              <w:jc w:val="both"/>
              <w:rPr>
                <w:rFonts w:ascii="Cambria" w:hAnsi="Cambria"/>
                <w:sz w:val="20"/>
                <w:szCs w:val="20"/>
              </w:rPr>
            </w:pPr>
          </w:p>
          <w:p w14:paraId="15EDBE28" w14:textId="77777777" w:rsidR="005A5A31" w:rsidRPr="003507A6" w:rsidRDefault="005A5A31" w:rsidP="001077C0">
            <w:pPr>
              <w:tabs>
                <w:tab w:val="left" w:pos="3921"/>
              </w:tabs>
              <w:ind w:right="69"/>
              <w:jc w:val="both"/>
              <w:rPr>
                <w:rFonts w:ascii="Cambria" w:eastAsia="Times New Roman" w:hAnsi="Cambria"/>
                <w:b/>
                <w:color w:val="000000"/>
                <w:sz w:val="20"/>
                <w:szCs w:val="20"/>
              </w:rPr>
            </w:pPr>
            <w:r w:rsidRPr="003507A6">
              <w:rPr>
                <w:rFonts w:ascii="Cambria" w:hAnsi="Cambria"/>
                <w:sz w:val="20"/>
              </w:rPr>
              <w:t>In view of the signing of the present friendly settlement agreement by the Colombian State and the representatives of the victims, the petitioners commit to discontinue Direct Reparation Suit No. 18001233100020110040901 being processed on first appeal by the Council of State, Section Three. They also expressly waive filing any other domestic lawsuit on account of the same facts and for the same claims.</w:t>
            </w:r>
          </w:p>
        </w:tc>
        <w:tc>
          <w:tcPr>
            <w:tcW w:w="1802" w:type="dxa"/>
            <w:vAlign w:val="center"/>
          </w:tcPr>
          <w:p w14:paraId="5CA4D407"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Declarative clause</w:t>
            </w:r>
          </w:p>
        </w:tc>
      </w:tr>
      <w:tr w:rsidR="005A5A31" w:rsidRPr="003507A6" w14:paraId="68498F79" w14:textId="77777777" w:rsidTr="001077C0">
        <w:trPr>
          <w:trHeight w:val="197"/>
        </w:trPr>
        <w:tc>
          <w:tcPr>
            <w:tcW w:w="9807" w:type="dxa"/>
            <w:gridSpan w:val="2"/>
          </w:tcPr>
          <w:p w14:paraId="1D5F338E" w14:textId="77777777" w:rsidR="005A5A31" w:rsidRPr="003507A6" w:rsidRDefault="005A5A31" w:rsidP="001077C0">
            <w:pPr>
              <w:rPr>
                <w:rFonts w:ascii="Cambria" w:eastAsia="Batang" w:hAnsi="Cambria"/>
                <w:b/>
                <w:bCs/>
                <w:color w:val="000000"/>
                <w:sz w:val="20"/>
                <w:szCs w:val="20"/>
              </w:rPr>
            </w:pPr>
            <w:r w:rsidRPr="003507A6">
              <w:rPr>
                <w:rFonts w:ascii="Cambria" w:hAnsi="Cambria"/>
                <w:b/>
                <w:color w:val="000000"/>
                <w:sz w:val="20"/>
              </w:rPr>
              <w:t>THIRD: MEASURES OF SATISFACTION</w:t>
            </w:r>
          </w:p>
        </w:tc>
      </w:tr>
      <w:tr w:rsidR="005A5A31" w:rsidRPr="003507A6" w14:paraId="0EC55A36" w14:textId="77777777" w:rsidTr="001077C0">
        <w:trPr>
          <w:trHeight w:val="503"/>
        </w:trPr>
        <w:tc>
          <w:tcPr>
            <w:tcW w:w="8005" w:type="dxa"/>
          </w:tcPr>
          <w:p w14:paraId="6911FA55" w14:textId="77777777" w:rsidR="005A5A31" w:rsidRPr="003507A6" w:rsidRDefault="005A5A31" w:rsidP="001077C0">
            <w:pPr>
              <w:ind w:right="72"/>
              <w:jc w:val="both"/>
              <w:rPr>
                <w:rFonts w:ascii="Cambria" w:eastAsia="Times New Roman" w:hAnsi="Cambria"/>
                <w:bCs/>
                <w:color w:val="000000"/>
                <w:kern w:val="36"/>
                <w:sz w:val="20"/>
                <w:szCs w:val="20"/>
              </w:rPr>
            </w:pPr>
            <w:r w:rsidRPr="003507A6">
              <w:rPr>
                <w:rFonts w:ascii="Cambria" w:hAnsi="Cambria"/>
                <w:b/>
                <w:sz w:val="20"/>
              </w:rPr>
              <w:t>A)</w:t>
            </w:r>
            <w:r w:rsidRPr="003507A6">
              <w:rPr>
                <w:rFonts w:ascii="Cambria" w:hAnsi="Cambria"/>
                <w:sz w:val="20"/>
              </w:rPr>
              <w:t xml:space="preserve">  </w:t>
            </w:r>
            <w:r w:rsidRPr="003507A6">
              <w:rPr>
                <w:rFonts w:ascii="Cambria" w:hAnsi="Cambria"/>
                <w:b/>
                <w:sz w:val="20"/>
              </w:rPr>
              <w:t>Holding a ceremony of acknowledgment of responsibility and public apology in the municipality of  Puerto Rico Caquetá, conducted by a senior National Government official.</w:t>
            </w:r>
            <w:r w:rsidRPr="003507A6">
              <w:rPr>
                <w:rFonts w:ascii="Cambria" w:hAnsi="Cambria"/>
                <w:sz w:val="20"/>
              </w:rPr>
              <w:t xml:space="preserve"> The ceremony in which the State acknowledges its responsibility shall include active participation by family members and representatives of the victims. In that ceremony, the State shall acknowledge its responsibility in the terms agreed to in this Agreement. The Office of the Presidential Adviser on Human Rights and International Affairs shall be responsible for implementing this measure.</w:t>
            </w:r>
          </w:p>
        </w:tc>
        <w:tc>
          <w:tcPr>
            <w:tcW w:w="1802" w:type="dxa"/>
            <w:vAlign w:val="center"/>
          </w:tcPr>
          <w:p w14:paraId="71BD85DD"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t xml:space="preserve"> </w:t>
            </w:r>
            <w:r w:rsidRPr="003507A6">
              <w:rPr>
                <w:rStyle w:val="FootnoteReference"/>
                <w:rFonts w:ascii="Cambria" w:hAnsi="Cambria"/>
                <w:b/>
                <w:color w:val="000000"/>
                <w:sz w:val="20"/>
              </w:rPr>
              <w:footnoteReference w:id="1"/>
            </w:r>
          </w:p>
        </w:tc>
      </w:tr>
      <w:tr w:rsidR="005A5A31" w:rsidRPr="003507A6" w14:paraId="64C68158" w14:textId="77777777" w:rsidTr="001077C0">
        <w:trPr>
          <w:trHeight w:val="503"/>
        </w:trPr>
        <w:tc>
          <w:tcPr>
            <w:tcW w:w="8005" w:type="dxa"/>
          </w:tcPr>
          <w:p w14:paraId="442284E3" w14:textId="77777777" w:rsidR="005A5A31" w:rsidRPr="003507A6" w:rsidRDefault="005A5A31" w:rsidP="001077C0">
            <w:pPr>
              <w:ind w:right="72"/>
              <w:jc w:val="both"/>
              <w:rPr>
                <w:rFonts w:ascii="Cambria" w:hAnsi="Cambria"/>
                <w:sz w:val="20"/>
                <w:szCs w:val="20"/>
              </w:rPr>
            </w:pPr>
            <w:r w:rsidRPr="003507A6">
              <w:rPr>
                <w:rFonts w:ascii="Cambria" w:hAnsi="Cambria"/>
                <w:b/>
                <w:sz w:val="20"/>
              </w:rPr>
              <w:t>B)</w:t>
            </w:r>
            <w:r w:rsidRPr="003507A6">
              <w:rPr>
                <w:rFonts w:ascii="Cambria" w:hAnsi="Cambria"/>
                <w:sz w:val="20"/>
              </w:rPr>
              <w:t xml:space="preserve">  </w:t>
            </w:r>
            <w:r w:rsidRPr="003507A6">
              <w:rPr>
                <w:rFonts w:ascii="Cambria" w:hAnsi="Cambria"/>
                <w:b/>
                <w:sz w:val="20"/>
              </w:rPr>
              <w:t>Drawing up of a commemorative plaque</w:t>
            </w:r>
            <w:r w:rsidRPr="003507A6">
              <w:rPr>
                <w:rFonts w:ascii="Cambria" w:hAnsi="Cambria"/>
                <w:sz w:val="20"/>
              </w:rPr>
              <w:t xml:space="preserve"> Drawing up a plaque commemorating the life and legacy of Mrs. Amira Guzmán de Alonso, as a working woman promoting trade on the region's rivers. The words on the plaque and its location shall be agreed upon with the victims and their representatives.</w:t>
            </w:r>
          </w:p>
        </w:tc>
        <w:tc>
          <w:tcPr>
            <w:tcW w:w="1802" w:type="dxa"/>
            <w:vAlign w:val="center"/>
          </w:tcPr>
          <w:p w14:paraId="7B50C5F0"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Total</w:t>
            </w:r>
            <w:r w:rsidRPr="003507A6">
              <w:rPr>
                <w:rStyle w:val="FootnoteReference"/>
                <w:rFonts w:ascii="Cambria" w:hAnsi="Cambria"/>
                <w:b/>
                <w:color w:val="000000"/>
                <w:sz w:val="20"/>
              </w:rPr>
              <w:footnoteReference w:id="2"/>
            </w:r>
          </w:p>
        </w:tc>
      </w:tr>
      <w:tr w:rsidR="005A5A31" w:rsidRPr="003507A6" w14:paraId="3B48FC62" w14:textId="77777777" w:rsidTr="001077C0">
        <w:trPr>
          <w:trHeight w:val="503"/>
        </w:trPr>
        <w:tc>
          <w:tcPr>
            <w:tcW w:w="8005" w:type="dxa"/>
          </w:tcPr>
          <w:p w14:paraId="2E5D023C" w14:textId="77777777" w:rsidR="005A5A31" w:rsidRPr="003507A6" w:rsidRDefault="005A5A31" w:rsidP="001077C0">
            <w:pPr>
              <w:ind w:right="72"/>
              <w:jc w:val="both"/>
              <w:rPr>
                <w:rFonts w:ascii="Cambria" w:eastAsia="Times New Roman" w:hAnsi="Cambria"/>
                <w:bCs/>
                <w:color w:val="000000"/>
                <w:kern w:val="36"/>
                <w:sz w:val="20"/>
                <w:szCs w:val="20"/>
              </w:rPr>
            </w:pPr>
            <w:r w:rsidRPr="003507A6">
              <w:rPr>
                <w:rFonts w:ascii="Cambria" w:hAnsi="Cambria"/>
                <w:b/>
                <w:sz w:val="20"/>
              </w:rPr>
              <w:t xml:space="preserve">C) </w:t>
            </w:r>
            <w:r w:rsidRPr="003507A6">
              <w:rPr>
                <w:rFonts w:ascii="Cambria" w:hAnsi="Cambria"/>
                <w:sz w:val="20"/>
              </w:rPr>
              <w:t xml:space="preserve">  </w:t>
            </w:r>
            <w:r w:rsidRPr="003507A6">
              <w:rPr>
                <w:rFonts w:ascii="Cambria" w:hAnsi="Cambria"/>
                <w:b/>
                <w:sz w:val="20"/>
              </w:rPr>
              <w:t>Publication of the facts</w:t>
            </w:r>
            <w:r w:rsidRPr="003507A6">
              <w:rPr>
                <w:rFonts w:ascii="Cambria" w:hAnsi="Cambria"/>
                <w:sz w:val="20"/>
              </w:rPr>
              <w:t xml:space="preserve"> The Colombian State commits to posting the report issued by the Inter-American Commission on Human Rights pursuant to Article 49 of the American Convention that approves the final friendly settlement agreement on the web pages of the Offices of the Presidential Advisor for Human Rights and International Affairs and the National Legal Defense Agency of the State.</w:t>
            </w:r>
          </w:p>
        </w:tc>
        <w:tc>
          <w:tcPr>
            <w:tcW w:w="1802" w:type="dxa"/>
            <w:vAlign w:val="center"/>
          </w:tcPr>
          <w:p w14:paraId="412B758A"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Total</w:t>
            </w:r>
            <w:r w:rsidRPr="003507A6">
              <w:rPr>
                <w:rStyle w:val="FootnoteReference"/>
                <w:rFonts w:ascii="Cambria" w:eastAsia="Batang" w:hAnsi="Cambria"/>
                <w:b/>
                <w:bCs/>
                <w:color w:val="000000"/>
                <w:sz w:val="20"/>
                <w:szCs w:val="20"/>
              </w:rPr>
              <w:footnoteReference w:id="3"/>
            </w:r>
          </w:p>
        </w:tc>
      </w:tr>
      <w:tr w:rsidR="005A5A31" w:rsidRPr="003507A6" w14:paraId="03A65AF1" w14:textId="77777777" w:rsidTr="001077C0">
        <w:trPr>
          <w:trHeight w:val="1970"/>
        </w:trPr>
        <w:tc>
          <w:tcPr>
            <w:tcW w:w="8005" w:type="dxa"/>
          </w:tcPr>
          <w:p w14:paraId="7A071FDA" w14:textId="77777777" w:rsidR="005A5A31" w:rsidRPr="003507A6" w:rsidRDefault="005A5A31" w:rsidP="001077C0">
            <w:pPr>
              <w:ind w:right="72"/>
              <w:jc w:val="both"/>
              <w:rPr>
                <w:rFonts w:ascii="Cambria" w:hAnsi="Cambria"/>
                <w:sz w:val="20"/>
                <w:szCs w:val="20"/>
              </w:rPr>
            </w:pPr>
            <w:r w:rsidRPr="003507A6">
              <w:rPr>
                <w:rFonts w:ascii="Cambria" w:hAnsi="Cambria"/>
                <w:b/>
                <w:color w:val="000000"/>
                <w:sz w:val="20"/>
              </w:rPr>
              <w:lastRenderedPageBreak/>
              <w:t>FOURTH: FINANCIAL COMPENSATION</w:t>
            </w:r>
            <w:r w:rsidRPr="003507A6">
              <w:rPr>
                <w:rFonts w:ascii="Cambria" w:hAnsi="Cambria"/>
                <w:sz w:val="20"/>
              </w:rPr>
              <w:t xml:space="preserve"> </w:t>
            </w:r>
          </w:p>
          <w:p w14:paraId="7E5DEFBE" w14:textId="77777777" w:rsidR="005A5A31" w:rsidRPr="003507A6" w:rsidRDefault="005A5A31" w:rsidP="001077C0">
            <w:pPr>
              <w:ind w:right="72"/>
              <w:jc w:val="both"/>
              <w:rPr>
                <w:rFonts w:ascii="Cambria" w:eastAsia="Times New Roman" w:hAnsi="Cambria"/>
                <w:bCs/>
                <w:color w:val="000000"/>
                <w:kern w:val="36"/>
                <w:sz w:val="20"/>
                <w:szCs w:val="20"/>
              </w:rPr>
            </w:pPr>
            <w:r w:rsidRPr="003507A6">
              <w:rPr>
                <w:rFonts w:ascii="Cambria" w:hAnsi="Cambria"/>
                <w:sz w:val="20"/>
              </w:rPr>
              <w:t>The State commits to applying Law 288 of 1996 once the present Friendly Settlement Agreement is approved by issuance of the report envisaged in Article 49 of the American Convention on Human Rights, its purpose being to provide reparation for such material and immaterial injuries as may be proven in favor of the victims' relatives that have not received compensation in the administrative jurisdiction, or, if they have, discounting the amounts recognized for administrative reparation. To that end, recourse shall be had to the criteria and amounts recognized in current Council of State case law.</w:t>
            </w:r>
          </w:p>
        </w:tc>
        <w:tc>
          <w:tcPr>
            <w:tcW w:w="1802" w:type="dxa"/>
            <w:vAlign w:val="center"/>
          </w:tcPr>
          <w:p w14:paraId="74C34E78" w14:textId="77777777" w:rsidR="005A5A31" w:rsidRPr="003507A6" w:rsidRDefault="005A5A31" w:rsidP="001077C0">
            <w:pPr>
              <w:jc w:val="center"/>
              <w:rPr>
                <w:rFonts w:ascii="Cambria" w:eastAsia="Batang" w:hAnsi="Cambria"/>
                <w:b/>
                <w:bCs/>
                <w:color w:val="000000"/>
                <w:sz w:val="20"/>
                <w:szCs w:val="20"/>
              </w:rPr>
            </w:pPr>
            <w:r w:rsidRPr="003507A6">
              <w:rPr>
                <w:rFonts w:ascii="Cambria" w:hAnsi="Cambria"/>
                <w:b/>
                <w:color w:val="000000"/>
                <w:sz w:val="20"/>
              </w:rPr>
              <w:t>Total</w:t>
            </w:r>
            <w:r>
              <w:rPr>
                <w:rStyle w:val="FootnoteReference"/>
                <w:rFonts w:ascii="Cambria" w:hAnsi="Cambria"/>
                <w:b/>
                <w:color w:val="000000"/>
                <w:sz w:val="20"/>
              </w:rPr>
              <w:footnoteReference w:id="4"/>
            </w:r>
          </w:p>
        </w:tc>
      </w:tr>
      <w:tr w:rsidR="005A5A31" w:rsidRPr="003507A6" w14:paraId="4E6C38D1" w14:textId="77777777" w:rsidTr="001077C0">
        <w:trPr>
          <w:trHeight w:val="701"/>
        </w:trPr>
        <w:tc>
          <w:tcPr>
            <w:tcW w:w="8005" w:type="dxa"/>
          </w:tcPr>
          <w:p w14:paraId="1FFB8115" w14:textId="77777777" w:rsidR="005A5A31" w:rsidRPr="003507A6" w:rsidRDefault="005A5A31" w:rsidP="001077C0">
            <w:pPr>
              <w:ind w:right="72"/>
              <w:jc w:val="both"/>
              <w:rPr>
                <w:rFonts w:ascii="Cambria" w:eastAsia="Arial" w:hAnsi="Cambria" w:cs="Arial"/>
                <w:b/>
                <w:sz w:val="20"/>
                <w:szCs w:val="20"/>
              </w:rPr>
            </w:pPr>
            <w:r w:rsidRPr="003507A6">
              <w:rPr>
                <w:rFonts w:ascii="Cambria" w:hAnsi="Cambria"/>
                <w:b/>
                <w:sz w:val="20"/>
              </w:rPr>
              <w:t>FIFTH:  APPROVAL AND FOLLOW-UP</w:t>
            </w:r>
          </w:p>
          <w:p w14:paraId="0E93B895" w14:textId="77777777" w:rsidR="005A5A31" w:rsidRPr="003507A6" w:rsidRDefault="005A5A31" w:rsidP="001077C0">
            <w:pPr>
              <w:ind w:right="72"/>
              <w:jc w:val="both"/>
              <w:rPr>
                <w:rFonts w:ascii="Cambria" w:eastAsia="Arial" w:hAnsi="Cambria" w:cs="Arial"/>
                <w:b/>
                <w:sz w:val="20"/>
                <w:szCs w:val="20"/>
              </w:rPr>
            </w:pPr>
            <w:r w:rsidRPr="003507A6">
              <w:rPr>
                <w:rFonts w:ascii="Cambria" w:hAnsi="Cambria"/>
                <w:sz w:val="20"/>
              </w:rPr>
              <w:t>The parties request the Inter-American Commission on Human Rights to approve and follow up on this agreement. This agreement was endorsed by the State entities committed to the implementation of the reparation measures.</w:t>
            </w:r>
          </w:p>
        </w:tc>
        <w:tc>
          <w:tcPr>
            <w:tcW w:w="1802" w:type="dxa"/>
          </w:tcPr>
          <w:p w14:paraId="541CD736" w14:textId="77777777" w:rsidR="005A5A31" w:rsidRPr="003507A6" w:rsidRDefault="005A5A31" w:rsidP="001077C0">
            <w:pPr>
              <w:jc w:val="center"/>
              <w:rPr>
                <w:rFonts w:ascii="Cambria" w:eastAsia="Batang" w:hAnsi="Cambria"/>
                <w:b/>
                <w:bCs/>
                <w:color w:val="000000"/>
                <w:sz w:val="20"/>
                <w:szCs w:val="20"/>
              </w:rPr>
            </w:pPr>
          </w:p>
          <w:p w14:paraId="71791D76" w14:textId="77777777" w:rsidR="005A5A31" w:rsidRPr="003507A6" w:rsidRDefault="005A5A31" w:rsidP="001077C0">
            <w:pPr>
              <w:jc w:val="center"/>
            </w:pPr>
            <w:r w:rsidRPr="003507A6">
              <w:rPr>
                <w:rFonts w:ascii="Cambria" w:hAnsi="Cambria"/>
                <w:b/>
                <w:color w:val="000000"/>
                <w:sz w:val="20"/>
              </w:rPr>
              <w:t>Declarative clause</w:t>
            </w:r>
          </w:p>
        </w:tc>
      </w:tr>
    </w:tbl>
    <w:p w14:paraId="570310D3" w14:textId="77777777" w:rsidR="00EE2B3B" w:rsidRPr="003F7365" w:rsidRDefault="00EE2B3B" w:rsidP="00EE2B3B">
      <w:pPr>
        <w:pStyle w:val="ListParagraph"/>
        <w:jc w:val="both"/>
        <w:rPr>
          <w:rFonts w:ascii="Cambria" w:hAnsi="Cambria" w:cs="Calibri Light"/>
          <w:b/>
          <w:color w:val="000000"/>
          <w:sz w:val="20"/>
          <w:szCs w:val="20"/>
        </w:rPr>
      </w:pPr>
    </w:p>
    <w:p w14:paraId="23CE78ED" w14:textId="77777777" w:rsidR="00EE2B3B" w:rsidRPr="003F7365" w:rsidRDefault="00EE2B3B" w:rsidP="00EE2B3B">
      <w:pPr>
        <w:contextualSpacing/>
        <w:jc w:val="both"/>
        <w:rPr>
          <w:rFonts w:ascii="Cambria" w:hAnsi="Cambria" w:cs="Calibri Light"/>
          <w:color w:val="000000"/>
          <w:sz w:val="20"/>
          <w:szCs w:val="20"/>
        </w:rPr>
      </w:pPr>
    </w:p>
    <w:p w14:paraId="4301E707" w14:textId="77777777" w:rsidR="00EE2B3B" w:rsidRPr="003F7365" w:rsidRDefault="00EE2B3B" w:rsidP="00EE2B3B">
      <w:pPr>
        <w:numPr>
          <w:ilvl w:val="0"/>
          <w:numId w:val="1"/>
        </w:numPr>
        <w:ind w:left="0" w:firstLine="720"/>
        <w:contextualSpacing/>
        <w:jc w:val="both"/>
        <w:rPr>
          <w:rFonts w:ascii="Cambria" w:hAnsi="Cambria" w:cs="Calibri Light"/>
          <w:color w:val="000000"/>
          <w:sz w:val="20"/>
          <w:szCs w:val="20"/>
        </w:rPr>
      </w:pPr>
      <w:r w:rsidRPr="003F7365">
        <w:rPr>
          <w:rFonts w:ascii="Cambria" w:hAnsi="Cambria"/>
          <w:b/>
          <w:color w:val="000000"/>
          <w:sz w:val="20"/>
          <w:szCs w:val="20"/>
        </w:rPr>
        <w:t>LEVEL OF COMPLIANCE OF THE CASE</w:t>
      </w:r>
    </w:p>
    <w:p w14:paraId="3B08C399"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5A448611" w14:textId="1C53CB62" w:rsidR="00EE2B3B" w:rsidRPr="003F7365" w:rsidRDefault="00EE2B3B" w:rsidP="00EE2B3B">
      <w:pPr>
        <w:pStyle w:val="ListParagraph"/>
        <w:numPr>
          <w:ilvl w:val="0"/>
          <w:numId w:val="2"/>
        </w:numPr>
        <w:ind w:left="0" w:firstLine="720"/>
        <w:jc w:val="both"/>
        <w:rPr>
          <w:rFonts w:ascii="Cambria" w:hAnsi="Cambria" w:cs="Calibri Light"/>
          <w:color w:val="000000"/>
          <w:sz w:val="20"/>
          <w:szCs w:val="20"/>
        </w:rPr>
      </w:pPr>
      <w:r w:rsidRPr="003F7365">
        <w:rPr>
          <w:rFonts w:ascii="Cambria" w:hAnsi="Cambria"/>
          <w:color w:val="000000"/>
          <w:sz w:val="20"/>
          <w:szCs w:val="20"/>
        </w:rPr>
        <w:t xml:space="preserve"> </w:t>
      </w:r>
      <w:r w:rsidRPr="00EE2B3B">
        <w:rPr>
          <w:rFonts w:ascii="Cambria" w:hAnsi="Cambria"/>
          <w:color w:val="000000"/>
          <w:sz w:val="20"/>
          <w:szCs w:val="20"/>
        </w:rPr>
        <w:t xml:space="preserve">The Commission declared full compliance with the case and the ceasing of the </w:t>
      </w:r>
      <w:r w:rsidR="005A5A31" w:rsidRPr="00EE2B3B">
        <w:rPr>
          <w:rFonts w:ascii="Cambria" w:hAnsi="Cambria"/>
          <w:color w:val="000000"/>
          <w:sz w:val="20"/>
          <w:szCs w:val="20"/>
        </w:rPr>
        <w:t>follow-up</w:t>
      </w:r>
      <w:r w:rsidRPr="00EE2B3B">
        <w:rPr>
          <w:rFonts w:ascii="Cambria" w:hAnsi="Cambria"/>
          <w:color w:val="000000"/>
          <w:sz w:val="20"/>
          <w:szCs w:val="20"/>
        </w:rPr>
        <w:t xml:space="preserve"> of the friendly settlement agreement in the 202</w:t>
      </w:r>
      <w:r>
        <w:rPr>
          <w:rFonts w:ascii="Cambria" w:hAnsi="Cambria"/>
          <w:color w:val="000000"/>
          <w:sz w:val="20"/>
          <w:szCs w:val="20"/>
        </w:rPr>
        <w:t>2</w:t>
      </w:r>
      <w:r w:rsidRPr="00EE2B3B">
        <w:rPr>
          <w:rFonts w:ascii="Cambria" w:hAnsi="Cambria"/>
          <w:color w:val="000000"/>
          <w:sz w:val="20"/>
          <w:szCs w:val="20"/>
        </w:rPr>
        <w:t xml:space="preserve"> Annual Report.</w:t>
      </w:r>
    </w:p>
    <w:p w14:paraId="286AE1D0" w14:textId="77777777" w:rsidR="00EE2B3B" w:rsidRPr="003F7365" w:rsidRDefault="00EE2B3B" w:rsidP="00EE2B3B">
      <w:pPr>
        <w:autoSpaceDE w:val="0"/>
        <w:autoSpaceDN w:val="0"/>
        <w:adjustRightInd w:val="0"/>
        <w:jc w:val="both"/>
        <w:rPr>
          <w:rFonts w:ascii="Cambria" w:hAnsi="Cambria"/>
          <w:color w:val="000000"/>
          <w:sz w:val="20"/>
          <w:szCs w:val="20"/>
        </w:rPr>
      </w:pPr>
    </w:p>
    <w:p w14:paraId="2765ADF3" w14:textId="77777777" w:rsidR="00EE2B3B" w:rsidRPr="003F7365" w:rsidRDefault="00EE2B3B" w:rsidP="00EE2B3B">
      <w:pPr>
        <w:pStyle w:val="ListParagraph"/>
        <w:numPr>
          <w:ilvl w:val="0"/>
          <w:numId w:val="1"/>
        </w:numPr>
        <w:ind w:left="0" w:firstLine="720"/>
        <w:jc w:val="both"/>
        <w:rPr>
          <w:rFonts w:ascii="Cambria" w:hAnsi="Cambria" w:cs="Calibri Light"/>
          <w:b/>
          <w:color w:val="000000"/>
          <w:sz w:val="20"/>
          <w:szCs w:val="20"/>
        </w:rPr>
      </w:pPr>
      <w:r w:rsidRPr="003F7365">
        <w:rPr>
          <w:rFonts w:ascii="Cambria" w:hAnsi="Cambria"/>
          <w:b/>
          <w:color w:val="000000"/>
          <w:sz w:val="20"/>
          <w:szCs w:val="20"/>
        </w:rPr>
        <w:t xml:space="preserve">INDIVIDUAL AND STRUCTURAL OUTCOMES OF THE CASE </w:t>
      </w:r>
    </w:p>
    <w:p w14:paraId="02CEFE66" w14:textId="77777777" w:rsidR="00EE2B3B" w:rsidRPr="003F7365" w:rsidRDefault="00EE2B3B" w:rsidP="00EE2B3B">
      <w:pPr>
        <w:pStyle w:val="ListParagraph"/>
        <w:ind w:left="0" w:firstLine="720"/>
        <w:jc w:val="both"/>
        <w:rPr>
          <w:rFonts w:ascii="Cambria" w:hAnsi="Cambria" w:cs="Calibri Light"/>
          <w:b/>
          <w:color w:val="000000"/>
          <w:sz w:val="20"/>
          <w:szCs w:val="20"/>
        </w:rPr>
      </w:pPr>
    </w:p>
    <w:p w14:paraId="10D6291D" w14:textId="77777777" w:rsidR="00016B55" w:rsidRPr="003507A6" w:rsidRDefault="00016B55" w:rsidP="00016B55">
      <w:pPr>
        <w:numPr>
          <w:ilvl w:val="0"/>
          <w:numId w:val="11"/>
        </w:numPr>
        <w:contextualSpacing/>
        <w:jc w:val="both"/>
        <w:rPr>
          <w:rFonts w:ascii="Cambria" w:eastAsia="Batang" w:hAnsi="Cambria" w:cs="Calibri Light"/>
          <w:b/>
          <w:color w:val="000000"/>
          <w:sz w:val="20"/>
          <w:szCs w:val="20"/>
        </w:rPr>
      </w:pPr>
      <w:r w:rsidRPr="003507A6">
        <w:rPr>
          <w:rFonts w:ascii="Cambria" w:hAnsi="Cambria"/>
          <w:b/>
          <w:color w:val="000000"/>
          <w:sz w:val="20"/>
        </w:rPr>
        <w:t>Individual outcomes of the case</w:t>
      </w:r>
    </w:p>
    <w:p w14:paraId="02F40180" w14:textId="77777777" w:rsidR="00016B55" w:rsidRPr="003507A6" w:rsidRDefault="00016B55" w:rsidP="00016B55">
      <w:pPr>
        <w:contextualSpacing/>
        <w:jc w:val="both"/>
        <w:rPr>
          <w:rFonts w:ascii="Cambria" w:eastAsia="Batang" w:hAnsi="Cambria" w:cs="Calibri Light"/>
          <w:b/>
          <w:color w:val="000000"/>
          <w:sz w:val="20"/>
          <w:szCs w:val="20"/>
        </w:rPr>
      </w:pPr>
    </w:p>
    <w:p w14:paraId="65EA354F" w14:textId="77777777" w:rsidR="00016B55" w:rsidRPr="003507A6" w:rsidRDefault="00016B55" w:rsidP="00016B55">
      <w:pPr>
        <w:numPr>
          <w:ilvl w:val="0"/>
          <w:numId w:val="10"/>
        </w:numPr>
        <w:ind w:left="1440" w:hanging="720"/>
        <w:jc w:val="both"/>
        <w:rPr>
          <w:rFonts w:ascii="Cambria" w:eastAsia="Batang" w:hAnsi="Cambria"/>
          <w:color w:val="000000"/>
          <w:sz w:val="20"/>
          <w:szCs w:val="20"/>
        </w:rPr>
      </w:pPr>
      <w:r w:rsidRPr="003507A6">
        <w:rPr>
          <w:rFonts w:ascii="Cambria" w:hAnsi="Cambria"/>
          <w:color w:val="000000"/>
          <w:sz w:val="20"/>
        </w:rPr>
        <w:t>The State performed the public act of acknowledgment of responsibility, during which there was a march with people holding lighted candles to the banks of the Guayas River, where, marking the end of the ceremony, the Guzmán family deposited a floral wreath as a symbol of liberation, pardon, and reconciliation for the grievous circumstances in which Mrs. Amira Guzmán died.</w:t>
      </w:r>
    </w:p>
    <w:p w14:paraId="650BFF2D" w14:textId="77777777" w:rsidR="00016B55" w:rsidRPr="003507A6" w:rsidRDefault="00016B55" w:rsidP="00016B55">
      <w:pPr>
        <w:numPr>
          <w:ilvl w:val="0"/>
          <w:numId w:val="10"/>
        </w:numPr>
        <w:ind w:left="1418" w:hanging="709"/>
        <w:jc w:val="both"/>
        <w:rPr>
          <w:rFonts w:ascii="Cambria" w:hAnsi="Cambria"/>
          <w:sz w:val="20"/>
          <w:szCs w:val="20"/>
        </w:rPr>
      </w:pPr>
      <w:r w:rsidRPr="003507A6">
        <w:rPr>
          <w:rFonts w:ascii="Cambria" w:hAnsi="Cambria"/>
          <w:sz w:val="20"/>
        </w:rPr>
        <w:t>The State unveiled and delivered the commemorative plaque, which was installed in Parque de los Caucheros, in the municipality of Puerto Rico, Caquetá to enable all the inhabitants to extol the memory of Amira Guzmán as a working woman and pioneer of trade along the Guayas, Caguán, and Orteguaza rivers.</w:t>
      </w:r>
    </w:p>
    <w:p w14:paraId="18494C46" w14:textId="77777777" w:rsidR="00016B55" w:rsidRPr="003507A6" w:rsidRDefault="00016B55" w:rsidP="00016B55">
      <w:pPr>
        <w:pStyle w:val="ListParagraph"/>
        <w:numPr>
          <w:ilvl w:val="0"/>
          <w:numId w:val="10"/>
        </w:numPr>
        <w:ind w:left="1440" w:hanging="720"/>
        <w:jc w:val="both"/>
        <w:rPr>
          <w:rFonts w:ascii="Cambria" w:hAnsi="Cambria"/>
          <w:sz w:val="20"/>
          <w:szCs w:val="20"/>
        </w:rPr>
      </w:pPr>
      <w:r w:rsidRPr="003507A6">
        <w:rPr>
          <w:rFonts w:ascii="Cambria" w:hAnsi="Cambria"/>
          <w:sz w:val="20"/>
        </w:rPr>
        <w:t>The State paid the pecuniary reparation of 1,389,101,083.14 Colombian pesos to the beneficiaries of the agreement.</w:t>
      </w:r>
    </w:p>
    <w:p w14:paraId="4EFFD49F" w14:textId="77777777" w:rsidR="00016B55" w:rsidRPr="003507A6" w:rsidRDefault="00016B55" w:rsidP="00016B55">
      <w:pPr>
        <w:ind w:left="1418"/>
        <w:contextualSpacing/>
        <w:rPr>
          <w:rFonts w:ascii="Cambria" w:hAnsi="Cambria"/>
          <w:sz w:val="20"/>
          <w:szCs w:val="20"/>
        </w:rPr>
      </w:pPr>
    </w:p>
    <w:p w14:paraId="478CC4A2" w14:textId="77777777" w:rsidR="00016B55" w:rsidRPr="003507A6" w:rsidRDefault="00016B55" w:rsidP="00016B55">
      <w:pPr>
        <w:pStyle w:val="ListParagraph"/>
        <w:numPr>
          <w:ilvl w:val="0"/>
          <w:numId w:val="11"/>
        </w:numPr>
        <w:rPr>
          <w:rFonts w:ascii="Cambria" w:hAnsi="Cambria"/>
          <w:b/>
          <w:bCs/>
          <w:sz w:val="20"/>
          <w:szCs w:val="20"/>
        </w:rPr>
      </w:pPr>
      <w:r w:rsidRPr="003507A6">
        <w:rPr>
          <w:rFonts w:ascii="Cambria" w:hAnsi="Cambria"/>
          <w:b/>
          <w:sz w:val="20"/>
        </w:rPr>
        <w:t>Structural outcomes of the case</w:t>
      </w:r>
    </w:p>
    <w:p w14:paraId="7E6051C4" w14:textId="77777777" w:rsidR="00016B55" w:rsidRPr="003507A6" w:rsidRDefault="00016B55" w:rsidP="00016B55">
      <w:pPr>
        <w:pStyle w:val="ListParagraph"/>
        <w:ind w:left="1440"/>
        <w:rPr>
          <w:rFonts w:ascii="Cambria" w:hAnsi="Cambria"/>
          <w:sz w:val="20"/>
          <w:szCs w:val="20"/>
        </w:rPr>
      </w:pPr>
    </w:p>
    <w:p w14:paraId="502DC104" w14:textId="77777777" w:rsidR="00016B55" w:rsidRPr="003507A6" w:rsidRDefault="00016B55" w:rsidP="00016B55">
      <w:pPr>
        <w:numPr>
          <w:ilvl w:val="0"/>
          <w:numId w:val="10"/>
        </w:numPr>
        <w:ind w:left="1440" w:right="-270" w:hanging="720"/>
        <w:contextualSpacing/>
        <w:jc w:val="both"/>
        <w:rPr>
          <w:rFonts w:ascii="Cambria" w:eastAsia="Batang" w:hAnsi="Cambria"/>
          <w:color w:val="000000"/>
          <w:sz w:val="20"/>
          <w:szCs w:val="20"/>
        </w:rPr>
      </w:pPr>
      <w:r w:rsidRPr="003507A6">
        <w:rPr>
          <w:rFonts w:ascii="Cambria" w:hAnsi="Cambria"/>
          <w:color w:val="000000"/>
          <w:sz w:val="20"/>
        </w:rPr>
        <w:t>The State published the Article 49 Report on the web page of the President’s Counsel for Human Rights and International Affairs and the National Legal Defense Agency of the State.</w:t>
      </w:r>
    </w:p>
    <w:p w14:paraId="13998905" w14:textId="3EA31129" w:rsidR="00551343" w:rsidRPr="005710FB" w:rsidRDefault="00551343" w:rsidP="00016B55">
      <w:pPr>
        <w:pStyle w:val="ListParagraph"/>
        <w:ind w:left="1440"/>
        <w:jc w:val="both"/>
        <w:rPr>
          <w:rFonts w:ascii="Cambria" w:hAnsi="Cambria" w:cs="Calibri Light"/>
          <w:color w:val="000000"/>
          <w:sz w:val="20"/>
          <w:szCs w:val="20"/>
        </w:rPr>
      </w:pPr>
    </w:p>
    <w:sectPr w:rsidR="00551343" w:rsidRPr="005710FB" w:rsidSect="00EE2B3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A381" w14:textId="77777777" w:rsidR="00EE2B3B" w:rsidRDefault="00EE2B3B" w:rsidP="00EE2B3B">
      <w:r>
        <w:separator/>
      </w:r>
    </w:p>
  </w:endnote>
  <w:endnote w:type="continuationSeparator" w:id="0">
    <w:p w14:paraId="5DE23AC5" w14:textId="77777777" w:rsidR="00EE2B3B" w:rsidRDefault="00EE2B3B" w:rsidP="00EE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49D5" w14:textId="1B0D8F23" w:rsidR="00EE2B3B" w:rsidRDefault="00EE2B3B" w:rsidP="00EE2B3B">
    <w:pPr>
      <w:pStyle w:val="Footer"/>
      <w:jc w:val="center"/>
    </w:pPr>
    <w:r>
      <w:rPr>
        <w:noProof/>
      </w:rPr>
      <w:drawing>
        <wp:inline distT="0" distB="0" distL="0" distR="0" wp14:anchorId="716D0634" wp14:editId="040054FF">
          <wp:extent cx="523875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570E" w14:textId="77777777" w:rsidR="00EE2B3B" w:rsidRDefault="00294164" w:rsidP="00EE2B3B">
    <w:pPr>
      <w:pStyle w:val="Footer"/>
      <w:spacing w:line="360" w:lineRule="auto"/>
    </w:pPr>
    <w:r>
      <w:pict w14:anchorId="14B294CB">
        <v:rect id="_x0000_i1027" style="width:0;height:1.5pt" o:hralign="center" o:hrstd="t" o:hr="t" fillcolor="#a0a0a0" stroked="f"/>
      </w:pict>
    </w:r>
  </w:p>
  <w:p w14:paraId="33E89147" w14:textId="232012CD" w:rsidR="00EE2B3B" w:rsidRDefault="00EE2B3B" w:rsidP="00EE2B3B">
    <w:pPr>
      <w:pStyle w:val="Footer"/>
      <w:jc w:val="center"/>
    </w:pPr>
    <w:bookmarkStart w:id="2" w:name="_Hlk138256818"/>
    <w:bookmarkStart w:id="3" w:name="_Hlk138256819"/>
    <w:r>
      <w:rPr>
        <w:noProof/>
      </w:rPr>
      <w:drawing>
        <wp:inline distT="0" distB="0" distL="0" distR="0" wp14:anchorId="2202F3A2" wp14:editId="2F018423">
          <wp:extent cx="5238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314325"/>
                  </a:xfrm>
                  <a:prstGeom prst="rect">
                    <a:avLst/>
                  </a:prstGeom>
                  <a:noFill/>
                  <a:ln>
                    <a:noFill/>
                  </a:ln>
                </pic:spPr>
              </pic:pic>
            </a:graphicData>
          </a:graphic>
        </wp:inline>
      </w:drawing>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CDA" w14:textId="77777777" w:rsidR="00EE2B3B" w:rsidRDefault="00EE2B3B" w:rsidP="00EE2B3B">
      <w:r>
        <w:separator/>
      </w:r>
    </w:p>
  </w:footnote>
  <w:footnote w:type="continuationSeparator" w:id="0">
    <w:p w14:paraId="48D94B4E" w14:textId="77777777" w:rsidR="00EE2B3B" w:rsidRDefault="00EE2B3B" w:rsidP="00EE2B3B">
      <w:r>
        <w:continuationSeparator/>
      </w:r>
    </w:p>
  </w:footnote>
  <w:footnote w:id="1">
    <w:p w14:paraId="28CC9AFF" w14:textId="77777777" w:rsidR="005A5A31" w:rsidRPr="0088263A" w:rsidRDefault="005A5A31" w:rsidP="005A5A31">
      <w:pPr>
        <w:pStyle w:val="FootnoteText"/>
        <w:tabs>
          <w:tab w:val="left" w:pos="180"/>
          <w:tab w:val="left" w:pos="270"/>
          <w:tab w:val="left" w:pos="360"/>
        </w:tabs>
        <w:ind w:firstLine="720"/>
        <w:jc w:val="both"/>
        <w:rPr>
          <w:rFonts w:ascii="Cambria" w:hAnsi="Cambria"/>
          <w:sz w:val="16"/>
          <w:szCs w:val="16"/>
        </w:rPr>
      </w:pPr>
      <w:r w:rsidRPr="0088263A">
        <w:rPr>
          <w:rStyle w:val="FootnoteReference"/>
          <w:rFonts w:ascii="Cambria" w:hAnsi="Cambria"/>
          <w:sz w:val="16"/>
          <w:szCs w:val="16"/>
        </w:rPr>
        <w:footnoteRef/>
      </w:r>
      <w:r w:rsidRPr="0088263A">
        <w:rPr>
          <w:rFonts w:ascii="Cambria" w:hAnsi="Cambria"/>
          <w:sz w:val="16"/>
          <w:szCs w:val="16"/>
        </w:rPr>
        <w:t xml:space="preserve"> IACHR, Report No. 21/20, Case 13.728. Friendly Settlement. </w:t>
      </w:r>
      <w:r w:rsidRPr="0088263A">
        <w:rPr>
          <w:rFonts w:ascii="Cambria" w:hAnsi="Cambria"/>
          <w:sz w:val="16"/>
          <w:szCs w:val="16"/>
          <w:lang w:val="es-ES"/>
        </w:rPr>
        <w:t xml:space="preserve">Amira Guzmán de Alonso Colombia. </w:t>
      </w:r>
      <w:r w:rsidRPr="0088263A">
        <w:rPr>
          <w:rFonts w:ascii="Cambria" w:hAnsi="Cambria"/>
          <w:sz w:val="16"/>
          <w:szCs w:val="16"/>
        </w:rPr>
        <w:t xml:space="preserve">April 13, 2016 Available at </w:t>
      </w:r>
      <w:hyperlink r:id="rId1" w:history="1">
        <w:r w:rsidRPr="0088263A">
          <w:rPr>
            <w:rStyle w:val="Hyperlink"/>
            <w:rFonts w:ascii="Cambria" w:hAnsi="Cambria"/>
            <w:sz w:val="16"/>
            <w:szCs w:val="16"/>
          </w:rPr>
          <w:t>http://www.oas.org/en/iachr/decisions/2020/COSA13728EN.pdf</w:t>
        </w:r>
      </w:hyperlink>
    </w:p>
  </w:footnote>
  <w:footnote w:id="2">
    <w:p w14:paraId="4C62DFC9" w14:textId="77777777" w:rsidR="005A5A31" w:rsidRPr="0088263A" w:rsidRDefault="005A5A31" w:rsidP="005A5A31">
      <w:pPr>
        <w:pStyle w:val="FootnoteText"/>
        <w:tabs>
          <w:tab w:val="left" w:pos="180"/>
          <w:tab w:val="left" w:pos="270"/>
          <w:tab w:val="left" w:pos="360"/>
        </w:tabs>
        <w:ind w:firstLine="720"/>
        <w:jc w:val="both"/>
        <w:rPr>
          <w:rFonts w:ascii="Cambria" w:hAnsi="Cambria"/>
          <w:sz w:val="16"/>
          <w:szCs w:val="16"/>
        </w:rPr>
      </w:pPr>
      <w:r w:rsidRPr="0088263A">
        <w:rPr>
          <w:rStyle w:val="FootnoteReference"/>
          <w:rFonts w:ascii="Cambria" w:hAnsi="Cambria"/>
          <w:sz w:val="16"/>
          <w:szCs w:val="16"/>
        </w:rPr>
        <w:footnoteRef/>
      </w:r>
      <w:r w:rsidRPr="0088263A">
        <w:rPr>
          <w:rFonts w:ascii="Cambria" w:hAnsi="Cambria"/>
          <w:sz w:val="16"/>
          <w:szCs w:val="16"/>
        </w:rPr>
        <w:t xml:space="preserve"> IACHR, Report No. 21/20, Case 13.728. Friendly Settlement. </w:t>
      </w:r>
      <w:r w:rsidRPr="0088263A">
        <w:rPr>
          <w:rFonts w:ascii="Cambria" w:hAnsi="Cambria"/>
          <w:sz w:val="16"/>
          <w:szCs w:val="16"/>
          <w:lang w:val="es-ES"/>
        </w:rPr>
        <w:t xml:space="preserve">Amira Guzmán de Alonso Colombia. </w:t>
      </w:r>
      <w:r w:rsidRPr="0088263A">
        <w:rPr>
          <w:rFonts w:ascii="Cambria" w:hAnsi="Cambria"/>
          <w:sz w:val="16"/>
          <w:szCs w:val="16"/>
        </w:rPr>
        <w:t>April 13, 2020. Available at</w:t>
      </w:r>
      <w:r w:rsidRPr="0088263A">
        <w:rPr>
          <w:rStyle w:val="Hyperlink"/>
          <w:rFonts w:ascii="Cambria" w:hAnsi="Cambria"/>
          <w:sz w:val="16"/>
          <w:szCs w:val="16"/>
        </w:rPr>
        <w:t xml:space="preserve"> http://www.oas.org/en/iachr/decisions/2020/COSA13728EN.pdf</w:t>
      </w:r>
    </w:p>
  </w:footnote>
  <w:footnote w:id="3">
    <w:p w14:paraId="082FEFE0" w14:textId="77777777" w:rsidR="005A5A31" w:rsidRPr="0088263A" w:rsidRDefault="005A5A31" w:rsidP="005A5A31">
      <w:pPr>
        <w:pStyle w:val="FootnoteText"/>
        <w:ind w:firstLine="720"/>
        <w:jc w:val="both"/>
        <w:rPr>
          <w:rFonts w:ascii="Cambria" w:hAnsi="Cambria"/>
          <w:sz w:val="16"/>
          <w:szCs w:val="16"/>
        </w:rPr>
      </w:pPr>
      <w:r w:rsidRPr="0088263A">
        <w:rPr>
          <w:rStyle w:val="FootnoteReference"/>
          <w:rFonts w:ascii="Cambria" w:hAnsi="Cambria"/>
          <w:sz w:val="16"/>
          <w:szCs w:val="16"/>
        </w:rPr>
        <w:footnoteRef/>
      </w:r>
      <w:r w:rsidRPr="0088263A">
        <w:rPr>
          <w:rFonts w:ascii="Cambria" w:hAnsi="Cambria"/>
          <w:sz w:val="16"/>
          <w:szCs w:val="16"/>
        </w:rPr>
        <w:t xml:space="preserve"> IACHR, </w:t>
      </w:r>
      <w:r w:rsidRPr="0088263A">
        <w:rPr>
          <w:rFonts w:ascii="Cambria" w:hAnsi="Cambria"/>
          <w:i/>
          <w:sz w:val="16"/>
          <w:szCs w:val="16"/>
        </w:rPr>
        <w:t>Annual Report 2021</w:t>
      </w:r>
      <w:r w:rsidRPr="0088263A">
        <w:rPr>
          <w:rFonts w:ascii="Cambria" w:hAnsi="Cambria"/>
          <w:sz w:val="16"/>
          <w:szCs w:val="16"/>
        </w:rPr>
        <w:t xml:space="preserve">, Chapter II, Section F. Negotiation and implementation of friendly settlement agreements. Available at </w:t>
      </w:r>
      <w:hyperlink r:id="rId2" w:history="1">
        <w:r w:rsidRPr="0088263A">
          <w:rPr>
            <w:rStyle w:val="Hyperlink"/>
            <w:rFonts w:ascii="Cambria" w:hAnsi="Cambria"/>
            <w:sz w:val="16"/>
            <w:szCs w:val="16"/>
          </w:rPr>
          <w:t>https://www.oas.org/en/iachr/docs/annual/2021/Chapters/IA2021cap2-en.pdf</w:t>
        </w:r>
      </w:hyperlink>
      <w:r w:rsidRPr="0088263A">
        <w:rPr>
          <w:rFonts w:ascii="Cambria" w:hAnsi="Cambria"/>
          <w:sz w:val="16"/>
          <w:szCs w:val="16"/>
        </w:rPr>
        <w:t>.</w:t>
      </w:r>
    </w:p>
  </w:footnote>
  <w:footnote w:id="4">
    <w:p w14:paraId="32120D49" w14:textId="77777777" w:rsidR="005A5A31" w:rsidRPr="0088263A" w:rsidRDefault="005A5A31" w:rsidP="005A5A31">
      <w:pPr>
        <w:ind w:firstLine="720"/>
        <w:jc w:val="both"/>
        <w:rPr>
          <w:rFonts w:ascii="Cambria" w:hAnsi="Cambria"/>
          <w:sz w:val="16"/>
          <w:szCs w:val="16"/>
        </w:rPr>
      </w:pPr>
      <w:r w:rsidRPr="0088263A">
        <w:rPr>
          <w:rStyle w:val="FootnoteReference"/>
          <w:rFonts w:ascii="Cambria" w:hAnsi="Cambria"/>
          <w:sz w:val="16"/>
          <w:szCs w:val="16"/>
        </w:rPr>
        <w:footnoteRef/>
      </w:r>
      <w:r w:rsidRPr="0088263A">
        <w:rPr>
          <w:rFonts w:ascii="Cambria" w:hAnsi="Cambria"/>
          <w:sz w:val="16"/>
          <w:szCs w:val="16"/>
        </w:rPr>
        <w:t xml:space="preserve"> </w:t>
      </w:r>
      <w:r w:rsidRPr="0088263A">
        <w:rPr>
          <w:rFonts w:ascii="Cambria" w:hAnsi="Cambria"/>
          <w:color w:val="000000"/>
          <w:sz w:val="16"/>
          <w:szCs w:val="16"/>
        </w:rPr>
        <w:t xml:space="preserve">See IACHR, 2022 Annual Report, Chapter II, Section C. Advances and challenges on negotiation and implementation of friendly settlements, Available at: </w:t>
      </w:r>
      <w:hyperlink r:id="rId3" w:history="1">
        <w:r w:rsidRPr="0088263A">
          <w:rPr>
            <w:rStyle w:val="Hyperlink"/>
            <w:rFonts w:ascii="Cambria" w:hAnsi="Cambria"/>
            <w:sz w:val="16"/>
            <w:szCs w:val="16"/>
          </w:rPr>
          <w:t>4-IA2022_Cap_2_EN.pdf (oas.org)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D2E5" w14:textId="61BDB6F8" w:rsidR="00EE2B3B" w:rsidRDefault="00EE2B3B" w:rsidP="00EE2B3B">
    <w:pPr>
      <w:pStyle w:val="Header"/>
      <w:jc w:val="center"/>
    </w:pPr>
    <w:r>
      <w:rPr>
        <w:noProof/>
      </w:rPr>
      <w:drawing>
        <wp:inline distT="0" distB="0" distL="0" distR="0" wp14:anchorId="05F89FF3" wp14:editId="35C856FB">
          <wp:extent cx="22764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14:paraId="5C22E6E7" w14:textId="19B082BD" w:rsidR="00EE2B3B" w:rsidRPr="00EE2B3B" w:rsidRDefault="00294164" w:rsidP="00EE2B3B">
    <w:pPr>
      <w:pStyle w:val="Header"/>
    </w:pPr>
    <w:r>
      <w:pict w14:anchorId="04325340">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A139" w14:textId="1F58B056" w:rsidR="00EE2B3B" w:rsidRDefault="00EE2B3B" w:rsidP="00EE2B3B">
    <w:pPr>
      <w:pStyle w:val="Header"/>
    </w:pPr>
    <w:bookmarkStart w:id="0" w:name="_Hlk138256805"/>
    <w:bookmarkStart w:id="1" w:name="_Hlk138256806"/>
    <w:r>
      <w:rPr>
        <w:noProof/>
      </w:rPr>
      <w:drawing>
        <wp:anchor distT="0" distB="0" distL="114300" distR="114300" simplePos="0" relativeHeight="251659264" behindDoc="1" locked="0" layoutInCell="1" allowOverlap="1" wp14:anchorId="041316FD" wp14:editId="7A155487">
          <wp:simplePos x="0" y="0"/>
          <wp:positionH relativeFrom="column">
            <wp:posOffset>0</wp:posOffset>
          </wp:positionH>
          <wp:positionV relativeFrom="paragraph">
            <wp:posOffset>-28575</wp:posOffset>
          </wp:positionV>
          <wp:extent cx="2567940" cy="495300"/>
          <wp:effectExtent l="0" t="0" r="3810" b="0"/>
          <wp:wrapThrough wrapText="bothSides">
            <wp:wrapPolygon edited="0">
              <wp:start x="0" y="0"/>
              <wp:lineTo x="0" y="20769"/>
              <wp:lineTo x="21472" y="20769"/>
              <wp:lineTo x="2147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94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65916B" wp14:editId="2EBBB3D4">
          <wp:simplePos x="0" y="0"/>
          <wp:positionH relativeFrom="column">
            <wp:posOffset>4019550</wp:posOffset>
          </wp:positionH>
          <wp:positionV relativeFrom="paragraph">
            <wp:posOffset>-34290</wp:posOffset>
          </wp:positionV>
          <wp:extent cx="1924050" cy="499110"/>
          <wp:effectExtent l="0" t="0" r="0" b="0"/>
          <wp:wrapThrough wrapText="bothSides">
            <wp:wrapPolygon edited="0">
              <wp:start x="1069" y="0"/>
              <wp:lineTo x="0" y="4122"/>
              <wp:lineTo x="0" y="16489"/>
              <wp:lineTo x="1069" y="20611"/>
              <wp:lineTo x="4277" y="20611"/>
              <wp:lineTo x="21386" y="18137"/>
              <wp:lineTo x="21386" y="4122"/>
              <wp:lineTo x="4063" y="0"/>
              <wp:lineTo x="106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991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084D170" w14:textId="77777777" w:rsidR="00EE2B3B" w:rsidRDefault="00EE2B3B" w:rsidP="00EE2B3B">
    <w:pPr>
      <w:pStyle w:val="Header"/>
    </w:pPr>
  </w:p>
  <w:p w14:paraId="12638557" w14:textId="77777777" w:rsidR="00EE2B3B" w:rsidRDefault="00EE2B3B" w:rsidP="00EE2B3B">
    <w:pPr>
      <w:pStyle w:val="Header"/>
    </w:pPr>
  </w:p>
  <w:p w14:paraId="0EFF114E" w14:textId="77777777" w:rsidR="00EE2B3B" w:rsidRDefault="00294164" w:rsidP="00EE2B3B">
    <w:pPr>
      <w:pStyle w:val="Header"/>
    </w:pPr>
    <w:r>
      <w:pict w14:anchorId="3288A7D7">
        <v:rect id="_x0000_i1026" style="width:0;height:1.5pt" o:hralign="center" o:hrstd="t" o:hr="t" fillcolor="#a0a0a0" stroked="f"/>
      </w:pic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FE1"/>
    <w:multiLevelType w:val="hybridMultilevel"/>
    <w:tmpl w:val="EEB433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8A470B"/>
    <w:multiLevelType w:val="hybridMultilevel"/>
    <w:tmpl w:val="2D8E04F4"/>
    <w:lvl w:ilvl="0" w:tplc="FFFFFFFF">
      <w:start w:val="1"/>
      <w:numFmt w:val="upperRoman"/>
      <w:lvlText w:val="%1."/>
      <w:lvlJc w:val="left"/>
      <w:pPr>
        <w:ind w:left="1080" w:hanging="720"/>
      </w:pPr>
      <w:rPr>
        <w:rFonts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0D445F"/>
    <w:multiLevelType w:val="hybridMultilevel"/>
    <w:tmpl w:val="FFFFFFFF"/>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617DD"/>
    <w:multiLevelType w:val="hybridMultilevel"/>
    <w:tmpl w:val="69F6654C"/>
    <w:lvl w:ilvl="0" w:tplc="4B8E1B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6C04F9"/>
    <w:multiLevelType w:val="hybridMultilevel"/>
    <w:tmpl w:val="98E0532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E255ED6"/>
    <w:multiLevelType w:val="hybridMultilevel"/>
    <w:tmpl w:val="0E9E49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41E655F"/>
    <w:multiLevelType w:val="hybridMultilevel"/>
    <w:tmpl w:val="38EAC91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E961B8"/>
    <w:multiLevelType w:val="hybridMultilevel"/>
    <w:tmpl w:val="6C02FA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F83397B"/>
    <w:multiLevelType w:val="hybridMultilevel"/>
    <w:tmpl w:val="905A73D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8C26CC1"/>
    <w:multiLevelType w:val="hybridMultilevel"/>
    <w:tmpl w:val="1DDE1E8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36202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633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24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2929156">
    <w:abstractNumId w:val="5"/>
  </w:num>
  <w:num w:numId="5" w16cid:durableId="56173509">
    <w:abstractNumId w:val="7"/>
  </w:num>
  <w:num w:numId="6" w16cid:durableId="56518530">
    <w:abstractNumId w:val="0"/>
  </w:num>
  <w:num w:numId="7" w16cid:durableId="463352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1972006">
    <w:abstractNumId w:val="4"/>
  </w:num>
  <w:num w:numId="9" w16cid:durableId="15748493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7116927">
    <w:abstractNumId w:val="2"/>
  </w:num>
  <w:num w:numId="11" w16cid:durableId="779616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3B"/>
    <w:rsid w:val="00016B55"/>
    <w:rsid w:val="00044697"/>
    <w:rsid w:val="001C78F9"/>
    <w:rsid w:val="001D1BFB"/>
    <w:rsid w:val="00294164"/>
    <w:rsid w:val="00336986"/>
    <w:rsid w:val="004F6608"/>
    <w:rsid w:val="00551343"/>
    <w:rsid w:val="005710FB"/>
    <w:rsid w:val="005A5A31"/>
    <w:rsid w:val="008646A9"/>
    <w:rsid w:val="00A15312"/>
    <w:rsid w:val="00BB339B"/>
    <w:rsid w:val="00D04AF5"/>
    <w:rsid w:val="00D11C69"/>
    <w:rsid w:val="00DA1784"/>
    <w:rsid w:val="00DA7D6A"/>
    <w:rsid w:val="00EB6320"/>
    <w:rsid w:val="00EE2B3B"/>
    <w:rsid w:val="00F64E08"/>
    <w:rsid w:val="00F84B42"/>
    <w:rsid w:val="00FA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F7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3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Lista vistosa - Énfasis 11,Parragrap,Superíndice,Dot pt,No Spacing1,List Paragraph Char Char Char,Indicator Text,Numbered Para 1,4 Párrafo de lista,Figuras,DH1"/>
    <w:basedOn w:val="Normal"/>
    <w:link w:val="ListParagraphChar"/>
    <w:uiPriority w:val="34"/>
    <w:qFormat/>
    <w:rsid w:val="00EE2B3B"/>
    <w:pPr>
      <w:ind w:left="720"/>
      <w:contextualSpacing/>
    </w:p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EE2B3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E2B3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E2B3B"/>
    <w:rPr>
      <w:vertAlign w:val="superscript"/>
    </w:rPr>
  </w:style>
  <w:style w:type="character" w:styleId="Hyperlink">
    <w:name w:val="Hyperlink"/>
    <w:uiPriority w:val="99"/>
    <w:unhideWhenUsed/>
    <w:rsid w:val="00EE2B3B"/>
    <w:rPr>
      <w:color w:val="0000FF"/>
      <w:u w:val="single"/>
      <w:lang w:val="en-US" w:eastAsia="en-US"/>
    </w:rPr>
  </w:style>
  <w:style w:type="paragraph" w:styleId="NoSpacing">
    <w:name w:val="No Spacing"/>
    <w:uiPriority w:val="1"/>
    <w:qFormat/>
    <w:rsid w:val="00EE2B3B"/>
    <w:pPr>
      <w:spacing w:after="0" w:line="240" w:lineRule="auto"/>
    </w:pPr>
    <w:rPr>
      <w:rFonts w:ascii="Calibri" w:eastAsia="Calibri" w:hAnsi="Calibri" w:cs="Times New Roman"/>
    </w:rPr>
  </w:style>
  <w:style w:type="character" w:customStyle="1" w:styleId="ListParagraphChar">
    <w:name w:val="List Paragraph Char"/>
    <w:aliases w:val="Párrafo de lista1 Char,List Paragraph1 Char,Colorful List - Accent 11 Char,List Paragraph11 Char,Lista vistosa - Énfasis 11 Char,Parragrap Char,Superíndice Char,Dot pt Char,No Spacing1 Char,List Paragraph Char Char Char Char,DH1 Char"/>
    <w:link w:val="ListParagraph"/>
    <w:uiPriority w:val="34"/>
    <w:locked/>
    <w:rsid w:val="00EE2B3B"/>
    <w:rPr>
      <w:sz w:val="24"/>
      <w:szCs w:val="24"/>
    </w:rPr>
  </w:style>
  <w:style w:type="paragraph" w:customStyle="1" w:styleId="Appelnotedebasde">
    <w:name w:val="Appel note de bas de..."/>
    <w:basedOn w:val="Normal"/>
    <w:link w:val="FootnoteReference"/>
    <w:uiPriority w:val="99"/>
    <w:rsid w:val="00EE2B3B"/>
    <w:pPr>
      <w:spacing w:after="160" w:line="240" w:lineRule="exact"/>
    </w:pPr>
    <w:rPr>
      <w:sz w:val="22"/>
      <w:szCs w:val="22"/>
      <w:vertAlign w:val="superscript"/>
    </w:rPr>
  </w:style>
  <w:style w:type="paragraph" w:styleId="Header">
    <w:name w:val="header"/>
    <w:basedOn w:val="Normal"/>
    <w:link w:val="HeaderChar"/>
    <w:uiPriority w:val="99"/>
    <w:unhideWhenUsed/>
    <w:rsid w:val="00EE2B3B"/>
    <w:pPr>
      <w:tabs>
        <w:tab w:val="center" w:pos="4680"/>
        <w:tab w:val="right" w:pos="9360"/>
      </w:tabs>
    </w:pPr>
  </w:style>
  <w:style w:type="character" w:customStyle="1" w:styleId="HeaderChar">
    <w:name w:val="Header Char"/>
    <w:basedOn w:val="DefaultParagraphFont"/>
    <w:link w:val="Header"/>
    <w:uiPriority w:val="99"/>
    <w:rsid w:val="00EE2B3B"/>
    <w:rPr>
      <w:sz w:val="24"/>
      <w:szCs w:val="24"/>
    </w:rPr>
  </w:style>
  <w:style w:type="paragraph" w:styleId="Footer">
    <w:name w:val="footer"/>
    <w:basedOn w:val="Normal"/>
    <w:link w:val="FooterChar"/>
    <w:uiPriority w:val="99"/>
    <w:unhideWhenUsed/>
    <w:rsid w:val="00EE2B3B"/>
    <w:pPr>
      <w:tabs>
        <w:tab w:val="center" w:pos="4680"/>
        <w:tab w:val="right" w:pos="9360"/>
      </w:tabs>
    </w:pPr>
  </w:style>
  <w:style w:type="character" w:customStyle="1" w:styleId="FooterChar">
    <w:name w:val="Footer Char"/>
    <w:basedOn w:val="DefaultParagraphFont"/>
    <w:link w:val="Footer"/>
    <w:uiPriority w:val="99"/>
    <w:rsid w:val="00EE2B3B"/>
    <w:rPr>
      <w:sz w:val="24"/>
      <w:szCs w:val="24"/>
    </w:rPr>
  </w:style>
  <w:style w:type="character" w:styleId="FollowedHyperlink">
    <w:name w:val="FollowedHyperlink"/>
    <w:basedOn w:val="DefaultParagraphFont"/>
    <w:uiPriority w:val="99"/>
    <w:semiHidden/>
    <w:unhideWhenUsed/>
    <w:rsid w:val="00EE2B3B"/>
    <w:rPr>
      <w:color w:val="954F72" w:themeColor="followedHyperlink"/>
      <w:u w:val="single"/>
    </w:rPr>
  </w:style>
  <w:style w:type="character" w:styleId="UnresolvedMention">
    <w:name w:val="Unresolved Mention"/>
    <w:basedOn w:val="DefaultParagraphFont"/>
    <w:uiPriority w:val="99"/>
    <w:semiHidden/>
    <w:unhideWhenUsed/>
    <w:rsid w:val="00EE2B3B"/>
    <w:rPr>
      <w:color w:val="605E5C"/>
      <w:shd w:val="clear" w:color="auto" w:fill="E1DFDD"/>
    </w:rPr>
  </w:style>
  <w:style w:type="paragraph" w:styleId="Title">
    <w:name w:val="Title"/>
    <w:basedOn w:val="Normal"/>
    <w:next w:val="Normal"/>
    <w:link w:val="TitleChar"/>
    <w:uiPriority w:val="10"/>
    <w:qFormat/>
    <w:rsid w:val="001D1BF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B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n/iachr/decisions/2020/COSA13728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s.org/en/iachr/decisions/2020/COSA13728EN.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n/iachr/docs/annual/2022/Chapters/4-IA2022_Cap_2_EN.pdf" TargetMode="External"/><Relationship Id="rId2" Type="http://schemas.openxmlformats.org/officeDocument/2006/relationships/hyperlink" Target="https://www.oas.org/en/iachr/docs/annual/2021/Chapters/IA2021cap2-en.pdf" TargetMode="External"/><Relationship Id="rId1" Type="http://schemas.openxmlformats.org/officeDocument/2006/relationships/hyperlink" Target="http://www.oas.org/en/iachr/decisions/2020/COSA13728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EF23-5EC8-47BB-AEC1-2CD4B91D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2023-06-28T14:55:00Z</dcterms:created>
  <dcterms:modified xsi:type="dcterms:W3CDTF">2023-06-28T14:55:00Z</dcterms:modified>
</cp:coreProperties>
</file>