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27BB" w14:textId="77777777" w:rsidR="00DD1591" w:rsidRPr="00DD05C3" w:rsidRDefault="00DD1591" w:rsidP="00DD05C3">
      <w:pPr>
        <w:suppressAutoHyphens/>
        <w:spacing w:after="0" w:line="240" w:lineRule="auto"/>
        <w:ind w:right="4"/>
        <w:rPr>
          <w:rFonts w:ascii="Cambria" w:eastAsia="Batang" w:hAnsi="Cambria"/>
          <w:b/>
          <w:bCs/>
          <w:color w:val="000000"/>
          <w:sz w:val="24"/>
        </w:rPr>
      </w:pPr>
    </w:p>
    <w:p w14:paraId="63C6CC88" w14:textId="6343F2F5" w:rsidR="00457711" w:rsidRPr="00DD05C3" w:rsidRDefault="00457711" w:rsidP="00DD05C3">
      <w:pPr>
        <w:suppressAutoHyphens/>
        <w:spacing w:after="0" w:line="240" w:lineRule="auto"/>
        <w:ind w:right="4"/>
        <w:jc w:val="center"/>
        <w:rPr>
          <w:rFonts w:ascii="Cambria" w:eastAsia="Batang" w:hAnsi="Cambria"/>
          <w:b/>
          <w:bCs/>
          <w:color w:val="000000"/>
          <w:sz w:val="24"/>
        </w:rPr>
      </w:pPr>
      <w:r w:rsidRPr="00DD05C3">
        <w:rPr>
          <w:rFonts w:ascii="Cambria" w:eastAsia="Batang" w:hAnsi="Cambria"/>
          <w:b/>
          <w:bCs/>
          <w:color w:val="000000"/>
          <w:sz w:val="24"/>
        </w:rPr>
        <w:t>TECHNICAL INFORMATION SHEET</w:t>
      </w:r>
    </w:p>
    <w:p w14:paraId="33E3C009" w14:textId="693A82E3" w:rsidR="00457711" w:rsidRPr="00DD05C3" w:rsidRDefault="00457711" w:rsidP="00DD05C3">
      <w:pPr>
        <w:suppressAutoHyphens/>
        <w:spacing w:after="0" w:line="240" w:lineRule="auto"/>
        <w:ind w:right="4"/>
        <w:jc w:val="center"/>
        <w:rPr>
          <w:rFonts w:ascii="Cambria" w:hAnsi="Cambria"/>
          <w:b/>
          <w:color w:val="000000"/>
          <w:sz w:val="24"/>
        </w:rPr>
      </w:pPr>
      <w:r w:rsidRPr="00DD05C3">
        <w:rPr>
          <w:rFonts w:ascii="Cambria" w:hAnsi="Cambria"/>
          <w:b/>
          <w:color w:val="000000"/>
          <w:sz w:val="24"/>
        </w:rPr>
        <w:t xml:space="preserve">CASE </w:t>
      </w:r>
      <w:r w:rsidR="00F035F2" w:rsidRPr="00DD05C3">
        <w:rPr>
          <w:rFonts w:ascii="Cambria" w:hAnsi="Cambria"/>
          <w:b/>
          <w:color w:val="000000"/>
          <w:sz w:val="24"/>
        </w:rPr>
        <w:t>13.370 LUIS HORACIO PATIÑO AND FAMILY</w:t>
      </w:r>
    </w:p>
    <w:p w14:paraId="486FDFC3" w14:textId="7ADCB723" w:rsidR="00DD1591" w:rsidRPr="00DD05C3" w:rsidRDefault="00DD1591" w:rsidP="00DD05C3">
      <w:pPr>
        <w:suppressAutoHyphens/>
        <w:spacing w:after="0" w:line="240" w:lineRule="auto"/>
        <w:ind w:right="4"/>
        <w:jc w:val="center"/>
        <w:rPr>
          <w:rFonts w:ascii="Cambria" w:eastAsia="Batang" w:hAnsi="Cambria"/>
          <w:b/>
          <w:bCs/>
          <w:color w:val="000000"/>
          <w:sz w:val="24"/>
        </w:rPr>
      </w:pPr>
      <w:r w:rsidRPr="00DD05C3">
        <w:rPr>
          <w:rFonts w:ascii="Cambria" w:eastAsia="Batang" w:hAnsi="Cambria"/>
          <w:b/>
          <w:bCs/>
          <w:color w:val="000000"/>
          <w:sz w:val="24"/>
        </w:rPr>
        <w:t xml:space="preserve">FRIENDLY SETTLEMENT </w:t>
      </w:r>
      <w:r w:rsidR="002F2DC7" w:rsidRPr="00DD05C3">
        <w:rPr>
          <w:rFonts w:ascii="Cambria" w:eastAsia="Batang" w:hAnsi="Cambria"/>
          <w:b/>
          <w:bCs/>
          <w:color w:val="000000"/>
          <w:sz w:val="24"/>
        </w:rPr>
        <w:t>REPORT</w:t>
      </w:r>
      <w:r w:rsidR="00F035F2" w:rsidRPr="00DD05C3">
        <w:rPr>
          <w:rFonts w:ascii="Cambria" w:eastAsia="Batang" w:hAnsi="Cambria"/>
          <w:b/>
          <w:bCs/>
          <w:color w:val="000000"/>
          <w:sz w:val="24"/>
        </w:rPr>
        <w:t xml:space="preserve"> </w:t>
      </w:r>
      <w:hyperlink r:id="rId12" w:history="1">
        <w:r w:rsidR="00F035F2" w:rsidRPr="004C1718">
          <w:rPr>
            <w:rStyle w:val="Hyperlink"/>
            <w:rFonts w:ascii="Cambria" w:eastAsia="Batang" w:hAnsi="Cambria"/>
            <w:b/>
            <w:bCs/>
            <w:sz w:val="24"/>
          </w:rPr>
          <w:t>No. 80/20</w:t>
        </w:r>
      </w:hyperlink>
    </w:p>
    <w:p w14:paraId="2B66417A" w14:textId="5D0EDE53" w:rsidR="00457711" w:rsidRPr="00AF6D30" w:rsidRDefault="002F2DC7" w:rsidP="00DD05C3">
      <w:pPr>
        <w:suppressAutoHyphens/>
        <w:spacing w:after="0" w:line="240" w:lineRule="auto"/>
        <w:ind w:right="4"/>
        <w:jc w:val="center"/>
        <w:rPr>
          <w:rFonts w:ascii="Cambria" w:eastAsia="Batang" w:hAnsi="Cambria"/>
          <w:b/>
          <w:color w:val="000000"/>
          <w:sz w:val="24"/>
        </w:rPr>
      </w:pPr>
      <w:r w:rsidRPr="00DD05C3">
        <w:rPr>
          <w:rFonts w:ascii="Cambria" w:eastAsia="Batang" w:hAnsi="Cambria"/>
          <w:b/>
          <w:bCs/>
          <w:color w:val="000000"/>
          <w:sz w:val="24"/>
        </w:rPr>
        <w:t>TOTAL COMPLIANCE</w:t>
      </w:r>
    </w:p>
    <w:p w14:paraId="0CDE4D15" w14:textId="065BB91C" w:rsidR="00DD1591" w:rsidRPr="00DD05C3" w:rsidRDefault="00DD1591" w:rsidP="00DD05C3">
      <w:pPr>
        <w:suppressAutoHyphens/>
        <w:spacing w:after="0" w:line="240" w:lineRule="auto"/>
        <w:ind w:right="4"/>
        <w:jc w:val="center"/>
        <w:rPr>
          <w:rFonts w:ascii="Cambria" w:eastAsia="Batang" w:hAnsi="Cambria"/>
          <w:b/>
          <w:color w:val="000000"/>
          <w:sz w:val="24"/>
        </w:rPr>
      </w:pPr>
      <w:r w:rsidRPr="00DD05C3">
        <w:rPr>
          <w:rFonts w:ascii="Cambria" w:eastAsia="Batang" w:hAnsi="Cambria"/>
          <w:b/>
          <w:bCs/>
          <w:color w:val="000000"/>
          <w:sz w:val="24"/>
        </w:rPr>
        <w:t>(</w:t>
      </w:r>
      <w:r w:rsidR="00F035F2" w:rsidRPr="00DD05C3">
        <w:rPr>
          <w:rFonts w:ascii="Cambria" w:eastAsia="Batang" w:hAnsi="Cambria"/>
          <w:b/>
          <w:bCs/>
          <w:color w:val="000000"/>
          <w:sz w:val="24"/>
        </w:rPr>
        <w:t>COLOMBIA</w:t>
      </w:r>
      <w:r w:rsidRPr="00DD05C3">
        <w:rPr>
          <w:rFonts w:ascii="Cambria" w:eastAsia="Batang" w:hAnsi="Cambria"/>
          <w:b/>
          <w:bCs/>
          <w:color w:val="000000"/>
          <w:sz w:val="24"/>
        </w:rPr>
        <w:t>)</w:t>
      </w:r>
    </w:p>
    <w:p w14:paraId="2F3E2943" w14:textId="77777777" w:rsidR="00F035F2" w:rsidRPr="00AF6D30" w:rsidRDefault="00F035F2" w:rsidP="00DD05C3">
      <w:pPr>
        <w:suppressAutoHyphens/>
        <w:spacing w:after="0" w:line="240" w:lineRule="auto"/>
        <w:ind w:right="-270"/>
        <w:jc w:val="center"/>
        <w:rPr>
          <w:rFonts w:ascii="Cambria" w:eastAsia="Batang" w:hAnsi="Cambria"/>
          <w:b/>
          <w:color w:val="000000"/>
          <w:sz w:val="20"/>
          <w:szCs w:val="20"/>
        </w:rPr>
      </w:pPr>
    </w:p>
    <w:p w14:paraId="7EC1CC2C" w14:textId="77777777" w:rsidR="00F035F2" w:rsidRPr="00F035F2" w:rsidRDefault="00F035F2" w:rsidP="00DD05C3">
      <w:pPr>
        <w:suppressAutoHyphens/>
        <w:spacing w:after="0" w:line="240" w:lineRule="auto"/>
        <w:ind w:right="-270" w:firstLine="720"/>
        <w:rPr>
          <w:rFonts w:ascii="Cambria" w:eastAsia="Batang" w:hAnsi="Cambria"/>
          <w:b/>
          <w:color w:val="000000"/>
          <w:sz w:val="20"/>
          <w:szCs w:val="20"/>
        </w:rPr>
      </w:pPr>
      <w:r w:rsidRPr="00F035F2">
        <w:rPr>
          <w:rFonts w:ascii="Cambria" w:hAnsi="Cambria"/>
          <w:b/>
          <w:color w:val="000000"/>
          <w:sz w:val="20"/>
          <w:szCs w:val="20"/>
        </w:rPr>
        <w:t>I.</w:t>
      </w:r>
      <w:r w:rsidRPr="00F035F2">
        <w:rPr>
          <w:rFonts w:ascii="Cambria" w:hAnsi="Cambria"/>
          <w:sz w:val="20"/>
          <w:szCs w:val="20"/>
        </w:rPr>
        <w:tab/>
      </w:r>
      <w:r w:rsidRPr="00F035F2">
        <w:rPr>
          <w:rFonts w:ascii="Cambria" w:hAnsi="Cambria"/>
          <w:b/>
          <w:color w:val="000000"/>
          <w:sz w:val="20"/>
          <w:szCs w:val="20"/>
        </w:rPr>
        <w:t xml:space="preserve">SUMMARY OF THE CASE </w:t>
      </w:r>
    </w:p>
    <w:p w14:paraId="6BC2B635" w14:textId="77777777" w:rsidR="00F035F2" w:rsidRPr="00F035F2" w:rsidRDefault="00F035F2" w:rsidP="00DD05C3">
      <w:pPr>
        <w:suppressAutoHyphens/>
        <w:spacing w:after="0" w:line="240" w:lineRule="auto"/>
        <w:rPr>
          <w:rFonts w:ascii="Cambria" w:eastAsia="Batang"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F035F2" w:rsidRPr="00F035F2" w14:paraId="22219F38" w14:textId="77777777" w:rsidTr="009A74AF">
        <w:trPr>
          <w:trHeight w:val="558"/>
          <w:jc w:val="center"/>
        </w:trPr>
        <w:tc>
          <w:tcPr>
            <w:tcW w:w="9576" w:type="dxa"/>
            <w:shd w:val="clear" w:color="auto" w:fill="F2F2F2"/>
          </w:tcPr>
          <w:p w14:paraId="27D5039F" w14:textId="52001CF9" w:rsidR="00F035F2" w:rsidRPr="00F035F2" w:rsidRDefault="00F035F2" w:rsidP="00DD05C3">
            <w:pPr>
              <w:tabs>
                <w:tab w:val="center" w:pos="4513"/>
              </w:tabs>
              <w:suppressAutoHyphens/>
              <w:spacing w:after="0" w:line="240" w:lineRule="auto"/>
              <w:jc w:val="both"/>
              <w:rPr>
                <w:rFonts w:ascii="Cambria" w:eastAsia="Batang" w:hAnsi="Cambria"/>
                <w:color w:val="000000"/>
                <w:sz w:val="20"/>
                <w:szCs w:val="20"/>
              </w:rPr>
            </w:pPr>
            <w:r w:rsidRPr="00F035F2">
              <w:rPr>
                <w:rFonts w:ascii="Cambria" w:hAnsi="Cambria"/>
                <w:b/>
                <w:color w:val="000000"/>
                <w:sz w:val="20"/>
                <w:szCs w:val="20"/>
              </w:rPr>
              <w:t>Victim(s):</w:t>
            </w:r>
            <w:r w:rsidRPr="00F035F2">
              <w:rPr>
                <w:rFonts w:ascii="Cambria" w:hAnsi="Cambria"/>
                <w:color w:val="000000"/>
                <w:sz w:val="20"/>
                <w:szCs w:val="20"/>
              </w:rPr>
              <w:t xml:space="preserve"> Luis Horacio Patiño Agudelo</w:t>
            </w:r>
            <w:r w:rsidR="00E93B77">
              <w:rPr>
                <w:rFonts w:ascii="Cambria" w:hAnsi="Cambria"/>
                <w:color w:val="000000"/>
                <w:sz w:val="20"/>
                <w:szCs w:val="20"/>
              </w:rPr>
              <w:t xml:space="preserve"> and family</w:t>
            </w:r>
          </w:p>
          <w:p w14:paraId="31F8A1AF" w14:textId="4F99B741" w:rsidR="00F035F2" w:rsidRPr="00F035F2" w:rsidRDefault="00F035F2" w:rsidP="00DD05C3">
            <w:pPr>
              <w:tabs>
                <w:tab w:val="left" w:pos="9270"/>
              </w:tabs>
              <w:suppressAutoHyphens/>
              <w:spacing w:after="0" w:line="240" w:lineRule="auto"/>
              <w:jc w:val="both"/>
              <w:rPr>
                <w:rFonts w:ascii="Cambria" w:eastAsia="Batang" w:hAnsi="Cambria"/>
                <w:color w:val="000000"/>
                <w:sz w:val="20"/>
                <w:szCs w:val="20"/>
              </w:rPr>
            </w:pPr>
            <w:r w:rsidRPr="00F035F2">
              <w:rPr>
                <w:rFonts w:ascii="Cambria" w:hAnsi="Cambria"/>
                <w:b/>
                <w:color w:val="000000"/>
                <w:sz w:val="20"/>
                <w:szCs w:val="20"/>
              </w:rPr>
              <w:t xml:space="preserve">Petitioner(s): </w:t>
            </w:r>
            <w:r w:rsidRPr="00F035F2">
              <w:rPr>
                <w:rFonts w:ascii="Cambria" w:hAnsi="Cambria"/>
                <w:color w:val="000000"/>
                <w:sz w:val="20"/>
                <w:szCs w:val="20"/>
              </w:rPr>
              <w:t xml:space="preserve">Libardo Preciado Camargo and Libardo Preciado </w:t>
            </w:r>
            <w:r w:rsidR="00E93B77">
              <w:rPr>
                <w:rFonts w:ascii="Cambria" w:hAnsi="Cambria"/>
                <w:color w:val="000000"/>
                <w:sz w:val="20"/>
                <w:szCs w:val="20"/>
              </w:rPr>
              <w:t>Niño</w:t>
            </w:r>
          </w:p>
          <w:p w14:paraId="2A5F95E2" w14:textId="77777777" w:rsidR="00F035F2" w:rsidRPr="00F035F2" w:rsidRDefault="00F035F2" w:rsidP="00DD05C3">
            <w:pPr>
              <w:tabs>
                <w:tab w:val="left" w:pos="9270"/>
              </w:tabs>
              <w:suppressAutoHyphens/>
              <w:spacing w:after="0" w:line="240" w:lineRule="auto"/>
              <w:jc w:val="both"/>
              <w:rPr>
                <w:rFonts w:ascii="Cambria" w:eastAsia="Batang" w:hAnsi="Cambria"/>
                <w:color w:val="000000"/>
                <w:sz w:val="20"/>
                <w:szCs w:val="20"/>
              </w:rPr>
            </w:pPr>
            <w:r w:rsidRPr="00F035F2">
              <w:rPr>
                <w:rFonts w:ascii="Cambria" w:hAnsi="Cambria"/>
                <w:b/>
                <w:color w:val="000000"/>
                <w:sz w:val="20"/>
                <w:szCs w:val="20"/>
              </w:rPr>
              <w:t>State</w:t>
            </w:r>
            <w:r w:rsidRPr="00F035F2">
              <w:rPr>
                <w:rFonts w:ascii="Cambria" w:hAnsi="Cambria"/>
                <w:color w:val="000000"/>
                <w:sz w:val="20"/>
                <w:szCs w:val="20"/>
              </w:rPr>
              <w:t xml:space="preserve"> Colombia</w:t>
            </w:r>
          </w:p>
          <w:p w14:paraId="3005DABD" w14:textId="77777777" w:rsidR="00F035F2" w:rsidRPr="00F035F2" w:rsidRDefault="00F035F2" w:rsidP="00DD05C3">
            <w:pPr>
              <w:tabs>
                <w:tab w:val="left" w:pos="9270"/>
              </w:tabs>
              <w:suppressAutoHyphens/>
              <w:spacing w:after="0" w:line="240" w:lineRule="auto"/>
              <w:jc w:val="both"/>
              <w:rPr>
                <w:rFonts w:ascii="Cambria" w:eastAsia="Batang" w:hAnsi="Cambria"/>
                <w:color w:val="000000"/>
                <w:sz w:val="20"/>
                <w:szCs w:val="20"/>
              </w:rPr>
            </w:pPr>
            <w:r w:rsidRPr="00F035F2">
              <w:rPr>
                <w:rFonts w:ascii="Cambria" w:hAnsi="Cambria"/>
                <w:b/>
                <w:color w:val="000000"/>
                <w:sz w:val="20"/>
                <w:szCs w:val="20"/>
              </w:rPr>
              <w:t xml:space="preserve">Beginning of the negotiations date: </w:t>
            </w:r>
            <w:r w:rsidRPr="00F035F2">
              <w:rPr>
                <w:rFonts w:ascii="Cambria" w:hAnsi="Cambria"/>
                <w:color w:val="000000"/>
                <w:sz w:val="20"/>
                <w:szCs w:val="20"/>
              </w:rPr>
              <w:t>September 3, 2019</w:t>
            </w:r>
          </w:p>
          <w:p w14:paraId="6BA5641E" w14:textId="77777777" w:rsidR="00F035F2" w:rsidRPr="00F035F2" w:rsidRDefault="00F035F2" w:rsidP="00DD05C3">
            <w:pPr>
              <w:tabs>
                <w:tab w:val="left" w:pos="9270"/>
              </w:tabs>
              <w:suppressAutoHyphens/>
              <w:spacing w:after="0" w:line="240" w:lineRule="auto"/>
              <w:jc w:val="both"/>
              <w:rPr>
                <w:rFonts w:ascii="Cambria" w:hAnsi="Cambria"/>
                <w:b/>
                <w:bCs/>
                <w:color w:val="000000"/>
                <w:sz w:val="20"/>
                <w:szCs w:val="20"/>
              </w:rPr>
            </w:pPr>
            <w:r w:rsidRPr="00F035F2">
              <w:rPr>
                <w:rFonts w:ascii="Cambria" w:hAnsi="Cambria"/>
                <w:b/>
                <w:color w:val="000000"/>
                <w:sz w:val="20"/>
                <w:szCs w:val="20"/>
              </w:rPr>
              <w:t xml:space="preserve">FSA signature date: </w:t>
            </w:r>
            <w:r w:rsidRPr="00F035F2">
              <w:rPr>
                <w:rFonts w:ascii="Cambria" w:hAnsi="Cambria"/>
                <w:color w:val="000000"/>
                <w:sz w:val="20"/>
                <w:szCs w:val="20"/>
              </w:rPr>
              <w:t>December 3, 2019</w:t>
            </w:r>
          </w:p>
          <w:p w14:paraId="42FEBC79" w14:textId="77777777" w:rsidR="00F035F2" w:rsidRPr="00F035F2" w:rsidRDefault="00F035F2" w:rsidP="00DD05C3">
            <w:pPr>
              <w:tabs>
                <w:tab w:val="left" w:pos="9270"/>
              </w:tabs>
              <w:suppressAutoHyphens/>
              <w:spacing w:after="0" w:line="240" w:lineRule="auto"/>
              <w:jc w:val="both"/>
              <w:rPr>
                <w:rFonts w:ascii="Cambria" w:hAnsi="Cambria"/>
                <w:bCs/>
                <w:color w:val="000000"/>
                <w:sz w:val="20"/>
                <w:szCs w:val="20"/>
              </w:rPr>
            </w:pPr>
            <w:r w:rsidRPr="00F035F2">
              <w:rPr>
                <w:rFonts w:ascii="Cambria" w:hAnsi="Cambria"/>
                <w:b/>
                <w:color w:val="000000"/>
                <w:sz w:val="20"/>
                <w:szCs w:val="20"/>
              </w:rPr>
              <w:t xml:space="preserve">Friendly Settlement Agreement Report No. </w:t>
            </w:r>
            <w:hyperlink r:id="rId13">
              <w:r w:rsidRPr="00F035F2">
                <w:rPr>
                  <w:rFonts w:ascii="Cambria" w:hAnsi="Cambria"/>
                  <w:b/>
                  <w:color w:val="0563C1"/>
                  <w:sz w:val="20"/>
                  <w:szCs w:val="20"/>
                  <w:u w:val="single"/>
                </w:rPr>
                <w:t>80/20</w:t>
              </w:r>
            </w:hyperlink>
            <w:r w:rsidRPr="00F035F2">
              <w:rPr>
                <w:rFonts w:ascii="Cambria" w:hAnsi="Cambria"/>
                <w:color w:val="000000"/>
                <w:sz w:val="20"/>
                <w:szCs w:val="20"/>
              </w:rPr>
              <w:t xml:space="preserve">, published on May 8, 2020 </w:t>
            </w:r>
          </w:p>
          <w:p w14:paraId="41914540" w14:textId="77777777" w:rsidR="00F035F2" w:rsidRPr="00F035F2" w:rsidRDefault="00F035F2" w:rsidP="00DD05C3">
            <w:pPr>
              <w:tabs>
                <w:tab w:val="left" w:pos="9270"/>
              </w:tabs>
              <w:suppressAutoHyphens/>
              <w:spacing w:after="0" w:line="240" w:lineRule="auto"/>
              <w:jc w:val="both"/>
              <w:rPr>
                <w:rFonts w:ascii="Cambria" w:hAnsi="Cambria"/>
                <w:b/>
                <w:bCs/>
                <w:color w:val="000000"/>
                <w:sz w:val="20"/>
                <w:szCs w:val="20"/>
              </w:rPr>
            </w:pPr>
            <w:r w:rsidRPr="00F035F2">
              <w:rPr>
                <w:rFonts w:ascii="Cambria" w:hAnsi="Cambria"/>
                <w:b/>
                <w:color w:val="000000"/>
                <w:sz w:val="20"/>
                <w:szCs w:val="20"/>
              </w:rPr>
              <w:t xml:space="preserve">Estimated length of the negotiation phase: </w:t>
            </w:r>
            <w:r w:rsidRPr="00F035F2">
              <w:rPr>
                <w:rFonts w:ascii="Cambria" w:hAnsi="Cambria"/>
                <w:color w:val="000000"/>
                <w:sz w:val="20"/>
                <w:szCs w:val="20"/>
              </w:rPr>
              <w:t>8 months</w:t>
            </w:r>
          </w:p>
          <w:p w14:paraId="7D1A732D" w14:textId="77777777" w:rsidR="00F035F2" w:rsidRPr="00F035F2" w:rsidRDefault="00F035F2" w:rsidP="00DD05C3">
            <w:pPr>
              <w:tabs>
                <w:tab w:val="left" w:pos="9270"/>
              </w:tabs>
              <w:suppressAutoHyphens/>
              <w:spacing w:after="0" w:line="240" w:lineRule="auto"/>
              <w:jc w:val="both"/>
              <w:rPr>
                <w:rFonts w:ascii="Cambria" w:eastAsia="Batang" w:hAnsi="Cambria"/>
                <w:color w:val="000000"/>
                <w:sz w:val="20"/>
                <w:szCs w:val="20"/>
              </w:rPr>
            </w:pPr>
            <w:r w:rsidRPr="00F035F2">
              <w:rPr>
                <w:rFonts w:ascii="Cambria" w:hAnsi="Cambria"/>
                <w:b/>
                <w:color w:val="000000"/>
                <w:sz w:val="20"/>
                <w:szCs w:val="20"/>
              </w:rPr>
              <w:t>Related Rapporteurship (s):</w:t>
            </w:r>
            <w:r w:rsidRPr="00F035F2">
              <w:rPr>
                <w:rFonts w:ascii="Cambria" w:hAnsi="Cambria"/>
                <w:color w:val="000000"/>
                <w:sz w:val="20"/>
                <w:szCs w:val="20"/>
              </w:rPr>
              <w:t xml:space="preserve"> Rapporteurship on the Rights of Persons Deprived of Liberty</w:t>
            </w:r>
          </w:p>
          <w:p w14:paraId="7AC177C3" w14:textId="77777777" w:rsidR="00F035F2" w:rsidRPr="00F035F2" w:rsidRDefault="00F035F2" w:rsidP="00DD05C3">
            <w:pPr>
              <w:tabs>
                <w:tab w:val="left" w:pos="9270"/>
              </w:tabs>
              <w:suppressAutoHyphens/>
              <w:spacing w:after="0" w:line="240" w:lineRule="auto"/>
              <w:jc w:val="both"/>
              <w:rPr>
                <w:rFonts w:ascii="Cambria" w:eastAsia="Batang" w:hAnsi="Cambria"/>
                <w:color w:val="000000"/>
                <w:sz w:val="20"/>
                <w:szCs w:val="20"/>
              </w:rPr>
            </w:pPr>
            <w:r w:rsidRPr="00F035F2">
              <w:rPr>
                <w:rFonts w:ascii="Cambria" w:hAnsi="Cambria"/>
                <w:b/>
                <w:color w:val="000000"/>
                <w:sz w:val="20"/>
                <w:szCs w:val="20"/>
              </w:rPr>
              <w:t xml:space="preserve">Topics: </w:t>
            </w:r>
            <w:r w:rsidRPr="00F035F2">
              <w:rPr>
                <w:rFonts w:ascii="Cambria" w:hAnsi="Cambria"/>
                <w:color w:val="000000"/>
                <w:sz w:val="20"/>
                <w:szCs w:val="20"/>
              </w:rPr>
              <w:t>Detention conditions/ Right to life/ Judicial guarantees/ Investigation and due diligence/ Judicial protection/ Security and violence/ Torture, cruel, inhuman, or degrading treatment or punishment/ Excessive use of force/ police violence</w:t>
            </w:r>
          </w:p>
          <w:p w14:paraId="6B1C5BC3" w14:textId="77777777" w:rsidR="00F035F2" w:rsidRPr="00F035F2" w:rsidRDefault="00F035F2" w:rsidP="00DD05C3">
            <w:pPr>
              <w:tabs>
                <w:tab w:val="left" w:pos="9270"/>
              </w:tabs>
              <w:suppressAutoHyphens/>
              <w:spacing w:after="0" w:line="240" w:lineRule="auto"/>
              <w:jc w:val="both"/>
              <w:rPr>
                <w:rFonts w:ascii="Cambria" w:eastAsia="Batang" w:hAnsi="Cambria"/>
                <w:color w:val="000000"/>
                <w:sz w:val="20"/>
                <w:szCs w:val="20"/>
              </w:rPr>
            </w:pPr>
          </w:p>
          <w:p w14:paraId="39F945A5" w14:textId="0F8ECDC8" w:rsidR="00F035F2" w:rsidRPr="00F035F2" w:rsidRDefault="00F035F2" w:rsidP="00DD05C3">
            <w:pPr>
              <w:tabs>
                <w:tab w:val="left" w:pos="1440"/>
              </w:tabs>
              <w:suppressAutoHyphens/>
              <w:spacing w:after="0" w:line="240" w:lineRule="auto"/>
              <w:jc w:val="both"/>
              <w:rPr>
                <w:rFonts w:ascii="Cambria" w:hAnsi="Cambria"/>
                <w:sz w:val="20"/>
                <w:szCs w:val="20"/>
              </w:rPr>
            </w:pPr>
            <w:r w:rsidRPr="00F035F2">
              <w:rPr>
                <w:rFonts w:ascii="Cambria" w:hAnsi="Cambria"/>
                <w:b/>
                <w:color w:val="000000"/>
                <w:sz w:val="20"/>
                <w:szCs w:val="20"/>
              </w:rPr>
              <w:t>Facts:</w:t>
            </w:r>
            <w:r w:rsidRPr="00F035F2">
              <w:rPr>
                <w:rFonts w:ascii="Cambria" w:hAnsi="Cambria"/>
                <w:color w:val="000000"/>
                <w:sz w:val="20"/>
                <w:szCs w:val="20"/>
              </w:rPr>
              <w:t xml:space="preserve"> On March 7, 2007, the IACHR received a petition in which the petitioning party alleged that, on October 1, 1992, Mr. Luis Horacio Patiño had been convicted of murder and sentenced to13 years and 4 months imprisonment in the "El Barne" National Penitentiary in the Municipality of Combita, Boyacá, which he had entered in good health on July 6, 1993.</w:t>
            </w:r>
            <w:r w:rsidRPr="00F035F2">
              <w:rPr>
                <w:rFonts w:ascii="Cambria" w:hAnsi="Cambria"/>
                <w:sz w:val="20"/>
                <w:szCs w:val="20"/>
              </w:rPr>
              <w:t xml:space="preserve"> The petitioning party described how, due to disputes with guards at the prison, the alleged victim had been placed as a punishment in a solitary confinement cell on January 17, 1996. The petitioning party alleged that while he was undergoing that punishment, that same night continuous cries of pain could be heard coming from his cell, which had prompted other inmates to ask the prison guards to help, to no avail. On January 18, 1996, the alleged victim was found dead in his cell with internal signs (</w:t>
            </w:r>
            <w:r w:rsidRPr="00F035F2">
              <w:rPr>
                <w:rFonts w:ascii="Cambria" w:hAnsi="Cambria"/>
                <w:i/>
                <w:sz w:val="20"/>
                <w:szCs w:val="20"/>
              </w:rPr>
              <w:t>signos internos</w:t>
            </w:r>
            <w:r w:rsidRPr="00F035F2">
              <w:rPr>
                <w:rFonts w:ascii="Cambria" w:hAnsi="Cambria"/>
                <w:sz w:val="20"/>
                <w:szCs w:val="20"/>
              </w:rPr>
              <w:t>) of violence. According to the petitioning party's allegations, the forensic autopsy had determined the cause of death to had been endocranial hypertension following a blunt force brain trauma, for which reason the petitioners argued that the injuries had probably resulted from a beating meted out to him in his punishment cell by prison guards. The petitioners added that family members of the alleged victim had filed a suit for direct reparation that had been rejected on February 14, 2005 by the Administrative Tribunal of Boyacá, on the grounds that, even though there had been a flaw in the prison surveillance system that would make the State liable to make reparation, those claiming it had not accredited a family relationship to the alleged victim, Against that ruling, the petitioners had allegedly filed an appeal, arguing that the judiciary had failed to ask for additional proof, if they had had any doubt as to kinship. Those challenges was reportedly dismissed by the Council of State on November 4, 2005. Finally, the petitioners stated that, faced with that decision, they had filed an appeal for its reversal (</w:t>
            </w:r>
            <w:r w:rsidRPr="00F035F2">
              <w:rPr>
                <w:rFonts w:ascii="Cambria" w:hAnsi="Cambria"/>
                <w:i/>
                <w:sz w:val="20"/>
                <w:szCs w:val="20"/>
              </w:rPr>
              <w:t>recurso de súplica</w:t>
            </w:r>
            <w:r w:rsidRPr="00F035F2">
              <w:rPr>
                <w:rFonts w:ascii="Cambria" w:hAnsi="Cambria"/>
                <w:sz w:val="20"/>
                <w:szCs w:val="20"/>
              </w:rPr>
              <w:t xml:space="preserve">), which, they said, was rejected by the Council of State in a resolution handed down on March 16, </w:t>
            </w:r>
            <w:r w:rsidR="004C1718" w:rsidRPr="00F035F2">
              <w:rPr>
                <w:rFonts w:ascii="Cambria" w:hAnsi="Cambria"/>
                <w:sz w:val="20"/>
                <w:szCs w:val="20"/>
              </w:rPr>
              <w:t>2006,</w:t>
            </w:r>
            <w:r w:rsidRPr="00F035F2">
              <w:rPr>
                <w:rFonts w:ascii="Cambria" w:hAnsi="Cambria"/>
                <w:sz w:val="20"/>
                <w:szCs w:val="20"/>
              </w:rPr>
              <w:t xml:space="preserve"> and notified to the petitioners on September 8, 2006.</w:t>
            </w:r>
          </w:p>
          <w:p w14:paraId="2AF1A3E2" w14:textId="77777777" w:rsidR="00F035F2" w:rsidRPr="00F035F2" w:rsidRDefault="00F035F2" w:rsidP="00DD05C3">
            <w:pPr>
              <w:tabs>
                <w:tab w:val="left" w:pos="1440"/>
              </w:tabs>
              <w:suppressAutoHyphens/>
              <w:spacing w:after="0" w:line="240" w:lineRule="auto"/>
              <w:jc w:val="both"/>
              <w:rPr>
                <w:rFonts w:ascii="Cambria" w:eastAsia="Batang" w:hAnsi="Cambria"/>
                <w:color w:val="000000"/>
                <w:sz w:val="20"/>
                <w:szCs w:val="20"/>
              </w:rPr>
            </w:pPr>
          </w:p>
          <w:p w14:paraId="1328DFE2" w14:textId="65781D72" w:rsidR="00F035F2" w:rsidRPr="00F035F2" w:rsidRDefault="00F035F2" w:rsidP="00DD05C3">
            <w:pPr>
              <w:tabs>
                <w:tab w:val="left" w:pos="9270"/>
              </w:tabs>
              <w:suppressAutoHyphens/>
              <w:spacing w:after="0" w:line="240" w:lineRule="auto"/>
              <w:jc w:val="both"/>
              <w:rPr>
                <w:rFonts w:ascii="Cambria" w:eastAsia="Batang" w:hAnsi="Cambria"/>
                <w:color w:val="000000"/>
                <w:sz w:val="20"/>
                <w:szCs w:val="20"/>
              </w:rPr>
            </w:pPr>
            <w:r w:rsidRPr="00F035F2">
              <w:rPr>
                <w:rFonts w:ascii="Cambria" w:hAnsi="Cambria"/>
                <w:b/>
                <w:color w:val="000000"/>
                <w:sz w:val="20"/>
                <w:szCs w:val="20"/>
              </w:rPr>
              <w:t>Rights declared admissible:</w:t>
            </w:r>
            <w:r w:rsidRPr="00F035F2">
              <w:rPr>
                <w:rFonts w:ascii="Cambria" w:hAnsi="Cambria"/>
                <w:color w:val="000000"/>
                <w:sz w:val="20"/>
                <w:szCs w:val="20"/>
              </w:rPr>
              <w:t xml:space="preserve"> </w:t>
            </w:r>
            <w:r w:rsidRPr="00F035F2">
              <w:rPr>
                <w:rFonts w:ascii="Cambria" w:hAnsi="Cambria"/>
                <w:sz w:val="20"/>
                <w:szCs w:val="20"/>
              </w:rPr>
              <w:t xml:space="preserve">The IACHR declared the petition admissible in Admissibility Report </w:t>
            </w:r>
            <w:hyperlink r:id="rId14" w:history="1">
              <w:r w:rsidRPr="00F035F2">
                <w:rPr>
                  <w:rStyle w:val="Hyperlink"/>
                  <w:rFonts w:ascii="Cambria" w:hAnsi="Cambria"/>
                  <w:sz w:val="20"/>
                  <w:szCs w:val="20"/>
                </w:rPr>
                <w:t>No. 106/17</w:t>
              </w:r>
            </w:hyperlink>
            <w:r w:rsidRPr="00F035F2">
              <w:rPr>
                <w:rFonts w:ascii="Cambria" w:hAnsi="Cambria"/>
                <w:sz w:val="20"/>
                <w:szCs w:val="20"/>
              </w:rPr>
              <w:t>, in which t concluded that it was competent to examine the alleged violation of Articles 4 (right to life), 5 (right to personal integrity), 8 (judicial guarantees), and 25 (judicial protection) of the American Convention in conjunction with Articles 1.1 and 2 thereof; and to  analyze the possible violation of rights upheld in Articles 1, 6, and 8 of the Inter-American Convention to Prevent  and Punish Torture.</w:t>
            </w:r>
          </w:p>
        </w:tc>
      </w:tr>
    </w:tbl>
    <w:p w14:paraId="565E358D" w14:textId="5A926607" w:rsidR="00F035F2" w:rsidRDefault="00F035F2" w:rsidP="00DD05C3">
      <w:pPr>
        <w:suppressAutoHyphens/>
        <w:spacing w:after="0" w:line="240" w:lineRule="auto"/>
        <w:rPr>
          <w:rFonts w:ascii="Cambria" w:hAnsi="Cambria"/>
          <w:b/>
          <w:color w:val="000000"/>
          <w:sz w:val="20"/>
          <w:szCs w:val="20"/>
        </w:rPr>
      </w:pPr>
    </w:p>
    <w:p w14:paraId="58B2B1E9" w14:textId="77777777" w:rsidR="004C1718" w:rsidRDefault="004C1718" w:rsidP="00DD05C3">
      <w:pPr>
        <w:suppressAutoHyphens/>
        <w:spacing w:after="0" w:line="240" w:lineRule="auto"/>
        <w:rPr>
          <w:rFonts w:ascii="Cambria" w:hAnsi="Cambria"/>
          <w:b/>
          <w:color w:val="000000"/>
          <w:sz w:val="20"/>
          <w:szCs w:val="20"/>
        </w:rPr>
      </w:pPr>
    </w:p>
    <w:p w14:paraId="32A8526D" w14:textId="77777777" w:rsidR="004C1718" w:rsidRPr="00F035F2" w:rsidRDefault="004C1718" w:rsidP="00DD05C3">
      <w:pPr>
        <w:suppressAutoHyphens/>
        <w:spacing w:after="0" w:line="240" w:lineRule="auto"/>
        <w:rPr>
          <w:rFonts w:ascii="Cambria" w:hAnsi="Cambria"/>
          <w:b/>
          <w:color w:val="000000"/>
          <w:sz w:val="20"/>
          <w:szCs w:val="20"/>
        </w:rPr>
      </w:pPr>
    </w:p>
    <w:p w14:paraId="77393F5B" w14:textId="77777777" w:rsidR="00F035F2" w:rsidRPr="00F035F2" w:rsidRDefault="00F035F2" w:rsidP="00DD05C3">
      <w:pPr>
        <w:tabs>
          <w:tab w:val="left" w:pos="1440"/>
        </w:tabs>
        <w:suppressAutoHyphens/>
        <w:spacing w:after="0" w:line="240" w:lineRule="auto"/>
        <w:ind w:firstLine="709"/>
        <w:contextualSpacing/>
        <w:jc w:val="both"/>
        <w:rPr>
          <w:rFonts w:ascii="Cambria" w:eastAsia="Batang" w:hAnsi="Cambria" w:cs="Calibri Light"/>
          <w:b/>
          <w:color w:val="000000"/>
          <w:sz w:val="20"/>
          <w:szCs w:val="20"/>
        </w:rPr>
      </w:pPr>
      <w:r w:rsidRPr="00F035F2">
        <w:rPr>
          <w:rFonts w:ascii="Cambria" w:hAnsi="Cambria"/>
          <w:b/>
          <w:color w:val="000000"/>
          <w:sz w:val="20"/>
          <w:szCs w:val="20"/>
        </w:rPr>
        <w:lastRenderedPageBreak/>
        <w:t>II.</w:t>
      </w:r>
      <w:r w:rsidRPr="00F035F2">
        <w:rPr>
          <w:rFonts w:ascii="Cambria" w:hAnsi="Cambria"/>
          <w:sz w:val="20"/>
          <w:szCs w:val="20"/>
        </w:rPr>
        <w:tab/>
      </w:r>
      <w:r w:rsidRPr="00F035F2">
        <w:rPr>
          <w:rFonts w:ascii="Cambria" w:hAnsi="Cambria"/>
          <w:b/>
          <w:color w:val="000000"/>
          <w:sz w:val="20"/>
          <w:szCs w:val="20"/>
        </w:rPr>
        <w:t>PROCEDURAL ACTIVITY</w:t>
      </w:r>
    </w:p>
    <w:p w14:paraId="6A407DCB" w14:textId="77777777" w:rsidR="00F035F2" w:rsidRPr="00F035F2" w:rsidRDefault="00F035F2" w:rsidP="00DD05C3">
      <w:pPr>
        <w:tabs>
          <w:tab w:val="left" w:pos="1440"/>
        </w:tabs>
        <w:suppressAutoHyphens/>
        <w:spacing w:after="0" w:line="240" w:lineRule="auto"/>
        <w:ind w:firstLine="709"/>
        <w:jc w:val="both"/>
        <w:rPr>
          <w:rFonts w:ascii="Cambria" w:eastAsia="Batang" w:hAnsi="Cambria" w:cs="Calibri Light"/>
          <w:b/>
          <w:color w:val="000000"/>
          <w:sz w:val="20"/>
          <w:szCs w:val="20"/>
        </w:rPr>
      </w:pPr>
    </w:p>
    <w:p w14:paraId="5543CE74" w14:textId="7E6EF623" w:rsidR="004C1718" w:rsidRPr="004C1718" w:rsidRDefault="004C1718" w:rsidP="004C1718">
      <w:pPr>
        <w:numPr>
          <w:ilvl w:val="0"/>
          <w:numId w:val="38"/>
        </w:numPr>
        <w:tabs>
          <w:tab w:val="left" w:pos="1440"/>
        </w:tabs>
        <w:suppressAutoHyphens/>
        <w:spacing w:after="0" w:line="240" w:lineRule="auto"/>
        <w:ind w:left="0" w:firstLine="709"/>
        <w:jc w:val="both"/>
        <w:rPr>
          <w:rFonts w:ascii="Cambria" w:hAnsi="Cambria"/>
          <w:color w:val="000000"/>
          <w:sz w:val="20"/>
          <w:szCs w:val="20"/>
        </w:rPr>
      </w:pPr>
      <w:r w:rsidRPr="004C1718">
        <w:rPr>
          <w:rFonts w:ascii="Cambria" w:hAnsi="Cambria"/>
          <w:color w:val="000000"/>
          <w:sz w:val="20"/>
          <w:szCs w:val="20"/>
        </w:rPr>
        <w:t xml:space="preserve">On </w:t>
      </w:r>
      <w:r>
        <w:rPr>
          <w:rFonts w:ascii="Cambria" w:hAnsi="Cambria"/>
          <w:color w:val="000000"/>
          <w:sz w:val="20"/>
          <w:szCs w:val="20"/>
        </w:rPr>
        <w:t>December 3, 2019,</w:t>
      </w:r>
      <w:r w:rsidRPr="004C1718">
        <w:rPr>
          <w:rFonts w:ascii="Cambria" w:hAnsi="Cambria"/>
          <w:color w:val="000000"/>
          <w:sz w:val="20"/>
          <w:szCs w:val="20"/>
        </w:rPr>
        <w:t xml:space="preserve"> the parties signed a friendly settlement agreement.</w:t>
      </w:r>
    </w:p>
    <w:p w14:paraId="255414E7" w14:textId="77777777" w:rsidR="004C1718" w:rsidRPr="004C1718" w:rsidRDefault="004C1718" w:rsidP="004C1718">
      <w:pPr>
        <w:tabs>
          <w:tab w:val="left" w:pos="1440"/>
        </w:tabs>
        <w:suppressAutoHyphens/>
        <w:spacing w:after="0" w:line="240" w:lineRule="auto"/>
        <w:ind w:firstLine="709"/>
        <w:jc w:val="both"/>
        <w:rPr>
          <w:rFonts w:ascii="Cambria" w:hAnsi="Cambria"/>
          <w:color w:val="000000"/>
          <w:sz w:val="20"/>
          <w:szCs w:val="20"/>
        </w:rPr>
      </w:pPr>
    </w:p>
    <w:p w14:paraId="2B29DF2F" w14:textId="46445C3D" w:rsidR="00F035F2" w:rsidRPr="00F035F2" w:rsidRDefault="004C1718" w:rsidP="004C1718">
      <w:pPr>
        <w:numPr>
          <w:ilvl w:val="0"/>
          <w:numId w:val="38"/>
        </w:numPr>
        <w:tabs>
          <w:tab w:val="left" w:pos="1440"/>
        </w:tabs>
        <w:suppressAutoHyphens/>
        <w:spacing w:after="0" w:line="240" w:lineRule="auto"/>
        <w:ind w:left="0" w:firstLine="709"/>
        <w:jc w:val="both"/>
        <w:rPr>
          <w:rFonts w:ascii="Cambria" w:eastAsia="Batang" w:hAnsi="Cambria" w:cs="Calibri Light"/>
          <w:color w:val="000000"/>
          <w:sz w:val="20"/>
          <w:szCs w:val="20"/>
        </w:rPr>
      </w:pPr>
      <w:r w:rsidRPr="004C1718">
        <w:rPr>
          <w:rFonts w:ascii="Cambria" w:hAnsi="Cambria"/>
          <w:color w:val="000000"/>
          <w:sz w:val="20"/>
          <w:szCs w:val="20"/>
        </w:rPr>
        <w:t xml:space="preserve">On </w:t>
      </w:r>
      <w:r>
        <w:rPr>
          <w:rFonts w:ascii="Cambria" w:hAnsi="Cambria"/>
          <w:color w:val="000000"/>
          <w:sz w:val="20"/>
          <w:szCs w:val="20"/>
        </w:rPr>
        <w:t>May 8, 2020</w:t>
      </w:r>
      <w:r w:rsidRPr="004C1718">
        <w:rPr>
          <w:rFonts w:ascii="Cambria" w:hAnsi="Cambria"/>
          <w:color w:val="000000"/>
          <w:sz w:val="20"/>
          <w:szCs w:val="20"/>
        </w:rPr>
        <w:t xml:space="preserve">, the Commission approved the friendly settlement agreement </w:t>
      </w:r>
      <w:r w:rsidR="005302BD">
        <w:rPr>
          <w:rFonts w:ascii="Cambria" w:hAnsi="Cambria"/>
          <w:color w:val="000000"/>
          <w:sz w:val="20"/>
          <w:szCs w:val="20"/>
        </w:rPr>
        <w:t>through</w:t>
      </w:r>
      <w:r w:rsidRPr="004C1718">
        <w:rPr>
          <w:rFonts w:ascii="Cambria" w:hAnsi="Cambria"/>
          <w:color w:val="000000"/>
          <w:sz w:val="20"/>
          <w:szCs w:val="20"/>
        </w:rPr>
        <w:t xml:space="preserve"> Report </w:t>
      </w:r>
      <w:r>
        <w:rPr>
          <w:rFonts w:ascii="Cambria" w:hAnsi="Cambria"/>
          <w:color w:val="000000"/>
          <w:sz w:val="20"/>
          <w:szCs w:val="20"/>
        </w:rPr>
        <w:t>80</w:t>
      </w:r>
      <w:r w:rsidRPr="004C1718">
        <w:rPr>
          <w:rFonts w:ascii="Cambria" w:hAnsi="Cambria"/>
          <w:color w:val="000000"/>
          <w:sz w:val="20"/>
          <w:szCs w:val="20"/>
        </w:rPr>
        <w:t>/2</w:t>
      </w:r>
      <w:r>
        <w:rPr>
          <w:rFonts w:ascii="Cambria" w:hAnsi="Cambria"/>
          <w:color w:val="000000"/>
          <w:sz w:val="20"/>
          <w:szCs w:val="20"/>
        </w:rPr>
        <w:t>0</w:t>
      </w:r>
      <w:r w:rsidR="00F035F2" w:rsidRPr="00F035F2">
        <w:rPr>
          <w:rFonts w:ascii="Cambria" w:hAnsi="Cambria"/>
          <w:color w:val="000000"/>
          <w:sz w:val="20"/>
          <w:szCs w:val="20"/>
        </w:rPr>
        <w:t>.</w:t>
      </w:r>
    </w:p>
    <w:p w14:paraId="0063E1A0" w14:textId="77777777" w:rsidR="00F035F2" w:rsidRPr="00F035F2" w:rsidRDefault="00F035F2" w:rsidP="00DD05C3">
      <w:pPr>
        <w:tabs>
          <w:tab w:val="left" w:pos="1440"/>
        </w:tabs>
        <w:suppressAutoHyphens/>
        <w:spacing w:after="0" w:line="240" w:lineRule="auto"/>
        <w:ind w:firstLine="709"/>
        <w:jc w:val="both"/>
        <w:rPr>
          <w:rFonts w:ascii="Cambria" w:eastAsia="Batang" w:hAnsi="Cambria" w:cs="Calibri Light"/>
          <w:b/>
          <w:color w:val="000000"/>
          <w:sz w:val="20"/>
          <w:szCs w:val="20"/>
        </w:rPr>
      </w:pPr>
    </w:p>
    <w:p w14:paraId="12D3588C" w14:textId="77777777" w:rsidR="00F035F2" w:rsidRPr="00F035F2" w:rsidRDefault="00F035F2" w:rsidP="00DD05C3">
      <w:pPr>
        <w:suppressAutoHyphens/>
        <w:spacing w:after="0" w:line="240" w:lineRule="auto"/>
        <w:ind w:firstLine="709"/>
        <w:jc w:val="both"/>
        <w:rPr>
          <w:rFonts w:ascii="Cambria" w:eastAsia="Batang" w:hAnsi="Cambria" w:cs="Calibri Light"/>
          <w:b/>
          <w:color w:val="000000"/>
          <w:sz w:val="20"/>
          <w:szCs w:val="20"/>
        </w:rPr>
      </w:pPr>
      <w:r w:rsidRPr="00F035F2">
        <w:rPr>
          <w:rFonts w:ascii="Cambria" w:hAnsi="Cambria"/>
          <w:b/>
          <w:color w:val="000000"/>
          <w:sz w:val="20"/>
          <w:szCs w:val="20"/>
        </w:rPr>
        <w:t xml:space="preserve">III. </w:t>
      </w:r>
      <w:r w:rsidRPr="00F035F2">
        <w:rPr>
          <w:rFonts w:ascii="Cambria" w:hAnsi="Cambria"/>
          <w:sz w:val="20"/>
          <w:szCs w:val="20"/>
        </w:rPr>
        <w:tab/>
      </w:r>
      <w:r w:rsidRPr="00F035F2">
        <w:rPr>
          <w:rFonts w:ascii="Cambria" w:hAnsi="Cambria"/>
          <w:b/>
          <w:color w:val="000000"/>
          <w:sz w:val="20"/>
          <w:szCs w:val="20"/>
        </w:rPr>
        <w:t>ANALYSIS OF COMPLIANCE WITH THE CLAUSES OF THE FRIENDLY SETTLEMENT AGREEMENT</w:t>
      </w:r>
    </w:p>
    <w:p w14:paraId="50F8A6C9" w14:textId="77777777" w:rsidR="00F035F2" w:rsidRPr="00F035F2" w:rsidRDefault="00F035F2" w:rsidP="00DD05C3">
      <w:pPr>
        <w:suppressAutoHyphens/>
        <w:spacing w:after="0" w:line="240" w:lineRule="auto"/>
        <w:ind w:firstLine="709"/>
        <w:rPr>
          <w:rFonts w:ascii="Cambria" w:eastAsia="Batang" w:hAnsi="Cambria" w:cs="Calibri Light"/>
          <w:b/>
          <w:color w:val="000000"/>
          <w:sz w:val="20"/>
          <w:szCs w:val="2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4C1718" w:rsidRPr="00F035F2" w14:paraId="67C06E79" w14:textId="77777777" w:rsidTr="00AF6D30">
        <w:trPr>
          <w:trHeight w:val="521"/>
        </w:trPr>
        <w:tc>
          <w:tcPr>
            <w:tcW w:w="4423" w:type="dxa"/>
            <w:shd w:val="clear" w:color="auto" w:fill="D9D9D9"/>
            <w:vAlign w:val="center"/>
            <w:hideMark/>
          </w:tcPr>
          <w:p w14:paraId="6E235081" w14:textId="4EEF7B53" w:rsidR="004C1718" w:rsidRPr="00F035F2" w:rsidRDefault="004C1718" w:rsidP="00DD05C3">
            <w:pPr>
              <w:tabs>
                <w:tab w:val="center" w:pos="2049"/>
              </w:tabs>
              <w:suppressAutoHyphens/>
              <w:spacing w:after="0" w:line="240" w:lineRule="auto"/>
              <w:jc w:val="center"/>
              <w:rPr>
                <w:rFonts w:ascii="Cambria" w:eastAsia="Batang" w:hAnsi="Cambria"/>
                <w:b/>
                <w:color w:val="000000"/>
                <w:sz w:val="20"/>
                <w:szCs w:val="20"/>
              </w:rPr>
            </w:pPr>
            <w:r w:rsidRPr="00F035F2">
              <w:rPr>
                <w:rFonts w:ascii="Cambria" w:hAnsi="Cambria"/>
                <w:b/>
                <w:color w:val="000000"/>
                <w:sz w:val="20"/>
                <w:szCs w:val="20"/>
              </w:rPr>
              <w:t xml:space="preserve">Agreement </w:t>
            </w:r>
            <w:r>
              <w:rPr>
                <w:rFonts w:ascii="Cambria" w:hAnsi="Cambria"/>
                <w:b/>
                <w:color w:val="000000"/>
                <w:sz w:val="20"/>
                <w:szCs w:val="20"/>
              </w:rPr>
              <w:t>Cl</w:t>
            </w:r>
            <w:r w:rsidRPr="00F035F2">
              <w:rPr>
                <w:rFonts w:ascii="Cambria" w:hAnsi="Cambria"/>
                <w:b/>
                <w:color w:val="000000"/>
                <w:sz w:val="20"/>
                <w:szCs w:val="20"/>
              </w:rPr>
              <w:t>ause</w:t>
            </w:r>
          </w:p>
        </w:tc>
        <w:tc>
          <w:tcPr>
            <w:tcW w:w="4962" w:type="dxa"/>
            <w:shd w:val="clear" w:color="auto" w:fill="D9D9D9"/>
            <w:vAlign w:val="center"/>
            <w:hideMark/>
          </w:tcPr>
          <w:p w14:paraId="7AE614FF" w14:textId="0687E68C" w:rsidR="004C1718" w:rsidRPr="00F035F2" w:rsidRDefault="004C1718" w:rsidP="004C1718">
            <w:pPr>
              <w:suppressAutoHyphens/>
              <w:spacing w:after="0" w:line="240" w:lineRule="auto"/>
              <w:jc w:val="center"/>
              <w:rPr>
                <w:rFonts w:ascii="Cambria" w:eastAsia="Batang" w:hAnsi="Cambria"/>
                <w:b/>
                <w:color w:val="000000"/>
                <w:sz w:val="20"/>
                <w:szCs w:val="20"/>
              </w:rPr>
            </w:pPr>
            <w:r w:rsidRPr="00F035F2">
              <w:rPr>
                <w:rFonts w:ascii="Cambria" w:hAnsi="Cambria"/>
                <w:b/>
                <w:color w:val="000000"/>
                <w:sz w:val="20"/>
                <w:szCs w:val="20"/>
              </w:rPr>
              <w:t xml:space="preserve">Status of </w:t>
            </w:r>
            <w:r>
              <w:rPr>
                <w:rFonts w:ascii="Cambria" w:hAnsi="Cambria"/>
                <w:b/>
                <w:color w:val="000000"/>
                <w:sz w:val="20"/>
                <w:szCs w:val="20"/>
              </w:rPr>
              <w:t>C</w:t>
            </w:r>
            <w:r w:rsidRPr="00F035F2">
              <w:rPr>
                <w:rFonts w:ascii="Cambria" w:hAnsi="Cambria"/>
                <w:b/>
                <w:color w:val="000000"/>
                <w:sz w:val="20"/>
                <w:szCs w:val="20"/>
              </w:rPr>
              <w:t>ompliance</w:t>
            </w:r>
          </w:p>
        </w:tc>
      </w:tr>
      <w:tr w:rsidR="004C1718" w:rsidRPr="00F035F2" w14:paraId="6E9A4957" w14:textId="77777777" w:rsidTr="004C1718">
        <w:trPr>
          <w:trHeight w:val="287"/>
        </w:trPr>
        <w:tc>
          <w:tcPr>
            <w:tcW w:w="4423" w:type="dxa"/>
          </w:tcPr>
          <w:p w14:paraId="5C5B111D" w14:textId="77777777" w:rsidR="00F035F2" w:rsidRPr="00F035F2" w:rsidRDefault="00F035F2" w:rsidP="00DD05C3">
            <w:pPr>
              <w:tabs>
                <w:tab w:val="left" w:pos="3921"/>
              </w:tabs>
              <w:suppressAutoHyphens/>
              <w:spacing w:after="0" w:line="240" w:lineRule="auto"/>
              <w:ind w:right="69"/>
              <w:jc w:val="both"/>
              <w:rPr>
                <w:rFonts w:ascii="Cambria" w:eastAsia="Times New Roman" w:hAnsi="Cambria"/>
                <w:b/>
                <w:color w:val="000000"/>
                <w:sz w:val="20"/>
                <w:szCs w:val="20"/>
              </w:rPr>
            </w:pPr>
            <w:r w:rsidRPr="00F035F2">
              <w:rPr>
                <w:rFonts w:ascii="Cambria" w:hAnsi="Cambria"/>
                <w:b/>
                <w:color w:val="000000"/>
                <w:sz w:val="20"/>
                <w:szCs w:val="20"/>
              </w:rPr>
              <w:t>FIRST: ACKNOWLEDGMENT OF RESPONSIBILITY</w:t>
            </w:r>
          </w:p>
          <w:p w14:paraId="2CAC7AB9" w14:textId="77777777" w:rsidR="00F035F2" w:rsidRPr="00F035F2" w:rsidRDefault="00F035F2" w:rsidP="00DD05C3">
            <w:pPr>
              <w:tabs>
                <w:tab w:val="left" w:pos="3921"/>
              </w:tabs>
              <w:suppressAutoHyphens/>
              <w:spacing w:after="0" w:line="240" w:lineRule="auto"/>
              <w:ind w:right="69"/>
              <w:jc w:val="both"/>
              <w:rPr>
                <w:rFonts w:ascii="Cambria" w:eastAsia="Times New Roman" w:hAnsi="Cambria"/>
                <w:bCs/>
                <w:color w:val="000000"/>
                <w:sz w:val="20"/>
                <w:szCs w:val="20"/>
              </w:rPr>
            </w:pPr>
            <w:r w:rsidRPr="00F035F2">
              <w:rPr>
                <w:rFonts w:ascii="Cambria" w:hAnsi="Cambria"/>
                <w:sz w:val="20"/>
                <w:szCs w:val="20"/>
              </w:rPr>
              <w:t>The Colombian State acknowledges its responsibility for omitting to comply with its duty to guarantee, for Luis Horacio Patiño Agudelo, the rights embodied in Articles 4 (right to life) and 5.1 (personal integrity) of the American Convention on Human Rights, in conjunction with the general obligation established in Article 1.1 of the same instrument. The reason for this is that Mr. Luis Horacio Patiño Agudelo was in the custody of the State, in a prison, when he died, so that since he was in a relation of subordinate dependence on the State, the administration had to be fully answerable for his security and protection.</w:t>
            </w:r>
          </w:p>
        </w:tc>
        <w:tc>
          <w:tcPr>
            <w:tcW w:w="4962" w:type="dxa"/>
            <w:vAlign w:val="center"/>
          </w:tcPr>
          <w:p w14:paraId="6FECE857" w14:textId="43BB1B2A" w:rsidR="00F035F2" w:rsidRPr="00F035F2" w:rsidRDefault="00F035F2" w:rsidP="00DD05C3">
            <w:pPr>
              <w:suppressAutoHyphens/>
              <w:spacing w:after="0" w:line="240" w:lineRule="auto"/>
              <w:jc w:val="center"/>
              <w:rPr>
                <w:rFonts w:ascii="Cambria" w:eastAsia="Batang" w:hAnsi="Cambria"/>
                <w:b/>
                <w:bCs/>
                <w:color w:val="000000"/>
                <w:sz w:val="20"/>
                <w:szCs w:val="20"/>
              </w:rPr>
            </w:pPr>
            <w:r w:rsidRPr="00F035F2">
              <w:rPr>
                <w:rFonts w:ascii="Cambria" w:hAnsi="Cambria"/>
                <w:b/>
                <w:color w:val="000000"/>
                <w:sz w:val="20"/>
                <w:szCs w:val="20"/>
              </w:rPr>
              <w:t xml:space="preserve">Declarative </w:t>
            </w:r>
            <w:r w:rsidR="004C1718">
              <w:rPr>
                <w:rFonts w:ascii="Cambria" w:hAnsi="Cambria"/>
                <w:b/>
                <w:color w:val="000000"/>
                <w:sz w:val="20"/>
                <w:szCs w:val="20"/>
              </w:rPr>
              <w:t>C</w:t>
            </w:r>
            <w:r w:rsidRPr="00F035F2">
              <w:rPr>
                <w:rFonts w:ascii="Cambria" w:hAnsi="Cambria"/>
                <w:b/>
                <w:color w:val="000000"/>
                <w:sz w:val="20"/>
                <w:szCs w:val="20"/>
              </w:rPr>
              <w:t>lause</w:t>
            </w:r>
          </w:p>
        </w:tc>
      </w:tr>
      <w:tr w:rsidR="004C1718" w:rsidRPr="00F035F2" w14:paraId="02C0DDD6" w14:textId="77777777" w:rsidTr="004C1718">
        <w:trPr>
          <w:trHeight w:val="197"/>
        </w:trPr>
        <w:tc>
          <w:tcPr>
            <w:tcW w:w="9385" w:type="dxa"/>
            <w:gridSpan w:val="2"/>
          </w:tcPr>
          <w:p w14:paraId="2FFC727C" w14:textId="77777777" w:rsidR="00F035F2" w:rsidRPr="00F035F2" w:rsidRDefault="00F035F2" w:rsidP="00DD05C3">
            <w:pPr>
              <w:suppressAutoHyphens/>
              <w:spacing w:after="0" w:line="240" w:lineRule="auto"/>
              <w:rPr>
                <w:rFonts w:ascii="Cambria" w:eastAsia="Batang" w:hAnsi="Cambria"/>
                <w:b/>
                <w:bCs/>
                <w:color w:val="000000"/>
                <w:sz w:val="20"/>
                <w:szCs w:val="20"/>
              </w:rPr>
            </w:pPr>
            <w:r w:rsidRPr="00F035F2">
              <w:rPr>
                <w:rFonts w:ascii="Cambria" w:hAnsi="Cambria"/>
                <w:b/>
                <w:color w:val="000000"/>
                <w:sz w:val="20"/>
                <w:szCs w:val="20"/>
              </w:rPr>
              <w:t>SECOND: MEASURES OF SATISFACTION</w:t>
            </w:r>
          </w:p>
        </w:tc>
      </w:tr>
      <w:tr w:rsidR="004C1718" w:rsidRPr="00F035F2" w14:paraId="05D2B3AD" w14:textId="77777777" w:rsidTr="004C1718">
        <w:trPr>
          <w:trHeight w:val="503"/>
        </w:trPr>
        <w:tc>
          <w:tcPr>
            <w:tcW w:w="4423" w:type="dxa"/>
          </w:tcPr>
          <w:p w14:paraId="3C0B059A" w14:textId="77777777" w:rsidR="00F035F2" w:rsidRPr="00F035F2" w:rsidRDefault="00F035F2" w:rsidP="00DD05C3">
            <w:pPr>
              <w:suppressAutoHyphens/>
              <w:spacing w:after="0" w:line="240" w:lineRule="auto"/>
              <w:ind w:right="72"/>
              <w:jc w:val="both"/>
              <w:rPr>
                <w:rFonts w:ascii="Cambria" w:hAnsi="Cambria"/>
                <w:b/>
                <w:sz w:val="20"/>
                <w:szCs w:val="20"/>
              </w:rPr>
            </w:pPr>
            <w:r w:rsidRPr="00F035F2">
              <w:rPr>
                <w:rFonts w:ascii="Cambria" w:hAnsi="Cambria"/>
                <w:b/>
                <w:sz w:val="20"/>
                <w:szCs w:val="20"/>
              </w:rPr>
              <w:t xml:space="preserve">A) Act of acknowledgment of responsibility </w:t>
            </w:r>
          </w:p>
          <w:p w14:paraId="0DE2BAE5" w14:textId="77777777" w:rsidR="00F035F2" w:rsidRPr="00F035F2" w:rsidRDefault="00F035F2" w:rsidP="00DD05C3">
            <w:pPr>
              <w:suppressAutoHyphens/>
              <w:spacing w:after="0" w:line="240" w:lineRule="auto"/>
              <w:ind w:right="72"/>
              <w:jc w:val="both"/>
              <w:rPr>
                <w:rFonts w:ascii="Cambria" w:eastAsia="Times New Roman" w:hAnsi="Cambria"/>
                <w:bCs/>
                <w:color w:val="000000"/>
                <w:kern w:val="36"/>
                <w:sz w:val="20"/>
                <w:szCs w:val="20"/>
              </w:rPr>
            </w:pPr>
            <w:r w:rsidRPr="00F035F2">
              <w:rPr>
                <w:rFonts w:ascii="Cambria" w:hAnsi="Cambria"/>
                <w:sz w:val="20"/>
                <w:szCs w:val="20"/>
              </w:rPr>
              <w:t>A private act of acknowledgment of responsibility, which shall be carried out in the Combita Boyacá prison.   The ceremony in which the State acknowledges its responsibility shall include active participation by family members and representatives of the victims. In that ceremony, the State shall acknowledge its responsibility in the terms agreed to in this Agreement. The National Penitentiary and Prison Institute (INPEC) shall be responsible for implementing this measure.</w:t>
            </w:r>
          </w:p>
        </w:tc>
        <w:tc>
          <w:tcPr>
            <w:tcW w:w="4962" w:type="dxa"/>
            <w:vAlign w:val="center"/>
          </w:tcPr>
          <w:p w14:paraId="4E28946B" w14:textId="77777777" w:rsidR="00F035F2" w:rsidRPr="00F035F2" w:rsidRDefault="00F035F2" w:rsidP="00DD05C3">
            <w:pPr>
              <w:suppressAutoHyphens/>
              <w:spacing w:after="0" w:line="240" w:lineRule="auto"/>
              <w:jc w:val="center"/>
              <w:rPr>
                <w:rFonts w:ascii="Cambria" w:eastAsia="Batang" w:hAnsi="Cambria"/>
                <w:b/>
                <w:bCs/>
                <w:color w:val="000000"/>
                <w:sz w:val="20"/>
                <w:szCs w:val="20"/>
              </w:rPr>
            </w:pPr>
            <w:r w:rsidRPr="00F035F2">
              <w:rPr>
                <w:rFonts w:ascii="Cambria" w:hAnsi="Cambria"/>
                <w:b/>
                <w:color w:val="000000"/>
                <w:sz w:val="20"/>
                <w:szCs w:val="20"/>
              </w:rPr>
              <w:t>Total</w:t>
            </w:r>
            <w:r w:rsidRPr="00F035F2">
              <w:rPr>
                <w:rFonts w:ascii="Cambria" w:hAnsi="Cambria"/>
                <w:b/>
                <w:color w:val="000000"/>
                <w:sz w:val="20"/>
                <w:szCs w:val="20"/>
                <w:vertAlign w:val="superscript"/>
              </w:rPr>
              <w:footnoteReference w:id="2"/>
            </w:r>
          </w:p>
        </w:tc>
      </w:tr>
      <w:tr w:rsidR="004C1718" w:rsidRPr="00F035F2" w14:paraId="5ED32E1E" w14:textId="77777777" w:rsidTr="004C1718">
        <w:trPr>
          <w:trHeight w:val="503"/>
        </w:trPr>
        <w:tc>
          <w:tcPr>
            <w:tcW w:w="4423" w:type="dxa"/>
          </w:tcPr>
          <w:p w14:paraId="7F43AF6A" w14:textId="77777777" w:rsidR="00F035F2" w:rsidRPr="00F035F2" w:rsidRDefault="00F035F2" w:rsidP="00DD05C3">
            <w:pPr>
              <w:suppressAutoHyphens/>
              <w:spacing w:after="0" w:line="240" w:lineRule="auto"/>
              <w:ind w:right="72"/>
              <w:jc w:val="both"/>
              <w:rPr>
                <w:rFonts w:ascii="Cambria" w:hAnsi="Cambria"/>
                <w:sz w:val="20"/>
                <w:szCs w:val="20"/>
              </w:rPr>
            </w:pPr>
            <w:r w:rsidRPr="00F035F2">
              <w:rPr>
                <w:rFonts w:ascii="Cambria" w:hAnsi="Cambria"/>
                <w:b/>
                <w:sz w:val="20"/>
                <w:szCs w:val="20"/>
              </w:rPr>
              <w:t>B) Making of banners</w:t>
            </w:r>
            <w:r w:rsidRPr="00F035F2">
              <w:rPr>
                <w:rFonts w:ascii="Cambria" w:hAnsi="Cambria"/>
                <w:sz w:val="20"/>
                <w:szCs w:val="20"/>
              </w:rPr>
              <w:t xml:space="preserve">. </w:t>
            </w:r>
          </w:p>
          <w:p w14:paraId="62AD5EDB" w14:textId="77777777" w:rsidR="00F035F2" w:rsidRPr="00F035F2" w:rsidRDefault="00F035F2" w:rsidP="00DD05C3">
            <w:pPr>
              <w:suppressAutoHyphens/>
              <w:spacing w:after="0" w:line="240" w:lineRule="auto"/>
              <w:ind w:right="72"/>
              <w:jc w:val="both"/>
              <w:rPr>
                <w:rFonts w:ascii="Cambria" w:hAnsi="Cambria"/>
                <w:sz w:val="20"/>
                <w:szCs w:val="20"/>
              </w:rPr>
            </w:pPr>
            <w:r w:rsidRPr="00F035F2">
              <w:rPr>
                <w:rFonts w:ascii="Cambria" w:hAnsi="Cambria"/>
                <w:sz w:val="20"/>
                <w:szCs w:val="20"/>
              </w:rPr>
              <w:t>The National Penitentiary and Prison Institute (INPEC) shall have banners made measuring 1.5 x 2.0 meters, bearing the photograph of Mr.  Luis Horacio Patiño Agudelo and a brief biographical sketch.  Which shall be hung in five of INPEC's second-generation national prison establishments.</w:t>
            </w:r>
          </w:p>
        </w:tc>
        <w:tc>
          <w:tcPr>
            <w:tcW w:w="4962" w:type="dxa"/>
            <w:vAlign w:val="center"/>
          </w:tcPr>
          <w:p w14:paraId="301CE03C" w14:textId="77777777" w:rsidR="00F035F2" w:rsidRPr="00F035F2" w:rsidRDefault="00F035F2" w:rsidP="00DD05C3">
            <w:pPr>
              <w:suppressAutoHyphens/>
              <w:spacing w:after="0" w:line="240" w:lineRule="auto"/>
              <w:jc w:val="center"/>
              <w:rPr>
                <w:rFonts w:ascii="Cambria" w:hAnsi="Cambria"/>
                <w:sz w:val="20"/>
                <w:szCs w:val="20"/>
              </w:rPr>
            </w:pPr>
            <w:r w:rsidRPr="00F035F2">
              <w:rPr>
                <w:rFonts w:ascii="Cambria" w:hAnsi="Cambria"/>
                <w:b/>
                <w:color w:val="000000"/>
                <w:sz w:val="20"/>
                <w:szCs w:val="20"/>
              </w:rPr>
              <w:t>Total</w:t>
            </w:r>
            <w:r w:rsidRPr="00F035F2">
              <w:rPr>
                <w:rFonts w:ascii="Cambria" w:hAnsi="Cambria"/>
                <w:b/>
                <w:color w:val="000000"/>
                <w:sz w:val="20"/>
                <w:szCs w:val="20"/>
                <w:vertAlign w:val="superscript"/>
              </w:rPr>
              <w:footnoteReference w:id="3"/>
            </w:r>
          </w:p>
        </w:tc>
      </w:tr>
      <w:tr w:rsidR="004C1718" w:rsidRPr="00F035F2" w14:paraId="4A3C77E9" w14:textId="77777777" w:rsidTr="004C1718">
        <w:trPr>
          <w:trHeight w:val="503"/>
        </w:trPr>
        <w:tc>
          <w:tcPr>
            <w:tcW w:w="4423" w:type="dxa"/>
          </w:tcPr>
          <w:p w14:paraId="669D2A4F" w14:textId="77777777" w:rsidR="00F035F2" w:rsidRPr="00F035F2" w:rsidRDefault="00F035F2" w:rsidP="00DD05C3">
            <w:pPr>
              <w:suppressAutoHyphens/>
              <w:spacing w:after="0" w:line="240" w:lineRule="auto"/>
              <w:ind w:right="72"/>
              <w:jc w:val="both"/>
              <w:rPr>
                <w:rFonts w:ascii="Cambria" w:hAnsi="Cambria"/>
                <w:b/>
                <w:sz w:val="20"/>
                <w:szCs w:val="20"/>
              </w:rPr>
            </w:pPr>
            <w:r w:rsidRPr="00F035F2">
              <w:rPr>
                <w:rFonts w:ascii="Cambria" w:hAnsi="Cambria"/>
                <w:b/>
                <w:sz w:val="20"/>
                <w:szCs w:val="20"/>
              </w:rPr>
              <w:lastRenderedPageBreak/>
              <w:t xml:space="preserve">C) Publication of the facts. </w:t>
            </w:r>
          </w:p>
          <w:p w14:paraId="366D0ABE" w14:textId="77777777" w:rsidR="00F035F2" w:rsidRPr="00F035F2" w:rsidRDefault="00F035F2" w:rsidP="00DD05C3">
            <w:pPr>
              <w:suppressAutoHyphens/>
              <w:spacing w:after="0" w:line="240" w:lineRule="auto"/>
              <w:ind w:right="72"/>
              <w:jc w:val="both"/>
              <w:rPr>
                <w:rFonts w:ascii="Cambria" w:eastAsia="Times New Roman" w:hAnsi="Cambria"/>
                <w:bCs/>
                <w:color w:val="000000"/>
                <w:kern w:val="36"/>
                <w:sz w:val="20"/>
                <w:szCs w:val="20"/>
              </w:rPr>
            </w:pPr>
            <w:r w:rsidRPr="00F035F2">
              <w:rPr>
                <w:rFonts w:ascii="Cambria" w:hAnsi="Cambria"/>
                <w:sz w:val="20"/>
                <w:szCs w:val="20"/>
              </w:rPr>
              <w:t>The Colombian State commits to posting the report issued by the Inter-American Commission on Human Rights pursuant to Article 49 of the American Convention that approves the final friendly settlement agreement on the web pages of the Offices of the National Penitentiary and Prison Institute (INPEC) and the National Legal Defense Agency of the State.</w:t>
            </w:r>
          </w:p>
        </w:tc>
        <w:tc>
          <w:tcPr>
            <w:tcW w:w="4962" w:type="dxa"/>
            <w:vAlign w:val="center"/>
          </w:tcPr>
          <w:p w14:paraId="1041E009" w14:textId="77777777" w:rsidR="00F035F2" w:rsidRPr="00F035F2" w:rsidRDefault="00F035F2" w:rsidP="00DD05C3">
            <w:pPr>
              <w:suppressAutoHyphens/>
              <w:spacing w:after="0" w:line="240" w:lineRule="auto"/>
              <w:jc w:val="center"/>
              <w:rPr>
                <w:rFonts w:ascii="Cambria" w:eastAsia="Batang" w:hAnsi="Cambria"/>
                <w:b/>
                <w:bCs/>
                <w:color w:val="000000"/>
                <w:sz w:val="20"/>
                <w:szCs w:val="20"/>
              </w:rPr>
            </w:pPr>
            <w:r w:rsidRPr="00F035F2">
              <w:rPr>
                <w:rFonts w:ascii="Cambria" w:hAnsi="Cambria"/>
                <w:b/>
                <w:color w:val="000000"/>
                <w:sz w:val="20"/>
                <w:szCs w:val="20"/>
              </w:rPr>
              <w:t>Total</w:t>
            </w:r>
            <w:r w:rsidRPr="00F035F2">
              <w:rPr>
                <w:rFonts w:ascii="Cambria" w:eastAsia="Batang" w:hAnsi="Cambria"/>
                <w:b/>
                <w:bCs/>
                <w:color w:val="000000"/>
                <w:sz w:val="20"/>
                <w:szCs w:val="20"/>
                <w:vertAlign w:val="superscript"/>
              </w:rPr>
              <w:footnoteReference w:id="4"/>
            </w:r>
          </w:p>
        </w:tc>
      </w:tr>
      <w:tr w:rsidR="004C1718" w:rsidRPr="00F035F2" w14:paraId="4667499D" w14:textId="77777777" w:rsidTr="004C1718">
        <w:trPr>
          <w:trHeight w:val="503"/>
        </w:trPr>
        <w:tc>
          <w:tcPr>
            <w:tcW w:w="4423" w:type="dxa"/>
          </w:tcPr>
          <w:p w14:paraId="0CD0F9CB" w14:textId="77777777" w:rsidR="00F035F2" w:rsidRPr="00F035F2" w:rsidRDefault="00F035F2" w:rsidP="00DD05C3">
            <w:pPr>
              <w:suppressAutoHyphens/>
              <w:spacing w:after="0" w:line="240" w:lineRule="auto"/>
              <w:ind w:right="72"/>
              <w:jc w:val="both"/>
              <w:rPr>
                <w:rFonts w:ascii="Cambria" w:hAnsi="Cambria"/>
                <w:sz w:val="20"/>
                <w:szCs w:val="20"/>
              </w:rPr>
            </w:pPr>
            <w:r w:rsidRPr="00F035F2">
              <w:rPr>
                <w:rFonts w:ascii="Cambria" w:hAnsi="Cambria"/>
                <w:b/>
                <w:color w:val="000000"/>
                <w:sz w:val="20"/>
                <w:szCs w:val="20"/>
              </w:rPr>
              <w:t>THIRD: GUARANTEES OF NON-REPETITION</w:t>
            </w:r>
            <w:r w:rsidRPr="00F035F2">
              <w:rPr>
                <w:rFonts w:ascii="Cambria" w:hAnsi="Cambria"/>
                <w:sz w:val="20"/>
                <w:szCs w:val="20"/>
              </w:rPr>
              <w:t xml:space="preserve"> </w:t>
            </w:r>
          </w:p>
          <w:p w14:paraId="480B938C" w14:textId="77777777" w:rsidR="00F035F2" w:rsidRPr="00F035F2" w:rsidRDefault="00F035F2" w:rsidP="00DD05C3">
            <w:pPr>
              <w:suppressAutoHyphens/>
              <w:spacing w:after="0" w:line="240" w:lineRule="auto"/>
              <w:ind w:right="72"/>
              <w:jc w:val="both"/>
              <w:rPr>
                <w:rFonts w:ascii="Cambria" w:eastAsia="Times New Roman" w:hAnsi="Cambria"/>
                <w:bCs/>
                <w:color w:val="000000"/>
                <w:kern w:val="36"/>
                <w:sz w:val="20"/>
                <w:szCs w:val="20"/>
              </w:rPr>
            </w:pPr>
            <w:r w:rsidRPr="00F035F2">
              <w:rPr>
                <w:rFonts w:ascii="Cambria" w:hAnsi="Cambria"/>
                <w:sz w:val="20"/>
                <w:szCs w:val="20"/>
              </w:rPr>
              <w:t>Through the National Penitentiary and Prison Institute (INPEC), the State commits to include what happened on January 17, 1996 in the "El Barne" National Penitentiary as a subject matter of a "lesson learned" exercise that will serve as a tool for evaluating and improving penitentiary services to be addressed in human rights training courses delivered by the National School of Penitentiary Studies [</w:t>
            </w:r>
            <w:r w:rsidRPr="00F035F2">
              <w:rPr>
                <w:rFonts w:ascii="Cambria" w:hAnsi="Cambria"/>
                <w:i/>
                <w:sz w:val="20"/>
                <w:szCs w:val="20"/>
              </w:rPr>
              <w:t xml:space="preserve">Escuela Penitenciaria Nacional </w:t>
            </w:r>
            <w:r w:rsidRPr="00F035F2">
              <w:rPr>
                <w:rFonts w:ascii="Cambria" w:hAnsi="Cambria"/>
                <w:sz w:val="20"/>
                <w:szCs w:val="20"/>
              </w:rPr>
              <w:t>in Spanish</w:t>
            </w:r>
            <w:r w:rsidRPr="00F035F2">
              <w:rPr>
                <w:rFonts w:ascii="Cambria" w:hAnsi="Cambria"/>
                <w:i/>
                <w:sz w:val="20"/>
                <w:szCs w:val="20"/>
              </w:rPr>
              <w:t>]</w:t>
            </w:r>
            <w:r w:rsidRPr="00F035F2">
              <w:rPr>
                <w:rFonts w:ascii="Cambria" w:hAnsi="Cambria"/>
                <w:sz w:val="20"/>
                <w:szCs w:val="20"/>
              </w:rPr>
              <w:t>.</w:t>
            </w:r>
          </w:p>
        </w:tc>
        <w:tc>
          <w:tcPr>
            <w:tcW w:w="4962" w:type="dxa"/>
            <w:vAlign w:val="center"/>
          </w:tcPr>
          <w:p w14:paraId="7F28418A" w14:textId="77777777" w:rsidR="00F035F2" w:rsidRPr="00F035F2" w:rsidRDefault="00F035F2" w:rsidP="00DD05C3">
            <w:pPr>
              <w:suppressAutoHyphens/>
              <w:spacing w:after="0" w:line="240" w:lineRule="auto"/>
              <w:jc w:val="center"/>
              <w:rPr>
                <w:rFonts w:ascii="Cambria" w:eastAsia="Batang" w:hAnsi="Cambria"/>
                <w:b/>
                <w:bCs/>
                <w:color w:val="000000"/>
                <w:sz w:val="20"/>
                <w:szCs w:val="20"/>
              </w:rPr>
            </w:pPr>
            <w:r w:rsidRPr="00F035F2">
              <w:rPr>
                <w:rFonts w:ascii="Cambria" w:hAnsi="Cambria"/>
                <w:b/>
                <w:color w:val="000000"/>
                <w:sz w:val="20"/>
                <w:szCs w:val="20"/>
              </w:rPr>
              <w:t>Total</w:t>
            </w:r>
            <w:r w:rsidRPr="00F035F2">
              <w:rPr>
                <w:rFonts w:ascii="Cambria" w:hAnsi="Cambria"/>
                <w:b/>
                <w:color w:val="000000"/>
                <w:sz w:val="20"/>
                <w:szCs w:val="20"/>
                <w:vertAlign w:val="superscript"/>
              </w:rPr>
              <w:footnoteReference w:id="5"/>
            </w:r>
          </w:p>
        </w:tc>
      </w:tr>
      <w:tr w:rsidR="004C1718" w:rsidRPr="00F035F2" w14:paraId="7121327A" w14:textId="77777777" w:rsidTr="00023822">
        <w:trPr>
          <w:trHeight w:val="503"/>
        </w:trPr>
        <w:tc>
          <w:tcPr>
            <w:tcW w:w="4423" w:type="dxa"/>
          </w:tcPr>
          <w:p w14:paraId="037FD6E4" w14:textId="77777777" w:rsidR="004C1718" w:rsidRPr="00F035F2" w:rsidRDefault="004C1718" w:rsidP="00DD05C3">
            <w:pPr>
              <w:suppressAutoHyphens/>
              <w:spacing w:after="0" w:line="240" w:lineRule="auto"/>
              <w:ind w:right="72"/>
              <w:jc w:val="both"/>
              <w:rPr>
                <w:rFonts w:ascii="Cambria" w:hAnsi="Cambria"/>
                <w:sz w:val="20"/>
                <w:szCs w:val="20"/>
              </w:rPr>
            </w:pPr>
            <w:r w:rsidRPr="00F035F2">
              <w:rPr>
                <w:rFonts w:ascii="Cambria" w:hAnsi="Cambria"/>
                <w:b/>
                <w:color w:val="000000"/>
                <w:sz w:val="20"/>
                <w:szCs w:val="20"/>
              </w:rPr>
              <w:t>FOURTH: FINANCIAL COMPENSATION</w:t>
            </w:r>
            <w:r w:rsidRPr="00F035F2">
              <w:rPr>
                <w:rFonts w:ascii="Cambria" w:hAnsi="Cambria"/>
                <w:sz w:val="20"/>
                <w:szCs w:val="20"/>
              </w:rPr>
              <w:t xml:space="preserve"> </w:t>
            </w:r>
          </w:p>
          <w:p w14:paraId="5A63ADE9" w14:textId="77777777" w:rsidR="004C1718" w:rsidRPr="00F035F2" w:rsidRDefault="004C1718" w:rsidP="00DD05C3">
            <w:pPr>
              <w:suppressAutoHyphens/>
              <w:spacing w:after="0" w:line="240" w:lineRule="auto"/>
              <w:ind w:right="72"/>
              <w:jc w:val="both"/>
              <w:rPr>
                <w:rFonts w:ascii="Cambria" w:eastAsia="Times New Roman" w:hAnsi="Cambria"/>
                <w:bCs/>
                <w:color w:val="000000"/>
                <w:kern w:val="36"/>
                <w:sz w:val="20"/>
                <w:szCs w:val="20"/>
              </w:rPr>
            </w:pPr>
            <w:r w:rsidRPr="00F035F2">
              <w:rPr>
                <w:rFonts w:ascii="Cambria" w:hAnsi="Cambria"/>
                <w:sz w:val="20"/>
                <w:szCs w:val="20"/>
              </w:rPr>
              <w:t>The State commits to applying Law 288 of 1996 once the present Friendly Settlement Agreement is approved by issuance of the report envisaged in Article 49 of the American Convention on Human Rights, its purpose being to provide reparation for such material and immaterial damages as may be proven in favor of the victims' relatives that have not received compensation in the administrative jurisdiction, or, if they have, discounting the amounts recognized for administrative reparation. To that end, recourse shall be had to the criteria and amounts recognized in current Council of State case law.</w:t>
            </w:r>
          </w:p>
        </w:tc>
        <w:tc>
          <w:tcPr>
            <w:tcW w:w="4962" w:type="dxa"/>
            <w:vAlign w:val="center"/>
          </w:tcPr>
          <w:p w14:paraId="377DD355" w14:textId="164EB3DB" w:rsidR="004C1718" w:rsidRPr="00F035F2" w:rsidRDefault="004C1718" w:rsidP="004C1718">
            <w:pPr>
              <w:suppressAutoHyphens/>
              <w:spacing w:after="0" w:line="240" w:lineRule="auto"/>
              <w:jc w:val="center"/>
              <w:rPr>
                <w:rFonts w:ascii="Cambria" w:hAnsi="Cambria"/>
                <w:sz w:val="20"/>
                <w:szCs w:val="20"/>
              </w:rPr>
            </w:pPr>
            <w:r w:rsidRPr="00F035F2">
              <w:rPr>
                <w:rFonts w:ascii="Cambria" w:eastAsia="Batang" w:hAnsi="Cambria"/>
                <w:b/>
                <w:bCs/>
                <w:color w:val="000000"/>
                <w:sz w:val="20"/>
                <w:szCs w:val="20"/>
                <w:lang w:val="es-ES"/>
              </w:rPr>
              <w:t>Total</w:t>
            </w:r>
            <w:r>
              <w:rPr>
                <w:rStyle w:val="FootnoteReference"/>
                <w:rFonts w:ascii="Cambria" w:eastAsia="Batang" w:hAnsi="Cambria"/>
                <w:b/>
                <w:bCs/>
                <w:color w:val="000000"/>
                <w:sz w:val="20"/>
                <w:szCs w:val="20"/>
                <w:lang w:val="es-ES"/>
              </w:rPr>
              <w:footnoteReference w:id="6"/>
            </w:r>
          </w:p>
        </w:tc>
      </w:tr>
      <w:tr w:rsidR="004C1718" w:rsidRPr="00F035F2" w14:paraId="419A0462" w14:textId="77777777" w:rsidTr="004C1718">
        <w:trPr>
          <w:trHeight w:val="701"/>
        </w:trPr>
        <w:tc>
          <w:tcPr>
            <w:tcW w:w="4423" w:type="dxa"/>
          </w:tcPr>
          <w:p w14:paraId="219A60EB" w14:textId="77777777" w:rsidR="00F035F2" w:rsidRPr="00F035F2" w:rsidRDefault="00F035F2" w:rsidP="00DD05C3">
            <w:pPr>
              <w:suppressAutoHyphens/>
              <w:spacing w:after="0" w:line="240" w:lineRule="auto"/>
              <w:ind w:right="72"/>
              <w:jc w:val="both"/>
              <w:rPr>
                <w:rFonts w:ascii="Cambria" w:eastAsia="Arial" w:hAnsi="Cambria" w:cs="Arial"/>
                <w:b/>
                <w:sz w:val="20"/>
                <w:szCs w:val="20"/>
              </w:rPr>
            </w:pPr>
            <w:r w:rsidRPr="00F035F2">
              <w:rPr>
                <w:rFonts w:ascii="Cambria" w:hAnsi="Cambria"/>
                <w:b/>
                <w:sz w:val="20"/>
                <w:szCs w:val="20"/>
              </w:rPr>
              <w:t>FIFTH:  APPROVAL AND FOLLOW-UP</w:t>
            </w:r>
          </w:p>
          <w:p w14:paraId="3A84CEBE" w14:textId="77777777" w:rsidR="00F035F2" w:rsidRPr="00F035F2" w:rsidRDefault="00F035F2" w:rsidP="00DD05C3">
            <w:pPr>
              <w:suppressAutoHyphens/>
              <w:spacing w:after="0" w:line="240" w:lineRule="auto"/>
              <w:ind w:right="72"/>
              <w:jc w:val="both"/>
              <w:rPr>
                <w:rFonts w:ascii="Cambria" w:eastAsia="Arial" w:hAnsi="Cambria" w:cs="Arial"/>
                <w:b/>
                <w:sz w:val="20"/>
                <w:szCs w:val="20"/>
              </w:rPr>
            </w:pPr>
            <w:r w:rsidRPr="00F035F2">
              <w:rPr>
                <w:rFonts w:ascii="Cambria" w:hAnsi="Cambria"/>
                <w:sz w:val="20"/>
                <w:szCs w:val="20"/>
              </w:rPr>
              <w:t>The parties request the Inter-American Commission on Human Rights to approve and follow up on this agreement. This agreement was endorsed by the State entities committed to the implementation of the reparation measures.</w:t>
            </w:r>
          </w:p>
        </w:tc>
        <w:tc>
          <w:tcPr>
            <w:tcW w:w="4962" w:type="dxa"/>
            <w:vAlign w:val="center"/>
          </w:tcPr>
          <w:p w14:paraId="4D0E8891" w14:textId="32302354" w:rsidR="00F035F2" w:rsidRPr="00F035F2" w:rsidRDefault="00F035F2" w:rsidP="004C1718">
            <w:pPr>
              <w:suppressAutoHyphens/>
              <w:spacing w:after="0" w:line="240" w:lineRule="auto"/>
              <w:jc w:val="center"/>
              <w:rPr>
                <w:rFonts w:ascii="Cambria" w:hAnsi="Cambria"/>
                <w:sz w:val="20"/>
                <w:szCs w:val="20"/>
              </w:rPr>
            </w:pPr>
            <w:r w:rsidRPr="00F035F2">
              <w:rPr>
                <w:rFonts w:ascii="Cambria" w:hAnsi="Cambria"/>
                <w:b/>
                <w:color w:val="000000"/>
                <w:sz w:val="20"/>
                <w:szCs w:val="20"/>
              </w:rPr>
              <w:t xml:space="preserve">Declarative </w:t>
            </w:r>
            <w:r w:rsidR="004C1718">
              <w:rPr>
                <w:rFonts w:ascii="Cambria" w:hAnsi="Cambria"/>
                <w:b/>
                <w:color w:val="000000"/>
                <w:sz w:val="20"/>
                <w:szCs w:val="20"/>
              </w:rPr>
              <w:t>C</w:t>
            </w:r>
            <w:r w:rsidRPr="00F035F2">
              <w:rPr>
                <w:rFonts w:ascii="Cambria" w:hAnsi="Cambria"/>
                <w:b/>
                <w:color w:val="000000"/>
                <w:sz w:val="20"/>
                <w:szCs w:val="20"/>
              </w:rPr>
              <w:t>lause</w:t>
            </w:r>
          </w:p>
        </w:tc>
      </w:tr>
    </w:tbl>
    <w:p w14:paraId="4CA6F80C" w14:textId="77777777" w:rsidR="00F035F2" w:rsidRDefault="00F035F2" w:rsidP="00DD05C3">
      <w:pPr>
        <w:suppressAutoHyphens/>
        <w:spacing w:after="0" w:line="240" w:lineRule="auto"/>
        <w:ind w:firstLine="709"/>
        <w:rPr>
          <w:rFonts w:ascii="Cambria" w:eastAsia="Batang" w:hAnsi="Cambria" w:cs="Calibri Light"/>
          <w:b/>
          <w:color w:val="000000"/>
          <w:sz w:val="20"/>
          <w:szCs w:val="20"/>
        </w:rPr>
      </w:pPr>
    </w:p>
    <w:p w14:paraId="15602BE8" w14:textId="77777777" w:rsidR="004C1718" w:rsidRPr="00F035F2" w:rsidRDefault="004C1718" w:rsidP="00DD05C3">
      <w:pPr>
        <w:suppressAutoHyphens/>
        <w:spacing w:after="0" w:line="240" w:lineRule="auto"/>
        <w:ind w:firstLine="709"/>
        <w:rPr>
          <w:rFonts w:ascii="Cambria" w:eastAsia="Batang" w:hAnsi="Cambria" w:cs="Calibri Light"/>
          <w:b/>
          <w:color w:val="000000"/>
          <w:sz w:val="20"/>
          <w:szCs w:val="20"/>
        </w:rPr>
      </w:pPr>
    </w:p>
    <w:p w14:paraId="3C86B309" w14:textId="21A2E6C8" w:rsidR="00F035F2" w:rsidRPr="00F035F2" w:rsidRDefault="00F035F2" w:rsidP="00DD05C3">
      <w:pPr>
        <w:suppressAutoHyphens/>
        <w:spacing w:after="0" w:line="240" w:lineRule="auto"/>
        <w:ind w:firstLine="709"/>
        <w:contextualSpacing/>
        <w:jc w:val="both"/>
        <w:rPr>
          <w:rFonts w:ascii="Cambria" w:eastAsia="Batang" w:hAnsi="Cambria"/>
          <w:b/>
          <w:bCs/>
          <w:color w:val="000000"/>
          <w:sz w:val="20"/>
          <w:szCs w:val="20"/>
        </w:rPr>
      </w:pPr>
      <w:r w:rsidRPr="00F035F2">
        <w:rPr>
          <w:rFonts w:ascii="Cambria" w:hAnsi="Cambria"/>
          <w:b/>
          <w:color w:val="000000"/>
          <w:sz w:val="20"/>
          <w:szCs w:val="20"/>
        </w:rPr>
        <w:t xml:space="preserve">IV. </w:t>
      </w:r>
      <w:r w:rsidRPr="00F035F2">
        <w:rPr>
          <w:rFonts w:ascii="Cambria" w:hAnsi="Cambria"/>
          <w:sz w:val="20"/>
          <w:szCs w:val="20"/>
        </w:rPr>
        <w:tab/>
      </w:r>
      <w:r w:rsidR="00E27850" w:rsidRPr="00F035F2">
        <w:rPr>
          <w:rFonts w:ascii="Cambria" w:hAnsi="Cambria"/>
          <w:b/>
          <w:color w:val="000000"/>
          <w:sz w:val="20"/>
          <w:szCs w:val="20"/>
        </w:rPr>
        <w:t>LEVEL OF COMPLIANCE OF THE CASE</w:t>
      </w:r>
    </w:p>
    <w:p w14:paraId="168F2F79" w14:textId="77777777" w:rsidR="00F035F2" w:rsidRPr="00F035F2" w:rsidRDefault="00F035F2" w:rsidP="00DD05C3">
      <w:pPr>
        <w:suppressAutoHyphens/>
        <w:spacing w:after="0" w:line="240" w:lineRule="auto"/>
        <w:ind w:firstLine="709"/>
        <w:contextualSpacing/>
        <w:jc w:val="both"/>
        <w:rPr>
          <w:rFonts w:ascii="Cambria" w:eastAsia="Batang" w:hAnsi="Cambria"/>
          <w:b/>
          <w:bCs/>
          <w:color w:val="000000"/>
          <w:sz w:val="20"/>
          <w:szCs w:val="20"/>
        </w:rPr>
      </w:pPr>
    </w:p>
    <w:p w14:paraId="0E1CE836" w14:textId="323269DC" w:rsidR="00F035F2" w:rsidRPr="00F035F2" w:rsidRDefault="00E27850" w:rsidP="00DD05C3">
      <w:pPr>
        <w:numPr>
          <w:ilvl w:val="0"/>
          <w:numId w:val="38"/>
        </w:numPr>
        <w:suppressAutoHyphens/>
        <w:autoSpaceDE w:val="0"/>
        <w:autoSpaceDN w:val="0"/>
        <w:adjustRightInd w:val="0"/>
        <w:spacing w:after="0" w:line="240" w:lineRule="auto"/>
        <w:ind w:left="0" w:firstLine="709"/>
        <w:contextualSpacing/>
        <w:jc w:val="both"/>
        <w:rPr>
          <w:rFonts w:ascii="Cambria" w:eastAsia="Batang" w:hAnsi="Cambria"/>
          <w:sz w:val="20"/>
          <w:szCs w:val="20"/>
        </w:rPr>
      </w:pPr>
      <w:r w:rsidRPr="00E27850">
        <w:rPr>
          <w:rFonts w:ascii="Cambria" w:hAnsi="Cambria"/>
          <w:color w:val="000000"/>
          <w:sz w:val="20"/>
          <w:szCs w:val="20"/>
        </w:rPr>
        <w:t>The Commission declared full compliance with the case and the ceasing of the follow-up of the friendly settlement agreement in the 2024 Annual Report</w:t>
      </w:r>
      <w:r w:rsidR="00F035F2" w:rsidRPr="00F035F2">
        <w:rPr>
          <w:rFonts w:ascii="Cambria" w:hAnsi="Cambria"/>
          <w:sz w:val="20"/>
          <w:szCs w:val="20"/>
        </w:rPr>
        <w:t xml:space="preserve">. </w:t>
      </w:r>
    </w:p>
    <w:p w14:paraId="6FEC8D28" w14:textId="77777777" w:rsidR="00F035F2" w:rsidRDefault="00F035F2" w:rsidP="00DD05C3">
      <w:pPr>
        <w:suppressAutoHyphens/>
        <w:autoSpaceDE w:val="0"/>
        <w:autoSpaceDN w:val="0"/>
        <w:adjustRightInd w:val="0"/>
        <w:spacing w:after="0" w:line="240" w:lineRule="auto"/>
        <w:ind w:firstLine="709"/>
        <w:jc w:val="both"/>
        <w:rPr>
          <w:rFonts w:ascii="Cambria" w:eastAsia="Batang" w:hAnsi="Cambria"/>
          <w:b/>
          <w:bCs/>
          <w:color w:val="000000"/>
          <w:sz w:val="20"/>
          <w:szCs w:val="20"/>
        </w:rPr>
      </w:pPr>
    </w:p>
    <w:p w14:paraId="30274A9B" w14:textId="77777777" w:rsidR="00AF6D30" w:rsidRPr="00F035F2" w:rsidRDefault="00AF6D30" w:rsidP="00DD05C3">
      <w:pPr>
        <w:suppressAutoHyphens/>
        <w:autoSpaceDE w:val="0"/>
        <w:autoSpaceDN w:val="0"/>
        <w:adjustRightInd w:val="0"/>
        <w:spacing w:after="0" w:line="240" w:lineRule="auto"/>
        <w:ind w:firstLine="709"/>
        <w:jc w:val="both"/>
        <w:rPr>
          <w:rFonts w:ascii="Cambria" w:eastAsia="Batang" w:hAnsi="Cambria"/>
          <w:b/>
          <w:bCs/>
          <w:color w:val="000000"/>
          <w:sz w:val="20"/>
          <w:szCs w:val="20"/>
        </w:rPr>
      </w:pPr>
    </w:p>
    <w:p w14:paraId="28D6E8D7" w14:textId="1E71F14A" w:rsidR="00F035F2" w:rsidRPr="00F035F2" w:rsidRDefault="00F035F2" w:rsidP="00E27850">
      <w:pPr>
        <w:suppressAutoHyphens/>
        <w:spacing w:after="0" w:line="240" w:lineRule="auto"/>
        <w:ind w:firstLine="709"/>
        <w:contextualSpacing/>
        <w:jc w:val="both"/>
        <w:rPr>
          <w:rFonts w:ascii="Cambria" w:hAnsi="Cambria"/>
          <w:b/>
          <w:color w:val="000000"/>
          <w:sz w:val="20"/>
          <w:szCs w:val="20"/>
        </w:rPr>
      </w:pPr>
      <w:r w:rsidRPr="00F035F2">
        <w:rPr>
          <w:rFonts w:ascii="Cambria" w:hAnsi="Cambria"/>
          <w:b/>
          <w:color w:val="000000"/>
          <w:sz w:val="20"/>
          <w:szCs w:val="20"/>
        </w:rPr>
        <w:lastRenderedPageBreak/>
        <w:t>V.</w:t>
      </w:r>
      <w:r w:rsidRPr="00F035F2">
        <w:rPr>
          <w:rFonts w:ascii="Cambria" w:hAnsi="Cambria"/>
          <w:sz w:val="20"/>
          <w:szCs w:val="20"/>
        </w:rPr>
        <w:tab/>
      </w:r>
      <w:r w:rsidR="00E27850">
        <w:rPr>
          <w:rFonts w:ascii="Cambria" w:hAnsi="Cambria"/>
          <w:b/>
          <w:color w:val="000000"/>
          <w:sz w:val="20"/>
          <w:szCs w:val="20"/>
        </w:rPr>
        <w:t>I</w:t>
      </w:r>
      <w:r w:rsidRPr="00F035F2">
        <w:rPr>
          <w:rFonts w:ascii="Cambria" w:hAnsi="Cambria"/>
          <w:b/>
          <w:color w:val="000000"/>
          <w:sz w:val="20"/>
          <w:szCs w:val="20"/>
        </w:rPr>
        <w:t xml:space="preserve">NDIVIDUAL AND STRUCTURAL OUTCOMES OF THE CASE </w:t>
      </w:r>
    </w:p>
    <w:p w14:paraId="57AF5573" w14:textId="77777777" w:rsidR="00F035F2" w:rsidRPr="00F035F2" w:rsidRDefault="00F035F2" w:rsidP="00DD05C3">
      <w:pPr>
        <w:suppressAutoHyphens/>
        <w:spacing w:after="0" w:line="240" w:lineRule="auto"/>
        <w:ind w:firstLine="709"/>
        <w:contextualSpacing/>
        <w:jc w:val="both"/>
        <w:rPr>
          <w:rFonts w:ascii="Cambria" w:eastAsia="Batang" w:hAnsi="Cambria" w:cs="Calibri Light"/>
          <w:b/>
          <w:color w:val="000000"/>
          <w:sz w:val="20"/>
          <w:szCs w:val="20"/>
        </w:rPr>
      </w:pPr>
    </w:p>
    <w:p w14:paraId="7C6DF258" w14:textId="77777777" w:rsidR="00F035F2" w:rsidRPr="00F035F2" w:rsidRDefault="00F035F2" w:rsidP="00DD05C3">
      <w:pPr>
        <w:numPr>
          <w:ilvl w:val="0"/>
          <w:numId w:val="37"/>
        </w:numPr>
        <w:suppressAutoHyphens/>
        <w:spacing w:after="0" w:line="240" w:lineRule="auto"/>
        <w:contextualSpacing/>
        <w:jc w:val="both"/>
        <w:rPr>
          <w:rFonts w:ascii="Cambria" w:eastAsia="Batang" w:hAnsi="Cambria" w:cs="Calibri Light"/>
          <w:b/>
          <w:color w:val="000000"/>
          <w:sz w:val="20"/>
          <w:szCs w:val="20"/>
        </w:rPr>
      </w:pPr>
      <w:r w:rsidRPr="00F035F2">
        <w:rPr>
          <w:rFonts w:ascii="Cambria" w:hAnsi="Cambria"/>
          <w:b/>
          <w:color w:val="000000"/>
          <w:sz w:val="20"/>
          <w:szCs w:val="20"/>
        </w:rPr>
        <w:t>Individual outcomes of the case</w:t>
      </w:r>
    </w:p>
    <w:p w14:paraId="20F70472" w14:textId="77777777" w:rsidR="00F035F2" w:rsidRPr="00F035F2" w:rsidRDefault="00F035F2" w:rsidP="00DD05C3">
      <w:pPr>
        <w:suppressAutoHyphens/>
        <w:spacing w:after="0" w:line="240" w:lineRule="auto"/>
        <w:ind w:left="1410"/>
        <w:contextualSpacing/>
        <w:jc w:val="both"/>
        <w:rPr>
          <w:rFonts w:ascii="Cambria" w:eastAsia="Batang" w:hAnsi="Cambria" w:cs="Calibri Light"/>
          <w:b/>
          <w:color w:val="000000"/>
          <w:sz w:val="20"/>
          <w:szCs w:val="20"/>
        </w:rPr>
      </w:pPr>
    </w:p>
    <w:p w14:paraId="3F72413C" w14:textId="77777777" w:rsidR="00F035F2" w:rsidRPr="00F035F2" w:rsidRDefault="00F035F2" w:rsidP="00DD05C3">
      <w:pPr>
        <w:numPr>
          <w:ilvl w:val="0"/>
          <w:numId w:val="12"/>
        </w:numPr>
        <w:suppressAutoHyphens/>
        <w:spacing w:after="0" w:line="240" w:lineRule="auto"/>
        <w:ind w:left="1440" w:hanging="720"/>
        <w:contextualSpacing/>
        <w:jc w:val="both"/>
        <w:rPr>
          <w:rFonts w:ascii="Cambria" w:hAnsi="Cambria"/>
          <w:sz w:val="20"/>
          <w:szCs w:val="20"/>
        </w:rPr>
      </w:pPr>
      <w:r w:rsidRPr="00F035F2">
        <w:rPr>
          <w:rFonts w:ascii="Cambria" w:hAnsi="Cambria"/>
          <w:color w:val="000000"/>
          <w:sz w:val="20"/>
          <w:szCs w:val="20"/>
        </w:rPr>
        <w:t>The State conducted the acknowledgment of responsibility ceremony virtually given the circumstances of the COVID-19 pandemic. It received ample coverage in the media, via the social networks of State institutions, and in the press. The link to the ceremony was also disseminated via YouTube.</w:t>
      </w:r>
    </w:p>
    <w:p w14:paraId="1D3D8100" w14:textId="77777777" w:rsidR="00F035F2" w:rsidRPr="00F035F2" w:rsidRDefault="00F035F2" w:rsidP="00DD05C3">
      <w:pPr>
        <w:numPr>
          <w:ilvl w:val="0"/>
          <w:numId w:val="12"/>
        </w:numPr>
        <w:suppressAutoHyphens/>
        <w:spacing w:after="0" w:line="240" w:lineRule="auto"/>
        <w:ind w:left="1440" w:hanging="720"/>
        <w:contextualSpacing/>
        <w:jc w:val="both"/>
        <w:rPr>
          <w:rFonts w:ascii="Cambria" w:hAnsi="Cambria"/>
          <w:color w:val="000000"/>
          <w:sz w:val="20"/>
          <w:szCs w:val="20"/>
        </w:rPr>
      </w:pPr>
      <w:r w:rsidRPr="00F035F2">
        <w:rPr>
          <w:rFonts w:ascii="Cambria" w:hAnsi="Cambria"/>
          <w:sz w:val="20"/>
          <w:szCs w:val="20"/>
        </w:rPr>
        <w:t>The State moved forward with the processing of Law 288 of 1996 by issuing the court order approving the conciliatory agreement signed in relation to clause four of the friendly settlement agreement, which deals with the payment of economic compensation for the violations suffered.</w:t>
      </w:r>
      <w:r w:rsidRPr="00F035F2">
        <w:rPr>
          <w:rFonts w:ascii="Cambria" w:hAnsi="Cambria"/>
          <w:b/>
          <w:sz w:val="20"/>
          <w:szCs w:val="20"/>
        </w:rPr>
        <w:t xml:space="preserve"> </w:t>
      </w:r>
    </w:p>
    <w:p w14:paraId="5B8AAD8C" w14:textId="77777777" w:rsidR="00F035F2" w:rsidRPr="00F035F2" w:rsidRDefault="00F035F2" w:rsidP="00DD05C3">
      <w:pPr>
        <w:numPr>
          <w:ilvl w:val="0"/>
          <w:numId w:val="12"/>
        </w:numPr>
        <w:suppressAutoHyphens/>
        <w:spacing w:after="0" w:line="240" w:lineRule="auto"/>
        <w:ind w:left="1440" w:hanging="720"/>
        <w:contextualSpacing/>
        <w:jc w:val="both"/>
        <w:rPr>
          <w:rFonts w:ascii="Cambria" w:hAnsi="Cambria"/>
          <w:color w:val="000000"/>
          <w:sz w:val="20"/>
          <w:szCs w:val="20"/>
        </w:rPr>
      </w:pPr>
      <w:r w:rsidRPr="00F035F2">
        <w:rPr>
          <w:rFonts w:ascii="Cambria" w:hAnsi="Cambria"/>
          <w:color w:val="000000"/>
          <w:sz w:val="20"/>
          <w:szCs w:val="20"/>
        </w:rPr>
        <w:t xml:space="preserve">The State paid the sum of six hundred ninety-six million pesos ($696,000,000 COP) in favor of the six FSA beneficiaries. </w:t>
      </w:r>
    </w:p>
    <w:p w14:paraId="7230B7D0" w14:textId="77777777" w:rsidR="00F035F2" w:rsidRPr="00F035F2" w:rsidRDefault="00F035F2" w:rsidP="00DD05C3">
      <w:pPr>
        <w:suppressAutoHyphens/>
        <w:spacing w:after="0" w:line="240" w:lineRule="auto"/>
        <w:contextualSpacing/>
        <w:jc w:val="both"/>
        <w:rPr>
          <w:rFonts w:ascii="Cambria" w:hAnsi="Cambria"/>
          <w:sz w:val="20"/>
          <w:szCs w:val="20"/>
        </w:rPr>
      </w:pPr>
    </w:p>
    <w:p w14:paraId="52088C3D" w14:textId="77777777" w:rsidR="00F035F2" w:rsidRPr="00F035F2" w:rsidRDefault="00F035F2" w:rsidP="00DD05C3">
      <w:pPr>
        <w:numPr>
          <w:ilvl w:val="0"/>
          <w:numId w:val="37"/>
        </w:numPr>
        <w:suppressAutoHyphens/>
        <w:spacing w:after="0" w:line="240" w:lineRule="auto"/>
        <w:contextualSpacing/>
        <w:jc w:val="both"/>
        <w:rPr>
          <w:rFonts w:ascii="Cambria" w:hAnsi="Cambria"/>
          <w:b/>
          <w:bCs/>
          <w:sz w:val="20"/>
          <w:szCs w:val="20"/>
        </w:rPr>
      </w:pPr>
      <w:r w:rsidRPr="00F035F2">
        <w:rPr>
          <w:rFonts w:ascii="Cambria" w:hAnsi="Cambria"/>
          <w:b/>
          <w:sz w:val="20"/>
          <w:szCs w:val="20"/>
        </w:rPr>
        <w:t>Structural outcomes of the case</w:t>
      </w:r>
    </w:p>
    <w:p w14:paraId="2CF8ECBC" w14:textId="77777777" w:rsidR="00F035F2" w:rsidRPr="00F035F2" w:rsidRDefault="00F035F2" w:rsidP="00DD05C3">
      <w:pPr>
        <w:suppressAutoHyphens/>
        <w:spacing w:after="0" w:line="240" w:lineRule="auto"/>
        <w:ind w:left="1410"/>
        <w:contextualSpacing/>
        <w:jc w:val="both"/>
        <w:rPr>
          <w:rFonts w:ascii="Cambria" w:hAnsi="Cambria"/>
          <w:sz w:val="20"/>
          <w:szCs w:val="20"/>
        </w:rPr>
      </w:pPr>
    </w:p>
    <w:p w14:paraId="649EA357" w14:textId="77777777" w:rsidR="00F035F2" w:rsidRPr="00F035F2" w:rsidRDefault="00F035F2" w:rsidP="00DD05C3">
      <w:pPr>
        <w:numPr>
          <w:ilvl w:val="0"/>
          <w:numId w:val="12"/>
        </w:numPr>
        <w:suppressAutoHyphens/>
        <w:spacing w:after="0" w:line="240" w:lineRule="auto"/>
        <w:ind w:left="1440" w:hanging="720"/>
        <w:contextualSpacing/>
        <w:jc w:val="both"/>
        <w:rPr>
          <w:rFonts w:ascii="Cambria" w:hAnsi="Cambria"/>
          <w:sz w:val="20"/>
          <w:szCs w:val="20"/>
        </w:rPr>
      </w:pPr>
      <w:r w:rsidRPr="00F035F2">
        <w:rPr>
          <w:rFonts w:ascii="Cambria" w:hAnsi="Cambria"/>
          <w:sz w:val="20"/>
          <w:szCs w:val="20"/>
        </w:rPr>
        <w:t xml:space="preserve">The State published the Article 49 report on the web page of the National Legal Defense Agency of the State and the Ministry of National Defense. </w:t>
      </w:r>
      <w:r w:rsidRPr="00F035F2">
        <w:rPr>
          <w:rFonts w:ascii="Cambria" w:hAnsi="Cambria"/>
          <w:color w:val="000000"/>
          <w:sz w:val="20"/>
          <w:szCs w:val="20"/>
        </w:rPr>
        <w:t xml:space="preserve"> </w:t>
      </w:r>
    </w:p>
    <w:p w14:paraId="34ED1F8A" w14:textId="77777777" w:rsidR="00F035F2" w:rsidRPr="00F035F2" w:rsidRDefault="00F035F2" w:rsidP="00DD05C3">
      <w:pPr>
        <w:numPr>
          <w:ilvl w:val="0"/>
          <w:numId w:val="12"/>
        </w:numPr>
        <w:suppressAutoHyphens/>
        <w:spacing w:after="0" w:line="240" w:lineRule="auto"/>
        <w:ind w:left="1440" w:hanging="720"/>
        <w:contextualSpacing/>
        <w:jc w:val="both"/>
        <w:rPr>
          <w:rFonts w:ascii="Cambria" w:hAnsi="Cambria"/>
          <w:sz w:val="20"/>
          <w:szCs w:val="20"/>
        </w:rPr>
      </w:pPr>
      <w:r w:rsidRPr="00F035F2">
        <w:rPr>
          <w:rFonts w:ascii="Cambria" w:hAnsi="Cambria"/>
          <w:sz w:val="20"/>
          <w:szCs w:val="20"/>
        </w:rPr>
        <w:t xml:space="preserve">The State distributed the five banners in the prisons previously agreed upon with the petitioner, and commemorative events were held on different dates at the installation of each banner. </w:t>
      </w:r>
    </w:p>
    <w:p w14:paraId="07DFD04C" w14:textId="77777777" w:rsidR="00F035F2" w:rsidRPr="00F035F2" w:rsidRDefault="00F035F2" w:rsidP="00DD05C3">
      <w:pPr>
        <w:numPr>
          <w:ilvl w:val="0"/>
          <w:numId w:val="12"/>
        </w:numPr>
        <w:suppressAutoHyphens/>
        <w:spacing w:after="0" w:line="240" w:lineRule="auto"/>
        <w:ind w:left="1440" w:hanging="720"/>
        <w:contextualSpacing/>
        <w:jc w:val="both"/>
        <w:rPr>
          <w:rFonts w:ascii="Cambria" w:hAnsi="Cambria"/>
          <w:sz w:val="20"/>
          <w:szCs w:val="20"/>
        </w:rPr>
      </w:pPr>
      <w:r w:rsidRPr="00F035F2">
        <w:rPr>
          <w:rFonts w:ascii="Cambria" w:hAnsi="Cambria"/>
          <w:sz w:val="20"/>
          <w:szCs w:val="20"/>
        </w:rPr>
        <w:t>The State completed the process of designing the document entitled "</w:t>
      </w:r>
      <w:r w:rsidRPr="00F035F2">
        <w:rPr>
          <w:rFonts w:ascii="Cambria" w:hAnsi="Cambria"/>
          <w:i/>
          <w:sz w:val="20"/>
          <w:szCs w:val="20"/>
        </w:rPr>
        <w:t xml:space="preserve">Lesson Learned - Guarantees of Human Rights Protection by INPEC, Case 13.370 - IACHR", </w:t>
      </w:r>
      <w:r w:rsidRPr="00F035F2">
        <w:rPr>
          <w:rFonts w:ascii="Cambria" w:hAnsi="Cambria"/>
          <w:sz w:val="20"/>
          <w:szCs w:val="20"/>
        </w:rPr>
        <w:t>which was approved on September 23, 2021, by the Directorate of the National Penitentiary School of INPEC.</w:t>
      </w:r>
    </w:p>
    <w:p w14:paraId="72628587" w14:textId="72A77E1E" w:rsidR="00F74974" w:rsidRPr="00DD05C3" w:rsidRDefault="00F035F2" w:rsidP="00DD05C3">
      <w:pPr>
        <w:numPr>
          <w:ilvl w:val="0"/>
          <w:numId w:val="12"/>
        </w:numPr>
        <w:suppressAutoHyphens/>
        <w:spacing w:after="0" w:line="240" w:lineRule="auto"/>
        <w:ind w:left="1440" w:hanging="720"/>
        <w:contextualSpacing/>
        <w:jc w:val="both"/>
        <w:rPr>
          <w:rFonts w:ascii="Cambria" w:hAnsi="Cambria"/>
          <w:sz w:val="20"/>
          <w:szCs w:val="20"/>
        </w:rPr>
      </w:pPr>
      <w:r w:rsidRPr="00F035F2">
        <w:rPr>
          <w:rFonts w:ascii="Cambria" w:hAnsi="Cambria"/>
          <w:sz w:val="20"/>
          <w:szCs w:val="20"/>
        </w:rPr>
        <w:t>On September 24, 2021, the State began academic implementation of eight INPEC Academic and Technical Labor Programs, under which a total of 1,134 personnel had reportedly been trained, as of May 17, 2022.</w:t>
      </w:r>
    </w:p>
    <w:sectPr w:rsidR="00F74974" w:rsidRPr="00DD05C3" w:rsidSect="008E42E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4542E" w14:textId="77777777" w:rsidR="002F58DB" w:rsidRDefault="002F58DB" w:rsidP="00A343FF">
      <w:pPr>
        <w:spacing w:after="0" w:line="240" w:lineRule="auto"/>
      </w:pPr>
      <w:r>
        <w:separator/>
      </w:r>
    </w:p>
  </w:endnote>
  <w:endnote w:type="continuationSeparator" w:id="0">
    <w:p w14:paraId="75053024" w14:textId="77777777" w:rsidR="002F58DB" w:rsidRDefault="002F58DB" w:rsidP="00A343FF">
      <w:pPr>
        <w:spacing w:after="0" w:line="240" w:lineRule="auto"/>
      </w:pPr>
      <w:r>
        <w:continuationSeparator/>
      </w:r>
    </w:p>
  </w:endnote>
  <w:endnote w:type="continuationNotice" w:id="1">
    <w:p w14:paraId="3066C6FE" w14:textId="77777777" w:rsidR="002F58DB" w:rsidRDefault="002F5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7F56"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7C8D"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CBDDDA"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77C7" w14:textId="77777777" w:rsidR="008F2248" w:rsidRDefault="00555EEF" w:rsidP="008F2248">
    <w:pPr>
      <w:pStyle w:val="Footer"/>
      <w:spacing w:line="360" w:lineRule="auto"/>
    </w:pPr>
    <w:r>
      <w:rPr>
        <w:noProof/>
      </w:rPr>
      <w:pict w14:anchorId="413C72BF">
        <v:rect id="_x0000_i1027" alt="" style="width:441.9pt;height:.05pt;mso-width-percent:0;mso-height-percent:0;mso-width-percent:0;mso-height-percent:0" o:hralign="center" o:hrstd="t" o:hr="t" fillcolor="#a0a0a0" stroked="f"/>
      </w:pict>
    </w:r>
  </w:p>
  <w:p w14:paraId="36DDBAC6" w14:textId="77777777" w:rsidR="008F2248" w:rsidRDefault="009A73C0" w:rsidP="006E2BD8">
    <w:pPr>
      <w:pStyle w:val="Footer"/>
      <w:jc w:val="center"/>
    </w:pPr>
    <w:r>
      <w:rPr>
        <w:noProof/>
      </w:rPr>
      <w:drawing>
        <wp:inline distT="0" distB="0" distL="0" distR="0" wp14:anchorId="0865921E" wp14:editId="3BA32EF6">
          <wp:extent cx="5238750" cy="323850"/>
          <wp:effectExtent l="0" t="0" r="0" b="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A51ED" w14:textId="77777777" w:rsidR="002F58DB" w:rsidRDefault="002F58DB" w:rsidP="00A343FF">
      <w:pPr>
        <w:spacing w:after="0" w:line="240" w:lineRule="auto"/>
      </w:pPr>
      <w:r>
        <w:separator/>
      </w:r>
    </w:p>
  </w:footnote>
  <w:footnote w:type="continuationSeparator" w:id="0">
    <w:p w14:paraId="19244BEC" w14:textId="77777777" w:rsidR="002F58DB" w:rsidRDefault="002F58DB" w:rsidP="00A343FF">
      <w:pPr>
        <w:spacing w:after="0" w:line="240" w:lineRule="auto"/>
      </w:pPr>
      <w:r>
        <w:continuationSeparator/>
      </w:r>
    </w:p>
  </w:footnote>
  <w:footnote w:type="continuationNotice" w:id="1">
    <w:p w14:paraId="1D3C6A4A" w14:textId="77777777" w:rsidR="002F58DB" w:rsidRDefault="002F58DB">
      <w:pPr>
        <w:spacing w:after="0" w:line="240" w:lineRule="auto"/>
      </w:pPr>
    </w:p>
  </w:footnote>
  <w:footnote w:id="2">
    <w:p w14:paraId="1FB31D9E" w14:textId="17DCFCC9" w:rsidR="00F035F2" w:rsidRPr="004C1718" w:rsidRDefault="00F035F2" w:rsidP="005F2473">
      <w:pPr>
        <w:pStyle w:val="FootnoteText"/>
        <w:ind w:firstLine="709"/>
        <w:jc w:val="both"/>
        <w:rPr>
          <w:rFonts w:ascii="Cambria" w:hAnsi="Cambria"/>
          <w:sz w:val="16"/>
          <w:szCs w:val="16"/>
        </w:rPr>
      </w:pPr>
      <w:r w:rsidRPr="004C1718">
        <w:rPr>
          <w:rStyle w:val="FootnoteReference"/>
          <w:rFonts w:ascii="Cambria" w:hAnsi="Cambria"/>
          <w:sz w:val="16"/>
          <w:szCs w:val="16"/>
        </w:rPr>
        <w:footnoteRef/>
      </w:r>
      <w:r w:rsidRPr="004C1718">
        <w:rPr>
          <w:rFonts w:ascii="Cambria" w:hAnsi="Cambria"/>
          <w:sz w:val="16"/>
          <w:szCs w:val="16"/>
        </w:rPr>
        <w:t xml:space="preserve"> </w:t>
      </w:r>
      <w:r w:rsidR="004C1718">
        <w:rPr>
          <w:rFonts w:ascii="Cambria" w:hAnsi="Cambria"/>
          <w:sz w:val="16"/>
          <w:szCs w:val="16"/>
        </w:rPr>
        <w:t xml:space="preserve">See </w:t>
      </w:r>
      <w:r w:rsidRPr="004C1718">
        <w:rPr>
          <w:rFonts w:ascii="Cambria" w:hAnsi="Cambria"/>
          <w:sz w:val="16"/>
          <w:szCs w:val="16"/>
        </w:rPr>
        <w:t xml:space="preserve">IACHR, Report No. 80/20, Case 13.370. Friendly Settlement. </w:t>
      </w:r>
      <w:r w:rsidRPr="00AF6D30">
        <w:rPr>
          <w:rFonts w:ascii="Cambria" w:hAnsi="Cambria"/>
          <w:sz w:val="16"/>
          <w:szCs w:val="16"/>
        </w:rPr>
        <w:t xml:space="preserve">Luis Horacio Patiño and </w:t>
      </w:r>
      <w:r w:rsidR="004C1718" w:rsidRPr="00AF6D30">
        <w:rPr>
          <w:rFonts w:ascii="Cambria" w:hAnsi="Cambria"/>
          <w:sz w:val="16"/>
          <w:szCs w:val="16"/>
        </w:rPr>
        <w:t>f</w:t>
      </w:r>
      <w:r w:rsidRPr="00AF6D30">
        <w:rPr>
          <w:rFonts w:ascii="Cambria" w:hAnsi="Cambria"/>
          <w:sz w:val="16"/>
          <w:szCs w:val="16"/>
        </w:rPr>
        <w:t>amily</w:t>
      </w:r>
      <w:r w:rsidR="004C1718" w:rsidRPr="00AF6D30">
        <w:rPr>
          <w:rFonts w:ascii="Cambria" w:hAnsi="Cambria"/>
          <w:sz w:val="16"/>
          <w:szCs w:val="16"/>
        </w:rPr>
        <w:t xml:space="preserve">. </w:t>
      </w:r>
      <w:r w:rsidRPr="00AF6D30">
        <w:rPr>
          <w:rFonts w:ascii="Cambria" w:hAnsi="Cambria"/>
          <w:sz w:val="16"/>
          <w:szCs w:val="16"/>
        </w:rPr>
        <w:t xml:space="preserve">Colombia. </w:t>
      </w:r>
      <w:r w:rsidRPr="004C1718">
        <w:rPr>
          <w:rFonts w:ascii="Cambria" w:hAnsi="Cambria"/>
          <w:sz w:val="16"/>
          <w:szCs w:val="16"/>
        </w:rPr>
        <w:t xml:space="preserve">May 8, 2020. Available at </w:t>
      </w:r>
      <w:hyperlink r:id="rId1" w:history="1">
        <w:r w:rsidRPr="004C1718">
          <w:rPr>
            <w:rStyle w:val="Hyperlink"/>
            <w:rFonts w:ascii="Cambria" w:hAnsi="Cambria"/>
            <w:sz w:val="16"/>
            <w:szCs w:val="16"/>
          </w:rPr>
          <w:t>http://www.oas.org/en/iachr/decisions/2020/cosa13370en.pdf</w:t>
        </w:r>
      </w:hyperlink>
      <w:r w:rsidR="004C1718">
        <w:rPr>
          <w:rFonts w:ascii="Cambria" w:hAnsi="Cambria"/>
          <w:sz w:val="16"/>
          <w:szCs w:val="16"/>
        </w:rPr>
        <w:t>.</w:t>
      </w:r>
    </w:p>
  </w:footnote>
  <w:footnote w:id="3">
    <w:p w14:paraId="3583F8DC" w14:textId="0671A2DE" w:rsidR="00F035F2" w:rsidRPr="004C1718" w:rsidRDefault="00F035F2" w:rsidP="005F2473">
      <w:pPr>
        <w:pStyle w:val="FootnoteText"/>
        <w:ind w:firstLine="709"/>
        <w:jc w:val="both"/>
        <w:rPr>
          <w:rFonts w:ascii="Cambria" w:hAnsi="Cambria"/>
          <w:sz w:val="16"/>
          <w:szCs w:val="16"/>
        </w:rPr>
      </w:pPr>
      <w:r w:rsidRPr="004C1718">
        <w:rPr>
          <w:rStyle w:val="FootnoteReference"/>
          <w:rFonts w:ascii="Cambria" w:hAnsi="Cambria"/>
          <w:sz w:val="16"/>
          <w:szCs w:val="16"/>
        </w:rPr>
        <w:footnoteRef/>
      </w:r>
      <w:r w:rsidRPr="004C1718">
        <w:rPr>
          <w:rFonts w:ascii="Cambria" w:hAnsi="Cambria"/>
          <w:sz w:val="16"/>
          <w:szCs w:val="16"/>
        </w:rPr>
        <w:t xml:space="preserve"> </w:t>
      </w:r>
      <w:r w:rsidR="004C1718">
        <w:rPr>
          <w:rFonts w:ascii="Cambria" w:hAnsi="Cambria"/>
          <w:sz w:val="16"/>
          <w:szCs w:val="16"/>
        </w:rPr>
        <w:t xml:space="preserve">See </w:t>
      </w:r>
      <w:r w:rsidRPr="004C1718">
        <w:rPr>
          <w:rFonts w:ascii="Cambria" w:hAnsi="Cambria"/>
          <w:sz w:val="16"/>
          <w:szCs w:val="16"/>
        </w:rPr>
        <w:t xml:space="preserve">IACHR, Annual Report 2022, Chapter II, Section </w:t>
      </w:r>
      <w:r w:rsidR="004C1718">
        <w:rPr>
          <w:rFonts w:ascii="Cambria" w:hAnsi="Cambria"/>
          <w:sz w:val="16"/>
          <w:szCs w:val="16"/>
        </w:rPr>
        <w:t>C</w:t>
      </w:r>
      <w:r w:rsidRPr="004C1718">
        <w:rPr>
          <w:rFonts w:ascii="Cambria" w:hAnsi="Cambria"/>
          <w:sz w:val="16"/>
          <w:szCs w:val="16"/>
        </w:rPr>
        <w:t xml:space="preserve">. </w:t>
      </w:r>
      <w:r w:rsidR="004C1718">
        <w:rPr>
          <w:rFonts w:ascii="Cambria" w:hAnsi="Cambria"/>
          <w:sz w:val="16"/>
          <w:szCs w:val="16"/>
        </w:rPr>
        <w:t>Advances and regressions on n</w:t>
      </w:r>
      <w:r w:rsidRPr="004C1718">
        <w:rPr>
          <w:rFonts w:ascii="Cambria" w:hAnsi="Cambria"/>
          <w:sz w:val="16"/>
          <w:szCs w:val="16"/>
        </w:rPr>
        <w:t xml:space="preserve">egotiation and Implementation of Friendly Settlement Agreement. Available at </w:t>
      </w:r>
      <w:hyperlink r:id="rId2" w:history="1">
        <w:r w:rsidRPr="004C1718">
          <w:rPr>
            <w:rStyle w:val="Hyperlink"/>
            <w:rFonts w:ascii="Cambria" w:hAnsi="Cambria"/>
            <w:sz w:val="16"/>
            <w:szCs w:val="16"/>
          </w:rPr>
          <w:t>https://www.oas.org/en/iachr/docs/annual/2022/Chapters/4-IA2022_Cap_2_EN.pdf</w:t>
        </w:r>
      </w:hyperlink>
      <w:r w:rsidR="004C1718">
        <w:rPr>
          <w:rFonts w:ascii="Cambria" w:hAnsi="Cambria"/>
          <w:sz w:val="16"/>
          <w:szCs w:val="16"/>
        </w:rPr>
        <w:t>.</w:t>
      </w:r>
      <w:r w:rsidRPr="004C1718">
        <w:rPr>
          <w:rFonts w:ascii="Cambria" w:hAnsi="Cambria"/>
          <w:sz w:val="16"/>
          <w:szCs w:val="16"/>
        </w:rPr>
        <w:t xml:space="preserve"> </w:t>
      </w:r>
    </w:p>
  </w:footnote>
  <w:footnote w:id="4">
    <w:p w14:paraId="22EEEE2F" w14:textId="45C00B3B" w:rsidR="00F035F2" w:rsidRPr="004C1718" w:rsidRDefault="00F035F2" w:rsidP="005F2473">
      <w:pPr>
        <w:pStyle w:val="FootnoteText"/>
        <w:ind w:firstLine="709"/>
        <w:jc w:val="both"/>
        <w:rPr>
          <w:rFonts w:ascii="Cambria" w:hAnsi="Cambria"/>
          <w:sz w:val="16"/>
          <w:szCs w:val="16"/>
        </w:rPr>
      </w:pPr>
      <w:r w:rsidRPr="004C1718">
        <w:rPr>
          <w:rStyle w:val="FootnoteReference"/>
          <w:rFonts w:ascii="Cambria" w:hAnsi="Cambria"/>
          <w:sz w:val="16"/>
          <w:szCs w:val="16"/>
        </w:rPr>
        <w:footnoteRef/>
      </w:r>
      <w:r w:rsidRPr="004C1718">
        <w:rPr>
          <w:rFonts w:ascii="Cambria" w:hAnsi="Cambria"/>
          <w:sz w:val="16"/>
          <w:szCs w:val="16"/>
        </w:rPr>
        <w:t xml:space="preserve"> </w:t>
      </w:r>
      <w:r w:rsidR="004C1718">
        <w:rPr>
          <w:rFonts w:ascii="Cambria" w:hAnsi="Cambria"/>
          <w:sz w:val="16"/>
          <w:szCs w:val="16"/>
        </w:rPr>
        <w:t xml:space="preserve">See </w:t>
      </w:r>
      <w:r w:rsidRPr="004C1718">
        <w:rPr>
          <w:rFonts w:ascii="Cambria" w:hAnsi="Cambria"/>
          <w:sz w:val="16"/>
          <w:szCs w:val="16"/>
        </w:rPr>
        <w:t xml:space="preserve">IACHR, Annual Report 2021, Chapter II, Section F. </w:t>
      </w:r>
      <w:r w:rsidR="004C1718">
        <w:rPr>
          <w:rFonts w:ascii="Cambria" w:hAnsi="Cambria"/>
          <w:sz w:val="16"/>
          <w:szCs w:val="16"/>
        </w:rPr>
        <w:t>Advances and regressions on n</w:t>
      </w:r>
      <w:r w:rsidRPr="004C1718">
        <w:rPr>
          <w:rFonts w:ascii="Cambria" w:hAnsi="Cambria"/>
          <w:sz w:val="16"/>
          <w:szCs w:val="16"/>
        </w:rPr>
        <w:t xml:space="preserve">egotiation and </w:t>
      </w:r>
      <w:r w:rsidR="004C1718">
        <w:rPr>
          <w:rFonts w:ascii="Cambria" w:hAnsi="Cambria"/>
          <w:sz w:val="16"/>
          <w:szCs w:val="16"/>
        </w:rPr>
        <w:t>i</w:t>
      </w:r>
      <w:r w:rsidRPr="004C1718">
        <w:rPr>
          <w:rFonts w:ascii="Cambria" w:hAnsi="Cambria"/>
          <w:sz w:val="16"/>
          <w:szCs w:val="16"/>
        </w:rPr>
        <w:t xml:space="preserve">mplementation of </w:t>
      </w:r>
      <w:r w:rsidR="004C1718">
        <w:rPr>
          <w:rFonts w:ascii="Cambria" w:hAnsi="Cambria"/>
          <w:sz w:val="16"/>
          <w:szCs w:val="16"/>
        </w:rPr>
        <w:t>f</w:t>
      </w:r>
      <w:r w:rsidRPr="004C1718">
        <w:rPr>
          <w:rFonts w:ascii="Cambria" w:hAnsi="Cambria"/>
          <w:sz w:val="16"/>
          <w:szCs w:val="16"/>
        </w:rPr>
        <w:t xml:space="preserve">riendly </w:t>
      </w:r>
      <w:r w:rsidR="004C1718">
        <w:rPr>
          <w:rFonts w:ascii="Cambria" w:hAnsi="Cambria"/>
          <w:sz w:val="16"/>
          <w:szCs w:val="16"/>
        </w:rPr>
        <w:t>s</w:t>
      </w:r>
      <w:r w:rsidRPr="004C1718">
        <w:rPr>
          <w:rFonts w:ascii="Cambria" w:hAnsi="Cambria"/>
          <w:sz w:val="16"/>
          <w:szCs w:val="16"/>
        </w:rPr>
        <w:t xml:space="preserve">ettlement. Available at </w:t>
      </w:r>
      <w:hyperlink r:id="rId3" w:history="1">
        <w:r w:rsidRPr="004C1718">
          <w:rPr>
            <w:rStyle w:val="Hyperlink"/>
            <w:rFonts w:ascii="Cambria" w:hAnsi="Cambria"/>
            <w:sz w:val="16"/>
            <w:szCs w:val="16"/>
          </w:rPr>
          <w:t>https://www.oas.org/en/iachr/docs/annual/2021/Chapters/IA2021cap2-en.pdf</w:t>
        </w:r>
      </w:hyperlink>
      <w:r w:rsidRPr="004C1718">
        <w:rPr>
          <w:rFonts w:ascii="Cambria" w:hAnsi="Cambria"/>
          <w:sz w:val="16"/>
          <w:szCs w:val="16"/>
        </w:rPr>
        <w:t>.</w:t>
      </w:r>
    </w:p>
  </w:footnote>
  <w:footnote w:id="5">
    <w:p w14:paraId="433447E2" w14:textId="6436755B" w:rsidR="00F035F2" w:rsidRPr="004C1718" w:rsidRDefault="00F035F2" w:rsidP="005F2473">
      <w:pPr>
        <w:pStyle w:val="FootnoteText"/>
        <w:ind w:firstLine="709"/>
        <w:jc w:val="both"/>
        <w:rPr>
          <w:rFonts w:ascii="Cambria" w:hAnsi="Cambria"/>
          <w:sz w:val="16"/>
          <w:szCs w:val="16"/>
        </w:rPr>
      </w:pPr>
      <w:r w:rsidRPr="004C1718">
        <w:rPr>
          <w:rStyle w:val="FootnoteReference"/>
          <w:rFonts w:ascii="Cambria" w:hAnsi="Cambria"/>
          <w:sz w:val="16"/>
          <w:szCs w:val="16"/>
        </w:rPr>
        <w:footnoteRef/>
      </w:r>
      <w:r w:rsidRPr="004C1718">
        <w:rPr>
          <w:rFonts w:ascii="Cambria" w:hAnsi="Cambria"/>
          <w:sz w:val="16"/>
          <w:szCs w:val="16"/>
        </w:rPr>
        <w:t xml:space="preserve"> </w:t>
      </w:r>
      <w:r w:rsidR="004C1718">
        <w:rPr>
          <w:rFonts w:ascii="Cambria" w:hAnsi="Cambria"/>
          <w:sz w:val="16"/>
          <w:szCs w:val="16"/>
        </w:rPr>
        <w:t xml:space="preserve">See </w:t>
      </w:r>
      <w:r w:rsidR="004C1718" w:rsidRPr="004C1718">
        <w:rPr>
          <w:rFonts w:ascii="Cambria" w:hAnsi="Cambria"/>
          <w:sz w:val="16"/>
          <w:szCs w:val="16"/>
        </w:rPr>
        <w:t xml:space="preserve">IACHR, Annual Report 2022, Chapter II, Section </w:t>
      </w:r>
      <w:r w:rsidR="004C1718">
        <w:rPr>
          <w:rFonts w:ascii="Cambria" w:hAnsi="Cambria"/>
          <w:sz w:val="16"/>
          <w:szCs w:val="16"/>
        </w:rPr>
        <w:t>C</w:t>
      </w:r>
      <w:r w:rsidR="004C1718" w:rsidRPr="004C1718">
        <w:rPr>
          <w:rFonts w:ascii="Cambria" w:hAnsi="Cambria"/>
          <w:sz w:val="16"/>
          <w:szCs w:val="16"/>
        </w:rPr>
        <w:t xml:space="preserve">. </w:t>
      </w:r>
      <w:r w:rsidR="004C1718">
        <w:rPr>
          <w:rFonts w:ascii="Cambria" w:hAnsi="Cambria"/>
          <w:sz w:val="16"/>
          <w:szCs w:val="16"/>
        </w:rPr>
        <w:t>Advances and regressions on n</w:t>
      </w:r>
      <w:r w:rsidR="004C1718" w:rsidRPr="004C1718">
        <w:rPr>
          <w:rFonts w:ascii="Cambria" w:hAnsi="Cambria"/>
          <w:sz w:val="16"/>
          <w:szCs w:val="16"/>
        </w:rPr>
        <w:t xml:space="preserve">egotiation and Implementation of Friendly Settlement Agreement. Available at </w:t>
      </w:r>
      <w:hyperlink r:id="rId4" w:history="1">
        <w:r w:rsidR="004C1718" w:rsidRPr="004C1718">
          <w:rPr>
            <w:rStyle w:val="Hyperlink"/>
            <w:rFonts w:ascii="Cambria" w:hAnsi="Cambria"/>
            <w:sz w:val="16"/>
            <w:szCs w:val="16"/>
          </w:rPr>
          <w:t>https://www.oas.org/en/iachr/docs/annual/2022/Chapters/4-IA2022_Cap_2_EN.pdf</w:t>
        </w:r>
      </w:hyperlink>
      <w:r w:rsidR="004C1718">
        <w:rPr>
          <w:rFonts w:ascii="Cambria" w:hAnsi="Cambria"/>
          <w:sz w:val="16"/>
          <w:szCs w:val="16"/>
        </w:rPr>
        <w:t>.</w:t>
      </w:r>
      <w:r w:rsidR="004C1718" w:rsidRPr="004C1718">
        <w:rPr>
          <w:rFonts w:ascii="Cambria" w:hAnsi="Cambria"/>
          <w:sz w:val="16"/>
          <w:szCs w:val="16"/>
        </w:rPr>
        <w:t xml:space="preserve"> </w:t>
      </w:r>
    </w:p>
  </w:footnote>
  <w:footnote w:id="6">
    <w:p w14:paraId="64568943" w14:textId="32CFD9B3" w:rsidR="004C1718" w:rsidRPr="00AF6D30" w:rsidRDefault="004C1718" w:rsidP="005F2473">
      <w:pPr>
        <w:pStyle w:val="FootnoteText"/>
        <w:ind w:firstLine="709"/>
        <w:jc w:val="both"/>
        <w:rPr>
          <w:rFonts w:ascii="Cambria" w:hAnsi="Cambria"/>
          <w:sz w:val="16"/>
          <w:szCs w:val="16"/>
        </w:rPr>
      </w:pPr>
      <w:r w:rsidRPr="004C1718">
        <w:rPr>
          <w:rStyle w:val="FootnoteReference"/>
          <w:rFonts w:ascii="Cambria" w:hAnsi="Cambria"/>
          <w:sz w:val="16"/>
          <w:szCs w:val="16"/>
        </w:rPr>
        <w:footnoteRef/>
      </w:r>
      <w:r w:rsidRPr="004C1718">
        <w:rPr>
          <w:rFonts w:ascii="Cambria" w:hAnsi="Cambria"/>
          <w:sz w:val="16"/>
          <w:szCs w:val="16"/>
        </w:rPr>
        <w:t xml:space="preserve"> </w:t>
      </w:r>
      <w:r w:rsidRPr="00AF6D30">
        <w:rPr>
          <w:rFonts w:ascii="Cambria" w:hAnsi="Cambria"/>
          <w:sz w:val="16"/>
          <w:szCs w:val="16"/>
        </w:rPr>
        <w:t xml:space="preserve">See IACHR, Annual Report 2024, Chapter II, Section C. Advances and challenges on negotiation and implementation of friendly settlements agreements. Available at: </w:t>
      </w:r>
      <w:hyperlink r:id="rId5" w:history="1">
        <w:r w:rsidRPr="00AF6D30">
          <w:rPr>
            <w:rStyle w:val="Hyperlink"/>
            <w:rFonts w:ascii="Cambria" w:hAnsi="Cambria"/>
            <w:sz w:val="16"/>
            <w:szCs w:val="16"/>
          </w:rPr>
          <w:t>https://www.oas.org/en/iachr/docs/annual/2024/chapters/IA2024_2_EN.PDF</w:t>
        </w:r>
      </w:hyperlink>
      <w:r w:rsidRPr="00AF6D30">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D530"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052" w14:textId="77777777" w:rsidR="00A343FF" w:rsidRDefault="009A73C0" w:rsidP="00DC7C8F">
    <w:pPr>
      <w:pStyle w:val="Header"/>
      <w:jc w:val="center"/>
    </w:pPr>
    <w:r>
      <w:rPr>
        <w:noProof/>
      </w:rPr>
      <w:drawing>
        <wp:inline distT="0" distB="0" distL="0" distR="0" wp14:anchorId="3DA1D74D" wp14:editId="04CD84E3">
          <wp:extent cx="2286000" cy="114300"/>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
                  </a:xfrm>
                  <a:prstGeom prst="rect">
                    <a:avLst/>
                  </a:prstGeom>
                  <a:noFill/>
                  <a:ln>
                    <a:noFill/>
                  </a:ln>
                </pic:spPr>
              </pic:pic>
            </a:graphicData>
          </a:graphic>
        </wp:inline>
      </w:drawing>
    </w:r>
  </w:p>
  <w:p w14:paraId="5548F4C2" w14:textId="77777777" w:rsidR="00A343FF" w:rsidRDefault="00555EEF">
    <w:pPr>
      <w:pStyle w:val="Header"/>
    </w:pPr>
    <w:r>
      <w:rPr>
        <w:noProof/>
      </w:rPr>
      <w:pict w14:anchorId="5B6F98C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6893" w14:textId="77777777" w:rsidR="00A61B5E" w:rsidRDefault="009A73C0" w:rsidP="00A61B5E">
    <w:pPr>
      <w:pStyle w:val="Header"/>
    </w:pPr>
    <w:r>
      <w:rPr>
        <w:noProof/>
      </w:rPr>
      <w:drawing>
        <wp:anchor distT="0" distB="0" distL="114300" distR="114300" simplePos="0" relativeHeight="251657216" behindDoc="1" locked="0" layoutInCell="1" allowOverlap="1" wp14:anchorId="49D89616" wp14:editId="1502AB67">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8854699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7646FE" wp14:editId="2E8E3712">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141" y="0"/>
              <wp:lineTo x="0" y="4397"/>
              <wp:lineTo x="0" y="14290"/>
              <wp:lineTo x="143" y="17588"/>
              <wp:lineTo x="998" y="20885"/>
              <wp:lineTo x="1141" y="20885"/>
              <wp:lineTo x="3850" y="20885"/>
              <wp:lineTo x="4135" y="20885"/>
              <wp:lineTo x="5133" y="17588"/>
              <wp:lineTo x="21529" y="17588"/>
              <wp:lineTo x="21529" y="11542"/>
              <wp:lineTo x="20388" y="8794"/>
              <wp:lineTo x="20673" y="4947"/>
              <wp:lineTo x="18820" y="3847"/>
              <wp:lineTo x="4135" y="0"/>
              <wp:lineTo x="1141" y="0"/>
            </wp:wrapPolygon>
          </wp:wrapThrough>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6FE98F63" w14:textId="77777777" w:rsidR="00F53B51" w:rsidRDefault="00F53B51" w:rsidP="00A61B5E">
    <w:pPr>
      <w:pStyle w:val="Header"/>
    </w:pPr>
  </w:p>
  <w:p w14:paraId="6E2ECDCF" w14:textId="77777777" w:rsidR="00F53B51" w:rsidRDefault="00F53B51" w:rsidP="00A61B5E">
    <w:pPr>
      <w:pStyle w:val="Header"/>
    </w:pPr>
  </w:p>
  <w:p w14:paraId="149A805A" w14:textId="77777777" w:rsidR="00A61B5E" w:rsidRDefault="00555EEF" w:rsidP="00A61B5E">
    <w:pPr>
      <w:pStyle w:val="Header"/>
    </w:pPr>
    <w:r>
      <w:rPr>
        <w:noProof/>
      </w:rPr>
      <w:pict w14:anchorId="20E37B3E">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B2"/>
    <w:multiLevelType w:val="hybridMultilevel"/>
    <w:tmpl w:val="F2EE32A4"/>
    <w:lvl w:ilvl="0" w:tplc="78CEEF1C">
      <w:start w:val="1"/>
      <w:numFmt w:val="decimal"/>
      <w:lvlText w:val="%1."/>
      <w:lvlJc w:val="left"/>
      <w:pPr>
        <w:ind w:left="1080" w:hanging="360"/>
      </w:pPr>
      <w:rPr>
        <w:rFonts w:ascii="Cambria" w:hAnsi="Cambria" w:cs="Cambria" w:hint="default"/>
        <w:b w:val="0"/>
        <w:bCs w:val="0"/>
        <w:sz w:val="20"/>
        <w:szCs w:val="20"/>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15:restartNumberingAfterBreak="0">
    <w:nsid w:val="0AA10711"/>
    <w:multiLevelType w:val="hybridMultilevel"/>
    <w:tmpl w:val="3CFA9B1A"/>
    <w:lvl w:ilvl="0" w:tplc="E814C9C6">
      <w:start w:val="1"/>
      <w:numFmt w:val="upperLetter"/>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D01CC"/>
    <w:multiLevelType w:val="hybridMultilevel"/>
    <w:tmpl w:val="8970FA82"/>
    <w:lvl w:ilvl="0" w:tplc="081690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B5C7B"/>
    <w:multiLevelType w:val="hybridMultilevel"/>
    <w:tmpl w:val="3CB0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B3573"/>
    <w:multiLevelType w:val="hybridMultilevel"/>
    <w:tmpl w:val="98F2158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F03100"/>
    <w:multiLevelType w:val="hybridMultilevel"/>
    <w:tmpl w:val="F88EE254"/>
    <w:lvl w:ilvl="0" w:tplc="DABE6054">
      <w:start w:val="1"/>
      <w:numFmt w:val="decimal"/>
      <w:lvlText w:val="%1."/>
      <w:lvlJc w:val="left"/>
      <w:pPr>
        <w:ind w:left="720" w:hanging="360"/>
      </w:pPr>
    </w:lvl>
    <w:lvl w:ilvl="1" w:tplc="0C0A0019">
      <w:start w:val="1"/>
      <w:numFmt w:val="lowerLetter"/>
      <w:lvlText w:val="%2."/>
      <w:lvlJc w:val="left"/>
      <w:pPr>
        <w:ind w:left="1980" w:hanging="360"/>
      </w:pPr>
    </w:lvl>
    <w:lvl w:ilvl="2" w:tplc="0C0A001B">
      <w:start w:val="1"/>
      <w:numFmt w:val="lowerRoman"/>
      <w:lvlText w:val="%3."/>
      <w:lvlJc w:val="right"/>
      <w:pPr>
        <w:ind w:left="2700" w:hanging="180"/>
      </w:pPr>
    </w:lvl>
    <w:lvl w:ilvl="3" w:tplc="0C0A000F">
      <w:start w:val="1"/>
      <w:numFmt w:val="decimal"/>
      <w:lvlText w:val="%4."/>
      <w:lvlJc w:val="left"/>
      <w:pPr>
        <w:ind w:left="3420" w:hanging="360"/>
      </w:pPr>
    </w:lvl>
    <w:lvl w:ilvl="4" w:tplc="0C0A0019">
      <w:start w:val="1"/>
      <w:numFmt w:val="lowerLetter"/>
      <w:lvlText w:val="%5."/>
      <w:lvlJc w:val="left"/>
      <w:pPr>
        <w:ind w:left="4140" w:hanging="360"/>
      </w:pPr>
    </w:lvl>
    <w:lvl w:ilvl="5" w:tplc="0C0A001B">
      <w:start w:val="1"/>
      <w:numFmt w:val="lowerRoman"/>
      <w:lvlText w:val="%6."/>
      <w:lvlJc w:val="right"/>
      <w:pPr>
        <w:ind w:left="4860" w:hanging="180"/>
      </w:pPr>
    </w:lvl>
    <w:lvl w:ilvl="6" w:tplc="0C0A000F">
      <w:start w:val="1"/>
      <w:numFmt w:val="decimal"/>
      <w:lvlText w:val="%7."/>
      <w:lvlJc w:val="left"/>
      <w:pPr>
        <w:ind w:left="5580" w:hanging="360"/>
      </w:pPr>
    </w:lvl>
    <w:lvl w:ilvl="7" w:tplc="0C0A0019">
      <w:start w:val="1"/>
      <w:numFmt w:val="lowerLetter"/>
      <w:lvlText w:val="%8."/>
      <w:lvlJc w:val="left"/>
      <w:pPr>
        <w:ind w:left="6300" w:hanging="360"/>
      </w:pPr>
    </w:lvl>
    <w:lvl w:ilvl="8" w:tplc="0C0A001B">
      <w:start w:val="1"/>
      <w:numFmt w:val="lowerRoman"/>
      <w:lvlText w:val="%9."/>
      <w:lvlJc w:val="right"/>
      <w:pPr>
        <w:ind w:left="7020" w:hanging="180"/>
      </w:pPr>
    </w:lvl>
  </w:abstractNum>
  <w:abstractNum w:abstractNumId="6" w15:restartNumberingAfterBreak="0">
    <w:nsid w:val="1ACE7A24"/>
    <w:multiLevelType w:val="hybridMultilevel"/>
    <w:tmpl w:val="21843F30"/>
    <w:lvl w:ilvl="0" w:tplc="C15680D8">
      <w:start w:val="4"/>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7753E"/>
    <w:multiLevelType w:val="hybridMultilevel"/>
    <w:tmpl w:val="60865F60"/>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9" w15:restartNumberingAfterBreak="0">
    <w:nsid w:val="26582976"/>
    <w:multiLevelType w:val="hybridMultilevel"/>
    <w:tmpl w:val="A204FA62"/>
    <w:lvl w:ilvl="0" w:tplc="474CA6B0">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D55483B"/>
    <w:multiLevelType w:val="hybridMultilevel"/>
    <w:tmpl w:val="6E0AE690"/>
    <w:lvl w:ilvl="0" w:tplc="6B1221EE">
      <w:start w:val="7"/>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92331"/>
    <w:multiLevelType w:val="hybridMultilevel"/>
    <w:tmpl w:val="EE8E5C28"/>
    <w:lvl w:ilvl="0" w:tplc="9712026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0D220D"/>
    <w:multiLevelType w:val="hybridMultilevel"/>
    <w:tmpl w:val="B07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46356"/>
    <w:multiLevelType w:val="hybridMultilevel"/>
    <w:tmpl w:val="C832D3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C3815"/>
    <w:multiLevelType w:val="hybridMultilevel"/>
    <w:tmpl w:val="634860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D40730"/>
    <w:multiLevelType w:val="hybridMultilevel"/>
    <w:tmpl w:val="80C2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57859"/>
    <w:multiLevelType w:val="hybridMultilevel"/>
    <w:tmpl w:val="2ED4D6D8"/>
    <w:lvl w:ilvl="0" w:tplc="52144A8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12C71"/>
    <w:multiLevelType w:val="hybridMultilevel"/>
    <w:tmpl w:val="598268C2"/>
    <w:lvl w:ilvl="0" w:tplc="D95091A6">
      <w:start w:val="3"/>
      <w:numFmt w:val="decimal"/>
      <w:lvlText w:val="%1."/>
      <w:lvlJc w:val="left"/>
      <w:pPr>
        <w:ind w:left="720" w:hanging="360"/>
      </w:pPr>
      <w:rPr>
        <w:rFonts w:ascii="Cambria" w:hAnsi="Cambria" w:cs="Cambria" w:hint="default"/>
        <w:b w:val="0"/>
        <w:bCs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59A457C"/>
    <w:multiLevelType w:val="hybridMultilevel"/>
    <w:tmpl w:val="2AD22794"/>
    <w:lvl w:ilvl="0" w:tplc="BC2696BC">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73E5A"/>
    <w:multiLevelType w:val="hybridMultilevel"/>
    <w:tmpl w:val="E9C83F88"/>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DE6D06"/>
    <w:multiLevelType w:val="hybridMultilevel"/>
    <w:tmpl w:val="F5F4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6F1327"/>
    <w:multiLevelType w:val="hybridMultilevel"/>
    <w:tmpl w:val="58CCEF62"/>
    <w:lvl w:ilvl="0" w:tplc="3BB85CC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2D301AD"/>
    <w:multiLevelType w:val="hybridMultilevel"/>
    <w:tmpl w:val="16225D3E"/>
    <w:lvl w:ilvl="0" w:tplc="ADD442F4">
      <w:start w:val="2"/>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4654F51"/>
    <w:multiLevelType w:val="hybridMultilevel"/>
    <w:tmpl w:val="736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76EC8"/>
    <w:multiLevelType w:val="hybridMultilevel"/>
    <w:tmpl w:val="C832D3B2"/>
    <w:lvl w:ilvl="0" w:tplc="83B05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84106"/>
    <w:multiLevelType w:val="hybridMultilevel"/>
    <w:tmpl w:val="A08CC97E"/>
    <w:lvl w:ilvl="0" w:tplc="B0BC88B4">
      <w:start w:val="6"/>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E2692"/>
    <w:multiLevelType w:val="hybridMultilevel"/>
    <w:tmpl w:val="4D7CE0A8"/>
    <w:lvl w:ilvl="0" w:tplc="4686E8B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1F50A04"/>
    <w:multiLevelType w:val="hybridMultilevel"/>
    <w:tmpl w:val="6C1E1AC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C41D44"/>
    <w:multiLevelType w:val="hybridMultilevel"/>
    <w:tmpl w:val="826289F6"/>
    <w:lvl w:ilvl="0" w:tplc="83E6A65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16721">
    <w:abstractNumId w:val="34"/>
  </w:num>
  <w:num w:numId="2" w16cid:durableId="386493659">
    <w:abstractNumId w:val="25"/>
  </w:num>
  <w:num w:numId="3" w16cid:durableId="1073046593">
    <w:abstractNumId w:val="19"/>
  </w:num>
  <w:num w:numId="4" w16cid:durableId="665286190">
    <w:abstractNumId w:val="24"/>
  </w:num>
  <w:num w:numId="5" w16cid:durableId="890190884">
    <w:abstractNumId w:val="18"/>
  </w:num>
  <w:num w:numId="6" w16cid:durableId="1269696070">
    <w:abstractNumId w:val="16"/>
  </w:num>
  <w:num w:numId="7" w16cid:durableId="369956807">
    <w:abstractNumId w:val="31"/>
  </w:num>
  <w:num w:numId="8" w16cid:durableId="1461067811">
    <w:abstractNumId w:val="27"/>
  </w:num>
  <w:num w:numId="9" w16cid:durableId="1469392667">
    <w:abstractNumId w:val="35"/>
  </w:num>
  <w:num w:numId="10" w16cid:durableId="126054260">
    <w:abstractNumId w:val="3"/>
  </w:num>
  <w:num w:numId="11" w16cid:durableId="1493372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0625847">
    <w:abstractNumId w:val="7"/>
  </w:num>
  <w:num w:numId="13" w16cid:durableId="888763914">
    <w:abstractNumId w:val="14"/>
  </w:num>
  <w:num w:numId="14" w16cid:durableId="1191532033">
    <w:abstractNumId w:val="0"/>
  </w:num>
  <w:num w:numId="15" w16cid:durableId="2065325609">
    <w:abstractNumId w:val="8"/>
  </w:num>
  <w:num w:numId="16" w16cid:durableId="203366524">
    <w:abstractNumId w:val="30"/>
  </w:num>
  <w:num w:numId="17" w16cid:durableId="1994485589">
    <w:abstractNumId w:val="29"/>
  </w:num>
  <w:num w:numId="18" w16cid:durableId="593170908">
    <w:abstractNumId w:val="12"/>
  </w:num>
  <w:num w:numId="19" w16cid:durableId="1387949599">
    <w:abstractNumId w:val="23"/>
  </w:num>
  <w:num w:numId="20" w16cid:durableId="2114475546">
    <w:abstractNumId w:val="21"/>
  </w:num>
  <w:num w:numId="21" w16cid:durableId="1129208414">
    <w:abstractNumId w:val="6"/>
  </w:num>
  <w:num w:numId="22" w16cid:durableId="54397452">
    <w:abstractNumId w:val="10"/>
  </w:num>
  <w:num w:numId="23" w16cid:durableId="2113012360">
    <w:abstractNumId w:val="22"/>
  </w:num>
  <w:num w:numId="24" w16cid:durableId="1256785358">
    <w:abstractNumId w:val="13"/>
  </w:num>
  <w:num w:numId="25" w16cid:durableId="621379413">
    <w:abstractNumId w:val="28"/>
  </w:num>
  <w:num w:numId="26" w16cid:durableId="977150517">
    <w:abstractNumId w:val="17"/>
  </w:num>
  <w:num w:numId="27" w16cid:durableId="328752619">
    <w:abstractNumId w:val="20"/>
  </w:num>
  <w:num w:numId="28" w16cid:durableId="189227929">
    <w:abstractNumId w:val="37"/>
  </w:num>
  <w:num w:numId="29" w16cid:durableId="1831368133">
    <w:abstractNumId w:val="36"/>
  </w:num>
  <w:num w:numId="30" w16cid:durableId="1716999929">
    <w:abstractNumId w:val="15"/>
  </w:num>
  <w:num w:numId="31" w16cid:durableId="1063480400">
    <w:abstractNumId w:val="11"/>
  </w:num>
  <w:num w:numId="32" w16cid:durableId="1943146568">
    <w:abstractNumId w:val="4"/>
  </w:num>
  <w:num w:numId="33" w16cid:durableId="1476990475">
    <w:abstractNumId w:val="9"/>
  </w:num>
  <w:num w:numId="34" w16cid:durableId="1228420666">
    <w:abstractNumId w:val="32"/>
  </w:num>
  <w:num w:numId="35" w16cid:durableId="7492617">
    <w:abstractNumId w:val="38"/>
  </w:num>
  <w:num w:numId="36" w16cid:durableId="308216504">
    <w:abstractNumId w:val="26"/>
  </w:num>
  <w:num w:numId="37" w16cid:durableId="1528759844">
    <w:abstractNumId w:val="1"/>
  </w:num>
  <w:num w:numId="38" w16cid:durableId="1001276887">
    <w:abstractNumId w:val="2"/>
  </w:num>
  <w:num w:numId="39" w16cid:durableId="20402813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47B56"/>
    <w:rsid w:val="0006625E"/>
    <w:rsid w:val="00076A15"/>
    <w:rsid w:val="00086009"/>
    <w:rsid w:val="00092EFD"/>
    <w:rsid w:val="00096079"/>
    <w:rsid w:val="000E14E3"/>
    <w:rsid w:val="0012586C"/>
    <w:rsid w:val="0014555C"/>
    <w:rsid w:val="00150E20"/>
    <w:rsid w:val="00193906"/>
    <w:rsid w:val="0021669C"/>
    <w:rsid w:val="00226F48"/>
    <w:rsid w:val="002319CE"/>
    <w:rsid w:val="00236A78"/>
    <w:rsid w:val="00240E8E"/>
    <w:rsid w:val="002650A2"/>
    <w:rsid w:val="00283964"/>
    <w:rsid w:val="002859A9"/>
    <w:rsid w:val="00292B52"/>
    <w:rsid w:val="00294B17"/>
    <w:rsid w:val="002A39B2"/>
    <w:rsid w:val="002F2DC7"/>
    <w:rsid w:val="002F58DB"/>
    <w:rsid w:val="00343CED"/>
    <w:rsid w:val="003902DE"/>
    <w:rsid w:val="00393310"/>
    <w:rsid w:val="003C4836"/>
    <w:rsid w:val="003D2D55"/>
    <w:rsid w:val="003F2DDA"/>
    <w:rsid w:val="00400A82"/>
    <w:rsid w:val="00413FCD"/>
    <w:rsid w:val="004140B8"/>
    <w:rsid w:val="00457711"/>
    <w:rsid w:val="0047146A"/>
    <w:rsid w:val="004722BC"/>
    <w:rsid w:val="00486911"/>
    <w:rsid w:val="004B3074"/>
    <w:rsid w:val="004B5A99"/>
    <w:rsid w:val="004C1718"/>
    <w:rsid w:val="00506CFE"/>
    <w:rsid w:val="00513A38"/>
    <w:rsid w:val="005302BD"/>
    <w:rsid w:val="00533294"/>
    <w:rsid w:val="00534F2B"/>
    <w:rsid w:val="00555EEF"/>
    <w:rsid w:val="005566F5"/>
    <w:rsid w:val="005A328E"/>
    <w:rsid w:val="005A5E14"/>
    <w:rsid w:val="005B3C19"/>
    <w:rsid w:val="005B6392"/>
    <w:rsid w:val="005C3542"/>
    <w:rsid w:val="005C56B5"/>
    <w:rsid w:val="005F2473"/>
    <w:rsid w:val="005F4AAA"/>
    <w:rsid w:val="0060012C"/>
    <w:rsid w:val="00604132"/>
    <w:rsid w:val="00607CC7"/>
    <w:rsid w:val="0063220A"/>
    <w:rsid w:val="00687213"/>
    <w:rsid w:val="006A25F7"/>
    <w:rsid w:val="006B6131"/>
    <w:rsid w:val="006E2BD8"/>
    <w:rsid w:val="006F0429"/>
    <w:rsid w:val="00731367"/>
    <w:rsid w:val="00754FFD"/>
    <w:rsid w:val="00774F86"/>
    <w:rsid w:val="007A485F"/>
    <w:rsid w:val="007B0327"/>
    <w:rsid w:val="007B5729"/>
    <w:rsid w:val="007C212A"/>
    <w:rsid w:val="007C2CC3"/>
    <w:rsid w:val="007C351D"/>
    <w:rsid w:val="007C3E98"/>
    <w:rsid w:val="007E361B"/>
    <w:rsid w:val="007F5F4E"/>
    <w:rsid w:val="0080119C"/>
    <w:rsid w:val="00807BAA"/>
    <w:rsid w:val="008550EF"/>
    <w:rsid w:val="008A7933"/>
    <w:rsid w:val="008E42E1"/>
    <w:rsid w:val="008F2248"/>
    <w:rsid w:val="00901B37"/>
    <w:rsid w:val="00913220"/>
    <w:rsid w:val="00920591"/>
    <w:rsid w:val="00967413"/>
    <w:rsid w:val="009949ED"/>
    <w:rsid w:val="009A73C0"/>
    <w:rsid w:val="009B219C"/>
    <w:rsid w:val="009C227B"/>
    <w:rsid w:val="009C4D87"/>
    <w:rsid w:val="009E73F0"/>
    <w:rsid w:val="00A2502C"/>
    <w:rsid w:val="00A25CA7"/>
    <w:rsid w:val="00A31FA7"/>
    <w:rsid w:val="00A343FF"/>
    <w:rsid w:val="00A61B5E"/>
    <w:rsid w:val="00A7781B"/>
    <w:rsid w:val="00A94641"/>
    <w:rsid w:val="00AE1B0F"/>
    <w:rsid w:val="00AF6D30"/>
    <w:rsid w:val="00B056D9"/>
    <w:rsid w:val="00B205A7"/>
    <w:rsid w:val="00B806AC"/>
    <w:rsid w:val="00B93993"/>
    <w:rsid w:val="00BA2B9F"/>
    <w:rsid w:val="00BA7724"/>
    <w:rsid w:val="00BB46E5"/>
    <w:rsid w:val="00C17F04"/>
    <w:rsid w:val="00C402CB"/>
    <w:rsid w:val="00C44D28"/>
    <w:rsid w:val="00C57947"/>
    <w:rsid w:val="00C71434"/>
    <w:rsid w:val="00CB6344"/>
    <w:rsid w:val="00CC6DB2"/>
    <w:rsid w:val="00CD545A"/>
    <w:rsid w:val="00CE4E6F"/>
    <w:rsid w:val="00CF54E1"/>
    <w:rsid w:val="00D05BCC"/>
    <w:rsid w:val="00D2459E"/>
    <w:rsid w:val="00D90D22"/>
    <w:rsid w:val="00DC5A37"/>
    <w:rsid w:val="00DC7C8F"/>
    <w:rsid w:val="00DD05C3"/>
    <w:rsid w:val="00DD1591"/>
    <w:rsid w:val="00DE14B5"/>
    <w:rsid w:val="00DF0FE5"/>
    <w:rsid w:val="00E27850"/>
    <w:rsid w:val="00E3040C"/>
    <w:rsid w:val="00E44647"/>
    <w:rsid w:val="00E6614F"/>
    <w:rsid w:val="00E93B77"/>
    <w:rsid w:val="00EA09D8"/>
    <w:rsid w:val="00EB0395"/>
    <w:rsid w:val="00EB2DCD"/>
    <w:rsid w:val="00F035F2"/>
    <w:rsid w:val="00F306C1"/>
    <w:rsid w:val="00F36C7F"/>
    <w:rsid w:val="00F53B51"/>
    <w:rsid w:val="00F54F60"/>
    <w:rsid w:val="00F66FEE"/>
    <w:rsid w:val="00F74974"/>
    <w:rsid w:val="00FC66C2"/>
    <w:rsid w:val="00FD3451"/>
    <w:rsid w:val="00FD6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C9D1"/>
  <w15:chartTrackingRefBased/>
  <w15:docId w15:val="{B4EA294D-61C5-2E46-8C7B-6F882B6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D1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591"/>
    <w:rPr>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DD1591"/>
    <w:rPr>
      <w:vertAlign w:val="superscript"/>
    </w:rPr>
  </w:style>
  <w:style w:type="paragraph" w:customStyle="1" w:styleId="Appelnotedebasde">
    <w:name w:val="Appel note de bas de..."/>
    <w:basedOn w:val="Normal"/>
    <w:link w:val="FootnoteReference"/>
    <w:rsid w:val="00DD1591"/>
    <w:pPr>
      <w:spacing w:after="160" w:line="240" w:lineRule="exact"/>
    </w:pPr>
    <w:rPr>
      <w:sz w:val="20"/>
      <w:szCs w:val="20"/>
      <w:vertAlign w:val="superscript"/>
      <w:lang w:val="es-MX" w:eastAsia="es-MX"/>
    </w:rPr>
  </w:style>
  <w:style w:type="paragraph" w:styleId="ListParagraph">
    <w:name w:val="List Paragraph"/>
    <w:basedOn w:val="Normal"/>
    <w:uiPriority w:val="34"/>
    <w:qFormat/>
    <w:rsid w:val="00DD1591"/>
    <w:pPr>
      <w:ind w:left="720"/>
      <w:contextualSpacing/>
    </w:pPr>
  </w:style>
  <w:style w:type="character" w:styleId="Hyperlink">
    <w:name w:val="Hyperlink"/>
    <w:basedOn w:val="DefaultParagraphFont"/>
    <w:uiPriority w:val="99"/>
    <w:unhideWhenUsed/>
    <w:rsid w:val="00920591"/>
    <w:rPr>
      <w:color w:val="467886" w:themeColor="hyperlink"/>
      <w:u w:val="single"/>
    </w:rPr>
  </w:style>
  <w:style w:type="character" w:styleId="UnresolvedMention">
    <w:name w:val="Unresolved Mention"/>
    <w:basedOn w:val="DefaultParagraphFont"/>
    <w:uiPriority w:val="99"/>
    <w:semiHidden/>
    <w:unhideWhenUsed/>
    <w:rsid w:val="00920591"/>
    <w:rPr>
      <w:color w:val="605E5C"/>
      <w:shd w:val="clear" w:color="auto" w:fill="E1DFDD"/>
    </w:rPr>
  </w:style>
  <w:style w:type="character" w:styleId="CommentReference">
    <w:name w:val="annotation reference"/>
    <w:basedOn w:val="DefaultParagraphFont"/>
    <w:uiPriority w:val="99"/>
    <w:semiHidden/>
    <w:unhideWhenUsed/>
    <w:rsid w:val="00FD3451"/>
    <w:rPr>
      <w:sz w:val="16"/>
      <w:szCs w:val="16"/>
    </w:rPr>
  </w:style>
  <w:style w:type="paragraph" w:styleId="CommentText">
    <w:name w:val="annotation text"/>
    <w:basedOn w:val="Normal"/>
    <w:link w:val="CommentTextChar"/>
    <w:uiPriority w:val="99"/>
    <w:semiHidden/>
    <w:unhideWhenUsed/>
    <w:rsid w:val="00FD3451"/>
    <w:pPr>
      <w:spacing w:line="240" w:lineRule="auto"/>
    </w:pPr>
    <w:rPr>
      <w:sz w:val="20"/>
      <w:szCs w:val="20"/>
    </w:rPr>
  </w:style>
  <w:style w:type="character" w:customStyle="1" w:styleId="CommentTextChar">
    <w:name w:val="Comment Text Char"/>
    <w:basedOn w:val="DefaultParagraphFont"/>
    <w:link w:val="CommentText"/>
    <w:uiPriority w:val="99"/>
    <w:semiHidden/>
    <w:rsid w:val="00FD3451"/>
    <w:rPr>
      <w:lang w:val="en-US" w:eastAsia="en-US"/>
    </w:rPr>
  </w:style>
  <w:style w:type="paragraph" w:styleId="CommentSubject">
    <w:name w:val="annotation subject"/>
    <w:basedOn w:val="CommentText"/>
    <w:next w:val="CommentText"/>
    <w:link w:val="CommentSubjectChar"/>
    <w:uiPriority w:val="99"/>
    <w:semiHidden/>
    <w:unhideWhenUsed/>
    <w:rsid w:val="00FD3451"/>
    <w:rPr>
      <w:b/>
      <w:bCs/>
    </w:rPr>
  </w:style>
  <w:style w:type="character" w:customStyle="1" w:styleId="CommentSubjectChar">
    <w:name w:val="Comment Subject Char"/>
    <w:basedOn w:val="CommentTextChar"/>
    <w:link w:val="CommentSubject"/>
    <w:uiPriority w:val="99"/>
    <w:semiHidden/>
    <w:rsid w:val="00FD345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s.org/en/iachr/decisions/2020/cosa13370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n/iachr/decisions/2020/cosa13370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n/iachr/decisions/2017/coad272-07en.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1/Chapters/IA2021cap2-en.pdf" TargetMode="External"/><Relationship Id="rId2" Type="http://schemas.openxmlformats.org/officeDocument/2006/relationships/hyperlink" Target="https://www.oas.org/en/iachr/docs/annual/2022/Chapters/4-IA2022_Cap_2_EN.pdf" TargetMode="External"/><Relationship Id="rId1" Type="http://schemas.openxmlformats.org/officeDocument/2006/relationships/hyperlink" Target="http://www.oas.org/en/iachr/decisions/2020/cosa13370en.pdf" TargetMode="External"/><Relationship Id="rId5" Type="http://schemas.openxmlformats.org/officeDocument/2006/relationships/hyperlink" Target="https://www.oas.org/en/iachr/docs/annual/2024/chapters/IA2024_2_EN.PDF" TargetMode="External"/><Relationship Id="rId4" Type="http://schemas.openxmlformats.org/officeDocument/2006/relationships/hyperlink" Target="https://www.oas.org/en/iachr/docs/annual/2022/Chapters/4-IA2022_Cap_2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2.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3.xml><?xml version="1.0" encoding="utf-8"?>
<ds:datastoreItem xmlns:ds="http://schemas.openxmlformats.org/officeDocument/2006/customXml" ds:itemID="{E1BD57BF-A33D-4086-889A-F71FEBA2C3C1}">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F00D9A7D-3F87-214A-B521-385E0A630F07}">
  <ds:schemaRefs>
    <ds:schemaRef ds:uri="http://schemas.openxmlformats.org/officeDocument/2006/bibliography"/>
  </ds:schemaRefs>
</ds:datastoreItem>
</file>

<file path=customXml/itemProps5.xml><?xml version="1.0" encoding="utf-8"?>
<ds:datastoreItem xmlns:ds="http://schemas.openxmlformats.org/officeDocument/2006/customXml" ds:itemID="{6A31A8B0-9677-47F6-B2F7-F6AB09E2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2</TotalTime>
  <Pages>4</Pages>
  <Words>1385</Words>
  <Characters>7895</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4</cp:revision>
  <cp:lastPrinted>2025-08-26T18:25:00Z</cp:lastPrinted>
  <dcterms:created xsi:type="dcterms:W3CDTF">2025-07-25T18:06:00Z</dcterms:created>
  <dcterms:modified xsi:type="dcterms:W3CDTF">2025-08-26T18:25:00Z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73400.0000000000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