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27BB" w14:textId="77777777" w:rsidR="00DD1591" w:rsidRPr="00142634" w:rsidRDefault="00DD1591" w:rsidP="00142634">
      <w:pPr>
        <w:suppressAutoHyphens/>
        <w:spacing w:after="0" w:line="240" w:lineRule="auto"/>
        <w:ind w:right="4"/>
        <w:rPr>
          <w:rFonts w:ascii="Cambria" w:eastAsia="Batang" w:hAnsi="Cambria"/>
          <w:b/>
          <w:bCs/>
          <w:color w:val="000000"/>
          <w:sz w:val="24"/>
        </w:rPr>
      </w:pPr>
    </w:p>
    <w:p w14:paraId="63C6CC88" w14:textId="6343F2F5" w:rsidR="00457711" w:rsidRPr="00142634" w:rsidRDefault="00457711" w:rsidP="00142634">
      <w:pPr>
        <w:suppressAutoHyphens/>
        <w:spacing w:after="0" w:line="240" w:lineRule="auto"/>
        <w:ind w:right="4"/>
        <w:jc w:val="center"/>
        <w:rPr>
          <w:rFonts w:ascii="Cambria" w:eastAsia="Batang" w:hAnsi="Cambria"/>
          <w:b/>
          <w:bCs/>
          <w:color w:val="000000"/>
          <w:sz w:val="24"/>
        </w:rPr>
      </w:pPr>
      <w:r w:rsidRPr="00142634">
        <w:rPr>
          <w:rFonts w:ascii="Cambria" w:eastAsia="Batang" w:hAnsi="Cambria"/>
          <w:b/>
          <w:bCs/>
          <w:color w:val="000000"/>
          <w:sz w:val="24"/>
        </w:rPr>
        <w:t>TECHNICAL INFORMATION SHEET</w:t>
      </w:r>
    </w:p>
    <w:p w14:paraId="33E3C009" w14:textId="5F8867BB" w:rsidR="00457711" w:rsidRPr="00142634" w:rsidRDefault="00457711" w:rsidP="00DD6D51">
      <w:pPr>
        <w:suppressAutoHyphens/>
        <w:spacing w:after="0" w:line="240" w:lineRule="auto"/>
        <w:ind w:right="4"/>
        <w:jc w:val="center"/>
        <w:rPr>
          <w:rFonts w:ascii="Cambria" w:hAnsi="Cambria"/>
          <w:b/>
          <w:color w:val="000000"/>
          <w:sz w:val="24"/>
        </w:rPr>
      </w:pPr>
      <w:r w:rsidRPr="00142634">
        <w:rPr>
          <w:rFonts w:ascii="Cambria" w:hAnsi="Cambria"/>
          <w:b/>
          <w:color w:val="000000"/>
          <w:sz w:val="24"/>
        </w:rPr>
        <w:t xml:space="preserve">CASE </w:t>
      </w:r>
      <w:r w:rsidR="00DD6D51" w:rsidRPr="00DD6D51">
        <w:rPr>
          <w:rFonts w:ascii="Cambria" w:hAnsi="Cambria"/>
          <w:b/>
          <w:color w:val="000000"/>
          <w:sz w:val="24"/>
        </w:rPr>
        <w:t>13.436</w:t>
      </w:r>
      <w:r w:rsidR="00DD6D51">
        <w:rPr>
          <w:rFonts w:ascii="Cambria" w:hAnsi="Cambria"/>
          <w:b/>
          <w:color w:val="000000"/>
          <w:sz w:val="24"/>
        </w:rPr>
        <w:t xml:space="preserve"> </w:t>
      </w:r>
      <w:r w:rsidR="00DD6D51" w:rsidRPr="00DD6D51">
        <w:rPr>
          <w:rFonts w:ascii="Cambria" w:hAnsi="Cambria"/>
          <w:b/>
          <w:color w:val="000000"/>
          <w:sz w:val="24"/>
        </w:rPr>
        <w:t>JOSÉ OLEAGUER CORREA CASTRILLÓN</w:t>
      </w:r>
    </w:p>
    <w:p w14:paraId="486FDFC3" w14:textId="6898FED9" w:rsidR="00DD1591" w:rsidRPr="00142634" w:rsidRDefault="00DD1591" w:rsidP="00142634">
      <w:pPr>
        <w:suppressAutoHyphens/>
        <w:spacing w:after="0" w:line="240" w:lineRule="auto"/>
        <w:ind w:right="4"/>
        <w:jc w:val="center"/>
        <w:rPr>
          <w:rFonts w:ascii="Cambria" w:eastAsia="Batang" w:hAnsi="Cambria"/>
          <w:b/>
          <w:bCs/>
          <w:color w:val="000000"/>
          <w:sz w:val="24"/>
        </w:rPr>
      </w:pPr>
      <w:r w:rsidRPr="00142634">
        <w:rPr>
          <w:rFonts w:ascii="Cambria" w:eastAsia="Batang" w:hAnsi="Cambria"/>
          <w:b/>
          <w:bCs/>
          <w:color w:val="000000"/>
          <w:sz w:val="24"/>
        </w:rPr>
        <w:t xml:space="preserve">FRIENDLY SETTLEMENT </w:t>
      </w:r>
      <w:r w:rsidR="002F2DC7" w:rsidRPr="00142634">
        <w:rPr>
          <w:rFonts w:ascii="Cambria" w:eastAsia="Batang" w:hAnsi="Cambria"/>
          <w:b/>
          <w:bCs/>
          <w:color w:val="000000"/>
          <w:sz w:val="24"/>
        </w:rPr>
        <w:t>REPORT</w:t>
      </w:r>
      <w:r w:rsidR="00DD6D51">
        <w:rPr>
          <w:rFonts w:ascii="Cambria" w:eastAsia="Batang" w:hAnsi="Cambria"/>
          <w:b/>
          <w:bCs/>
          <w:color w:val="000000"/>
          <w:sz w:val="24"/>
        </w:rPr>
        <w:t xml:space="preserve"> </w:t>
      </w:r>
      <w:hyperlink r:id="rId12" w:history="1">
        <w:r w:rsidR="00DD6D51" w:rsidRPr="00593183">
          <w:rPr>
            <w:rStyle w:val="Hyperlink"/>
            <w:rFonts w:ascii="Cambria" w:eastAsia="Batang" w:hAnsi="Cambria"/>
            <w:b/>
            <w:bCs/>
            <w:sz w:val="24"/>
          </w:rPr>
          <w:t>No. 67/22</w:t>
        </w:r>
      </w:hyperlink>
    </w:p>
    <w:p w14:paraId="2B66417A" w14:textId="5D0EDE53" w:rsidR="00457711" w:rsidRPr="00A54C6A" w:rsidRDefault="002F2DC7" w:rsidP="00142634">
      <w:pPr>
        <w:suppressAutoHyphens/>
        <w:spacing w:after="0" w:line="240" w:lineRule="auto"/>
        <w:ind w:right="4"/>
        <w:jc w:val="center"/>
        <w:rPr>
          <w:rFonts w:ascii="Cambria" w:eastAsia="Batang" w:hAnsi="Cambria"/>
          <w:b/>
          <w:color w:val="000000"/>
          <w:sz w:val="24"/>
        </w:rPr>
      </w:pPr>
      <w:r w:rsidRPr="00142634">
        <w:rPr>
          <w:rFonts w:ascii="Cambria" w:eastAsia="Batang" w:hAnsi="Cambria"/>
          <w:b/>
          <w:bCs/>
          <w:color w:val="000000"/>
          <w:sz w:val="24"/>
        </w:rPr>
        <w:t>TOTAL COMPLIANCE</w:t>
      </w:r>
    </w:p>
    <w:p w14:paraId="0CDE4D15" w14:textId="065BB91C" w:rsidR="00DD1591" w:rsidRPr="00142634" w:rsidRDefault="00DD1591" w:rsidP="00142634">
      <w:pPr>
        <w:suppressAutoHyphens/>
        <w:spacing w:after="0" w:line="240" w:lineRule="auto"/>
        <w:ind w:right="4"/>
        <w:jc w:val="center"/>
        <w:rPr>
          <w:rFonts w:ascii="Cambria" w:eastAsia="Batang" w:hAnsi="Cambria"/>
          <w:b/>
          <w:color w:val="000000"/>
          <w:sz w:val="24"/>
        </w:rPr>
      </w:pPr>
      <w:r w:rsidRPr="00142634">
        <w:rPr>
          <w:rFonts w:ascii="Cambria" w:eastAsia="Batang" w:hAnsi="Cambria"/>
          <w:b/>
          <w:bCs/>
          <w:color w:val="000000"/>
          <w:sz w:val="24"/>
        </w:rPr>
        <w:t>(</w:t>
      </w:r>
      <w:r w:rsidR="00F035F2" w:rsidRPr="00142634">
        <w:rPr>
          <w:rFonts w:ascii="Cambria" w:eastAsia="Batang" w:hAnsi="Cambria"/>
          <w:b/>
          <w:bCs/>
          <w:color w:val="000000"/>
          <w:sz w:val="24"/>
        </w:rPr>
        <w:t>COLOMBIA</w:t>
      </w:r>
      <w:r w:rsidRPr="00142634">
        <w:rPr>
          <w:rFonts w:ascii="Cambria" w:eastAsia="Batang" w:hAnsi="Cambria"/>
          <w:b/>
          <w:bCs/>
          <w:color w:val="000000"/>
          <w:sz w:val="24"/>
        </w:rPr>
        <w:t>)</w:t>
      </w:r>
    </w:p>
    <w:p w14:paraId="41A766A1" w14:textId="77777777" w:rsidR="00DD6D51" w:rsidRPr="00DD6D51" w:rsidRDefault="00DD6D51" w:rsidP="00DD6D51">
      <w:pPr>
        <w:suppressAutoHyphens/>
        <w:spacing w:after="0" w:line="240" w:lineRule="auto"/>
        <w:ind w:firstLine="720"/>
        <w:jc w:val="center"/>
        <w:rPr>
          <w:rFonts w:ascii="Cambria" w:eastAsia="Batang" w:hAnsi="Cambria"/>
          <w:b/>
          <w:sz w:val="20"/>
          <w:szCs w:val="20"/>
          <w:lang w:val="es-US"/>
        </w:rPr>
      </w:pPr>
    </w:p>
    <w:p w14:paraId="4E18F42C" w14:textId="77777777" w:rsidR="00DD6D51" w:rsidRPr="00DD6D51" w:rsidRDefault="00DD6D51" w:rsidP="00DD6D51">
      <w:pPr>
        <w:numPr>
          <w:ilvl w:val="0"/>
          <w:numId w:val="55"/>
        </w:numPr>
        <w:suppressAutoHyphens/>
        <w:spacing w:after="0" w:line="240" w:lineRule="auto"/>
        <w:ind w:left="0" w:firstLine="709"/>
        <w:contextualSpacing/>
        <w:rPr>
          <w:rFonts w:ascii="Cambria" w:hAnsi="Cambria" w:cs="Calibri Light"/>
          <w:b/>
          <w:sz w:val="20"/>
          <w:szCs w:val="20"/>
        </w:rPr>
      </w:pPr>
      <w:r w:rsidRPr="00DD6D51">
        <w:rPr>
          <w:rFonts w:ascii="Cambria" w:hAnsi="Cambria"/>
          <w:b/>
          <w:sz w:val="20"/>
          <w:szCs w:val="20"/>
        </w:rPr>
        <w:t xml:space="preserve">SUMMARY OF THE CASE </w:t>
      </w:r>
    </w:p>
    <w:p w14:paraId="2E5C12FA" w14:textId="77777777" w:rsidR="00DD6D51" w:rsidRPr="00DD6D51" w:rsidRDefault="00DD6D51" w:rsidP="00DD6D51">
      <w:pPr>
        <w:suppressAutoHyphens/>
        <w:spacing w:after="0" w:line="240" w:lineRule="auto"/>
        <w:ind w:left="1080"/>
        <w:rPr>
          <w:rFonts w:ascii="Cambria" w:hAnsi="Cambria" w:cs="Calibri Light"/>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DD6D51" w:rsidRPr="00DD6D51" w14:paraId="3223C12F" w14:textId="77777777" w:rsidTr="009A74AF">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1D50D63E" w14:textId="77777777" w:rsidR="00DD6D51" w:rsidRPr="00DD6D51" w:rsidRDefault="00DD6D51" w:rsidP="00DD6D51">
            <w:pPr>
              <w:tabs>
                <w:tab w:val="left" w:pos="9270"/>
              </w:tabs>
              <w:suppressAutoHyphens/>
              <w:spacing w:after="0" w:line="240" w:lineRule="auto"/>
              <w:jc w:val="both"/>
              <w:rPr>
                <w:rFonts w:ascii="Cambria" w:hAnsi="Cambria"/>
                <w:sz w:val="20"/>
                <w:szCs w:val="20"/>
              </w:rPr>
            </w:pPr>
            <w:r w:rsidRPr="00DD6D51">
              <w:rPr>
                <w:rFonts w:ascii="Cambria" w:hAnsi="Cambria"/>
                <w:b/>
                <w:sz w:val="20"/>
                <w:szCs w:val="20"/>
              </w:rPr>
              <w:t>Victim(s):</w:t>
            </w:r>
            <w:r w:rsidRPr="00DD6D51">
              <w:rPr>
                <w:rFonts w:ascii="Cambria" w:hAnsi="Cambria"/>
                <w:sz w:val="20"/>
                <w:szCs w:val="20"/>
              </w:rPr>
              <w:t xml:space="preserve"> José Oleaguer Correa Castrillón</w:t>
            </w:r>
          </w:p>
          <w:p w14:paraId="4137BEB2" w14:textId="17C0BE57" w:rsidR="00DD6D51" w:rsidRPr="00DD6D51" w:rsidRDefault="00DD6D51" w:rsidP="00DD6D51">
            <w:pPr>
              <w:tabs>
                <w:tab w:val="left" w:pos="9270"/>
              </w:tabs>
              <w:suppressAutoHyphens/>
              <w:spacing w:after="0" w:line="240" w:lineRule="auto"/>
              <w:jc w:val="both"/>
              <w:rPr>
                <w:rFonts w:ascii="Cambria" w:hAnsi="Cambria"/>
                <w:sz w:val="20"/>
                <w:szCs w:val="20"/>
                <w:lang w:val="es-CO"/>
              </w:rPr>
            </w:pPr>
            <w:r w:rsidRPr="00DD6D51">
              <w:rPr>
                <w:rFonts w:ascii="Cambria" w:hAnsi="Cambria"/>
                <w:b/>
                <w:sz w:val="20"/>
                <w:szCs w:val="20"/>
                <w:lang w:val="es-CO"/>
              </w:rPr>
              <w:t xml:space="preserve">Petitioner(s): </w:t>
            </w:r>
            <w:r w:rsidRPr="00DD6D51">
              <w:rPr>
                <w:rFonts w:ascii="Cambria" w:hAnsi="Cambria"/>
                <w:bCs/>
                <w:sz w:val="20"/>
                <w:szCs w:val="20"/>
                <w:lang w:val="es-CO"/>
              </w:rPr>
              <w:t xml:space="preserve">Javier </w:t>
            </w:r>
            <w:r w:rsidR="00593183" w:rsidRPr="00DD6D51">
              <w:rPr>
                <w:rFonts w:ascii="Cambria" w:hAnsi="Cambria"/>
                <w:bCs/>
                <w:sz w:val="20"/>
                <w:szCs w:val="20"/>
                <w:lang w:val="es-CO"/>
              </w:rPr>
              <w:t>Leónidas</w:t>
            </w:r>
            <w:r w:rsidRPr="00DD6D51">
              <w:rPr>
                <w:rFonts w:ascii="Cambria" w:hAnsi="Cambria"/>
                <w:bCs/>
                <w:sz w:val="20"/>
                <w:szCs w:val="20"/>
                <w:lang w:val="es-CO"/>
              </w:rPr>
              <w:t xml:space="preserve"> Villegas Posada, Yenny Molina, </w:t>
            </w:r>
            <w:r w:rsidR="00A12360">
              <w:rPr>
                <w:rFonts w:ascii="Cambria" w:hAnsi="Cambria"/>
                <w:bCs/>
                <w:sz w:val="20"/>
                <w:szCs w:val="20"/>
                <w:lang w:val="es-CO"/>
              </w:rPr>
              <w:t xml:space="preserve">and </w:t>
            </w:r>
            <w:r w:rsidRPr="00DD6D51">
              <w:rPr>
                <w:rFonts w:ascii="Cambria" w:hAnsi="Cambria"/>
                <w:bCs/>
                <w:sz w:val="20"/>
                <w:szCs w:val="20"/>
                <w:lang w:val="es-CO"/>
              </w:rPr>
              <w:t>Sandra Consuelo Villegas</w:t>
            </w:r>
          </w:p>
          <w:p w14:paraId="129B9905" w14:textId="77777777" w:rsidR="00DD6D51" w:rsidRPr="00DD6D51" w:rsidRDefault="00DD6D51" w:rsidP="00DD6D51">
            <w:pPr>
              <w:tabs>
                <w:tab w:val="left" w:pos="5026"/>
              </w:tabs>
              <w:suppressAutoHyphens/>
              <w:spacing w:after="0" w:line="240" w:lineRule="auto"/>
              <w:jc w:val="both"/>
              <w:rPr>
                <w:rFonts w:ascii="Cambria" w:hAnsi="Cambria"/>
                <w:sz w:val="20"/>
                <w:szCs w:val="20"/>
              </w:rPr>
            </w:pPr>
            <w:r w:rsidRPr="00DD6D51">
              <w:rPr>
                <w:rFonts w:ascii="Cambria" w:hAnsi="Cambria"/>
                <w:b/>
                <w:sz w:val="20"/>
                <w:szCs w:val="20"/>
              </w:rPr>
              <w:t>State:</w:t>
            </w:r>
            <w:r w:rsidRPr="00DD6D51">
              <w:rPr>
                <w:rFonts w:ascii="Cambria" w:hAnsi="Cambria"/>
                <w:sz w:val="20"/>
                <w:szCs w:val="20"/>
              </w:rPr>
              <w:t xml:space="preserve"> Colombia</w:t>
            </w:r>
          </w:p>
          <w:p w14:paraId="764A0CEF" w14:textId="5696A5CA" w:rsidR="00DD6D51" w:rsidRPr="00DD6D51" w:rsidRDefault="00DD6D51" w:rsidP="00DD6D51">
            <w:pPr>
              <w:tabs>
                <w:tab w:val="left" w:pos="9270"/>
              </w:tabs>
              <w:suppressAutoHyphens/>
              <w:spacing w:after="0" w:line="240" w:lineRule="auto"/>
              <w:jc w:val="both"/>
              <w:rPr>
                <w:rFonts w:ascii="Cambria" w:hAnsi="Cambria"/>
                <w:b/>
                <w:bCs/>
                <w:sz w:val="20"/>
                <w:szCs w:val="20"/>
              </w:rPr>
            </w:pPr>
            <w:r w:rsidRPr="00DD6D51">
              <w:rPr>
                <w:rFonts w:ascii="Cambria" w:hAnsi="Cambria"/>
                <w:b/>
                <w:bCs/>
                <w:sz w:val="20"/>
                <w:szCs w:val="20"/>
              </w:rPr>
              <w:t>Beginning of the negotiation date:</w:t>
            </w:r>
            <w:r w:rsidRPr="00DD6D51">
              <w:rPr>
                <w:rFonts w:ascii="Cambria" w:hAnsi="Cambria"/>
                <w:bCs/>
                <w:sz w:val="20"/>
                <w:szCs w:val="20"/>
              </w:rPr>
              <w:t xml:space="preserve"> June 23, 20</w:t>
            </w:r>
            <w:r w:rsidR="00593183">
              <w:rPr>
                <w:rFonts w:ascii="Cambria" w:hAnsi="Cambria"/>
                <w:bCs/>
                <w:sz w:val="20"/>
                <w:szCs w:val="20"/>
              </w:rPr>
              <w:t>2</w:t>
            </w:r>
            <w:r w:rsidRPr="00DD6D51">
              <w:rPr>
                <w:rFonts w:ascii="Cambria" w:hAnsi="Cambria"/>
                <w:bCs/>
                <w:sz w:val="20"/>
                <w:szCs w:val="20"/>
              </w:rPr>
              <w:t>1</w:t>
            </w:r>
          </w:p>
          <w:p w14:paraId="11DF2EE7" w14:textId="77777777" w:rsidR="00DD6D51" w:rsidRPr="00DD6D51" w:rsidRDefault="00DD6D51" w:rsidP="00DD6D51">
            <w:pPr>
              <w:suppressAutoHyphens/>
              <w:spacing w:after="0" w:line="240" w:lineRule="auto"/>
              <w:jc w:val="both"/>
              <w:rPr>
                <w:rFonts w:ascii="Cambria" w:hAnsi="Cambria"/>
                <w:sz w:val="20"/>
                <w:szCs w:val="20"/>
              </w:rPr>
            </w:pPr>
            <w:r w:rsidRPr="00DD6D51">
              <w:rPr>
                <w:rFonts w:ascii="Cambria" w:hAnsi="Cambria"/>
                <w:b/>
                <w:bCs/>
                <w:sz w:val="20"/>
                <w:szCs w:val="20"/>
              </w:rPr>
              <w:t>FSA signature date:</w:t>
            </w:r>
            <w:r w:rsidRPr="00DD6D51">
              <w:rPr>
                <w:rFonts w:ascii="Cambria" w:hAnsi="Cambria"/>
                <w:sz w:val="20"/>
                <w:szCs w:val="20"/>
              </w:rPr>
              <w:t xml:space="preserve"> December 23, 2021</w:t>
            </w:r>
          </w:p>
          <w:p w14:paraId="3A1713FB" w14:textId="77777777" w:rsidR="00DD6D51" w:rsidRPr="00DD6D51" w:rsidRDefault="00DD6D51" w:rsidP="00DD6D51">
            <w:pPr>
              <w:tabs>
                <w:tab w:val="left" w:pos="9270"/>
              </w:tabs>
              <w:suppressAutoHyphens/>
              <w:spacing w:after="0" w:line="240" w:lineRule="auto"/>
              <w:jc w:val="both"/>
              <w:rPr>
                <w:rFonts w:ascii="Cambria" w:hAnsi="Cambria"/>
                <w:sz w:val="20"/>
                <w:szCs w:val="20"/>
              </w:rPr>
            </w:pPr>
            <w:r w:rsidRPr="00DD6D51">
              <w:rPr>
                <w:rFonts w:ascii="Cambria" w:hAnsi="Cambria"/>
                <w:b/>
                <w:sz w:val="20"/>
                <w:szCs w:val="20"/>
              </w:rPr>
              <w:t xml:space="preserve">Report on Admissibility No. </w:t>
            </w:r>
            <w:r w:rsidRPr="00DD6D51">
              <w:rPr>
                <w:rFonts w:ascii="Cambria" w:hAnsi="Cambria"/>
                <w:sz w:val="20"/>
                <w:szCs w:val="20"/>
              </w:rPr>
              <w:t>N/A</w:t>
            </w:r>
          </w:p>
          <w:p w14:paraId="226669A3" w14:textId="6C630D26" w:rsidR="00DD6D51" w:rsidRPr="00DD6D51" w:rsidRDefault="00DD6D51" w:rsidP="00DD6D51">
            <w:pPr>
              <w:tabs>
                <w:tab w:val="left" w:pos="9270"/>
              </w:tabs>
              <w:suppressAutoHyphens/>
              <w:spacing w:after="0" w:line="240" w:lineRule="auto"/>
              <w:jc w:val="both"/>
              <w:rPr>
                <w:rFonts w:ascii="Cambria" w:hAnsi="Cambria"/>
                <w:sz w:val="20"/>
                <w:szCs w:val="20"/>
              </w:rPr>
            </w:pPr>
            <w:r w:rsidRPr="00DD6D51">
              <w:rPr>
                <w:rFonts w:ascii="Cambria" w:hAnsi="Cambria"/>
                <w:b/>
                <w:sz w:val="20"/>
                <w:szCs w:val="20"/>
              </w:rPr>
              <w:t xml:space="preserve">Friendly Settlement Agreement Report No. </w:t>
            </w:r>
            <w:hyperlink r:id="rId13" w:history="1">
              <w:r w:rsidRPr="00A54C6A">
                <w:rPr>
                  <w:rFonts w:ascii="Cambria" w:hAnsi="Cambria"/>
                  <w:b/>
                  <w:bCs/>
                  <w:color w:val="0563C1"/>
                  <w:sz w:val="20"/>
                  <w:szCs w:val="20"/>
                  <w:u w:val="single"/>
                </w:rPr>
                <w:t>67/22</w:t>
              </w:r>
            </w:hyperlink>
            <w:r w:rsidR="00593183">
              <w:t>,</w:t>
            </w:r>
            <w:r w:rsidRPr="00DD6D51">
              <w:rPr>
                <w:rFonts w:ascii="Cambria" w:hAnsi="Cambria"/>
                <w:bCs/>
                <w:sz w:val="20"/>
                <w:szCs w:val="20"/>
              </w:rPr>
              <w:t xml:space="preserve"> </w:t>
            </w:r>
            <w:r w:rsidRPr="00DD6D51">
              <w:rPr>
                <w:rFonts w:ascii="Cambria" w:hAnsi="Cambria"/>
                <w:sz w:val="20"/>
                <w:szCs w:val="20"/>
              </w:rPr>
              <w:t>published on May 10, 2022</w:t>
            </w:r>
          </w:p>
          <w:p w14:paraId="4DEF69CE" w14:textId="77777777" w:rsidR="00DD6D51" w:rsidRPr="00DD6D51" w:rsidRDefault="00DD6D51" w:rsidP="00DD6D51">
            <w:pPr>
              <w:tabs>
                <w:tab w:val="left" w:pos="9270"/>
              </w:tabs>
              <w:suppressAutoHyphens/>
              <w:spacing w:after="0" w:line="240" w:lineRule="auto"/>
              <w:jc w:val="both"/>
              <w:rPr>
                <w:rFonts w:ascii="Cambria" w:hAnsi="Cambria"/>
                <w:bCs/>
                <w:sz w:val="20"/>
                <w:szCs w:val="20"/>
              </w:rPr>
            </w:pPr>
            <w:r w:rsidRPr="00DD6D51">
              <w:rPr>
                <w:rFonts w:ascii="Cambria" w:hAnsi="Cambria"/>
                <w:b/>
                <w:bCs/>
                <w:sz w:val="20"/>
                <w:szCs w:val="20"/>
              </w:rPr>
              <w:t xml:space="preserve">Estimated length of the negotiation phase: </w:t>
            </w:r>
            <w:r w:rsidRPr="00DD6D51">
              <w:rPr>
                <w:rFonts w:ascii="Cambria" w:hAnsi="Cambria"/>
                <w:bCs/>
                <w:sz w:val="20"/>
                <w:szCs w:val="20"/>
              </w:rPr>
              <w:t>6 months</w:t>
            </w:r>
          </w:p>
          <w:p w14:paraId="74BAEAA2" w14:textId="77777777" w:rsidR="00DD6D51" w:rsidRPr="00DD6D51" w:rsidRDefault="00DD6D51" w:rsidP="00DD6D51">
            <w:pPr>
              <w:tabs>
                <w:tab w:val="left" w:pos="9270"/>
              </w:tabs>
              <w:suppressAutoHyphens/>
              <w:spacing w:after="0" w:line="240" w:lineRule="auto"/>
              <w:jc w:val="both"/>
              <w:rPr>
                <w:rFonts w:ascii="Cambria" w:hAnsi="Cambria"/>
                <w:sz w:val="20"/>
                <w:szCs w:val="20"/>
              </w:rPr>
            </w:pPr>
            <w:r w:rsidRPr="00DD6D51">
              <w:rPr>
                <w:rFonts w:ascii="Cambria" w:hAnsi="Cambria"/>
                <w:b/>
                <w:sz w:val="20"/>
                <w:szCs w:val="20"/>
              </w:rPr>
              <w:t>Related Rapporteurship:</w:t>
            </w:r>
            <w:r w:rsidRPr="00DD6D51">
              <w:rPr>
                <w:rFonts w:ascii="Cambria" w:hAnsi="Cambria"/>
                <w:sz w:val="20"/>
                <w:szCs w:val="20"/>
              </w:rPr>
              <w:t xml:space="preserve"> N/A</w:t>
            </w:r>
          </w:p>
          <w:p w14:paraId="41C85125" w14:textId="77777777" w:rsidR="00DD6D51" w:rsidRPr="00DD6D51" w:rsidRDefault="00DD6D51" w:rsidP="00DD6D51">
            <w:pPr>
              <w:tabs>
                <w:tab w:val="left" w:pos="9270"/>
              </w:tabs>
              <w:suppressAutoHyphens/>
              <w:spacing w:after="0" w:line="240" w:lineRule="auto"/>
              <w:jc w:val="both"/>
              <w:rPr>
                <w:rFonts w:ascii="Cambria" w:hAnsi="Cambria"/>
                <w:b/>
                <w:sz w:val="20"/>
                <w:szCs w:val="20"/>
              </w:rPr>
            </w:pPr>
            <w:r w:rsidRPr="00DD6D51">
              <w:rPr>
                <w:rFonts w:ascii="Cambria" w:hAnsi="Cambria"/>
                <w:b/>
                <w:sz w:val="20"/>
                <w:szCs w:val="20"/>
              </w:rPr>
              <w:t xml:space="preserve">Topics: </w:t>
            </w:r>
            <w:r w:rsidRPr="00DD6D51">
              <w:rPr>
                <w:rFonts w:ascii="Cambria" w:hAnsi="Cambria"/>
                <w:bCs/>
                <w:sz w:val="20"/>
                <w:szCs w:val="20"/>
              </w:rPr>
              <w:t>Life / Humane treatment / Personal freedom / Fair trial / Judicial protection</w:t>
            </w:r>
          </w:p>
          <w:p w14:paraId="3CDDE1DE" w14:textId="77777777" w:rsidR="00DD6D51" w:rsidRPr="00DD6D51" w:rsidRDefault="00DD6D51" w:rsidP="00DD6D51">
            <w:pPr>
              <w:tabs>
                <w:tab w:val="left" w:pos="9270"/>
              </w:tabs>
              <w:suppressAutoHyphens/>
              <w:spacing w:after="0" w:line="240" w:lineRule="auto"/>
              <w:jc w:val="both"/>
              <w:rPr>
                <w:rFonts w:ascii="Cambria" w:hAnsi="Cambria"/>
                <w:sz w:val="20"/>
                <w:szCs w:val="20"/>
              </w:rPr>
            </w:pPr>
          </w:p>
          <w:p w14:paraId="272ECAEE" w14:textId="77777777" w:rsidR="00DD6D51" w:rsidRDefault="00DD6D51" w:rsidP="00DD6D51">
            <w:pPr>
              <w:suppressAutoHyphens/>
              <w:spacing w:after="0" w:line="240" w:lineRule="auto"/>
              <w:jc w:val="both"/>
              <w:rPr>
                <w:rFonts w:ascii="Cambria" w:hAnsi="Cambria"/>
                <w:sz w:val="20"/>
                <w:szCs w:val="20"/>
              </w:rPr>
            </w:pPr>
            <w:r w:rsidRPr="00DD6D51">
              <w:rPr>
                <w:rFonts w:ascii="Cambria" w:hAnsi="Cambria"/>
                <w:b/>
                <w:sz w:val="20"/>
                <w:szCs w:val="20"/>
              </w:rPr>
              <w:t>Facts:</w:t>
            </w:r>
            <w:r w:rsidRPr="00DD6D51">
              <w:rPr>
                <w:rFonts w:ascii="Cambria" w:hAnsi="Cambria"/>
                <w:sz w:val="20"/>
                <w:szCs w:val="20"/>
              </w:rPr>
              <w:t xml:space="preserve"> According to the petitioner, on May 6, 1987, in the town of Puerto Berrío, Department of Antioquia, Mr. José Oleaguer Correa Castrillón disappeared, along with other persons. The alleged victim was the manager of the now defunct Credit Agrarian Industrial and Mining Bank (now Agrarian Bank) and, on May 6, 1987, he had gone from the municipality of Puerto Nare, where the bank's headquarters were located, to the town of Puerto Berrío to conduct business related to his position and to obtain a safe conduct permit to carry a firearm. The petitioner argued that shortly after leaving the XVI Brigade, the alleged victim was intercepted by several armed men, and it was impossible to obtain information on his whereabouts.  The petitioner stated that several of the massacres and disappearances, committed by military officials from garrisons in the Municipality of Puerto Berrío, were allegedly carried out against members and sympathizers of the Patriotic Union party. The petitioner also argued that the alleged victim's sympathy for the Patriotic Union party was widely known, and that this would have been the cause of his disappearance and subsequent murder at the hands of the paramilitaries. The petitioner held that the then 21</w:t>
            </w:r>
            <w:r w:rsidRPr="00DD6D51">
              <w:rPr>
                <w:rFonts w:ascii="Cambria" w:hAnsi="Cambria"/>
                <w:sz w:val="20"/>
                <w:szCs w:val="20"/>
                <w:vertAlign w:val="superscript"/>
              </w:rPr>
              <w:t>st</w:t>
            </w:r>
            <w:r w:rsidRPr="00DD6D51">
              <w:rPr>
                <w:rFonts w:ascii="Cambria" w:hAnsi="Cambria"/>
                <w:sz w:val="20"/>
                <w:szCs w:val="20"/>
              </w:rPr>
              <w:t xml:space="preserve"> Court of Criminal Investigation, based in Puerto Berrío, had initiated an investigation into the facts of this case. A certification from the Court, dated May 17, 1989, reportedly established that the defendants did not appear and that they had no news of the missing persons. The petitioner argued that despite the various investigations conducted by the Colombian authorities and the time that has elapsed, as of the date the petition was filed, the next of kin of the alleged victim had not received any answers as to the material truth of the facts surrounding the disappearance and death of José Oleaguer Correa Castrillón, nor had the alleged perpetrators been punished. Moreover, the petitioner added having filed a civil proceeding for presumed death due to the alleged victim's disappearance, obtaining a death certificate on October 20, 1993.</w:t>
            </w:r>
          </w:p>
          <w:p w14:paraId="76A71A45" w14:textId="77777777" w:rsidR="00593183" w:rsidRPr="00DD6D51" w:rsidRDefault="00593183" w:rsidP="00DD6D51">
            <w:pPr>
              <w:suppressAutoHyphens/>
              <w:spacing w:after="0" w:line="240" w:lineRule="auto"/>
              <w:jc w:val="both"/>
              <w:rPr>
                <w:rFonts w:ascii="Cambria" w:eastAsia="Batang" w:hAnsi="Cambria"/>
                <w:sz w:val="20"/>
                <w:szCs w:val="20"/>
              </w:rPr>
            </w:pPr>
          </w:p>
          <w:p w14:paraId="492BD8AA" w14:textId="77777777" w:rsidR="00DD6D51" w:rsidRPr="00DD6D51" w:rsidRDefault="00DD6D51" w:rsidP="00DD6D51">
            <w:pPr>
              <w:tabs>
                <w:tab w:val="left" w:pos="9270"/>
              </w:tabs>
              <w:suppressAutoHyphens/>
              <w:spacing w:after="0" w:line="240" w:lineRule="auto"/>
              <w:jc w:val="both"/>
              <w:rPr>
                <w:rFonts w:ascii="Cambria" w:hAnsi="Cambria"/>
                <w:sz w:val="20"/>
                <w:szCs w:val="20"/>
              </w:rPr>
            </w:pPr>
            <w:r w:rsidRPr="00DD6D51">
              <w:rPr>
                <w:rFonts w:ascii="Cambria" w:hAnsi="Cambria"/>
                <w:b/>
                <w:sz w:val="20"/>
                <w:szCs w:val="20"/>
              </w:rPr>
              <w:t xml:space="preserve">Alleged rights: </w:t>
            </w:r>
            <w:r w:rsidRPr="00DD6D51">
              <w:rPr>
                <w:rFonts w:ascii="Cambria" w:hAnsi="Cambria"/>
                <w:bCs/>
                <w:sz w:val="20"/>
                <w:szCs w:val="20"/>
              </w:rPr>
              <w:t>On October 17, 2000, the Inter-American Commission on Human Rights received a petition alleging the international responsibility of the Republic of Colombia for the violation of the rights enshrined in Articles 4 (life), 5 (humane treatment), 7 (personal freedom), 8 (fair trial), and 25 (judicial protection) of the American Convention on Human Rights.</w:t>
            </w:r>
          </w:p>
        </w:tc>
      </w:tr>
    </w:tbl>
    <w:p w14:paraId="20B6F03B" w14:textId="77777777" w:rsidR="00DD6D51" w:rsidRPr="00DD6D51" w:rsidRDefault="00DD6D51" w:rsidP="00DD6D51">
      <w:pPr>
        <w:suppressAutoHyphens/>
        <w:spacing w:after="0" w:line="240" w:lineRule="auto"/>
        <w:ind w:firstLine="709"/>
        <w:contextualSpacing/>
        <w:jc w:val="both"/>
        <w:rPr>
          <w:rFonts w:ascii="Cambria" w:hAnsi="Cambria" w:cs="Calibri Light"/>
          <w:b/>
          <w:sz w:val="20"/>
          <w:szCs w:val="20"/>
        </w:rPr>
      </w:pPr>
    </w:p>
    <w:p w14:paraId="252ADE34" w14:textId="77777777" w:rsidR="00DD6D51" w:rsidRPr="00DD6D51" w:rsidRDefault="00DD6D51" w:rsidP="00DD6D51">
      <w:pPr>
        <w:numPr>
          <w:ilvl w:val="0"/>
          <w:numId w:val="56"/>
        </w:numPr>
        <w:suppressAutoHyphens/>
        <w:spacing w:after="0" w:line="240" w:lineRule="auto"/>
        <w:ind w:left="0" w:firstLine="709"/>
        <w:contextualSpacing/>
        <w:jc w:val="both"/>
        <w:rPr>
          <w:rFonts w:ascii="Cambria" w:hAnsi="Cambria" w:cs="Calibri Light"/>
          <w:b/>
          <w:sz w:val="20"/>
          <w:szCs w:val="20"/>
        </w:rPr>
      </w:pPr>
      <w:r w:rsidRPr="00DD6D51">
        <w:rPr>
          <w:rFonts w:ascii="Cambria" w:hAnsi="Cambria"/>
          <w:b/>
          <w:sz w:val="20"/>
          <w:szCs w:val="20"/>
        </w:rPr>
        <w:t>PROCEDURAL ACTIVITY</w:t>
      </w:r>
    </w:p>
    <w:p w14:paraId="789B3167" w14:textId="77777777" w:rsidR="00DD6D51" w:rsidRPr="00DD6D51" w:rsidRDefault="00DD6D51" w:rsidP="00DD6D51">
      <w:pPr>
        <w:suppressAutoHyphens/>
        <w:spacing w:after="0" w:line="240" w:lineRule="auto"/>
        <w:ind w:firstLine="709"/>
        <w:contextualSpacing/>
        <w:jc w:val="both"/>
        <w:rPr>
          <w:rFonts w:ascii="Cambria" w:hAnsi="Cambria" w:cs="Calibri Light"/>
          <w:b/>
          <w:sz w:val="20"/>
          <w:szCs w:val="20"/>
        </w:rPr>
      </w:pPr>
    </w:p>
    <w:p w14:paraId="74C32551" w14:textId="1835A24A" w:rsidR="00DD6D51" w:rsidRPr="00DD6D51" w:rsidRDefault="00593183" w:rsidP="00DD6D51">
      <w:pPr>
        <w:numPr>
          <w:ilvl w:val="0"/>
          <w:numId w:val="58"/>
        </w:numPr>
        <w:tabs>
          <w:tab w:val="left" w:pos="1418"/>
        </w:tabs>
        <w:suppressAutoHyphens/>
        <w:spacing w:after="0" w:line="240" w:lineRule="auto"/>
        <w:ind w:left="0" w:firstLine="709"/>
        <w:contextualSpacing/>
        <w:jc w:val="both"/>
        <w:rPr>
          <w:rFonts w:ascii="Cambria" w:eastAsia="Batang" w:hAnsi="Cambria" w:cs="Calibri Light"/>
          <w:sz w:val="20"/>
          <w:szCs w:val="20"/>
        </w:rPr>
      </w:pPr>
      <w:r>
        <w:rPr>
          <w:rFonts w:ascii="Cambria" w:hAnsi="Cambria"/>
          <w:sz w:val="20"/>
          <w:szCs w:val="20"/>
        </w:rPr>
        <w:t>On December 23, 2021, the parties signed a friendly settlement agreement</w:t>
      </w:r>
      <w:r w:rsidR="00DD6D51" w:rsidRPr="00DD6D51">
        <w:rPr>
          <w:rFonts w:ascii="Cambria" w:hAnsi="Cambria"/>
          <w:sz w:val="20"/>
          <w:szCs w:val="20"/>
        </w:rPr>
        <w:t>.</w:t>
      </w:r>
    </w:p>
    <w:p w14:paraId="7D7B79A7" w14:textId="77777777" w:rsidR="00DD6D51" w:rsidRPr="00DD6D51" w:rsidRDefault="00DD6D51" w:rsidP="00DD6D51">
      <w:pPr>
        <w:tabs>
          <w:tab w:val="left" w:pos="1418"/>
        </w:tabs>
        <w:suppressAutoHyphens/>
        <w:spacing w:after="0" w:line="240" w:lineRule="auto"/>
        <w:ind w:firstLine="709"/>
        <w:contextualSpacing/>
        <w:jc w:val="both"/>
        <w:rPr>
          <w:rFonts w:ascii="Cambria" w:eastAsia="Batang" w:hAnsi="Cambria" w:cs="Calibri Light"/>
          <w:sz w:val="20"/>
          <w:szCs w:val="20"/>
        </w:rPr>
      </w:pPr>
    </w:p>
    <w:p w14:paraId="04F6E4CC" w14:textId="46A7CD7D" w:rsidR="00DD6D51" w:rsidRPr="00DD6D51" w:rsidRDefault="00593183" w:rsidP="00DD6D51">
      <w:pPr>
        <w:numPr>
          <w:ilvl w:val="0"/>
          <w:numId w:val="58"/>
        </w:numPr>
        <w:tabs>
          <w:tab w:val="left" w:pos="1418"/>
        </w:tabs>
        <w:suppressAutoHyphens/>
        <w:spacing w:after="0" w:line="240" w:lineRule="auto"/>
        <w:ind w:left="0" w:firstLine="709"/>
        <w:contextualSpacing/>
        <w:jc w:val="both"/>
        <w:rPr>
          <w:rFonts w:ascii="Cambria" w:eastAsia="Batang" w:hAnsi="Cambria" w:cs="Calibri Light"/>
          <w:sz w:val="20"/>
          <w:szCs w:val="20"/>
        </w:rPr>
      </w:pPr>
      <w:r>
        <w:rPr>
          <w:rFonts w:ascii="Cambria" w:hAnsi="Cambria"/>
          <w:sz w:val="20"/>
          <w:szCs w:val="20"/>
        </w:rPr>
        <w:t xml:space="preserve">On May 10, 2022, the Commission approved the friendly agreement </w:t>
      </w:r>
      <w:r w:rsidR="00A54C6A">
        <w:rPr>
          <w:rFonts w:ascii="Cambria" w:hAnsi="Cambria"/>
          <w:sz w:val="20"/>
          <w:szCs w:val="20"/>
        </w:rPr>
        <w:t>through</w:t>
      </w:r>
      <w:r>
        <w:rPr>
          <w:rFonts w:ascii="Cambria" w:hAnsi="Cambria"/>
          <w:sz w:val="20"/>
          <w:szCs w:val="20"/>
        </w:rPr>
        <w:t xml:space="preserve"> Report 67/22</w:t>
      </w:r>
      <w:r w:rsidR="00DD6D51" w:rsidRPr="00DD6D51">
        <w:rPr>
          <w:rFonts w:ascii="Cambria" w:hAnsi="Cambria"/>
          <w:sz w:val="20"/>
          <w:szCs w:val="20"/>
        </w:rPr>
        <w:t>.</w:t>
      </w:r>
    </w:p>
    <w:p w14:paraId="4CA55B89" w14:textId="77777777" w:rsidR="00DD6D51" w:rsidRPr="00DD6D51" w:rsidRDefault="00DD6D51" w:rsidP="00593183">
      <w:pPr>
        <w:tabs>
          <w:tab w:val="left" w:pos="1418"/>
        </w:tabs>
        <w:suppressAutoHyphens/>
        <w:spacing w:after="0" w:line="240" w:lineRule="auto"/>
        <w:contextualSpacing/>
        <w:jc w:val="both"/>
        <w:rPr>
          <w:rFonts w:ascii="Cambria" w:eastAsia="Batang" w:hAnsi="Cambria" w:cs="Calibri Light"/>
          <w:sz w:val="20"/>
          <w:szCs w:val="20"/>
        </w:rPr>
      </w:pPr>
    </w:p>
    <w:p w14:paraId="7EB586DC" w14:textId="77777777" w:rsidR="00DD6D51" w:rsidRPr="00DD6D51" w:rsidRDefault="00DD6D51" w:rsidP="00DD6D51">
      <w:pPr>
        <w:numPr>
          <w:ilvl w:val="0"/>
          <w:numId w:val="56"/>
        </w:numPr>
        <w:suppressAutoHyphens/>
        <w:spacing w:after="0" w:line="240" w:lineRule="auto"/>
        <w:ind w:left="0" w:firstLine="709"/>
        <w:contextualSpacing/>
        <w:jc w:val="both"/>
        <w:rPr>
          <w:rFonts w:ascii="Cambria" w:hAnsi="Cambria" w:cs="Calibri Light"/>
          <w:b/>
          <w:sz w:val="20"/>
          <w:szCs w:val="20"/>
        </w:rPr>
      </w:pPr>
      <w:r w:rsidRPr="00DD6D51">
        <w:rPr>
          <w:rFonts w:ascii="Cambria" w:hAnsi="Cambria"/>
          <w:b/>
          <w:sz w:val="20"/>
          <w:szCs w:val="20"/>
        </w:rPr>
        <w:t xml:space="preserve">ANALYSIS OF COMPLIANCE WITH THE CLAUSES OF THE FRIENDLY SETTLEMENT AGREEMENT </w:t>
      </w:r>
    </w:p>
    <w:p w14:paraId="15039BF0" w14:textId="77777777" w:rsidR="00DD6D51" w:rsidRPr="00DD6D51" w:rsidRDefault="00DD6D51" w:rsidP="00DD6D51">
      <w:pPr>
        <w:suppressAutoHyphens/>
        <w:spacing w:after="0" w:line="240" w:lineRule="auto"/>
        <w:ind w:firstLine="709"/>
        <w:jc w:val="both"/>
        <w:rPr>
          <w:rFonts w:ascii="Cambria" w:hAnsi="Cambria" w:cs="Calibri Light"/>
          <w:sz w:val="20"/>
          <w:szCs w:val="20"/>
        </w:rPr>
      </w:pPr>
    </w:p>
    <w:tbl>
      <w:tblPr>
        <w:tblW w:w="96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5245"/>
      </w:tblGrid>
      <w:tr w:rsidR="00A12360" w:rsidRPr="00DD6D51" w14:paraId="11FFB4D8" w14:textId="77777777" w:rsidTr="00A12360">
        <w:trPr>
          <w:trHeight w:val="800"/>
        </w:trPr>
        <w:tc>
          <w:tcPr>
            <w:tcW w:w="4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81FCF6" w14:textId="0CDCDF68" w:rsidR="00593183" w:rsidRPr="00DD6D51" w:rsidRDefault="00593183" w:rsidP="00DD6D51">
            <w:pPr>
              <w:tabs>
                <w:tab w:val="center" w:pos="2049"/>
              </w:tabs>
              <w:suppressAutoHyphens/>
              <w:spacing w:after="0" w:line="240" w:lineRule="auto"/>
              <w:jc w:val="center"/>
              <w:rPr>
                <w:rFonts w:ascii="Cambria" w:hAnsi="Cambria"/>
                <w:b/>
                <w:sz w:val="20"/>
                <w:szCs w:val="20"/>
              </w:rPr>
            </w:pPr>
            <w:r w:rsidRPr="00DD6D51">
              <w:rPr>
                <w:rFonts w:ascii="Cambria" w:hAnsi="Cambria"/>
                <w:b/>
                <w:sz w:val="20"/>
                <w:szCs w:val="20"/>
              </w:rPr>
              <w:t xml:space="preserve">Agreement </w:t>
            </w:r>
            <w:r>
              <w:rPr>
                <w:rFonts w:ascii="Cambria" w:hAnsi="Cambria"/>
                <w:b/>
                <w:sz w:val="20"/>
                <w:szCs w:val="20"/>
              </w:rPr>
              <w:t>C</w:t>
            </w:r>
            <w:r w:rsidRPr="00DD6D51">
              <w:rPr>
                <w:rFonts w:ascii="Cambria" w:hAnsi="Cambria"/>
                <w:b/>
                <w:sz w:val="20"/>
                <w:szCs w:val="20"/>
              </w:rPr>
              <w:t>lause</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24488A" w14:textId="7A92AC4C" w:rsidR="00593183" w:rsidRPr="00DD6D51" w:rsidRDefault="00593183" w:rsidP="00593183">
            <w:pPr>
              <w:suppressAutoHyphens/>
              <w:spacing w:after="0" w:line="240" w:lineRule="auto"/>
              <w:jc w:val="center"/>
              <w:rPr>
                <w:rFonts w:ascii="Cambria" w:hAnsi="Cambria"/>
                <w:b/>
                <w:sz w:val="20"/>
                <w:szCs w:val="20"/>
              </w:rPr>
            </w:pPr>
            <w:r w:rsidRPr="00DD6D51">
              <w:rPr>
                <w:rFonts w:ascii="Cambria" w:hAnsi="Cambria"/>
                <w:b/>
                <w:sz w:val="20"/>
                <w:szCs w:val="20"/>
              </w:rPr>
              <w:t xml:space="preserve">Status of </w:t>
            </w:r>
            <w:r>
              <w:rPr>
                <w:rFonts w:ascii="Cambria" w:hAnsi="Cambria"/>
                <w:b/>
                <w:sz w:val="20"/>
                <w:szCs w:val="20"/>
              </w:rPr>
              <w:t>C</w:t>
            </w:r>
            <w:r w:rsidRPr="00DD6D51">
              <w:rPr>
                <w:rFonts w:ascii="Cambria" w:hAnsi="Cambria"/>
                <w:b/>
                <w:sz w:val="20"/>
                <w:szCs w:val="20"/>
              </w:rPr>
              <w:t>ompliance</w:t>
            </w:r>
          </w:p>
        </w:tc>
      </w:tr>
      <w:tr w:rsidR="00A12360" w:rsidRPr="00DD6D51" w14:paraId="7E4190A4" w14:textId="77777777" w:rsidTr="00A12360">
        <w:trPr>
          <w:trHeight w:val="1790"/>
        </w:trPr>
        <w:tc>
          <w:tcPr>
            <w:tcW w:w="4410" w:type="dxa"/>
            <w:tcBorders>
              <w:top w:val="single" w:sz="4" w:space="0" w:color="auto"/>
              <w:left w:val="single" w:sz="4" w:space="0" w:color="auto"/>
              <w:bottom w:val="single" w:sz="4" w:space="0" w:color="auto"/>
              <w:right w:val="single" w:sz="4" w:space="0" w:color="auto"/>
            </w:tcBorders>
          </w:tcPr>
          <w:p w14:paraId="19C98CBA" w14:textId="77777777" w:rsidR="00DD6D51" w:rsidRPr="00DD6D51" w:rsidRDefault="00DD6D51" w:rsidP="00DD6D51">
            <w:pPr>
              <w:suppressAutoHyphens/>
              <w:spacing w:after="0" w:line="240" w:lineRule="auto"/>
              <w:jc w:val="both"/>
              <w:rPr>
                <w:rFonts w:ascii="Cambria" w:eastAsia="Times New Roman" w:hAnsi="Cambria"/>
                <w:b/>
                <w:bCs/>
                <w:sz w:val="20"/>
                <w:szCs w:val="20"/>
              </w:rPr>
            </w:pPr>
            <w:r w:rsidRPr="00DD6D51">
              <w:rPr>
                <w:rFonts w:ascii="Cambria" w:hAnsi="Cambria"/>
                <w:b/>
                <w:bCs/>
                <w:sz w:val="20"/>
                <w:szCs w:val="20"/>
              </w:rPr>
              <w:t xml:space="preserve">THIRD: ACKNOWLEDGEMENT OF RESPONSIBILITY. </w:t>
            </w:r>
            <w:r w:rsidRPr="00DD6D51">
              <w:rPr>
                <w:rFonts w:ascii="Cambria" w:hAnsi="Cambria"/>
                <w:sz w:val="20"/>
                <w:szCs w:val="20"/>
              </w:rPr>
              <w:t>The Colombian State acknowledges international responsibility for the violation of the rights recognized in Articles 8 (fair trial) and 25 (judicial protection) of the American Convention on Human Rights to the detriment of the victim's next of kin, due to the lack of diligence in the investigation of the events of May 6, 1987 in which Mr. José Oleaguer Correa Castrillón disappeared.</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4286F45" w14:textId="7590D5A9" w:rsidR="00DD6D51" w:rsidRPr="00DD6D51" w:rsidRDefault="00DD6D51" w:rsidP="00DD6D51">
            <w:pPr>
              <w:suppressAutoHyphens/>
              <w:spacing w:after="0" w:line="240" w:lineRule="auto"/>
              <w:jc w:val="center"/>
              <w:rPr>
                <w:rFonts w:ascii="Cambria" w:hAnsi="Cambria"/>
                <w:sz w:val="20"/>
                <w:szCs w:val="20"/>
              </w:rPr>
            </w:pPr>
            <w:r w:rsidRPr="00DD6D51">
              <w:rPr>
                <w:rFonts w:ascii="Cambria" w:hAnsi="Cambria"/>
                <w:b/>
                <w:sz w:val="20"/>
                <w:szCs w:val="20"/>
              </w:rPr>
              <w:t xml:space="preserve">Declarative </w:t>
            </w:r>
            <w:r w:rsidR="00593183">
              <w:rPr>
                <w:rFonts w:ascii="Cambria" w:hAnsi="Cambria"/>
                <w:b/>
                <w:sz w:val="20"/>
                <w:szCs w:val="20"/>
              </w:rPr>
              <w:t>C</w:t>
            </w:r>
            <w:r w:rsidRPr="00DD6D51">
              <w:rPr>
                <w:rFonts w:ascii="Cambria" w:hAnsi="Cambria"/>
                <w:b/>
                <w:sz w:val="20"/>
                <w:szCs w:val="20"/>
              </w:rPr>
              <w:t>lause</w:t>
            </w:r>
          </w:p>
        </w:tc>
      </w:tr>
      <w:tr w:rsidR="00A12360" w:rsidRPr="00DD6D51" w14:paraId="0281B772" w14:textId="77777777" w:rsidTr="00A12360">
        <w:tc>
          <w:tcPr>
            <w:tcW w:w="9655" w:type="dxa"/>
            <w:gridSpan w:val="2"/>
            <w:tcBorders>
              <w:top w:val="single" w:sz="4" w:space="0" w:color="auto"/>
              <w:left w:val="single" w:sz="4" w:space="0" w:color="auto"/>
              <w:bottom w:val="single" w:sz="4" w:space="0" w:color="auto"/>
              <w:right w:val="single" w:sz="4" w:space="0" w:color="auto"/>
            </w:tcBorders>
          </w:tcPr>
          <w:p w14:paraId="3456D6F8" w14:textId="77777777" w:rsidR="00DD6D51" w:rsidRPr="00DD6D51" w:rsidRDefault="00DD6D51" w:rsidP="00DD6D51">
            <w:pPr>
              <w:suppressAutoHyphens/>
              <w:autoSpaceDE w:val="0"/>
              <w:autoSpaceDN w:val="0"/>
              <w:adjustRightInd w:val="0"/>
              <w:spacing w:after="0" w:line="240" w:lineRule="auto"/>
              <w:rPr>
                <w:rFonts w:ascii="Cambria" w:hAnsi="Cambria"/>
                <w:b/>
                <w:bCs/>
                <w:sz w:val="20"/>
                <w:szCs w:val="20"/>
              </w:rPr>
            </w:pPr>
            <w:r w:rsidRPr="00DD6D51">
              <w:rPr>
                <w:rFonts w:ascii="Cambria" w:hAnsi="Cambria"/>
                <w:b/>
                <w:bCs/>
                <w:sz w:val="20"/>
                <w:szCs w:val="20"/>
              </w:rPr>
              <w:t>FOURTH: SATISFACTION MEASURES AGREED BETWEEN THE PARTIES</w:t>
            </w:r>
          </w:p>
        </w:tc>
      </w:tr>
      <w:tr w:rsidR="00A12360" w:rsidRPr="00DD6D51" w14:paraId="27B25BD6" w14:textId="77777777" w:rsidTr="00A12360">
        <w:tc>
          <w:tcPr>
            <w:tcW w:w="9655" w:type="dxa"/>
            <w:gridSpan w:val="2"/>
            <w:tcBorders>
              <w:top w:val="single" w:sz="4" w:space="0" w:color="auto"/>
              <w:left w:val="single" w:sz="4" w:space="0" w:color="auto"/>
              <w:bottom w:val="single" w:sz="4" w:space="0" w:color="auto"/>
              <w:right w:val="single" w:sz="4" w:space="0" w:color="auto"/>
            </w:tcBorders>
          </w:tcPr>
          <w:p w14:paraId="4567519A" w14:textId="77777777" w:rsidR="00DD6D51" w:rsidRPr="00DD6D51" w:rsidRDefault="00DD6D51" w:rsidP="00DD6D51">
            <w:pPr>
              <w:suppressAutoHyphens/>
              <w:autoSpaceDE w:val="0"/>
              <w:autoSpaceDN w:val="0"/>
              <w:adjustRightInd w:val="0"/>
              <w:spacing w:after="0" w:line="240" w:lineRule="auto"/>
              <w:rPr>
                <w:rFonts w:ascii="Cambria" w:eastAsia="Batang" w:hAnsi="Cambria"/>
                <w:b/>
                <w:bCs/>
                <w:sz w:val="20"/>
                <w:szCs w:val="20"/>
              </w:rPr>
            </w:pPr>
            <w:r w:rsidRPr="00DD6D51">
              <w:rPr>
                <w:rFonts w:ascii="Cambria" w:hAnsi="Cambria"/>
                <w:b/>
                <w:bCs/>
                <w:sz w:val="20"/>
                <w:szCs w:val="20"/>
              </w:rPr>
              <w:t>4.1. Measures of Satisfaction.</w:t>
            </w:r>
          </w:p>
        </w:tc>
      </w:tr>
      <w:tr w:rsidR="00A12360" w:rsidRPr="00DD6D51" w14:paraId="1FDE68CD" w14:textId="77777777" w:rsidTr="00A12360">
        <w:tc>
          <w:tcPr>
            <w:tcW w:w="4410" w:type="dxa"/>
            <w:tcBorders>
              <w:top w:val="single" w:sz="4" w:space="0" w:color="auto"/>
              <w:left w:val="single" w:sz="4" w:space="0" w:color="auto"/>
              <w:bottom w:val="single" w:sz="4" w:space="0" w:color="auto"/>
              <w:right w:val="single" w:sz="4" w:space="0" w:color="auto"/>
            </w:tcBorders>
            <w:hideMark/>
          </w:tcPr>
          <w:p w14:paraId="0079F7E3" w14:textId="77777777" w:rsidR="00DD6D51" w:rsidRPr="00DD6D51" w:rsidRDefault="00DD6D51" w:rsidP="00DD6D51">
            <w:pPr>
              <w:suppressAutoHyphens/>
              <w:spacing w:after="0" w:line="240" w:lineRule="auto"/>
              <w:jc w:val="both"/>
              <w:rPr>
                <w:rFonts w:ascii="Cambria" w:hAnsi="Cambria"/>
                <w:sz w:val="20"/>
                <w:szCs w:val="20"/>
              </w:rPr>
            </w:pPr>
            <w:r w:rsidRPr="00DD6D51">
              <w:rPr>
                <w:rFonts w:ascii="Cambria" w:hAnsi="Cambria"/>
                <w:b/>
                <w:bCs/>
                <w:sz w:val="20"/>
                <w:szCs w:val="20"/>
              </w:rPr>
              <w:t>4.1.1. Act of atonement:</w:t>
            </w:r>
            <w:r w:rsidRPr="00DD6D51">
              <w:rPr>
                <w:rFonts w:ascii="Cambria" w:hAnsi="Cambria"/>
                <w:sz w:val="20"/>
                <w:szCs w:val="20"/>
              </w:rPr>
              <w:t xml:space="preserve"> A virtual Act of Acknowledgment of Responsibility. The act of acknowledgment of responsibility shall be conducted with the active participation of the family members and representatives of the victims. In this act, the State's responsibility shall be recognized in the terms established in this agreement. This measure shall be in charge of the National Agency for the Legal Defense of the State.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2277C74" w14:textId="77777777" w:rsidR="00DD6D51" w:rsidRPr="00DD6D51" w:rsidRDefault="00DD6D51" w:rsidP="00DD6D51">
            <w:pPr>
              <w:suppressAutoHyphens/>
              <w:autoSpaceDE w:val="0"/>
              <w:autoSpaceDN w:val="0"/>
              <w:adjustRightInd w:val="0"/>
              <w:spacing w:after="0" w:line="240" w:lineRule="auto"/>
              <w:jc w:val="center"/>
              <w:rPr>
                <w:rFonts w:ascii="Cambria" w:hAnsi="Cambria"/>
                <w:sz w:val="20"/>
                <w:szCs w:val="20"/>
              </w:rPr>
            </w:pPr>
            <w:r w:rsidRPr="00DD6D51">
              <w:rPr>
                <w:rFonts w:ascii="Cambria" w:hAnsi="Cambria"/>
                <w:b/>
                <w:sz w:val="20"/>
                <w:szCs w:val="20"/>
              </w:rPr>
              <w:t>Total</w:t>
            </w:r>
            <w:r w:rsidRPr="00DD6D51">
              <w:rPr>
                <w:rFonts w:ascii="Cambria" w:hAnsi="Cambria"/>
                <w:b/>
                <w:sz w:val="20"/>
                <w:szCs w:val="20"/>
                <w:vertAlign w:val="superscript"/>
              </w:rPr>
              <w:footnoteReference w:id="2"/>
            </w:r>
          </w:p>
        </w:tc>
      </w:tr>
      <w:tr w:rsidR="00A12360" w:rsidRPr="00DD6D51" w14:paraId="42483D96" w14:textId="77777777" w:rsidTr="00A12360">
        <w:tc>
          <w:tcPr>
            <w:tcW w:w="4410" w:type="dxa"/>
            <w:tcBorders>
              <w:top w:val="single" w:sz="4" w:space="0" w:color="auto"/>
              <w:left w:val="single" w:sz="4" w:space="0" w:color="auto"/>
              <w:bottom w:val="single" w:sz="4" w:space="0" w:color="auto"/>
              <w:right w:val="single" w:sz="4" w:space="0" w:color="auto"/>
            </w:tcBorders>
            <w:hideMark/>
          </w:tcPr>
          <w:p w14:paraId="32674CAD" w14:textId="77777777" w:rsidR="00DD6D51" w:rsidRPr="00DD6D51" w:rsidRDefault="00DD6D51" w:rsidP="00DD6D51">
            <w:pPr>
              <w:suppressAutoHyphens/>
              <w:spacing w:after="0" w:line="240" w:lineRule="auto"/>
              <w:jc w:val="both"/>
              <w:rPr>
                <w:rFonts w:ascii="Cambria" w:hAnsi="Cambria"/>
                <w:b/>
                <w:bCs/>
                <w:sz w:val="20"/>
                <w:szCs w:val="20"/>
              </w:rPr>
            </w:pPr>
            <w:r w:rsidRPr="00DD6D51">
              <w:rPr>
                <w:rFonts w:ascii="Cambria" w:hAnsi="Cambria"/>
                <w:b/>
                <w:bCs/>
                <w:sz w:val="20"/>
                <w:szCs w:val="20"/>
              </w:rPr>
              <w:t xml:space="preserve">4.1.2 Publication of the facts: </w:t>
            </w:r>
            <w:r w:rsidRPr="00DD6D51">
              <w:rPr>
                <w:rFonts w:ascii="Cambria" w:hAnsi="Cambria"/>
                <w:sz w:val="20"/>
                <w:szCs w:val="20"/>
              </w:rPr>
              <w:t xml:space="preserve">The Colombian State undertakes to publish the report of Article 49 of the American Convention on Human Rights issued by the Inter-American Commission on Human Rights homologating the friendly settlement agreement, on the website of the National Agency for the Legal Defense of the State, for a period of six months, thus guaranteeing access to the homologation report.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FF55846" w14:textId="77777777" w:rsidR="00DD6D51" w:rsidRPr="00DD6D51" w:rsidRDefault="00DD6D51" w:rsidP="00DD6D51">
            <w:pPr>
              <w:suppressAutoHyphens/>
              <w:autoSpaceDE w:val="0"/>
              <w:autoSpaceDN w:val="0"/>
              <w:adjustRightInd w:val="0"/>
              <w:spacing w:after="0" w:line="240" w:lineRule="auto"/>
              <w:jc w:val="center"/>
              <w:rPr>
                <w:rFonts w:ascii="Cambria" w:hAnsi="Cambria"/>
                <w:sz w:val="20"/>
                <w:szCs w:val="20"/>
              </w:rPr>
            </w:pPr>
            <w:r w:rsidRPr="00DD6D51">
              <w:rPr>
                <w:rFonts w:ascii="Cambria" w:hAnsi="Cambria"/>
                <w:b/>
                <w:sz w:val="20"/>
                <w:szCs w:val="20"/>
              </w:rPr>
              <w:t>Total</w:t>
            </w:r>
            <w:r w:rsidRPr="00DD6D51">
              <w:rPr>
                <w:rFonts w:ascii="Cambria" w:hAnsi="Cambria"/>
                <w:b/>
                <w:sz w:val="20"/>
                <w:szCs w:val="20"/>
                <w:vertAlign w:val="superscript"/>
              </w:rPr>
              <w:footnoteReference w:id="3"/>
            </w:r>
          </w:p>
        </w:tc>
      </w:tr>
      <w:tr w:rsidR="00A12360" w:rsidRPr="00DD6D51" w14:paraId="59A407A4" w14:textId="77777777" w:rsidTr="00A12360">
        <w:tc>
          <w:tcPr>
            <w:tcW w:w="4410" w:type="dxa"/>
            <w:tcBorders>
              <w:top w:val="single" w:sz="4" w:space="0" w:color="auto"/>
              <w:left w:val="single" w:sz="4" w:space="0" w:color="auto"/>
              <w:bottom w:val="single" w:sz="4" w:space="0" w:color="auto"/>
              <w:right w:val="single" w:sz="4" w:space="0" w:color="auto"/>
            </w:tcBorders>
            <w:hideMark/>
          </w:tcPr>
          <w:p w14:paraId="686F7A42" w14:textId="77777777" w:rsidR="00593183" w:rsidRPr="00DD6D51" w:rsidRDefault="00593183" w:rsidP="00DD6D51">
            <w:pPr>
              <w:suppressAutoHyphens/>
              <w:spacing w:after="0" w:line="240" w:lineRule="auto"/>
              <w:jc w:val="both"/>
              <w:rPr>
                <w:rFonts w:ascii="Cambria" w:hAnsi="Cambria"/>
                <w:sz w:val="20"/>
                <w:szCs w:val="20"/>
              </w:rPr>
            </w:pPr>
            <w:r w:rsidRPr="00DD6D51">
              <w:rPr>
                <w:rFonts w:ascii="Cambria" w:hAnsi="Cambria"/>
                <w:b/>
                <w:bCs/>
                <w:sz w:val="20"/>
                <w:szCs w:val="20"/>
              </w:rPr>
              <w:t xml:space="preserve">4.1.3. Financial aid. </w:t>
            </w:r>
            <w:r w:rsidRPr="00DD6D51">
              <w:rPr>
                <w:rFonts w:ascii="Cambria" w:hAnsi="Cambria"/>
                <w:sz w:val="20"/>
                <w:szCs w:val="20"/>
              </w:rPr>
              <w:t>The Colombian State, through the Ministry of National Education and the Colombian Institute of Educational Credit and Technical Studies Abroad (ICETEX), will grant financial aid to Manuela Casas Correa, in order to finance the Civil Engineering program at the University of Medellin in the on-site mode.  The financial aid will cover the tuition fees from the fifth (5</w:t>
            </w:r>
            <w:r w:rsidRPr="00DD6D51">
              <w:rPr>
                <w:rFonts w:ascii="Cambria" w:hAnsi="Cambria"/>
                <w:sz w:val="20"/>
                <w:szCs w:val="20"/>
                <w:vertAlign w:val="superscript"/>
              </w:rPr>
              <w:t>th</w:t>
            </w:r>
            <w:r w:rsidRPr="00DD6D51">
              <w:rPr>
                <w:rFonts w:ascii="Cambria" w:hAnsi="Cambria"/>
                <w:sz w:val="20"/>
                <w:szCs w:val="20"/>
              </w:rPr>
              <w:t>) to the tenth (10</w:t>
            </w:r>
            <w:r w:rsidRPr="00DD6D51">
              <w:rPr>
                <w:rFonts w:ascii="Cambria" w:hAnsi="Cambria"/>
                <w:sz w:val="20"/>
                <w:szCs w:val="20"/>
                <w:vertAlign w:val="superscript"/>
              </w:rPr>
              <w:t>th</w:t>
            </w:r>
            <w:r w:rsidRPr="00DD6D51">
              <w:rPr>
                <w:rFonts w:ascii="Cambria" w:hAnsi="Cambria"/>
                <w:sz w:val="20"/>
                <w:szCs w:val="20"/>
              </w:rPr>
              <w:t xml:space="preserve">) academic semester of the university level program, for a semester value </w:t>
            </w:r>
            <w:r w:rsidRPr="00DD6D51">
              <w:rPr>
                <w:rFonts w:ascii="Cambria" w:hAnsi="Cambria"/>
                <w:sz w:val="20"/>
                <w:szCs w:val="20"/>
              </w:rPr>
              <w:lastRenderedPageBreak/>
              <w:t xml:space="preserve">of up to eleven (11) SMMLV and a semester support resource of two (2) SMMLV. </w:t>
            </w:r>
          </w:p>
          <w:p w14:paraId="17B21CDB" w14:textId="77777777" w:rsidR="00593183" w:rsidRPr="00DD6D51" w:rsidRDefault="00593183" w:rsidP="00DD6D51">
            <w:pPr>
              <w:suppressAutoHyphens/>
              <w:spacing w:after="0" w:line="240" w:lineRule="auto"/>
              <w:jc w:val="both"/>
              <w:rPr>
                <w:rFonts w:ascii="Cambria" w:hAnsi="Cambria"/>
                <w:sz w:val="20"/>
                <w:szCs w:val="20"/>
              </w:rPr>
            </w:pPr>
            <w:r w:rsidRPr="00DD6D51">
              <w:rPr>
                <w:rFonts w:ascii="Cambria" w:hAnsi="Cambria"/>
                <w:sz w:val="20"/>
                <w:szCs w:val="20"/>
              </w:rPr>
              <w:t>The beneficiary must ensure her permanence in the Higher Education Institution, maintaining adequate academic performance, being the sole responsibility of the beneficiary of the measure to maintain the status of student in the HEI. Thus, should she lose the quality of student for poor academic performance or disciplinary offense, the measure will be considered fulfilled by the State. The financial aid must begin to be used within a term not to exceed five (5) years from the signature of this agreement, otherwise the State's efforts to obtain it shall be deemed to have been fulfilled</w:t>
            </w:r>
            <w:r w:rsidRPr="00DD6D51">
              <w:rPr>
                <w:rFonts w:ascii="Cambria" w:hAnsi="Cambria"/>
                <w:sz w:val="20"/>
                <w:szCs w:val="20"/>
                <w:vertAlign w:val="superscript"/>
              </w:rPr>
              <w:footnoteReference w:id="4"/>
            </w:r>
            <w:r w:rsidRPr="00DD6D51">
              <w:rPr>
                <w:rFonts w:ascii="Cambria" w:hAnsi="Cambria"/>
                <w:sz w:val="20"/>
                <w:szCs w:val="20"/>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7D0A057" w14:textId="1E955EEC" w:rsidR="00593183" w:rsidRPr="00593183" w:rsidRDefault="00593183" w:rsidP="00593183">
            <w:pPr>
              <w:suppressAutoHyphens/>
              <w:spacing w:after="0" w:line="240" w:lineRule="auto"/>
              <w:jc w:val="center"/>
              <w:rPr>
                <w:rFonts w:ascii="Cambria" w:eastAsia="Times New Roman" w:hAnsi="Cambria"/>
                <w:sz w:val="20"/>
                <w:szCs w:val="20"/>
              </w:rPr>
            </w:pPr>
            <w:r w:rsidRPr="00DD6D51">
              <w:rPr>
                <w:rFonts w:ascii="Cambria" w:eastAsia="Batang" w:hAnsi="Cambria"/>
                <w:b/>
                <w:bCs/>
                <w:sz w:val="20"/>
                <w:szCs w:val="20"/>
                <w:lang w:val="es-ES_tradnl"/>
              </w:rPr>
              <w:lastRenderedPageBreak/>
              <w:t>Total</w:t>
            </w:r>
            <w:r>
              <w:rPr>
                <w:rStyle w:val="FootnoteReference"/>
                <w:rFonts w:ascii="Cambria" w:eastAsia="Batang" w:hAnsi="Cambria"/>
                <w:b/>
                <w:bCs/>
                <w:sz w:val="20"/>
                <w:szCs w:val="20"/>
                <w:lang w:val="es-ES_tradnl"/>
              </w:rPr>
              <w:footnoteReference w:id="5"/>
            </w:r>
          </w:p>
        </w:tc>
      </w:tr>
      <w:tr w:rsidR="00A12360" w:rsidRPr="00DD6D51" w14:paraId="44D301D8" w14:textId="77777777" w:rsidTr="00A12360">
        <w:tc>
          <w:tcPr>
            <w:tcW w:w="4410" w:type="dxa"/>
            <w:tcBorders>
              <w:top w:val="single" w:sz="4" w:space="0" w:color="auto"/>
              <w:left w:val="single" w:sz="4" w:space="0" w:color="auto"/>
              <w:bottom w:val="single" w:sz="4" w:space="0" w:color="auto"/>
              <w:right w:val="single" w:sz="4" w:space="0" w:color="auto"/>
            </w:tcBorders>
            <w:hideMark/>
          </w:tcPr>
          <w:p w14:paraId="04C5F6D9" w14:textId="77777777" w:rsidR="00593183" w:rsidRPr="00DD6D51" w:rsidRDefault="00593183" w:rsidP="00DD6D51">
            <w:pPr>
              <w:suppressAutoHyphens/>
              <w:spacing w:after="0" w:line="240" w:lineRule="auto"/>
              <w:jc w:val="both"/>
              <w:rPr>
                <w:rFonts w:ascii="Cambria" w:hAnsi="Cambria"/>
                <w:sz w:val="20"/>
                <w:szCs w:val="20"/>
              </w:rPr>
            </w:pPr>
            <w:r w:rsidRPr="00DD6D51">
              <w:rPr>
                <w:rFonts w:ascii="Cambria" w:hAnsi="Cambria"/>
                <w:b/>
                <w:bCs/>
                <w:sz w:val="20"/>
                <w:szCs w:val="20"/>
              </w:rPr>
              <w:t xml:space="preserve">4.2. Justice measures. </w:t>
            </w:r>
            <w:r w:rsidRPr="00DD6D51">
              <w:rPr>
                <w:rFonts w:ascii="Cambria" w:hAnsi="Cambria"/>
                <w:sz w:val="20"/>
                <w:szCs w:val="20"/>
              </w:rPr>
              <w:t xml:space="preserve">The State undertakes to continue to comply with its obligation to investigate, prosecute and punish those responsible for the forced disappearance of Mr. José Oleaguer Correa. This measure is the responsibility of the Office of the Attorney General of the Nation. </w:t>
            </w:r>
          </w:p>
        </w:tc>
        <w:tc>
          <w:tcPr>
            <w:tcW w:w="5245" w:type="dxa"/>
            <w:tcBorders>
              <w:top w:val="single" w:sz="4" w:space="0" w:color="auto"/>
              <w:left w:val="single" w:sz="4" w:space="0" w:color="auto"/>
              <w:bottom w:val="single" w:sz="4" w:space="0" w:color="auto"/>
              <w:right w:val="single" w:sz="4" w:space="0" w:color="auto"/>
            </w:tcBorders>
            <w:vAlign w:val="center"/>
          </w:tcPr>
          <w:p w14:paraId="2C40964E" w14:textId="035BB09C" w:rsidR="00593183" w:rsidRPr="00593183" w:rsidRDefault="00593183" w:rsidP="00593183">
            <w:pPr>
              <w:suppressAutoHyphens/>
              <w:spacing w:after="0" w:line="240" w:lineRule="auto"/>
              <w:jc w:val="center"/>
              <w:rPr>
                <w:rFonts w:ascii="Cambria" w:hAnsi="Cambria"/>
                <w:sz w:val="20"/>
                <w:szCs w:val="20"/>
              </w:rPr>
            </w:pPr>
            <w:r w:rsidRPr="00DD6D51">
              <w:rPr>
                <w:rFonts w:ascii="Cambria" w:eastAsia="Batang" w:hAnsi="Cambria"/>
                <w:b/>
                <w:bCs/>
                <w:sz w:val="20"/>
                <w:szCs w:val="20"/>
                <w:lang w:val="es-ES_tradnl"/>
              </w:rPr>
              <w:t>Total</w:t>
            </w:r>
            <w:r>
              <w:rPr>
                <w:rStyle w:val="FootnoteReference"/>
                <w:rFonts w:ascii="Cambria" w:eastAsia="Batang" w:hAnsi="Cambria"/>
                <w:b/>
                <w:bCs/>
                <w:sz w:val="20"/>
                <w:szCs w:val="20"/>
                <w:lang w:val="es-ES_tradnl"/>
              </w:rPr>
              <w:footnoteReference w:id="6"/>
            </w:r>
          </w:p>
        </w:tc>
      </w:tr>
      <w:tr w:rsidR="00A12360" w:rsidRPr="00DD6D51" w14:paraId="28DC6055" w14:textId="77777777" w:rsidTr="00A12360">
        <w:tc>
          <w:tcPr>
            <w:tcW w:w="4410" w:type="dxa"/>
            <w:tcBorders>
              <w:top w:val="single" w:sz="4" w:space="0" w:color="auto"/>
              <w:left w:val="single" w:sz="4" w:space="0" w:color="auto"/>
              <w:bottom w:val="single" w:sz="4" w:space="0" w:color="auto"/>
              <w:right w:val="single" w:sz="4" w:space="0" w:color="auto"/>
            </w:tcBorders>
          </w:tcPr>
          <w:p w14:paraId="6DFA92F2" w14:textId="77777777" w:rsidR="00593183" w:rsidRPr="00DD6D51" w:rsidRDefault="00593183" w:rsidP="00DD6D51">
            <w:pPr>
              <w:tabs>
                <w:tab w:val="left" w:pos="252"/>
              </w:tabs>
              <w:suppressAutoHyphens/>
              <w:spacing w:after="0" w:line="240" w:lineRule="auto"/>
              <w:jc w:val="both"/>
              <w:rPr>
                <w:rFonts w:ascii="Cambria" w:hAnsi="Cambria"/>
                <w:b/>
                <w:bCs/>
                <w:sz w:val="20"/>
                <w:szCs w:val="20"/>
              </w:rPr>
            </w:pPr>
            <w:r w:rsidRPr="00DD6D51">
              <w:rPr>
                <w:rFonts w:ascii="Cambria" w:hAnsi="Cambria"/>
                <w:b/>
                <w:bCs/>
                <w:sz w:val="20"/>
                <w:szCs w:val="20"/>
              </w:rPr>
              <w:t xml:space="preserve">4.3. Pecuniary Reparation. </w:t>
            </w:r>
            <w:r w:rsidRPr="00DD6D51">
              <w:rPr>
                <w:rFonts w:ascii="Cambria" w:hAnsi="Cambria"/>
                <w:sz w:val="20"/>
                <w:szCs w:val="20"/>
              </w:rPr>
              <w:t>The State undertakes to apply Law 288 of 1996, once this Friendly Settlement Agreement is homologated through the issuance of the Report of Article 49 of the American Convention on Human Rights. The foregoing, with the purpose of repairing the immaterial and material damages which may be proven in favor of the victim's relatives who have not been compensated through the Contentious-Administrative Jurisdiction, discounting, if applicable, the amounts recognized for administrative reparations. For these purposes, the criteria and amounts to be used are those recognized by the current Jurisprudence of the Council of State.</w:t>
            </w:r>
          </w:p>
        </w:tc>
        <w:tc>
          <w:tcPr>
            <w:tcW w:w="5245" w:type="dxa"/>
            <w:tcBorders>
              <w:top w:val="single" w:sz="4" w:space="0" w:color="auto"/>
              <w:left w:val="single" w:sz="4" w:space="0" w:color="auto"/>
              <w:bottom w:val="single" w:sz="4" w:space="0" w:color="auto"/>
              <w:right w:val="single" w:sz="4" w:space="0" w:color="auto"/>
            </w:tcBorders>
            <w:vAlign w:val="center"/>
          </w:tcPr>
          <w:p w14:paraId="1AA78D17" w14:textId="1146C23F" w:rsidR="00593183" w:rsidRPr="00DD6D51" w:rsidRDefault="00593183" w:rsidP="00593183">
            <w:pPr>
              <w:suppressAutoHyphens/>
              <w:spacing w:after="0" w:line="240" w:lineRule="auto"/>
              <w:jc w:val="center"/>
              <w:rPr>
                <w:rFonts w:ascii="Cambria" w:eastAsia="Times New Roman" w:hAnsi="Cambria"/>
                <w:sz w:val="20"/>
                <w:szCs w:val="20"/>
              </w:rPr>
            </w:pPr>
            <w:r w:rsidRPr="00DD6D51">
              <w:rPr>
                <w:rFonts w:ascii="Cambria" w:eastAsia="Batang" w:hAnsi="Cambria"/>
                <w:b/>
                <w:bCs/>
                <w:color w:val="000000"/>
                <w:sz w:val="20"/>
                <w:szCs w:val="20"/>
                <w:lang w:val="es-ES_tradnl"/>
              </w:rPr>
              <w:t>Total</w:t>
            </w:r>
            <w:r>
              <w:rPr>
                <w:rStyle w:val="FootnoteReference"/>
                <w:rFonts w:ascii="Cambria" w:eastAsia="Batang" w:hAnsi="Cambria"/>
                <w:b/>
                <w:bCs/>
                <w:color w:val="000000"/>
                <w:sz w:val="20"/>
                <w:szCs w:val="20"/>
                <w:lang w:val="es-ES_tradnl"/>
              </w:rPr>
              <w:footnoteReference w:id="7"/>
            </w:r>
          </w:p>
        </w:tc>
      </w:tr>
      <w:tr w:rsidR="00A12360" w:rsidRPr="00DD6D51" w14:paraId="3416C1D1" w14:textId="77777777" w:rsidTr="00A12360">
        <w:trPr>
          <w:trHeight w:val="1491"/>
        </w:trPr>
        <w:tc>
          <w:tcPr>
            <w:tcW w:w="4410" w:type="dxa"/>
            <w:tcBorders>
              <w:top w:val="single" w:sz="4" w:space="0" w:color="auto"/>
              <w:left w:val="single" w:sz="4" w:space="0" w:color="auto"/>
              <w:bottom w:val="single" w:sz="4" w:space="0" w:color="auto"/>
              <w:right w:val="single" w:sz="4" w:space="0" w:color="auto"/>
            </w:tcBorders>
          </w:tcPr>
          <w:p w14:paraId="29686077" w14:textId="77777777" w:rsidR="00DD6D51" w:rsidRPr="00DD6D51" w:rsidRDefault="00DD6D51" w:rsidP="00DD6D51">
            <w:pPr>
              <w:tabs>
                <w:tab w:val="left" w:pos="252"/>
              </w:tabs>
              <w:suppressAutoHyphens/>
              <w:spacing w:after="0" w:line="240" w:lineRule="auto"/>
              <w:contextualSpacing/>
              <w:jc w:val="both"/>
              <w:rPr>
                <w:rFonts w:ascii="Cambria" w:hAnsi="Cambria"/>
                <w:sz w:val="20"/>
                <w:szCs w:val="20"/>
              </w:rPr>
            </w:pPr>
            <w:r w:rsidRPr="00DD6D51">
              <w:rPr>
                <w:rFonts w:ascii="Cambria" w:hAnsi="Cambria"/>
                <w:b/>
                <w:bCs/>
                <w:sz w:val="20"/>
                <w:szCs w:val="20"/>
              </w:rPr>
              <w:t xml:space="preserve">FIFTH: HOMOLOGATION AND FOLLOW-UP. </w:t>
            </w:r>
            <w:r w:rsidRPr="00DD6D51">
              <w:rPr>
                <w:rFonts w:ascii="Cambria" w:hAnsi="Cambria"/>
                <w:sz w:val="20"/>
                <w:szCs w:val="20"/>
              </w:rPr>
              <w:t xml:space="preserve">The parties request the Inter-American Commission the homologation of this Agreement and its follow-up.  This agreement was endorsed by the state entities involved in the execution of the reparation measures. </w:t>
            </w:r>
          </w:p>
        </w:tc>
        <w:tc>
          <w:tcPr>
            <w:tcW w:w="5245" w:type="dxa"/>
            <w:tcBorders>
              <w:top w:val="single" w:sz="4" w:space="0" w:color="auto"/>
              <w:left w:val="single" w:sz="4" w:space="0" w:color="auto"/>
              <w:bottom w:val="single" w:sz="4" w:space="0" w:color="auto"/>
              <w:right w:val="single" w:sz="4" w:space="0" w:color="auto"/>
            </w:tcBorders>
            <w:vAlign w:val="center"/>
          </w:tcPr>
          <w:p w14:paraId="244988ED" w14:textId="7D73DA39" w:rsidR="00DD6D51" w:rsidRPr="00DD6D51" w:rsidRDefault="00DD6D51" w:rsidP="00DD6D51">
            <w:pPr>
              <w:suppressAutoHyphens/>
              <w:spacing w:after="0" w:line="240" w:lineRule="auto"/>
              <w:jc w:val="center"/>
              <w:rPr>
                <w:rFonts w:ascii="Cambria" w:hAnsi="Cambria"/>
                <w:bCs/>
                <w:sz w:val="20"/>
                <w:szCs w:val="20"/>
              </w:rPr>
            </w:pPr>
            <w:r w:rsidRPr="00DD6D51">
              <w:rPr>
                <w:rFonts w:ascii="Cambria" w:hAnsi="Cambria"/>
                <w:b/>
                <w:sz w:val="20"/>
                <w:szCs w:val="20"/>
              </w:rPr>
              <w:t xml:space="preserve">Declarative </w:t>
            </w:r>
            <w:r w:rsidR="00593183">
              <w:rPr>
                <w:rFonts w:ascii="Cambria" w:hAnsi="Cambria"/>
                <w:b/>
                <w:sz w:val="20"/>
                <w:szCs w:val="20"/>
              </w:rPr>
              <w:t>C</w:t>
            </w:r>
            <w:r w:rsidRPr="00DD6D51">
              <w:rPr>
                <w:rFonts w:ascii="Cambria" w:hAnsi="Cambria"/>
                <w:b/>
                <w:sz w:val="20"/>
                <w:szCs w:val="20"/>
              </w:rPr>
              <w:t>lause</w:t>
            </w:r>
          </w:p>
        </w:tc>
      </w:tr>
    </w:tbl>
    <w:p w14:paraId="6E855352" w14:textId="77777777" w:rsidR="00DD6D51" w:rsidRPr="00DD6D51" w:rsidRDefault="00DD6D51" w:rsidP="00593183">
      <w:pPr>
        <w:suppressAutoHyphens/>
        <w:spacing w:after="0" w:line="240" w:lineRule="auto"/>
        <w:jc w:val="both"/>
        <w:rPr>
          <w:rFonts w:ascii="Cambria" w:hAnsi="Cambria"/>
          <w:sz w:val="20"/>
          <w:szCs w:val="20"/>
        </w:rPr>
      </w:pPr>
    </w:p>
    <w:p w14:paraId="0BDA617C" w14:textId="77777777" w:rsidR="00DD6D51" w:rsidRPr="00DD6D51" w:rsidRDefault="00DD6D51" w:rsidP="00DD6D51">
      <w:pPr>
        <w:numPr>
          <w:ilvl w:val="0"/>
          <w:numId w:val="56"/>
        </w:numPr>
        <w:suppressAutoHyphens/>
        <w:spacing w:after="0" w:line="240" w:lineRule="auto"/>
        <w:ind w:left="0" w:firstLine="709"/>
        <w:jc w:val="both"/>
        <w:rPr>
          <w:rFonts w:ascii="Cambria" w:hAnsi="Cambria"/>
          <w:sz w:val="20"/>
          <w:szCs w:val="20"/>
        </w:rPr>
      </w:pPr>
      <w:r w:rsidRPr="00DD6D51">
        <w:rPr>
          <w:rFonts w:ascii="Cambria" w:hAnsi="Cambria"/>
          <w:b/>
          <w:sz w:val="20"/>
          <w:szCs w:val="20"/>
        </w:rPr>
        <w:t>LEVEL OF COMPLIANCE OF THE CASE</w:t>
      </w:r>
    </w:p>
    <w:p w14:paraId="53DA8CB7" w14:textId="77777777" w:rsidR="00DD6D51" w:rsidRPr="00DD6D51" w:rsidRDefault="00DD6D51" w:rsidP="00DD6D51">
      <w:pPr>
        <w:suppressAutoHyphens/>
        <w:spacing w:after="0" w:line="240" w:lineRule="auto"/>
        <w:ind w:firstLine="709"/>
        <w:rPr>
          <w:rFonts w:ascii="Cambria" w:hAnsi="Cambria"/>
          <w:sz w:val="20"/>
          <w:szCs w:val="20"/>
        </w:rPr>
      </w:pPr>
    </w:p>
    <w:p w14:paraId="02552AF1" w14:textId="43DCC781" w:rsidR="00DD6D51" w:rsidRPr="00DD6D51" w:rsidRDefault="00DD6D51" w:rsidP="00DD6D51">
      <w:pPr>
        <w:numPr>
          <w:ilvl w:val="0"/>
          <w:numId w:val="58"/>
        </w:numPr>
        <w:suppressAutoHyphens/>
        <w:spacing w:after="0" w:line="240" w:lineRule="auto"/>
        <w:ind w:left="0" w:firstLine="709"/>
        <w:contextualSpacing/>
        <w:jc w:val="both"/>
        <w:rPr>
          <w:rFonts w:ascii="Cambria" w:eastAsia="Batang" w:hAnsi="Cambria"/>
          <w:sz w:val="20"/>
          <w:szCs w:val="20"/>
        </w:rPr>
      </w:pPr>
      <w:r w:rsidRPr="00DD6D51">
        <w:rPr>
          <w:rFonts w:ascii="Cambria" w:hAnsi="Cambria"/>
          <w:sz w:val="20"/>
          <w:szCs w:val="20"/>
        </w:rPr>
        <w:t xml:space="preserve">The Commission </w:t>
      </w:r>
      <w:r w:rsidR="00593183">
        <w:rPr>
          <w:rFonts w:ascii="Cambria" w:hAnsi="Cambria"/>
          <w:sz w:val="20"/>
          <w:szCs w:val="20"/>
        </w:rPr>
        <w:t>declared full compliance with the case and the ceasing of the follow-up of the friendly settlement agreement in the 2024 Annual Report</w:t>
      </w:r>
      <w:r w:rsidRPr="00DD6D51">
        <w:rPr>
          <w:rFonts w:ascii="Cambria" w:hAnsi="Cambria"/>
          <w:sz w:val="20"/>
          <w:szCs w:val="20"/>
        </w:rPr>
        <w:t>.</w:t>
      </w:r>
    </w:p>
    <w:p w14:paraId="01851587" w14:textId="77777777" w:rsidR="00DD6D51" w:rsidRPr="00DD6D51" w:rsidRDefault="00DD6D51" w:rsidP="00593183">
      <w:pPr>
        <w:suppressAutoHyphens/>
        <w:spacing w:after="0" w:line="240" w:lineRule="auto"/>
        <w:contextualSpacing/>
        <w:jc w:val="both"/>
        <w:rPr>
          <w:rFonts w:ascii="Cambria" w:hAnsi="Cambria"/>
          <w:sz w:val="20"/>
          <w:szCs w:val="20"/>
        </w:rPr>
      </w:pPr>
    </w:p>
    <w:p w14:paraId="6997895F" w14:textId="77777777" w:rsidR="00DD6D51" w:rsidRPr="00DD6D51" w:rsidRDefault="00DD6D51" w:rsidP="00DD6D51">
      <w:pPr>
        <w:numPr>
          <w:ilvl w:val="0"/>
          <w:numId w:val="56"/>
        </w:numPr>
        <w:suppressAutoHyphens/>
        <w:spacing w:after="0" w:line="240" w:lineRule="auto"/>
        <w:ind w:left="0" w:firstLine="709"/>
        <w:contextualSpacing/>
        <w:jc w:val="both"/>
        <w:rPr>
          <w:rFonts w:ascii="Cambria" w:hAnsi="Cambria" w:cs="Calibri Light"/>
          <w:b/>
          <w:sz w:val="20"/>
          <w:szCs w:val="20"/>
        </w:rPr>
      </w:pPr>
      <w:r w:rsidRPr="00DD6D51">
        <w:rPr>
          <w:rFonts w:ascii="Cambria" w:hAnsi="Cambria"/>
          <w:b/>
          <w:sz w:val="20"/>
          <w:szCs w:val="20"/>
        </w:rPr>
        <w:t xml:space="preserve">INDIVIDUAL AND STRUCTURAL OUTCOMES OF THE CASE </w:t>
      </w:r>
    </w:p>
    <w:p w14:paraId="757DFD97" w14:textId="77777777" w:rsidR="00DD6D51" w:rsidRPr="00DD6D51" w:rsidRDefault="00DD6D51" w:rsidP="00DD6D51">
      <w:pPr>
        <w:suppressAutoHyphens/>
        <w:spacing w:after="0" w:line="240" w:lineRule="auto"/>
        <w:ind w:firstLine="709"/>
        <w:contextualSpacing/>
        <w:rPr>
          <w:rFonts w:ascii="Cambria" w:hAnsi="Cambria" w:cs="Calibri Light"/>
          <w:b/>
          <w:sz w:val="20"/>
          <w:szCs w:val="20"/>
        </w:rPr>
      </w:pPr>
    </w:p>
    <w:p w14:paraId="7D768DBA" w14:textId="77777777" w:rsidR="00DD6D51" w:rsidRPr="00DD6D51" w:rsidRDefault="00DD6D51" w:rsidP="00DD6D51">
      <w:pPr>
        <w:numPr>
          <w:ilvl w:val="0"/>
          <w:numId w:val="57"/>
        </w:numPr>
        <w:suppressAutoHyphens/>
        <w:spacing w:after="0" w:line="240" w:lineRule="auto"/>
        <w:ind w:left="1418" w:hanging="709"/>
        <w:contextualSpacing/>
        <w:jc w:val="both"/>
        <w:rPr>
          <w:rFonts w:ascii="Cambria" w:hAnsi="Cambria" w:cs="Calibri Light"/>
          <w:b/>
          <w:sz w:val="20"/>
          <w:szCs w:val="20"/>
        </w:rPr>
      </w:pPr>
      <w:r w:rsidRPr="00DD6D51">
        <w:rPr>
          <w:rFonts w:ascii="Cambria" w:hAnsi="Cambria"/>
          <w:b/>
          <w:sz w:val="20"/>
          <w:szCs w:val="20"/>
        </w:rPr>
        <w:t>Individual outcomes of the case</w:t>
      </w:r>
    </w:p>
    <w:p w14:paraId="48280CC9" w14:textId="77777777" w:rsidR="00DD6D51" w:rsidRPr="00DD6D51" w:rsidRDefault="00DD6D51" w:rsidP="00DD6D51">
      <w:pPr>
        <w:suppressAutoHyphens/>
        <w:spacing w:after="0" w:line="240" w:lineRule="auto"/>
        <w:ind w:left="720"/>
        <w:contextualSpacing/>
        <w:jc w:val="both"/>
        <w:rPr>
          <w:rFonts w:ascii="Cambria" w:hAnsi="Cambria" w:cs="Calibri Light"/>
          <w:b/>
          <w:sz w:val="20"/>
          <w:szCs w:val="20"/>
        </w:rPr>
      </w:pPr>
    </w:p>
    <w:p w14:paraId="437F4A5E" w14:textId="77777777" w:rsidR="00DD6D51" w:rsidRPr="00DD6D51" w:rsidRDefault="00DD6D51" w:rsidP="00DD6D51">
      <w:pPr>
        <w:numPr>
          <w:ilvl w:val="0"/>
          <w:numId w:val="54"/>
        </w:numPr>
        <w:suppressAutoHyphens/>
        <w:spacing w:after="0" w:line="240" w:lineRule="auto"/>
        <w:ind w:left="1440" w:hanging="720"/>
        <w:contextualSpacing/>
        <w:jc w:val="both"/>
        <w:rPr>
          <w:rFonts w:ascii="Cambria" w:eastAsia="Batang" w:hAnsi="Cambria"/>
          <w:sz w:val="20"/>
          <w:szCs w:val="20"/>
        </w:rPr>
      </w:pPr>
      <w:r w:rsidRPr="00DD6D51">
        <w:rPr>
          <w:rFonts w:ascii="Cambria" w:hAnsi="Cambria"/>
          <w:sz w:val="20"/>
          <w:szCs w:val="20"/>
        </w:rPr>
        <w:t>The State of Colombia held an act of acknowledgement of responsibility on March 3, 2022, over a virtual platform. The parties provided copies of the invitations circulated for this event.</w:t>
      </w:r>
    </w:p>
    <w:p w14:paraId="0554DFB4" w14:textId="77777777" w:rsidR="00DD6D51" w:rsidRPr="00DD6D51" w:rsidRDefault="00DD6D51" w:rsidP="00DD6D51">
      <w:pPr>
        <w:numPr>
          <w:ilvl w:val="0"/>
          <w:numId w:val="54"/>
        </w:numPr>
        <w:suppressAutoHyphens/>
        <w:spacing w:after="0" w:line="240" w:lineRule="auto"/>
        <w:ind w:left="1440" w:hanging="731"/>
        <w:jc w:val="both"/>
        <w:rPr>
          <w:rFonts w:ascii="Cambria" w:eastAsia="Batang" w:hAnsi="Cambria"/>
          <w:sz w:val="20"/>
          <w:szCs w:val="20"/>
        </w:rPr>
      </w:pPr>
      <w:r w:rsidRPr="00DD6D51">
        <w:rPr>
          <w:rFonts w:ascii="Cambria" w:hAnsi="Cambria"/>
          <w:sz w:val="20"/>
          <w:szCs w:val="20"/>
        </w:rPr>
        <w:t>The State provided educational assistance, which included the payment of tuition and living expenses for 6 semesters. Consequently, the beneficiary of the FSA was able to complete her studies by the end of the implementation of the measure in the period 2024-1.</w:t>
      </w:r>
    </w:p>
    <w:p w14:paraId="2416B0EB" w14:textId="77777777" w:rsidR="00DD6D51" w:rsidRPr="00DD6D51" w:rsidRDefault="00DD6D51" w:rsidP="00DD6D51">
      <w:pPr>
        <w:numPr>
          <w:ilvl w:val="0"/>
          <w:numId w:val="52"/>
        </w:numPr>
        <w:suppressAutoHyphens/>
        <w:spacing w:after="0" w:line="240" w:lineRule="auto"/>
        <w:ind w:left="1440" w:hanging="720"/>
        <w:jc w:val="both"/>
        <w:rPr>
          <w:rFonts w:ascii="Cambria" w:hAnsi="Cambria"/>
          <w:sz w:val="20"/>
          <w:szCs w:val="20"/>
        </w:rPr>
      </w:pPr>
      <w:r w:rsidRPr="00DD6D51">
        <w:rPr>
          <w:rFonts w:ascii="Cambria" w:hAnsi="Cambria"/>
          <w:sz w:val="20"/>
          <w:szCs w:val="20"/>
        </w:rPr>
        <w:t xml:space="preserve">The State moved forward with implementation of Law 288 of 1996 </w:t>
      </w:r>
      <w:r w:rsidRPr="00DD6D51">
        <w:rPr>
          <w:rFonts w:ascii="Cambria" w:eastAsia="Batang" w:hAnsi="Cambria"/>
          <w:color w:val="000000"/>
          <w:sz w:val="20"/>
          <w:szCs w:val="20"/>
        </w:rPr>
        <w:t>and made the payment of compensation to the beneficiaries of the friendly settlement agreement pursuant to Resolution No. 164 of March 11, 2024, for a total amount of $3,484,035,134.37 for moral damages and loss of profits</w:t>
      </w:r>
      <w:r w:rsidRPr="00DD6D51">
        <w:rPr>
          <w:rFonts w:ascii="Cambria" w:hAnsi="Cambria"/>
          <w:sz w:val="20"/>
          <w:szCs w:val="20"/>
        </w:rPr>
        <w:t>.</w:t>
      </w:r>
    </w:p>
    <w:p w14:paraId="158DE783" w14:textId="77777777" w:rsidR="00DD6D51" w:rsidRPr="00DD6D51" w:rsidRDefault="00DD6D51" w:rsidP="00DD6D51">
      <w:pPr>
        <w:tabs>
          <w:tab w:val="left" w:pos="1440"/>
        </w:tabs>
        <w:suppressAutoHyphens/>
        <w:spacing w:after="0" w:line="240" w:lineRule="auto"/>
        <w:jc w:val="both"/>
        <w:rPr>
          <w:rFonts w:ascii="Cambria" w:hAnsi="Cambria"/>
          <w:sz w:val="20"/>
          <w:szCs w:val="20"/>
        </w:rPr>
      </w:pPr>
    </w:p>
    <w:p w14:paraId="7FF752A5" w14:textId="77777777" w:rsidR="00DD6D51" w:rsidRPr="00DD6D51" w:rsidRDefault="00DD6D51" w:rsidP="00DD6D51">
      <w:pPr>
        <w:numPr>
          <w:ilvl w:val="0"/>
          <w:numId w:val="57"/>
        </w:numPr>
        <w:suppressAutoHyphens/>
        <w:spacing w:after="0" w:line="240" w:lineRule="auto"/>
        <w:ind w:left="1418" w:hanging="709"/>
        <w:contextualSpacing/>
        <w:rPr>
          <w:rFonts w:ascii="Cambria" w:hAnsi="Cambria" w:cs="Calibri Light"/>
          <w:b/>
          <w:sz w:val="20"/>
          <w:szCs w:val="20"/>
        </w:rPr>
      </w:pPr>
      <w:r w:rsidRPr="00DD6D51">
        <w:rPr>
          <w:rFonts w:ascii="Cambria" w:hAnsi="Cambria"/>
          <w:b/>
          <w:sz w:val="20"/>
          <w:szCs w:val="20"/>
        </w:rPr>
        <w:t>Structural outcomes of the case</w:t>
      </w:r>
    </w:p>
    <w:p w14:paraId="4E2A7DC6" w14:textId="77777777" w:rsidR="00DD6D51" w:rsidRPr="00DD6D51" w:rsidRDefault="00DD6D51" w:rsidP="00DD6D51">
      <w:pPr>
        <w:tabs>
          <w:tab w:val="left" w:pos="1440"/>
        </w:tabs>
        <w:suppressAutoHyphens/>
        <w:spacing w:after="0" w:line="240" w:lineRule="auto"/>
        <w:ind w:left="1440" w:hanging="720"/>
        <w:contextualSpacing/>
        <w:jc w:val="both"/>
        <w:rPr>
          <w:rFonts w:ascii="Cambria" w:hAnsi="Cambria" w:cs="Calibri Light"/>
          <w:b/>
          <w:sz w:val="20"/>
          <w:szCs w:val="20"/>
        </w:rPr>
      </w:pPr>
    </w:p>
    <w:p w14:paraId="72628587" w14:textId="4D38F76D" w:rsidR="00F74974" w:rsidRPr="00DD6D51" w:rsidRDefault="00DD6D51" w:rsidP="00DD6D51">
      <w:pPr>
        <w:numPr>
          <w:ilvl w:val="0"/>
          <w:numId w:val="54"/>
        </w:numPr>
        <w:suppressAutoHyphens/>
        <w:spacing w:after="0" w:line="240" w:lineRule="auto"/>
        <w:ind w:left="1440" w:hanging="720"/>
        <w:contextualSpacing/>
        <w:jc w:val="both"/>
        <w:rPr>
          <w:rFonts w:ascii="Cambria" w:eastAsia="Batang" w:hAnsi="Cambria" w:cs="Calibri Light"/>
          <w:sz w:val="20"/>
          <w:szCs w:val="20"/>
        </w:rPr>
      </w:pPr>
      <w:r w:rsidRPr="00DD6D51">
        <w:rPr>
          <w:rFonts w:ascii="Cambria" w:hAnsi="Cambria"/>
          <w:sz w:val="20"/>
          <w:szCs w:val="20"/>
        </w:rPr>
        <w:t>The State published the friendly settlement agreement on the National Agency for Legal Defense of the State’s website.</w:t>
      </w:r>
    </w:p>
    <w:sectPr w:rsidR="00F74974" w:rsidRPr="00DD6D51" w:rsidSect="008E42E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A7B85" w14:textId="77777777" w:rsidR="00D04431" w:rsidRDefault="00D04431" w:rsidP="00A343FF">
      <w:pPr>
        <w:spacing w:after="0" w:line="240" w:lineRule="auto"/>
      </w:pPr>
      <w:r>
        <w:separator/>
      </w:r>
    </w:p>
  </w:endnote>
  <w:endnote w:type="continuationSeparator" w:id="0">
    <w:p w14:paraId="6A5C5B09" w14:textId="77777777" w:rsidR="00D04431" w:rsidRDefault="00D04431" w:rsidP="00A343FF">
      <w:pPr>
        <w:spacing w:after="0" w:line="240" w:lineRule="auto"/>
      </w:pPr>
      <w:r>
        <w:continuationSeparator/>
      </w:r>
    </w:p>
  </w:endnote>
  <w:endnote w:type="continuationNotice" w:id="1">
    <w:p w14:paraId="24B6F8BB" w14:textId="77777777" w:rsidR="00D04431" w:rsidRDefault="00D04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7C8D"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CBDDDA"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77C7" w14:textId="77777777" w:rsidR="008F2248" w:rsidRDefault="00C3427A" w:rsidP="008F2248">
    <w:pPr>
      <w:pStyle w:val="Footer"/>
      <w:spacing w:line="360" w:lineRule="auto"/>
    </w:pPr>
    <w:r>
      <w:rPr>
        <w:noProof/>
      </w:rPr>
      <w:pict w14:anchorId="413C72BF">
        <v:rect id="_x0000_i1027" alt="" style="width:441.9pt;height:.05pt;mso-width-percent:0;mso-height-percent:0;mso-width-percent:0;mso-height-percent:0" o:hralign="center" o:hrstd="t" o:hr="t" fillcolor="#a0a0a0" stroked="f"/>
      </w:pict>
    </w:r>
  </w:p>
  <w:p w14:paraId="36DDBAC6" w14:textId="77777777" w:rsidR="008F2248" w:rsidRDefault="009A73C0" w:rsidP="006E2BD8">
    <w:pPr>
      <w:pStyle w:val="Footer"/>
      <w:jc w:val="center"/>
    </w:pPr>
    <w:r>
      <w:rPr>
        <w:noProof/>
      </w:rPr>
      <w:drawing>
        <wp:inline distT="0" distB="0" distL="0" distR="0" wp14:anchorId="0865921E" wp14:editId="3BA32EF6">
          <wp:extent cx="5238750" cy="323850"/>
          <wp:effectExtent l="0" t="0" r="0" b="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EE05D" w14:textId="77777777" w:rsidR="00D04431" w:rsidRDefault="00D04431" w:rsidP="00A343FF">
      <w:pPr>
        <w:spacing w:after="0" w:line="240" w:lineRule="auto"/>
      </w:pPr>
      <w:r>
        <w:separator/>
      </w:r>
    </w:p>
  </w:footnote>
  <w:footnote w:type="continuationSeparator" w:id="0">
    <w:p w14:paraId="7F60085A" w14:textId="77777777" w:rsidR="00D04431" w:rsidRDefault="00D04431" w:rsidP="00A343FF">
      <w:pPr>
        <w:spacing w:after="0" w:line="240" w:lineRule="auto"/>
      </w:pPr>
      <w:r>
        <w:continuationSeparator/>
      </w:r>
    </w:p>
  </w:footnote>
  <w:footnote w:type="continuationNotice" w:id="1">
    <w:p w14:paraId="3F62A14F" w14:textId="77777777" w:rsidR="00D04431" w:rsidRDefault="00D04431">
      <w:pPr>
        <w:spacing w:after="0" w:line="240" w:lineRule="auto"/>
      </w:pPr>
    </w:p>
  </w:footnote>
  <w:footnote w:id="2">
    <w:p w14:paraId="4BFF7638" w14:textId="72D5354B" w:rsidR="00DD6D51" w:rsidRPr="00593183" w:rsidRDefault="00DD6D51" w:rsidP="00593183">
      <w:pPr>
        <w:spacing w:after="0" w:line="240" w:lineRule="auto"/>
        <w:ind w:firstLine="709"/>
        <w:jc w:val="both"/>
        <w:rPr>
          <w:rFonts w:ascii="Cambria" w:hAnsi="Cambria"/>
          <w:sz w:val="16"/>
          <w:szCs w:val="16"/>
        </w:rPr>
      </w:pPr>
      <w:r w:rsidRPr="00593183">
        <w:rPr>
          <w:rStyle w:val="FootnoteReference"/>
          <w:rFonts w:ascii="Cambria" w:hAnsi="Cambria"/>
          <w:sz w:val="16"/>
          <w:szCs w:val="16"/>
        </w:rPr>
        <w:footnoteRef/>
      </w:r>
      <w:r w:rsidRPr="00593183">
        <w:rPr>
          <w:rFonts w:ascii="Cambria" w:hAnsi="Cambria"/>
          <w:sz w:val="16"/>
          <w:szCs w:val="16"/>
        </w:rPr>
        <w:t xml:space="preserve"> </w:t>
      </w:r>
      <w:r w:rsidR="00593183">
        <w:rPr>
          <w:rFonts w:ascii="Cambria" w:hAnsi="Cambria"/>
          <w:sz w:val="16"/>
          <w:szCs w:val="16"/>
        </w:rPr>
        <w:t xml:space="preserve">See </w:t>
      </w:r>
      <w:r w:rsidRPr="00593183">
        <w:rPr>
          <w:rFonts w:ascii="Cambria" w:hAnsi="Cambria"/>
          <w:color w:val="000000"/>
          <w:sz w:val="16"/>
          <w:szCs w:val="16"/>
        </w:rPr>
        <w:t xml:space="preserve">IACHR, Report No. 67/22, Case 13.436 Friendly Settlement. </w:t>
      </w:r>
      <w:r w:rsidRPr="00593183">
        <w:rPr>
          <w:rFonts w:ascii="Cambria" w:hAnsi="Cambria"/>
          <w:color w:val="000000"/>
          <w:sz w:val="16"/>
          <w:szCs w:val="16"/>
          <w:lang w:val="es-US"/>
        </w:rPr>
        <w:t xml:space="preserve">José Oleaguer Correa </w:t>
      </w:r>
      <w:r w:rsidR="00A54C6A" w:rsidRPr="00593183">
        <w:rPr>
          <w:rFonts w:ascii="Cambria" w:hAnsi="Cambria"/>
          <w:color w:val="000000"/>
          <w:sz w:val="16"/>
          <w:szCs w:val="16"/>
          <w:lang w:val="es-US"/>
        </w:rPr>
        <w:t>Castrillón</w:t>
      </w:r>
      <w:r w:rsidRPr="00593183">
        <w:rPr>
          <w:rFonts w:ascii="Cambria" w:hAnsi="Cambria"/>
          <w:color w:val="000000"/>
          <w:sz w:val="16"/>
          <w:szCs w:val="16"/>
          <w:lang w:val="es-US"/>
        </w:rPr>
        <w:t xml:space="preserve">. Colombia. </w:t>
      </w:r>
      <w:r w:rsidRPr="00593183">
        <w:rPr>
          <w:rFonts w:ascii="Cambria" w:hAnsi="Cambria"/>
          <w:color w:val="000000"/>
          <w:sz w:val="16"/>
          <w:szCs w:val="16"/>
        </w:rPr>
        <w:t xml:space="preserve">May 10, 2022, </w:t>
      </w:r>
      <w:r w:rsidR="00593183">
        <w:rPr>
          <w:rFonts w:ascii="Cambria" w:hAnsi="Cambria"/>
          <w:color w:val="000000"/>
          <w:sz w:val="16"/>
          <w:szCs w:val="16"/>
        </w:rPr>
        <w:t xml:space="preserve">Available at: </w:t>
      </w:r>
      <w:hyperlink r:id="rId1" w:history="1">
        <w:r w:rsidR="00593183" w:rsidRPr="00EB414D">
          <w:rPr>
            <w:rStyle w:val="Hyperlink"/>
            <w:rFonts w:ascii="Cambria" w:hAnsi="Cambria"/>
            <w:sz w:val="16"/>
            <w:szCs w:val="16"/>
          </w:rPr>
          <w:t>https://www.oas.org/en/iachr/decisions/2022/COSA13.436EN.pdf</w:t>
        </w:r>
      </w:hyperlink>
      <w:r w:rsidR="00593183">
        <w:rPr>
          <w:rStyle w:val="Hipervnculo1"/>
          <w:rFonts w:ascii="Cambria" w:hAnsi="Cambria"/>
          <w:sz w:val="16"/>
          <w:szCs w:val="16"/>
        </w:rPr>
        <w:t>.</w:t>
      </w:r>
      <w:r w:rsidRPr="00593183">
        <w:rPr>
          <w:rFonts w:ascii="Cambria" w:hAnsi="Cambria"/>
          <w:color w:val="000000"/>
          <w:sz w:val="16"/>
          <w:szCs w:val="16"/>
        </w:rPr>
        <w:t xml:space="preserve"> </w:t>
      </w:r>
    </w:p>
  </w:footnote>
  <w:footnote w:id="3">
    <w:p w14:paraId="22671717" w14:textId="78174F5A" w:rsidR="00DD6D51" w:rsidRPr="00A54C6A" w:rsidRDefault="00DD6D51" w:rsidP="00593183">
      <w:pPr>
        <w:pStyle w:val="Ca1"/>
        <w:rPr>
          <w:rFonts w:ascii="Cambria" w:hAnsi="Cambria"/>
          <w:sz w:val="16"/>
          <w:szCs w:val="16"/>
          <w:lang w:val="en-US"/>
        </w:rPr>
      </w:pPr>
      <w:r w:rsidRPr="00593183">
        <w:rPr>
          <w:rStyle w:val="FootnoteReference"/>
          <w:rFonts w:ascii="Cambria" w:hAnsi="Cambria"/>
          <w:sz w:val="16"/>
          <w:szCs w:val="16"/>
        </w:rPr>
        <w:footnoteRef/>
      </w:r>
      <w:r w:rsidRPr="00A54C6A">
        <w:rPr>
          <w:rFonts w:ascii="Cambria" w:hAnsi="Cambria"/>
          <w:sz w:val="16"/>
          <w:szCs w:val="16"/>
          <w:lang w:val="en-US"/>
        </w:rPr>
        <w:t xml:space="preserve"> </w:t>
      </w:r>
      <w:r w:rsidRPr="00A54C6A">
        <w:rPr>
          <w:rFonts w:ascii="Cambria" w:hAnsi="Cambria"/>
          <w:color w:val="000000"/>
          <w:sz w:val="16"/>
          <w:szCs w:val="16"/>
          <w:lang w:val="en-US"/>
        </w:rPr>
        <w:t xml:space="preserve">See IACHR, Annual Report 2022, Chapter II, Section C. Advances and regressions on negotiation and Implementation of Friendly Settlement Agreements. Available </w:t>
      </w:r>
      <w:r w:rsidR="00593183" w:rsidRPr="00A54C6A">
        <w:rPr>
          <w:rFonts w:ascii="Cambria" w:hAnsi="Cambria"/>
          <w:color w:val="000000"/>
          <w:sz w:val="16"/>
          <w:szCs w:val="16"/>
          <w:lang w:val="en-US"/>
        </w:rPr>
        <w:t>at</w:t>
      </w:r>
      <w:r w:rsidRPr="00A54C6A">
        <w:rPr>
          <w:rFonts w:ascii="Cambria" w:hAnsi="Cambria"/>
          <w:color w:val="000000"/>
          <w:sz w:val="16"/>
          <w:szCs w:val="16"/>
          <w:lang w:val="en-US"/>
        </w:rPr>
        <w:t xml:space="preserve">: </w:t>
      </w:r>
      <w:hyperlink r:id="rId2" w:tgtFrame="_blank" w:tooltip="https://www.oas.org/en/iachr/docs/annual/2022/chapters/4-ia2022_cap_2_en.pdf" w:history="1">
        <w:r w:rsidRPr="00A54C6A">
          <w:rPr>
            <w:rStyle w:val="Hipervnculo1"/>
            <w:rFonts w:ascii="Cambria" w:hAnsi="Cambria"/>
            <w:sz w:val="16"/>
            <w:szCs w:val="16"/>
            <w:lang w:val="en-US"/>
          </w:rPr>
          <w:t>https://www.oas.org/en/iachr/docs/annual/2022/Chapters/4-IA2022_Cap_2_EN.pdf</w:t>
        </w:r>
      </w:hyperlink>
      <w:r w:rsidRPr="00A54C6A">
        <w:rPr>
          <w:rFonts w:ascii="Cambria" w:hAnsi="Cambria"/>
          <w:color w:val="000000"/>
          <w:sz w:val="16"/>
          <w:szCs w:val="16"/>
          <w:lang w:val="en-US"/>
        </w:rPr>
        <w:t>.</w:t>
      </w:r>
    </w:p>
  </w:footnote>
  <w:footnote w:id="4">
    <w:p w14:paraId="67ED918A" w14:textId="77777777" w:rsidR="00593183" w:rsidRPr="00593183" w:rsidRDefault="00593183" w:rsidP="00593183">
      <w:pPr>
        <w:pStyle w:val="FootnoteText"/>
        <w:ind w:firstLine="709"/>
        <w:jc w:val="both"/>
        <w:rPr>
          <w:rFonts w:ascii="Cambria" w:hAnsi="Cambria"/>
          <w:sz w:val="16"/>
          <w:szCs w:val="16"/>
        </w:rPr>
      </w:pPr>
      <w:r w:rsidRPr="00593183">
        <w:rPr>
          <w:rStyle w:val="FootnoteReference"/>
          <w:rFonts w:ascii="Cambria" w:hAnsi="Cambria"/>
          <w:sz w:val="16"/>
          <w:szCs w:val="16"/>
        </w:rPr>
        <w:footnoteRef/>
      </w:r>
      <w:r w:rsidRPr="00593183">
        <w:rPr>
          <w:rFonts w:ascii="Cambria" w:hAnsi="Cambria"/>
          <w:sz w:val="16"/>
          <w:szCs w:val="16"/>
        </w:rPr>
        <w:t xml:space="preserve"> The original clause of the FSA dated December 23, 2021, is modified by virtue of the Addendum subscribed by the parties on March 27, 2023. The other clauses were not modified by said instrument.</w:t>
      </w:r>
    </w:p>
  </w:footnote>
  <w:footnote w:id="5">
    <w:p w14:paraId="63675328" w14:textId="24495937" w:rsidR="00593183" w:rsidRPr="00A54C6A" w:rsidRDefault="00593183" w:rsidP="00593183">
      <w:pPr>
        <w:pStyle w:val="FootnoteText"/>
        <w:ind w:firstLine="709"/>
        <w:jc w:val="both"/>
        <w:rPr>
          <w:rFonts w:ascii="Cambria" w:hAnsi="Cambria"/>
          <w:sz w:val="16"/>
          <w:szCs w:val="16"/>
        </w:rPr>
      </w:pPr>
      <w:r w:rsidRPr="00593183">
        <w:rPr>
          <w:rStyle w:val="FootnoteReference"/>
          <w:rFonts w:ascii="Cambria" w:hAnsi="Cambria"/>
          <w:sz w:val="16"/>
          <w:szCs w:val="16"/>
        </w:rPr>
        <w:footnoteRef/>
      </w:r>
      <w:r w:rsidRPr="00593183">
        <w:rPr>
          <w:rFonts w:ascii="Cambria" w:hAnsi="Cambria"/>
          <w:sz w:val="16"/>
          <w:szCs w:val="16"/>
        </w:rPr>
        <w:t xml:space="preserve"> </w:t>
      </w:r>
      <w:r w:rsidRPr="00A54C6A">
        <w:rPr>
          <w:rFonts w:ascii="Cambria" w:hAnsi="Cambria"/>
          <w:sz w:val="16"/>
          <w:szCs w:val="16"/>
        </w:rPr>
        <w:t xml:space="preserve">See IACHR, Annual Report 2024, Chapter II, Section C. Advances and challenges on negotiation and implementation of friendly settlements agreements. Available at: </w:t>
      </w:r>
      <w:hyperlink r:id="rId3" w:history="1">
        <w:r w:rsidRPr="00A54C6A">
          <w:rPr>
            <w:rStyle w:val="Hyperlink"/>
            <w:rFonts w:ascii="Cambria" w:hAnsi="Cambria"/>
            <w:sz w:val="16"/>
            <w:szCs w:val="16"/>
          </w:rPr>
          <w:t>https://www.oas.org/en/iachr/docs/annual/2024/chapters/IA2024_2_EN.PDF</w:t>
        </w:r>
      </w:hyperlink>
      <w:r w:rsidRPr="00A54C6A">
        <w:rPr>
          <w:rFonts w:ascii="Cambria" w:hAnsi="Cambria"/>
          <w:sz w:val="16"/>
          <w:szCs w:val="16"/>
        </w:rPr>
        <w:t xml:space="preserve">. </w:t>
      </w:r>
    </w:p>
  </w:footnote>
  <w:footnote w:id="6">
    <w:p w14:paraId="6F92FD1A" w14:textId="3C740EB8" w:rsidR="00593183" w:rsidRPr="00A54C6A" w:rsidRDefault="00593183" w:rsidP="00593183">
      <w:pPr>
        <w:pStyle w:val="FootnoteText"/>
        <w:ind w:firstLine="709"/>
        <w:jc w:val="both"/>
        <w:rPr>
          <w:rFonts w:ascii="Cambria" w:hAnsi="Cambria"/>
          <w:sz w:val="16"/>
          <w:szCs w:val="16"/>
        </w:rPr>
      </w:pPr>
      <w:r w:rsidRPr="00593183">
        <w:rPr>
          <w:rStyle w:val="FootnoteReference"/>
          <w:rFonts w:ascii="Cambria" w:hAnsi="Cambria"/>
          <w:sz w:val="16"/>
          <w:szCs w:val="16"/>
        </w:rPr>
        <w:footnoteRef/>
      </w:r>
      <w:r w:rsidRPr="00593183">
        <w:rPr>
          <w:rFonts w:ascii="Cambria" w:hAnsi="Cambria"/>
          <w:sz w:val="16"/>
          <w:szCs w:val="16"/>
        </w:rPr>
        <w:t xml:space="preserve"> </w:t>
      </w:r>
      <w:r w:rsidRPr="00A54C6A">
        <w:rPr>
          <w:rFonts w:ascii="Cambria" w:hAnsi="Cambria"/>
          <w:sz w:val="16"/>
          <w:szCs w:val="16"/>
        </w:rPr>
        <w:t xml:space="preserve">See IACHR, Annual Report 2024, Chapter II, Section C. Advances and challenges on negotiation and implementation of friendly settlements agreements. Available at: </w:t>
      </w:r>
      <w:hyperlink r:id="rId4" w:history="1">
        <w:r w:rsidRPr="00A54C6A">
          <w:rPr>
            <w:rStyle w:val="Hyperlink"/>
            <w:rFonts w:ascii="Cambria" w:hAnsi="Cambria"/>
            <w:sz w:val="16"/>
            <w:szCs w:val="16"/>
          </w:rPr>
          <w:t>https://www.oas.org/en/iachr/docs/annual/2024/chapters/IA2024_2_EN.PDF</w:t>
        </w:r>
      </w:hyperlink>
      <w:r w:rsidRPr="00A54C6A">
        <w:rPr>
          <w:rFonts w:ascii="Cambria" w:hAnsi="Cambria"/>
          <w:sz w:val="16"/>
          <w:szCs w:val="16"/>
        </w:rPr>
        <w:t xml:space="preserve">. </w:t>
      </w:r>
    </w:p>
  </w:footnote>
  <w:footnote w:id="7">
    <w:p w14:paraId="629695D2" w14:textId="12A1A0AB" w:rsidR="00593183" w:rsidRPr="00A54C6A" w:rsidRDefault="00593183" w:rsidP="00593183">
      <w:pPr>
        <w:pStyle w:val="FootnoteText"/>
        <w:ind w:firstLine="709"/>
        <w:jc w:val="both"/>
        <w:rPr>
          <w:rFonts w:ascii="Cambria" w:hAnsi="Cambria"/>
          <w:sz w:val="16"/>
          <w:szCs w:val="16"/>
        </w:rPr>
      </w:pPr>
      <w:r w:rsidRPr="00593183">
        <w:rPr>
          <w:rStyle w:val="FootnoteReference"/>
          <w:rFonts w:ascii="Cambria" w:hAnsi="Cambria"/>
          <w:sz w:val="16"/>
          <w:szCs w:val="16"/>
        </w:rPr>
        <w:footnoteRef/>
      </w:r>
      <w:r w:rsidRPr="00593183">
        <w:rPr>
          <w:rFonts w:ascii="Cambria" w:hAnsi="Cambria"/>
          <w:sz w:val="16"/>
          <w:szCs w:val="16"/>
        </w:rPr>
        <w:t xml:space="preserve"> </w:t>
      </w:r>
      <w:r w:rsidRPr="00A54C6A">
        <w:rPr>
          <w:rFonts w:ascii="Cambria" w:hAnsi="Cambria"/>
          <w:sz w:val="16"/>
          <w:szCs w:val="16"/>
        </w:rPr>
        <w:t xml:space="preserve">See IACHR, Annual Report 2024, Chapter II, Section C. Advances and challenges on negotiation and implementation of friendly settlements agreements. Available at: </w:t>
      </w:r>
      <w:hyperlink r:id="rId5" w:history="1">
        <w:r w:rsidRPr="00A54C6A">
          <w:rPr>
            <w:rStyle w:val="Hyperlink"/>
            <w:rFonts w:ascii="Cambria" w:hAnsi="Cambria"/>
            <w:sz w:val="16"/>
            <w:szCs w:val="16"/>
          </w:rPr>
          <w:t>https://www.oas.org/en/iachr/docs/annual/2024/chapters/IA2024_2_EN.PDF</w:t>
        </w:r>
      </w:hyperlink>
      <w:r w:rsidRPr="00A54C6A">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052" w14:textId="77777777" w:rsidR="00A343FF" w:rsidRDefault="009A73C0" w:rsidP="00DC7C8F">
    <w:pPr>
      <w:pStyle w:val="Header"/>
      <w:jc w:val="center"/>
    </w:pPr>
    <w:r>
      <w:rPr>
        <w:noProof/>
      </w:rPr>
      <w:drawing>
        <wp:inline distT="0" distB="0" distL="0" distR="0" wp14:anchorId="3DA1D74D" wp14:editId="04CD84E3">
          <wp:extent cx="2286000" cy="11430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
                  </a:xfrm>
                  <a:prstGeom prst="rect">
                    <a:avLst/>
                  </a:prstGeom>
                  <a:noFill/>
                  <a:ln>
                    <a:noFill/>
                  </a:ln>
                </pic:spPr>
              </pic:pic>
            </a:graphicData>
          </a:graphic>
        </wp:inline>
      </w:drawing>
    </w:r>
  </w:p>
  <w:p w14:paraId="5548F4C2" w14:textId="77777777" w:rsidR="00A343FF" w:rsidRDefault="00C3427A">
    <w:pPr>
      <w:pStyle w:val="Header"/>
    </w:pPr>
    <w:r>
      <w:rPr>
        <w:noProof/>
      </w:rPr>
      <w:pict w14:anchorId="5B6F98C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6893" w14:textId="77777777" w:rsidR="00A61B5E" w:rsidRDefault="009A73C0" w:rsidP="00A61B5E">
    <w:pPr>
      <w:pStyle w:val="Header"/>
    </w:pPr>
    <w:r>
      <w:rPr>
        <w:noProof/>
      </w:rPr>
      <w:drawing>
        <wp:anchor distT="0" distB="0" distL="114300" distR="114300" simplePos="0" relativeHeight="251657216" behindDoc="1" locked="0" layoutInCell="1" allowOverlap="1" wp14:anchorId="49D89616" wp14:editId="1502AB67">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8854699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646FE" wp14:editId="2E8E3712">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141" y="0"/>
              <wp:lineTo x="0" y="4397"/>
              <wp:lineTo x="0" y="14290"/>
              <wp:lineTo x="143" y="17588"/>
              <wp:lineTo x="998" y="20885"/>
              <wp:lineTo x="1141" y="20885"/>
              <wp:lineTo x="3850" y="20885"/>
              <wp:lineTo x="4135" y="20885"/>
              <wp:lineTo x="5133" y="17588"/>
              <wp:lineTo x="21529" y="17588"/>
              <wp:lineTo x="21529" y="11542"/>
              <wp:lineTo x="20388" y="8794"/>
              <wp:lineTo x="20673" y="4947"/>
              <wp:lineTo x="18820" y="3847"/>
              <wp:lineTo x="4135" y="0"/>
              <wp:lineTo x="1141" y="0"/>
            </wp:wrapPolygon>
          </wp:wrapThrough>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6FE98F63" w14:textId="77777777" w:rsidR="00F53B51" w:rsidRDefault="00F53B51" w:rsidP="00A61B5E">
    <w:pPr>
      <w:pStyle w:val="Header"/>
    </w:pPr>
  </w:p>
  <w:p w14:paraId="6E2ECDCF" w14:textId="77777777" w:rsidR="00F53B51" w:rsidRDefault="00F53B51" w:rsidP="00A61B5E">
    <w:pPr>
      <w:pStyle w:val="Header"/>
    </w:pPr>
  </w:p>
  <w:p w14:paraId="149A805A" w14:textId="77777777" w:rsidR="00A61B5E" w:rsidRDefault="00C3427A" w:rsidP="00A61B5E">
    <w:pPr>
      <w:pStyle w:val="Header"/>
    </w:pPr>
    <w:r>
      <w:rPr>
        <w:noProof/>
      </w:rPr>
      <w:pict w14:anchorId="20E37B3E">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EB2"/>
    <w:multiLevelType w:val="hybridMultilevel"/>
    <w:tmpl w:val="F2EE32A4"/>
    <w:lvl w:ilvl="0" w:tplc="78CEEF1C">
      <w:start w:val="1"/>
      <w:numFmt w:val="decimal"/>
      <w:lvlText w:val="%1."/>
      <w:lvlJc w:val="left"/>
      <w:pPr>
        <w:ind w:left="1080" w:hanging="360"/>
      </w:pPr>
      <w:rPr>
        <w:rFonts w:ascii="Cambria" w:hAnsi="Cambria" w:cs="Cambria" w:hint="default"/>
        <w:b w:val="0"/>
        <w:bCs w:val="0"/>
        <w:sz w:val="20"/>
        <w:szCs w:val="20"/>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15:restartNumberingAfterBreak="0">
    <w:nsid w:val="0AA10711"/>
    <w:multiLevelType w:val="hybridMultilevel"/>
    <w:tmpl w:val="3CFA9B1A"/>
    <w:lvl w:ilvl="0" w:tplc="E814C9C6">
      <w:start w:val="1"/>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D01CC"/>
    <w:multiLevelType w:val="hybridMultilevel"/>
    <w:tmpl w:val="8970FA82"/>
    <w:lvl w:ilvl="0" w:tplc="081690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F407A"/>
    <w:multiLevelType w:val="hybridMultilevel"/>
    <w:tmpl w:val="80BAD2B4"/>
    <w:lvl w:ilvl="0" w:tplc="4FD070B4">
      <w:start w:val="2"/>
      <w:numFmt w:val="bullet"/>
      <w:lvlText w:val="-"/>
      <w:lvlJc w:val="left"/>
      <w:pPr>
        <w:ind w:left="720" w:hanging="360"/>
      </w:pPr>
      <w:rPr>
        <w:rFonts w:ascii="Cambria" w:eastAsia="Batang" w:hAnsi="Cambria"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CB5C7B"/>
    <w:multiLevelType w:val="hybridMultilevel"/>
    <w:tmpl w:val="3CB0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61104"/>
    <w:multiLevelType w:val="hybridMultilevel"/>
    <w:tmpl w:val="E0B62022"/>
    <w:lvl w:ilvl="0" w:tplc="1E3C3D4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B3573"/>
    <w:multiLevelType w:val="hybridMultilevel"/>
    <w:tmpl w:val="98F2158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480D41"/>
    <w:multiLevelType w:val="hybridMultilevel"/>
    <w:tmpl w:val="C2D873C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F03100"/>
    <w:multiLevelType w:val="hybridMultilevel"/>
    <w:tmpl w:val="F88EE254"/>
    <w:lvl w:ilvl="0" w:tplc="DABE6054">
      <w:start w:val="1"/>
      <w:numFmt w:val="decimal"/>
      <w:lvlText w:val="%1."/>
      <w:lvlJc w:val="left"/>
      <w:pPr>
        <w:ind w:left="720" w:hanging="360"/>
      </w:pPr>
    </w:lvl>
    <w:lvl w:ilvl="1" w:tplc="0C0A0019">
      <w:start w:val="1"/>
      <w:numFmt w:val="lowerLetter"/>
      <w:lvlText w:val="%2."/>
      <w:lvlJc w:val="left"/>
      <w:pPr>
        <w:ind w:left="1980" w:hanging="360"/>
      </w:pPr>
    </w:lvl>
    <w:lvl w:ilvl="2" w:tplc="0C0A001B">
      <w:start w:val="1"/>
      <w:numFmt w:val="lowerRoman"/>
      <w:lvlText w:val="%3."/>
      <w:lvlJc w:val="right"/>
      <w:pPr>
        <w:ind w:left="2700" w:hanging="180"/>
      </w:pPr>
    </w:lvl>
    <w:lvl w:ilvl="3" w:tplc="0C0A000F">
      <w:start w:val="1"/>
      <w:numFmt w:val="decimal"/>
      <w:lvlText w:val="%4."/>
      <w:lvlJc w:val="left"/>
      <w:pPr>
        <w:ind w:left="3420" w:hanging="360"/>
      </w:pPr>
    </w:lvl>
    <w:lvl w:ilvl="4" w:tplc="0C0A0019">
      <w:start w:val="1"/>
      <w:numFmt w:val="lowerLetter"/>
      <w:lvlText w:val="%5."/>
      <w:lvlJc w:val="left"/>
      <w:pPr>
        <w:ind w:left="4140" w:hanging="360"/>
      </w:pPr>
    </w:lvl>
    <w:lvl w:ilvl="5" w:tplc="0C0A001B">
      <w:start w:val="1"/>
      <w:numFmt w:val="lowerRoman"/>
      <w:lvlText w:val="%6."/>
      <w:lvlJc w:val="right"/>
      <w:pPr>
        <w:ind w:left="4860" w:hanging="180"/>
      </w:pPr>
    </w:lvl>
    <w:lvl w:ilvl="6" w:tplc="0C0A000F">
      <w:start w:val="1"/>
      <w:numFmt w:val="decimal"/>
      <w:lvlText w:val="%7."/>
      <w:lvlJc w:val="left"/>
      <w:pPr>
        <w:ind w:left="5580" w:hanging="360"/>
      </w:pPr>
    </w:lvl>
    <w:lvl w:ilvl="7" w:tplc="0C0A0019">
      <w:start w:val="1"/>
      <w:numFmt w:val="lowerLetter"/>
      <w:lvlText w:val="%8."/>
      <w:lvlJc w:val="left"/>
      <w:pPr>
        <w:ind w:left="6300" w:hanging="360"/>
      </w:pPr>
    </w:lvl>
    <w:lvl w:ilvl="8" w:tplc="0C0A001B">
      <w:start w:val="1"/>
      <w:numFmt w:val="lowerRoman"/>
      <w:lvlText w:val="%9."/>
      <w:lvlJc w:val="right"/>
      <w:pPr>
        <w:ind w:left="7020" w:hanging="180"/>
      </w:pPr>
    </w:lvl>
  </w:abstractNum>
  <w:abstractNum w:abstractNumId="9" w15:restartNumberingAfterBreak="0">
    <w:nsid w:val="17500734"/>
    <w:multiLevelType w:val="multilevel"/>
    <w:tmpl w:val="1BDAC532"/>
    <w:lvl w:ilvl="0">
      <w:start w:val="1"/>
      <w:numFmt w:val="decimal"/>
      <w:lvlText w:val="%1."/>
      <w:lvlJc w:val="left"/>
      <w:pPr>
        <w:ind w:left="1080" w:hanging="360"/>
      </w:pPr>
      <w:rPr>
        <w:rFonts w:ascii="Cambria" w:hAnsi="Cambria" w:hint="default"/>
        <w:sz w:val="20"/>
        <w:szCs w:val="20"/>
      </w:rPr>
    </w:lvl>
    <w:lvl w:ilvl="1">
      <w:start w:val="1"/>
      <w:numFmt w:val="decimal"/>
      <w:isLgl/>
      <w:lvlText w:val="%1.%2"/>
      <w:lvlJc w:val="left"/>
      <w:pPr>
        <w:ind w:left="36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ACE7A24"/>
    <w:multiLevelType w:val="hybridMultilevel"/>
    <w:tmpl w:val="21843F30"/>
    <w:lvl w:ilvl="0" w:tplc="C15680D8">
      <w:start w:val="4"/>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7753E"/>
    <w:multiLevelType w:val="hybridMultilevel"/>
    <w:tmpl w:val="60865F60"/>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13" w15:restartNumberingAfterBreak="0">
    <w:nsid w:val="209C2857"/>
    <w:multiLevelType w:val="multilevel"/>
    <w:tmpl w:val="6CDEE4F4"/>
    <w:lvl w:ilvl="0">
      <w:start w:val="1"/>
      <w:numFmt w:val="decimal"/>
      <w:lvlText w:val="%1."/>
      <w:lvlJc w:val="left"/>
      <w:pPr>
        <w:tabs>
          <w:tab w:val="num" w:pos="720"/>
        </w:tabs>
        <w:ind w:left="720" w:hanging="360"/>
      </w:pPr>
      <w:rPr>
        <w:rFonts w:ascii="Cambria" w:hAnsi="Cambria" w:hint="default"/>
      </w:rPr>
    </w:lvl>
    <w:lvl w:ilvl="1">
      <w:start w:val="1"/>
      <w:numFmt w:val="upperRoman"/>
      <w:lvlText w:val="%2."/>
      <w:lvlJc w:val="left"/>
      <w:pPr>
        <w:ind w:left="1800" w:hanging="720"/>
      </w:pPr>
      <w:rPr>
        <w:rFonts w:ascii="Cambria" w:hAnsi="Cambria" w:hint="default"/>
        <w:b/>
        <w:sz w:val="20"/>
      </w:rPr>
    </w:lvl>
    <w:lvl w:ilvl="2">
      <w:start w:val="1"/>
      <w:numFmt w:val="lowerRoman"/>
      <w:lvlText w:val="%3."/>
      <w:lvlJc w:val="left"/>
      <w:pPr>
        <w:ind w:left="6120" w:hanging="720"/>
      </w:pPr>
      <w:rPr>
        <w:rFonts w:ascii="Cambria" w:hAnsi="Cambria" w:hint="default"/>
        <w:b/>
        <w:sz w:val="20"/>
      </w:rPr>
    </w:lvl>
    <w:lvl w:ilvl="3">
      <w:start w:val="4"/>
      <w:numFmt w:val="upperRoman"/>
      <w:lvlText w:val="%4&gt;"/>
      <w:lvlJc w:val="left"/>
      <w:pPr>
        <w:ind w:left="3240" w:hanging="720"/>
      </w:pPr>
      <w:rPr>
        <w:rFonts w:cs="Calibri Light" w:hint="default"/>
        <w:b/>
      </w:rPr>
    </w:lvl>
    <w:lvl w:ilvl="4">
      <w:start w:val="4"/>
      <w:numFmt w:val="bullet"/>
      <w:lvlText w:val="-"/>
      <w:lvlJc w:val="left"/>
      <w:pPr>
        <w:ind w:left="3600" w:hanging="360"/>
      </w:pPr>
      <w:rPr>
        <w:rFonts w:ascii="Cambria" w:eastAsia="Batang" w:hAnsi="Cambria" w:cstheme="minorBidi" w:hint="default"/>
        <w:color w:val="auto"/>
      </w:rPr>
    </w:lvl>
    <w:lvl w:ilvl="5">
      <w:start w:val="1"/>
      <w:numFmt w:val="upperLetter"/>
      <w:lvlText w:val="%6."/>
      <w:lvlJc w:val="left"/>
      <w:pPr>
        <w:ind w:left="4320" w:hanging="360"/>
      </w:pPr>
      <w:rPr>
        <w:rFonts w:eastAsiaTheme="minorHAnsi" w:cstheme="minorBidi"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82976"/>
    <w:multiLevelType w:val="hybridMultilevel"/>
    <w:tmpl w:val="A204FA62"/>
    <w:lvl w:ilvl="0" w:tplc="474CA6B0">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65A771A"/>
    <w:multiLevelType w:val="hybridMultilevel"/>
    <w:tmpl w:val="9D40096E"/>
    <w:lvl w:ilvl="0" w:tplc="FFFFFFFF">
      <w:start w:val="9"/>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D26642"/>
    <w:multiLevelType w:val="hybridMultilevel"/>
    <w:tmpl w:val="21F05E5E"/>
    <w:lvl w:ilvl="0" w:tplc="FFFFFFFF">
      <w:start w:val="2"/>
      <w:numFmt w:val="upperRoman"/>
      <w:lvlText w:val="%1."/>
      <w:lvlJc w:val="left"/>
      <w:pPr>
        <w:ind w:left="1080" w:hanging="72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F879C0"/>
    <w:multiLevelType w:val="hybridMultilevel"/>
    <w:tmpl w:val="931C1576"/>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55483B"/>
    <w:multiLevelType w:val="hybridMultilevel"/>
    <w:tmpl w:val="6E0AE690"/>
    <w:lvl w:ilvl="0" w:tplc="6B1221EE">
      <w:start w:val="7"/>
      <w:numFmt w:val="decimal"/>
      <w:lvlText w:val="%1."/>
      <w:lvlJc w:val="left"/>
      <w:pPr>
        <w:ind w:left="1080" w:hanging="360"/>
      </w:pPr>
      <w:rPr>
        <w:rFonts w:ascii="Cambria" w:hAnsi="Cambria" w:cs="Cambria"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92331"/>
    <w:multiLevelType w:val="hybridMultilevel"/>
    <w:tmpl w:val="EE8E5C28"/>
    <w:lvl w:ilvl="0" w:tplc="9712026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C20BE"/>
    <w:multiLevelType w:val="hybridMultilevel"/>
    <w:tmpl w:val="E67EE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3B73507"/>
    <w:multiLevelType w:val="hybridMultilevel"/>
    <w:tmpl w:val="47A61E54"/>
    <w:lvl w:ilvl="0" w:tplc="C76E7A1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0D220D"/>
    <w:multiLevelType w:val="hybridMultilevel"/>
    <w:tmpl w:val="B07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26321"/>
    <w:multiLevelType w:val="hybridMultilevel"/>
    <w:tmpl w:val="5284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8816C6"/>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9675C"/>
    <w:multiLevelType w:val="hybridMultilevel"/>
    <w:tmpl w:val="AEFA1EBA"/>
    <w:lvl w:ilvl="0" w:tplc="C99CF52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3058BC"/>
    <w:multiLevelType w:val="hybridMultilevel"/>
    <w:tmpl w:val="EE164612"/>
    <w:lvl w:ilvl="0" w:tplc="FFFFFFFF">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0246356"/>
    <w:multiLevelType w:val="hybridMultilevel"/>
    <w:tmpl w:val="C832D3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522C6C"/>
    <w:multiLevelType w:val="hybridMultilevel"/>
    <w:tmpl w:val="7F046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73535"/>
    <w:multiLevelType w:val="hybridMultilevel"/>
    <w:tmpl w:val="61A67360"/>
    <w:lvl w:ilvl="0" w:tplc="84565F88">
      <w:start w:val="1"/>
      <w:numFmt w:val="upperLetter"/>
      <w:lvlText w:val="%1."/>
      <w:lvlJc w:val="left"/>
      <w:pPr>
        <w:ind w:left="1080" w:hanging="360"/>
      </w:pPr>
      <w:rPr>
        <w:rFonts w:eastAsiaTheme="minorHAnsi" w:cstheme="minorBid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45EC3815"/>
    <w:multiLevelType w:val="hybridMultilevel"/>
    <w:tmpl w:val="634860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40792F"/>
    <w:multiLevelType w:val="hybridMultilevel"/>
    <w:tmpl w:val="5F5CAB6E"/>
    <w:lvl w:ilvl="0" w:tplc="4086A9CA">
      <w:numFmt w:val="bullet"/>
      <w:lvlText w:val="-"/>
      <w:lvlJc w:val="left"/>
      <w:pPr>
        <w:ind w:left="720" w:hanging="360"/>
      </w:pPr>
      <w:rPr>
        <w:rFonts w:ascii="Cambria" w:eastAsia="Calibri"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9D40730"/>
    <w:multiLevelType w:val="hybridMultilevel"/>
    <w:tmpl w:val="80C2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957859"/>
    <w:multiLevelType w:val="hybridMultilevel"/>
    <w:tmpl w:val="2ED4D6D8"/>
    <w:lvl w:ilvl="0" w:tplc="52144A8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B4472"/>
    <w:multiLevelType w:val="hybridMultilevel"/>
    <w:tmpl w:val="F40C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BE51F1"/>
    <w:multiLevelType w:val="hybridMultilevel"/>
    <w:tmpl w:val="8F94CE6E"/>
    <w:lvl w:ilvl="0" w:tplc="DCA07888">
      <w:start w:val="1"/>
      <w:numFmt w:val="upperLetter"/>
      <w:lvlText w:val="%1."/>
      <w:lvlJc w:val="left"/>
      <w:pPr>
        <w:ind w:left="1080" w:hanging="360"/>
      </w:pPr>
      <w:rPr>
        <w:rFonts w:ascii="Cambria" w:hAnsi="Cambria"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51A607C2"/>
    <w:multiLevelType w:val="hybridMultilevel"/>
    <w:tmpl w:val="47D04940"/>
    <w:lvl w:ilvl="0" w:tplc="7C345A0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41B5598"/>
    <w:multiLevelType w:val="hybridMultilevel"/>
    <w:tmpl w:val="82961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712C71"/>
    <w:multiLevelType w:val="hybridMultilevel"/>
    <w:tmpl w:val="598268C2"/>
    <w:lvl w:ilvl="0" w:tplc="D95091A6">
      <w:start w:val="3"/>
      <w:numFmt w:val="decimal"/>
      <w:lvlText w:val="%1."/>
      <w:lvlJc w:val="left"/>
      <w:pPr>
        <w:ind w:left="720" w:hanging="360"/>
      </w:pPr>
      <w:rPr>
        <w:rFonts w:ascii="Cambria" w:hAnsi="Cambria" w:cs="Cambria" w:hint="default"/>
        <w:b w:val="0"/>
        <w:bCs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4712EBB"/>
    <w:multiLevelType w:val="hybridMultilevel"/>
    <w:tmpl w:val="F23ECB98"/>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559A457C"/>
    <w:multiLevelType w:val="hybridMultilevel"/>
    <w:tmpl w:val="2AD22794"/>
    <w:lvl w:ilvl="0" w:tplc="BC2696BC">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6AF402B"/>
    <w:multiLevelType w:val="hybridMultilevel"/>
    <w:tmpl w:val="C88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773E5A"/>
    <w:multiLevelType w:val="hybridMultilevel"/>
    <w:tmpl w:val="E9C83F88"/>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BB90373"/>
    <w:multiLevelType w:val="hybridMultilevel"/>
    <w:tmpl w:val="BF280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C8F254F"/>
    <w:multiLevelType w:val="hybridMultilevel"/>
    <w:tmpl w:val="7A5EE584"/>
    <w:lvl w:ilvl="0" w:tplc="FFFFFFFF">
      <w:start w:val="1"/>
      <w:numFmt w:val="upperRoman"/>
      <w:lvlText w:val="%1."/>
      <w:lvlJc w:val="left"/>
      <w:pPr>
        <w:ind w:left="1440" w:hanging="720"/>
      </w:pPr>
      <w:rPr>
        <w:b/>
      </w:r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B1CEB8EA">
      <w:start w:val="2"/>
      <w:numFmt w:val="decimal"/>
      <w:lvlText w:val="%4."/>
      <w:lvlJc w:val="left"/>
      <w:pPr>
        <w:ind w:left="2430" w:hanging="360"/>
      </w:pPr>
      <w:rPr>
        <w:rFonts w:hint="default"/>
      </w:r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45" w15:restartNumberingAfterBreak="0">
    <w:nsid w:val="5E2876C1"/>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DE6D06"/>
    <w:multiLevelType w:val="hybridMultilevel"/>
    <w:tmpl w:val="F5F4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6F1327"/>
    <w:multiLevelType w:val="hybridMultilevel"/>
    <w:tmpl w:val="58CCEF62"/>
    <w:lvl w:ilvl="0" w:tplc="3BB85CC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2D301AD"/>
    <w:multiLevelType w:val="hybridMultilevel"/>
    <w:tmpl w:val="16225D3E"/>
    <w:lvl w:ilvl="0" w:tplc="ADD442F4">
      <w:start w:val="2"/>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41424F1"/>
    <w:multiLevelType w:val="hybridMultilevel"/>
    <w:tmpl w:val="9884AD90"/>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4654F51"/>
    <w:multiLevelType w:val="hybridMultilevel"/>
    <w:tmpl w:val="736E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76EC8"/>
    <w:multiLevelType w:val="hybridMultilevel"/>
    <w:tmpl w:val="C832D3B2"/>
    <w:lvl w:ilvl="0" w:tplc="83B05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284106"/>
    <w:multiLevelType w:val="hybridMultilevel"/>
    <w:tmpl w:val="A08CC97E"/>
    <w:lvl w:ilvl="0" w:tplc="B0BC88B4">
      <w:start w:val="6"/>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21A3E"/>
    <w:multiLevelType w:val="hybridMultilevel"/>
    <w:tmpl w:val="0A6AE3E8"/>
    <w:lvl w:ilvl="0" w:tplc="F1726806">
      <w:start w:val="2"/>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0773AA"/>
    <w:multiLevelType w:val="hybridMultilevel"/>
    <w:tmpl w:val="2AD22794"/>
    <w:lvl w:ilvl="0" w:tplc="BC2696BC">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8E2692"/>
    <w:multiLevelType w:val="hybridMultilevel"/>
    <w:tmpl w:val="4D7CE0A8"/>
    <w:lvl w:ilvl="0" w:tplc="4686E8BE">
      <w:start w:val="1"/>
      <w:numFmt w:val="upperRoman"/>
      <w:lvlText w:val="%1."/>
      <w:lvlJc w:val="left"/>
      <w:pPr>
        <w:ind w:left="1800" w:hanging="72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71F50A04"/>
    <w:multiLevelType w:val="hybridMultilevel"/>
    <w:tmpl w:val="6C1E1AC4"/>
    <w:lvl w:ilvl="0" w:tplc="080A000F">
      <w:start w:val="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DC41D44"/>
    <w:multiLevelType w:val="hybridMultilevel"/>
    <w:tmpl w:val="826289F6"/>
    <w:lvl w:ilvl="0" w:tplc="83E6A65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D34362"/>
    <w:multiLevelType w:val="hybridMultilevel"/>
    <w:tmpl w:val="E3DAE8C0"/>
    <w:lvl w:ilvl="0" w:tplc="A88C81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6721">
    <w:abstractNumId w:val="53"/>
  </w:num>
  <w:num w:numId="2" w16cid:durableId="386493659">
    <w:abstractNumId w:val="41"/>
  </w:num>
  <w:num w:numId="3" w16cid:durableId="1073046593">
    <w:abstractNumId w:val="32"/>
  </w:num>
  <w:num w:numId="4" w16cid:durableId="665286190">
    <w:abstractNumId w:val="40"/>
  </w:num>
  <w:num w:numId="5" w16cid:durableId="890190884">
    <w:abstractNumId w:val="31"/>
  </w:num>
  <w:num w:numId="6" w16cid:durableId="1269696070">
    <w:abstractNumId w:val="28"/>
  </w:num>
  <w:num w:numId="7" w16cid:durableId="369956807">
    <w:abstractNumId w:val="50"/>
  </w:num>
  <w:num w:numId="8" w16cid:durableId="1461067811">
    <w:abstractNumId w:val="46"/>
  </w:num>
  <w:num w:numId="9" w16cid:durableId="1469392667">
    <w:abstractNumId w:val="54"/>
  </w:num>
  <w:num w:numId="10" w16cid:durableId="126054260">
    <w:abstractNumId w:val="4"/>
  </w:num>
  <w:num w:numId="11" w16cid:durableId="1493372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625847">
    <w:abstractNumId w:val="11"/>
  </w:num>
  <w:num w:numId="13" w16cid:durableId="888763914">
    <w:abstractNumId w:val="24"/>
  </w:num>
  <w:num w:numId="14" w16cid:durableId="1191532033">
    <w:abstractNumId w:val="0"/>
  </w:num>
  <w:num w:numId="15" w16cid:durableId="2065325609">
    <w:abstractNumId w:val="12"/>
  </w:num>
  <w:num w:numId="16" w16cid:durableId="203366524">
    <w:abstractNumId w:val="49"/>
  </w:num>
  <w:num w:numId="17" w16cid:durableId="1994485589">
    <w:abstractNumId w:val="48"/>
  </w:num>
  <w:num w:numId="18" w16cid:durableId="593170908">
    <w:abstractNumId w:val="20"/>
  </w:num>
  <w:num w:numId="19" w16cid:durableId="1387949599">
    <w:abstractNumId w:val="39"/>
  </w:num>
  <w:num w:numId="20" w16cid:durableId="2114475546">
    <w:abstractNumId w:val="37"/>
  </w:num>
  <w:num w:numId="21" w16cid:durableId="1129208414">
    <w:abstractNumId w:val="10"/>
  </w:num>
  <w:num w:numId="22" w16cid:durableId="54397452">
    <w:abstractNumId w:val="18"/>
  </w:num>
  <w:num w:numId="23" w16cid:durableId="2113012360">
    <w:abstractNumId w:val="38"/>
  </w:num>
  <w:num w:numId="24" w16cid:durableId="1256785358">
    <w:abstractNumId w:val="22"/>
  </w:num>
  <w:num w:numId="25" w16cid:durableId="621379413">
    <w:abstractNumId w:val="47"/>
  </w:num>
  <w:num w:numId="26" w16cid:durableId="977150517">
    <w:abstractNumId w:val="30"/>
  </w:num>
  <w:num w:numId="27" w16cid:durableId="328752619">
    <w:abstractNumId w:val="33"/>
  </w:num>
  <w:num w:numId="28" w16cid:durableId="189227929">
    <w:abstractNumId w:val="56"/>
  </w:num>
  <w:num w:numId="29" w16cid:durableId="1831368133">
    <w:abstractNumId w:val="55"/>
  </w:num>
  <w:num w:numId="30" w16cid:durableId="1716999929">
    <w:abstractNumId w:val="27"/>
  </w:num>
  <w:num w:numId="31" w16cid:durableId="1063480400">
    <w:abstractNumId w:val="19"/>
  </w:num>
  <w:num w:numId="32" w16cid:durableId="1943146568">
    <w:abstractNumId w:val="6"/>
  </w:num>
  <w:num w:numId="33" w16cid:durableId="1476990475">
    <w:abstractNumId w:val="14"/>
  </w:num>
  <w:num w:numId="34" w16cid:durableId="1228420666">
    <w:abstractNumId w:val="51"/>
  </w:num>
  <w:num w:numId="35" w16cid:durableId="7492617">
    <w:abstractNumId w:val="57"/>
  </w:num>
  <w:num w:numId="36" w16cid:durableId="308216504">
    <w:abstractNumId w:val="42"/>
  </w:num>
  <w:num w:numId="37" w16cid:durableId="1528759844">
    <w:abstractNumId w:val="1"/>
  </w:num>
  <w:num w:numId="38" w16cid:durableId="1001276887">
    <w:abstractNumId w:val="2"/>
  </w:num>
  <w:num w:numId="39" w16cid:durableId="2040281333">
    <w:abstractNumId w:val="52"/>
  </w:num>
  <w:num w:numId="40" w16cid:durableId="1169834467">
    <w:abstractNumId w:val="34"/>
  </w:num>
  <w:num w:numId="41" w16cid:durableId="1534853125">
    <w:abstractNumId w:val="45"/>
  </w:num>
  <w:num w:numId="42" w16cid:durableId="1927375965">
    <w:abstractNumId w:val="9"/>
  </w:num>
  <w:num w:numId="43" w16cid:durableId="1931157220">
    <w:abstractNumId w:val="36"/>
  </w:num>
  <w:num w:numId="44" w16cid:durableId="2107725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7730927">
    <w:abstractNumId w:val="29"/>
  </w:num>
  <w:num w:numId="46" w16cid:durableId="1750420369">
    <w:abstractNumId w:val="7"/>
  </w:num>
  <w:num w:numId="47" w16cid:durableId="1007442756">
    <w:abstractNumId w:val="44"/>
  </w:num>
  <w:num w:numId="48" w16cid:durableId="2028753163">
    <w:abstractNumId w:val="21"/>
  </w:num>
  <w:num w:numId="49" w16cid:durableId="20121007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0961885">
    <w:abstractNumId w:val="5"/>
  </w:num>
  <w:num w:numId="51" w16cid:durableId="1970820388">
    <w:abstractNumId w:val="58"/>
  </w:num>
  <w:num w:numId="52" w16cid:durableId="288047770">
    <w:abstractNumId w:val="23"/>
  </w:num>
  <w:num w:numId="53" w16cid:durableId="1149713471">
    <w:abstractNumId w:val="25"/>
  </w:num>
  <w:num w:numId="54" w16cid:durableId="975330207">
    <w:abstractNumId w:val="17"/>
  </w:num>
  <w:num w:numId="55" w16cid:durableId="1251038565">
    <w:abstractNumId w:val="15"/>
  </w:num>
  <w:num w:numId="56" w16cid:durableId="1472165521">
    <w:abstractNumId w:val="16"/>
  </w:num>
  <w:num w:numId="57" w16cid:durableId="1542013022">
    <w:abstractNumId w:val="26"/>
  </w:num>
  <w:num w:numId="58" w16cid:durableId="691104186">
    <w:abstractNumId w:val="43"/>
  </w:num>
  <w:num w:numId="59" w16cid:durableId="359859406">
    <w:abstractNumId w:val="13"/>
  </w:num>
  <w:num w:numId="60" w16cid:durableId="36151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47B56"/>
    <w:rsid w:val="0006625E"/>
    <w:rsid w:val="00076A15"/>
    <w:rsid w:val="00086009"/>
    <w:rsid w:val="00092EFD"/>
    <w:rsid w:val="00096079"/>
    <w:rsid w:val="000E14E3"/>
    <w:rsid w:val="0012586C"/>
    <w:rsid w:val="00142634"/>
    <w:rsid w:val="0014555C"/>
    <w:rsid w:val="00150E20"/>
    <w:rsid w:val="00193906"/>
    <w:rsid w:val="0021669C"/>
    <w:rsid w:val="00226F48"/>
    <w:rsid w:val="002319CE"/>
    <w:rsid w:val="00236A78"/>
    <w:rsid w:val="00237E17"/>
    <w:rsid w:val="00240E8E"/>
    <w:rsid w:val="00252981"/>
    <w:rsid w:val="002650A2"/>
    <w:rsid w:val="00283964"/>
    <w:rsid w:val="002859A9"/>
    <w:rsid w:val="00292B52"/>
    <w:rsid w:val="00294B17"/>
    <w:rsid w:val="002A39B2"/>
    <w:rsid w:val="002F2DC7"/>
    <w:rsid w:val="00343CED"/>
    <w:rsid w:val="00393310"/>
    <w:rsid w:val="003C4836"/>
    <w:rsid w:val="003D2D55"/>
    <w:rsid w:val="003F2DDA"/>
    <w:rsid w:val="00400A82"/>
    <w:rsid w:val="00413FCD"/>
    <w:rsid w:val="004140B8"/>
    <w:rsid w:val="00457711"/>
    <w:rsid w:val="0047146A"/>
    <w:rsid w:val="004722BC"/>
    <w:rsid w:val="00486911"/>
    <w:rsid w:val="004B3074"/>
    <w:rsid w:val="004B5A99"/>
    <w:rsid w:val="004C1718"/>
    <w:rsid w:val="00506CFE"/>
    <w:rsid w:val="00513A38"/>
    <w:rsid w:val="00534F2B"/>
    <w:rsid w:val="005566F5"/>
    <w:rsid w:val="00565F59"/>
    <w:rsid w:val="00593183"/>
    <w:rsid w:val="005A328E"/>
    <w:rsid w:val="005A5E14"/>
    <w:rsid w:val="005B3C19"/>
    <w:rsid w:val="005B6392"/>
    <w:rsid w:val="005C3542"/>
    <w:rsid w:val="005F4AAA"/>
    <w:rsid w:val="0060012C"/>
    <w:rsid w:val="00604132"/>
    <w:rsid w:val="00607CC7"/>
    <w:rsid w:val="00616891"/>
    <w:rsid w:val="00631A43"/>
    <w:rsid w:val="0063220A"/>
    <w:rsid w:val="00641D03"/>
    <w:rsid w:val="00675EC0"/>
    <w:rsid w:val="00687213"/>
    <w:rsid w:val="006A25F7"/>
    <w:rsid w:val="006B6131"/>
    <w:rsid w:val="006E2BD8"/>
    <w:rsid w:val="006F0429"/>
    <w:rsid w:val="00720B84"/>
    <w:rsid w:val="00754FFD"/>
    <w:rsid w:val="00774F86"/>
    <w:rsid w:val="007A485F"/>
    <w:rsid w:val="007B0327"/>
    <w:rsid w:val="007B5729"/>
    <w:rsid w:val="007C2CC3"/>
    <w:rsid w:val="007C351D"/>
    <w:rsid w:val="007C3E98"/>
    <w:rsid w:val="007E361B"/>
    <w:rsid w:val="007F5F4E"/>
    <w:rsid w:val="0080119C"/>
    <w:rsid w:val="00802EFE"/>
    <w:rsid w:val="00807BAA"/>
    <w:rsid w:val="008550EF"/>
    <w:rsid w:val="008A7933"/>
    <w:rsid w:val="008E42E1"/>
    <w:rsid w:val="008F2248"/>
    <w:rsid w:val="00901B37"/>
    <w:rsid w:val="00913220"/>
    <w:rsid w:val="00920591"/>
    <w:rsid w:val="00967413"/>
    <w:rsid w:val="009949ED"/>
    <w:rsid w:val="009A73C0"/>
    <w:rsid w:val="009B219C"/>
    <w:rsid w:val="009C227B"/>
    <w:rsid w:val="009C4D87"/>
    <w:rsid w:val="009C55E2"/>
    <w:rsid w:val="009E73F0"/>
    <w:rsid w:val="00A12360"/>
    <w:rsid w:val="00A2502C"/>
    <w:rsid w:val="00A25CA7"/>
    <w:rsid w:val="00A31FA7"/>
    <w:rsid w:val="00A343FF"/>
    <w:rsid w:val="00A54C6A"/>
    <w:rsid w:val="00A61B5E"/>
    <w:rsid w:val="00A7781B"/>
    <w:rsid w:val="00A94641"/>
    <w:rsid w:val="00AC40B7"/>
    <w:rsid w:val="00AE1B0F"/>
    <w:rsid w:val="00B056D9"/>
    <w:rsid w:val="00B1720D"/>
    <w:rsid w:val="00B205A7"/>
    <w:rsid w:val="00B5431F"/>
    <w:rsid w:val="00B806AC"/>
    <w:rsid w:val="00B93993"/>
    <w:rsid w:val="00BA2B9F"/>
    <w:rsid w:val="00BA7724"/>
    <w:rsid w:val="00BB46E5"/>
    <w:rsid w:val="00BD5E6F"/>
    <w:rsid w:val="00C17F04"/>
    <w:rsid w:val="00C3427A"/>
    <w:rsid w:val="00C402CB"/>
    <w:rsid w:val="00C44D28"/>
    <w:rsid w:val="00C57947"/>
    <w:rsid w:val="00C64AAF"/>
    <w:rsid w:val="00C71434"/>
    <w:rsid w:val="00CB6344"/>
    <w:rsid w:val="00CC6DB2"/>
    <w:rsid w:val="00CD545A"/>
    <w:rsid w:val="00CE4E6F"/>
    <w:rsid w:val="00CF54E1"/>
    <w:rsid w:val="00CF6568"/>
    <w:rsid w:val="00D04431"/>
    <w:rsid w:val="00D05BCC"/>
    <w:rsid w:val="00D2459E"/>
    <w:rsid w:val="00D90D22"/>
    <w:rsid w:val="00DC5A37"/>
    <w:rsid w:val="00DC7C8F"/>
    <w:rsid w:val="00DD05C3"/>
    <w:rsid w:val="00DD1591"/>
    <w:rsid w:val="00DD6D51"/>
    <w:rsid w:val="00DE14B5"/>
    <w:rsid w:val="00DF0FE5"/>
    <w:rsid w:val="00E27850"/>
    <w:rsid w:val="00E3040C"/>
    <w:rsid w:val="00E44647"/>
    <w:rsid w:val="00E6614F"/>
    <w:rsid w:val="00E93B77"/>
    <w:rsid w:val="00EA09D8"/>
    <w:rsid w:val="00EB0395"/>
    <w:rsid w:val="00EB2DCD"/>
    <w:rsid w:val="00F035F2"/>
    <w:rsid w:val="00F306C1"/>
    <w:rsid w:val="00F36C7F"/>
    <w:rsid w:val="00F53391"/>
    <w:rsid w:val="00F53B51"/>
    <w:rsid w:val="00F54F60"/>
    <w:rsid w:val="00F66FEE"/>
    <w:rsid w:val="00F74974"/>
    <w:rsid w:val="00FC66C2"/>
    <w:rsid w:val="00FD3451"/>
    <w:rsid w:val="00FD6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9D1"/>
  <w15:chartTrackingRefBased/>
  <w15:docId w15:val="{B4EA294D-61C5-2E46-8C7B-6F882B6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D1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591"/>
    <w:rPr>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DD1591"/>
    <w:rPr>
      <w:vertAlign w:val="superscript"/>
    </w:rPr>
  </w:style>
  <w:style w:type="paragraph" w:customStyle="1" w:styleId="Appelnotedebasde">
    <w:name w:val="Appel note de bas de..."/>
    <w:basedOn w:val="Normal"/>
    <w:link w:val="FootnoteReference"/>
    <w:rsid w:val="00DD1591"/>
    <w:pPr>
      <w:spacing w:after="160" w:line="240" w:lineRule="exact"/>
    </w:pPr>
    <w:rPr>
      <w:sz w:val="20"/>
      <w:szCs w:val="20"/>
      <w:vertAlign w:val="superscript"/>
      <w:lang w:val="es-MX" w:eastAsia="es-MX"/>
    </w:rPr>
  </w:style>
  <w:style w:type="paragraph" w:styleId="ListParagraph">
    <w:name w:val="List Paragraph"/>
    <w:basedOn w:val="Normal"/>
    <w:uiPriority w:val="34"/>
    <w:qFormat/>
    <w:rsid w:val="00DD1591"/>
    <w:pPr>
      <w:ind w:left="720"/>
      <w:contextualSpacing/>
    </w:pPr>
  </w:style>
  <w:style w:type="character" w:styleId="Hyperlink">
    <w:name w:val="Hyperlink"/>
    <w:basedOn w:val="DefaultParagraphFont"/>
    <w:uiPriority w:val="99"/>
    <w:unhideWhenUsed/>
    <w:rsid w:val="00920591"/>
    <w:rPr>
      <w:color w:val="467886" w:themeColor="hyperlink"/>
      <w:u w:val="single"/>
    </w:rPr>
  </w:style>
  <w:style w:type="character" w:styleId="UnresolvedMention">
    <w:name w:val="Unresolved Mention"/>
    <w:basedOn w:val="DefaultParagraphFont"/>
    <w:uiPriority w:val="99"/>
    <w:semiHidden/>
    <w:unhideWhenUsed/>
    <w:rsid w:val="00920591"/>
    <w:rPr>
      <w:color w:val="605E5C"/>
      <w:shd w:val="clear" w:color="auto" w:fill="E1DFDD"/>
    </w:rPr>
  </w:style>
  <w:style w:type="character" w:styleId="CommentReference">
    <w:name w:val="annotation reference"/>
    <w:basedOn w:val="DefaultParagraphFont"/>
    <w:uiPriority w:val="99"/>
    <w:semiHidden/>
    <w:unhideWhenUsed/>
    <w:rsid w:val="00FD3451"/>
    <w:rPr>
      <w:sz w:val="16"/>
      <w:szCs w:val="16"/>
    </w:rPr>
  </w:style>
  <w:style w:type="paragraph" w:styleId="CommentText">
    <w:name w:val="annotation text"/>
    <w:basedOn w:val="Normal"/>
    <w:link w:val="CommentTextChar"/>
    <w:uiPriority w:val="99"/>
    <w:semiHidden/>
    <w:unhideWhenUsed/>
    <w:rsid w:val="00FD3451"/>
    <w:pPr>
      <w:spacing w:line="240" w:lineRule="auto"/>
    </w:pPr>
    <w:rPr>
      <w:sz w:val="20"/>
      <w:szCs w:val="20"/>
    </w:rPr>
  </w:style>
  <w:style w:type="character" w:customStyle="1" w:styleId="CommentTextChar">
    <w:name w:val="Comment Text Char"/>
    <w:basedOn w:val="DefaultParagraphFont"/>
    <w:link w:val="CommentText"/>
    <w:uiPriority w:val="99"/>
    <w:semiHidden/>
    <w:rsid w:val="00FD3451"/>
    <w:rPr>
      <w:lang w:val="en-US" w:eastAsia="en-US"/>
    </w:rPr>
  </w:style>
  <w:style w:type="paragraph" w:styleId="CommentSubject">
    <w:name w:val="annotation subject"/>
    <w:basedOn w:val="CommentText"/>
    <w:next w:val="CommentText"/>
    <w:link w:val="CommentSubjectChar"/>
    <w:uiPriority w:val="99"/>
    <w:semiHidden/>
    <w:unhideWhenUsed/>
    <w:rsid w:val="00FD3451"/>
    <w:rPr>
      <w:b/>
      <w:bCs/>
    </w:rPr>
  </w:style>
  <w:style w:type="character" w:customStyle="1" w:styleId="CommentSubjectChar">
    <w:name w:val="Comment Subject Char"/>
    <w:basedOn w:val="CommentTextChar"/>
    <w:link w:val="CommentSubject"/>
    <w:uiPriority w:val="99"/>
    <w:semiHidden/>
    <w:rsid w:val="00FD3451"/>
    <w:rPr>
      <w:b/>
      <w:bCs/>
      <w:lang w:val="en-US" w:eastAsia="en-US"/>
    </w:rPr>
  </w:style>
  <w:style w:type="character" w:customStyle="1" w:styleId="normaltextrun">
    <w:name w:val="normaltextrun"/>
    <w:basedOn w:val="DefaultParagraphFont"/>
    <w:rsid w:val="00142634"/>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DefaultParagraphFont"/>
    <w:link w:val="Ca1"/>
    <w:uiPriority w:val="99"/>
    <w:qFormat/>
    <w:rsid w:val="00142634"/>
  </w:style>
  <w:style w:type="paragraph" w:customStyle="1" w:styleId="Ca1">
    <w:name w:val="Ca1"/>
    <w:basedOn w:val="Normal"/>
    <w:next w:val="FootnoteText"/>
    <w:link w:val="TextonotapieCar1"/>
    <w:uiPriority w:val="99"/>
    <w:unhideWhenUsed/>
    <w:rsid w:val="00142634"/>
    <w:pPr>
      <w:suppressAutoHyphens/>
      <w:spacing w:after="0" w:line="240" w:lineRule="auto"/>
      <w:ind w:firstLine="720"/>
      <w:jc w:val="both"/>
    </w:pPr>
    <w:rPr>
      <w:sz w:val="20"/>
      <w:szCs w:val="20"/>
      <w:lang w:val="es-MX" w:eastAsia="es-MX"/>
    </w:rPr>
  </w:style>
  <w:style w:type="character" w:customStyle="1" w:styleId="Hipervnculo1">
    <w:name w:val="Hipervínculo1"/>
    <w:basedOn w:val="DefaultParagraphFont"/>
    <w:uiPriority w:val="99"/>
    <w:unhideWhenUsed/>
    <w:rsid w:val="001426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22/COSA13.436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2/COSA13.436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4/chapters/IA2024_2_EN.PDF" TargetMode="External"/><Relationship Id="rId2" Type="http://schemas.openxmlformats.org/officeDocument/2006/relationships/hyperlink" Target="https://www.oas.org/en/iachr/docs/annual/2022/Chapters/4-IA2022_Cap_2_EN.pdf" TargetMode="External"/><Relationship Id="rId1" Type="http://schemas.openxmlformats.org/officeDocument/2006/relationships/hyperlink" Target="https://www.oas.org/en/iachr/decisions/2022/COSA13.436EN.pdf" TargetMode="External"/><Relationship Id="rId5" Type="http://schemas.openxmlformats.org/officeDocument/2006/relationships/hyperlink" Target="https://www.oas.org/en/iachr/docs/annual/2024/chapters/IA2024_2_EN.PDF" TargetMode="External"/><Relationship Id="rId4" Type="http://schemas.openxmlformats.org/officeDocument/2006/relationships/hyperlink" Target="https://www.oas.org/en/iachr/docs/annual/2024/chapters/IA2024_2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00D9A7D-3F87-214A-B521-385E0A630F07}">
  <ds:schemaRefs>
    <ds:schemaRef ds:uri="http://schemas.openxmlformats.org/officeDocument/2006/bibliography"/>
  </ds:schemaRefs>
</ds:datastoreItem>
</file>

<file path=customXml/itemProps2.xml><?xml version="1.0" encoding="utf-8"?>
<ds:datastoreItem xmlns:ds="http://schemas.openxmlformats.org/officeDocument/2006/customXml" ds:itemID="{10128991-A285-4910-868F-817FD9F0E29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33FE57C6-B52D-41CD-9B10-F38BA5F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5.xml><?xml version="1.0" encoding="utf-8"?>
<ds:datastoreItem xmlns:ds="http://schemas.openxmlformats.org/officeDocument/2006/customXml" ds:itemID="{2C534A0D-18CE-4362-9E26-A3C7BFDE77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4</Pages>
  <Words>1271</Words>
  <Characters>7251</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3</cp:revision>
  <cp:lastPrinted>2025-08-26T18:25:00Z</cp:lastPrinted>
  <dcterms:created xsi:type="dcterms:W3CDTF">2025-07-28T17:41:00Z</dcterms:created>
  <dcterms:modified xsi:type="dcterms:W3CDTF">2025-08-26T18:25:00Z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73400.0000000000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