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B27BB" w14:textId="77777777" w:rsidR="00DD1591" w:rsidRPr="00675EC0" w:rsidRDefault="00DD1591" w:rsidP="00675EC0">
      <w:pPr>
        <w:suppressAutoHyphens/>
        <w:spacing w:after="0" w:line="240" w:lineRule="auto"/>
        <w:ind w:right="4"/>
        <w:rPr>
          <w:rFonts w:ascii="Cambria" w:eastAsia="Batang" w:hAnsi="Cambria"/>
          <w:b/>
          <w:bCs/>
          <w:color w:val="000000"/>
          <w:sz w:val="24"/>
        </w:rPr>
      </w:pPr>
    </w:p>
    <w:p w14:paraId="63C6CC88" w14:textId="6343F2F5" w:rsidR="00457711" w:rsidRPr="00675EC0" w:rsidRDefault="00457711" w:rsidP="00675EC0">
      <w:pPr>
        <w:suppressAutoHyphens/>
        <w:spacing w:after="0" w:line="240" w:lineRule="auto"/>
        <w:ind w:right="4"/>
        <w:jc w:val="center"/>
        <w:rPr>
          <w:rFonts w:ascii="Cambria" w:eastAsia="Batang" w:hAnsi="Cambria"/>
          <w:b/>
          <w:bCs/>
          <w:color w:val="000000"/>
          <w:sz w:val="24"/>
        </w:rPr>
      </w:pPr>
      <w:r w:rsidRPr="00675EC0">
        <w:rPr>
          <w:rFonts w:ascii="Cambria" w:eastAsia="Batang" w:hAnsi="Cambria"/>
          <w:b/>
          <w:bCs/>
          <w:color w:val="000000"/>
          <w:sz w:val="24"/>
        </w:rPr>
        <w:t>TECHNICAL INFORMATION SHEET</w:t>
      </w:r>
    </w:p>
    <w:p w14:paraId="33E3C009" w14:textId="42A9063F" w:rsidR="00457711" w:rsidRPr="00675EC0" w:rsidRDefault="00457711" w:rsidP="00675EC0">
      <w:pPr>
        <w:suppressAutoHyphens/>
        <w:spacing w:after="0" w:line="240" w:lineRule="auto"/>
        <w:ind w:right="4"/>
        <w:jc w:val="center"/>
        <w:rPr>
          <w:rFonts w:ascii="Cambria" w:hAnsi="Cambria"/>
          <w:b/>
          <w:color w:val="000000"/>
          <w:sz w:val="24"/>
        </w:rPr>
      </w:pPr>
      <w:r w:rsidRPr="00675EC0">
        <w:rPr>
          <w:rFonts w:ascii="Cambria" w:hAnsi="Cambria"/>
          <w:b/>
          <w:color w:val="000000"/>
          <w:sz w:val="24"/>
        </w:rPr>
        <w:t xml:space="preserve">CASE </w:t>
      </w:r>
      <w:r w:rsidR="00675EC0" w:rsidRPr="00675EC0">
        <w:rPr>
          <w:rFonts w:ascii="Cambria" w:hAnsi="Cambria"/>
          <w:b/>
          <w:color w:val="000000"/>
          <w:sz w:val="24"/>
        </w:rPr>
        <w:t>13.758 FRANKLIN BUSTAMANTE RESTREPO AND FAMILY</w:t>
      </w:r>
    </w:p>
    <w:p w14:paraId="486FDFC3" w14:textId="2D7E4C79" w:rsidR="00DD1591" w:rsidRPr="00675EC0" w:rsidRDefault="00DD1591" w:rsidP="00675EC0">
      <w:pPr>
        <w:suppressAutoHyphens/>
        <w:spacing w:after="0" w:line="240" w:lineRule="auto"/>
        <w:ind w:right="4"/>
        <w:jc w:val="center"/>
        <w:rPr>
          <w:rFonts w:ascii="Cambria" w:eastAsia="Batang" w:hAnsi="Cambria"/>
          <w:b/>
          <w:bCs/>
          <w:color w:val="000000"/>
          <w:sz w:val="24"/>
        </w:rPr>
      </w:pPr>
      <w:r w:rsidRPr="00675EC0">
        <w:rPr>
          <w:rFonts w:ascii="Cambria" w:eastAsia="Batang" w:hAnsi="Cambria"/>
          <w:b/>
          <w:bCs/>
          <w:color w:val="000000"/>
          <w:sz w:val="24"/>
        </w:rPr>
        <w:t xml:space="preserve">FRIENDLY SETTLEMENT </w:t>
      </w:r>
      <w:r w:rsidR="002F2DC7" w:rsidRPr="00675EC0">
        <w:rPr>
          <w:rFonts w:ascii="Cambria" w:eastAsia="Batang" w:hAnsi="Cambria"/>
          <w:b/>
          <w:bCs/>
          <w:color w:val="000000"/>
          <w:sz w:val="24"/>
        </w:rPr>
        <w:t>REPORT</w:t>
      </w:r>
      <w:r w:rsidR="00641D03" w:rsidRPr="00675EC0">
        <w:rPr>
          <w:rFonts w:ascii="Cambria" w:eastAsia="Batang" w:hAnsi="Cambria"/>
          <w:b/>
          <w:bCs/>
          <w:color w:val="000000"/>
          <w:sz w:val="24"/>
        </w:rPr>
        <w:t xml:space="preserve"> </w:t>
      </w:r>
      <w:hyperlink r:id="rId12" w:history="1">
        <w:r w:rsidR="00641D03" w:rsidRPr="009C55E2">
          <w:rPr>
            <w:rStyle w:val="Hyperlink"/>
            <w:rFonts w:ascii="Cambria" w:eastAsia="Batang" w:hAnsi="Cambria"/>
            <w:b/>
            <w:bCs/>
            <w:sz w:val="24"/>
          </w:rPr>
          <w:t xml:space="preserve">No. </w:t>
        </w:r>
        <w:r w:rsidR="009C55E2" w:rsidRPr="009C55E2">
          <w:rPr>
            <w:rStyle w:val="Hyperlink"/>
            <w:rFonts w:ascii="Cambria" w:eastAsia="Batang" w:hAnsi="Cambria"/>
            <w:b/>
            <w:bCs/>
            <w:sz w:val="24"/>
          </w:rPr>
          <w:t>337/21</w:t>
        </w:r>
      </w:hyperlink>
    </w:p>
    <w:p w14:paraId="2B66417A" w14:textId="5D0EDE53" w:rsidR="00457711" w:rsidRPr="00407650" w:rsidRDefault="002F2DC7" w:rsidP="00675EC0">
      <w:pPr>
        <w:suppressAutoHyphens/>
        <w:spacing w:after="0" w:line="240" w:lineRule="auto"/>
        <w:ind w:right="4"/>
        <w:jc w:val="center"/>
        <w:rPr>
          <w:rFonts w:ascii="Cambria" w:eastAsia="Batang" w:hAnsi="Cambria"/>
          <w:b/>
          <w:color w:val="000000"/>
          <w:sz w:val="24"/>
        </w:rPr>
      </w:pPr>
      <w:r w:rsidRPr="00675EC0">
        <w:rPr>
          <w:rFonts w:ascii="Cambria" w:eastAsia="Batang" w:hAnsi="Cambria"/>
          <w:b/>
          <w:bCs/>
          <w:color w:val="000000"/>
          <w:sz w:val="24"/>
        </w:rPr>
        <w:t>TOTAL COMPLIANCE</w:t>
      </w:r>
    </w:p>
    <w:p w14:paraId="0CDE4D15" w14:textId="065BB91C" w:rsidR="00DD1591" w:rsidRPr="00675EC0" w:rsidRDefault="00DD1591" w:rsidP="00675EC0">
      <w:pPr>
        <w:suppressAutoHyphens/>
        <w:spacing w:after="0" w:line="240" w:lineRule="auto"/>
        <w:ind w:right="4"/>
        <w:jc w:val="center"/>
        <w:rPr>
          <w:rFonts w:ascii="Cambria" w:eastAsia="Batang" w:hAnsi="Cambria"/>
          <w:b/>
          <w:color w:val="000000"/>
          <w:sz w:val="24"/>
        </w:rPr>
      </w:pPr>
      <w:r w:rsidRPr="00675EC0">
        <w:rPr>
          <w:rFonts w:ascii="Cambria" w:eastAsia="Batang" w:hAnsi="Cambria"/>
          <w:b/>
          <w:bCs/>
          <w:color w:val="000000"/>
          <w:sz w:val="24"/>
        </w:rPr>
        <w:t>(</w:t>
      </w:r>
      <w:r w:rsidR="00F035F2" w:rsidRPr="00675EC0">
        <w:rPr>
          <w:rFonts w:ascii="Cambria" w:eastAsia="Batang" w:hAnsi="Cambria"/>
          <w:b/>
          <w:bCs/>
          <w:color w:val="000000"/>
          <w:sz w:val="24"/>
        </w:rPr>
        <w:t>COLOMBIA</w:t>
      </w:r>
      <w:r w:rsidRPr="00675EC0">
        <w:rPr>
          <w:rFonts w:ascii="Cambria" w:eastAsia="Batang" w:hAnsi="Cambria"/>
          <w:b/>
          <w:bCs/>
          <w:color w:val="000000"/>
          <w:sz w:val="24"/>
        </w:rPr>
        <w:t>)</w:t>
      </w:r>
    </w:p>
    <w:p w14:paraId="24135752" w14:textId="77777777" w:rsidR="00675EC0" w:rsidRPr="00675EC0" w:rsidRDefault="00675EC0" w:rsidP="00675EC0">
      <w:pPr>
        <w:suppressAutoHyphens/>
        <w:spacing w:after="0" w:line="240" w:lineRule="auto"/>
        <w:ind w:right="-270" w:firstLine="709"/>
        <w:jc w:val="center"/>
        <w:rPr>
          <w:rFonts w:ascii="Cambria" w:eastAsia="Batang" w:hAnsi="Cambria"/>
          <w:b/>
          <w:color w:val="000000"/>
          <w:sz w:val="20"/>
          <w:szCs w:val="20"/>
        </w:rPr>
      </w:pPr>
    </w:p>
    <w:p w14:paraId="1509A90D" w14:textId="77777777" w:rsidR="00675EC0" w:rsidRPr="00675EC0" w:rsidRDefault="00675EC0" w:rsidP="00675EC0">
      <w:pPr>
        <w:numPr>
          <w:ilvl w:val="0"/>
          <w:numId w:val="47"/>
        </w:numPr>
        <w:suppressAutoHyphens/>
        <w:spacing w:after="0" w:line="240" w:lineRule="auto"/>
        <w:ind w:left="0" w:firstLine="709"/>
        <w:rPr>
          <w:rFonts w:ascii="Cambria" w:hAnsi="Cambria" w:cs="Calibri Light"/>
          <w:b/>
          <w:color w:val="000000"/>
          <w:sz w:val="20"/>
          <w:szCs w:val="20"/>
        </w:rPr>
      </w:pPr>
      <w:r w:rsidRPr="00675EC0">
        <w:rPr>
          <w:rFonts w:ascii="Cambria" w:hAnsi="Cambria"/>
          <w:b/>
          <w:color w:val="000000"/>
          <w:sz w:val="20"/>
          <w:szCs w:val="20"/>
        </w:rPr>
        <w:t xml:space="preserve">SUMMARY OF THE CASE </w:t>
      </w:r>
    </w:p>
    <w:p w14:paraId="2EA71D68" w14:textId="77777777" w:rsidR="00675EC0" w:rsidRPr="00675EC0" w:rsidRDefault="00675EC0" w:rsidP="00675EC0">
      <w:pPr>
        <w:suppressAutoHyphens/>
        <w:spacing w:after="0" w:line="240" w:lineRule="auto"/>
        <w:rPr>
          <w:rFonts w:ascii="Cambria" w:eastAsia="Batang" w:hAnsi="Cambria" w:cs="Calibri Light"/>
          <w:b/>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0"/>
      </w:tblGrid>
      <w:tr w:rsidR="00675EC0" w:rsidRPr="00675EC0" w14:paraId="583EBE88" w14:textId="77777777" w:rsidTr="009A74AF">
        <w:trPr>
          <w:trHeight w:val="5669"/>
          <w:jc w:val="center"/>
        </w:trPr>
        <w:tc>
          <w:tcPr>
            <w:tcW w:w="9576" w:type="dxa"/>
            <w:shd w:val="clear" w:color="auto" w:fill="F2F2F2"/>
          </w:tcPr>
          <w:p w14:paraId="5C1FF5C6" w14:textId="62F89DE0" w:rsidR="00675EC0" w:rsidRPr="00675EC0" w:rsidRDefault="00675EC0" w:rsidP="00675EC0">
            <w:pPr>
              <w:tabs>
                <w:tab w:val="left" w:pos="9270"/>
              </w:tabs>
              <w:suppressAutoHyphens/>
              <w:spacing w:after="0" w:line="240" w:lineRule="auto"/>
              <w:jc w:val="both"/>
              <w:rPr>
                <w:rFonts w:ascii="Cambria" w:eastAsia="Batang" w:hAnsi="Cambria"/>
                <w:color w:val="000000"/>
                <w:sz w:val="20"/>
                <w:szCs w:val="20"/>
              </w:rPr>
            </w:pPr>
            <w:r w:rsidRPr="00675EC0">
              <w:rPr>
                <w:rFonts w:ascii="Cambria" w:hAnsi="Cambria"/>
                <w:b/>
                <w:color w:val="000000"/>
                <w:sz w:val="20"/>
                <w:szCs w:val="20"/>
              </w:rPr>
              <w:t>Victim(s):</w:t>
            </w:r>
            <w:r w:rsidRPr="00675EC0">
              <w:rPr>
                <w:rFonts w:ascii="Cambria" w:hAnsi="Cambria"/>
                <w:color w:val="000000"/>
                <w:sz w:val="20"/>
                <w:szCs w:val="20"/>
              </w:rPr>
              <w:t xml:space="preserve"> Franklin Bustamante Restrepo</w:t>
            </w:r>
            <w:r w:rsidR="009C55E2">
              <w:rPr>
                <w:rFonts w:ascii="Cambria" w:hAnsi="Cambria"/>
                <w:color w:val="000000"/>
                <w:sz w:val="20"/>
                <w:szCs w:val="20"/>
              </w:rPr>
              <w:t xml:space="preserve"> and family</w:t>
            </w:r>
          </w:p>
          <w:p w14:paraId="51248259" w14:textId="07A01EE8" w:rsidR="00675EC0" w:rsidRPr="00407650" w:rsidRDefault="00675EC0" w:rsidP="00675EC0">
            <w:pPr>
              <w:tabs>
                <w:tab w:val="left" w:pos="9270"/>
              </w:tabs>
              <w:suppressAutoHyphens/>
              <w:spacing w:after="0" w:line="240" w:lineRule="auto"/>
              <w:jc w:val="both"/>
              <w:rPr>
                <w:rFonts w:ascii="Cambria" w:eastAsia="Batang" w:hAnsi="Cambria"/>
                <w:bCs/>
                <w:color w:val="000000"/>
                <w:sz w:val="20"/>
                <w:szCs w:val="20"/>
              </w:rPr>
            </w:pPr>
            <w:r w:rsidRPr="00407650">
              <w:rPr>
                <w:rFonts w:ascii="Cambria" w:hAnsi="Cambria"/>
                <w:b/>
                <w:color w:val="000000"/>
                <w:sz w:val="20"/>
                <w:szCs w:val="20"/>
              </w:rPr>
              <w:t xml:space="preserve">Petitioner(s): </w:t>
            </w:r>
            <w:r w:rsidRPr="00407650">
              <w:rPr>
                <w:rFonts w:ascii="Cambria" w:hAnsi="Cambria"/>
                <w:color w:val="000000"/>
                <w:sz w:val="20"/>
                <w:szCs w:val="20"/>
              </w:rPr>
              <w:t xml:space="preserve">Oscar </w:t>
            </w:r>
            <w:r w:rsidR="009C55E2" w:rsidRPr="00407650">
              <w:rPr>
                <w:rFonts w:ascii="Cambria" w:hAnsi="Cambria"/>
                <w:color w:val="000000"/>
                <w:sz w:val="20"/>
                <w:szCs w:val="20"/>
              </w:rPr>
              <w:t>Darío</w:t>
            </w:r>
            <w:r w:rsidRPr="00407650">
              <w:rPr>
                <w:rFonts w:ascii="Cambria" w:hAnsi="Cambria"/>
                <w:color w:val="000000"/>
                <w:sz w:val="20"/>
                <w:szCs w:val="20"/>
              </w:rPr>
              <w:t xml:space="preserve"> Villegas Posada</w:t>
            </w:r>
          </w:p>
          <w:p w14:paraId="00A96CDF" w14:textId="77777777" w:rsidR="00675EC0" w:rsidRPr="00675EC0" w:rsidRDefault="00675EC0" w:rsidP="00675EC0">
            <w:pPr>
              <w:tabs>
                <w:tab w:val="left" w:pos="9270"/>
              </w:tabs>
              <w:suppressAutoHyphens/>
              <w:spacing w:after="0" w:line="240" w:lineRule="auto"/>
              <w:jc w:val="both"/>
              <w:rPr>
                <w:rFonts w:ascii="Cambria" w:eastAsia="Batang" w:hAnsi="Cambria"/>
                <w:color w:val="000000"/>
                <w:sz w:val="20"/>
                <w:szCs w:val="20"/>
              </w:rPr>
            </w:pPr>
            <w:r w:rsidRPr="00675EC0">
              <w:rPr>
                <w:rFonts w:ascii="Cambria" w:hAnsi="Cambria"/>
                <w:b/>
                <w:color w:val="000000"/>
                <w:sz w:val="20"/>
                <w:szCs w:val="20"/>
              </w:rPr>
              <w:t>State</w:t>
            </w:r>
            <w:r w:rsidRPr="00675EC0">
              <w:rPr>
                <w:rFonts w:ascii="Cambria" w:hAnsi="Cambria"/>
                <w:color w:val="000000"/>
                <w:sz w:val="20"/>
                <w:szCs w:val="20"/>
              </w:rPr>
              <w:t xml:space="preserve"> Colombia</w:t>
            </w:r>
          </w:p>
          <w:p w14:paraId="7EC266FF" w14:textId="77777777" w:rsidR="00675EC0" w:rsidRPr="00675EC0" w:rsidRDefault="00675EC0" w:rsidP="00675EC0">
            <w:pPr>
              <w:tabs>
                <w:tab w:val="left" w:pos="9270"/>
              </w:tabs>
              <w:suppressAutoHyphens/>
              <w:spacing w:after="0" w:line="240" w:lineRule="auto"/>
              <w:jc w:val="both"/>
              <w:rPr>
                <w:rFonts w:ascii="Cambria" w:hAnsi="Cambria"/>
                <w:b/>
                <w:bCs/>
                <w:color w:val="000000"/>
                <w:sz w:val="20"/>
                <w:szCs w:val="20"/>
              </w:rPr>
            </w:pPr>
            <w:r w:rsidRPr="00675EC0">
              <w:rPr>
                <w:rFonts w:ascii="Cambria" w:hAnsi="Cambria"/>
                <w:b/>
                <w:color w:val="000000"/>
                <w:sz w:val="20"/>
                <w:szCs w:val="20"/>
              </w:rPr>
              <w:t xml:space="preserve">Beginning of the negotiation date: </w:t>
            </w:r>
            <w:r w:rsidRPr="00675EC0">
              <w:rPr>
                <w:rFonts w:ascii="Cambria" w:hAnsi="Cambria"/>
                <w:color w:val="000000"/>
                <w:sz w:val="20"/>
                <w:szCs w:val="20"/>
              </w:rPr>
              <w:t>November 30, 2020</w:t>
            </w:r>
          </w:p>
          <w:p w14:paraId="02F6497D" w14:textId="7D71CB7F" w:rsidR="00675EC0" w:rsidRPr="00675EC0" w:rsidRDefault="00675EC0" w:rsidP="00675EC0">
            <w:pPr>
              <w:tabs>
                <w:tab w:val="left" w:pos="9270"/>
              </w:tabs>
              <w:suppressAutoHyphens/>
              <w:spacing w:after="0" w:line="240" w:lineRule="auto"/>
              <w:jc w:val="both"/>
              <w:rPr>
                <w:rFonts w:ascii="Cambria" w:hAnsi="Cambria"/>
                <w:b/>
                <w:bCs/>
                <w:color w:val="000000"/>
                <w:sz w:val="20"/>
                <w:szCs w:val="20"/>
              </w:rPr>
            </w:pPr>
            <w:r w:rsidRPr="00675EC0">
              <w:rPr>
                <w:rFonts w:ascii="Cambria" w:hAnsi="Cambria"/>
                <w:b/>
                <w:color w:val="000000"/>
                <w:sz w:val="20"/>
                <w:szCs w:val="20"/>
              </w:rPr>
              <w:t xml:space="preserve">Report on Admissibility No: </w:t>
            </w:r>
            <w:r w:rsidRPr="00675EC0">
              <w:rPr>
                <w:rFonts w:ascii="Cambria" w:hAnsi="Cambria"/>
                <w:color w:val="000000"/>
                <w:sz w:val="20"/>
                <w:szCs w:val="20"/>
              </w:rPr>
              <w:t xml:space="preserve"> </w:t>
            </w:r>
            <w:hyperlink r:id="rId13" w:history="1">
              <w:r w:rsidRPr="00675EC0">
                <w:rPr>
                  <w:rStyle w:val="Hyperlink"/>
                  <w:rFonts w:ascii="Cambria" w:hAnsi="Cambria"/>
                  <w:b/>
                  <w:sz w:val="20"/>
                  <w:szCs w:val="20"/>
                </w:rPr>
                <w:t>36/19</w:t>
              </w:r>
            </w:hyperlink>
            <w:r w:rsidR="009C55E2" w:rsidRPr="00407650">
              <w:rPr>
                <w:rFonts w:ascii="Cambria" w:hAnsi="Cambria"/>
                <w:b/>
                <w:color w:val="000000" w:themeColor="text1"/>
                <w:sz w:val="20"/>
                <w:szCs w:val="20"/>
                <w:u w:val="single"/>
              </w:rPr>
              <w:t>,</w:t>
            </w:r>
            <w:r w:rsidRPr="00675EC0">
              <w:rPr>
                <w:rFonts w:ascii="Cambria" w:hAnsi="Cambria"/>
                <w:color w:val="000000"/>
                <w:sz w:val="20"/>
                <w:szCs w:val="20"/>
              </w:rPr>
              <w:t xml:space="preserve"> published on April 13, 2019</w:t>
            </w:r>
          </w:p>
          <w:p w14:paraId="3D6E0139" w14:textId="77777777" w:rsidR="00675EC0" w:rsidRPr="00675EC0" w:rsidRDefault="00675EC0" w:rsidP="00675EC0">
            <w:pPr>
              <w:tabs>
                <w:tab w:val="left" w:pos="9270"/>
              </w:tabs>
              <w:suppressAutoHyphens/>
              <w:spacing w:after="0" w:line="240" w:lineRule="auto"/>
              <w:jc w:val="both"/>
              <w:rPr>
                <w:rFonts w:ascii="Cambria" w:hAnsi="Cambria"/>
                <w:b/>
                <w:bCs/>
                <w:color w:val="000000"/>
                <w:sz w:val="20"/>
                <w:szCs w:val="20"/>
              </w:rPr>
            </w:pPr>
            <w:r w:rsidRPr="00675EC0">
              <w:rPr>
                <w:rFonts w:ascii="Cambria" w:hAnsi="Cambria"/>
                <w:b/>
                <w:color w:val="000000"/>
                <w:sz w:val="20"/>
                <w:szCs w:val="20"/>
              </w:rPr>
              <w:t xml:space="preserve">FSA signature date: </w:t>
            </w:r>
            <w:r w:rsidRPr="00675EC0">
              <w:rPr>
                <w:rFonts w:ascii="Cambria" w:hAnsi="Cambria"/>
                <w:color w:val="000000"/>
                <w:sz w:val="20"/>
                <w:szCs w:val="20"/>
              </w:rPr>
              <w:t>September 13, 2021</w:t>
            </w:r>
          </w:p>
          <w:p w14:paraId="4031C61F" w14:textId="4ED39B13" w:rsidR="00675EC0" w:rsidRPr="00675EC0" w:rsidRDefault="00675EC0" w:rsidP="00675EC0">
            <w:pPr>
              <w:tabs>
                <w:tab w:val="left" w:pos="9270"/>
              </w:tabs>
              <w:suppressAutoHyphens/>
              <w:spacing w:after="0" w:line="240" w:lineRule="auto"/>
              <w:jc w:val="both"/>
              <w:rPr>
                <w:rFonts w:ascii="Cambria" w:eastAsia="Batang" w:hAnsi="Cambria"/>
                <w:color w:val="000000"/>
                <w:sz w:val="20"/>
                <w:szCs w:val="20"/>
              </w:rPr>
            </w:pPr>
            <w:r w:rsidRPr="00675EC0">
              <w:rPr>
                <w:rFonts w:ascii="Cambria" w:hAnsi="Cambria"/>
                <w:b/>
                <w:color w:val="000000"/>
                <w:sz w:val="20"/>
                <w:szCs w:val="20"/>
              </w:rPr>
              <w:t xml:space="preserve">Friendly Settlement Agreement Report No: </w:t>
            </w:r>
            <w:hyperlink r:id="rId14" w:history="1">
              <w:r w:rsidRPr="00675EC0">
                <w:rPr>
                  <w:rFonts w:ascii="Cambria" w:hAnsi="Cambria"/>
                  <w:b/>
                  <w:color w:val="0563C1"/>
                  <w:sz w:val="20"/>
                  <w:szCs w:val="20"/>
                  <w:u w:val="single"/>
                </w:rPr>
                <w:t>337/21</w:t>
              </w:r>
            </w:hyperlink>
            <w:r w:rsidR="009C55E2">
              <w:rPr>
                <w:rFonts w:ascii="Cambria" w:hAnsi="Cambria"/>
                <w:sz w:val="20"/>
                <w:szCs w:val="20"/>
              </w:rPr>
              <w:t>,</w:t>
            </w:r>
            <w:r w:rsidRPr="00675EC0">
              <w:rPr>
                <w:rFonts w:ascii="Cambria" w:hAnsi="Cambria"/>
                <w:b/>
                <w:color w:val="000000"/>
                <w:sz w:val="20"/>
                <w:szCs w:val="20"/>
              </w:rPr>
              <w:t xml:space="preserve"> </w:t>
            </w:r>
            <w:r w:rsidRPr="00675EC0">
              <w:rPr>
                <w:rFonts w:ascii="Cambria" w:hAnsi="Cambria"/>
                <w:color w:val="000000"/>
                <w:sz w:val="20"/>
                <w:szCs w:val="20"/>
              </w:rPr>
              <w:t>published on November 22, 2021</w:t>
            </w:r>
          </w:p>
          <w:p w14:paraId="508A58A5" w14:textId="77777777" w:rsidR="00675EC0" w:rsidRPr="00675EC0" w:rsidRDefault="00675EC0" w:rsidP="00675EC0">
            <w:pPr>
              <w:tabs>
                <w:tab w:val="left" w:pos="9270"/>
              </w:tabs>
              <w:suppressAutoHyphens/>
              <w:spacing w:after="0" w:line="240" w:lineRule="auto"/>
              <w:jc w:val="both"/>
              <w:rPr>
                <w:rFonts w:ascii="Cambria" w:hAnsi="Cambria"/>
                <w:color w:val="000000"/>
                <w:sz w:val="20"/>
                <w:szCs w:val="20"/>
              </w:rPr>
            </w:pPr>
            <w:r w:rsidRPr="00675EC0">
              <w:rPr>
                <w:rFonts w:ascii="Cambria" w:hAnsi="Cambria"/>
                <w:b/>
                <w:color w:val="000000"/>
                <w:sz w:val="20"/>
                <w:szCs w:val="20"/>
              </w:rPr>
              <w:t xml:space="preserve">Estimated length of the negotiation phase: </w:t>
            </w:r>
            <w:r w:rsidRPr="00675EC0">
              <w:rPr>
                <w:rFonts w:ascii="Cambria" w:hAnsi="Cambria"/>
                <w:color w:val="000000"/>
                <w:sz w:val="20"/>
                <w:szCs w:val="20"/>
              </w:rPr>
              <w:t>One year</w:t>
            </w:r>
          </w:p>
          <w:p w14:paraId="6677936C" w14:textId="77777777" w:rsidR="00675EC0" w:rsidRPr="00675EC0" w:rsidRDefault="00675EC0" w:rsidP="00675EC0">
            <w:pPr>
              <w:tabs>
                <w:tab w:val="left" w:pos="9270"/>
              </w:tabs>
              <w:spacing w:after="0" w:line="240" w:lineRule="auto"/>
              <w:jc w:val="both"/>
              <w:rPr>
                <w:rFonts w:ascii="Cambria" w:hAnsi="Cambria"/>
                <w:color w:val="000000"/>
                <w:sz w:val="20"/>
                <w:szCs w:val="20"/>
              </w:rPr>
            </w:pPr>
            <w:r w:rsidRPr="00675EC0">
              <w:rPr>
                <w:rFonts w:ascii="Cambria" w:hAnsi="Cambria"/>
                <w:b/>
                <w:color w:val="000000"/>
                <w:sz w:val="20"/>
                <w:szCs w:val="20"/>
              </w:rPr>
              <w:t>Rapporteurship:</w:t>
            </w:r>
            <w:r w:rsidRPr="00675EC0">
              <w:rPr>
                <w:rFonts w:ascii="Cambria" w:hAnsi="Cambria"/>
                <w:color w:val="000000"/>
                <w:sz w:val="20"/>
                <w:szCs w:val="20"/>
              </w:rPr>
              <w:t xml:space="preserve"> Rights of the Child</w:t>
            </w:r>
          </w:p>
          <w:p w14:paraId="145F7C24" w14:textId="77777777" w:rsidR="00675EC0" w:rsidRPr="00675EC0" w:rsidRDefault="00675EC0" w:rsidP="00675EC0">
            <w:pPr>
              <w:tabs>
                <w:tab w:val="left" w:pos="9270"/>
              </w:tabs>
              <w:suppressAutoHyphens/>
              <w:spacing w:after="0" w:line="240" w:lineRule="auto"/>
              <w:jc w:val="both"/>
              <w:rPr>
                <w:rFonts w:ascii="Cambria" w:eastAsia="Batang" w:hAnsi="Cambria"/>
                <w:bCs/>
                <w:color w:val="000000"/>
                <w:sz w:val="20"/>
                <w:szCs w:val="20"/>
              </w:rPr>
            </w:pPr>
            <w:r w:rsidRPr="00675EC0">
              <w:rPr>
                <w:rFonts w:ascii="Cambria" w:hAnsi="Cambria"/>
                <w:b/>
                <w:color w:val="000000"/>
                <w:sz w:val="20"/>
                <w:szCs w:val="20"/>
              </w:rPr>
              <w:t xml:space="preserve">Topics: </w:t>
            </w:r>
            <w:r w:rsidRPr="00675EC0">
              <w:rPr>
                <w:rFonts w:ascii="Cambria" w:hAnsi="Cambria"/>
                <w:color w:val="000000"/>
                <w:sz w:val="20"/>
                <w:szCs w:val="20"/>
              </w:rPr>
              <w:t>Right to life / Rights of the child / Extrajudicial execution / Personal integrity / Protection of the family / Judicial protections</w:t>
            </w:r>
          </w:p>
          <w:p w14:paraId="2E2A25C1" w14:textId="77777777" w:rsidR="00675EC0" w:rsidRPr="00675EC0" w:rsidRDefault="00675EC0" w:rsidP="00675EC0">
            <w:pPr>
              <w:tabs>
                <w:tab w:val="left" w:pos="9270"/>
              </w:tabs>
              <w:suppressAutoHyphens/>
              <w:spacing w:after="0" w:line="240" w:lineRule="auto"/>
              <w:jc w:val="both"/>
              <w:rPr>
                <w:rFonts w:ascii="Cambria" w:eastAsia="Batang" w:hAnsi="Cambria"/>
                <w:color w:val="000000"/>
                <w:sz w:val="20"/>
                <w:szCs w:val="20"/>
              </w:rPr>
            </w:pPr>
          </w:p>
          <w:p w14:paraId="21F72B31" w14:textId="77777777" w:rsidR="00675EC0" w:rsidRPr="00675EC0" w:rsidRDefault="00675EC0" w:rsidP="00675EC0">
            <w:pPr>
              <w:tabs>
                <w:tab w:val="left" w:pos="0"/>
                <w:tab w:val="left" w:pos="1440"/>
              </w:tabs>
              <w:suppressAutoHyphens/>
              <w:spacing w:after="0" w:line="240" w:lineRule="auto"/>
              <w:jc w:val="both"/>
              <w:rPr>
                <w:rFonts w:ascii="Cambria" w:eastAsia="Times New Roman" w:hAnsi="Cambria" w:cs="Calibri"/>
                <w:color w:val="000000"/>
                <w:sz w:val="20"/>
                <w:szCs w:val="20"/>
              </w:rPr>
            </w:pPr>
            <w:r w:rsidRPr="00675EC0">
              <w:rPr>
                <w:rFonts w:ascii="Cambria" w:hAnsi="Cambria"/>
                <w:b/>
                <w:color w:val="000000"/>
                <w:sz w:val="20"/>
                <w:szCs w:val="20"/>
              </w:rPr>
              <w:t>Facts:</w:t>
            </w:r>
            <w:r w:rsidRPr="00675EC0">
              <w:rPr>
                <w:rFonts w:ascii="Cambria" w:hAnsi="Cambria"/>
                <w:color w:val="000000"/>
                <w:sz w:val="20"/>
                <w:szCs w:val="20"/>
              </w:rPr>
              <w:t xml:space="preserve"> </w:t>
            </w:r>
            <w:r w:rsidRPr="00675EC0">
              <w:rPr>
                <w:rFonts w:ascii="Cambria" w:hAnsi="Cambria"/>
                <w:color w:val="000000"/>
                <w:sz w:val="20"/>
                <w:szCs w:val="20"/>
                <w:bdr w:val="none" w:sz="0" w:space="0" w:color="auto" w:frame="1"/>
              </w:rPr>
              <w:t>The petitioner claimed that, on July 28, 1989, two agents of the DAS [</w:t>
            </w:r>
            <w:r w:rsidRPr="00675EC0">
              <w:rPr>
                <w:rFonts w:ascii="Cambria" w:hAnsi="Cambria"/>
                <w:i/>
                <w:color w:val="000000"/>
                <w:sz w:val="20"/>
                <w:szCs w:val="20"/>
                <w:bdr w:val="none" w:sz="0" w:space="0" w:color="auto" w:frame="1"/>
              </w:rPr>
              <w:t>Administrative Department of Security- Departamento Administrativo de Seguridad in Spanish</w:t>
            </w:r>
            <w:r w:rsidRPr="00675EC0">
              <w:rPr>
                <w:rFonts w:ascii="Cambria" w:hAnsi="Cambria"/>
                <w:color w:val="000000"/>
                <w:sz w:val="20"/>
                <w:szCs w:val="20"/>
                <w:bdr w:val="none" w:sz="0" w:space="0" w:color="auto" w:frame="1"/>
              </w:rPr>
              <w:t>] descended from a pick-up truck whose license plate was LG 15-81, threatening and kneeling child Franklin Bustamante, who was allegedly discussing with a sales partner in Berrio park. One of the agents would have shot him causing his death, after which both agents left the place. O</w:t>
            </w:r>
            <w:r w:rsidRPr="00675EC0">
              <w:rPr>
                <w:rFonts w:ascii="Cambria" w:hAnsi="Cambria"/>
                <w:color w:val="000000"/>
                <w:sz w:val="20"/>
                <w:szCs w:val="20"/>
              </w:rPr>
              <w:t>n January 28, 1991, the 18 Criminal Investigating Court of Medellín had conducted an investigation deciding its archiving, allegedly due to lack of evidence. According to the petitioner, several witnesses saw the facts and recognized those responsible, however, they did not declare during the criminal proceedings due to founded fear or retaliation from DAS agents; as opposed to the latter Contentious Administrative proceedings, at which the witnesses declared in greater detail. According to the testimonies, one of said agents had been a bodyguard of the governess of Antioquia at the time. The petitioner party claimed that, by archiving the investigation, the access to justice had been denied, leaving the death of the alleged victim in impunity.</w:t>
            </w:r>
          </w:p>
          <w:p w14:paraId="2240B49E" w14:textId="77777777" w:rsidR="00675EC0" w:rsidRPr="00675EC0" w:rsidRDefault="00675EC0" w:rsidP="00675EC0">
            <w:pPr>
              <w:suppressAutoHyphens/>
              <w:spacing w:after="0" w:line="240" w:lineRule="auto"/>
              <w:jc w:val="both"/>
              <w:rPr>
                <w:rFonts w:ascii="Cambria" w:hAnsi="Cambria"/>
                <w:color w:val="000000"/>
                <w:sz w:val="20"/>
                <w:szCs w:val="20"/>
              </w:rPr>
            </w:pPr>
          </w:p>
          <w:p w14:paraId="275DE59F" w14:textId="77777777" w:rsidR="00675EC0" w:rsidRPr="00675EC0" w:rsidRDefault="00675EC0" w:rsidP="00675EC0">
            <w:pPr>
              <w:suppressAutoHyphens/>
              <w:spacing w:after="0" w:line="240" w:lineRule="auto"/>
              <w:jc w:val="both"/>
              <w:rPr>
                <w:rFonts w:ascii="Cambria" w:hAnsi="Cambria"/>
                <w:color w:val="000000"/>
                <w:sz w:val="20"/>
                <w:szCs w:val="20"/>
              </w:rPr>
            </w:pPr>
            <w:r w:rsidRPr="00675EC0">
              <w:rPr>
                <w:rFonts w:ascii="Cambria" w:hAnsi="Cambria"/>
                <w:b/>
                <w:color w:val="000000"/>
                <w:sz w:val="20"/>
                <w:szCs w:val="20"/>
              </w:rPr>
              <w:t xml:space="preserve">Rights declared admissible: </w:t>
            </w:r>
            <w:r w:rsidRPr="00675EC0">
              <w:rPr>
                <w:rFonts w:ascii="Cambria" w:hAnsi="Cambria"/>
                <w:color w:val="000000"/>
                <w:sz w:val="20"/>
                <w:szCs w:val="20"/>
              </w:rPr>
              <w:t>On April 13, 2019, the Inter-American Commission on Human Rights approved the Report on Admissibility No. 36/19 in which it declared itself competent to assess the alleged violation of the rights recognized in articles 4 (right to life), 5 (humane treatment), 8 (judicial guarantees), 19 (rights of the child) and 25 (right to judicial protection) of the American Convention, in accordance to the obligations set forth in article 1.1 thereof.</w:t>
            </w:r>
          </w:p>
        </w:tc>
      </w:tr>
    </w:tbl>
    <w:p w14:paraId="7A2042F7" w14:textId="77777777" w:rsidR="00675EC0" w:rsidRPr="00675EC0" w:rsidRDefault="00675EC0" w:rsidP="00675EC0">
      <w:pPr>
        <w:suppressAutoHyphens/>
        <w:spacing w:after="0" w:line="240" w:lineRule="auto"/>
        <w:ind w:firstLine="709"/>
        <w:contextualSpacing/>
        <w:jc w:val="both"/>
        <w:rPr>
          <w:rFonts w:ascii="Cambria" w:eastAsia="Batang" w:hAnsi="Cambria" w:cs="Calibri Light"/>
          <w:b/>
          <w:color w:val="000000"/>
          <w:sz w:val="20"/>
          <w:szCs w:val="20"/>
        </w:rPr>
      </w:pPr>
    </w:p>
    <w:p w14:paraId="42B5FC96" w14:textId="77777777" w:rsidR="00675EC0" w:rsidRPr="00675EC0" w:rsidRDefault="00675EC0" w:rsidP="00675EC0">
      <w:pPr>
        <w:numPr>
          <w:ilvl w:val="0"/>
          <w:numId w:val="47"/>
        </w:numPr>
        <w:suppressAutoHyphens/>
        <w:spacing w:after="0" w:line="240" w:lineRule="auto"/>
        <w:ind w:left="0" w:firstLine="709"/>
        <w:contextualSpacing/>
        <w:jc w:val="both"/>
        <w:rPr>
          <w:rFonts w:ascii="Cambria" w:hAnsi="Cambria" w:cs="Calibri Light"/>
          <w:b/>
          <w:color w:val="000000"/>
          <w:sz w:val="20"/>
          <w:szCs w:val="20"/>
        </w:rPr>
      </w:pPr>
      <w:r w:rsidRPr="00675EC0">
        <w:rPr>
          <w:rFonts w:ascii="Cambria" w:hAnsi="Cambria"/>
          <w:b/>
          <w:color w:val="000000"/>
          <w:sz w:val="20"/>
          <w:szCs w:val="20"/>
        </w:rPr>
        <w:t>PROCEDURAL ACTIVITY</w:t>
      </w:r>
    </w:p>
    <w:p w14:paraId="5AA7CDE6" w14:textId="77777777" w:rsidR="00675EC0" w:rsidRPr="00675EC0" w:rsidRDefault="00675EC0" w:rsidP="00675EC0">
      <w:pPr>
        <w:suppressAutoHyphens/>
        <w:spacing w:after="0" w:line="240" w:lineRule="auto"/>
        <w:ind w:firstLine="709"/>
        <w:jc w:val="both"/>
        <w:rPr>
          <w:rFonts w:ascii="Cambria" w:eastAsia="Batang" w:hAnsi="Cambria"/>
          <w:color w:val="000000"/>
          <w:sz w:val="20"/>
          <w:szCs w:val="20"/>
        </w:rPr>
      </w:pPr>
    </w:p>
    <w:p w14:paraId="7292CE5D" w14:textId="17FCB07C" w:rsidR="00675EC0" w:rsidRPr="00675EC0" w:rsidRDefault="009C55E2" w:rsidP="00675EC0">
      <w:pPr>
        <w:numPr>
          <w:ilvl w:val="6"/>
          <w:numId w:val="47"/>
        </w:numPr>
        <w:suppressAutoHyphens/>
        <w:spacing w:after="0" w:line="240" w:lineRule="auto"/>
        <w:ind w:left="0" w:firstLine="709"/>
        <w:contextualSpacing/>
        <w:jc w:val="both"/>
        <w:rPr>
          <w:rFonts w:ascii="Cambria" w:eastAsia="Batang" w:hAnsi="Cambria" w:cs="Calibri Light"/>
          <w:color w:val="000000"/>
          <w:sz w:val="20"/>
          <w:szCs w:val="20"/>
        </w:rPr>
      </w:pPr>
      <w:r>
        <w:rPr>
          <w:rFonts w:ascii="Cambria" w:hAnsi="Cambria"/>
          <w:color w:val="000000"/>
          <w:sz w:val="20"/>
          <w:szCs w:val="20"/>
        </w:rPr>
        <w:t>On September 13, 2021, the parties signed a friendly settlement agreement</w:t>
      </w:r>
      <w:r w:rsidR="00675EC0" w:rsidRPr="00675EC0">
        <w:rPr>
          <w:rFonts w:ascii="Cambria" w:hAnsi="Cambria"/>
          <w:color w:val="000000"/>
          <w:sz w:val="20"/>
          <w:szCs w:val="20"/>
        </w:rPr>
        <w:t xml:space="preserve">. </w:t>
      </w:r>
    </w:p>
    <w:p w14:paraId="0503AF83" w14:textId="77777777" w:rsidR="00675EC0" w:rsidRPr="00675EC0" w:rsidRDefault="00675EC0" w:rsidP="00675EC0">
      <w:pPr>
        <w:suppressAutoHyphens/>
        <w:spacing w:after="0" w:line="240" w:lineRule="auto"/>
        <w:ind w:firstLine="709"/>
        <w:contextualSpacing/>
        <w:jc w:val="both"/>
        <w:rPr>
          <w:rFonts w:ascii="Cambria" w:eastAsia="Batang" w:hAnsi="Cambria" w:cs="Calibri Light"/>
          <w:color w:val="000000"/>
          <w:sz w:val="20"/>
          <w:szCs w:val="20"/>
        </w:rPr>
      </w:pPr>
    </w:p>
    <w:p w14:paraId="7970F374" w14:textId="595747B4" w:rsidR="00675EC0" w:rsidRPr="00675EC0" w:rsidRDefault="009C55E2" w:rsidP="00675EC0">
      <w:pPr>
        <w:numPr>
          <w:ilvl w:val="6"/>
          <w:numId w:val="47"/>
        </w:numPr>
        <w:suppressAutoHyphens/>
        <w:spacing w:after="0" w:line="240" w:lineRule="auto"/>
        <w:ind w:left="0" w:firstLine="709"/>
        <w:contextualSpacing/>
        <w:jc w:val="both"/>
        <w:rPr>
          <w:rFonts w:ascii="Cambria" w:eastAsia="Batang" w:hAnsi="Cambria" w:cs="Calibri Light"/>
          <w:color w:val="000000"/>
          <w:sz w:val="20"/>
          <w:szCs w:val="20"/>
        </w:rPr>
      </w:pPr>
      <w:r>
        <w:rPr>
          <w:rFonts w:ascii="Cambria" w:hAnsi="Cambria"/>
          <w:color w:val="000000"/>
          <w:sz w:val="20"/>
          <w:szCs w:val="20"/>
        </w:rPr>
        <w:t xml:space="preserve">On November 22, 2021, the Commission approved the friendly settlement agreement </w:t>
      </w:r>
      <w:r w:rsidR="00407650">
        <w:rPr>
          <w:rFonts w:ascii="Cambria" w:hAnsi="Cambria"/>
          <w:color w:val="000000"/>
          <w:sz w:val="20"/>
          <w:szCs w:val="20"/>
        </w:rPr>
        <w:t>through</w:t>
      </w:r>
      <w:r>
        <w:rPr>
          <w:rFonts w:ascii="Cambria" w:hAnsi="Cambria"/>
          <w:color w:val="000000"/>
          <w:sz w:val="20"/>
          <w:szCs w:val="20"/>
        </w:rPr>
        <w:t xml:space="preserve"> Report 337/21</w:t>
      </w:r>
      <w:r w:rsidR="00675EC0" w:rsidRPr="00675EC0">
        <w:rPr>
          <w:rFonts w:ascii="Cambria" w:hAnsi="Cambria"/>
          <w:color w:val="000000"/>
          <w:sz w:val="20"/>
          <w:szCs w:val="20"/>
        </w:rPr>
        <w:t>.</w:t>
      </w:r>
    </w:p>
    <w:p w14:paraId="2CDE4C5C" w14:textId="13C6FC8D" w:rsidR="00675EC0" w:rsidRDefault="00675EC0" w:rsidP="009C55E2">
      <w:pPr>
        <w:suppressAutoHyphens/>
        <w:spacing w:after="0" w:line="240" w:lineRule="auto"/>
        <w:rPr>
          <w:rFonts w:ascii="Cambria" w:eastAsia="Batang" w:hAnsi="Cambria" w:cs="Calibri Light"/>
          <w:color w:val="000000"/>
          <w:sz w:val="20"/>
          <w:szCs w:val="20"/>
        </w:rPr>
      </w:pPr>
    </w:p>
    <w:p w14:paraId="3C30CB51" w14:textId="77777777" w:rsidR="009C55E2" w:rsidRDefault="009C55E2" w:rsidP="009C55E2">
      <w:pPr>
        <w:suppressAutoHyphens/>
        <w:spacing w:after="0" w:line="240" w:lineRule="auto"/>
        <w:rPr>
          <w:rFonts w:ascii="Cambria" w:eastAsia="Batang" w:hAnsi="Cambria" w:cs="Calibri Light"/>
          <w:color w:val="000000"/>
          <w:sz w:val="20"/>
          <w:szCs w:val="20"/>
        </w:rPr>
      </w:pPr>
    </w:p>
    <w:p w14:paraId="62DF314B" w14:textId="77777777" w:rsidR="009C55E2" w:rsidRDefault="009C55E2" w:rsidP="009C55E2">
      <w:pPr>
        <w:suppressAutoHyphens/>
        <w:spacing w:after="0" w:line="240" w:lineRule="auto"/>
        <w:rPr>
          <w:rFonts w:ascii="Cambria" w:eastAsia="Batang" w:hAnsi="Cambria" w:cs="Calibri Light"/>
          <w:color w:val="000000"/>
          <w:sz w:val="20"/>
          <w:szCs w:val="20"/>
        </w:rPr>
      </w:pPr>
    </w:p>
    <w:p w14:paraId="1FC1E5BD" w14:textId="77777777" w:rsidR="009C55E2" w:rsidRPr="00675EC0" w:rsidRDefault="009C55E2" w:rsidP="009C55E2">
      <w:pPr>
        <w:suppressAutoHyphens/>
        <w:spacing w:after="0" w:line="240" w:lineRule="auto"/>
        <w:rPr>
          <w:rFonts w:ascii="Cambria" w:hAnsi="Cambria"/>
          <w:b/>
          <w:color w:val="000000"/>
          <w:sz w:val="20"/>
          <w:szCs w:val="20"/>
        </w:rPr>
      </w:pPr>
    </w:p>
    <w:p w14:paraId="67243358" w14:textId="77777777" w:rsidR="00675EC0" w:rsidRPr="00675EC0" w:rsidRDefault="00675EC0" w:rsidP="00675EC0">
      <w:pPr>
        <w:numPr>
          <w:ilvl w:val="0"/>
          <w:numId w:val="47"/>
        </w:numPr>
        <w:suppressAutoHyphens/>
        <w:spacing w:after="0" w:line="240" w:lineRule="auto"/>
        <w:ind w:left="0" w:firstLine="709"/>
        <w:contextualSpacing/>
        <w:jc w:val="both"/>
        <w:rPr>
          <w:rFonts w:ascii="Cambria" w:hAnsi="Cambria" w:cs="Calibri Light"/>
          <w:b/>
          <w:color w:val="000000"/>
          <w:sz w:val="20"/>
          <w:szCs w:val="20"/>
        </w:rPr>
      </w:pPr>
      <w:r w:rsidRPr="00675EC0">
        <w:rPr>
          <w:rFonts w:ascii="Cambria" w:hAnsi="Cambria"/>
          <w:b/>
          <w:color w:val="000000"/>
          <w:sz w:val="20"/>
          <w:szCs w:val="20"/>
        </w:rPr>
        <w:lastRenderedPageBreak/>
        <w:t xml:space="preserve">ANALYSIS OF COMPLIANCE WITH THE CLAUSES OF THE FRIENDLY SETTLEMENT AGREEMENT </w:t>
      </w:r>
    </w:p>
    <w:p w14:paraId="72D2B392" w14:textId="77777777" w:rsidR="00675EC0" w:rsidRPr="00675EC0" w:rsidRDefault="00675EC0" w:rsidP="00675EC0">
      <w:pPr>
        <w:tabs>
          <w:tab w:val="left" w:pos="1440"/>
        </w:tabs>
        <w:suppressAutoHyphens/>
        <w:spacing w:after="0" w:line="240" w:lineRule="auto"/>
        <w:contextualSpacing/>
        <w:jc w:val="both"/>
        <w:rPr>
          <w:rFonts w:ascii="Cambria" w:hAnsi="Cambria" w:cs="Calibri Light"/>
          <w:b/>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5103"/>
      </w:tblGrid>
      <w:tr w:rsidR="00FB03EB" w:rsidRPr="00675EC0" w14:paraId="03662BE9" w14:textId="77777777" w:rsidTr="00FB03EB">
        <w:tc>
          <w:tcPr>
            <w:tcW w:w="439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83FEADE" w14:textId="31CEF6BC" w:rsidR="009C55E2" w:rsidRPr="00675EC0" w:rsidRDefault="009C55E2" w:rsidP="00675EC0">
            <w:pPr>
              <w:tabs>
                <w:tab w:val="center" w:pos="2049"/>
              </w:tabs>
              <w:suppressAutoHyphens/>
              <w:spacing w:after="0" w:line="240" w:lineRule="auto"/>
              <w:jc w:val="center"/>
              <w:rPr>
                <w:rFonts w:ascii="Cambria" w:eastAsia="Batang" w:hAnsi="Cambria"/>
                <w:b/>
                <w:color w:val="000000"/>
                <w:sz w:val="20"/>
                <w:szCs w:val="20"/>
              </w:rPr>
            </w:pPr>
            <w:r w:rsidRPr="00675EC0">
              <w:rPr>
                <w:rFonts w:ascii="Cambria" w:hAnsi="Cambria"/>
                <w:b/>
                <w:color w:val="000000"/>
                <w:sz w:val="20"/>
                <w:szCs w:val="20"/>
              </w:rPr>
              <w:t xml:space="preserve">Agreement </w:t>
            </w:r>
            <w:r>
              <w:rPr>
                <w:rFonts w:ascii="Cambria" w:hAnsi="Cambria"/>
                <w:b/>
                <w:color w:val="000000"/>
                <w:sz w:val="20"/>
                <w:szCs w:val="20"/>
              </w:rPr>
              <w:t>Cl</w:t>
            </w:r>
            <w:r w:rsidRPr="00675EC0">
              <w:rPr>
                <w:rFonts w:ascii="Cambria" w:hAnsi="Cambria"/>
                <w:b/>
                <w:color w:val="000000"/>
                <w:sz w:val="20"/>
                <w:szCs w:val="20"/>
              </w:rPr>
              <w:t>ause</w:t>
            </w:r>
          </w:p>
        </w:tc>
        <w:tc>
          <w:tcPr>
            <w:tcW w:w="510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5A25BB" w14:textId="74CF0DD3" w:rsidR="009C55E2" w:rsidRPr="00675EC0" w:rsidRDefault="009C55E2" w:rsidP="009C55E2">
            <w:pPr>
              <w:suppressAutoHyphens/>
              <w:spacing w:after="0" w:line="240" w:lineRule="auto"/>
              <w:jc w:val="center"/>
              <w:rPr>
                <w:rFonts w:ascii="Cambria" w:eastAsia="Batang" w:hAnsi="Cambria"/>
                <w:b/>
                <w:color w:val="000000"/>
                <w:sz w:val="20"/>
                <w:szCs w:val="20"/>
              </w:rPr>
            </w:pPr>
            <w:r w:rsidRPr="00675EC0">
              <w:rPr>
                <w:rFonts w:ascii="Cambria" w:hAnsi="Cambria"/>
                <w:b/>
                <w:color w:val="000000"/>
                <w:sz w:val="20"/>
                <w:szCs w:val="20"/>
              </w:rPr>
              <w:t>Status</w:t>
            </w:r>
            <w:r>
              <w:rPr>
                <w:rFonts w:ascii="Cambria" w:hAnsi="Cambria"/>
                <w:b/>
                <w:color w:val="000000"/>
                <w:sz w:val="20"/>
                <w:szCs w:val="20"/>
              </w:rPr>
              <w:t xml:space="preserve"> of Compliance</w:t>
            </w:r>
          </w:p>
        </w:tc>
      </w:tr>
      <w:tr w:rsidR="00FB03EB" w:rsidRPr="00675EC0" w14:paraId="5FFE17CD" w14:textId="77777777" w:rsidTr="00FB03EB">
        <w:tc>
          <w:tcPr>
            <w:tcW w:w="4395" w:type="dxa"/>
            <w:tcBorders>
              <w:top w:val="single" w:sz="4" w:space="0" w:color="auto"/>
              <w:left w:val="single" w:sz="4" w:space="0" w:color="auto"/>
              <w:bottom w:val="single" w:sz="4" w:space="0" w:color="auto"/>
              <w:right w:val="single" w:sz="4" w:space="0" w:color="auto"/>
            </w:tcBorders>
            <w:vAlign w:val="center"/>
          </w:tcPr>
          <w:p w14:paraId="01AF4D3C" w14:textId="77777777" w:rsidR="00675EC0" w:rsidRPr="00675EC0" w:rsidRDefault="00675EC0" w:rsidP="00675EC0">
            <w:pPr>
              <w:suppressAutoHyphens/>
              <w:spacing w:after="0" w:line="240" w:lineRule="auto"/>
              <w:jc w:val="both"/>
              <w:rPr>
                <w:rFonts w:ascii="Cambria" w:hAnsi="Cambria"/>
                <w:b/>
                <w:bCs/>
                <w:sz w:val="20"/>
                <w:szCs w:val="20"/>
              </w:rPr>
            </w:pPr>
            <w:r w:rsidRPr="00675EC0">
              <w:rPr>
                <w:rFonts w:ascii="Cambria" w:hAnsi="Cambria"/>
                <w:b/>
                <w:sz w:val="20"/>
                <w:szCs w:val="20"/>
              </w:rPr>
              <w:t>FOURTH PART: ACKNOWLEDGMENT OF RESPONSIBILITY</w:t>
            </w:r>
          </w:p>
          <w:p w14:paraId="3D32A421" w14:textId="77777777" w:rsidR="00675EC0" w:rsidRPr="00675EC0" w:rsidRDefault="00675EC0" w:rsidP="00675EC0">
            <w:pPr>
              <w:suppressAutoHyphens/>
              <w:spacing w:after="0" w:line="240" w:lineRule="auto"/>
              <w:jc w:val="both"/>
              <w:rPr>
                <w:rFonts w:ascii="Cambria" w:eastAsia="Batang" w:hAnsi="Cambria"/>
                <w:color w:val="000000"/>
                <w:sz w:val="20"/>
                <w:szCs w:val="20"/>
              </w:rPr>
            </w:pPr>
            <w:r w:rsidRPr="00675EC0">
              <w:rPr>
                <w:rFonts w:ascii="Cambria" w:hAnsi="Cambria"/>
                <w:sz w:val="20"/>
                <w:szCs w:val="20"/>
              </w:rPr>
              <w:t>The Colombian State acknowledges its international responsibility for the violation of the rights recognized in articles 8 (fair trial) and 25 (judicial protection) of the American Convention on Human Rights in connection to article 1.1 thereof, to the detriment of the family of Mr. Franklin Bustamante Restrepo, for the lack of diligence in the investigation of the occurred facts.</w:t>
            </w:r>
          </w:p>
        </w:tc>
        <w:tc>
          <w:tcPr>
            <w:tcW w:w="5103" w:type="dxa"/>
            <w:tcBorders>
              <w:top w:val="single" w:sz="4" w:space="0" w:color="auto"/>
              <w:left w:val="single" w:sz="4" w:space="0" w:color="auto"/>
              <w:bottom w:val="single" w:sz="4" w:space="0" w:color="auto"/>
              <w:right w:val="single" w:sz="4" w:space="0" w:color="auto"/>
            </w:tcBorders>
            <w:vAlign w:val="center"/>
          </w:tcPr>
          <w:p w14:paraId="5ACF5BB5" w14:textId="77777777" w:rsidR="00675EC0" w:rsidRPr="00675EC0" w:rsidRDefault="00675EC0" w:rsidP="00675EC0">
            <w:pPr>
              <w:suppressAutoHyphens/>
              <w:spacing w:after="0" w:line="240" w:lineRule="auto"/>
              <w:jc w:val="center"/>
              <w:rPr>
                <w:rFonts w:ascii="Cambria" w:eastAsia="Batang" w:hAnsi="Cambria"/>
                <w:b/>
                <w:bCs/>
                <w:color w:val="000000"/>
                <w:sz w:val="20"/>
                <w:szCs w:val="20"/>
              </w:rPr>
            </w:pPr>
            <w:r w:rsidRPr="00675EC0">
              <w:rPr>
                <w:rFonts w:ascii="Cambria" w:hAnsi="Cambria"/>
                <w:b/>
                <w:color w:val="000000"/>
                <w:sz w:val="20"/>
                <w:szCs w:val="20"/>
              </w:rPr>
              <w:t>Declarative Clause</w:t>
            </w:r>
          </w:p>
        </w:tc>
      </w:tr>
      <w:tr w:rsidR="00FB03EB" w:rsidRPr="00675EC0" w14:paraId="13DF7C06" w14:textId="77777777" w:rsidTr="00FB03EB">
        <w:tc>
          <w:tcPr>
            <w:tcW w:w="9498" w:type="dxa"/>
            <w:gridSpan w:val="2"/>
            <w:tcBorders>
              <w:top w:val="single" w:sz="4" w:space="0" w:color="auto"/>
              <w:left w:val="single" w:sz="4" w:space="0" w:color="auto"/>
              <w:bottom w:val="single" w:sz="4" w:space="0" w:color="auto"/>
              <w:right w:val="single" w:sz="4" w:space="0" w:color="auto"/>
            </w:tcBorders>
            <w:vAlign w:val="center"/>
          </w:tcPr>
          <w:p w14:paraId="31E406A3" w14:textId="77777777" w:rsidR="00675EC0" w:rsidRPr="00675EC0" w:rsidRDefault="00675EC0" w:rsidP="00675EC0">
            <w:pPr>
              <w:tabs>
                <w:tab w:val="left" w:pos="560"/>
              </w:tabs>
              <w:suppressAutoHyphens/>
              <w:spacing w:after="0" w:line="240" w:lineRule="auto"/>
              <w:ind w:right="737"/>
              <w:rPr>
                <w:rFonts w:ascii="Cambria" w:hAnsi="Cambria" w:cs="Calibri"/>
                <w:b/>
                <w:bCs/>
                <w:sz w:val="20"/>
                <w:szCs w:val="20"/>
              </w:rPr>
            </w:pPr>
            <w:r w:rsidRPr="00675EC0">
              <w:rPr>
                <w:rFonts w:ascii="Cambria" w:hAnsi="Cambria"/>
                <w:b/>
                <w:sz w:val="20"/>
                <w:szCs w:val="20"/>
              </w:rPr>
              <w:t>FIFTH PART: MEASURES OF SATISFACTION</w:t>
            </w:r>
          </w:p>
        </w:tc>
      </w:tr>
      <w:tr w:rsidR="00FB03EB" w:rsidRPr="00675EC0" w14:paraId="47DBE944" w14:textId="77777777" w:rsidTr="00FB03EB">
        <w:tc>
          <w:tcPr>
            <w:tcW w:w="4395" w:type="dxa"/>
            <w:tcBorders>
              <w:top w:val="single" w:sz="4" w:space="0" w:color="auto"/>
              <w:left w:val="single" w:sz="4" w:space="0" w:color="auto"/>
              <w:bottom w:val="single" w:sz="4" w:space="0" w:color="auto"/>
              <w:right w:val="single" w:sz="4" w:space="0" w:color="auto"/>
            </w:tcBorders>
            <w:vAlign w:val="center"/>
          </w:tcPr>
          <w:p w14:paraId="7FA5BFBA" w14:textId="77777777" w:rsidR="00675EC0" w:rsidRPr="00675EC0" w:rsidRDefault="00675EC0" w:rsidP="00675EC0">
            <w:pPr>
              <w:suppressAutoHyphens/>
              <w:spacing w:after="0" w:line="240" w:lineRule="auto"/>
              <w:jc w:val="both"/>
              <w:rPr>
                <w:rFonts w:ascii="Cambria" w:eastAsia="Times New Roman" w:hAnsi="Cambria"/>
                <w:b/>
                <w:bCs/>
                <w:sz w:val="20"/>
                <w:szCs w:val="20"/>
              </w:rPr>
            </w:pPr>
            <w:r w:rsidRPr="00675EC0">
              <w:rPr>
                <w:rFonts w:ascii="Cambria" w:hAnsi="Cambria"/>
                <w:b/>
                <w:sz w:val="20"/>
                <w:szCs w:val="20"/>
              </w:rPr>
              <w:t xml:space="preserve"> 1. Act of Acknowledgment of Responsibility:</w:t>
            </w:r>
          </w:p>
          <w:p w14:paraId="14B942B3" w14:textId="77777777" w:rsidR="00675EC0" w:rsidRPr="00675EC0" w:rsidRDefault="00675EC0" w:rsidP="00675EC0">
            <w:pPr>
              <w:suppressAutoHyphens/>
              <w:spacing w:after="0" w:line="240" w:lineRule="auto"/>
              <w:jc w:val="both"/>
              <w:rPr>
                <w:rFonts w:ascii="Cambria" w:eastAsia="Times New Roman" w:hAnsi="Cambria"/>
                <w:sz w:val="20"/>
                <w:szCs w:val="20"/>
              </w:rPr>
            </w:pPr>
            <w:r w:rsidRPr="00675EC0">
              <w:rPr>
                <w:rFonts w:ascii="Cambria" w:hAnsi="Cambria"/>
                <w:sz w:val="20"/>
                <w:szCs w:val="20"/>
              </w:rPr>
              <w:t xml:space="preserve">The Colombian State is to perform a Public Act of Acknowledgement of Responsibility, which is to be conducted in a virtual manner with the participation of the family of Mr. Franklin Bustamante and their representatives. The act shall be performed pursuant to the acknowledgement of responsibility mentioned in this Agreement. </w:t>
            </w:r>
          </w:p>
          <w:p w14:paraId="224097BC" w14:textId="77777777" w:rsidR="00675EC0" w:rsidRPr="00675EC0" w:rsidRDefault="00675EC0" w:rsidP="00675EC0">
            <w:pPr>
              <w:suppressAutoHyphens/>
              <w:spacing w:after="0" w:line="240" w:lineRule="auto"/>
              <w:jc w:val="both"/>
              <w:rPr>
                <w:rFonts w:ascii="Cambria" w:eastAsia="Times New Roman" w:hAnsi="Cambria"/>
                <w:sz w:val="20"/>
                <w:szCs w:val="20"/>
              </w:rPr>
            </w:pPr>
            <w:r w:rsidRPr="00675EC0">
              <w:rPr>
                <w:rFonts w:ascii="Cambria" w:hAnsi="Cambria"/>
                <w:sz w:val="20"/>
                <w:szCs w:val="20"/>
              </w:rPr>
              <w:t>The present measure shall be performed by the National Agency of Juridical Defense of the State.</w:t>
            </w:r>
          </w:p>
        </w:tc>
        <w:tc>
          <w:tcPr>
            <w:tcW w:w="5103" w:type="dxa"/>
            <w:tcBorders>
              <w:top w:val="single" w:sz="4" w:space="0" w:color="auto"/>
              <w:left w:val="single" w:sz="4" w:space="0" w:color="auto"/>
              <w:bottom w:val="single" w:sz="4" w:space="0" w:color="auto"/>
              <w:right w:val="single" w:sz="4" w:space="0" w:color="auto"/>
            </w:tcBorders>
            <w:vAlign w:val="center"/>
            <w:hideMark/>
          </w:tcPr>
          <w:p w14:paraId="2309BE72" w14:textId="77777777" w:rsidR="00675EC0" w:rsidRPr="00675EC0" w:rsidRDefault="00675EC0" w:rsidP="00675EC0">
            <w:pPr>
              <w:suppressAutoHyphens/>
              <w:spacing w:after="0" w:line="240" w:lineRule="auto"/>
              <w:jc w:val="center"/>
              <w:rPr>
                <w:rFonts w:ascii="Cambria" w:eastAsia="Batang" w:hAnsi="Cambria"/>
                <w:color w:val="000000"/>
                <w:sz w:val="20"/>
                <w:szCs w:val="20"/>
              </w:rPr>
            </w:pPr>
            <w:r w:rsidRPr="00675EC0">
              <w:rPr>
                <w:rFonts w:ascii="Cambria" w:hAnsi="Cambria"/>
                <w:b/>
                <w:color w:val="000000"/>
                <w:sz w:val="20"/>
                <w:szCs w:val="20"/>
              </w:rPr>
              <w:t>Total</w:t>
            </w:r>
            <w:r w:rsidRPr="00675EC0">
              <w:rPr>
                <w:rFonts w:ascii="Cambria" w:eastAsia="Batang" w:hAnsi="Cambria"/>
                <w:b/>
                <w:color w:val="000000"/>
                <w:sz w:val="20"/>
                <w:szCs w:val="20"/>
                <w:vertAlign w:val="superscript"/>
              </w:rPr>
              <w:footnoteReference w:id="2"/>
            </w:r>
          </w:p>
        </w:tc>
      </w:tr>
      <w:tr w:rsidR="00FB03EB" w:rsidRPr="00675EC0" w14:paraId="5F5DED26" w14:textId="77777777" w:rsidTr="00FB03EB">
        <w:trPr>
          <w:trHeight w:val="350"/>
        </w:trPr>
        <w:tc>
          <w:tcPr>
            <w:tcW w:w="4395" w:type="dxa"/>
            <w:tcBorders>
              <w:top w:val="single" w:sz="4" w:space="0" w:color="auto"/>
              <w:left w:val="single" w:sz="4" w:space="0" w:color="auto"/>
              <w:bottom w:val="single" w:sz="4" w:space="0" w:color="auto"/>
              <w:right w:val="single" w:sz="4" w:space="0" w:color="auto"/>
            </w:tcBorders>
          </w:tcPr>
          <w:p w14:paraId="5A90A4FA" w14:textId="77777777" w:rsidR="00675EC0" w:rsidRPr="00675EC0" w:rsidRDefault="00675EC0" w:rsidP="00675EC0">
            <w:pPr>
              <w:suppressAutoHyphens/>
              <w:spacing w:after="0" w:line="240" w:lineRule="auto"/>
              <w:jc w:val="both"/>
              <w:rPr>
                <w:rFonts w:ascii="Cambria" w:eastAsia="Times New Roman" w:hAnsi="Cambria"/>
                <w:b/>
                <w:bCs/>
                <w:sz w:val="20"/>
                <w:szCs w:val="20"/>
              </w:rPr>
            </w:pPr>
            <w:r w:rsidRPr="00675EC0">
              <w:rPr>
                <w:rFonts w:ascii="Cambria" w:hAnsi="Cambria"/>
                <w:b/>
                <w:sz w:val="20"/>
                <w:szCs w:val="20"/>
              </w:rPr>
              <w:t>2.Publication of the Report of Article 49:</w:t>
            </w:r>
          </w:p>
          <w:p w14:paraId="7A15EB66" w14:textId="77777777" w:rsidR="00675EC0" w:rsidRPr="00675EC0" w:rsidRDefault="00675EC0" w:rsidP="00675EC0">
            <w:pPr>
              <w:suppressAutoHyphens/>
              <w:spacing w:after="0" w:line="240" w:lineRule="auto"/>
              <w:jc w:val="both"/>
              <w:rPr>
                <w:rFonts w:ascii="Cambria" w:eastAsia="Times New Roman" w:hAnsi="Cambria"/>
                <w:sz w:val="20"/>
                <w:szCs w:val="20"/>
              </w:rPr>
            </w:pPr>
            <w:r w:rsidRPr="00675EC0">
              <w:rPr>
                <w:rFonts w:ascii="Cambria" w:hAnsi="Cambria"/>
                <w:sz w:val="20"/>
                <w:szCs w:val="20"/>
              </w:rPr>
              <w:t xml:space="preserve">The Colombian State shall carry out the publication of the Report of article 49 of the IACHR, once it is issued by the Inter-American Commission on Human Rights, on the web page of the National Agency of Juridical Defense of the State, for the term of six (6) months. </w:t>
            </w:r>
          </w:p>
          <w:p w14:paraId="35F4AD6E" w14:textId="77777777" w:rsidR="00675EC0" w:rsidRPr="00675EC0" w:rsidRDefault="00675EC0" w:rsidP="00675EC0">
            <w:pPr>
              <w:suppressAutoHyphens/>
              <w:spacing w:after="0" w:line="240" w:lineRule="auto"/>
              <w:jc w:val="both"/>
              <w:rPr>
                <w:rFonts w:ascii="Cambria" w:eastAsia="Times New Roman" w:hAnsi="Cambria"/>
                <w:sz w:val="20"/>
                <w:szCs w:val="20"/>
              </w:rPr>
            </w:pPr>
          </w:p>
        </w:tc>
        <w:tc>
          <w:tcPr>
            <w:tcW w:w="5103" w:type="dxa"/>
            <w:tcBorders>
              <w:top w:val="single" w:sz="4" w:space="0" w:color="auto"/>
              <w:left w:val="single" w:sz="4" w:space="0" w:color="auto"/>
              <w:bottom w:val="single" w:sz="4" w:space="0" w:color="auto"/>
              <w:right w:val="single" w:sz="4" w:space="0" w:color="auto"/>
            </w:tcBorders>
            <w:vAlign w:val="center"/>
            <w:hideMark/>
          </w:tcPr>
          <w:p w14:paraId="06AE14BB" w14:textId="77777777" w:rsidR="00675EC0" w:rsidRPr="00675EC0" w:rsidRDefault="00675EC0" w:rsidP="00675EC0">
            <w:pPr>
              <w:suppressAutoHyphens/>
              <w:spacing w:after="0" w:line="240" w:lineRule="auto"/>
              <w:jc w:val="center"/>
              <w:rPr>
                <w:rFonts w:ascii="Cambria" w:eastAsia="Batang" w:hAnsi="Cambria"/>
                <w:b/>
                <w:bCs/>
                <w:color w:val="000000"/>
                <w:sz w:val="20"/>
                <w:szCs w:val="20"/>
              </w:rPr>
            </w:pPr>
            <w:r w:rsidRPr="00675EC0">
              <w:rPr>
                <w:rFonts w:ascii="Cambria" w:hAnsi="Cambria"/>
                <w:b/>
                <w:color w:val="000000"/>
                <w:sz w:val="20"/>
                <w:szCs w:val="20"/>
              </w:rPr>
              <w:t>Total</w:t>
            </w:r>
            <w:r w:rsidRPr="00675EC0">
              <w:rPr>
                <w:rFonts w:ascii="Cambria" w:hAnsi="Cambria"/>
                <w:b/>
                <w:color w:val="000000"/>
                <w:sz w:val="20"/>
                <w:szCs w:val="20"/>
                <w:vertAlign w:val="superscript"/>
              </w:rPr>
              <w:footnoteReference w:id="3"/>
            </w:r>
          </w:p>
        </w:tc>
      </w:tr>
      <w:tr w:rsidR="00FB03EB" w:rsidRPr="00675EC0" w14:paraId="3F5E470B" w14:textId="77777777" w:rsidTr="00FB03EB">
        <w:trPr>
          <w:trHeight w:val="350"/>
        </w:trPr>
        <w:tc>
          <w:tcPr>
            <w:tcW w:w="9498" w:type="dxa"/>
            <w:gridSpan w:val="2"/>
            <w:tcBorders>
              <w:top w:val="single" w:sz="4" w:space="0" w:color="auto"/>
              <w:left w:val="single" w:sz="4" w:space="0" w:color="auto"/>
              <w:bottom w:val="single" w:sz="4" w:space="0" w:color="auto"/>
              <w:right w:val="single" w:sz="4" w:space="0" w:color="auto"/>
            </w:tcBorders>
            <w:vAlign w:val="center"/>
          </w:tcPr>
          <w:p w14:paraId="315FB2E2" w14:textId="77777777" w:rsidR="00675EC0" w:rsidRPr="00675EC0" w:rsidRDefault="00675EC0" w:rsidP="00675EC0">
            <w:pPr>
              <w:suppressAutoHyphens/>
              <w:spacing w:after="0" w:line="240" w:lineRule="auto"/>
              <w:rPr>
                <w:rFonts w:ascii="Cambria" w:eastAsia="Batang" w:hAnsi="Cambria"/>
                <w:color w:val="000000"/>
                <w:sz w:val="20"/>
                <w:szCs w:val="20"/>
              </w:rPr>
            </w:pPr>
            <w:r w:rsidRPr="00675EC0">
              <w:rPr>
                <w:rFonts w:ascii="Cambria" w:hAnsi="Cambria"/>
                <w:b/>
                <w:sz w:val="20"/>
                <w:szCs w:val="20"/>
              </w:rPr>
              <w:t>SIXTH PART: MEASURES OF COMPENSATION</w:t>
            </w:r>
          </w:p>
        </w:tc>
      </w:tr>
      <w:tr w:rsidR="00FB03EB" w:rsidRPr="00675EC0" w14:paraId="43B77C05" w14:textId="77777777" w:rsidTr="00FB03EB">
        <w:trPr>
          <w:trHeight w:val="602"/>
        </w:trPr>
        <w:tc>
          <w:tcPr>
            <w:tcW w:w="4395" w:type="dxa"/>
            <w:tcBorders>
              <w:top w:val="single" w:sz="4" w:space="0" w:color="auto"/>
              <w:left w:val="single" w:sz="4" w:space="0" w:color="auto"/>
              <w:bottom w:val="single" w:sz="4" w:space="0" w:color="auto"/>
              <w:right w:val="single" w:sz="4" w:space="0" w:color="auto"/>
            </w:tcBorders>
          </w:tcPr>
          <w:p w14:paraId="1ED83AA7" w14:textId="77777777" w:rsidR="009C55E2" w:rsidRPr="00675EC0" w:rsidRDefault="009C55E2" w:rsidP="00675EC0">
            <w:pPr>
              <w:suppressAutoHyphens/>
              <w:spacing w:after="0" w:line="240" w:lineRule="auto"/>
              <w:jc w:val="both"/>
              <w:rPr>
                <w:rFonts w:ascii="Cambria" w:eastAsia="Times New Roman" w:hAnsi="Cambria"/>
                <w:sz w:val="20"/>
                <w:szCs w:val="20"/>
              </w:rPr>
            </w:pPr>
            <w:r w:rsidRPr="00675EC0">
              <w:rPr>
                <w:rFonts w:ascii="Cambria" w:hAnsi="Cambria"/>
                <w:sz w:val="20"/>
                <w:szCs w:val="20"/>
              </w:rPr>
              <w:t xml:space="preserve">The State is obliged to initiate the compliance of Law 288 of 1996 “By means of which  instruments are established for the compensation of detriment to the victims of human rights violations by virtue of the set forth by certain international human rights bodies”, once the present Friendly Settlement Agreement is homologated by means of the issuance of the Report of Article 49 of the American Convention on Human Rights, with the purpose of repairing the detriment caused to the family of the victims </w:t>
            </w:r>
            <w:r w:rsidRPr="00675EC0">
              <w:rPr>
                <w:rFonts w:ascii="Cambria" w:hAnsi="Cambria"/>
                <w:sz w:val="20"/>
                <w:szCs w:val="20"/>
              </w:rPr>
              <w:lastRenderedPageBreak/>
              <w:t xml:space="preserve">as a consequence of the affectations generated by the facts of the present case. </w:t>
            </w:r>
          </w:p>
          <w:p w14:paraId="684EE159" w14:textId="77777777" w:rsidR="009C55E2" w:rsidRPr="00675EC0" w:rsidRDefault="009C55E2" w:rsidP="00675EC0">
            <w:pPr>
              <w:suppressAutoHyphens/>
              <w:spacing w:after="0" w:line="240" w:lineRule="auto"/>
              <w:jc w:val="both"/>
              <w:rPr>
                <w:rFonts w:ascii="Cambria" w:eastAsia="Times New Roman" w:hAnsi="Cambria"/>
                <w:sz w:val="20"/>
                <w:szCs w:val="20"/>
              </w:rPr>
            </w:pPr>
            <w:r w:rsidRPr="00675EC0">
              <w:rPr>
                <w:rFonts w:ascii="Cambria" w:hAnsi="Cambria"/>
                <w:sz w:val="20"/>
                <w:szCs w:val="20"/>
              </w:rPr>
              <w:t xml:space="preserve">The National Agency of Juridical Defense of the State shall be the entity in charge of assuming the compliance of Law 288 of 1996. </w:t>
            </w:r>
          </w:p>
          <w:p w14:paraId="3527F484" w14:textId="77777777" w:rsidR="009C55E2" w:rsidRPr="00675EC0" w:rsidRDefault="009C55E2" w:rsidP="00675EC0">
            <w:pPr>
              <w:suppressAutoHyphens/>
              <w:spacing w:after="0" w:line="240" w:lineRule="auto"/>
              <w:jc w:val="both"/>
              <w:rPr>
                <w:rFonts w:ascii="Cambria" w:eastAsia="Times New Roman" w:hAnsi="Cambria"/>
                <w:sz w:val="20"/>
                <w:szCs w:val="20"/>
              </w:rPr>
            </w:pPr>
            <w:r w:rsidRPr="00675EC0">
              <w:rPr>
                <w:rFonts w:ascii="Cambria" w:hAnsi="Cambria"/>
                <w:sz w:val="20"/>
                <w:szCs w:val="20"/>
              </w:rPr>
              <w:t>For purposes of compensation, the criteria and amounts recognized by the current jurisprudence of the State Council is to be resorted.</w:t>
            </w:r>
          </w:p>
        </w:tc>
        <w:tc>
          <w:tcPr>
            <w:tcW w:w="5103" w:type="dxa"/>
            <w:tcBorders>
              <w:top w:val="single" w:sz="4" w:space="0" w:color="auto"/>
              <w:left w:val="single" w:sz="4" w:space="0" w:color="auto"/>
              <w:bottom w:val="single" w:sz="4" w:space="0" w:color="auto"/>
              <w:right w:val="single" w:sz="4" w:space="0" w:color="auto"/>
            </w:tcBorders>
            <w:vAlign w:val="center"/>
          </w:tcPr>
          <w:p w14:paraId="3FD0AE32" w14:textId="63A4B119" w:rsidR="009C55E2" w:rsidRPr="00675EC0" w:rsidRDefault="009C55E2" w:rsidP="009C55E2">
            <w:pPr>
              <w:suppressAutoHyphens/>
              <w:spacing w:after="0" w:line="240" w:lineRule="auto"/>
              <w:jc w:val="center"/>
              <w:rPr>
                <w:rFonts w:ascii="Cambria" w:eastAsia="Batang" w:hAnsi="Cambria"/>
                <w:color w:val="000000"/>
                <w:sz w:val="20"/>
                <w:szCs w:val="20"/>
              </w:rPr>
            </w:pPr>
            <w:r w:rsidRPr="00675EC0">
              <w:rPr>
                <w:rFonts w:ascii="Cambria" w:eastAsia="Batang" w:hAnsi="Cambria"/>
                <w:b/>
                <w:bCs/>
                <w:color w:val="000000"/>
                <w:sz w:val="20"/>
                <w:szCs w:val="20"/>
                <w:lang w:val="es-CO"/>
              </w:rPr>
              <w:lastRenderedPageBreak/>
              <w:t>Total</w:t>
            </w:r>
            <w:r>
              <w:rPr>
                <w:rStyle w:val="FootnoteReference"/>
                <w:rFonts w:ascii="Cambria" w:eastAsia="Batang" w:hAnsi="Cambria"/>
                <w:b/>
                <w:bCs/>
                <w:color w:val="000000"/>
                <w:sz w:val="20"/>
                <w:szCs w:val="20"/>
                <w:lang w:val="es-CO"/>
              </w:rPr>
              <w:footnoteReference w:id="4"/>
            </w:r>
          </w:p>
        </w:tc>
      </w:tr>
    </w:tbl>
    <w:p w14:paraId="711DAD12" w14:textId="77777777" w:rsidR="00675EC0" w:rsidRPr="00675EC0" w:rsidRDefault="00675EC0" w:rsidP="00675EC0">
      <w:pPr>
        <w:suppressAutoHyphens/>
        <w:spacing w:after="0" w:line="240" w:lineRule="auto"/>
        <w:ind w:firstLine="709"/>
        <w:rPr>
          <w:rFonts w:ascii="Cambria" w:eastAsia="Batang" w:hAnsi="Cambria"/>
          <w:color w:val="000000"/>
          <w:sz w:val="20"/>
          <w:szCs w:val="20"/>
        </w:rPr>
      </w:pPr>
    </w:p>
    <w:p w14:paraId="52F3BE7B" w14:textId="77777777" w:rsidR="00675EC0" w:rsidRPr="00675EC0" w:rsidRDefault="00675EC0" w:rsidP="00675EC0">
      <w:pPr>
        <w:numPr>
          <w:ilvl w:val="0"/>
          <w:numId w:val="47"/>
        </w:numPr>
        <w:suppressAutoHyphens/>
        <w:spacing w:after="0" w:line="240" w:lineRule="auto"/>
        <w:ind w:left="0" w:firstLine="709"/>
        <w:contextualSpacing/>
        <w:rPr>
          <w:rFonts w:ascii="Cambria" w:hAnsi="Cambria" w:cs="Calibri Light"/>
          <w:b/>
          <w:color w:val="000000"/>
          <w:sz w:val="20"/>
          <w:szCs w:val="20"/>
        </w:rPr>
      </w:pPr>
      <w:r w:rsidRPr="00675EC0">
        <w:rPr>
          <w:rFonts w:ascii="Cambria" w:hAnsi="Cambria"/>
          <w:b/>
          <w:color w:val="000000"/>
          <w:sz w:val="20"/>
          <w:szCs w:val="20"/>
        </w:rPr>
        <w:t>LEVEL OF COMPLIANCE OF THE CASE</w:t>
      </w:r>
    </w:p>
    <w:p w14:paraId="1D9B9CDC" w14:textId="77777777" w:rsidR="00AC40B7" w:rsidRPr="00091458" w:rsidRDefault="00AC40B7" w:rsidP="00AC40B7">
      <w:pPr>
        <w:suppressAutoHyphens/>
        <w:spacing w:after="0" w:line="240" w:lineRule="auto"/>
        <w:rPr>
          <w:rFonts w:ascii="Cambria" w:hAnsi="Cambria"/>
          <w:color w:val="000000"/>
          <w:sz w:val="20"/>
          <w:szCs w:val="20"/>
        </w:rPr>
      </w:pPr>
    </w:p>
    <w:p w14:paraId="75DD52F9" w14:textId="77777777" w:rsidR="00AC40B7" w:rsidRPr="00091458" w:rsidRDefault="00AC40B7" w:rsidP="00AC40B7">
      <w:pPr>
        <w:tabs>
          <w:tab w:val="left" w:pos="1440"/>
        </w:tabs>
        <w:suppressAutoHyphens/>
        <w:spacing w:after="0" w:line="240" w:lineRule="auto"/>
        <w:ind w:firstLine="709"/>
        <w:contextualSpacing/>
        <w:jc w:val="both"/>
        <w:rPr>
          <w:rFonts w:ascii="Cambria" w:eastAsia="Batang" w:hAnsi="Cambria" w:cs="Calibri Light"/>
          <w:color w:val="000000"/>
          <w:sz w:val="20"/>
          <w:szCs w:val="20"/>
        </w:rPr>
      </w:pPr>
      <w:r w:rsidRPr="00091458">
        <w:rPr>
          <w:rFonts w:ascii="Cambria" w:eastAsia="Batang" w:hAnsi="Cambria" w:cs="Calibri Light"/>
          <w:color w:val="000000"/>
          <w:sz w:val="20"/>
          <w:szCs w:val="20"/>
        </w:rPr>
        <w:t>3.</w:t>
      </w:r>
      <w:r w:rsidRPr="00091458">
        <w:rPr>
          <w:rFonts w:ascii="Cambria" w:eastAsia="Batang" w:hAnsi="Cambria" w:cs="Calibri Light"/>
          <w:color w:val="000000"/>
          <w:sz w:val="20"/>
          <w:szCs w:val="20"/>
        </w:rPr>
        <w:tab/>
        <w:t xml:space="preserve">The Commission declared full compliance with the case and the ceasing of the follow-up of the friendly settlement agreement in the 2024 Annual Report. </w:t>
      </w:r>
    </w:p>
    <w:p w14:paraId="0A43E919" w14:textId="2ADC2BDC" w:rsidR="00675EC0" w:rsidRPr="00675EC0" w:rsidRDefault="00675EC0" w:rsidP="00675EC0">
      <w:pPr>
        <w:suppressAutoHyphens/>
        <w:spacing w:after="0" w:line="240" w:lineRule="auto"/>
        <w:ind w:firstLine="709"/>
        <w:contextualSpacing/>
        <w:jc w:val="both"/>
        <w:rPr>
          <w:rFonts w:ascii="Cambria" w:eastAsia="Times New Roman" w:hAnsi="Cambria"/>
          <w:sz w:val="20"/>
          <w:szCs w:val="20"/>
          <w:lang w:eastAsia="es-ES_tradnl"/>
        </w:rPr>
      </w:pPr>
    </w:p>
    <w:p w14:paraId="6A5220FF" w14:textId="77777777" w:rsidR="00675EC0" w:rsidRPr="00675EC0" w:rsidRDefault="00675EC0" w:rsidP="00675EC0">
      <w:pPr>
        <w:numPr>
          <w:ilvl w:val="0"/>
          <w:numId w:val="47"/>
        </w:numPr>
        <w:suppressAutoHyphens/>
        <w:spacing w:after="0" w:line="240" w:lineRule="auto"/>
        <w:ind w:left="0" w:firstLine="709"/>
        <w:contextualSpacing/>
        <w:rPr>
          <w:rFonts w:ascii="Cambria" w:hAnsi="Cambria" w:cs="Calibri Light"/>
          <w:b/>
          <w:color w:val="000000"/>
          <w:sz w:val="20"/>
          <w:szCs w:val="20"/>
        </w:rPr>
      </w:pPr>
      <w:r w:rsidRPr="00675EC0">
        <w:rPr>
          <w:rFonts w:ascii="Cambria" w:hAnsi="Cambria"/>
          <w:b/>
          <w:color w:val="000000"/>
          <w:sz w:val="20"/>
          <w:szCs w:val="20"/>
        </w:rPr>
        <w:t xml:space="preserve">INDIVIDUAL AND STRUCTURAL OUTCOMES OF THE CASE </w:t>
      </w:r>
    </w:p>
    <w:p w14:paraId="6BC8CA53" w14:textId="77777777" w:rsidR="00675EC0" w:rsidRPr="00675EC0" w:rsidRDefault="00675EC0" w:rsidP="00675EC0">
      <w:pPr>
        <w:suppressAutoHyphens/>
        <w:spacing w:after="0" w:line="240" w:lineRule="auto"/>
        <w:ind w:firstLine="709"/>
        <w:contextualSpacing/>
        <w:jc w:val="both"/>
        <w:rPr>
          <w:rFonts w:ascii="Cambria" w:eastAsia="Batang" w:hAnsi="Cambria" w:cs="Calibri Light"/>
          <w:b/>
          <w:color w:val="000000"/>
          <w:sz w:val="20"/>
          <w:szCs w:val="20"/>
        </w:rPr>
      </w:pPr>
    </w:p>
    <w:p w14:paraId="1106BD61" w14:textId="77777777" w:rsidR="00675EC0" w:rsidRPr="00675EC0" w:rsidRDefault="00675EC0" w:rsidP="00675EC0">
      <w:pPr>
        <w:numPr>
          <w:ilvl w:val="0"/>
          <w:numId w:val="49"/>
        </w:numPr>
        <w:suppressAutoHyphens/>
        <w:spacing w:after="0" w:line="240" w:lineRule="auto"/>
        <w:ind w:left="1418" w:hanging="709"/>
        <w:contextualSpacing/>
        <w:rPr>
          <w:rFonts w:ascii="Cambria" w:hAnsi="Cambria" w:cs="Calibri Light"/>
          <w:b/>
          <w:color w:val="000000"/>
          <w:sz w:val="20"/>
          <w:szCs w:val="20"/>
        </w:rPr>
      </w:pPr>
      <w:r w:rsidRPr="00675EC0">
        <w:rPr>
          <w:rFonts w:ascii="Cambria" w:hAnsi="Cambria"/>
          <w:b/>
          <w:color w:val="000000"/>
          <w:sz w:val="20"/>
          <w:szCs w:val="20"/>
        </w:rPr>
        <w:t>Individual outcomes of the case</w:t>
      </w:r>
    </w:p>
    <w:p w14:paraId="4A9BE304" w14:textId="77777777" w:rsidR="00675EC0" w:rsidRPr="00675EC0" w:rsidRDefault="00675EC0" w:rsidP="00675EC0">
      <w:pPr>
        <w:suppressAutoHyphens/>
        <w:spacing w:after="0" w:line="240" w:lineRule="auto"/>
        <w:ind w:left="1440" w:hanging="720"/>
        <w:contextualSpacing/>
        <w:jc w:val="both"/>
        <w:rPr>
          <w:rFonts w:ascii="Cambria" w:eastAsia="Batang" w:hAnsi="Cambria" w:cs="Calibri Light"/>
          <w:b/>
          <w:color w:val="000000"/>
          <w:sz w:val="20"/>
          <w:szCs w:val="20"/>
        </w:rPr>
      </w:pPr>
    </w:p>
    <w:p w14:paraId="5960F3CF" w14:textId="77777777" w:rsidR="00675EC0" w:rsidRPr="00675EC0" w:rsidRDefault="00675EC0" w:rsidP="00675EC0">
      <w:pPr>
        <w:numPr>
          <w:ilvl w:val="0"/>
          <w:numId w:val="46"/>
        </w:numPr>
        <w:tabs>
          <w:tab w:val="left" w:pos="1440"/>
        </w:tabs>
        <w:suppressAutoHyphens/>
        <w:autoSpaceDE w:val="0"/>
        <w:autoSpaceDN w:val="0"/>
        <w:adjustRightInd w:val="0"/>
        <w:spacing w:after="0" w:line="240" w:lineRule="auto"/>
        <w:ind w:left="1440" w:hanging="720"/>
        <w:contextualSpacing/>
        <w:jc w:val="both"/>
        <w:rPr>
          <w:rFonts w:ascii="Cambria" w:hAnsi="Cambria"/>
          <w:sz w:val="20"/>
          <w:szCs w:val="20"/>
        </w:rPr>
      </w:pPr>
      <w:r w:rsidRPr="00675EC0">
        <w:rPr>
          <w:rFonts w:ascii="Cambria" w:hAnsi="Cambria"/>
          <w:color w:val="000000"/>
          <w:sz w:val="20"/>
          <w:szCs w:val="20"/>
        </w:rPr>
        <w:t xml:space="preserve">The State carried out the act of recognition of responsibility on October 22, 2021, through a virtual platform in the context of the COVID 19 pandemic. </w:t>
      </w:r>
    </w:p>
    <w:p w14:paraId="7776207E" w14:textId="40EF1569" w:rsidR="00675EC0" w:rsidRPr="00675EC0" w:rsidRDefault="00675EC0" w:rsidP="00675EC0">
      <w:pPr>
        <w:numPr>
          <w:ilvl w:val="0"/>
          <w:numId w:val="12"/>
        </w:numPr>
        <w:suppressAutoHyphens/>
        <w:spacing w:after="0" w:line="240" w:lineRule="auto"/>
        <w:ind w:left="1440" w:hanging="720"/>
        <w:contextualSpacing/>
        <w:jc w:val="both"/>
        <w:rPr>
          <w:rFonts w:ascii="Cambria" w:eastAsia="Batang" w:hAnsi="Cambria"/>
          <w:color w:val="000000"/>
          <w:sz w:val="20"/>
          <w:szCs w:val="20"/>
        </w:rPr>
      </w:pPr>
      <w:r w:rsidRPr="00675EC0">
        <w:rPr>
          <w:rFonts w:ascii="Cambria" w:hAnsi="Cambria"/>
          <w:color w:val="000000"/>
          <w:sz w:val="20"/>
          <w:szCs w:val="20"/>
        </w:rPr>
        <w:t xml:space="preserve">The State moved forward with the processing of Law 288 of 1996 by </w:t>
      </w:r>
      <w:r w:rsidRPr="00675EC0">
        <w:rPr>
          <w:rFonts w:ascii="Cambria" w:eastAsia="Batang" w:hAnsi="Cambria"/>
          <w:color w:val="000000"/>
          <w:sz w:val="20"/>
          <w:szCs w:val="20"/>
        </w:rPr>
        <w:t xml:space="preserve">paying compensation to the beneficiaries of the friendly settlement agreement by Resolution No. 703 of December 20, </w:t>
      </w:r>
      <w:r w:rsidR="00AC40B7" w:rsidRPr="00675EC0">
        <w:rPr>
          <w:rFonts w:ascii="Cambria" w:eastAsia="Batang" w:hAnsi="Cambria"/>
          <w:color w:val="000000"/>
          <w:sz w:val="20"/>
          <w:szCs w:val="20"/>
        </w:rPr>
        <w:t>2023,</w:t>
      </w:r>
      <w:r w:rsidRPr="00675EC0">
        <w:rPr>
          <w:rFonts w:ascii="Cambria" w:eastAsia="Batang" w:hAnsi="Cambria"/>
          <w:color w:val="000000"/>
          <w:sz w:val="20"/>
          <w:szCs w:val="20"/>
        </w:rPr>
        <w:t xml:space="preserve"> for a total amount of $522,000,000.</w:t>
      </w:r>
    </w:p>
    <w:p w14:paraId="09C968E1" w14:textId="77777777" w:rsidR="00675EC0" w:rsidRPr="00675EC0" w:rsidRDefault="00675EC0" w:rsidP="00675EC0">
      <w:pPr>
        <w:autoSpaceDE w:val="0"/>
        <w:autoSpaceDN w:val="0"/>
        <w:adjustRightInd w:val="0"/>
        <w:spacing w:after="0" w:line="240" w:lineRule="auto"/>
        <w:ind w:left="720"/>
        <w:contextualSpacing/>
        <w:jc w:val="both"/>
        <w:rPr>
          <w:rFonts w:ascii="Cambria" w:eastAsia="Batang" w:hAnsi="Cambria"/>
          <w:color w:val="000000"/>
          <w:sz w:val="20"/>
          <w:szCs w:val="20"/>
        </w:rPr>
      </w:pPr>
    </w:p>
    <w:p w14:paraId="0EC930D2" w14:textId="77777777" w:rsidR="00675EC0" w:rsidRPr="00675EC0" w:rsidRDefault="00675EC0" w:rsidP="00675EC0">
      <w:pPr>
        <w:numPr>
          <w:ilvl w:val="0"/>
          <w:numId w:val="49"/>
        </w:numPr>
        <w:suppressAutoHyphens/>
        <w:autoSpaceDE w:val="0"/>
        <w:autoSpaceDN w:val="0"/>
        <w:adjustRightInd w:val="0"/>
        <w:spacing w:after="0" w:line="240" w:lineRule="auto"/>
        <w:ind w:left="1418" w:hanging="709"/>
        <w:contextualSpacing/>
        <w:jc w:val="both"/>
        <w:rPr>
          <w:rFonts w:ascii="Cambria" w:hAnsi="Cambria"/>
          <w:b/>
          <w:bCs/>
          <w:sz w:val="20"/>
          <w:szCs w:val="20"/>
        </w:rPr>
      </w:pPr>
      <w:r w:rsidRPr="00675EC0">
        <w:rPr>
          <w:rFonts w:ascii="Cambria" w:hAnsi="Cambria"/>
          <w:b/>
          <w:color w:val="000000"/>
          <w:sz w:val="20"/>
          <w:szCs w:val="20"/>
        </w:rPr>
        <w:t>Structural outcomes of the case</w:t>
      </w:r>
    </w:p>
    <w:p w14:paraId="57629ACA" w14:textId="77777777" w:rsidR="00675EC0" w:rsidRPr="00675EC0" w:rsidRDefault="00675EC0" w:rsidP="00675EC0">
      <w:pPr>
        <w:tabs>
          <w:tab w:val="left" w:pos="1440"/>
        </w:tabs>
        <w:suppressAutoHyphens/>
        <w:autoSpaceDE w:val="0"/>
        <w:autoSpaceDN w:val="0"/>
        <w:adjustRightInd w:val="0"/>
        <w:spacing w:after="0" w:line="240" w:lineRule="auto"/>
        <w:ind w:left="1080"/>
        <w:contextualSpacing/>
        <w:jc w:val="both"/>
        <w:rPr>
          <w:rFonts w:ascii="Cambria" w:hAnsi="Cambria"/>
          <w:sz w:val="20"/>
          <w:szCs w:val="20"/>
        </w:rPr>
      </w:pPr>
    </w:p>
    <w:p w14:paraId="72628587" w14:textId="77116805" w:rsidR="00F74974" w:rsidRPr="00675EC0" w:rsidRDefault="00675EC0" w:rsidP="00675EC0">
      <w:pPr>
        <w:numPr>
          <w:ilvl w:val="0"/>
          <w:numId w:val="46"/>
        </w:numPr>
        <w:suppressAutoHyphens/>
        <w:spacing w:after="0" w:line="240" w:lineRule="auto"/>
        <w:ind w:left="1440" w:hanging="720"/>
        <w:contextualSpacing/>
        <w:jc w:val="both"/>
        <w:rPr>
          <w:rFonts w:ascii="Cambria" w:hAnsi="Cambria"/>
          <w:color w:val="000000"/>
          <w:sz w:val="20"/>
          <w:szCs w:val="20"/>
        </w:rPr>
      </w:pPr>
      <w:r w:rsidRPr="00675EC0">
        <w:rPr>
          <w:rFonts w:ascii="Cambria" w:hAnsi="Cambria"/>
          <w:color w:val="000000"/>
          <w:sz w:val="20"/>
          <w:szCs w:val="20"/>
        </w:rPr>
        <w:t>This act was disseminated on the website of the National Legal Defense Agency and various social networks.</w:t>
      </w:r>
    </w:p>
    <w:sectPr w:rsidR="00F74974" w:rsidRPr="00675EC0" w:rsidSect="008E42E1">
      <w:headerReference w:type="default"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B03AB" w14:textId="77777777" w:rsidR="00DB6ED2" w:rsidRDefault="00DB6ED2" w:rsidP="00A343FF">
      <w:pPr>
        <w:spacing w:after="0" w:line="240" w:lineRule="auto"/>
      </w:pPr>
      <w:r>
        <w:separator/>
      </w:r>
    </w:p>
  </w:endnote>
  <w:endnote w:type="continuationSeparator" w:id="0">
    <w:p w14:paraId="5A197A45" w14:textId="77777777" w:rsidR="00DB6ED2" w:rsidRDefault="00DB6ED2" w:rsidP="00A343FF">
      <w:pPr>
        <w:spacing w:after="0" w:line="240" w:lineRule="auto"/>
      </w:pPr>
      <w:r>
        <w:continuationSeparator/>
      </w:r>
    </w:p>
  </w:endnote>
  <w:endnote w:type="continuationNotice" w:id="1">
    <w:p w14:paraId="77E2C389" w14:textId="77777777" w:rsidR="00DB6ED2" w:rsidRDefault="00DB6E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97C8D" w14:textId="77777777" w:rsidR="00A61B5E" w:rsidRPr="00A61B5E" w:rsidRDefault="00A61B5E">
    <w:pPr>
      <w:pStyle w:val="Footer"/>
      <w:jc w:val="center"/>
      <w:rPr>
        <w:color w:val="404040"/>
        <w:sz w:val="16"/>
        <w:szCs w:val="16"/>
      </w:rPr>
    </w:pPr>
    <w:r w:rsidRPr="00A61B5E">
      <w:rPr>
        <w:color w:val="404040"/>
        <w:sz w:val="16"/>
        <w:szCs w:val="16"/>
      </w:rPr>
      <w:fldChar w:fldCharType="begin"/>
    </w:r>
    <w:r w:rsidRPr="00A61B5E">
      <w:rPr>
        <w:color w:val="404040"/>
        <w:sz w:val="16"/>
        <w:szCs w:val="16"/>
      </w:rPr>
      <w:instrText xml:space="preserve"> PAGE   \* MERGEFORMAT </w:instrText>
    </w:r>
    <w:r w:rsidRPr="00A61B5E">
      <w:rPr>
        <w:color w:val="404040"/>
        <w:sz w:val="16"/>
        <w:szCs w:val="16"/>
      </w:rPr>
      <w:fldChar w:fldCharType="separate"/>
    </w:r>
    <w:r w:rsidR="00F74974">
      <w:rPr>
        <w:noProof/>
        <w:color w:val="404040"/>
        <w:sz w:val="16"/>
        <w:szCs w:val="16"/>
      </w:rPr>
      <w:t>2</w:t>
    </w:r>
    <w:r w:rsidRPr="00A61B5E">
      <w:rPr>
        <w:noProof/>
        <w:color w:val="404040"/>
        <w:sz w:val="16"/>
        <w:szCs w:val="16"/>
      </w:rPr>
      <w:fldChar w:fldCharType="end"/>
    </w:r>
  </w:p>
  <w:p w14:paraId="24CBDDDA" w14:textId="77777777" w:rsidR="00F66FEE" w:rsidRDefault="00F66FEE" w:rsidP="008550EF">
    <w:pPr>
      <w:pStyle w:val="Footer"/>
      <w:spacing w:line="360" w:lineRule="auto"/>
      <w:jc w:val="cente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677C7" w14:textId="77777777" w:rsidR="008F2248" w:rsidRDefault="00F14764" w:rsidP="008F2248">
    <w:pPr>
      <w:pStyle w:val="Footer"/>
      <w:spacing w:line="360" w:lineRule="auto"/>
    </w:pPr>
    <w:bookmarkStart w:id="1" w:name="_Hlk204601776"/>
    <w:r>
      <w:rPr>
        <w:noProof/>
      </w:rPr>
      <w:pict w14:anchorId="413C72BF">
        <v:rect id="_x0000_i1027" alt="" style="width:441.9pt;height:.05pt;mso-width-percent:0;mso-height-percent:0;mso-width-percent:0;mso-height-percent:0" o:hralign="center" o:hrstd="t" o:hr="t" fillcolor="#a0a0a0" stroked="f"/>
      </w:pict>
    </w:r>
    <w:bookmarkEnd w:id="1"/>
  </w:p>
  <w:p w14:paraId="36DDBAC6" w14:textId="77777777" w:rsidR="008F2248" w:rsidRDefault="009A73C0" w:rsidP="006E2BD8">
    <w:pPr>
      <w:pStyle w:val="Footer"/>
      <w:jc w:val="center"/>
    </w:pPr>
    <w:r>
      <w:rPr>
        <w:noProof/>
      </w:rPr>
      <w:drawing>
        <wp:inline distT="0" distB="0" distL="0" distR="0" wp14:anchorId="0865921E" wp14:editId="3BA32EF6">
          <wp:extent cx="5238750" cy="323850"/>
          <wp:effectExtent l="0" t="0" r="0" b="0"/>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0" cy="3238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D6522" w14:textId="77777777" w:rsidR="00DB6ED2" w:rsidRDefault="00DB6ED2" w:rsidP="00A343FF">
      <w:pPr>
        <w:spacing w:after="0" w:line="240" w:lineRule="auto"/>
      </w:pPr>
      <w:r>
        <w:separator/>
      </w:r>
    </w:p>
  </w:footnote>
  <w:footnote w:type="continuationSeparator" w:id="0">
    <w:p w14:paraId="7AD85504" w14:textId="77777777" w:rsidR="00DB6ED2" w:rsidRDefault="00DB6ED2" w:rsidP="00A343FF">
      <w:pPr>
        <w:spacing w:after="0" w:line="240" w:lineRule="auto"/>
      </w:pPr>
      <w:r>
        <w:continuationSeparator/>
      </w:r>
    </w:p>
  </w:footnote>
  <w:footnote w:type="continuationNotice" w:id="1">
    <w:p w14:paraId="06E74D8C" w14:textId="77777777" w:rsidR="00DB6ED2" w:rsidRDefault="00DB6ED2">
      <w:pPr>
        <w:spacing w:after="0" w:line="240" w:lineRule="auto"/>
      </w:pPr>
    </w:p>
  </w:footnote>
  <w:footnote w:id="2">
    <w:p w14:paraId="30E92D30" w14:textId="51AAE231" w:rsidR="00675EC0" w:rsidRPr="009C55E2" w:rsidRDefault="00675EC0" w:rsidP="009C55E2">
      <w:pPr>
        <w:pStyle w:val="NormalWeb"/>
        <w:spacing w:before="0" w:beforeAutospacing="0" w:after="0" w:afterAutospacing="0"/>
        <w:ind w:firstLine="709"/>
        <w:jc w:val="both"/>
        <w:rPr>
          <w:rFonts w:ascii="Cambria" w:hAnsi="Cambria"/>
          <w:sz w:val="16"/>
          <w:szCs w:val="16"/>
        </w:rPr>
      </w:pPr>
      <w:r w:rsidRPr="009C55E2">
        <w:rPr>
          <w:rStyle w:val="FootnoteReference"/>
          <w:rFonts w:ascii="Cambria" w:hAnsi="Cambria"/>
          <w:sz w:val="16"/>
          <w:szCs w:val="16"/>
        </w:rPr>
        <w:footnoteRef/>
      </w:r>
      <w:r w:rsidRPr="009C55E2">
        <w:rPr>
          <w:rFonts w:ascii="Cambria" w:hAnsi="Cambria"/>
          <w:sz w:val="16"/>
          <w:szCs w:val="16"/>
        </w:rPr>
        <w:t xml:space="preserve"> </w:t>
      </w:r>
      <w:r w:rsidR="00AC40B7">
        <w:rPr>
          <w:rFonts w:ascii="Cambria" w:hAnsi="Cambria"/>
          <w:sz w:val="16"/>
          <w:szCs w:val="16"/>
        </w:rPr>
        <w:t xml:space="preserve">See </w:t>
      </w:r>
      <w:r w:rsidRPr="009C55E2">
        <w:rPr>
          <w:rFonts w:ascii="Cambria" w:hAnsi="Cambria"/>
          <w:sz w:val="16"/>
          <w:szCs w:val="16"/>
        </w:rPr>
        <w:t xml:space="preserve">IACHR, Report No. 337/21, Case 13.758. Friendly Settlement. Raul Franklin Bustamante. Colombia, November 22, 2021. Available at: </w:t>
      </w:r>
      <w:hyperlink r:id="rId1" w:history="1">
        <w:r w:rsidRPr="009C55E2">
          <w:rPr>
            <w:rStyle w:val="Hyperlink"/>
            <w:rFonts w:ascii="Cambria" w:hAnsi="Cambria"/>
            <w:sz w:val="16"/>
            <w:szCs w:val="16"/>
          </w:rPr>
          <w:t>https://www.oas.org/en/iachr/decisions/2021/COSA13758EN.pdf</w:t>
        </w:r>
      </w:hyperlink>
      <w:r w:rsidR="00AC40B7">
        <w:rPr>
          <w:rFonts w:ascii="Cambria" w:hAnsi="Cambria"/>
          <w:sz w:val="16"/>
          <w:szCs w:val="16"/>
        </w:rPr>
        <w:t>.</w:t>
      </w:r>
      <w:r w:rsidRPr="009C55E2">
        <w:rPr>
          <w:rFonts w:ascii="Cambria" w:hAnsi="Cambria"/>
          <w:sz w:val="16"/>
          <w:szCs w:val="16"/>
        </w:rPr>
        <w:t xml:space="preserve"> </w:t>
      </w:r>
    </w:p>
  </w:footnote>
  <w:footnote w:id="3">
    <w:p w14:paraId="7C7753CA" w14:textId="4DF91295" w:rsidR="00675EC0" w:rsidRPr="009C55E2" w:rsidRDefault="00675EC0" w:rsidP="009C55E2">
      <w:pPr>
        <w:pStyle w:val="FootnoteText"/>
        <w:ind w:firstLine="709"/>
        <w:jc w:val="both"/>
        <w:rPr>
          <w:rFonts w:ascii="Cambria" w:hAnsi="Cambria"/>
          <w:sz w:val="16"/>
          <w:szCs w:val="16"/>
        </w:rPr>
      </w:pPr>
      <w:r w:rsidRPr="009C55E2">
        <w:rPr>
          <w:rStyle w:val="FootnoteReference"/>
          <w:rFonts w:ascii="Cambria" w:hAnsi="Cambria"/>
          <w:sz w:val="16"/>
          <w:szCs w:val="16"/>
        </w:rPr>
        <w:footnoteRef/>
      </w:r>
      <w:r w:rsidRPr="009C55E2">
        <w:rPr>
          <w:rFonts w:ascii="Cambria" w:hAnsi="Cambria"/>
          <w:sz w:val="16"/>
          <w:szCs w:val="16"/>
        </w:rPr>
        <w:t xml:space="preserve"> </w:t>
      </w:r>
      <w:r w:rsidR="00AC40B7">
        <w:rPr>
          <w:rFonts w:ascii="Cambria" w:hAnsi="Cambria"/>
          <w:sz w:val="16"/>
          <w:szCs w:val="16"/>
        </w:rPr>
        <w:t xml:space="preserve">See </w:t>
      </w:r>
      <w:r w:rsidRPr="009C55E2">
        <w:rPr>
          <w:rFonts w:ascii="Cambria" w:hAnsi="Cambria"/>
          <w:sz w:val="16"/>
          <w:szCs w:val="16"/>
        </w:rPr>
        <w:t>IACH</w:t>
      </w:r>
      <w:r w:rsidRPr="00AC40B7">
        <w:rPr>
          <w:rFonts w:ascii="Cambria" w:hAnsi="Cambria"/>
          <w:sz w:val="16"/>
          <w:szCs w:val="16"/>
        </w:rPr>
        <w:t xml:space="preserve">R, Annual Report 2022, Chapter II, Section </w:t>
      </w:r>
      <w:r w:rsidR="00AC40B7">
        <w:rPr>
          <w:rFonts w:ascii="Cambria" w:hAnsi="Cambria"/>
          <w:sz w:val="16"/>
          <w:szCs w:val="16"/>
        </w:rPr>
        <w:t>C</w:t>
      </w:r>
      <w:r w:rsidRPr="00AC40B7">
        <w:rPr>
          <w:rFonts w:ascii="Cambria" w:hAnsi="Cambria"/>
          <w:sz w:val="16"/>
          <w:szCs w:val="16"/>
        </w:rPr>
        <w:t xml:space="preserve">. </w:t>
      </w:r>
      <w:r w:rsidR="00AC40B7">
        <w:rPr>
          <w:rFonts w:ascii="Cambria" w:hAnsi="Cambria"/>
          <w:sz w:val="16"/>
          <w:szCs w:val="16"/>
        </w:rPr>
        <w:t>Advances and regressions on n</w:t>
      </w:r>
      <w:r w:rsidRPr="00AC40B7">
        <w:rPr>
          <w:rFonts w:ascii="Cambria" w:hAnsi="Cambria"/>
          <w:sz w:val="16"/>
          <w:szCs w:val="16"/>
        </w:rPr>
        <w:t xml:space="preserve">egotiation and Implementation of Friendly Settlement Agreement. Available at </w:t>
      </w:r>
      <w:hyperlink r:id="rId2" w:history="1">
        <w:r w:rsidRPr="00AC40B7">
          <w:rPr>
            <w:rStyle w:val="Hyperlink"/>
            <w:rFonts w:ascii="Cambria" w:hAnsi="Cambria"/>
            <w:sz w:val="16"/>
            <w:szCs w:val="16"/>
          </w:rPr>
          <w:t>https://www.oas.org/en/iachr/docs/annual/2022/Chapters/4-IA2022_Cap_2_EN.pdf</w:t>
        </w:r>
      </w:hyperlink>
      <w:r w:rsidR="00AC40B7">
        <w:rPr>
          <w:rFonts w:ascii="Cambria" w:hAnsi="Cambria"/>
          <w:sz w:val="16"/>
          <w:szCs w:val="16"/>
        </w:rPr>
        <w:t>.</w:t>
      </w:r>
    </w:p>
  </w:footnote>
  <w:footnote w:id="4">
    <w:p w14:paraId="402B077D" w14:textId="788DCCA4" w:rsidR="009C55E2" w:rsidRPr="00407650" w:rsidRDefault="009C55E2" w:rsidP="009C55E2">
      <w:pPr>
        <w:pStyle w:val="FootnoteText"/>
        <w:ind w:firstLine="709"/>
        <w:jc w:val="both"/>
        <w:rPr>
          <w:rFonts w:ascii="Cambria" w:hAnsi="Cambria"/>
          <w:sz w:val="16"/>
          <w:szCs w:val="16"/>
        </w:rPr>
      </w:pPr>
      <w:r w:rsidRPr="009C55E2">
        <w:rPr>
          <w:rStyle w:val="FootnoteReference"/>
          <w:rFonts w:ascii="Cambria" w:hAnsi="Cambria"/>
          <w:sz w:val="16"/>
          <w:szCs w:val="16"/>
        </w:rPr>
        <w:footnoteRef/>
      </w:r>
      <w:r w:rsidRPr="009C55E2">
        <w:rPr>
          <w:rFonts w:ascii="Cambria" w:hAnsi="Cambria"/>
          <w:sz w:val="16"/>
          <w:szCs w:val="16"/>
        </w:rPr>
        <w:t xml:space="preserve"> </w:t>
      </w:r>
      <w:r w:rsidRPr="00407650">
        <w:rPr>
          <w:rFonts w:ascii="Cambria" w:hAnsi="Cambria"/>
          <w:sz w:val="16"/>
          <w:szCs w:val="16"/>
        </w:rPr>
        <w:t xml:space="preserve">See IACHR, Annual Report 2024, Chapter II, Section C. Advances and challenges on negotiation and implementation of friendly settlements agreements. Available at: </w:t>
      </w:r>
      <w:hyperlink r:id="rId3" w:history="1">
        <w:r w:rsidRPr="00407650">
          <w:rPr>
            <w:rStyle w:val="Hyperlink"/>
            <w:rFonts w:ascii="Cambria" w:hAnsi="Cambria"/>
            <w:sz w:val="16"/>
            <w:szCs w:val="16"/>
          </w:rPr>
          <w:t>https://www.oas.org/en/iachr/docs/annual/2024/chapters/IA2024_2_EN.PDF</w:t>
        </w:r>
      </w:hyperlink>
      <w:r w:rsidRPr="00407650">
        <w:rPr>
          <w:rFonts w:ascii="Cambria" w:hAnsi="Cambria"/>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0B052" w14:textId="77777777" w:rsidR="00A343FF" w:rsidRDefault="009A73C0" w:rsidP="00DC7C8F">
    <w:pPr>
      <w:pStyle w:val="Header"/>
      <w:jc w:val="center"/>
    </w:pPr>
    <w:r>
      <w:rPr>
        <w:noProof/>
      </w:rPr>
      <w:drawing>
        <wp:inline distT="0" distB="0" distL="0" distR="0" wp14:anchorId="3DA1D74D" wp14:editId="04CD84E3">
          <wp:extent cx="2286000" cy="114300"/>
          <wp:effectExtent l="0" t="0" r="0" b="0"/>
          <wp:docPr id="1"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14300"/>
                  </a:xfrm>
                  <a:prstGeom prst="rect">
                    <a:avLst/>
                  </a:prstGeom>
                  <a:noFill/>
                  <a:ln>
                    <a:noFill/>
                  </a:ln>
                </pic:spPr>
              </pic:pic>
            </a:graphicData>
          </a:graphic>
        </wp:inline>
      </w:drawing>
    </w:r>
  </w:p>
  <w:p w14:paraId="5548F4C2" w14:textId="77777777" w:rsidR="00A343FF" w:rsidRDefault="00F14764">
    <w:pPr>
      <w:pStyle w:val="Header"/>
    </w:pPr>
    <w:bookmarkStart w:id="0" w:name="_Hlk204601782"/>
    <w:r>
      <w:rPr>
        <w:noProof/>
      </w:rPr>
      <w:pict w14:anchorId="5B6F98C2">
        <v:rect id="_x0000_i1025" alt="" style="width:441.9pt;height:.05pt;mso-width-percent:0;mso-height-percent:0;mso-width-percent:0;mso-height-percent:0" o:hralign="center" o:hrstd="t" o:hr="t" fillcolor="#a0a0a0" stroked="f"/>
      </w:pict>
    </w:r>
    <w:bookmarkEnd w:id="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56893" w14:textId="77777777" w:rsidR="00A61B5E" w:rsidRDefault="009A73C0" w:rsidP="00A61B5E">
    <w:pPr>
      <w:pStyle w:val="Header"/>
    </w:pPr>
    <w:r>
      <w:rPr>
        <w:noProof/>
      </w:rPr>
      <w:drawing>
        <wp:anchor distT="0" distB="0" distL="114300" distR="114300" simplePos="0" relativeHeight="251657216" behindDoc="1" locked="0" layoutInCell="1" allowOverlap="1" wp14:anchorId="49D89616" wp14:editId="1502AB67">
          <wp:simplePos x="0" y="0"/>
          <wp:positionH relativeFrom="column">
            <wp:posOffset>0</wp:posOffset>
          </wp:positionH>
          <wp:positionV relativeFrom="paragraph">
            <wp:posOffset>-28575</wp:posOffset>
          </wp:positionV>
          <wp:extent cx="2567940" cy="495300"/>
          <wp:effectExtent l="0" t="0" r="0" b="0"/>
          <wp:wrapThrough wrapText="bothSides">
            <wp:wrapPolygon edited="0">
              <wp:start x="0" y="0"/>
              <wp:lineTo x="0" y="21046"/>
              <wp:lineTo x="21472" y="21046"/>
              <wp:lineTo x="21472" y="0"/>
              <wp:lineTo x="0" y="0"/>
            </wp:wrapPolygon>
          </wp:wrapThrough>
          <wp:docPr id="885469928"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794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227646FE" wp14:editId="2E8E3712">
          <wp:simplePos x="0" y="0"/>
          <wp:positionH relativeFrom="column">
            <wp:posOffset>4019550</wp:posOffset>
          </wp:positionH>
          <wp:positionV relativeFrom="paragraph">
            <wp:posOffset>-34290</wp:posOffset>
          </wp:positionV>
          <wp:extent cx="1924050" cy="499110"/>
          <wp:effectExtent l="0" t="0" r="0" b="0"/>
          <wp:wrapThrough wrapText="bothSides">
            <wp:wrapPolygon edited="0">
              <wp:start x="1141" y="0"/>
              <wp:lineTo x="0" y="4397"/>
              <wp:lineTo x="0" y="14290"/>
              <wp:lineTo x="143" y="17588"/>
              <wp:lineTo x="998" y="20885"/>
              <wp:lineTo x="1141" y="20885"/>
              <wp:lineTo x="3850" y="20885"/>
              <wp:lineTo x="4135" y="20885"/>
              <wp:lineTo x="5133" y="17588"/>
              <wp:lineTo x="21529" y="17588"/>
              <wp:lineTo x="21529" y="11542"/>
              <wp:lineTo x="20388" y="8794"/>
              <wp:lineTo x="20673" y="4947"/>
              <wp:lineTo x="18820" y="3847"/>
              <wp:lineTo x="4135" y="0"/>
              <wp:lineTo x="1141" y="0"/>
            </wp:wrapPolygon>
          </wp:wrapThrough>
          <wp:docPr id="2"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050" cy="499110"/>
                  </a:xfrm>
                  <a:prstGeom prst="rect">
                    <a:avLst/>
                  </a:prstGeom>
                  <a:noFill/>
                  <a:ln>
                    <a:noFill/>
                  </a:ln>
                </pic:spPr>
              </pic:pic>
            </a:graphicData>
          </a:graphic>
          <wp14:sizeRelH relativeFrom="page">
            <wp14:pctWidth>0</wp14:pctWidth>
          </wp14:sizeRelH>
          <wp14:sizeRelV relativeFrom="page">
            <wp14:pctHeight>0</wp14:pctHeight>
          </wp14:sizeRelV>
        </wp:anchor>
      </w:drawing>
    </w:r>
    <w:r w:rsidR="00A61B5E">
      <w:tab/>
    </w:r>
    <w:r w:rsidR="00A61B5E">
      <w:tab/>
    </w:r>
  </w:p>
  <w:p w14:paraId="6FE98F63" w14:textId="77777777" w:rsidR="00F53B51" w:rsidRDefault="00F53B51" w:rsidP="00A61B5E">
    <w:pPr>
      <w:pStyle w:val="Header"/>
    </w:pPr>
  </w:p>
  <w:p w14:paraId="6E2ECDCF" w14:textId="77777777" w:rsidR="00F53B51" w:rsidRDefault="00F53B51" w:rsidP="00A61B5E">
    <w:pPr>
      <w:pStyle w:val="Header"/>
    </w:pPr>
  </w:p>
  <w:p w14:paraId="149A805A" w14:textId="77777777" w:rsidR="00A61B5E" w:rsidRDefault="00F14764" w:rsidP="00A61B5E">
    <w:pPr>
      <w:pStyle w:val="Header"/>
    </w:pPr>
    <w:r>
      <w:rPr>
        <w:noProof/>
      </w:rPr>
      <w:pict w14:anchorId="20E37B3E">
        <v:rect id="_x0000_i1026" alt="" style="width:44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31EB2"/>
    <w:multiLevelType w:val="hybridMultilevel"/>
    <w:tmpl w:val="F2EE32A4"/>
    <w:lvl w:ilvl="0" w:tplc="78CEEF1C">
      <w:start w:val="1"/>
      <w:numFmt w:val="decimal"/>
      <w:lvlText w:val="%1."/>
      <w:lvlJc w:val="left"/>
      <w:pPr>
        <w:ind w:left="1080" w:hanging="360"/>
      </w:pPr>
      <w:rPr>
        <w:rFonts w:ascii="Cambria" w:hAnsi="Cambria" w:cs="Cambria" w:hint="default"/>
        <w:b w:val="0"/>
        <w:bCs w:val="0"/>
        <w:sz w:val="20"/>
        <w:szCs w:val="20"/>
      </w:rPr>
    </w:lvl>
    <w:lvl w:ilvl="1" w:tplc="2C0A0019">
      <w:start w:val="1"/>
      <w:numFmt w:val="lowerLetter"/>
      <w:lvlText w:val="%2."/>
      <w:lvlJc w:val="left"/>
      <w:pPr>
        <w:ind w:left="1800" w:hanging="360"/>
      </w:pPr>
    </w:lvl>
    <w:lvl w:ilvl="2" w:tplc="2C0A001B">
      <w:start w:val="1"/>
      <w:numFmt w:val="lowerRoman"/>
      <w:lvlText w:val="%3."/>
      <w:lvlJc w:val="right"/>
      <w:pPr>
        <w:ind w:left="2520" w:hanging="180"/>
      </w:pPr>
    </w:lvl>
    <w:lvl w:ilvl="3" w:tplc="2C0A000F">
      <w:start w:val="1"/>
      <w:numFmt w:val="decimal"/>
      <w:lvlText w:val="%4."/>
      <w:lvlJc w:val="left"/>
      <w:pPr>
        <w:ind w:left="3240" w:hanging="360"/>
      </w:pPr>
    </w:lvl>
    <w:lvl w:ilvl="4" w:tplc="2C0A0019">
      <w:start w:val="1"/>
      <w:numFmt w:val="lowerLetter"/>
      <w:lvlText w:val="%5."/>
      <w:lvlJc w:val="left"/>
      <w:pPr>
        <w:ind w:left="3960" w:hanging="360"/>
      </w:pPr>
    </w:lvl>
    <w:lvl w:ilvl="5" w:tplc="2C0A001B">
      <w:start w:val="1"/>
      <w:numFmt w:val="lowerRoman"/>
      <w:lvlText w:val="%6."/>
      <w:lvlJc w:val="right"/>
      <w:pPr>
        <w:ind w:left="4680" w:hanging="180"/>
      </w:pPr>
    </w:lvl>
    <w:lvl w:ilvl="6" w:tplc="2C0A000F">
      <w:start w:val="1"/>
      <w:numFmt w:val="decimal"/>
      <w:lvlText w:val="%7."/>
      <w:lvlJc w:val="left"/>
      <w:pPr>
        <w:ind w:left="5400" w:hanging="360"/>
      </w:pPr>
    </w:lvl>
    <w:lvl w:ilvl="7" w:tplc="2C0A0019">
      <w:start w:val="1"/>
      <w:numFmt w:val="lowerLetter"/>
      <w:lvlText w:val="%8."/>
      <w:lvlJc w:val="left"/>
      <w:pPr>
        <w:ind w:left="6120" w:hanging="360"/>
      </w:pPr>
    </w:lvl>
    <w:lvl w:ilvl="8" w:tplc="2C0A001B">
      <w:start w:val="1"/>
      <w:numFmt w:val="lowerRoman"/>
      <w:lvlText w:val="%9."/>
      <w:lvlJc w:val="right"/>
      <w:pPr>
        <w:ind w:left="6840" w:hanging="180"/>
      </w:pPr>
    </w:lvl>
  </w:abstractNum>
  <w:abstractNum w:abstractNumId="1" w15:restartNumberingAfterBreak="0">
    <w:nsid w:val="0AA10711"/>
    <w:multiLevelType w:val="hybridMultilevel"/>
    <w:tmpl w:val="3CFA9B1A"/>
    <w:lvl w:ilvl="0" w:tplc="E814C9C6">
      <w:start w:val="1"/>
      <w:numFmt w:val="upperLetter"/>
      <w:lvlText w:val="%1."/>
      <w:lvlJc w:val="left"/>
      <w:pPr>
        <w:ind w:left="1410" w:hanging="6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5D01CC"/>
    <w:multiLevelType w:val="hybridMultilevel"/>
    <w:tmpl w:val="8970FA82"/>
    <w:lvl w:ilvl="0" w:tplc="081690D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CB5C7B"/>
    <w:multiLevelType w:val="hybridMultilevel"/>
    <w:tmpl w:val="3CB0A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2B3573"/>
    <w:multiLevelType w:val="hybridMultilevel"/>
    <w:tmpl w:val="98F21584"/>
    <w:lvl w:ilvl="0" w:tplc="080A000F">
      <w:start w:val="5"/>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480D41"/>
    <w:multiLevelType w:val="hybridMultilevel"/>
    <w:tmpl w:val="C2D873C2"/>
    <w:lvl w:ilvl="0" w:tplc="0409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6F03100"/>
    <w:multiLevelType w:val="hybridMultilevel"/>
    <w:tmpl w:val="F88EE254"/>
    <w:lvl w:ilvl="0" w:tplc="DABE6054">
      <w:start w:val="1"/>
      <w:numFmt w:val="decimal"/>
      <w:lvlText w:val="%1."/>
      <w:lvlJc w:val="left"/>
      <w:pPr>
        <w:ind w:left="720" w:hanging="360"/>
      </w:pPr>
    </w:lvl>
    <w:lvl w:ilvl="1" w:tplc="0C0A0019">
      <w:start w:val="1"/>
      <w:numFmt w:val="lowerLetter"/>
      <w:lvlText w:val="%2."/>
      <w:lvlJc w:val="left"/>
      <w:pPr>
        <w:ind w:left="1980" w:hanging="360"/>
      </w:pPr>
    </w:lvl>
    <w:lvl w:ilvl="2" w:tplc="0C0A001B">
      <w:start w:val="1"/>
      <w:numFmt w:val="lowerRoman"/>
      <w:lvlText w:val="%3."/>
      <w:lvlJc w:val="right"/>
      <w:pPr>
        <w:ind w:left="2700" w:hanging="180"/>
      </w:pPr>
    </w:lvl>
    <w:lvl w:ilvl="3" w:tplc="0C0A000F">
      <w:start w:val="1"/>
      <w:numFmt w:val="decimal"/>
      <w:lvlText w:val="%4."/>
      <w:lvlJc w:val="left"/>
      <w:pPr>
        <w:ind w:left="3420" w:hanging="360"/>
      </w:pPr>
    </w:lvl>
    <w:lvl w:ilvl="4" w:tplc="0C0A0019">
      <w:start w:val="1"/>
      <w:numFmt w:val="lowerLetter"/>
      <w:lvlText w:val="%5."/>
      <w:lvlJc w:val="left"/>
      <w:pPr>
        <w:ind w:left="4140" w:hanging="360"/>
      </w:pPr>
    </w:lvl>
    <w:lvl w:ilvl="5" w:tplc="0C0A001B">
      <w:start w:val="1"/>
      <w:numFmt w:val="lowerRoman"/>
      <w:lvlText w:val="%6."/>
      <w:lvlJc w:val="right"/>
      <w:pPr>
        <w:ind w:left="4860" w:hanging="180"/>
      </w:pPr>
    </w:lvl>
    <w:lvl w:ilvl="6" w:tplc="0C0A000F">
      <w:start w:val="1"/>
      <w:numFmt w:val="decimal"/>
      <w:lvlText w:val="%7."/>
      <w:lvlJc w:val="left"/>
      <w:pPr>
        <w:ind w:left="5580" w:hanging="360"/>
      </w:pPr>
    </w:lvl>
    <w:lvl w:ilvl="7" w:tplc="0C0A0019">
      <w:start w:val="1"/>
      <w:numFmt w:val="lowerLetter"/>
      <w:lvlText w:val="%8."/>
      <w:lvlJc w:val="left"/>
      <w:pPr>
        <w:ind w:left="6300" w:hanging="360"/>
      </w:pPr>
    </w:lvl>
    <w:lvl w:ilvl="8" w:tplc="0C0A001B">
      <w:start w:val="1"/>
      <w:numFmt w:val="lowerRoman"/>
      <w:lvlText w:val="%9."/>
      <w:lvlJc w:val="right"/>
      <w:pPr>
        <w:ind w:left="7020" w:hanging="180"/>
      </w:pPr>
    </w:lvl>
  </w:abstractNum>
  <w:abstractNum w:abstractNumId="7" w15:restartNumberingAfterBreak="0">
    <w:nsid w:val="17500734"/>
    <w:multiLevelType w:val="multilevel"/>
    <w:tmpl w:val="1BDAC532"/>
    <w:lvl w:ilvl="0">
      <w:start w:val="1"/>
      <w:numFmt w:val="decimal"/>
      <w:lvlText w:val="%1."/>
      <w:lvlJc w:val="left"/>
      <w:pPr>
        <w:ind w:left="1080" w:hanging="360"/>
      </w:pPr>
      <w:rPr>
        <w:rFonts w:ascii="Cambria" w:hAnsi="Cambria" w:hint="default"/>
        <w:sz w:val="20"/>
        <w:szCs w:val="20"/>
      </w:rPr>
    </w:lvl>
    <w:lvl w:ilvl="1">
      <w:start w:val="1"/>
      <w:numFmt w:val="decimal"/>
      <w:isLgl/>
      <w:lvlText w:val="%1.%2"/>
      <w:lvlJc w:val="left"/>
      <w:pPr>
        <w:ind w:left="360" w:hanging="360"/>
      </w:pPr>
      <w:rPr>
        <w:rFonts w:hint="default"/>
        <w:b/>
        <w:bCs/>
      </w:rPr>
    </w:lvl>
    <w:lvl w:ilvl="2">
      <w:start w:val="1"/>
      <w:numFmt w:val="decimal"/>
      <w:isLgl/>
      <w:lvlText w:val="%1.%2.%3"/>
      <w:lvlJc w:val="left"/>
      <w:pPr>
        <w:ind w:left="144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8" w15:restartNumberingAfterBreak="0">
    <w:nsid w:val="1ACE7A24"/>
    <w:multiLevelType w:val="hybridMultilevel"/>
    <w:tmpl w:val="21843F30"/>
    <w:lvl w:ilvl="0" w:tplc="C15680D8">
      <w:start w:val="4"/>
      <w:numFmt w:val="decimal"/>
      <w:lvlText w:val="%1."/>
      <w:lvlJc w:val="left"/>
      <w:pPr>
        <w:ind w:left="1080" w:hanging="360"/>
      </w:pPr>
      <w:rPr>
        <w:rFonts w:ascii="Cambria" w:hAnsi="Cambria" w:cs="Cambria"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0D445F"/>
    <w:multiLevelType w:val="hybridMultilevel"/>
    <w:tmpl w:val="4D32D53E"/>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07753E"/>
    <w:multiLevelType w:val="hybridMultilevel"/>
    <w:tmpl w:val="60865F60"/>
    <w:lvl w:ilvl="0" w:tplc="080A0001">
      <w:start w:val="1"/>
      <w:numFmt w:val="bullet"/>
      <w:lvlText w:val=""/>
      <w:lvlJc w:val="left"/>
      <w:pPr>
        <w:ind w:left="1440" w:hanging="360"/>
      </w:pPr>
      <w:rPr>
        <w:rFonts w:ascii="Symbol" w:hAnsi="Symbol" w:cs="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cs="Wingdings" w:hint="default"/>
      </w:rPr>
    </w:lvl>
    <w:lvl w:ilvl="3" w:tplc="080A0001">
      <w:start w:val="1"/>
      <w:numFmt w:val="bullet"/>
      <w:lvlText w:val=""/>
      <w:lvlJc w:val="left"/>
      <w:pPr>
        <w:ind w:left="3600" w:hanging="360"/>
      </w:pPr>
      <w:rPr>
        <w:rFonts w:ascii="Symbol" w:hAnsi="Symbol" w:cs="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cs="Wingdings" w:hint="default"/>
      </w:rPr>
    </w:lvl>
    <w:lvl w:ilvl="6" w:tplc="080A0001">
      <w:start w:val="1"/>
      <w:numFmt w:val="bullet"/>
      <w:lvlText w:val=""/>
      <w:lvlJc w:val="left"/>
      <w:pPr>
        <w:ind w:left="5760" w:hanging="360"/>
      </w:pPr>
      <w:rPr>
        <w:rFonts w:ascii="Symbol" w:hAnsi="Symbol" w:cs="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cs="Wingdings" w:hint="default"/>
      </w:rPr>
    </w:lvl>
  </w:abstractNum>
  <w:abstractNum w:abstractNumId="11" w15:restartNumberingAfterBreak="0">
    <w:nsid w:val="26582976"/>
    <w:multiLevelType w:val="hybridMultilevel"/>
    <w:tmpl w:val="A204FA62"/>
    <w:lvl w:ilvl="0" w:tplc="474CA6B0">
      <w:start w:val="1"/>
      <w:numFmt w:val="upperRoman"/>
      <w:lvlText w:val="%1."/>
      <w:lvlJc w:val="left"/>
      <w:pPr>
        <w:ind w:left="1800" w:hanging="72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2D55483B"/>
    <w:multiLevelType w:val="hybridMultilevel"/>
    <w:tmpl w:val="6E0AE690"/>
    <w:lvl w:ilvl="0" w:tplc="6B1221EE">
      <w:start w:val="7"/>
      <w:numFmt w:val="decimal"/>
      <w:lvlText w:val="%1."/>
      <w:lvlJc w:val="left"/>
      <w:pPr>
        <w:ind w:left="1080" w:hanging="360"/>
      </w:pPr>
      <w:rPr>
        <w:rFonts w:ascii="Cambria" w:hAnsi="Cambria" w:cs="Cambria"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092331"/>
    <w:multiLevelType w:val="hybridMultilevel"/>
    <w:tmpl w:val="EE8E5C28"/>
    <w:lvl w:ilvl="0" w:tplc="9712026A">
      <w:start w:val="1"/>
      <w:numFmt w:val="upp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0C20BE"/>
    <w:multiLevelType w:val="hybridMultilevel"/>
    <w:tmpl w:val="E67EED6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3B73507"/>
    <w:multiLevelType w:val="hybridMultilevel"/>
    <w:tmpl w:val="47A61E54"/>
    <w:lvl w:ilvl="0" w:tplc="C76E7A10">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40D220D"/>
    <w:multiLevelType w:val="hybridMultilevel"/>
    <w:tmpl w:val="B07AD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8816C6"/>
    <w:multiLevelType w:val="hybridMultilevel"/>
    <w:tmpl w:val="4B7C5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246356"/>
    <w:multiLevelType w:val="hybridMultilevel"/>
    <w:tmpl w:val="C832D3B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1522C6C"/>
    <w:multiLevelType w:val="hybridMultilevel"/>
    <w:tmpl w:val="7F0464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873535"/>
    <w:multiLevelType w:val="hybridMultilevel"/>
    <w:tmpl w:val="61A67360"/>
    <w:lvl w:ilvl="0" w:tplc="84565F88">
      <w:start w:val="1"/>
      <w:numFmt w:val="upperLetter"/>
      <w:lvlText w:val="%1."/>
      <w:lvlJc w:val="left"/>
      <w:pPr>
        <w:ind w:left="1080" w:hanging="360"/>
      </w:pPr>
      <w:rPr>
        <w:rFonts w:eastAsiaTheme="minorHAnsi" w:cstheme="minorBidi"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1" w15:restartNumberingAfterBreak="0">
    <w:nsid w:val="45EC3815"/>
    <w:multiLevelType w:val="hybridMultilevel"/>
    <w:tmpl w:val="6348609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840792F"/>
    <w:multiLevelType w:val="hybridMultilevel"/>
    <w:tmpl w:val="5F5CAB6E"/>
    <w:lvl w:ilvl="0" w:tplc="4086A9CA">
      <w:numFmt w:val="bullet"/>
      <w:lvlText w:val="-"/>
      <w:lvlJc w:val="left"/>
      <w:pPr>
        <w:ind w:left="720" w:hanging="360"/>
      </w:pPr>
      <w:rPr>
        <w:rFonts w:ascii="Cambria" w:eastAsia="Calibri" w:hAnsi="Cambria"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9D40730"/>
    <w:multiLevelType w:val="hybridMultilevel"/>
    <w:tmpl w:val="80C2EF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957859"/>
    <w:multiLevelType w:val="hybridMultilevel"/>
    <w:tmpl w:val="2ED4D6D8"/>
    <w:lvl w:ilvl="0" w:tplc="52144A84">
      <w:start w:val="1"/>
      <w:numFmt w:val="upp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8B4472"/>
    <w:multiLevelType w:val="hybridMultilevel"/>
    <w:tmpl w:val="F40C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BE51F1"/>
    <w:multiLevelType w:val="hybridMultilevel"/>
    <w:tmpl w:val="8F94CE6E"/>
    <w:lvl w:ilvl="0" w:tplc="DCA07888">
      <w:start w:val="1"/>
      <w:numFmt w:val="upperLetter"/>
      <w:lvlText w:val="%1."/>
      <w:lvlJc w:val="left"/>
      <w:pPr>
        <w:ind w:left="1080" w:hanging="360"/>
      </w:pPr>
      <w:rPr>
        <w:rFonts w:ascii="Cambria" w:hAnsi="Cambria"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7" w15:restartNumberingAfterBreak="0">
    <w:nsid w:val="51A607C2"/>
    <w:multiLevelType w:val="hybridMultilevel"/>
    <w:tmpl w:val="47D04940"/>
    <w:lvl w:ilvl="0" w:tplc="7C345A0C">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41B5598"/>
    <w:multiLevelType w:val="hybridMultilevel"/>
    <w:tmpl w:val="829614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712C71"/>
    <w:multiLevelType w:val="hybridMultilevel"/>
    <w:tmpl w:val="598268C2"/>
    <w:lvl w:ilvl="0" w:tplc="D95091A6">
      <w:start w:val="3"/>
      <w:numFmt w:val="decimal"/>
      <w:lvlText w:val="%1."/>
      <w:lvlJc w:val="left"/>
      <w:pPr>
        <w:ind w:left="720" w:hanging="360"/>
      </w:pPr>
      <w:rPr>
        <w:rFonts w:ascii="Cambria" w:hAnsi="Cambria" w:cs="Cambria" w:hint="default"/>
        <w:b w:val="0"/>
        <w:bCs w:val="0"/>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4712EBB"/>
    <w:multiLevelType w:val="hybridMultilevel"/>
    <w:tmpl w:val="F23ECB98"/>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559A457C"/>
    <w:multiLevelType w:val="hybridMultilevel"/>
    <w:tmpl w:val="2AD22794"/>
    <w:lvl w:ilvl="0" w:tplc="BC2696BC">
      <w:start w:val="1"/>
      <w:numFmt w:val="upperRoman"/>
      <w:lvlText w:val="%1."/>
      <w:lvlJc w:val="left"/>
      <w:pPr>
        <w:ind w:left="144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56AF402B"/>
    <w:multiLevelType w:val="hybridMultilevel"/>
    <w:tmpl w:val="C8840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773E5A"/>
    <w:multiLevelType w:val="hybridMultilevel"/>
    <w:tmpl w:val="E9C83F88"/>
    <w:lvl w:ilvl="0" w:tplc="080A000F">
      <w:start w:val="5"/>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C8F254F"/>
    <w:multiLevelType w:val="hybridMultilevel"/>
    <w:tmpl w:val="7A5EE584"/>
    <w:lvl w:ilvl="0" w:tplc="FFFFFFFF">
      <w:start w:val="1"/>
      <w:numFmt w:val="upperRoman"/>
      <w:lvlText w:val="%1."/>
      <w:lvlJc w:val="left"/>
      <w:pPr>
        <w:ind w:left="1440" w:hanging="720"/>
      </w:pPr>
      <w:rPr>
        <w:b/>
      </w:rPr>
    </w:lvl>
    <w:lvl w:ilvl="1" w:tplc="FFFFFFFF">
      <w:start w:val="1"/>
      <w:numFmt w:val="lowerLetter"/>
      <w:lvlText w:val="%2."/>
      <w:lvlJc w:val="left"/>
      <w:pPr>
        <w:ind w:left="990" w:hanging="360"/>
      </w:pPr>
    </w:lvl>
    <w:lvl w:ilvl="2" w:tplc="FFFFFFFF">
      <w:start w:val="1"/>
      <w:numFmt w:val="lowerRoman"/>
      <w:lvlText w:val="%3."/>
      <w:lvlJc w:val="right"/>
      <w:pPr>
        <w:ind w:left="1710" w:hanging="180"/>
      </w:pPr>
    </w:lvl>
    <w:lvl w:ilvl="3" w:tplc="B1CEB8EA">
      <w:start w:val="2"/>
      <w:numFmt w:val="decimal"/>
      <w:lvlText w:val="%4."/>
      <w:lvlJc w:val="left"/>
      <w:pPr>
        <w:ind w:left="2430" w:hanging="360"/>
      </w:pPr>
      <w:rPr>
        <w:rFonts w:hint="default"/>
      </w:rPr>
    </w:lvl>
    <w:lvl w:ilvl="4" w:tplc="FFFFFFFF">
      <w:start w:val="1"/>
      <w:numFmt w:val="lowerLetter"/>
      <w:lvlText w:val="%5."/>
      <w:lvlJc w:val="left"/>
      <w:pPr>
        <w:ind w:left="3150" w:hanging="360"/>
      </w:pPr>
    </w:lvl>
    <w:lvl w:ilvl="5" w:tplc="FFFFFFFF">
      <w:start w:val="1"/>
      <w:numFmt w:val="lowerRoman"/>
      <w:lvlText w:val="%6."/>
      <w:lvlJc w:val="right"/>
      <w:pPr>
        <w:ind w:left="3870" w:hanging="180"/>
      </w:pPr>
    </w:lvl>
    <w:lvl w:ilvl="6" w:tplc="FFFFFFFF">
      <w:start w:val="1"/>
      <w:numFmt w:val="decimal"/>
      <w:lvlText w:val="%7."/>
      <w:lvlJc w:val="left"/>
      <w:pPr>
        <w:ind w:left="4590" w:hanging="360"/>
      </w:pPr>
    </w:lvl>
    <w:lvl w:ilvl="7" w:tplc="FFFFFFFF">
      <w:start w:val="1"/>
      <w:numFmt w:val="lowerLetter"/>
      <w:lvlText w:val="%8."/>
      <w:lvlJc w:val="left"/>
      <w:pPr>
        <w:ind w:left="5310" w:hanging="360"/>
      </w:pPr>
    </w:lvl>
    <w:lvl w:ilvl="8" w:tplc="FFFFFFFF">
      <w:start w:val="1"/>
      <w:numFmt w:val="lowerRoman"/>
      <w:lvlText w:val="%9."/>
      <w:lvlJc w:val="right"/>
      <w:pPr>
        <w:ind w:left="6030" w:hanging="180"/>
      </w:pPr>
    </w:lvl>
  </w:abstractNum>
  <w:abstractNum w:abstractNumId="35" w15:restartNumberingAfterBreak="0">
    <w:nsid w:val="5E2876C1"/>
    <w:multiLevelType w:val="hybridMultilevel"/>
    <w:tmpl w:val="D33EA58C"/>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DE6D06"/>
    <w:multiLevelType w:val="hybridMultilevel"/>
    <w:tmpl w:val="F5F41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6F1327"/>
    <w:multiLevelType w:val="hybridMultilevel"/>
    <w:tmpl w:val="58CCEF62"/>
    <w:lvl w:ilvl="0" w:tplc="3BB85CCE">
      <w:start w:val="1"/>
      <w:numFmt w:val="upperRoman"/>
      <w:lvlText w:val="%1."/>
      <w:lvlJc w:val="left"/>
      <w:pPr>
        <w:ind w:left="1800" w:hanging="72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8" w15:restartNumberingAfterBreak="0">
    <w:nsid w:val="62D301AD"/>
    <w:multiLevelType w:val="hybridMultilevel"/>
    <w:tmpl w:val="16225D3E"/>
    <w:lvl w:ilvl="0" w:tplc="ADD442F4">
      <w:start w:val="2"/>
      <w:numFmt w:val="upperRoman"/>
      <w:lvlText w:val="%1."/>
      <w:lvlJc w:val="left"/>
      <w:pPr>
        <w:ind w:left="1080" w:hanging="72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41424F1"/>
    <w:multiLevelType w:val="hybridMultilevel"/>
    <w:tmpl w:val="9884AD90"/>
    <w:lvl w:ilvl="0" w:tplc="04090015">
      <w:start w:val="9"/>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4654F51"/>
    <w:multiLevelType w:val="hybridMultilevel"/>
    <w:tmpl w:val="736EC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576EC8"/>
    <w:multiLevelType w:val="hybridMultilevel"/>
    <w:tmpl w:val="C832D3B2"/>
    <w:lvl w:ilvl="0" w:tplc="83B059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284106"/>
    <w:multiLevelType w:val="hybridMultilevel"/>
    <w:tmpl w:val="A08CC97E"/>
    <w:lvl w:ilvl="0" w:tplc="B0BC88B4">
      <w:start w:val="6"/>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921A3E"/>
    <w:multiLevelType w:val="hybridMultilevel"/>
    <w:tmpl w:val="0A6AE3E8"/>
    <w:lvl w:ilvl="0" w:tplc="F1726806">
      <w:start w:val="2"/>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0773AA"/>
    <w:multiLevelType w:val="hybridMultilevel"/>
    <w:tmpl w:val="2AD22794"/>
    <w:lvl w:ilvl="0" w:tplc="BC2696BC">
      <w:start w:val="1"/>
      <w:numFmt w:val="upperRoman"/>
      <w:lvlText w:val="%1."/>
      <w:lvlJc w:val="left"/>
      <w:pPr>
        <w:ind w:left="144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8E2692"/>
    <w:multiLevelType w:val="hybridMultilevel"/>
    <w:tmpl w:val="4D7CE0A8"/>
    <w:lvl w:ilvl="0" w:tplc="4686E8BE">
      <w:start w:val="1"/>
      <w:numFmt w:val="upperRoman"/>
      <w:lvlText w:val="%1."/>
      <w:lvlJc w:val="left"/>
      <w:pPr>
        <w:ind w:left="1800" w:hanging="72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6" w15:restartNumberingAfterBreak="0">
    <w:nsid w:val="71F50A04"/>
    <w:multiLevelType w:val="hybridMultilevel"/>
    <w:tmpl w:val="6C1E1AC4"/>
    <w:lvl w:ilvl="0" w:tplc="080A000F">
      <w:start w:val="5"/>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DC41D44"/>
    <w:multiLevelType w:val="hybridMultilevel"/>
    <w:tmpl w:val="826289F6"/>
    <w:lvl w:ilvl="0" w:tplc="83E6A654">
      <w:start w:val="1"/>
      <w:numFmt w:val="upp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1516721">
    <w:abstractNumId w:val="43"/>
  </w:num>
  <w:num w:numId="2" w16cid:durableId="386493659">
    <w:abstractNumId w:val="32"/>
  </w:num>
  <w:num w:numId="3" w16cid:durableId="1073046593">
    <w:abstractNumId w:val="23"/>
  </w:num>
  <w:num w:numId="4" w16cid:durableId="665286190">
    <w:abstractNumId w:val="31"/>
  </w:num>
  <w:num w:numId="5" w16cid:durableId="890190884">
    <w:abstractNumId w:val="22"/>
  </w:num>
  <w:num w:numId="6" w16cid:durableId="1269696070">
    <w:abstractNumId w:val="19"/>
  </w:num>
  <w:num w:numId="7" w16cid:durableId="369956807">
    <w:abstractNumId w:val="40"/>
  </w:num>
  <w:num w:numId="8" w16cid:durableId="1461067811">
    <w:abstractNumId w:val="36"/>
  </w:num>
  <w:num w:numId="9" w16cid:durableId="1469392667">
    <w:abstractNumId w:val="44"/>
  </w:num>
  <w:num w:numId="10" w16cid:durableId="126054260">
    <w:abstractNumId w:val="3"/>
  </w:num>
  <w:num w:numId="11" w16cid:durableId="14933726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40625847">
    <w:abstractNumId w:val="9"/>
  </w:num>
  <w:num w:numId="13" w16cid:durableId="888763914">
    <w:abstractNumId w:val="17"/>
  </w:num>
  <w:num w:numId="14" w16cid:durableId="1191532033">
    <w:abstractNumId w:val="0"/>
  </w:num>
  <w:num w:numId="15" w16cid:durableId="2065325609">
    <w:abstractNumId w:val="10"/>
  </w:num>
  <w:num w:numId="16" w16cid:durableId="203366524">
    <w:abstractNumId w:val="39"/>
  </w:num>
  <w:num w:numId="17" w16cid:durableId="1994485589">
    <w:abstractNumId w:val="38"/>
  </w:num>
  <w:num w:numId="18" w16cid:durableId="593170908">
    <w:abstractNumId w:val="14"/>
  </w:num>
  <w:num w:numId="19" w16cid:durableId="1387949599">
    <w:abstractNumId w:val="30"/>
  </w:num>
  <w:num w:numId="20" w16cid:durableId="2114475546">
    <w:abstractNumId w:val="28"/>
  </w:num>
  <w:num w:numId="21" w16cid:durableId="1129208414">
    <w:abstractNumId w:val="8"/>
  </w:num>
  <w:num w:numId="22" w16cid:durableId="54397452">
    <w:abstractNumId w:val="12"/>
  </w:num>
  <w:num w:numId="23" w16cid:durableId="2113012360">
    <w:abstractNumId w:val="29"/>
  </w:num>
  <w:num w:numId="24" w16cid:durableId="1256785358">
    <w:abstractNumId w:val="16"/>
  </w:num>
  <w:num w:numId="25" w16cid:durableId="621379413">
    <w:abstractNumId w:val="37"/>
  </w:num>
  <w:num w:numId="26" w16cid:durableId="977150517">
    <w:abstractNumId w:val="21"/>
  </w:num>
  <w:num w:numId="27" w16cid:durableId="328752619">
    <w:abstractNumId w:val="24"/>
  </w:num>
  <w:num w:numId="28" w16cid:durableId="189227929">
    <w:abstractNumId w:val="46"/>
  </w:num>
  <w:num w:numId="29" w16cid:durableId="1831368133">
    <w:abstractNumId w:val="45"/>
  </w:num>
  <w:num w:numId="30" w16cid:durableId="1716999929">
    <w:abstractNumId w:val="18"/>
  </w:num>
  <w:num w:numId="31" w16cid:durableId="1063480400">
    <w:abstractNumId w:val="13"/>
  </w:num>
  <w:num w:numId="32" w16cid:durableId="1943146568">
    <w:abstractNumId w:val="4"/>
  </w:num>
  <w:num w:numId="33" w16cid:durableId="1476990475">
    <w:abstractNumId w:val="11"/>
  </w:num>
  <w:num w:numId="34" w16cid:durableId="1228420666">
    <w:abstractNumId w:val="41"/>
  </w:num>
  <w:num w:numId="35" w16cid:durableId="7492617">
    <w:abstractNumId w:val="47"/>
  </w:num>
  <w:num w:numId="36" w16cid:durableId="308216504">
    <w:abstractNumId w:val="33"/>
  </w:num>
  <w:num w:numId="37" w16cid:durableId="1528759844">
    <w:abstractNumId w:val="1"/>
  </w:num>
  <w:num w:numId="38" w16cid:durableId="1001276887">
    <w:abstractNumId w:val="2"/>
  </w:num>
  <w:num w:numId="39" w16cid:durableId="2040281333">
    <w:abstractNumId w:val="42"/>
  </w:num>
  <w:num w:numId="40" w16cid:durableId="1169834467">
    <w:abstractNumId w:val="25"/>
  </w:num>
  <w:num w:numId="41" w16cid:durableId="1534853125">
    <w:abstractNumId w:val="35"/>
  </w:num>
  <w:num w:numId="42" w16cid:durableId="1927375965">
    <w:abstractNumId w:val="7"/>
  </w:num>
  <w:num w:numId="43" w16cid:durableId="1931157220">
    <w:abstractNumId w:val="27"/>
  </w:num>
  <w:num w:numId="44" w16cid:durableId="21077254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77730927">
    <w:abstractNumId w:val="20"/>
  </w:num>
  <w:num w:numId="46" w16cid:durableId="1750420369">
    <w:abstractNumId w:val="5"/>
  </w:num>
  <w:num w:numId="47" w16cid:durableId="1007442756">
    <w:abstractNumId w:val="34"/>
  </w:num>
  <w:num w:numId="48" w16cid:durableId="2028753163">
    <w:abstractNumId w:val="15"/>
  </w:num>
  <w:num w:numId="49" w16cid:durableId="20121007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B0F"/>
    <w:rsid w:val="00047B56"/>
    <w:rsid w:val="0006625E"/>
    <w:rsid w:val="00076A15"/>
    <w:rsid w:val="00086009"/>
    <w:rsid w:val="00092EFD"/>
    <w:rsid w:val="00096079"/>
    <w:rsid w:val="000E14E3"/>
    <w:rsid w:val="0012586C"/>
    <w:rsid w:val="0014555C"/>
    <w:rsid w:val="00150E20"/>
    <w:rsid w:val="00193906"/>
    <w:rsid w:val="0021669C"/>
    <w:rsid w:val="0022121A"/>
    <w:rsid w:val="00226F48"/>
    <w:rsid w:val="002319CE"/>
    <w:rsid w:val="00236A78"/>
    <w:rsid w:val="00240E8E"/>
    <w:rsid w:val="002650A2"/>
    <w:rsid w:val="00283964"/>
    <w:rsid w:val="002859A9"/>
    <w:rsid w:val="00292B52"/>
    <w:rsid w:val="00294B17"/>
    <w:rsid w:val="002A39B2"/>
    <w:rsid w:val="002F2DC7"/>
    <w:rsid w:val="00343CED"/>
    <w:rsid w:val="00393310"/>
    <w:rsid w:val="003C4836"/>
    <w:rsid w:val="003D2D55"/>
    <w:rsid w:val="003F2DDA"/>
    <w:rsid w:val="00400A82"/>
    <w:rsid w:val="00407650"/>
    <w:rsid w:val="00413FCD"/>
    <w:rsid w:val="004140B8"/>
    <w:rsid w:val="00457711"/>
    <w:rsid w:val="0047146A"/>
    <w:rsid w:val="004722BC"/>
    <w:rsid w:val="00486911"/>
    <w:rsid w:val="004B3074"/>
    <w:rsid w:val="004B5A99"/>
    <w:rsid w:val="004C1718"/>
    <w:rsid w:val="00506CFE"/>
    <w:rsid w:val="00513A38"/>
    <w:rsid w:val="00534F2B"/>
    <w:rsid w:val="005566F5"/>
    <w:rsid w:val="005A328E"/>
    <w:rsid w:val="005A5E14"/>
    <w:rsid w:val="005B3C19"/>
    <w:rsid w:val="005B6392"/>
    <w:rsid w:val="005C3542"/>
    <w:rsid w:val="005F4AAA"/>
    <w:rsid w:val="0060012C"/>
    <w:rsid w:val="00604132"/>
    <w:rsid w:val="00607CC7"/>
    <w:rsid w:val="0063220A"/>
    <w:rsid w:val="00641D03"/>
    <w:rsid w:val="00675EC0"/>
    <w:rsid w:val="00687213"/>
    <w:rsid w:val="006A25F7"/>
    <w:rsid w:val="006A7747"/>
    <w:rsid w:val="006B6131"/>
    <w:rsid w:val="006E2BD8"/>
    <w:rsid w:val="006F0429"/>
    <w:rsid w:val="00720B84"/>
    <w:rsid w:val="00754FFD"/>
    <w:rsid w:val="00774F86"/>
    <w:rsid w:val="007A485F"/>
    <w:rsid w:val="007B0327"/>
    <w:rsid w:val="007B5729"/>
    <w:rsid w:val="007C2CC3"/>
    <w:rsid w:val="007C351D"/>
    <w:rsid w:val="007C3E98"/>
    <w:rsid w:val="007E361B"/>
    <w:rsid w:val="007F5F4E"/>
    <w:rsid w:val="0080119C"/>
    <w:rsid w:val="00807BAA"/>
    <w:rsid w:val="008550EF"/>
    <w:rsid w:val="008A7933"/>
    <w:rsid w:val="008E42E1"/>
    <w:rsid w:val="008F2248"/>
    <w:rsid w:val="00901B37"/>
    <w:rsid w:val="00913220"/>
    <w:rsid w:val="00920591"/>
    <w:rsid w:val="00967413"/>
    <w:rsid w:val="009949ED"/>
    <w:rsid w:val="009A73C0"/>
    <w:rsid w:val="009B219C"/>
    <w:rsid w:val="009C227B"/>
    <w:rsid w:val="009C4D87"/>
    <w:rsid w:val="009C55E2"/>
    <w:rsid w:val="009E73F0"/>
    <w:rsid w:val="00A2502C"/>
    <w:rsid w:val="00A25CA7"/>
    <w:rsid w:val="00A31FA7"/>
    <w:rsid w:val="00A343FF"/>
    <w:rsid w:val="00A61B5E"/>
    <w:rsid w:val="00A7781B"/>
    <w:rsid w:val="00A94641"/>
    <w:rsid w:val="00AC40B7"/>
    <w:rsid w:val="00AE1B0F"/>
    <w:rsid w:val="00B056D9"/>
    <w:rsid w:val="00B205A7"/>
    <w:rsid w:val="00B5431F"/>
    <w:rsid w:val="00B806AC"/>
    <w:rsid w:val="00B93993"/>
    <w:rsid w:val="00BA2B9F"/>
    <w:rsid w:val="00BA7724"/>
    <w:rsid w:val="00BB46E5"/>
    <w:rsid w:val="00BD5E6F"/>
    <w:rsid w:val="00C17F04"/>
    <w:rsid w:val="00C402CB"/>
    <w:rsid w:val="00C44D28"/>
    <w:rsid w:val="00C57947"/>
    <w:rsid w:val="00C71434"/>
    <w:rsid w:val="00C8031E"/>
    <w:rsid w:val="00CB6344"/>
    <w:rsid w:val="00CC6DB2"/>
    <w:rsid w:val="00CD545A"/>
    <w:rsid w:val="00CE4E6F"/>
    <w:rsid w:val="00CF54E1"/>
    <w:rsid w:val="00D05BCC"/>
    <w:rsid w:val="00D2459E"/>
    <w:rsid w:val="00D90D22"/>
    <w:rsid w:val="00DB6ED2"/>
    <w:rsid w:val="00DC5A37"/>
    <w:rsid w:val="00DC7C8F"/>
    <w:rsid w:val="00DD05C3"/>
    <w:rsid w:val="00DD1591"/>
    <w:rsid w:val="00DE14B5"/>
    <w:rsid w:val="00DF0FE5"/>
    <w:rsid w:val="00E27850"/>
    <w:rsid w:val="00E3040C"/>
    <w:rsid w:val="00E44647"/>
    <w:rsid w:val="00E6614F"/>
    <w:rsid w:val="00E93B77"/>
    <w:rsid w:val="00EA09D8"/>
    <w:rsid w:val="00EB0395"/>
    <w:rsid w:val="00EB2DCD"/>
    <w:rsid w:val="00F035F2"/>
    <w:rsid w:val="00F14764"/>
    <w:rsid w:val="00F306C1"/>
    <w:rsid w:val="00F36C7F"/>
    <w:rsid w:val="00F53391"/>
    <w:rsid w:val="00F53B51"/>
    <w:rsid w:val="00F54F60"/>
    <w:rsid w:val="00F66FEE"/>
    <w:rsid w:val="00F74974"/>
    <w:rsid w:val="00FB03EB"/>
    <w:rsid w:val="00FC66C2"/>
    <w:rsid w:val="00FD3451"/>
    <w:rsid w:val="00FD65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5C9D1"/>
  <w15:chartTrackingRefBased/>
  <w15:docId w15:val="{B4EA294D-61C5-2E46-8C7B-6F882B6DC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rmalWeb">
    <w:name w:val="Normal (Web)"/>
    <w:basedOn w:val="Normal"/>
    <w:uiPriority w:val="99"/>
    <w:semiHidden/>
    <w:unhideWhenUsed/>
    <w:rsid w:val="0047146A"/>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DD15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1591"/>
    <w:rPr>
      <w:lang w:val="en-US" w:eastAsia="en-US"/>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basedOn w:val="DefaultParagraphFont"/>
    <w:link w:val="Appelnotedebasde"/>
    <w:unhideWhenUsed/>
    <w:qFormat/>
    <w:rsid w:val="00DD1591"/>
    <w:rPr>
      <w:vertAlign w:val="superscript"/>
    </w:rPr>
  </w:style>
  <w:style w:type="paragraph" w:customStyle="1" w:styleId="Appelnotedebasde">
    <w:name w:val="Appel note de bas de..."/>
    <w:basedOn w:val="Normal"/>
    <w:link w:val="FootnoteReference"/>
    <w:rsid w:val="00DD1591"/>
    <w:pPr>
      <w:spacing w:after="160" w:line="240" w:lineRule="exact"/>
    </w:pPr>
    <w:rPr>
      <w:sz w:val="20"/>
      <w:szCs w:val="20"/>
      <w:vertAlign w:val="superscript"/>
      <w:lang w:val="es-MX" w:eastAsia="es-MX"/>
    </w:rPr>
  </w:style>
  <w:style w:type="paragraph" w:styleId="ListParagraph">
    <w:name w:val="List Paragraph"/>
    <w:basedOn w:val="Normal"/>
    <w:uiPriority w:val="34"/>
    <w:qFormat/>
    <w:rsid w:val="00DD1591"/>
    <w:pPr>
      <w:ind w:left="720"/>
      <w:contextualSpacing/>
    </w:pPr>
  </w:style>
  <w:style w:type="character" w:styleId="Hyperlink">
    <w:name w:val="Hyperlink"/>
    <w:basedOn w:val="DefaultParagraphFont"/>
    <w:uiPriority w:val="99"/>
    <w:unhideWhenUsed/>
    <w:rsid w:val="00920591"/>
    <w:rPr>
      <w:color w:val="467886" w:themeColor="hyperlink"/>
      <w:u w:val="single"/>
    </w:rPr>
  </w:style>
  <w:style w:type="character" w:styleId="UnresolvedMention">
    <w:name w:val="Unresolved Mention"/>
    <w:basedOn w:val="DefaultParagraphFont"/>
    <w:uiPriority w:val="99"/>
    <w:semiHidden/>
    <w:unhideWhenUsed/>
    <w:rsid w:val="00920591"/>
    <w:rPr>
      <w:color w:val="605E5C"/>
      <w:shd w:val="clear" w:color="auto" w:fill="E1DFDD"/>
    </w:rPr>
  </w:style>
  <w:style w:type="character" w:styleId="CommentReference">
    <w:name w:val="annotation reference"/>
    <w:basedOn w:val="DefaultParagraphFont"/>
    <w:uiPriority w:val="99"/>
    <w:semiHidden/>
    <w:unhideWhenUsed/>
    <w:rsid w:val="00FD3451"/>
    <w:rPr>
      <w:sz w:val="16"/>
      <w:szCs w:val="16"/>
    </w:rPr>
  </w:style>
  <w:style w:type="paragraph" w:styleId="CommentText">
    <w:name w:val="annotation text"/>
    <w:basedOn w:val="Normal"/>
    <w:link w:val="CommentTextChar"/>
    <w:uiPriority w:val="99"/>
    <w:semiHidden/>
    <w:unhideWhenUsed/>
    <w:rsid w:val="00FD3451"/>
    <w:pPr>
      <w:spacing w:line="240" w:lineRule="auto"/>
    </w:pPr>
    <w:rPr>
      <w:sz w:val="20"/>
      <w:szCs w:val="20"/>
    </w:rPr>
  </w:style>
  <w:style w:type="character" w:customStyle="1" w:styleId="CommentTextChar">
    <w:name w:val="Comment Text Char"/>
    <w:basedOn w:val="DefaultParagraphFont"/>
    <w:link w:val="CommentText"/>
    <w:uiPriority w:val="99"/>
    <w:semiHidden/>
    <w:rsid w:val="00FD3451"/>
    <w:rPr>
      <w:lang w:val="en-US" w:eastAsia="en-US"/>
    </w:rPr>
  </w:style>
  <w:style w:type="paragraph" w:styleId="CommentSubject">
    <w:name w:val="annotation subject"/>
    <w:basedOn w:val="CommentText"/>
    <w:next w:val="CommentText"/>
    <w:link w:val="CommentSubjectChar"/>
    <w:uiPriority w:val="99"/>
    <w:semiHidden/>
    <w:unhideWhenUsed/>
    <w:rsid w:val="00FD3451"/>
    <w:rPr>
      <w:b/>
      <w:bCs/>
    </w:rPr>
  </w:style>
  <w:style w:type="character" w:customStyle="1" w:styleId="CommentSubjectChar">
    <w:name w:val="Comment Subject Char"/>
    <w:basedOn w:val="CommentTextChar"/>
    <w:link w:val="CommentSubject"/>
    <w:uiPriority w:val="99"/>
    <w:semiHidden/>
    <w:rsid w:val="00FD3451"/>
    <w:rPr>
      <w:b/>
      <w:bCs/>
      <w:lang w:val="en-US" w:eastAsia="en-US"/>
    </w:rPr>
  </w:style>
  <w:style w:type="character" w:styleId="FollowedHyperlink">
    <w:name w:val="FollowedHyperlink"/>
    <w:basedOn w:val="DefaultParagraphFont"/>
    <w:uiPriority w:val="99"/>
    <w:semiHidden/>
    <w:unhideWhenUsed/>
    <w:rsid w:val="0040765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79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as.org/en/iachr/decisions/2019/COAD1214-09EN.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oas.org/en/iachr/decisions/2021/COSA13758EN.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as.org/en/iachr/decisions/2021/COSA13758EN.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3" Type="http://schemas.openxmlformats.org/officeDocument/2006/relationships/hyperlink" Target="https://www.oas.org/en/iachr/docs/annual/2024/chapters/IA2024_2_EN.PDF" TargetMode="External"/><Relationship Id="rId2" Type="http://schemas.openxmlformats.org/officeDocument/2006/relationships/hyperlink" Target="https://www.oas.org/en/iachr/docs/annual/2022/Chapters/4-IA2022_Cap_2_EN.pdf" TargetMode="External"/><Relationship Id="rId1" Type="http://schemas.openxmlformats.org/officeDocument/2006/relationships/hyperlink" Target="https://www.oas.org/en/iachr/decisions/2021/COSA13758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ontana\Documents\Eva%20Fontana\GRAFICA%20CIDH\cartas\pruebas\Cartas-e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AB4AC-AE31-4239-902D-9D07A700CDB8}">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2.xml><?xml version="1.0" encoding="utf-8"?>
<ds:datastoreItem xmlns:ds="http://schemas.openxmlformats.org/officeDocument/2006/customXml" ds:itemID="{2C534A0D-18CE-4362-9E26-A3C7BFDE772A}">
  <ds:schemaRefs>
    <ds:schemaRef ds:uri="http://schemas.microsoft.com/office/2006/metadata/longProperties"/>
  </ds:schemaRefs>
</ds:datastoreItem>
</file>

<file path=customXml/itemProps3.xml><?xml version="1.0" encoding="utf-8"?>
<ds:datastoreItem xmlns:ds="http://schemas.openxmlformats.org/officeDocument/2006/customXml" ds:itemID="{490A2D28-5FAE-4C93-A166-435BBB1CA95B}">
  <ds:schemaRefs>
    <ds:schemaRef ds:uri="http://schemas.microsoft.com/sharepoint/v3/contenttype/forms"/>
  </ds:schemaRefs>
</ds:datastoreItem>
</file>

<file path=customXml/itemProps4.xml><?xml version="1.0" encoding="utf-8"?>
<ds:datastoreItem xmlns:ds="http://schemas.openxmlformats.org/officeDocument/2006/customXml" ds:itemID="{3968F673-DCBF-4259-A06F-7CBA8A56B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00D9A7D-3F87-214A-B521-385E0A630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Cartas-es.dotx</Template>
  <TotalTime>0</TotalTime>
  <Pages>3</Pages>
  <Words>888</Words>
  <Characters>5062</Characters>
  <Application>Microsoft Office Word</Application>
  <DocSecurity>0</DocSecurity>
  <Lines>42</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cp:lastModifiedBy>Seminario, Javier</cp:lastModifiedBy>
  <cp:revision>3</cp:revision>
  <cp:lastPrinted>2025-08-26T18:25:00Z</cp:lastPrinted>
  <dcterms:created xsi:type="dcterms:W3CDTF">2025-07-28T17:30:00Z</dcterms:created>
  <dcterms:modified xsi:type="dcterms:W3CDTF">2025-08-26T18:25:00Z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Montero, Erika</vt:lpwstr>
  </property>
  <property fmtid="{D5CDD505-2E9C-101B-9397-08002B2CF9AE}" pid="3" name="Order">
    <vt:lpwstr>73400.0000000000</vt:lpwstr>
  </property>
  <property fmtid="{D5CDD505-2E9C-101B-9397-08002B2CF9AE}" pid="4" name="display_urn:schemas-microsoft-com:office:office#Author">
    <vt:lpwstr>Montero, Erika</vt:lpwstr>
  </property>
  <property fmtid="{D5CDD505-2E9C-101B-9397-08002B2CF9AE}" pid="5" name="ContentTypeId">
    <vt:lpwstr>0x010100D589DCDDB8A16B44BDC2A7128ECAC845</vt:lpwstr>
  </property>
</Properties>
</file>