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142634" w:rsidRDefault="00DD1591" w:rsidP="00142634">
      <w:pPr>
        <w:suppressAutoHyphens/>
        <w:spacing w:after="0" w:line="240" w:lineRule="auto"/>
        <w:ind w:right="4"/>
        <w:rPr>
          <w:rFonts w:ascii="Cambria" w:eastAsia="Batang" w:hAnsi="Cambria"/>
          <w:b/>
          <w:bCs/>
          <w:color w:val="000000"/>
          <w:sz w:val="24"/>
        </w:rPr>
      </w:pPr>
    </w:p>
    <w:p w14:paraId="63C6CC88" w14:textId="6343F2F5" w:rsidR="00457711" w:rsidRPr="00142634" w:rsidRDefault="00457711" w:rsidP="00142634">
      <w:pPr>
        <w:suppressAutoHyphens/>
        <w:spacing w:after="0" w:line="240" w:lineRule="auto"/>
        <w:ind w:right="4"/>
        <w:jc w:val="center"/>
        <w:rPr>
          <w:rFonts w:ascii="Cambria" w:eastAsia="Batang" w:hAnsi="Cambria"/>
          <w:b/>
          <w:bCs/>
          <w:color w:val="000000"/>
          <w:sz w:val="24"/>
        </w:rPr>
      </w:pPr>
      <w:r w:rsidRPr="00142634">
        <w:rPr>
          <w:rFonts w:ascii="Cambria" w:eastAsia="Batang" w:hAnsi="Cambria"/>
          <w:b/>
          <w:bCs/>
          <w:color w:val="000000"/>
          <w:sz w:val="24"/>
        </w:rPr>
        <w:t>TECHNICAL INFORMATION SHEET</w:t>
      </w:r>
    </w:p>
    <w:p w14:paraId="33E3C009" w14:textId="0D06C2C4" w:rsidR="00457711" w:rsidRPr="00142634" w:rsidRDefault="00457711" w:rsidP="00142634">
      <w:pPr>
        <w:suppressAutoHyphens/>
        <w:spacing w:after="0" w:line="240" w:lineRule="auto"/>
        <w:ind w:right="4"/>
        <w:jc w:val="center"/>
        <w:rPr>
          <w:rFonts w:ascii="Cambria" w:hAnsi="Cambria"/>
          <w:b/>
          <w:color w:val="000000"/>
          <w:sz w:val="24"/>
        </w:rPr>
      </w:pPr>
      <w:r w:rsidRPr="00142634">
        <w:rPr>
          <w:rFonts w:ascii="Cambria" w:hAnsi="Cambria"/>
          <w:b/>
          <w:color w:val="000000"/>
          <w:sz w:val="24"/>
        </w:rPr>
        <w:t xml:space="preserve">CASE </w:t>
      </w:r>
      <w:r w:rsidR="00142634" w:rsidRPr="00142634">
        <w:rPr>
          <w:rFonts w:ascii="Cambria" w:hAnsi="Cambria"/>
          <w:b/>
          <w:color w:val="000000"/>
          <w:sz w:val="24"/>
        </w:rPr>
        <w:t>13.775 GABRIEL ÁNGEL GÓMEZ MARTÍNEZ AND FAMILY</w:t>
      </w:r>
    </w:p>
    <w:p w14:paraId="486FDFC3" w14:textId="2D910159" w:rsidR="00DD1591" w:rsidRPr="00142634" w:rsidRDefault="00DD1591" w:rsidP="00142634">
      <w:pPr>
        <w:suppressAutoHyphens/>
        <w:spacing w:after="0" w:line="240" w:lineRule="auto"/>
        <w:ind w:right="4"/>
        <w:jc w:val="center"/>
        <w:rPr>
          <w:rFonts w:ascii="Cambria" w:eastAsia="Batang" w:hAnsi="Cambria"/>
          <w:b/>
          <w:bCs/>
          <w:color w:val="000000"/>
          <w:sz w:val="24"/>
        </w:rPr>
      </w:pPr>
      <w:r w:rsidRPr="00142634">
        <w:rPr>
          <w:rFonts w:ascii="Cambria" w:eastAsia="Batang" w:hAnsi="Cambria"/>
          <w:b/>
          <w:bCs/>
          <w:color w:val="000000"/>
          <w:sz w:val="24"/>
        </w:rPr>
        <w:t xml:space="preserve">FRIENDLY SETTLEMENT </w:t>
      </w:r>
      <w:r w:rsidR="002F2DC7" w:rsidRPr="00142634">
        <w:rPr>
          <w:rFonts w:ascii="Cambria" w:eastAsia="Batang" w:hAnsi="Cambria"/>
          <w:b/>
          <w:bCs/>
          <w:color w:val="000000"/>
          <w:sz w:val="24"/>
        </w:rPr>
        <w:t>REPORT</w:t>
      </w:r>
      <w:r w:rsidR="00142634" w:rsidRPr="00142634">
        <w:rPr>
          <w:rFonts w:ascii="Cambria" w:eastAsia="Batang" w:hAnsi="Cambria"/>
          <w:b/>
          <w:bCs/>
          <w:color w:val="000000"/>
          <w:sz w:val="24"/>
        </w:rPr>
        <w:t xml:space="preserve"> </w:t>
      </w:r>
      <w:hyperlink r:id="rId12" w:history="1">
        <w:r w:rsidR="00142634" w:rsidRPr="00802EFE">
          <w:rPr>
            <w:rStyle w:val="Hyperlink"/>
            <w:rFonts w:ascii="Cambria" w:eastAsia="Batang" w:hAnsi="Cambria"/>
            <w:b/>
            <w:bCs/>
            <w:sz w:val="24"/>
          </w:rPr>
          <w:t>No. 63/22</w:t>
        </w:r>
      </w:hyperlink>
    </w:p>
    <w:p w14:paraId="2B66417A" w14:textId="5D0EDE53" w:rsidR="00457711" w:rsidRPr="00CF0E3B" w:rsidRDefault="002F2DC7" w:rsidP="00142634">
      <w:pPr>
        <w:suppressAutoHyphens/>
        <w:spacing w:after="0" w:line="240" w:lineRule="auto"/>
        <w:ind w:right="4"/>
        <w:jc w:val="center"/>
        <w:rPr>
          <w:rFonts w:ascii="Cambria" w:eastAsia="Batang" w:hAnsi="Cambria"/>
          <w:b/>
          <w:color w:val="000000"/>
          <w:sz w:val="24"/>
        </w:rPr>
      </w:pPr>
      <w:r w:rsidRPr="00142634">
        <w:rPr>
          <w:rFonts w:ascii="Cambria" w:eastAsia="Batang" w:hAnsi="Cambria"/>
          <w:b/>
          <w:bCs/>
          <w:color w:val="000000"/>
          <w:sz w:val="24"/>
        </w:rPr>
        <w:t>TOTAL COMPLIANCE</w:t>
      </w:r>
    </w:p>
    <w:p w14:paraId="0CDE4D15" w14:textId="065BB91C" w:rsidR="00DD1591" w:rsidRPr="00142634" w:rsidRDefault="00DD1591" w:rsidP="00142634">
      <w:pPr>
        <w:suppressAutoHyphens/>
        <w:spacing w:after="0" w:line="240" w:lineRule="auto"/>
        <w:ind w:right="4"/>
        <w:jc w:val="center"/>
        <w:rPr>
          <w:rFonts w:ascii="Cambria" w:eastAsia="Batang" w:hAnsi="Cambria"/>
          <w:b/>
          <w:color w:val="000000"/>
          <w:sz w:val="24"/>
        </w:rPr>
      </w:pPr>
      <w:r w:rsidRPr="00142634">
        <w:rPr>
          <w:rFonts w:ascii="Cambria" w:eastAsia="Batang" w:hAnsi="Cambria"/>
          <w:b/>
          <w:bCs/>
          <w:color w:val="000000"/>
          <w:sz w:val="24"/>
        </w:rPr>
        <w:t>(</w:t>
      </w:r>
      <w:r w:rsidR="00F035F2" w:rsidRPr="00142634">
        <w:rPr>
          <w:rFonts w:ascii="Cambria" w:eastAsia="Batang" w:hAnsi="Cambria"/>
          <w:b/>
          <w:bCs/>
          <w:color w:val="000000"/>
          <w:sz w:val="24"/>
        </w:rPr>
        <w:t>COLOMBIA</w:t>
      </w:r>
      <w:r w:rsidRPr="00142634">
        <w:rPr>
          <w:rFonts w:ascii="Cambria" w:eastAsia="Batang" w:hAnsi="Cambria"/>
          <w:b/>
          <w:bCs/>
          <w:color w:val="000000"/>
          <w:sz w:val="24"/>
        </w:rPr>
        <w:t>)</w:t>
      </w:r>
    </w:p>
    <w:p w14:paraId="35DFB70D" w14:textId="77777777" w:rsidR="00142634" w:rsidRPr="00142634" w:rsidRDefault="00142634" w:rsidP="00142634">
      <w:pPr>
        <w:suppressAutoHyphens/>
        <w:spacing w:after="0" w:line="240" w:lineRule="auto"/>
        <w:ind w:right="180"/>
        <w:jc w:val="center"/>
        <w:rPr>
          <w:rFonts w:ascii="Cambria" w:hAnsi="Cambria"/>
          <w:b/>
          <w:bCs/>
          <w:sz w:val="20"/>
          <w:szCs w:val="20"/>
          <w:lang w:val="es-US"/>
        </w:rPr>
      </w:pPr>
    </w:p>
    <w:p w14:paraId="627E36A0" w14:textId="77777777" w:rsidR="00142634" w:rsidRPr="00142634" w:rsidRDefault="00142634" w:rsidP="00142634">
      <w:pPr>
        <w:numPr>
          <w:ilvl w:val="0"/>
          <w:numId w:val="53"/>
        </w:numPr>
        <w:suppressAutoHyphens/>
        <w:spacing w:after="0" w:line="240" w:lineRule="auto"/>
        <w:ind w:left="0" w:right="180" w:firstLine="709"/>
        <w:contextualSpacing/>
        <w:jc w:val="both"/>
        <w:rPr>
          <w:rFonts w:ascii="Cambria" w:hAnsi="Cambria"/>
          <w:b/>
          <w:bCs/>
          <w:sz w:val="20"/>
          <w:szCs w:val="20"/>
        </w:rPr>
      </w:pPr>
      <w:r w:rsidRPr="00142634">
        <w:rPr>
          <w:rFonts w:ascii="Cambria" w:hAnsi="Cambria"/>
          <w:b/>
          <w:bCs/>
          <w:sz w:val="20"/>
          <w:szCs w:val="20"/>
        </w:rPr>
        <w:t xml:space="preserve">SUMMARY OF THE CASE </w:t>
      </w:r>
    </w:p>
    <w:p w14:paraId="1F028E37" w14:textId="77777777" w:rsidR="00142634" w:rsidRPr="00142634" w:rsidRDefault="00142634" w:rsidP="00142634">
      <w:pPr>
        <w:suppressAutoHyphens/>
        <w:spacing w:after="0" w:line="240" w:lineRule="auto"/>
        <w:ind w:right="180"/>
        <w:jc w:val="both"/>
        <w:rPr>
          <w:rFonts w:ascii="Cambria" w:hAnsi="Cambria"/>
          <w:sz w:val="20"/>
          <w:szCs w:val="20"/>
        </w:rPr>
      </w:pPr>
    </w:p>
    <w:tbl>
      <w:tblPr>
        <w:tblW w:w="971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9"/>
      </w:tblGrid>
      <w:tr w:rsidR="00142634" w:rsidRPr="00142634" w14:paraId="6D7310D5" w14:textId="77777777" w:rsidTr="00CF0E3B">
        <w:trPr>
          <w:trHeight w:val="5246"/>
        </w:trPr>
        <w:tc>
          <w:tcPr>
            <w:tcW w:w="9719" w:type="dxa"/>
            <w:shd w:val="clear" w:color="auto" w:fill="E7E6E6"/>
          </w:tcPr>
          <w:p w14:paraId="401691A6" w14:textId="30440799"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bCs/>
                <w:sz w:val="20"/>
                <w:szCs w:val="20"/>
              </w:rPr>
              <w:t>Victim(s):</w:t>
            </w:r>
            <w:r w:rsidRPr="00142634">
              <w:rPr>
                <w:rFonts w:ascii="Cambria" w:hAnsi="Cambria"/>
                <w:sz w:val="20"/>
                <w:szCs w:val="20"/>
              </w:rPr>
              <w:t xml:space="preserve"> Gabriel Ángel Gómez Martínez and </w:t>
            </w:r>
            <w:r w:rsidR="00802EFE">
              <w:rPr>
                <w:rFonts w:ascii="Cambria" w:hAnsi="Cambria"/>
                <w:sz w:val="20"/>
                <w:szCs w:val="20"/>
              </w:rPr>
              <w:t>f</w:t>
            </w:r>
            <w:r w:rsidRPr="00142634">
              <w:rPr>
                <w:rFonts w:ascii="Cambria" w:hAnsi="Cambria"/>
                <w:sz w:val="20"/>
                <w:szCs w:val="20"/>
              </w:rPr>
              <w:t>amily</w:t>
            </w:r>
          </w:p>
          <w:p w14:paraId="3CDE5397" w14:textId="77777777" w:rsidR="00142634" w:rsidRPr="00142634" w:rsidRDefault="00142634" w:rsidP="00802EFE">
            <w:pPr>
              <w:suppressAutoHyphens/>
              <w:spacing w:after="0" w:line="240" w:lineRule="auto"/>
              <w:ind w:left="-72"/>
              <w:jc w:val="both"/>
              <w:rPr>
                <w:rFonts w:ascii="Cambria" w:hAnsi="Cambria"/>
                <w:sz w:val="20"/>
                <w:szCs w:val="20"/>
                <w:lang w:val="pt-BR"/>
              </w:rPr>
            </w:pPr>
            <w:r w:rsidRPr="00142634">
              <w:rPr>
                <w:rFonts w:ascii="Cambria" w:hAnsi="Cambria"/>
                <w:b/>
                <w:bCs/>
                <w:sz w:val="20"/>
                <w:szCs w:val="20"/>
                <w:lang w:val="pt-BR"/>
              </w:rPr>
              <w:t xml:space="preserve">Petitioner(s): </w:t>
            </w:r>
            <w:r w:rsidRPr="00142634">
              <w:rPr>
                <w:rFonts w:ascii="Cambria" w:hAnsi="Cambria"/>
                <w:sz w:val="20"/>
                <w:szCs w:val="20"/>
                <w:lang w:val="pt-BR"/>
              </w:rPr>
              <w:t>Roberto Fernando Paz Salas</w:t>
            </w:r>
          </w:p>
          <w:p w14:paraId="383989DE" w14:textId="77777777"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bCs/>
                <w:sz w:val="20"/>
                <w:szCs w:val="20"/>
              </w:rPr>
              <w:t>State:</w:t>
            </w:r>
            <w:r w:rsidRPr="00142634">
              <w:rPr>
                <w:rFonts w:ascii="Cambria" w:hAnsi="Cambria"/>
                <w:sz w:val="20"/>
                <w:szCs w:val="20"/>
              </w:rPr>
              <w:t xml:space="preserve"> Colombia </w:t>
            </w:r>
          </w:p>
          <w:p w14:paraId="126AE477" w14:textId="5841AD08"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bCs/>
                <w:color w:val="000000"/>
                <w:sz w:val="20"/>
                <w:szCs w:val="20"/>
              </w:rPr>
              <w:t>Date of start of negotiations:</w:t>
            </w:r>
            <w:r w:rsidRPr="00142634">
              <w:rPr>
                <w:rFonts w:ascii="Cambria" w:hAnsi="Cambria"/>
                <w:sz w:val="20"/>
                <w:szCs w:val="20"/>
              </w:rPr>
              <w:t xml:space="preserve"> June </w:t>
            </w:r>
            <w:r w:rsidR="00802EFE">
              <w:rPr>
                <w:rFonts w:ascii="Cambria" w:hAnsi="Cambria"/>
                <w:sz w:val="20"/>
                <w:szCs w:val="20"/>
              </w:rPr>
              <w:t>9</w:t>
            </w:r>
            <w:r w:rsidRPr="00142634">
              <w:rPr>
                <w:rFonts w:ascii="Cambria" w:hAnsi="Cambria"/>
                <w:sz w:val="20"/>
                <w:szCs w:val="20"/>
              </w:rPr>
              <w:t>, 2021</w:t>
            </w:r>
          </w:p>
          <w:p w14:paraId="29CB6267" w14:textId="77777777"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bCs/>
                <w:color w:val="000000"/>
                <w:sz w:val="20"/>
                <w:szCs w:val="20"/>
              </w:rPr>
              <w:t>Date of Signature of FSA:</w:t>
            </w:r>
            <w:r w:rsidRPr="00142634">
              <w:rPr>
                <w:rFonts w:ascii="Cambria" w:hAnsi="Cambria"/>
                <w:bCs/>
                <w:color w:val="000000"/>
                <w:sz w:val="20"/>
                <w:szCs w:val="20"/>
              </w:rPr>
              <w:t xml:space="preserve">  </w:t>
            </w:r>
            <w:r w:rsidRPr="00142634">
              <w:rPr>
                <w:rFonts w:ascii="Cambria" w:hAnsi="Cambria"/>
                <w:sz w:val="20"/>
                <w:szCs w:val="20"/>
              </w:rPr>
              <w:t>September 7, 2021</w:t>
            </w:r>
          </w:p>
          <w:p w14:paraId="7A8AD398" w14:textId="1DF1E347"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bCs/>
                <w:sz w:val="20"/>
                <w:szCs w:val="20"/>
              </w:rPr>
              <w:t>Admissibility Report No.:</w:t>
            </w:r>
            <w:r w:rsidRPr="00142634">
              <w:rPr>
                <w:rFonts w:ascii="Cambria" w:hAnsi="Cambria"/>
                <w:sz w:val="20"/>
                <w:szCs w:val="20"/>
              </w:rPr>
              <w:t xml:space="preserve"> </w:t>
            </w:r>
            <w:hyperlink r:id="rId13" w:history="1">
              <w:r w:rsidRPr="00142634">
                <w:rPr>
                  <w:rStyle w:val="Hyperlink"/>
                  <w:rFonts w:ascii="Cambria" w:hAnsi="Cambria"/>
                  <w:b/>
                  <w:bCs/>
                  <w:sz w:val="20"/>
                  <w:szCs w:val="20"/>
                </w:rPr>
                <w:t>45/19</w:t>
              </w:r>
            </w:hyperlink>
            <w:r w:rsidR="00802EFE" w:rsidRPr="00802EFE">
              <w:rPr>
                <w:rFonts w:ascii="Cambria" w:hAnsi="Cambria"/>
                <w:b/>
                <w:bCs/>
                <w:color w:val="0563C1"/>
                <w:sz w:val="20"/>
                <w:szCs w:val="20"/>
                <w:u w:val="single"/>
              </w:rPr>
              <w:t>,</w:t>
            </w:r>
            <w:r w:rsidR="00802EFE">
              <w:rPr>
                <w:rFonts w:ascii="Cambria" w:hAnsi="Cambria"/>
                <w:color w:val="0563C1"/>
                <w:sz w:val="20"/>
                <w:szCs w:val="20"/>
                <w:u w:val="single"/>
              </w:rPr>
              <w:t xml:space="preserve"> </w:t>
            </w:r>
            <w:r w:rsidR="00802EFE" w:rsidRPr="00802EFE">
              <w:rPr>
                <w:rFonts w:ascii="Cambria" w:hAnsi="Cambria"/>
                <w:color w:val="000000" w:themeColor="text1"/>
                <w:sz w:val="20"/>
                <w:szCs w:val="20"/>
              </w:rPr>
              <w:t>published on April 24, 2019</w:t>
            </w:r>
          </w:p>
          <w:p w14:paraId="3AE467AE" w14:textId="07729E23"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color w:val="000000"/>
                <w:sz w:val="20"/>
                <w:szCs w:val="20"/>
              </w:rPr>
              <w:t>Friendly Settlement Agreement Report No.</w:t>
            </w:r>
            <w:r w:rsidRPr="00142634">
              <w:rPr>
                <w:rFonts w:ascii="Cambria" w:hAnsi="Cambria"/>
                <w:sz w:val="20"/>
                <w:szCs w:val="20"/>
              </w:rPr>
              <w:t xml:space="preserve"> </w:t>
            </w:r>
            <w:hyperlink r:id="rId14" w:history="1">
              <w:r w:rsidRPr="00142634">
                <w:rPr>
                  <w:rStyle w:val="Hyperlink"/>
                  <w:rFonts w:ascii="Cambria" w:hAnsi="Cambria"/>
                  <w:b/>
                  <w:bCs/>
                  <w:sz w:val="20"/>
                  <w:szCs w:val="20"/>
                </w:rPr>
                <w:t>63/2</w:t>
              </w:r>
              <w:r w:rsidR="00802EFE" w:rsidRPr="00802EFE">
                <w:rPr>
                  <w:rStyle w:val="Hyperlink"/>
                  <w:rFonts w:ascii="Cambria" w:hAnsi="Cambria"/>
                  <w:b/>
                  <w:bCs/>
                  <w:sz w:val="20"/>
                  <w:szCs w:val="20"/>
                </w:rPr>
                <w:t>2</w:t>
              </w:r>
            </w:hyperlink>
            <w:r w:rsidR="00802EFE">
              <w:rPr>
                <w:rFonts w:ascii="Cambria" w:hAnsi="Cambria"/>
                <w:b/>
                <w:bCs/>
                <w:color w:val="0563C1"/>
                <w:sz w:val="20"/>
                <w:szCs w:val="20"/>
                <w:u w:val="single"/>
              </w:rPr>
              <w:t>,</w:t>
            </w:r>
            <w:r w:rsidRPr="00142634">
              <w:rPr>
                <w:rFonts w:ascii="Cambria" w:hAnsi="Cambria"/>
                <w:sz w:val="20"/>
                <w:szCs w:val="20"/>
              </w:rPr>
              <w:t xml:space="preserve"> published on March 10, 2022</w:t>
            </w:r>
          </w:p>
          <w:p w14:paraId="676A429E" w14:textId="77777777"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color w:val="000000"/>
                <w:sz w:val="20"/>
                <w:szCs w:val="20"/>
              </w:rPr>
              <w:t>Estimated duration of the negotiation phase</w:t>
            </w:r>
            <w:r w:rsidRPr="00142634">
              <w:rPr>
                <w:rFonts w:ascii="Cambria" w:hAnsi="Cambria"/>
                <w:sz w:val="20"/>
                <w:szCs w:val="20"/>
              </w:rPr>
              <w:t xml:space="preserve"> 11 months</w:t>
            </w:r>
          </w:p>
          <w:p w14:paraId="728AA161" w14:textId="77777777"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bCs/>
                <w:sz w:val="20"/>
                <w:szCs w:val="20"/>
              </w:rPr>
              <w:t xml:space="preserve"> </w:t>
            </w:r>
            <w:r w:rsidRPr="00142634">
              <w:rPr>
                <w:rFonts w:ascii="Cambria" w:hAnsi="Cambria"/>
                <w:b/>
                <w:color w:val="000000"/>
                <w:sz w:val="20"/>
                <w:szCs w:val="20"/>
              </w:rPr>
              <w:t>Related Rapporteurship:</w:t>
            </w:r>
            <w:r w:rsidRPr="00142634">
              <w:rPr>
                <w:rFonts w:ascii="Cambria" w:hAnsi="Cambria"/>
                <w:bCs/>
                <w:color w:val="000000"/>
                <w:sz w:val="20"/>
                <w:szCs w:val="20"/>
              </w:rPr>
              <w:t xml:space="preserve"> Memory, Truth and Justice</w:t>
            </w:r>
          </w:p>
          <w:p w14:paraId="4B5DFB5A" w14:textId="77777777"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bCs/>
                <w:sz w:val="20"/>
                <w:szCs w:val="20"/>
              </w:rPr>
              <w:t>Topics:</w:t>
            </w:r>
            <w:r w:rsidRPr="00142634">
              <w:rPr>
                <w:rFonts w:ascii="Cambria" w:hAnsi="Cambria"/>
                <w:sz w:val="20"/>
                <w:szCs w:val="20"/>
              </w:rPr>
              <w:t xml:space="preserve"> Life/Humane Treatment/Judicial Guarantees/Judicial Protection</w:t>
            </w:r>
          </w:p>
          <w:p w14:paraId="6F8081EF" w14:textId="77777777" w:rsidR="00142634" w:rsidRPr="00142634" w:rsidRDefault="00142634" w:rsidP="00802EFE">
            <w:pPr>
              <w:suppressAutoHyphens/>
              <w:spacing w:after="0" w:line="240" w:lineRule="auto"/>
              <w:ind w:left="-72"/>
              <w:jc w:val="both"/>
              <w:rPr>
                <w:rFonts w:ascii="Cambria" w:hAnsi="Cambria"/>
                <w:sz w:val="20"/>
                <w:szCs w:val="20"/>
              </w:rPr>
            </w:pPr>
          </w:p>
          <w:p w14:paraId="3005B0A6" w14:textId="77777777" w:rsidR="00142634" w:rsidRPr="00142634" w:rsidRDefault="00142634" w:rsidP="00802EFE">
            <w:pPr>
              <w:suppressAutoHyphens/>
              <w:spacing w:after="0" w:line="240" w:lineRule="auto"/>
              <w:ind w:left="-72"/>
              <w:jc w:val="both"/>
              <w:rPr>
                <w:rFonts w:ascii="Cambria" w:hAnsi="Cambria"/>
                <w:sz w:val="20"/>
                <w:szCs w:val="20"/>
              </w:rPr>
            </w:pPr>
            <w:r w:rsidRPr="00142634">
              <w:rPr>
                <w:rFonts w:ascii="Cambria" w:hAnsi="Cambria"/>
                <w:b/>
                <w:bCs/>
                <w:sz w:val="20"/>
                <w:szCs w:val="20"/>
              </w:rPr>
              <w:t>Facts:</w:t>
            </w:r>
            <w:r w:rsidRPr="00142634">
              <w:rPr>
                <w:rFonts w:ascii="Cambria" w:hAnsi="Cambria"/>
                <w:sz w:val="20"/>
                <w:szCs w:val="20"/>
              </w:rPr>
              <w:t xml:space="preserve"> According to the petitioner, on May 16, 1999, Mr. Gabriel Ángel Gómez Martínez, a construction official who lived in the village of Nutibara, was allegedly chased and attacked by paramilitary elements armed with machetes while he was playing a soccer match. The murder was allegedly perpetrated on the spot along with two other people in front of spectators in the stands. In that sense, and according to the information provided, the investigations of the facts described are said to be suspended in one case and archived in the other. The petitioner stated that the homicide of the alleged victim was in total impunity and that almost 20 years had passed without the perpetrators being identified or full reparations being made to the next of kin of the victim.  </w:t>
            </w:r>
          </w:p>
          <w:p w14:paraId="6556AFB0" w14:textId="77777777" w:rsidR="00142634" w:rsidRPr="00142634" w:rsidRDefault="00142634" w:rsidP="00802EFE">
            <w:pPr>
              <w:suppressAutoHyphens/>
              <w:spacing w:after="0" w:line="240" w:lineRule="auto"/>
              <w:ind w:left="-72"/>
              <w:jc w:val="both"/>
              <w:rPr>
                <w:rFonts w:ascii="Cambria" w:hAnsi="Cambria"/>
                <w:sz w:val="20"/>
                <w:szCs w:val="20"/>
              </w:rPr>
            </w:pPr>
          </w:p>
          <w:p w14:paraId="499ED58B" w14:textId="77777777" w:rsidR="00142634" w:rsidRPr="00142634" w:rsidRDefault="00142634" w:rsidP="00802EFE">
            <w:pPr>
              <w:suppressAutoHyphens/>
              <w:spacing w:after="0" w:line="240" w:lineRule="auto"/>
              <w:ind w:left="-72"/>
              <w:jc w:val="both"/>
              <w:rPr>
                <w:rFonts w:ascii="Cambria" w:hAnsi="Cambria"/>
                <w:b/>
                <w:bCs/>
                <w:sz w:val="20"/>
                <w:szCs w:val="20"/>
              </w:rPr>
            </w:pPr>
            <w:r w:rsidRPr="00142634">
              <w:rPr>
                <w:rFonts w:ascii="Cambria" w:hAnsi="Cambria"/>
                <w:b/>
                <w:color w:val="000000"/>
                <w:sz w:val="20"/>
                <w:szCs w:val="20"/>
              </w:rPr>
              <w:t xml:space="preserve">Rights declared admissible: </w:t>
            </w:r>
            <w:r w:rsidRPr="00142634">
              <w:rPr>
                <w:rFonts w:ascii="Cambria" w:hAnsi="Cambria"/>
                <w:sz w:val="20"/>
                <w:szCs w:val="20"/>
              </w:rPr>
              <w:t>On April 24, 2019, the IACHR declared that it had jurisdiction to analyze the alleged violation of the rights protected in Article 4 (life), 5 (humane treatment), 8 (fair trial) and 25 (judicial protection), read in conjunction with Article 1.1 and 2 of the American Convention on Human Rights.</w:t>
            </w:r>
          </w:p>
        </w:tc>
      </w:tr>
    </w:tbl>
    <w:p w14:paraId="7259A553" w14:textId="77777777" w:rsidR="00142634" w:rsidRPr="00142634" w:rsidRDefault="00142634" w:rsidP="00142634">
      <w:pPr>
        <w:suppressAutoHyphens/>
        <w:spacing w:after="0" w:line="240" w:lineRule="auto"/>
        <w:ind w:right="180" w:firstLine="709"/>
        <w:jc w:val="both"/>
        <w:rPr>
          <w:rFonts w:ascii="Cambria" w:hAnsi="Cambria"/>
          <w:sz w:val="20"/>
          <w:szCs w:val="20"/>
        </w:rPr>
      </w:pPr>
    </w:p>
    <w:p w14:paraId="74285B35" w14:textId="77777777" w:rsidR="00142634" w:rsidRPr="00142634" w:rsidRDefault="00142634" w:rsidP="00142634">
      <w:pPr>
        <w:numPr>
          <w:ilvl w:val="0"/>
          <w:numId w:val="53"/>
        </w:numPr>
        <w:suppressAutoHyphens/>
        <w:spacing w:after="0" w:line="240" w:lineRule="auto"/>
        <w:ind w:left="0" w:firstLine="709"/>
        <w:contextualSpacing/>
        <w:jc w:val="both"/>
        <w:rPr>
          <w:rFonts w:ascii="Cambria" w:hAnsi="Cambria"/>
          <w:b/>
          <w:bCs/>
          <w:sz w:val="20"/>
          <w:szCs w:val="20"/>
        </w:rPr>
      </w:pPr>
      <w:r w:rsidRPr="00142634">
        <w:rPr>
          <w:rFonts w:ascii="Cambria" w:hAnsi="Cambria"/>
          <w:b/>
          <w:bCs/>
          <w:sz w:val="20"/>
          <w:szCs w:val="20"/>
        </w:rPr>
        <w:t>PROCEDURAL ACTIVITY</w:t>
      </w:r>
    </w:p>
    <w:p w14:paraId="4B3FFC69" w14:textId="77777777" w:rsidR="00142634" w:rsidRPr="00142634" w:rsidRDefault="00142634" w:rsidP="00142634">
      <w:pPr>
        <w:suppressAutoHyphens/>
        <w:spacing w:after="0" w:line="240" w:lineRule="auto"/>
        <w:ind w:firstLine="709"/>
        <w:jc w:val="both"/>
        <w:rPr>
          <w:rFonts w:ascii="Cambria" w:hAnsi="Cambria"/>
          <w:sz w:val="20"/>
          <w:szCs w:val="20"/>
        </w:rPr>
      </w:pPr>
    </w:p>
    <w:p w14:paraId="70C3213B" w14:textId="76AB4077" w:rsidR="00142634" w:rsidRPr="00142634" w:rsidRDefault="00802EFE" w:rsidP="00142634">
      <w:pPr>
        <w:numPr>
          <w:ilvl w:val="0"/>
          <w:numId w:val="50"/>
        </w:numPr>
        <w:suppressAutoHyphens/>
        <w:spacing w:after="0" w:line="240" w:lineRule="auto"/>
        <w:ind w:left="0" w:firstLine="709"/>
        <w:contextualSpacing/>
        <w:jc w:val="both"/>
        <w:rPr>
          <w:rFonts w:ascii="Cambria" w:hAnsi="Cambria"/>
          <w:sz w:val="20"/>
          <w:szCs w:val="20"/>
        </w:rPr>
      </w:pPr>
      <w:r>
        <w:rPr>
          <w:rFonts w:ascii="Cambria" w:hAnsi="Cambria"/>
          <w:sz w:val="20"/>
          <w:szCs w:val="20"/>
        </w:rPr>
        <w:t>On September 7, 2021, the parties signed a friendly settlement agreement</w:t>
      </w:r>
      <w:r w:rsidR="00142634" w:rsidRPr="00142634">
        <w:rPr>
          <w:rFonts w:ascii="Cambria" w:hAnsi="Cambria"/>
          <w:sz w:val="20"/>
          <w:szCs w:val="20"/>
        </w:rPr>
        <w:t>.</w:t>
      </w:r>
    </w:p>
    <w:p w14:paraId="08DED384" w14:textId="77777777" w:rsidR="00142634" w:rsidRPr="00142634" w:rsidRDefault="00142634" w:rsidP="00142634">
      <w:pPr>
        <w:suppressAutoHyphens/>
        <w:spacing w:after="0" w:line="240" w:lineRule="auto"/>
        <w:ind w:firstLine="709"/>
        <w:contextualSpacing/>
        <w:jc w:val="both"/>
        <w:rPr>
          <w:rFonts w:ascii="Cambria" w:hAnsi="Cambria"/>
          <w:sz w:val="20"/>
          <w:szCs w:val="20"/>
        </w:rPr>
      </w:pPr>
    </w:p>
    <w:p w14:paraId="676524D3" w14:textId="197F777B" w:rsidR="00142634" w:rsidRPr="00142634" w:rsidRDefault="00802EFE" w:rsidP="00142634">
      <w:pPr>
        <w:numPr>
          <w:ilvl w:val="0"/>
          <w:numId w:val="50"/>
        </w:numPr>
        <w:suppressAutoHyphens/>
        <w:spacing w:after="0" w:line="240" w:lineRule="auto"/>
        <w:ind w:left="0" w:firstLine="709"/>
        <w:contextualSpacing/>
        <w:jc w:val="both"/>
        <w:rPr>
          <w:rFonts w:ascii="Cambria" w:hAnsi="Cambria"/>
          <w:sz w:val="20"/>
          <w:szCs w:val="20"/>
        </w:rPr>
      </w:pPr>
      <w:r>
        <w:rPr>
          <w:rFonts w:ascii="Cambria" w:hAnsi="Cambria"/>
          <w:sz w:val="20"/>
          <w:szCs w:val="20"/>
        </w:rPr>
        <w:t xml:space="preserve">On March 10, 2022, the Commission approved the friendly settlement agreement </w:t>
      </w:r>
      <w:r w:rsidR="00CF0E3B">
        <w:rPr>
          <w:rFonts w:ascii="Cambria" w:hAnsi="Cambria"/>
          <w:sz w:val="20"/>
          <w:szCs w:val="20"/>
        </w:rPr>
        <w:t>through</w:t>
      </w:r>
      <w:r>
        <w:rPr>
          <w:rFonts w:ascii="Cambria" w:hAnsi="Cambria"/>
          <w:sz w:val="20"/>
          <w:szCs w:val="20"/>
        </w:rPr>
        <w:t xml:space="preserve"> Report 63/22</w:t>
      </w:r>
      <w:r w:rsidR="00142634" w:rsidRPr="00142634">
        <w:rPr>
          <w:rFonts w:ascii="Cambria" w:hAnsi="Cambria"/>
          <w:sz w:val="20"/>
          <w:szCs w:val="20"/>
        </w:rPr>
        <w:t xml:space="preserve">. </w:t>
      </w:r>
    </w:p>
    <w:p w14:paraId="3CD1F9D9" w14:textId="77777777" w:rsidR="00142634" w:rsidRPr="00142634" w:rsidRDefault="00142634" w:rsidP="00802EFE">
      <w:pPr>
        <w:tabs>
          <w:tab w:val="left" w:pos="720"/>
        </w:tabs>
        <w:suppressAutoHyphens/>
        <w:spacing w:after="0" w:line="240" w:lineRule="auto"/>
        <w:jc w:val="both"/>
        <w:rPr>
          <w:rFonts w:ascii="Cambria" w:hAnsi="Cambria"/>
          <w:sz w:val="20"/>
          <w:szCs w:val="20"/>
        </w:rPr>
      </w:pPr>
    </w:p>
    <w:p w14:paraId="5E6AC9EE" w14:textId="77777777" w:rsidR="00142634" w:rsidRPr="00142634" w:rsidRDefault="00142634" w:rsidP="00142634">
      <w:pPr>
        <w:numPr>
          <w:ilvl w:val="0"/>
          <w:numId w:val="53"/>
        </w:numPr>
        <w:tabs>
          <w:tab w:val="left" w:pos="720"/>
        </w:tabs>
        <w:suppressAutoHyphens/>
        <w:spacing w:after="0" w:line="240" w:lineRule="auto"/>
        <w:ind w:left="0" w:firstLine="709"/>
        <w:contextualSpacing/>
        <w:jc w:val="both"/>
        <w:rPr>
          <w:rFonts w:ascii="Cambria" w:hAnsi="Cambria"/>
          <w:b/>
          <w:bCs/>
          <w:sz w:val="20"/>
          <w:szCs w:val="20"/>
        </w:rPr>
      </w:pPr>
      <w:r w:rsidRPr="00142634">
        <w:rPr>
          <w:rFonts w:ascii="Cambria" w:hAnsi="Cambria"/>
          <w:b/>
          <w:bCs/>
          <w:sz w:val="20"/>
          <w:szCs w:val="20"/>
        </w:rPr>
        <w:t>ANALYSIS OF COMPLIANCE WITH THE CLAUSES OF THE FRIENDLY SETTLEMENT AGREEMENT</w:t>
      </w:r>
    </w:p>
    <w:p w14:paraId="41D18FF8" w14:textId="77777777" w:rsidR="00142634" w:rsidRPr="00142634" w:rsidRDefault="00142634" w:rsidP="00142634">
      <w:pPr>
        <w:suppressAutoHyphens/>
        <w:spacing w:after="0" w:line="240" w:lineRule="auto"/>
        <w:ind w:left="720"/>
        <w:contextualSpacing/>
        <w:jc w:val="both"/>
        <w:textAlignment w:val="baseline"/>
        <w:rPr>
          <w:rFonts w:ascii="Cambria" w:eastAsia="Times New Roman" w:hAnsi="Cambria" w:cs="Segoe UI"/>
          <w:sz w:val="20"/>
          <w:szCs w:val="20"/>
        </w:rPr>
      </w:pPr>
    </w:p>
    <w:tbl>
      <w:tblPr>
        <w:tblW w:w="9507"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62"/>
        <w:gridCol w:w="4536"/>
        <w:gridCol w:w="9"/>
      </w:tblGrid>
      <w:tr w:rsidR="006E59BB" w:rsidRPr="00142634" w14:paraId="00AE417B" w14:textId="77777777" w:rsidTr="006E59BB">
        <w:trPr>
          <w:gridAfter w:val="1"/>
          <w:wAfter w:w="9" w:type="dxa"/>
        </w:trPr>
        <w:tc>
          <w:tcPr>
            <w:tcW w:w="496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F8CF523" w14:textId="77777777" w:rsidR="00802EFE" w:rsidRPr="00142634" w:rsidRDefault="00802EFE" w:rsidP="00142634">
            <w:pPr>
              <w:suppressAutoHyphens/>
              <w:spacing w:after="0" w:line="240" w:lineRule="auto"/>
              <w:jc w:val="center"/>
              <w:textAlignment w:val="baseline"/>
              <w:rPr>
                <w:rFonts w:ascii="Cambria" w:eastAsia="Times New Roman" w:hAnsi="Cambria" w:cs="Segoe UI"/>
                <w:sz w:val="20"/>
                <w:szCs w:val="20"/>
              </w:rPr>
            </w:pPr>
            <w:r w:rsidRPr="00142634">
              <w:rPr>
                <w:rFonts w:ascii="Cambria" w:eastAsia="Times New Roman" w:hAnsi="Cambria"/>
                <w:b/>
                <w:bCs/>
                <w:sz w:val="20"/>
                <w:szCs w:val="20"/>
              </w:rPr>
              <w:t>Clauses of the agreement</w:t>
            </w:r>
          </w:p>
        </w:tc>
        <w:tc>
          <w:tcPr>
            <w:tcW w:w="453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E87F427" w14:textId="3F420D57" w:rsidR="00802EFE" w:rsidRPr="00142634" w:rsidRDefault="00802EFE" w:rsidP="00802EFE">
            <w:pPr>
              <w:suppressAutoHyphens/>
              <w:spacing w:after="0" w:line="240" w:lineRule="auto"/>
              <w:jc w:val="center"/>
              <w:textAlignment w:val="baseline"/>
              <w:rPr>
                <w:rFonts w:ascii="Cambria" w:eastAsia="Times New Roman" w:hAnsi="Cambria" w:cs="Segoe UI"/>
                <w:sz w:val="20"/>
                <w:szCs w:val="20"/>
              </w:rPr>
            </w:pPr>
            <w:r w:rsidRPr="00142634">
              <w:rPr>
                <w:rFonts w:ascii="Cambria" w:eastAsia="Times New Roman" w:hAnsi="Cambria"/>
                <w:b/>
                <w:bCs/>
                <w:sz w:val="20"/>
                <w:szCs w:val="20"/>
              </w:rPr>
              <w:t xml:space="preserve">Status of </w:t>
            </w:r>
            <w:r>
              <w:rPr>
                <w:rFonts w:ascii="Cambria" w:eastAsia="Times New Roman" w:hAnsi="Cambria"/>
                <w:b/>
                <w:bCs/>
                <w:sz w:val="20"/>
                <w:szCs w:val="20"/>
              </w:rPr>
              <w:t>C</w:t>
            </w:r>
            <w:r w:rsidRPr="00142634">
              <w:rPr>
                <w:rFonts w:ascii="Cambria" w:eastAsia="Times New Roman" w:hAnsi="Cambria"/>
                <w:b/>
                <w:bCs/>
                <w:sz w:val="20"/>
                <w:szCs w:val="20"/>
              </w:rPr>
              <w:t xml:space="preserve">ompliance </w:t>
            </w:r>
          </w:p>
        </w:tc>
      </w:tr>
      <w:tr w:rsidR="006E59BB" w:rsidRPr="00142634" w14:paraId="00BEAD8D" w14:textId="77777777" w:rsidTr="006E59BB">
        <w:trPr>
          <w:gridAfter w:val="1"/>
          <w:wAfter w:w="9" w:type="dxa"/>
        </w:trPr>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14:paraId="3812BFD6" w14:textId="77777777" w:rsidR="00142634" w:rsidRPr="00142634" w:rsidRDefault="00142634" w:rsidP="00802EFE">
            <w:pPr>
              <w:suppressAutoHyphens/>
              <w:spacing w:after="0" w:line="240" w:lineRule="auto"/>
              <w:ind w:left="139" w:right="132"/>
              <w:jc w:val="both"/>
              <w:textAlignment w:val="baseline"/>
              <w:rPr>
                <w:rFonts w:ascii="Cambria" w:eastAsia="Times New Roman" w:hAnsi="Cambria"/>
                <w:b/>
                <w:bCs/>
                <w:sz w:val="20"/>
                <w:szCs w:val="20"/>
              </w:rPr>
            </w:pPr>
            <w:r w:rsidRPr="00142634">
              <w:rPr>
                <w:rFonts w:ascii="Cambria" w:eastAsia="Times New Roman" w:hAnsi="Cambria"/>
                <w:b/>
                <w:bCs/>
                <w:sz w:val="20"/>
                <w:szCs w:val="20"/>
              </w:rPr>
              <w:t xml:space="preserve">Fourth Section: Acknowledgment of responsibility: </w:t>
            </w:r>
            <w:r w:rsidRPr="00142634">
              <w:rPr>
                <w:rFonts w:ascii="Cambria" w:eastAsia="Times New Roman" w:hAnsi="Cambria"/>
                <w:sz w:val="20"/>
                <w:szCs w:val="20"/>
              </w:rPr>
              <w:t xml:space="preserve">The Colombian State acknowledges its international responsibility for the violation of the rights recognized in articles 8 (rights to judicial guarantees) and 25 (right to judicial protection) of the American Convention on Human Rights in relation to article 1.1 of the same instrument, to the detriment of the relatives of Mr. Gabriel Angel Gómez Martínez, due to the lack of </w:t>
            </w:r>
            <w:r w:rsidRPr="00142634">
              <w:rPr>
                <w:rFonts w:ascii="Cambria" w:eastAsia="Times New Roman" w:hAnsi="Cambria"/>
                <w:sz w:val="20"/>
                <w:szCs w:val="20"/>
              </w:rPr>
              <w:lastRenderedPageBreak/>
              <w:t>diligence in the investigation of the events that occurred.</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42563867" w14:textId="66889B79" w:rsidR="00142634" w:rsidRPr="00142634" w:rsidRDefault="00142634" w:rsidP="006E59BB">
            <w:pPr>
              <w:suppressAutoHyphens/>
              <w:spacing w:after="0" w:line="240" w:lineRule="auto"/>
              <w:ind w:hanging="275"/>
              <w:jc w:val="center"/>
              <w:textAlignment w:val="baseline"/>
              <w:rPr>
                <w:rFonts w:ascii="Cambria" w:eastAsia="Times New Roman" w:hAnsi="Cambria"/>
                <w:b/>
                <w:bCs/>
                <w:sz w:val="20"/>
                <w:szCs w:val="20"/>
              </w:rPr>
            </w:pPr>
            <w:r w:rsidRPr="00142634">
              <w:rPr>
                <w:rFonts w:ascii="Cambria" w:eastAsia="Times New Roman" w:hAnsi="Cambria"/>
                <w:b/>
                <w:bCs/>
                <w:sz w:val="20"/>
                <w:szCs w:val="20"/>
              </w:rPr>
              <w:lastRenderedPageBreak/>
              <w:t xml:space="preserve">Declarative </w:t>
            </w:r>
            <w:r w:rsidR="00802EFE">
              <w:rPr>
                <w:rFonts w:ascii="Cambria" w:eastAsia="Times New Roman" w:hAnsi="Cambria"/>
                <w:b/>
                <w:bCs/>
                <w:sz w:val="20"/>
                <w:szCs w:val="20"/>
              </w:rPr>
              <w:t>C</w:t>
            </w:r>
            <w:r w:rsidRPr="00142634">
              <w:rPr>
                <w:rFonts w:ascii="Cambria" w:eastAsia="Times New Roman" w:hAnsi="Cambria"/>
                <w:b/>
                <w:bCs/>
                <w:sz w:val="20"/>
                <w:szCs w:val="20"/>
              </w:rPr>
              <w:t>lause </w:t>
            </w:r>
          </w:p>
        </w:tc>
      </w:tr>
      <w:tr w:rsidR="006E59BB" w:rsidRPr="00142634" w14:paraId="67E8B9C3" w14:textId="77777777" w:rsidTr="006E59BB">
        <w:tc>
          <w:tcPr>
            <w:tcW w:w="950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E149D71" w14:textId="30257A7A" w:rsidR="00142634" w:rsidRPr="00142634" w:rsidRDefault="00142634" w:rsidP="00142634">
            <w:pPr>
              <w:suppressAutoHyphens/>
              <w:spacing w:after="0" w:line="240" w:lineRule="auto"/>
              <w:textAlignment w:val="baseline"/>
              <w:rPr>
                <w:rFonts w:ascii="Cambria" w:eastAsia="Times New Roman" w:hAnsi="Cambria" w:cs="Segoe UI"/>
                <w:b/>
                <w:bCs/>
                <w:sz w:val="20"/>
                <w:szCs w:val="20"/>
              </w:rPr>
            </w:pPr>
            <w:r w:rsidRPr="00142634">
              <w:rPr>
                <w:rFonts w:ascii="Cambria" w:eastAsia="Times New Roman" w:hAnsi="Cambria"/>
                <w:b/>
                <w:bCs/>
                <w:sz w:val="20"/>
                <w:szCs w:val="20"/>
              </w:rPr>
              <w:t xml:space="preserve">       Fifth Part: Satisfaction Measures</w:t>
            </w:r>
          </w:p>
        </w:tc>
      </w:tr>
      <w:tr w:rsidR="006E59BB" w:rsidRPr="00142634" w14:paraId="69DC81EA" w14:textId="77777777" w:rsidTr="006E59BB">
        <w:trPr>
          <w:gridAfter w:val="1"/>
          <w:wAfter w:w="9" w:type="dxa"/>
          <w:trHeight w:val="450"/>
        </w:trPr>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662B5EA4" w14:textId="77777777" w:rsidR="00142634" w:rsidRPr="00142634" w:rsidRDefault="00142634" w:rsidP="00142634">
            <w:pPr>
              <w:suppressAutoHyphens/>
              <w:spacing w:after="0" w:line="240" w:lineRule="auto"/>
              <w:ind w:left="180" w:right="164"/>
              <w:jc w:val="both"/>
              <w:textAlignment w:val="baseline"/>
              <w:rPr>
                <w:rFonts w:ascii="Cambria" w:eastAsia="Times New Roman" w:hAnsi="Cambria"/>
                <w:sz w:val="20"/>
                <w:szCs w:val="20"/>
              </w:rPr>
            </w:pPr>
            <w:r w:rsidRPr="00142634">
              <w:rPr>
                <w:rFonts w:ascii="Cambria" w:eastAsia="Times New Roman" w:hAnsi="Cambria"/>
                <w:b/>
                <w:bCs/>
                <w:sz w:val="20"/>
                <w:szCs w:val="20"/>
              </w:rPr>
              <w:t>i.</w:t>
            </w:r>
            <w:r w:rsidRPr="00142634">
              <w:rPr>
                <w:rFonts w:ascii="Cambria" w:eastAsia="Times New Roman" w:hAnsi="Cambria"/>
                <w:b/>
                <w:bCs/>
                <w:sz w:val="20"/>
                <w:szCs w:val="20"/>
              </w:rPr>
              <w:tab/>
              <w:t>Act of Acknowledgement of Responsibility:</w:t>
            </w:r>
            <w:r w:rsidRPr="00142634">
              <w:rPr>
                <w:rFonts w:ascii="Cambria" w:eastAsia="Times New Roman" w:hAnsi="Cambria"/>
                <w:sz w:val="20"/>
                <w:szCs w:val="20"/>
              </w:rPr>
              <w:t xml:space="preserve"> The Colombian State shall proceed to a Private Act of Acknowledgement of Responsibility, virtually conducted, with the participation of the relatives of Mr. Gabriel Ángel Gómez and their representatives. The act shall be carried out in accordance with the acknowledgment of responsibility indicated in this Agreement. This measure will oversee the National Agency for the Legal Defense of the State.</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AB849" w14:textId="77777777" w:rsidR="00142634" w:rsidRPr="00142634" w:rsidRDefault="00142634" w:rsidP="00142634">
            <w:pPr>
              <w:suppressAutoHyphens/>
              <w:spacing w:after="0" w:line="240" w:lineRule="auto"/>
              <w:jc w:val="center"/>
              <w:textAlignment w:val="baseline"/>
              <w:rPr>
                <w:rFonts w:ascii="Cambria" w:eastAsia="Times New Roman" w:hAnsi="Cambria" w:cs="Segoe UI"/>
                <w:b/>
                <w:bCs/>
                <w:sz w:val="20"/>
                <w:szCs w:val="20"/>
              </w:rPr>
            </w:pPr>
            <w:r w:rsidRPr="00142634">
              <w:rPr>
                <w:rFonts w:ascii="Cambria" w:eastAsia="Times New Roman" w:hAnsi="Cambria"/>
                <w:b/>
                <w:bCs/>
                <w:sz w:val="20"/>
                <w:szCs w:val="20"/>
              </w:rPr>
              <w:t>Total</w:t>
            </w:r>
            <w:r w:rsidRPr="00142634">
              <w:rPr>
                <w:rFonts w:ascii="Cambria" w:eastAsia="Times New Roman" w:hAnsi="Cambria"/>
                <w:b/>
                <w:bCs/>
                <w:sz w:val="20"/>
                <w:szCs w:val="20"/>
                <w:vertAlign w:val="superscript"/>
              </w:rPr>
              <w:footnoteReference w:id="2"/>
            </w:r>
          </w:p>
        </w:tc>
      </w:tr>
      <w:tr w:rsidR="006E59BB" w:rsidRPr="00142634" w14:paraId="363B9908" w14:textId="77777777" w:rsidTr="006E59BB">
        <w:trPr>
          <w:gridAfter w:val="1"/>
          <w:wAfter w:w="9" w:type="dxa"/>
          <w:trHeight w:val="228"/>
        </w:trPr>
        <w:tc>
          <w:tcPr>
            <w:tcW w:w="4962" w:type="dxa"/>
            <w:tcBorders>
              <w:top w:val="single" w:sz="6" w:space="0" w:color="auto"/>
              <w:left w:val="single" w:sz="6" w:space="0" w:color="auto"/>
              <w:bottom w:val="single" w:sz="4" w:space="0" w:color="auto"/>
              <w:right w:val="single" w:sz="6" w:space="0" w:color="auto"/>
            </w:tcBorders>
            <w:shd w:val="clear" w:color="auto" w:fill="auto"/>
            <w:hideMark/>
          </w:tcPr>
          <w:p w14:paraId="4B70CD17" w14:textId="77777777" w:rsidR="00142634" w:rsidRPr="00142634" w:rsidRDefault="00142634" w:rsidP="00142634">
            <w:pPr>
              <w:suppressAutoHyphens/>
              <w:spacing w:after="0" w:line="240" w:lineRule="auto"/>
              <w:ind w:left="180" w:right="164"/>
              <w:jc w:val="both"/>
              <w:textAlignment w:val="baseline"/>
              <w:rPr>
                <w:rFonts w:ascii="Cambria" w:eastAsia="Times New Roman" w:hAnsi="Cambria"/>
                <w:sz w:val="20"/>
                <w:szCs w:val="20"/>
              </w:rPr>
            </w:pPr>
            <w:r w:rsidRPr="00142634">
              <w:rPr>
                <w:rFonts w:ascii="Cambria" w:eastAsia="Times New Roman" w:hAnsi="Cambria"/>
                <w:b/>
                <w:bCs/>
                <w:sz w:val="20"/>
                <w:szCs w:val="20"/>
              </w:rPr>
              <w:t>ii.</w:t>
            </w:r>
            <w:r w:rsidRPr="00142634">
              <w:rPr>
                <w:rFonts w:ascii="Cambria" w:eastAsia="Times New Roman" w:hAnsi="Cambria"/>
                <w:b/>
                <w:bCs/>
                <w:sz w:val="20"/>
                <w:szCs w:val="20"/>
              </w:rPr>
              <w:tab/>
              <w:t>Publication of the Report of Article 49:</w:t>
            </w:r>
            <w:r w:rsidRPr="00142634">
              <w:rPr>
                <w:rFonts w:ascii="Cambria" w:eastAsia="Times New Roman" w:hAnsi="Cambria"/>
                <w:sz w:val="20"/>
                <w:szCs w:val="20"/>
              </w:rPr>
              <w:t xml:space="preserve"> The Colombian State shall publish the pertinent sections of the friendly settlement report once it is issued by the Inter-American Commission on Human Rights, on the website of the National Agency for the Legal Defense of the State, for a term of six (6) months.</w:t>
            </w:r>
          </w:p>
          <w:p w14:paraId="4178D874" w14:textId="77777777" w:rsidR="00142634" w:rsidRPr="00142634" w:rsidRDefault="00142634" w:rsidP="00142634">
            <w:pPr>
              <w:suppressAutoHyphens/>
              <w:spacing w:after="0" w:line="240" w:lineRule="auto"/>
              <w:ind w:left="180" w:right="164"/>
              <w:jc w:val="both"/>
              <w:textAlignment w:val="baseline"/>
              <w:rPr>
                <w:rFonts w:ascii="Cambria" w:eastAsia="Times New Roman" w:hAnsi="Cambria"/>
                <w:sz w:val="20"/>
                <w:szCs w:val="20"/>
              </w:rPr>
            </w:pPr>
          </w:p>
        </w:tc>
        <w:tc>
          <w:tcPr>
            <w:tcW w:w="453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54149F99" w14:textId="77777777" w:rsidR="00142634" w:rsidRPr="00142634" w:rsidRDefault="00142634" w:rsidP="00142634">
            <w:pPr>
              <w:suppressAutoHyphens/>
              <w:spacing w:after="0" w:line="240" w:lineRule="auto"/>
              <w:ind w:left="130" w:right="187"/>
              <w:jc w:val="center"/>
              <w:rPr>
                <w:rFonts w:ascii="Cambria" w:hAnsi="Cambria"/>
              </w:rPr>
            </w:pPr>
            <w:r w:rsidRPr="00142634">
              <w:rPr>
                <w:rFonts w:ascii="Cambria" w:hAnsi="Cambria"/>
                <w:b/>
                <w:bCs/>
                <w:sz w:val="20"/>
                <w:szCs w:val="20"/>
              </w:rPr>
              <w:t>Total</w:t>
            </w:r>
            <w:r w:rsidRPr="00142634">
              <w:rPr>
                <w:rFonts w:ascii="Cambria" w:hAnsi="Cambria"/>
                <w:b/>
                <w:bCs/>
                <w:sz w:val="20"/>
                <w:szCs w:val="20"/>
                <w:vertAlign w:val="superscript"/>
              </w:rPr>
              <w:footnoteReference w:id="3"/>
            </w:r>
          </w:p>
        </w:tc>
      </w:tr>
      <w:tr w:rsidR="006E59BB" w:rsidRPr="00142634" w14:paraId="50D108ED" w14:textId="77777777" w:rsidTr="006E59BB">
        <w:trPr>
          <w:gridAfter w:val="1"/>
          <w:wAfter w:w="9" w:type="dxa"/>
          <w:trHeight w:val="195"/>
        </w:trPr>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276AA9B1" w14:textId="77777777" w:rsidR="00B1720D" w:rsidRPr="00142634" w:rsidRDefault="00B1720D" w:rsidP="00142634">
            <w:pPr>
              <w:suppressAutoHyphens/>
              <w:spacing w:after="0" w:line="240" w:lineRule="auto"/>
              <w:ind w:left="172" w:right="164" w:firstLine="8"/>
              <w:jc w:val="both"/>
              <w:textAlignment w:val="baseline"/>
              <w:rPr>
                <w:rFonts w:ascii="Cambria" w:eastAsia="Times New Roman" w:hAnsi="Cambria"/>
                <w:sz w:val="20"/>
                <w:szCs w:val="20"/>
              </w:rPr>
            </w:pPr>
            <w:r w:rsidRPr="00142634">
              <w:rPr>
                <w:rFonts w:ascii="Cambria" w:eastAsia="Times New Roman" w:hAnsi="Cambria"/>
                <w:b/>
                <w:bCs/>
                <w:sz w:val="20"/>
                <w:szCs w:val="20"/>
              </w:rPr>
              <w:t>Sixth Part: Compensation Measures:</w:t>
            </w:r>
            <w:r w:rsidRPr="00142634">
              <w:rPr>
                <w:rFonts w:ascii="Cambria" w:eastAsia="Times New Roman" w:hAnsi="Cambria"/>
                <w:sz w:val="20"/>
                <w:szCs w:val="20"/>
              </w:rPr>
              <w:t xml:space="preserve"> The State undertakes to initiate the process of Law 288 of 1996 "Whereby instruments are established for the compensation of damages to victims of human rights violations by virtue of the provisions of certain international human rights bodies", once this friendly settlement agreement is approved through the issuance of the Report of Article 49 of the American Convention on Human Rights, in order to repair the damages caused to the relatives of the victims as a result of the effects generated by the facts of this case. The National Agency for the Legal Defense of the State will be the entity in charge of the processing of Law 288 of 1996. For the purposes of compensation, the criteria and amounts to be used are those recognized by the current jurisprudence of the State Council.</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4CFB4" w14:textId="246E8323" w:rsidR="00B1720D" w:rsidRPr="00142634" w:rsidRDefault="00B1720D" w:rsidP="00B1720D">
            <w:pPr>
              <w:suppressAutoHyphens/>
              <w:spacing w:after="0" w:line="240" w:lineRule="auto"/>
              <w:jc w:val="center"/>
              <w:textAlignment w:val="baseline"/>
              <w:rPr>
                <w:rFonts w:ascii="Cambria" w:eastAsia="Times New Roman" w:hAnsi="Cambria"/>
                <w:sz w:val="20"/>
                <w:szCs w:val="20"/>
              </w:rPr>
            </w:pPr>
            <w:r w:rsidRPr="00142634">
              <w:rPr>
                <w:rFonts w:ascii="Cambria" w:eastAsia="MS Mincho" w:hAnsi="Cambria"/>
                <w:b/>
                <w:bCs/>
                <w:sz w:val="20"/>
                <w:szCs w:val="20"/>
                <w:lang w:val="es-VE"/>
              </w:rPr>
              <w:t>Total</w:t>
            </w:r>
            <w:r>
              <w:rPr>
                <w:rStyle w:val="FootnoteReference"/>
                <w:rFonts w:ascii="Cambria" w:eastAsia="MS Mincho" w:hAnsi="Cambria"/>
                <w:b/>
                <w:bCs/>
                <w:sz w:val="20"/>
                <w:szCs w:val="20"/>
                <w:lang w:val="es-VE"/>
              </w:rPr>
              <w:footnoteReference w:id="4"/>
            </w:r>
          </w:p>
        </w:tc>
      </w:tr>
      <w:tr w:rsidR="006E59BB" w:rsidRPr="00142634" w14:paraId="147CBA21" w14:textId="77777777" w:rsidTr="006E59BB">
        <w:trPr>
          <w:gridAfter w:val="1"/>
          <w:wAfter w:w="9" w:type="dxa"/>
          <w:trHeight w:val="210"/>
        </w:trPr>
        <w:tc>
          <w:tcPr>
            <w:tcW w:w="4962" w:type="dxa"/>
            <w:tcBorders>
              <w:top w:val="single" w:sz="6" w:space="0" w:color="auto"/>
              <w:left w:val="single" w:sz="6" w:space="0" w:color="auto"/>
              <w:bottom w:val="single" w:sz="6" w:space="0" w:color="auto"/>
              <w:right w:val="single" w:sz="6" w:space="0" w:color="auto"/>
            </w:tcBorders>
            <w:shd w:val="clear" w:color="auto" w:fill="auto"/>
          </w:tcPr>
          <w:p w14:paraId="7E505272" w14:textId="77777777" w:rsidR="00142634" w:rsidRPr="00142634" w:rsidRDefault="00142634" w:rsidP="00142634">
            <w:pPr>
              <w:suppressAutoHyphens/>
              <w:spacing w:after="0" w:line="240" w:lineRule="auto"/>
              <w:ind w:left="172" w:right="164" w:firstLine="8"/>
              <w:jc w:val="both"/>
              <w:textAlignment w:val="baseline"/>
              <w:rPr>
                <w:rFonts w:ascii="Cambria" w:eastAsia="Times New Roman" w:hAnsi="Cambria"/>
                <w:sz w:val="20"/>
                <w:szCs w:val="20"/>
              </w:rPr>
            </w:pPr>
            <w:r w:rsidRPr="00142634">
              <w:rPr>
                <w:rFonts w:ascii="Cambria" w:eastAsia="Times New Roman" w:hAnsi="Cambria"/>
                <w:b/>
                <w:bCs/>
                <w:sz w:val="20"/>
                <w:szCs w:val="20"/>
              </w:rPr>
              <w:t>Seventh Part: Homologation and Follow-up:</w:t>
            </w:r>
            <w:r w:rsidRPr="00142634">
              <w:rPr>
                <w:rFonts w:ascii="Cambria" w:eastAsia="Times New Roman" w:hAnsi="Cambria"/>
                <w:sz w:val="20"/>
                <w:szCs w:val="20"/>
              </w:rPr>
              <w:t xml:space="preserve"> The parties request the Inter-American Commission to homologate this Agreement and to follow up on it. This Agreement is signed on September 7, 2021, being the parties aware of its scope and legal content.</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6A77E442" w14:textId="08259269" w:rsidR="00142634" w:rsidRPr="00142634" w:rsidRDefault="00142634" w:rsidP="00142634">
            <w:pPr>
              <w:suppressAutoHyphens/>
              <w:spacing w:after="0" w:line="240" w:lineRule="auto"/>
              <w:jc w:val="center"/>
              <w:textAlignment w:val="baseline"/>
              <w:rPr>
                <w:rFonts w:ascii="Cambria" w:eastAsia="Times New Roman" w:hAnsi="Cambria"/>
                <w:b/>
                <w:bCs/>
                <w:sz w:val="20"/>
                <w:szCs w:val="20"/>
              </w:rPr>
            </w:pPr>
            <w:r w:rsidRPr="00142634">
              <w:rPr>
                <w:rFonts w:ascii="Cambria" w:eastAsia="Times New Roman" w:hAnsi="Cambria"/>
                <w:b/>
                <w:bCs/>
                <w:sz w:val="20"/>
                <w:szCs w:val="20"/>
              </w:rPr>
              <w:t>Declarative </w:t>
            </w:r>
            <w:r w:rsidR="00B1720D">
              <w:rPr>
                <w:rFonts w:ascii="Cambria" w:eastAsia="Times New Roman" w:hAnsi="Cambria"/>
                <w:b/>
                <w:bCs/>
                <w:sz w:val="20"/>
                <w:szCs w:val="20"/>
              </w:rPr>
              <w:t>C</w:t>
            </w:r>
            <w:r w:rsidRPr="00142634">
              <w:rPr>
                <w:rFonts w:ascii="Cambria" w:eastAsia="Times New Roman" w:hAnsi="Cambria"/>
                <w:b/>
                <w:bCs/>
                <w:sz w:val="20"/>
                <w:szCs w:val="20"/>
              </w:rPr>
              <w:t>lause</w:t>
            </w:r>
          </w:p>
        </w:tc>
      </w:tr>
    </w:tbl>
    <w:p w14:paraId="580A079D" w14:textId="77777777" w:rsidR="00142634" w:rsidRPr="00142634" w:rsidRDefault="00142634" w:rsidP="00B1720D">
      <w:pPr>
        <w:suppressAutoHyphens/>
        <w:spacing w:after="0" w:line="240" w:lineRule="auto"/>
        <w:jc w:val="both"/>
        <w:rPr>
          <w:rFonts w:ascii="Cambria" w:hAnsi="Cambria"/>
          <w:b/>
          <w:bCs/>
          <w:sz w:val="20"/>
          <w:szCs w:val="20"/>
        </w:rPr>
      </w:pPr>
    </w:p>
    <w:p w14:paraId="13D2EE5A" w14:textId="77777777" w:rsidR="00142634" w:rsidRPr="00142634" w:rsidRDefault="00142634" w:rsidP="00142634">
      <w:pPr>
        <w:numPr>
          <w:ilvl w:val="0"/>
          <w:numId w:val="53"/>
        </w:numPr>
        <w:suppressAutoHyphens/>
        <w:spacing w:after="0" w:line="240" w:lineRule="auto"/>
        <w:ind w:left="0" w:firstLine="709"/>
        <w:contextualSpacing/>
        <w:jc w:val="both"/>
        <w:rPr>
          <w:rFonts w:ascii="Cambria" w:hAnsi="Cambria"/>
          <w:b/>
          <w:bCs/>
          <w:sz w:val="20"/>
          <w:szCs w:val="20"/>
        </w:rPr>
      </w:pPr>
      <w:r w:rsidRPr="00142634">
        <w:rPr>
          <w:rFonts w:ascii="Cambria" w:hAnsi="Cambria"/>
          <w:b/>
          <w:bCs/>
          <w:sz w:val="20"/>
          <w:szCs w:val="20"/>
        </w:rPr>
        <w:t>LEVEL OF COMPLIANCE OF THE CASE</w:t>
      </w:r>
    </w:p>
    <w:p w14:paraId="1E0E9DC8" w14:textId="77777777" w:rsidR="00142634" w:rsidRPr="00142634" w:rsidRDefault="00142634" w:rsidP="00142634">
      <w:pPr>
        <w:suppressAutoHyphens/>
        <w:spacing w:after="0" w:line="240" w:lineRule="auto"/>
        <w:ind w:firstLine="709"/>
        <w:jc w:val="both"/>
        <w:rPr>
          <w:rFonts w:ascii="Cambria" w:hAnsi="Cambria"/>
          <w:sz w:val="20"/>
          <w:szCs w:val="20"/>
        </w:rPr>
      </w:pPr>
    </w:p>
    <w:p w14:paraId="31C7C624" w14:textId="4A0509B6" w:rsidR="00142634" w:rsidRPr="00142634" w:rsidRDefault="00142634" w:rsidP="00142634">
      <w:pPr>
        <w:numPr>
          <w:ilvl w:val="0"/>
          <w:numId w:val="50"/>
        </w:numPr>
        <w:suppressAutoHyphens/>
        <w:spacing w:after="0" w:line="240" w:lineRule="auto"/>
        <w:ind w:left="0" w:firstLine="709"/>
        <w:contextualSpacing/>
        <w:jc w:val="both"/>
        <w:rPr>
          <w:rFonts w:ascii="Cambria" w:hAnsi="Cambria"/>
          <w:sz w:val="20"/>
          <w:szCs w:val="20"/>
        </w:rPr>
      </w:pPr>
      <w:r w:rsidRPr="00142634">
        <w:rPr>
          <w:rFonts w:ascii="Cambria" w:hAnsi="Cambria"/>
          <w:sz w:val="20"/>
          <w:szCs w:val="20"/>
        </w:rPr>
        <w:t xml:space="preserve">The Commission </w:t>
      </w:r>
      <w:r w:rsidR="00B1720D">
        <w:rPr>
          <w:rFonts w:ascii="Cambria" w:hAnsi="Cambria"/>
          <w:sz w:val="20"/>
          <w:szCs w:val="20"/>
        </w:rPr>
        <w:t>declared full compliance with the case and the ceasing of the follow-up of the friendly settlement agreement in the 2024 Annual Report</w:t>
      </w:r>
      <w:r w:rsidRPr="00142634">
        <w:rPr>
          <w:rFonts w:ascii="Cambria" w:hAnsi="Cambria"/>
          <w:sz w:val="20"/>
          <w:szCs w:val="20"/>
        </w:rPr>
        <w:t xml:space="preserve">. </w:t>
      </w:r>
    </w:p>
    <w:p w14:paraId="2447734B" w14:textId="3E5258F8" w:rsidR="00142634" w:rsidRDefault="00142634" w:rsidP="00B1720D">
      <w:pPr>
        <w:spacing w:after="0" w:line="240" w:lineRule="auto"/>
        <w:contextualSpacing/>
        <w:jc w:val="both"/>
        <w:rPr>
          <w:rFonts w:ascii="Cambria" w:eastAsia="Batang" w:hAnsi="Cambria"/>
          <w:color w:val="000000"/>
          <w:sz w:val="20"/>
          <w:szCs w:val="20"/>
        </w:rPr>
      </w:pPr>
    </w:p>
    <w:p w14:paraId="6FF6095D" w14:textId="77777777" w:rsidR="00CF0E3B" w:rsidRDefault="00CF0E3B" w:rsidP="00B1720D">
      <w:pPr>
        <w:spacing w:after="0" w:line="240" w:lineRule="auto"/>
        <w:contextualSpacing/>
        <w:jc w:val="both"/>
        <w:rPr>
          <w:rFonts w:ascii="Cambria" w:eastAsia="Batang" w:hAnsi="Cambria"/>
          <w:color w:val="000000"/>
          <w:sz w:val="20"/>
          <w:szCs w:val="20"/>
        </w:rPr>
      </w:pPr>
    </w:p>
    <w:p w14:paraId="754EF1B1" w14:textId="77777777" w:rsidR="00B1720D" w:rsidRDefault="00B1720D" w:rsidP="00B1720D">
      <w:pPr>
        <w:spacing w:after="0" w:line="240" w:lineRule="auto"/>
        <w:contextualSpacing/>
        <w:jc w:val="both"/>
        <w:rPr>
          <w:rFonts w:ascii="Cambria" w:eastAsia="Batang" w:hAnsi="Cambria"/>
          <w:color w:val="000000"/>
          <w:sz w:val="20"/>
          <w:szCs w:val="20"/>
        </w:rPr>
      </w:pPr>
    </w:p>
    <w:p w14:paraId="089889FE" w14:textId="77777777" w:rsidR="00B1720D" w:rsidRPr="00142634" w:rsidRDefault="00B1720D" w:rsidP="00B1720D">
      <w:pPr>
        <w:spacing w:after="0" w:line="240" w:lineRule="auto"/>
        <w:contextualSpacing/>
        <w:jc w:val="both"/>
        <w:rPr>
          <w:rFonts w:ascii="Cambria" w:hAnsi="Cambria"/>
          <w:sz w:val="20"/>
          <w:szCs w:val="20"/>
        </w:rPr>
      </w:pPr>
    </w:p>
    <w:p w14:paraId="641ED64A" w14:textId="77777777" w:rsidR="00142634" w:rsidRPr="00142634" w:rsidRDefault="00142634" w:rsidP="00142634">
      <w:pPr>
        <w:numPr>
          <w:ilvl w:val="0"/>
          <w:numId w:val="53"/>
        </w:numPr>
        <w:suppressAutoHyphens/>
        <w:spacing w:after="0" w:line="240" w:lineRule="auto"/>
        <w:ind w:left="0" w:firstLine="709"/>
        <w:contextualSpacing/>
        <w:jc w:val="both"/>
        <w:rPr>
          <w:rFonts w:ascii="Cambria" w:hAnsi="Cambria"/>
          <w:b/>
          <w:bCs/>
          <w:sz w:val="20"/>
          <w:szCs w:val="20"/>
        </w:rPr>
      </w:pPr>
      <w:r w:rsidRPr="00142634">
        <w:rPr>
          <w:rFonts w:ascii="Cambria" w:hAnsi="Cambria"/>
          <w:b/>
          <w:bCs/>
          <w:sz w:val="20"/>
          <w:szCs w:val="20"/>
        </w:rPr>
        <w:lastRenderedPageBreak/>
        <w:t>INDIVIDUAL AND STRUCTURAL OUTCOMES OF THE CASE</w:t>
      </w:r>
    </w:p>
    <w:p w14:paraId="0E0FD11E" w14:textId="77777777" w:rsidR="00142634" w:rsidRPr="00142634" w:rsidRDefault="00142634" w:rsidP="00142634">
      <w:pPr>
        <w:suppressAutoHyphens/>
        <w:spacing w:after="0" w:line="240" w:lineRule="auto"/>
        <w:ind w:firstLine="709"/>
        <w:jc w:val="both"/>
        <w:rPr>
          <w:rFonts w:ascii="Cambria" w:hAnsi="Cambria"/>
          <w:b/>
          <w:bCs/>
          <w:sz w:val="20"/>
          <w:szCs w:val="20"/>
        </w:rPr>
      </w:pPr>
    </w:p>
    <w:p w14:paraId="0FD62586" w14:textId="77777777" w:rsidR="00142634" w:rsidRPr="00142634" w:rsidRDefault="00142634" w:rsidP="00142634">
      <w:pPr>
        <w:numPr>
          <w:ilvl w:val="0"/>
          <w:numId w:val="51"/>
        </w:numPr>
        <w:suppressAutoHyphens/>
        <w:spacing w:after="0" w:line="240" w:lineRule="auto"/>
        <w:ind w:left="1418" w:hanging="709"/>
        <w:contextualSpacing/>
        <w:jc w:val="both"/>
        <w:rPr>
          <w:rFonts w:ascii="Cambria" w:hAnsi="Cambria"/>
          <w:b/>
          <w:bCs/>
          <w:sz w:val="20"/>
          <w:szCs w:val="20"/>
        </w:rPr>
      </w:pPr>
      <w:r w:rsidRPr="00142634">
        <w:rPr>
          <w:rFonts w:ascii="Cambria" w:hAnsi="Cambria"/>
          <w:b/>
          <w:bCs/>
          <w:sz w:val="20"/>
          <w:szCs w:val="20"/>
        </w:rPr>
        <w:t>Individual outcomes of the case</w:t>
      </w:r>
    </w:p>
    <w:p w14:paraId="256A2CF2" w14:textId="77777777" w:rsidR="00142634" w:rsidRPr="00142634" w:rsidRDefault="00142634" w:rsidP="00142634">
      <w:pPr>
        <w:suppressAutoHyphens/>
        <w:spacing w:after="0" w:line="240" w:lineRule="auto"/>
        <w:jc w:val="both"/>
        <w:rPr>
          <w:rFonts w:ascii="Cambria" w:hAnsi="Cambria"/>
          <w:sz w:val="20"/>
          <w:szCs w:val="20"/>
        </w:rPr>
      </w:pPr>
      <w:r w:rsidRPr="00142634">
        <w:rPr>
          <w:rFonts w:ascii="Cambria" w:hAnsi="Cambria"/>
          <w:sz w:val="20"/>
          <w:szCs w:val="20"/>
        </w:rPr>
        <w:t> </w:t>
      </w:r>
    </w:p>
    <w:p w14:paraId="754AFA48" w14:textId="77777777" w:rsidR="00142634" w:rsidRPr="00142634" w:rsidRDefault="00142634" w:rsidP="00142634">
      <w:pPr>
        <w:numPr>
          <w:ilvl w:val="0"/>
          <w:numId w:val="52"/>
        </w:numPr>
        <w:suppressAutoHyphens/>
        <w:spacing w:after="0" w:line="240" w:lineRule="auto"/>
        <w:ind w:left="1440" w:hanging="720"/>
        <w:contextualSpacing/>
        <w:jc w:val="both"/>
        <w:rPr>
          <w:rFonts w:ascii="Cambria" w:hAnsi="Cambria"/>
          <w:sz w:val="20"/>
          <w:szCs w:val="20"/>
        </w:rPr>
      </w:pPr>
      <w:r w:rsidRPr="00142634">
        <w:rPr>
          <w:rFonts w:ascii="Cambria" w:hAnsi="Cambria"/>
          <w:sz w:val="20"/>
          <w:szCs w:val="20"/>
        </w:rPr>
        <w:t>The State held a private act of acknowledgement of responsibility for the victim’s family members.</w:t>
      </w:r>
    </w:p>
    <w:p w14:paraId="5870891A" w14:textId="77777777" w:rsidR="00142634" w:rsidRPr="00142634" w:rsidRDefault="00142634" w:rsidP="00142634">
      <w:pPr>
        <w:numPr>
          <w:ilvl w:val="0"/>
          <w:numId w:val="52"/>
        </w:numPr>
        <w:suppressAutoHyphens/>
        <w:spacing w:after="0" w:line="240" w:lineRule="auto"/>
        <w:ind w:left="1440" w:hanging="720"/>
        <w:contextualSpacing/>
        <w:jc w:val="both"/>
        <w:rPr>
          <w:rFonts w:ascii="Cambria" w:hAnsi="Cambria"/>
          <w:sz w:val="20"/>
          <w:szCs w:val="20"/>
        </w:rPr>
      </w:pPr>
      <w:r w:rsidRPr="00142634">
        <w:rPr>
          <w:rFonts w:ascii="Cambria" w:hAnsi="Cambria"/>
          <w:sz w:val="20"/>
          <w:szCs w:val="20"/>
        </w:rPr>
        <w:t>The Colombian State acknowledged its international responsibility by omission for the violation of the rights protected in Articles 8 (fair trial) and 25 (judicial protection) of the American Convention on Human Rights, read in conjunction with Article 1.1 thereof, to the detriment of the family members of Mr. Gabriel Ángel Gómez Martínez, for lack of due diligence in the investigation of the events that occurred.</w:t>
      </w:r>
    </w:p>
    <w:p w14:paraId="70488854" w14:textId="77777777" w:rsidR="00142634" w:rsidRPr="00142634" w:rsidRDefault="00142634" w:rsidP="00142634">
      <w:pPr>
        <w:numPr>
          <w:ilvl w:val="0"/>
          <w:numId w:val="52"/>
        </w:numPr>
        <w:suppressAutoHyphens/>
        <w:spacing w:after="0" w:line="240" w:lineRule="auto"/>
        <w:ind w:left="1440" w:hanging="720"/>
        <w:contextualSpacing/>
        <w:jc w:val="both"/>
        <w:rPr>
          <w:rFonts w:ascii="Cambria" w:hAnsi="Cambria"/>
          <w:sz w:val="20"/>
          <w:szCs w:val="20"/>
        </w:rPr>
      </w:pPr>
      <w:r w:rsidRPr="00142634">
        <w:rPr>
          <w:rFonts w:ascii="Cambria" w:hAnsi="Cambria"/>
          <w:sz w:val="20"/>
          <w:szCs w:val="20"/>
        </w:rPr>
        <w:t xml:space="preserve">The State made progress in processing a compensation under Law 288 of 1996 </w:t>
      </w:r>
      <w:r w:rsidRPr="00142634">
        <w:rPr>
          <w:rFonts w:ascii="Cambria" w:eastAsia="Batang" w:hAnsi="Cambria"/>
          <w:color w:val="000000"/>
          <w:sz w:val="20"/>
          <w:szCs w:val="20"/>
        </w:rPr>
        <w:t>and made the payment of compensation to the beneficiaries of the friendly settlement agreement by Resolution No. 699 of September 30, 2024, for a total amount of $518,221,794.37 for moral damages and loss of profits.</w:t>
      </w:r>
    </w:p>
    <w:p w14:paraId="29A2EF36" w14:textId="77777777" w:rsidR="00142634" w:rsidRPr="00142634" w:rsidRDefault="00142634" w:rsidP="00142634">
      <w:pPr>
        <w:suppressAutoHyphens/>
        <w:spacing w:after="0" w:line="240" w:lineRule="auto"/>
        <w:ind w:left="1080"/>
        <w:contextualSpacing/>
        <w:jc w:val="both"/>
        <w:rPr>
          <w:rFonts w:ascii="Cambria" w:hAnsi="Cambria"/>
          <w:sz w:val="20"/>
          <w:szCs w:val="20"/>
        </w:rPr>
      </w:pPr>
    </w:p>
    <w:p w14:paraId="6ABFA549" w14:textId="77777777" w:rsidR="00142634" w:rsidRPr="00142634" w:rsidRDefault="00142634" w:rsidP="00142634">
      <w:pPr>
        <w:numPr>
          <w:ilvl w:val="0"/>
          <w:numId w:val="51"/>
        </w:numPr>
        <w:tabs>
          <w:tab w:val="left" w:pos="1440"/>
        </w:tabs>
        <w:suppressAutoHyphens/>
        <w:spacing w:after="0" w:line="240" w:lineRule="auto"/>
        <w:ind w:left="1418" w:hanging="709"/>
        <w:contextualSpacing/>
        <w:jc w:val="both"/>
        <w:rPr>
          <w:rFonts w:ascii="Cambria" w:eastAsia="MS Mincho" w:hAnsi="Cambria"/>
          <w:b/>
          <w:bCs/>
          <w:sz w:val="20"/>
          <w:szCs w:val="20"/>
        </w:rPr>
      </w:pPr>
      <w:r w:rsidRPr="00142634">
        <w:rPr>
          <w:rFonts w:ascii="Cambria" w:hAnsi="Cambria"/>
          <w:b/>
          <w:bCs/>
          <w:sz w:val="20"/>
          <w:szCs w:val="20"/>
        </w:rPr>
        <w:t>Structural outcomes of the case</w:t>
      </w:r>
    </w:p>
    <w:p w14:paraId="5534C3F9" w14:textId="77777777" w:rsidR="00142634" w:rsidRPr="00142634" w:rsidRDefault="00142634" w:rsidP="00142634">
      <w:pPr>
        <w:tabs>
          <w:tab w:val="left" w:pos="1440"/>
        </w:tabs>
        <w:suppressAutoHyphens/>
        <w:spacing w:after="0" w:line="240" w:lineRule="auto"/>
        <w:ind w:left="1440"/>
        <w:contextualSpacing/>
        <w:jc w:val="both"/>
        <w:rPr>
          <w:rFonts w:ascii="Cambria" w:eastAsia="MS Mincho" w:hAnsi="Cambria"/>
          <w:sz w:val="20"/>
          <w:szCs w:val="20"/>
        </w:rPr>
      </w:pPr>
    </w:p>
    <w:p w14:paraId="72628587" w14:textId="05DEA51B" w:rsidR="00F74974" w:rsidRPr="00142634" w:rsidRDefault="00142634" w:rsidP="00142634">
      <w:pPr>
        <w:numPr>
          <w:ilvl w:val="0"/>
          <w:numId w:val="52"/>
        </w:numPr>
        <w:suppressAutoHyphens/>
        <w:spacing w:after="0" w:line="240" w:lineRule="auto"/>
        <w:ind w:left="1440" w:hanging="720"/>
        <w:contextualSpacing/>
        <w:jc w:val="both"/>
        <w:rPr>
          <w:rFonts w:ascii="Cambria" w:eastAsia="Batang" w:hAnsi="Cambria"/>
          <w:color w:val="000000"/>
          <w:sz w:val="20"/>
          <w:szCs w:val="20"/>
        </w:rPr>
      </w:pPr>
      <w:r w:rsidRPr="00142634">
        <w:rPr>
          <w:rFonts w:ascii="Cambria" w:hAnsi="Cambria"/>
          <w:color w:val="000000"/>
          <w:sz w:val="20"/>
          <w:szCs w:val="20"/>
        </w:rPr>
        <w:t>The State published the Article 49 report on the website of the National Agency for the Legal Defense of the State.</w:t>
      </w:r>
    </w:p>
    <w:sectPr w:rsidR="00F74974" w:rsidRPr="00142634" w:rsidSect="008E42E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41AB" w14:textId="77777777" w:rsidR="00314075" w:rsidRDefault="00314075" w:rsidP="00A343FF">
      <w:pPr>
        <w:spacing w:after="0" w:line="240" w:lineRule="auto"/>
      </w:pPr>
      <w:r>
        <w:separator/>
      </w:r>
    </w:p>
  </w:endnote>
  <w:endnote w:type="continuationSeparator" w:id="0">
    <w:p w14:paraId="207ED66D" w14:textId="77777777" w:rsidR="00314075" w:rsidRDefault="00314075" w:rsidP="00A343FF">
      <w:pPr>
        <w:spacing w:after="0" w:line="240" w:lineRule="auto"/>
      </w:pPr>
      <w:r>
        <w:continuationSeparator/>
      </w:r>
    </w:p>
  </w:endnote>
  <w:endnote w:type="continuationNotice" w:id="1">
    <w:p w14:paraId="179C9D86" w14:textId="77777777" w:rsidR="00314075" w:rsidRDefault="00314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7F56"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2A54AF" w:rsidP="008F2248">
    <w:pPr>
      <w:pStyle w:val="Footer"/>
      <w:spacing w:line="360" w:lineRule="auto"/>
    </w:pPr>
    <w:r>
      <w:rPr>
        <w:noProof/>
      </w:rPr>
      <w:pict w14:anchorId="413C72BF">
        <v:rect id="_x0000_i1027" alt="" style="width:441.9pt;height:.05pt;mso-width-percent:0;mso-height-percent:0;mso-width-percent:0;mso-height-percent:0" o:hralign="center" o:hrstd="t" o:hr="t" fillcolor="#a0a0a0" stroked="f"/>
      </w:pict>
    </w:r>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4B0CB" w14:textId="77777777" w:rsidR="00314075" w:rsidRDefault="00314075" w:rsidP="00A343FF">
      <w:pPr>
        <w:spacing w:after="0" w:line="240" w:lineRule="auto"/>
      </w:pPr>
      <w:r>
        <w:separator/>
      </w:r>
    </w:p>
  </w:footnote>
  <w:footnote w:type="continuationSeparator" w:id="0">
    <w:p w14:paraId="4A170C19" w14:textId="77777777" w:rsidR="00314075" w:rsidRDefault="00314075" w:rsidP="00A343FF">
      <w:pPr>
        <w:spacing w:after="0" w:line="240" w:lineRule="auto"/>
      </w:pPr>
      <w:r>
        <w:continuationSeparator/>
      </w:r>
    </w:p>
  </w:footnote>
  <w:footnote w:type="continuationNotice" w:id="1">
    <w:p w14:paraId="0B7C6ABF" w14:textId="77777777" w:rsidR="00314075" w:rsidRDefault="00314075">
      <w:pPr>
        <w:spacing w:after="0" w:line="240" w:lineRule="auto"/>
      </w:pPr>
    </w:p>
  </w:footnote>
  <w:footnote w:id="2">
    <w:p w14:paraId="49D42589" w14:textId="4FA37B83" w:rsidR="00142634" w:rsidRPr="00CF0E3B" w:rsidRDefault="00142634" w:rsidP="00B1720D">
      <w:pPr>
        <w:pStyle w:val="Ca1"/>
        <w:ind w:firstLine="709"/>
        <w:rPr>
          <w:rFonts w:ascii="Cambria" w:hAnsi="Cambria"/>
          <w:sz w:val="16"/>
          <w:szCs w:val="16"/>
          <w:lang w:val="en-US"/>
        </w:rPr>
      </w:pPr>
      <w:r w:rsidRPr="00B1720D">
        <w:rPr>
          <w:rStyle w:val="FootnoteReference"/>
          <w:rFonts w:ascii="Cambria" w:hAnsi="Cambria"/>
          <w:sz w:val="16"/>
          <w:szCs w:val="16"/>
        </w:rPr>
        <w:footnoteRef/>
      </w:r>
      <w:r w:rsidRPr="00CF0E3B">
        <w:rPr>
          <w:rFonts w:ascii="Cambria" w:hAnsi="Cambria"/>
          <w:sz w:val="16"/>
          <w:szCs w:val="16"/>
          <w:lang w:val="en-US"/>
        </w:rPr>
        <w:t xml:space="preserve"> </w:t>
      </w:r>
      <w:r w:rsidR="00B1720D" w:rsidRPr="00CF0E3B">
        <w:rPr>
          <w:rFonts w:ascii="Cambria" w:hAnsi="Cambria"/>
          <w:sz w:val="16"/>
          <w:szCs w:val="16"/>
          <w:lang w:val="en-US"/>
        </w:rPr>
        <w:t xml:space="preserve">See </w:t>
      </w:r>
      <w:r w:rsidRPr="00CF0E3B">
        <w:rPr>
          <w:rFonts w:ascii="Cambria" w:hAnsi="Cambria"/>
          <w:color w:val="000000"/>
          <w:sz w:val="16"/>
          <w:szCs w:val="16"/>
          <w:shd w:val="clear" w:color="auto" w:fill="FFFFFF"/>
          <w:lang w:val="en-US"/>
        </w:rPr>
        <w:t xml:space="preserve">IACHR, Report No. 63/22, Case 13.775. Friendly Settlement. Gabriel Ángel Gómez Martínez and Family. Colombia. May </w:t>
      </w:r>
      <w:r w:rsidR="00B1720D" w:rsidRPr="00CF0E3B">
        <w:rPr>
          <w:rFonts w:ascii="Cambria" w:hAnsi="Cambria"/>
          <w:color w:val="000000"/>
          <w:sz w:val="16"/>
          <w:szCs w:val="16"/>
          <w:shd w:val="clear" w:color="auto" w:fill="FFFFFF"/>
          <w:lang w:val="en-US"/>
        </w:rPr>
        <w:t xml:space="preserve">10, </w:t>
      </w:r>
      <w:r w:rsidRPr="00CF0E3B">
        <w:rPr>
          <w:rFonts w:ascii="Cambria" w:hAnsi="Cambria"/>
          <w:color w:val="000000"/>
          <w:sz w:val="16"/>
          <w:szCs w:val="16"/>
          <w:shd w:val="clear" w:color="auto" w:fill="FFFFFF"/>
          <w:lang w:val="en-US"/>
        </w:rPr>
        <w:t>2022.</w:t>
      </w:r>
      <w:r w:rsidR="00B1720D" w:rsidRPr="00CF0E3B">
        <w:rPr>
          <w:rStyle w:val="normaltextrun"/>
          <w:rFonts w:ascii="Cambria" w:hAnsi="Cambria"/>
          <w:sz w:val="16"/>
          <w:szCs w:val="16"/>
          <w:shd w:val="clear" w:color="auto" w:fill="FFFFFF"/>
          <w:lang w:val="en-US"/>
        </w:rPr>
        <w:t xml:space="preserve">Available at: </w:t>
      </w:r>
      <w:hyperlink r:id="rId1" w:history="1">
        <w:r w:rsidR="00B1720D" w:rsidRPr="00CF0E3B">
          <w:rPr>
            <w:rStyle w:val="Hyperlink"/>
            <w:rFonts w:ascii="Cambria" w:hAnsi="Cambria"/>
            <w:sz w:val="16"/>
            <w:szCs w:val="16"/>
            <w:shd w:val="clear" w:color="auto" w:fill="FFFFFF"/>
            <w:lang w:val="en-US"/>
          </w:rPr>
          <w:t>https://www.oas.org/en/iachr/decisions/2022/COSA13.775EN.pdf</w:t>
        </w:r>
      </w:hyperlink>
      <w:r w:rsidR="00B1720D" w:rsidRPr="00CF0E3B">
        <w:rPr>
          <w:rStyle w:val="normaltextrun"/>
          <w:rFonts w:ascii="Cambria" w:hAnsi="Cambria"/>
          <w:sz w:val="16"/>
          <w:szCs w:val="16"/>
          <w:shd w:val="clear" w:color="auto" w:fill="FFFFFF"/>
          <w:lang w:val="en-US"/>
        </w:rPr>
        <w:t>.</w:t>
      </w:r>
    </w:p>
  </w:footnote>
  <w:footnote w:id="3">
    <w:p w14:paraId="6AB0CBB6" w14:textId="53729202" w:rsidR="00142634" w:rsidRPr="00CF0E3B" w:rsidRDefault="00142634" w:rsidP="00B1720D">
      <w:pPr>
        <w:pStyle w:val="Ca1"/>
        <w:rPr>
          <w:rFonts w:ascii="Cambria" w:hAnsi="Cambria"/>
          <w:sz w:val="16"/>
          <w:szCs w:val="16"/>
          <w:lang w:val="en-US"/>
        </w:rPr>
      </w:pPr>
      <w:r w:rsidRPr="00B1720D">
        <w:rPr>
          <w:rStyle w:val="FootnoteReference"/>
          <w:rFonts w:ascii="Cambria" w:hAnsi="Cambria"/>
          <w:sz w:val="16"/>
          <w:szCs w:val="16"/>
        </w:rPr>
        <w:footnoteRef/>
      </w:r>
      <w:r w:rsidRPr="00CF0E3B">
        <w:rPr>
          <w:rFonts w:ascii="Cambria" w:hAnsi="Cambria"/>
          <w:sz w:val="16"/>
          <w:szCs w:val="16"/>
          <w:lang w:val="en-US"/>
        </w:rPr>
        <w:t xml:space="preserve"> See IACHR, Annual Report 2022, Chapter II, Section C. Advances and regressions on negotiation and Implementation of Friendly Settlement Agreements. Available </w:t>
      </w:r>
      <w:r w:rsidR="00B1720D" w:rsidRPr="00CF0E3B">
        <w:rPr>
          <w:rFonts w:ascii="Cambria" w:hAnsi="Cambria"/>
          <w:sz w:val="16"/>
          <w:szCs w:val="16"/>
          <w:lang w:val="en-US"/>
        </w:rPr>
        <w:t>at</w:t>
      </w:r>
      <w:r w:rsidRPr="00CF0E3B">
        <w:rPr>
          <w:rFonts w:ascii="Cambria" w:hAnsi="Cambria"/>
          <w:sz w:val="16"/>
          <w:szCs w:val="16"/>
          <w:lang w:val="en-US"/>
        </w:rPr>
        <w:t xml:space="preserve">: </w:t>
      </w:r>
      <w:hyperlink r:id="rId2" w:tgtFrame="_blank" w:tooltip="https://www.oas.org/en/iachr/docs/annual/2022/chapters/4-ia2022_cap_2_en.pdf" w:history="1">
        <w:r w:rsidRPr="00CF0E3B">
          <w:rPr>
            <w:rStyle w:val="Hipervnculo1"/>
            <w:rFonts w:ascii="Cambria" w:hAnsi="Cambria"/>
            <w:sz w:val="16"/>
            <w:szCs w:val="16"/>
            <w:lang w:val="en-US"/>
          </w:rPr>
          <w:t>https://www.oas.org/en/iachr/docs/annual/2022/Chapters/4-IA2022_Cap_2_EN.pdf</w:t>
        </w:r>
      </w:hyperlink>
      <w:r w:rsidRPr="00CF0E3B">
        <w:rPr>
          <w:rFonts w:ascii="Cambria" w:hAnsi="Cambria"/>
          <w:sz w:val="16"/>
          <w:szCs w:val="16"/>
          <w:lang w:val="en-US"/>
        </w:rPr>
        <w:t> .</w:t>
      </w:r>
    </w:p>
  </w:footnote>
  <w:footnote w:id="4">
    <w:p w14:paraId="3EA9AA02" w14:textId="65827912" w:rsidR="00B1720D" w:rsidRPr="00CF0E3B" w:rsidRDefault="00B1720D" w:rsidP="00B1720D">
      <w:pPr>
        <w:pStyle w:val="FootnoteText"/>
        <w:ind w:firstLine="709"/>
        <w:jc w:val="both"/>
        <w:rPr>
          <w:rFonts w:ascii="Cambria" w:hAnsi="Cambria"/>
          <w:sz w:val="16"/>
          <w:szCs w:val="16"/>
        </w:rPr>
      </w:pPr>
      <w:r w:rsidRPr="00B1720D">
        <w:rPr>
          <w:rStyle w:val="FootnoteReference"/>
          <w:rFonts w:ascii="Cambria" w:hAnsi="Cambria"/>
          <w:sz w:val="16"/>
          <w:szCs w:val="16"/>
        </w:rPr>
        <w:footnoteRef/>
      </w:r>
      <w:r w:rsidRPr="00B1720D">
        <w:rPr>
          <w:rFonts w:ascii="Cambria" w:hAnsi="Cambria"/>
          <w:sz w:val="16"/>
          <w:szCs w:val="16"/>
        </w:rPr>
        <w:t xml:space="preserve"> </w:t>
      </w:r>
      <w:r w:rsidRPr="00CF0E3B">
        <w:rPr>
          <w:rFonts w:ascii="Cambria" w:hAnsi="Cambria"/>
          <w:sz w:val="16"/>
          <w:szCs w:val="16"/>
        </w:rPr>
        <w:t xml:space="preserve">See IACHR, Annual Report 2024, Chapter II, Section C. Advances and challenges on negotiation and implementation of friendly settlements agreements. Available at: </w:t>
      </w:r>
      <w:hyperlink r:id="rId3" w:history="1">
        <w:r w:rsidRPr="00CF0E3B">
          <w:rPr>
            <w:rStyle w:val="Hyperlink"/>
            <w:rFonts w:ascii="Cambria" w:hAnsi="Cambria"/>
            <w:sz w:val="16"/>
            <w:szCs w:val="16"/>
          </w:rPr>
          <w:t>https://www.oas.org/en/iachr/docs/annual/2024/chapters/IA2024_2_EN.PDF</w:t>
        </w:r>
      </w:hyperlink>
      <w:r w:rsidRPr="00CF0E3B">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D530"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2A54AF">
    <w:pPr>
      <w:pStyle w:val="Header"/>
    </w:pPr>
    <w:r>
      <w:rPr>
        <w:noProof/>
      </w:rPr>
      <w:pict w14:anchorId="5B6F98C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2A54AF"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0AA10711"/>
    <w:multiLevelType w:val="hybridMultilevel"/>
    <w:tmpl w:val="3CFA9B1A"/>
    <w:lvl w:ilvl="0" w:tplc="E814C9C6">
      <w:start w:val="1"/>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D01CC"/>
    <w:multiLevelType w:val="hybridMultilevel"/>
    <w:tmpl w:val="8970FA82"/>
    <w:lvl w:ilvl="0" w:tplc="081690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61104"/>
    <w:multiLevelType w:val="hybridMultilevel"/>
    <w:tmpl w:val="E0B62022"/>
    <w:lvl w:ilvl="0" w:tplc="1E3C3D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B3573"/>
    <w:multiLevelType w:val="hybridMultilevel"/>
    <w:tmpl w:val="98F2158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80D41"/>
    <w:multiLevelType w:val="hybridMultilevel"/>
    <w:tmpl w:val="C2D873C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8" w15:restartNumberingAfterBreak="0">
    <w:nsid w:val="17500734"/>
    <w:multiLevelType w:val="multilevel"/>
    <w:tmpl w:val="1BDAC532"/>
    <w:lvl w:ilvl="0">
      <w:start w:val="1"/>
      <w:numFmt w:val="decimal"/>
      <w:lvlText w:val="%1."/>
      <w:lvlJc w:val="left"/>
      <w:pPr>
        <w:ind w:left="1080" w:hanging="360"/>
      </w:pPr>
      <w:rPr>
        <w:rFonts w:ascii="Cambria" w:hAnsi="Cambria" w:hint="default"/>
        <w:sz w:val="20"/>
        <w:szCs w:val="20"/>
      </w:rPr>
    </w:lvl>
    <w:lvl w:ilvl="1">
      <w:start w:val="1"/>
      <w:numFmt w:val="decimal"/>
      <w:isLgl/>
      <w:lvlText w:val="%1.%2"/>
      <w:lvlJc w:val="left"/>
      <w:pPr>
        <w:ind w:left="36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12" w15:restartNumberingAfterBreak="0">
    <w:nsid w:val="26582976"/>
    <w:multiLevelType w:val="hybridMultilevel"/>
    <w:tmpl w:val="A204FA62"/>
    <w:lvl w:ilvl="0" w:tplc="474CA6B0">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92331"/>
    <w:multiLevelType w:val="hybridMultilevel"/>
    <w:tmpl w:val="EE8E5C28"/>
    <w:lvl w:ilvl="0" w:tplc="9712026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B73507"/>
    <w:multiLevelType w:val="hybridMultilevel"/>
    <w:tmpl w:val="47A61E54"/>
    <w:lvl w:ilvl="0" w:tplc="C76E7A1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26321"/>
    <w:multiLevelType w:val="hybridMultilevel"/>
    <w:tmpl w:val="5284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9675C"/>
    <w:multiLevelType w:val="hybridMultilevel"/>
    <w:tmpl w:val="AEFA1EBA"/>
    <w:lvl w:ilvl="0" w:tplc="C99CF52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246356"/>
    <w:multiLevelType w:val="hybridMultilevel"/>
    <w:tmpl w:val="C832D3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73535"/>
    <w:multiLevelType w:val="hybridMultilevel"/>
    <w:tmpl w:val="61A67360"/>
    <w:lvl w:ilvl="0" w:tplc="84565F88">
      <w:start w:val="1"/>
      <w:numFmt w:val="upperLetter"/>
      <w:lvlText w:val="%1."/>
      <w:lvlJc w:val="left"/>
      <w:pPr>
        <w:ind w:left="1080" w:hanging="360"/>
      </w:pPr>
      <w:rPr>
        <w:rFonts w:eastAsiaTheme="minorHAnsi" w:cstheme="minorBid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B4472"/>
    <w:multiLevelType w:val="hybridMultilevel"/>
    <w:tmpl w:val="F40C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E51F1"/>
    <w:multiLevelType w:val="hybridMultilevel"/>
    <w:tmpl w:val="8F94CE6E"/>
    <w:lvl w:ilvl="0" w:tplc="DCA07888">
      <w:start w:val="1"/>
      <w:numFmt w:val="upperLetter"/>
      <w:lvlText w:val="%1."/>
      <w:lvlJc w:val="left"/>
      <w:pPr>
        <w:ind w:left="1080" w:hanging="360"/>
      </w:pPr>
      <w:rPr>
        <w:rFonts w:ascii="Cambria" w:hAnsi="Cambria"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51A607C2"/>
    <w:multiLevelType w:val="hybridMultilevel"/>
    <w:tmpl w:val="47D04940"/>
    <w:lvl w:ilvl="0" w:tplc="7C345A0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773E5A"/>
    <w:multiLevelType w:val="hybridMultilevel"/>
    <w:tmpl w:val="E9C83F88"/>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8F254F"/>
    <w:multiLevelType w:val="hybridMultilevel"/>
    <w:tmpl w:val="7A5EE584"/>
    <w:lvl w:ilvl="0" w:tplc="FFFFFFFF">
      <w:start w:val="1"/>
      <w:numFmt w:val="upperRoman"/>
      <w:lvlText w:val="%1."/>
      <w:lvlJc w:val="left"/>
      <w:pPr>
        <w:ind w:left="1440" w:hanging="720"/>
      </w:pPr>
      <w:rPr>
        <w:b/>
      </w:r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B1CEB8EA">
      <w:start w:val="2"/>
      <w:numFmt w:val="decimal"/>
      <w:lvlText w:val="%4."/>
      <w:lvlJc w:val="left"/>
      <w:pPr>
        <w:ind w:left="2430" w:hanging="360"/>
      </w:pPr>
      <w:rPr>
        <w:rFonts w:hint="default"/>
      </w:r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38" w15:restartNumberingAfterBreak="0">
    <w:nsid w:val="5E2876C1"/>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576EC8"/>
    <w:multiLevelType w:val="hybridMultilevel"/>
    <w:tmpl w:val="C832D3B2"/>
    <w:lvl w:ilvl="0" w:tplc="83B05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84106"/>
    <w:multiLevelType w:val="hybridMultilevel"/>
    <w:tmpl w:val="A08CC97E"/>
    <w:lvl w:ilvl="0" w:tplc="B0BC88B4">
      <w:start w:val="6"/>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8E2692"/>
    <w:multiLevelType w:val="hybridMultilevel"/>
    <w:tmpl w:val="4D7CE0A8"/>
    <w:lvl w:ilvl="0" w:tplc="4686E8B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DC41D44"/>
    <w:multiLevelType w:val="hybridMultilevel"/>
    <w:tmpl w:val="826289F6"/>
    <w:lvl w:ilvl="0" w:tplc="83E6A65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D34362"/>
    <w:multiLevelType w:val="hybridMultilevel"/>
    <w:tmpl w:val="E3DAE8C0"/>
    <w:lvl w:ilvl="0" w:tplc="A88C81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6721">
    <w:abstractNumId w:val="46"/>
  </w:num>
  <w:num w:numId="2" w16cid:durableId="386493659">
    <w:abstractNumId w:val="35"/>
  </w:num>
  <w:num w:numId="3" w16cid:durableId="1073046593">
    <w:abstractNumId w:val="26"/>
  </w:num>
  <w:num w:numId="4" w16cid:durableId="665286190">
    <w:abstractNumId w:val="34"/>
  </w:num>
  <w:num w:numId="5" w16cid:durableId="890190884">
    <w:abstractNumId w:val="25"/>
  </w:num>
  <w:num w:numId="6" w16cid:durableId="1269696070">
    <w:abstractNumId w:val="22"/>
  </w:num>
  <w:num w:numId="7" w16cid:durableId="369956807">
    <w:abstractNumId w:val="43"/>
  </w:num>
  <w:num w:numId="8" w16cid:durableId="1461067811">
    <w:abstractNumId w:val="39"/>
  </w:num>
  <w:num w:numId="9" w16cid:durableId="1469392667">
    <w:abstractNumId w:val="47"/>
  </w:num>
  <w:num w:numId="10" w16cid:durableId="126054260">
    <w:abstractNumId w:val="3"/>
  </w:num>
  <w:num w:numId="11" w16cid:durableId="1493372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10"/>
  </w:num>
  <w:num w:numId="13" w16cid:durableId="888763914">
    <w:abstractNumId w:val="19"/>
  </w:num>
  <w:num w:numId="14" w16cid:durableId="1191532033">
    <w:abstractNumId w:val="0"/>
  </w:num>
  <w:num w:numId="15" w16cid:durableId="2065325609">
    <w:abstractNumId w:val="11"/>
  </w:num>
  <w:num w:numId="16" w16cid:durableId="203366524">
    <w:abstractNumId w:val="42"/>
  </w:num>
  <w:num w:numId="17" w16cid:durableId="1994485589">
    <w:abstractNumId w:val="41"/>
  </w:num>
  <w:num w:numId="18" w16cid:durableId="593170908">
    <w:abstractNumId w:val="15"/>
  </w:num>
  <w:num w:numId="19" w16cid:durableId="1387949599">
    <w:abstractNumId w:val="33"/>
  </w:num>
  <w:num w:numId="20" w16cid:durableId="2114475546">
    <w:abstractNumId w:val="31"/>
  </w:num>
  <w:num w:numId="21" w16cid:durableId="1129208414">
    <w:abstractNumId w:val="9"/>
  </w:num>
  <w:num w:numId="22" w16cid:durableId="54397452">
    <w:abstractNumId w:val="13"/>
  </w:num>
  <w:num w:numId="23" w16cid:durableId="2113012360">
    <w:abstractNumId w:val="32"/>
  </w:num>
  <w:num w:numId="24" w16cid:durableId="1256785358">
    <w:abstractNumId w:val="17"/>
  </w:num>
  <w:num w:numId="25" w16cid:durableId="621379413">
    <w:abstractNumId w:val="40"/>
  </w:num>
  <w:num w:numId="26" w16cid:durableId="977150517">
    <w:abstractNumId w:val="24"/>
  </w:num>
  <w:num w:numId="27" w16cid:durableId="328752619">
    <w:abstractNumId w:val="27"/>
  </w:num>
  <w:num w:numId="28" w16cid:durableId="189227929">
    <w:abstractNumId w:val="49"/>
  </w:num>
  <w:num w:numId="29" w16cid:durableId="1831368133">
    <w:abstractNumId w:val="48"/>
  </w:num>
  <w:num w:numId="30" w16cid:durableId="1716999929">
    <w:abstractNumId w:val="21"/>
  </w:num>
  <w:num w:numId="31" w16cid:durableId="1063480400">
    <w:abstractNumId w:val="14"/>
  </w:num>
  <w:num w:numId="32" w16cid:durableId="1943146568">
    <w:abstractNumId w:val="5"/>
  </w:num>
  <w:num w:numId="33" w16cid:durableId="1476990475">
    <w:abstractNumId w:val="12"/>
  </w:num>
  <w:num w:numId="34" w16cid:durableId="1228420666">
    <w:abstractNumId w:val="44"/>
  </w:num>
  <w:num w:numId="35" w16cid:durableId="7492617">
    <w:abstractNumId w:val="50"/>
  </w:num>
  <w:num w:numId="36" w16cid:durableId="308216504">
    <w:abstractNumId w:val="36"/>
  </w:num>
  <w:num w:numId="37" w16cid:durableId="1528759844">
    <w:abstractNumId w:val="1"/>
  </w:num>
  <w:num w:numId="38" w16cid:durableId="1001276887">
    <w:abstractNumId w:val="2"/>
  </w:num>
  <w:num w:numId="39" w16cid:durableId="2040281333">
    <w:abstractNumId w:val="45"/>
  </w:num>
  <w:num w:numId="40" w16cid:durableId="1169834467">
    <w:abstractNumId w:val="28"/>
  </w:num>
  <w:num w:numId="41" w16cid:durableId="1534853125">
    <w:abstractNumId w:val="38"/>
  </w:num>
  <w:num w:numId="42" w16cid:durableId="1927375965">
    <w:abstractNumId w:val="8"/>
  </w:num>
  <w:num w:numId="43" w16cid:durableId="1931157220">
    <w:abstractNumId w:val="30"/>
  </w:num>
  <w:num w:numId="44" w16cid:durableId="2107725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7730927">
    <w:abstractNumId w:val="23"/>
  </w:num>
  <w:num w:numId="46" w16cid:durableId="1750420369">
    <w:abstractNumId w:val="6"/>
  </w:num>
  <w:num w:numId="47" w16cid:durableId="1007442756">
    <w:abstractNumId w:val="37"/>
  </w:num>
  <w:num w:numId="48" w16cid:durableId="2028753163">
    <w:abstractNumId w:val="16"/>
  </w:num>
  <w:num w:numId="49" w16cid:durableId="2012100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0961885">
    <w:abstractNumId w:val="4"/>
  </w:num>
  <w:num w:numId="51" w16cid:durableId="1970820388">
    <w:abstractNumId w:val="51"/>
  </w:num>
  <w:num w:numId="52" w16cid:durableId="288047770">
    <w:abstractNumId w:val="18"/>
  </w:num>
  <w:num w:numId="53" w16cid:durableId="114971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76A15"/>
    <w:rsid w:val="00086009"/>
    <w:rsid w:val="00092EFD"/>
    <w:rsid w:val="00096079"/>
    <w:rsid w:val="000E14E3"/>
    <w:rsid w:val="0012586C"/>
    <w:rsid w:val="00142634"/>
    <w:rsid w:val="0014555C"/>
    <w:rsid w:val="00150E20"/>
    <w:rsid w:val="00193906"/>
    <w:rsid w:val="0021669C"/>
    <w:rsid w:val="00226F48"/>
    <w:rsid w:val="002319CE"/>
    <w:rsid w:val="00236A78"/>
    <w:rsid w:val="00240E8E"/>
    <w:rsid w:val="00252981"/>
    <w:rsid w:val="002650A2"/>
    <w:rsid w:val="00283964"/>
    <w:rsid w:val="002859A9"/>
    <w:rsid w:val="00292B52"/>
    <w:rsid w:val="00294B17"/>
    <w:rsid w:val="002A39B2"/>
    <w:rsid w:val="002A54AF"/>
    <w:rsid w:val="002F2DC7"/>
    <w:rsid w:val="00314075"/>
    <w:rsid w:val="00343CED"/>
    <w:rsid w:val="00393310"/>
    <w:rsid w:val="003C4836"/>
    <w:rsid w:val="003D2D55"/>
    <w:rsid w:val="003F2DDA"/>
    <w:rsid w:val="00400A82"/>
    <w:rsid w:val="00413FCD"/>
    <w:rsid w:val="004140B8"/>
    <w:rsid w:val="00457711"/>
    <w:rsid w:val="0047146A"/>
    <w:rsid w:val="004722BC"/>
    <w:rsid w:val="00486911"/>
    <w:rsid w:val="004B3074"/>
    <w:rsid w:val="004B5A99"/>
    <w:rsid w:val="004C1718"/>
    <w:rsid w:val="00506CFE"/>
    <w:rsid w:val="00513A38"/>
    <w:rsid w:val="00534F2B"/>
    <w:rsid w:val="005566F5"/>
    <w:rsid w:val="005A328E"/>
    <w:rsid w:val="005A5E14"/>
    <w:rsid w:val="005B3C19"/>
    <w:rsid w:val="005B6392"/>
    <w:rsid w:val="005C3542"/>
    <w:rsid w:val="005F4AAA"/>
    <w:rsid w:val="0060012C"/>
    <w:rsid w:val="00604132"/>
    <w:rsid w:val="00607CC7"/>
    <w:rsid w:val="0062594E"/>
    <w:rsid w:val="0063220A"/>
    <w:rsid w:val="00641D03"/>
    <w:rsid w:val="00675EC0"/>
    <w:rsid w:val="00687213"/>
    <w:rsid w:val="006A167C"/>
    <w:rsid w:val="006A25F7"/>
    <w:rsid w:val="006B6131"/>
    <w:rsid w:val="006E2BD8"/>
    <w:rsid w:val="006E59BB"/>
    <w:rsid w:val="006F0429"/>
    <w:rsid w:val="00720B84"/>
    <w:rsid w:val="00754FFD"/>
    <w:rsid w:val="00774F86"/>
    <w:rsid w:val="007A485F"/>
    <w:rsid w:val="007B0327"/>
    <w:rsid w:val="007B5729"/>
    <w:rsid w:val="007C2CC3"/>
    <w:rsid w:val="007C351D"/>
    <w:rsid w:val="007C3E98"/>
    <w:rsid w:val="007E361B"/>
    <w:rsid w:val="007F5F4E"/>
    <w:rsid w:val="0080119C"/>
    <w:rsid w:val="00802EFE"/>
    <w:rsid w:val="00807BAA"/>
    <w:rsid w:val="008550EF"/>
    <w:rsid w:val="008A7933"/>
    <w:rsid w:val="008E42E1"/>
    <w:rsid w:val="008F2248"/>
    <w:rsid w:val="00901B37"/>
    <w:rsid w:val="00913220"/>
    <w:rsid w:val="00920591"/>
    <w:rsid w:val="00967413"/>
    <w:rsid w:val="009949ED"/>
    <w:rsid w:val="009A73C0"/>
    <w:rsid w:val="009B219C"/>
    <w:rsid w:val="009C227B"/>
    <w:rsid w:val="009C4D87"/>
    <w:rsid w:val="009C55E2"/>
    <w:rsid w:val="009E73F0"/>
    <w:rsid w:val="00A2502C"/>
    <w:rsid w:val="00A25CA7"/>
    <w:rsid w:val="00A31FA7"/>
    <w:rsid w:val="00A343FF"/>
    <w:rsid w:val="00A61B5E"/>
    <w:rsid w:val="00A7781B"/>
    <w:rsid w:val="00A94641"/>
    <w:rsid w:val="00AC40B7"/>
    <w:rsid w:val="00AE1B0F"/>
    <w:rsid w:val="00B056D9"/>
    <w:rsid w:val="00B1720D"/>
    <w:rsid w:val="00B205A7"/>
    <w:rsid w:val="00B5431F"/>
    <w:rsid w:val="00B65581"/>
    <w:rsid w:val="00B806AC"/>
    <w:rsid w:val="00B93993"/>
    <w:rsid w:val="00BA2B9F"/>
    <w:rsid w:val="00BA7724"/>
    <w:rsid w:val="00BB46E5"/>
    <w:rsid w:val="00BD5E6F"/>
    <w:rsid w:val="00C17F04"/>
    <w:rsid w:val="00C402CB"/>
    <w:rsid w:val="00C44D28"/>
    <w:rsid w:val="00C57947"/>
    <w:rsid w:val="00C71434"/>
    <w:rsid w:val="00CB6344"/>
    <w:rsid w:val="00CC6DB2"/>
    <w:rsid w:val="00CD545A"/>
    <w:rsid w:val="00CE4E6F"/>
    <w:rsid w:val="00CF0E3B"/>
    <w:rsid w:val="00CF54E1"/>
    <w:rsid w:val="00D05BCC"/>
    <w:rsid w:val="00D2459E"/>
    <w:rsid w:val="00D90D22"/>
    <w:rsid w:val="00DC5A37"/>
    <w:rsid w:val="00DC7C8F"/>
    <w:rsid w:val="00DD05C3"/>
    <w:rsid w:val="00DD1591"/>
    <w:rsid w:val="00DE14B5"/>
    <w:rsid w:val="00DF0FE5"/>
    <w:rsid w:val="00E27850"/>
    <w:rsid w:val="00E3040C"/>
    <w:rsid w:val="00E44647"/>
    <w:rsid w:val="00E6614F"/>
    <w:rsid w:val="00E93B77"/>
    <w:rsid w:val="00EA09D8"/>
    <w:rsid w:val="00EB0395"/>
    <w:rsid w:val="00EB2DCD"/>
    <w:rsid w:val="00F035F2"/>
    <w:rsid w:val="00F306C1"/>
    <w:rsid w:val="00F36C7F"/>
    <w:rsid w:val="00F53391"/>
    <w:rsid w:val="00F53B51"/>
    <w:rsid w:val="00F54F60"/>
    <w:rsid w:val="00F66FEE"/>
    <w:rsid w:val="00F74974"/>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 w:type="character" w:customStyle="1" w:styleId="normaltextrun">
    <w:name w:val="normaltextrun"/>
    <w:basedOn w:val="DefaultParagraphFont"/>
    <w:rsid w:val="00142634"/>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DefaultParagraphFont"/>
    <w:link w:val="Ca1"/>
    <w:uiPriority w:val="99"/>
    <w:qFormat/>
    <w:rsid w:val="00142634"/>
  </w:style>
  <w:style w:type="paragraph" w:customStyle="1" w:styleId="Ca1">
    <w:name w:val="Ca1"/>
    <w:basedOn w:val="Normal"/>
    <w:next w:val="FootnoteText"/>
    <w:link w:val="TextonotapieCar1"/>
    <w:uiPriority w:val="99"/>
    <w:unhideWhenUsed/>
    <w:rsid w:val="00142634"/>
    <w:pPr>
      <w:suppressAutoHyphens/>
      <w:spacing w:after="0" w:line="240" w:lineRule="auto"/>
      <w:ind w:firstLine="720"/>
      <w:jc w:val="both"/>
    </w:pPr>
    <w:rPr>
      <w:sz w:val="20"/>
      <w:szCs w:val="20"/>
      <w:lang w:val="es-MX" w:eastAsia="es-MX"/>
    </w:rPr>
  </w:style>
  <w:style w:type="character" w:customStyle="1" w:styleId="Hipervnculo1">
    <w:name w:val="Hipervínculo1"/>
    <w:basedOn w:val="DefaultParagraphFont"/>
    <w:uiPriority w:val="99"/>
    <w:unhideWhenUsed/>
    <w:rsid w:val="00142634"/>
    <w:rPr>
      <w:color w:val="0563C1"/>
      <w:u w:val="single"/>
    </w:rPr>
  </w:style>
  <w:style w:type="character" w:styleId="FollowedHyperlink">
    <w:name w:val="FollowedHyperlink"/>
    <w:basedOn w:val="DefaultParagraphFont"/>
    <w:uiPriority w:val="99"/>
    <w:semiHidden/>
    <w:unhideWhenUsed/>
    <w:rsid w:val="00CF0E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19/COAD289-09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n/iachr/decisions/2022/COSA13.775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2/COSA13.775EN.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4/chapters/IA2024_2_EN.PDF" TargetMode="External"/><Relationship Id="rId2" Type="http://schemas.openxmlformats.org/officeDocument/2006/relationships/hyperlink" Target="https://www.oas.org/en/iachr/docs/annual/2022/Chapters/4-IA2022_Cap_2_EN.pdf" TargetMode="External"/><Relationship Id="rId1" Type="http://schemas.openxmlformats.org/officeDocument/2006/relationships/hyperlink" Target="https://www.oas.org/en/iachr/decisions/2022/COSA13.775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customXml/itemProps3.xml><?xml version="1.0" encoding="utf-8"?>
<ds:datastoreItem xmlns:ds="http://schemas.openxmlformats.org/officeDocument/2006/customXml" ds:itemID="{2D090D9C-8A37-49DF-8802-DCAE232DCB9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DC8BDE2C-4CDB-404F-9A6C-0E8B43DEE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2</TotalTime>
  <Pages>3</Pages>
  <Words>892</Words>
  <Characters>5090</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3</cp:revision>
  <cp:lastPrinted>2025-08-26T18:25:00Z</cp:lastPrinted>
  <dcterms:created xsi:type="dcterms:W3CDTF">2025-07-28T17:35:00Z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