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B27BB" w14:textId="77777777" w:rsidR="00DD1591" w:rsidRPr="004140B8" w:rsidRDefault="00DD1591" w:rsidP="004140B8">
      <w:pPr>
        <w:suppressAutoHyphens/>
        <w:spacing w:after="0" w:line="240" w:lineRule="auto"/>
        <w:ind w:right="4"/>
        <w:rPr>
          <w:rFonts w:ascii="Cambria" w:eastAsia="Batang" w:hAnsi="Cambria"/>
          <w:b/>
          <w:bCs/>
          <w:color w:val="000000"/>
          <w:sz w:val="24"/>
        </w:rPr>
      </w:pPr>
    </w:p>
    <w:p w14:paraId="63C6CC88" w14:textId="6343F2F5" w:rsidR="00457711" w:rsidRPr="004140B8" w:rsidRDefault="00457711" w:rsidP="004140B8">
      <w:pPr>
        <w:suppressAutoHyphens/>
        <w:spacing w:after="0" w:line="240" w:lineRule="auto"/>
        <w:ind w:right="4"/>
        <w:jc w:val="center"/>
        <w:rPr>
          <w:rFonts w:ascii="Cambria" w:eastAsia="Batang" w:hAnsi="Cambria"/>
          <w:b/>
          <w:bCs/>
          <w:color w:val="000000"/>
          <w:sz w:val="24"/>
        </w:rPr>
      </w:pPr>
      <w:r w:rsidRPr="004140B8">
        <w:rPr>
          <w:rFonts w:ascii="Cambria" w:eastAsia="Batang" w:hAnsi="Cambria"/>
          <w:b/>
          <w:bCs/>
          <w:color w:val="000000"/>
          <w:sz w:val="24"/>
        </w:rPr>
        <w:t>TECHNICAL INFORMATION SHEET</w:t>
      </w:r>
    </w:p>
    <w:p w14:paraId="28A49B17" w14:textId="77777777" w:rsidR="00D24A05" w:rsidRDefault="00D24A05" w:rsidP="00D24A05">
      <w:pPr>
        <w:suppressAutoHyphens/>
        <w:spacing w:after="0" w:line="240" w:lineRule="auto"/>
        <w:ind w:right="4"/>
        <w:jc w:val="center"/>
        <w:rPr>
          <w:rFonts w:ascii="Cambria" w:hAnsi="Cambria"/>
          <w:b/>
          <w:color w:val="000000"/>
          <w:sz w:val="24"/>
        </w:rPr>
      </w:pPr>
      <w:r w:rsidRPr="00D24A05">
        <w:rPr>
          <w:rFonts w:ascii="Cambria" w:hAnsi="Cambria"/>
          <w:b/>
          <w:color w:val="000000"/>
          <w:sz w:val="24"/>
        </w:rPr>
        <w:t>PETITION 799-06</w:t>
      </w:r>
      <w:r>
        <w:rPr>
          <w:rFonts w:ascii="Cambria" w:hAnsi="Cambria"/>
          <w:b/>
          <w:color w:val="000000"/>
          <w:sz w:val="24"/>
        </w:rPr>
        <w:t xml:space="preserve"> </w:t>
      </w:r>
      <w:r w:rsidRPr="00D24A05">
        <w:rPr>
          <w:rFonts w:ascii="Cambria" w:hAnsi="Cambria"/>
          <w:b/>
          <w:color w:val="000000"/>
          <w:sz w:val="24"/>
        </w:rPr>
        <w:t xml:space="preserve">ISIDORO LEÓN RAMÍREZ, </w:t>
      </w:r>
    </w:p>
    <w:p w14:paraId="39BF07DF" w14:textId="77777777" w:rsidR="00D24A05" w:rsidRDefault="00D24A05" w:rsidP="00D24A05">
      <w:pPr>
        <w:suppressAutoHyphens/>
        <w:spacing w:after="0" w:line="240" w:lineRule="auto"/>
        <w:ind w:right="4"/>
        <w:jc w:val="center"/>
        <w:rPr>
          <w:rFonts w:ascii="Cambria" w:hAnsi="Cambria"/>
          <w:b/>
          <w:color w:val="000000"/>
          <w:sz w:val="24"/>
        </w:rPr>
      </w:pPr>
      <w:r w:rsidRPr="00D24A05">
        <w:rPr>
          <w:rFonts w:ascii="Cambria" w:hAnsi="Cambria"/>
          <w:b/>
          <w:color w:val="000000"/>
          <w:sz w:val="24"/>
        </w:rPr>
        <w:t xml:space="preserve">POMPILIO DE JESÚS CARDONA ESCOBAR, </w:t>
      </w:r>
    </w:p>
    <w:p w14:paraId="6C1AAFA0" w14:textId="77777777" w:rsidR="00D24A05" w:rsidRDefault="00D24A05" w:rsidP="00D24A05">
      <w:pPr>
        <w:suppressAutoHyphens/>
        <w:spacing w:after="0" w:line="240" w:lineRule="auto"/>
        <w:ind w:right="4"/>
        <w:jc w:val="center"/>
        <w:rPr>
          <w:rFonts w:ascii="Cambria" w:hAnsi="Cambria"/>
          <w:b/>
          <w:color w:val="000000"/>
          <w:sz w:val="24"/>
        </w:rPr>
      </w:pPr>
      <w:r w:rsidRPr="00D24A05">
        <w:rPr>
          <w:rFonts w:ascii="Cambria" w:hAnsi="Cambria"/>
          <w:b/>
          <w:color w:val="000000"/>
          <w:sz w:val="24"/>
        </w:rPr>
        <w:t xml:space="preserve">LUIS FERNANDO VELÁSQUEZ LONDOÑO ET AL. </w:t>
      </w:r>
    </w:p>
    <w:p w14:paraId="486FDFC3" w14:textId="2AA356BD" w:rsidR="00DD1591" w:rsidRPr="00D24A05" w:rsidRDefault="00DD1591" w:rsidP="00D24A05">
      <w:pPr>
        <w:suppressAutoHyphens/>
        <w:spacing w:after="0" w:line="240" w:lineRule="auto"/>
        <w:ind w:right="4"/>
        <w:jc w:val="center"/>
        <w:rPr>
          <w:rFonts w:ascii="Cambria" w:hAnsi="Cambria"/>
          <w:b/>
          <w:color w:val="000000"/>
          <w:sz w:val="24"/>
        </w:rPr>
      </w:pPr>
      <w:r w:rsidRPr="004140B8">
        <w:rPr>
          <w:rFonts w:ascii="Cambria" w:eastAsia="Batang" w:hAnsi="Cambria"/>
          <w:b/>
          <w:bCs/>
          <w:color w:val="000000"/>
          <w:sz w:val="24"/>
        </w:rPr>
        <w:t xml:space="preserve">FRIENDLY SETTLEMENT </w:t>
      </w:r>
      <w:r w:rsidR="002F2DC7" w:rsidRPr="004140B8">
        <w:rPr>
          <w:rFonts w:ascii="Cambria" w:eastAsia="Batang" w:hAnsi="Cambria"/>
          <w:b/>
          <w:bCs/>
          <w:color w:val="000000"/>
          <w:sz w:val="24"/>
        </w:rPr>
        <w:t>REPORT</w:t>
      </w:r>
      <w:r w:rsidR="00D24A05">
        <w:rPr>
          <w:rFonts w:ascii="Cambria" w:eastAsia="Batang" w:hAnsi="Cambria"/>
          <w:b/>
          <w:bCs/>
          <w:color w:val="000000"/>
          <w:sz w:val="24"/>
        </w:rPr>
        <w:t xml:space="preserve"> </w:t>
      </w:r>
      <w:hyperlink r:id="rId12" w:history="1">
        <w:r w:rsidR="00D24A05" w:rsidRPr="00C530A7">
          <w:rPr>
            <w:rStyle w:val="Hyperlink"/>
            <w:rFonts w:ascii="Cambria" w:eastAsia="Batang" w:hAnsi="Cambria"/>
            <w:b/>
            <w:bCs/>
            <w:sz w:val="24"/>
          </w:rPr>
          <w:t>No. 93/18</w:t>
        </w:r>
      </w:hyperlink>
    </w:p>
    <w:p w14:paraId="2B66417A" w14:textId="5D0EDE53" w:rsidR="00457711" w:rsidRPr="004140B8" w:rsidRDefault="002F2DC7" w:rsidP="004140B8">
      <w:pPr>
        <w:suppressAutoHyphens/>
        <w:spacing w:after="0" w:line="240" w:lineRule="auto"/>
        <w:ind w:right="4"/>
        <w:jc w:val="center"/>
        <w:rPr>
          <w:rFonts w:ascii="Cambria" w:eastAsia="Batang" w:hAnsi="Cambria"/>
          <w:b/>
          <w:color w:val="000000"/>
          <w:sz w:val="24"/>
          <w:lang w:val="pt-BR"/>
        </w:rPr>
      </w:pPr>
      <w:r w:rsidRPr="004140B8">
        <w:rPr>
          <w:rFonts w:ascii="Cambria" w:eastAsia="Batang" w:hAnsi="Cambria"/>
          <w:b/>
          <w:bCs/>
          <w:color w:val="000000"/>
          <w:sz w:val="24"/>
        </w:rPr>
        <w:t>TOTAL COMPLIANCE</w:t>
      </w:r>
    </w:p>
    <w:p w14:paraId="0CDE4D15" w14:textId="7008D8A8" w:rsidR="00DD1591" w:rsidRPr="004140B8" w:rsidRDefault="00DD1591" w:rsidP="004140B8">
      <w:pPr>
        <w:suppressAutoHyphens/>
        <w:spacing w:after="0" w:line="240" w:lineRule="auto"/>
        <w:ind w:right="4"/>
        <w:jc w:val="center"/>
        <w:rPr>
          <w:rFonts w:ascii="Cambria" w:eastAsia="Batang" w:hAnsi="Cambria"/>
          <w:b/>
          <w:color w:val="000000"/>
          <w:sz w:val="24"/>
        </w:rPr>
      </w:pPr>
      <w:r w:rsidRPr="004140B8">
        <w:rPr>
          <w:rFonts w:ascii="Cambria" w:eastAsia="Batang" w:hAnsi="Cambria"/>
          <w:b/>
          <w:bCs/>
          <w:color w:val="000000"/>
          <w:sz w:val="24"/>
        </w:rPr>
        <w:t>(</w:t>
      </w:r>
      <w:r w:rsidR="00D24A05">
        <w:rPr>
          <w:rFonts w:ascii="Cambria" w:eastAsia="Batang" w:hAnsi="Cambria"/>
          <w:b/>
          <w:bCs/>
          <w:color w:val="000000"/>
          <w:sz w:val="24"/>
        </w:rPr>
        <w:t>COLOMBIA</w:t>
      </w:r>
      <w:r w:rsidRPr="004140B8">
        <w:rPr>
          <w:rFonts w:ascii="Cambria" w:eastAsia="Batang" w:hAnsi="Cambria"/>
          <w:b/>
          <w:bCs/>
          <w:color w:val="000000"/>
          <w:sz w:val="24"/>
        </w:rPr>
        <w:t>)</w:t>
      </w:r>
    </w:p>
    <w:p w14:paraId="26369C63" w14:textId="77777777" w:rsidR="00C530A7" w:rsidRPr="00C530A7" w:rsidRDefault="00C530A7" w:rsidP="00C530A7">
      <w:pPr>
        <w:spacing w:after="0" w:line="240" w:lineRule="auto"/>
        <w:ind w:left="-270" w:right="-270"/>
        <w:jc w:val="center"/>
        <w:rPr>
          <w:rFonts w:ascii="Cambria" w:hAnsi="Cambria"/>
          <w:b/>
          <w:color w:val="000000"/>
          <w:sz w:val="20"/>
          <w:szCs w:val="20"/>
          <w:lang w:val="es-ES"/>
        </w:rPr>
      </w:pPr>
    </w:p>
    <w:p w14:paraId="181A3704" w14:textId="77777777" w:rsidR="00C530A7" w:rsidRPr="00C530A7" w:rsidRDefault="00C530A7" w:rsidP="00C530A7">
      <w:pPr>
        <w:numPr>
          <w:ilvl w:val="0"/>
          <w:numId w:val="38"/>
        </w:numPr>
        <w:suppressAutoHyphens/>
        <w:spacing w:after="0" w:line="240" w:lineRule="auto"/>
        <w:ind w:left="1440"/>
        <w:rPr>
          <w:rFonts w:ascii="Cambria" w:hAnsi="Cambria" w:cs="Calibri Light"/>
          <w:b/>
          <w:color w:val="000000"/>
          <w:sz w:val="20"/>
          <w:szCs w:val="20"/>
        </w:rPr>
      </w:pPr>
      <w:r w:rsidRPr="00C530A7">
        <w:rPr>
          <w:rFonts w:ascii="Cambria" w:hAnsi="Cambria"/>
          <w:b/>
          <w:color w:val="000000"/>
          <w:sz w:val="20"/>
          <w:szCs w:val="20"/>
        </w:rPr>
        <w:t xml:space="preserve">SUMMARY OF THE CASE </w:t>
      </w:r>
    </w:p>
    <w:p w14:paraId="40BD5F02" w14:textId="77777777" w:rsidR="00C530A7" w:rsidRPr="00C530A7" w:rsidRDefault="00C530A7" w:rsidP="00C530A7">
      <w:pPr>
        <w:suppressAutoHyphens/>
        <w:spacing w:after="0" w:line="240" w:lineRule="auto"/>
        <w:ind w:left="720"/>
        <w:rPr>
          <w:rFonts w:ascii="Cambria" w:hAnsi="Cambria" w:cs="Calibri Light"/>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C530A7" w:rsidRPr="00C530A7" w14:paraId="41B0744C" w14:textId="77777777" w:rsidTr="009A74AF">
        <w:trPr>
          <w:jc w:val="center"/>
        </w:trPr>
        <w:tc>
          <w:tcPr>
            <w:tcW w:w="9576" w:type="dxa"/>
            <w:shd w:val="clear" w:color="auto" w:fill="F2F2F2"/>
          </w:tcPr>
          <w:p w14:paraId="3BF29F4D" w14:textId="5559F566" w:rsidR="00C530A7" w:rsidRPr="00C530A7" w:rsidRDefault="00C530A7" w:rsidP="00C530A7">
            <w:pPr>
              <w:spacing w:after="0" w:line="240" w:lineRule="auto"/>
              <w:jc w:val="both"/>
              <w:rPr>
                <w:rFonts w:ascii="Cambria" w:hAnsi="Cambria"/>
                <w:color w:val="000000"/>
                <w:sz w:val="20"/>
                <w:szCs w:val="20"/>
                <w:lang w:val="es-US"/>
              </w:rPr>
            </w:pPr>
            <w:r w:rsidRPr="00C530A7">
              <w:rPr>
                <w:rFonts w:ascii="Cambria" w:hAnsi="Cambria"/>
                <w:b/>
                <w:color w:val="000000"/>
                <w:sz w:val="20"/>
                <w:szCs w:val="20"/>
                <w:lang w:val="es-US"/>
              </w:rPr>
              <w:t>Victim(s):</w:t>
            </w:r>
            <w:r w:rsidRPr="00C530A7">
              <w:rPr>
                <w:rFonts w:ascii="Cambria" w:hAnsi="Cambria"/>
                <w:color w:val="000000"/>
                <w:sz w:val="20"/>
                <w:szCs w:val="20"/>
                <w:lang w:val="es-US"/>
              </w:rPr>
              <w:t xml:space="preserve"> Isidoro León Ramírez Ciro, Pompilio de Jesús Cardona Escobar, Luis Fernando Velásquez Londoño et al.</w:t>
            </w:r>
          </w:p>
          <w:p w14:paraId="65D62310" w14:textId="529F553A" w:rsidR="00C530A7" w:rsidRPr="00C530A7" w:rsidRDefault="00C530A7" w:rsidP="00C530A7">
            <w:pPr>
              <w:spacing w:after="0" w:line="240" w:lineRule="auto"/>
              <w:jc w:val="both"/>
              <w:rPr>
                <w:rFonts w:ascii="Cambria" w:hAnsi="Cambria"/>
                <w:b/>
                <w:color w:val="000000"/>
                <w:sz w:val="20"/>
                <w:szCs w:val="20"/>
              </w:rPr>
            </w:pPr>
            <w:r w:rsidRPr="00C530A7">
              <w:rPr>
                <w:rFonts w:ascii="Cambria" w:hAnsi="Cambria"/>
                <w:b/>
                <w:color w:val="000000"/>
                <w:sz w:val="20"/>
                <w:szCs w:val="20"/>
              </w:rPr>
              <w:t xml:space="preserve">Petitioner(s): </w:t>
            </w:r>
            <w:r>
              <w:rPr>
                <w:rFonts w:ascii="Cambria" w:hAnsi="Cambria"/>
                <w:color w:val="000000"/>
                <w:sz w:val="20"/>
                <w:szCs w:val="20"/>
              </w:rPr>
              <w:t>Human Rights Legal Center of Antoquia</w:t>
            </w:r>
          </w:p>
          <w:p w14:paraId="630C11B3" w14:textId="77777777" w:rsidR="00C530A7" w:rsidRPr="00C530A7" w:rsidRDefault="00C530A7" w:rsidP="00C530A7">
            <w:pPr>
              <w:spacing w:after="0" w:line="240" w:lineRule="auto"/>
              <w:jc w:val="both"/>
              <w:rPr>
                <w:rFonts w:ascii="Cambria" w:hAnsi="Cambria"/>
                <w:color w:val="000000"/>
                <w:sz w:val="20"/>
                <w:szCs w:val="20"/>
              </w:rPr>
            </w:pPr>
            <w:r w:rsidRPr="00C530A7">
              <w:rPr>
                <w:rFonts w:ascii="Cambria" w:hAnsi="Cambria"/>
                <w:b/>
                <w:color w:val="000000"/>
                <w:sz w:val="20"/>
                <w:szCs w:val="20"/>
              </w:rPr>
              <w:t>State:</w:t>
            </w:r>
            <w:r w:rsidRPr="00C530A7">
              <w:rPr>
                <w:rFonts w:ascii="Cambria" w:hAnsi="Cambria"/>
                <w:color w:val="000000"/>
                <w:sz w:val="20"/>
                <w:szCs w:val="20"/>
              </w:rPr>
              <w:t xml:space="preserve"> Colombia</w:t>
            </w:r>
          </w:p>
          <w:p w14:paraId="610FE7A7" w14:textId="77777777" w:rsidR="00C530A7" w:rsidRPr="00C530A7" w:rsidRDefault="00C530A7" w:rsidP="00C530A7">
            <w:pPr>
              <w:tabs>
                <w:tab w:val="left" w:pos="9270"/>
              </w:tabs>
              <w:suppressAutoHyphens/>
              <w:spacing w:after="0" w:line="240" w:lineRule="auto"/>
              <w:jc w:val="both"/>
              <w:rPr>
                <w:rFonts w:ascii="Cambria" w:eastAsia="Batang" w:hAnsi="Cambria"/>
                <w:color w:val="000000"/>
                <w:sz w:val="20"/>
                <w:szCs w:val="20"/>
              </w:rPr>
            </w:pPr>
            <w:r w:rsidRPr="00C530A7">
              <w:rPr>
                <w:rFonts w:ascii="Cambria" w:hAnsi="Cambria"/>
                <w:b/>
                <w:color w:val="000000"/>
                <w:sz w:val="20"/>
                <w:szCs w:val="20"/>
              </w:rPr>
              <w:t xml:space="preserve">Beginning of the negotiations date: </w:t>
            </w:r>
            <w:r w:rsidRPr="00C530A7">
              <w:rPr>
                <w:rFonts w:ascii="Cambria" w:hAnsi="Cambria"/>
                <w:color w:val="000000"/>
                <w:sz w:val="20"/>
                <w:szCs w:val="20"/>
              </w:rPr>
              <w:t xml:space="preserve">March 3, 2017 </w:t>
            </w:r>
          </w:p>
          <w:p w14:paraId="3A36D386" w14:textId="77777777" w:rsidR="00C530A7" w:rsidRPr="00C530A7" w:rsidRDefault="00C530A7" w:rsidP="00C530A7">
            <w:pPr>
              <w:spacing w:after="0" w:line="240" w:lineRule="auto"/>
              <w:jc w:val="both"/>
              <w:rPr>
                <w:rFonts w:ascii="Cambria" w:hAnsi="Cambria"/>
                <w:color w:val="000000"/>
                <w:sz w:val="20"/>
                <w:szCs w:val="20"/>
              </w:rPr>
            </w:pPr>
            <w:r w:rsidRPr="00C530A7">
              <w:rPr>
                <w:rFonts w:ascii="Cambria" w:hAnsi="Cambria"/>
                <w:b/>
                <w:color w:val="000000"/>
                <w:sz w:val="20"/>
                <w:szCs w:val="20"/>
              </w:rPr>
              <w:t xml:space="preserve">FSA signature date: </w:t>
            </w:r>
            <w:r w:rsidRPr="00C530A7">
              <w:rPr>
                <w:rFonts w:ascii="Cambria" w:hAnsi="Cambria"/>
                <w:color w:val="000000"/>
                <w:sz w:val="20"/>
                <w:szCs w:val="20"/>
              </w:rPr>
              <w:t>May 7, 2018</w:t>
            </w:r>
          </w:p>
          <w:p w14:paraId="645D9E0F" w14:textId="77777777" w:rsidR="00C530A7" w:rsidRPr="00C530A7" w:rsidRDefault="00C530A7" w:rsidP="00C530A7">
            <w:pPr>
              <w:spacing w:after="0" w:line="240" w:lineRule="auto"/>
              <w:jc w:val="both"/>
              <w:rPr>
                <w:rFonts w:ascii="Cambria" w:hAnsi="Cambria"/>
                <w:color w:val="000000"/>
                <w:sz w:val="20"/>
                <w:szCs w:val="20"/>
              </w:rPr>
            </w:pPr>
            <w:r w:rsidRPr="00C530A7">
              <w:rPr>
                <w:rFonts w:ascii="Cambria" w:hAnsi="Cambria"/>
                <w:b/>
                <w:color w:val="000000"/>
                <w:sz w:val="20"/>
                <w:szCs w:val="20"/>
              </w:rPr>
              <w:t xml:space="preserve">Friendly Settlement Agreement Report: </w:t>
            </w:r>
            <w:hyperlink r:id="rId13" w:history="1">
              <w:r w:rsidRPr="00C530A7">
                <w:rPr>
                  <w:rFonts w:ascii="Cambria" w:hAnsi="Cambria"/>
                  <w:b/>
                  <w:color w:val="0563C1"/>
                  <w:sz w:val="20"/>
                  <w:szCs w:val="20"/>
                  <w:u w:val="single"/>
                </w:rPr>
                <w:t>93/18</w:t>
              </w:r>
            </w:hyperlink>
            <w:r w:rsidRPr="00C530A7">
              <w:rPr>
                <w:rFonts w:ascii="Cambria" w:hAnsi="Cambria"/>
                <w:sz w:val="20"/>
                <w:szCs w:val="20"/>
              </w:rPr>
              <w:t xml:space="preserve">, </w:t>
            </w:r>
            <w:r w:rsidRPr="00C530A7">
              <w:rPr>
                <w:rFonts w:ascii="Cambria" w:hAnsi="Cambria"/>
                <w:color w:val="000000"/>
                <w:sz w:val="20"/>
                <w:szCs w:val="20"/>
              </w:rPr>
              <w:t>published on August 23, 2018</w:t>
            </w:r>
          </w:p>
          <w:p w14:paraId="7685923E" w14:textId="77777777" w:rsidR="00C530A7" w:rsidRPr="00C530A7" w:rsidRDefault="00C530A7" w:rsidP="00C530A7">
            <w:pPr>
              <w:spacing w:after="0" w:line="240" w:lineRule="auto"/>
              <w:jc w:val="both"/>
              <w:rPr>
                <w:rFonts w:ascii="Cambria" w:hAnsi="Cambria"/>
                <w:b/>
                <w:bCs/>
                <w:color w:val="000000"/>
                <w:sz w:val="20"/>
                <w:szCs w:val="20"/>
              </w:rPr>
            </w:pPr>
            <w:r w:rsidRPr="00C530A7">
              <w:rPr>
                <w:rFonts w:ascii="Cambria" w:hAnsi="Cambria"/>
                <w:b/>
                <w:color w:val="000000"/>
                <w:sz w:val="20"/>
                <w:szCs w:val="20"/>
              </w:rPr>
              <w:t xml:space="preserve">Estimated length of the negotiation phase: </w:t>
            </w:r>
            <w:r w:rsidRPr="00C530A7">
              <w:rPr>
                <w:rFonts w:ascii="Cambria" w:hAnsi="Cambria"/>
                <w:color w:val="000000"/>
                <w:sz w:val="20"/>
                <w:szCs w:val="20"/>
              </w:rPr>
              <w:t xml:space="preserve">5 months </w:t>
            </w:r>
          </w:p>
          <w:p w14:paraId="7D484AD5" w14:textId="5F39A717" w:rsidR="00C530A7" w:rsidRPr="00C530A7" w:rsidRDefault="00C530A7" w:rsidP="00C530A7">
            <w:pPr>
              <w:spacing w:after="0" w:line="240" w:lineRule="auto"/>
              <w:jc w:val="both"/>
              <w:rPr>
                <w:rFonts w:ascii="Cambria" w:hAnsi="Cambria"/>
                <w:color w:val="000000"/>
                <w:sz w:val="20"/>
                <w:szCs w:val="20"/>
              </w:rPr>
            </w:pPr>
            <w:r w:rsidRPr="00C530A7">
              <w:rPr>
                <w:rFonts w:ascii="Cambria" w:hAnsi="Cambria"/>
                <w:b/>
                <w:color w:val="000000"/>
                <w:sz w:val="20"/>
                <w:szCs w:val="20"/>
              </w:rPr>
              <w:t>Related Rapporteurship (s):</w:t>
            </w:r>
            <w:r w:rsidRPr="00C530A7">
              <w:rPr>
                <w:rFonts w:ascii="Cambria" w:hAnsi="Cambria"/>
                <w:color w:val="000000"/>
                <w:sz w:val="20"/>
                <w:szCs w:val="20"/>
              </w:rPr>
              <w:t xml:space="preserve"> Rapporteurship on the Rights of Persons Deprived of Liberty</w:t>
            </w:r>
          </w:p>
          <w:p w14:paraId="4C2B1B50" w14:textId="77777777" w:rsidR="00C530A7" w:rsidRDefault="00C530A7" w:rsidP="00C530A7">
            <w:pPr>
              <w:spacing w:after="0" w:line="240" w:lineRule="auto"/>
              <w:jc w:val="both"/>
              <w:rPr>
                <w:rFonts w:ascii="Cambria" w:hAnsi="Cambria"/>
                <w:color w:val="000000"/>
                <w:sz w:val="20"/>
                <w:szCs w:val="20"/>
              </w:rPr>
            </w:pPr>
            <w:r w:rsidRPr="00C530A7">
              <w:rPr>
                <w:rFonts w:ascii="Cambria" w:hAnsi="Cambria"/>
                <w:b/>
                <w:color w:val="000000"/>
                <w:sz w:val="20"/>
                <w:szCs w:val="20"/>
              </w:rPr>
              <w:t xml:space="preserve">Topics: </w:t>
            </w:r>
            <w:r w:rsidRPr="00C530A7">
              <w:rPr>
                <w:rFonts w:ascii="Cambria" w:hAnsi="Cambria"/>
                <w:color w:val="000000"/>
                <w:sz w:val="20"/>
                <w:szCs w:val="20"/>
              </w:rPr>
              <w:t xml:space="preserve">Persons deprived of liberty / Summary, extrajudicial, or arbitrary executions / Investigation / Impunity / Judicial protection / Judicial guarantees </w:t>
            </w:r>
          </w:p>
          <w:p w14:paraId="68674499" w14:textId="77777777" w:rsidR="00C530A7" w:rsidRDefault="00C530A7" w:rsidP="00C530A7">
            <w:pPr>
              <w:spacing w:after="0" w:line="240" w:lineRule="auto"/>
              <w:jc w:val="both"/>
              <w:rPr>
                <w:rFonts w:ascii="Cambria" w:hAnsi="Cambria"/>
                <w:b/>
                <w:color w:val="000000"/>
                <w:sz w:val="20"/>
                <w:szCs w:val="20"/>
              </w:rPr>
            </w:pPr>
          </w:p>
          <w:p w14:paraId="596BC663" w14:textId="09319D7D" w:rsidR="00C530A7" w:rsidRPr="00C530A7" w:rsidRDefault="00C530A7" w:rsidP="00C530A7">
            <w:pPr>
              <w:spacing w:after="0" w:line="240" w:lineRule="auto"/>
              <w:jc w:val="both"/>
              <w:rPr>
                <w:rFonts w:ascii="Cambria" w:hAnsi="Cambria"/>
                <w:color w:val="000000"/>
                <w:sz w:val="20"/>
                <w:szCs w:val="20"/>
              </w:rPr>
            </w:pPr>
            <w:r>
              <w:rPr>
                <w:rFonts w:ascii="Cambria" w:hAnsi="Cambria"/>
                <w:b/>
                <w:color w:val="000000"/>
                <w:sz w:val="20"/>
                <w:szCs w:val="20"/>
              </w:rPr>
              <w:t>Fa</w:t>
            </w:r>
            <w:r w:rsidRPr="00C530A7">
              <w:rPr>
                <w:rFonts w:ascii="Cambria" w:hAnsi="Cambria"/>
                <w:b/>
                <w:color w:val="000000"/>
                <w:sz w:val="20"/>
                <w:szCs w:val="20"/>
              </w:rPr>
              <w:t xml:space="preserve">cts: </w:t>
            </w:r>
            <w:r w:rsidRPr="00C530A7">
              <w:rPr>
                <w:rFonts w:ascii="Cambria" w:hAnsi="Cambria"/>
                <w:color w:val="000000"/>
                <w:sz w:val="20"/>
                <w:szCs w:val="20"/>
              </w:rPr>
              <w:t>The petitioning party alleged that on December 6, 1993, Messrs. Isidoro León Ramírez Ciro, Pompilio de Jesús Cardona Escobar, and Luis Fernando Velásquez Londoño, were detained by the police and held in the prison of the Municipality of Granada on orders from the First Municipal Justice of the Peace (</w:t>
            </w:r>
            <w:r w:rsidRPr="00C530A7">
              <w:rPr>
                <w:rFonts w:ascii="Cambria" w:hAnsi="Cambria"/>
                <w:i/>
                <w:color w:val="000000"/>
                <w:sz w:val="20"/>
                <w:szCs w:val="20"/>
              </w:rPr>
              <w:t>Juez Promiscuo</w:t>
            </w:r>
            <w:r w:rsidRPr="00C530A7">
              <w:rPr>
                <w:rFonts w:ascii="Cambria" w:hAnsi="Cambria"/>
                <w:color w:val="000000"/>
                <w:sz w:val="20"/>
                <w:szCs w:val="20"/>
              </w:rPr>
              <w:t xml:space="preserve">), accused of larceny. On December 8, 1993, two days after their detention, 10 armed men entered the prison and kidnapped six detainees, including Messrs. Ramírez, Cardona, and Velásquez. That same day they were extrajudicially executed in rural areas of the Municipalities of Granada and Santuario. On November 11, 1994, the next-of-kin of the victims filed an action for damages with the Administrative Tribunal of Antioquia, which handed down a judgment on October 11, 2002 declaring the administrative liability of the Police and of the National Penitentiary Institute (INPEC) and sentencing them to pay the corresponding reparations. </w:t>
            </w:r>
          </w:p>
          <w:p w14:paraId="16A6AB4B" w14:textId="77777777" w:rsidR="00C530A7" w:rsidRPr="00C530A7" w:rsidRDefault="00C530A7" w:rsidP="00C530A7">
            <w:pPr>
              <w:spacing w:after="0" w:line="240" w:lineRule="auto"/>
              <w:jc w:val="both"/>
              <w:rPr>
                <w:rFonts w:ascii="Cambria" w:hAnsi="Cambria"/>
                <w:color w:val="000000"/>
                <w:sz w:val="20"/>
                <w:szCs w:val="20"/>
              </w:rPr>
            </w:pPr>
          </w:p>
          <w:p w14:paraId="1306223B" w14:textId="77777777" w:rsidR="00C530A7" w:rsidRPr="00C530A7" w:rsidRDefault="00C530A7" w:rsidP="00C530A7">
            <w:pPr>
              <w:spacing w:after="0" w:line="240" w:lineRule="auto"/>
              <w:jc w:val="both"/>
              <w:rPr>
                <w:rFonts w:ascii="Cambria" w:hAnsi="Cambria"/>
                <w:color w:val="000000"/>
                <w:sz w:val="20"/>
                <w:szCs w:val="20"/>
              </w:rPr>
            </w:pPr>
            <w:r w:rsidRPr="00C530A7">
              <w:rPr>
                <w:rFonts w:ascii="Cambria" w:hAnsi="Cambria"/>
                <w:color w:val="000000"/>
                <w:sz w:val="20"/>
                <w:szCs w:val="20"/>
              </w:rPr>
              <w:t>The petitioning party stated that neither the Office of the Procurator-General of the Nation nor any other State oversight entity instituted disciplinary proceedings against those responsible for the omissions that allowed the extrajudicial execution of Messrs. Isidoro León Ramírez Ciro, Pompilio de Jesús Cardona Escobar, and Luis Fernando Velásquez Londoño.  It also pointed out that neither the ordinary nor the military criminal justice system undertook the investigations needed to throw light on the facts of the case.</w:t>
            </w:r>
          </w:p>
          <w:p w14:paraId="6D5BFDEF" w14:textId="77777777" w:rsidR="00C530A7" w:rsidRPr="00C530A7" w:rsidRDefault="00C530A7" w:rsidP="00C530A7">
            <w:pPr>
              <w:spacing w:after="0" w:line="240" w:lineRule="auto"/>
              <w:jc w:val="both"/>
              <w:rPr>
                <w:rFonts w:ascii="Cambria" w:hAnsi="Cambria"/>
                <w:color w:val="000000"/>
                <w:sz w:val="20"/>
                <w:szCs w:val="20"/>
              </w:rPr>
            </w:pPr>
          </w:p>
          <w:p w14:paraId="7D29A51E" w14:textId="149598E8" w:rsidR="00C530A7" w:rsidRPr="00C530A7" w:rsidRDefault="00C530A7" w:rsidP="00C530A7">
            <w:pPr>
              <w:spacing w:after="0" w:line="240" w:lineRule="auto"/>
              <w:jc w:val="both"/>
              <w:rPr>
                <w:rFonts w:ascii="Cambria" w:hAnsi="Cambria"/>
                <w:color w:val="000000"/>
                <w:sz w:val="20"/>
                <w:szCs w:val="20"/>
              </w:rPr>
            </w:pPr>
            <w:r w:rsidRPr="00C530A7">
              <w:rPr>
                <w:rFonts w:ascii="Cambria" w:hAnsi="Cambria"/>
                <w:b/>
                <w:color w:val="000000"/>
                <w:sz w:val="20"/>
                <w:szCs w:val="20"/>
              </w:rPr>
              <w:t>Rights invoked:</w:t>
            </w:r>
            <w:r w:rsidRPr="00C530A7">
              <w:rPr>
                <w:rFonts w:ascii="Cambria" w:hAnsi="Cambria"/>
                <w:color w:val="000000"/>
                <w:sz w:val="20"/>
                <w:szCs w:val="20"/>
              </w:rPr>
              <w:t xml:space="preserve"> The petitioners alleged violation of the rights embodied in Articles 4 (Right to Life), 8 (judicial guarantees), and 25 (judicial protection) of the American Convention on Human Rights (hereinafter the "Convention" or the "American Convention) in conjunction with Articles 1 and 2 of the same instruments.</w:t>
            </w:r>
          </w:p>
        </w:tc>
      </w:tr>
    </w:tbl>
    <w:p w14:paraId="296A5FF4" w14:textId="77777777" w:rsidR="00C530A7" w:rsidRPr="00C530A7" w:rsidRDefault="00C530A7" w:rsidP="00C530A7">
      <w:pPr>
        <w:suppressAutoHyphens/>
        <w:spacing w:after="0" w:line="240" w:lineRule="auto"/>
        <w:ind w:firstLine="709"/>
        <w:contextualSpacing/>
        <w:jc w:val="both"/>
        <w:rPr>
          <w:rFonts w:ascii="Cambria" w:hAnsi="Cambria" w:cs="Calibri Light"/>
          <w:b/>
          <w:color w:val="000000"/>
          <w:sz w:val="20"/>
          <w:szCs w:val="20"/>
        </w:rPr>
      </w:pPr>
    </w:p>
    <w:p w14:paraId="70EFCD08" w14:textId="77777777" w:rsidR="00C530A7" w:rsidRPr="00C530A7" w:rsidRDefault="00C530A7" w:rsidP="00C530A7">
      <w:pPr>
        <w:numPr>
          <w:ilvl w:val="0"/>
          <w:numId w:val="38"/>
        </w:numPr>
        <w:suppressAutoHyphens/>
        <w:spacing w:after="0" w:line="240" w:lineRule="auto"/>
        <w:ind w:left="0" w:firstLine="709"/>
        <w:contextualSpacing/>
        <w:jc w:val="both"/>
        <w:rPr>
          <w:rFonts w:ascii="Cambria" w:hAnsi="Cambria" w:cs="Calibri Light"/>
          <w:b/>
          <w:color w:val="000000"/>
          <w:sz w:val="20"/>
          <w:szCs w:val="20"/>
        </w:rPr>
      </w:pPr>
      <w:r w:rsidRPr="00C530A7">
        <w:rPr>
          <w:rFonts w:ascii="Cambria" w:hAnsi="Cambria"/>
          <w:b/>
          <w:color w:val="000000"/>
          <w:sz w:val="20"/>
          <w:szCs w:val="20"/>
        </w:rPr>
        <w:t>PROCEDURAL ACTIVITY</w:t>
      </w:r>
    </w:p>
    <w:p w14:paraId="3A99B15B" w14:textId="77777777" w:rsidR="00C530A7" w:rsidRPr="00C530A7" w:rsidRDefault="00C530A7" w:rsidP="00C530A7">
      <w:pPr>
        <w:suppressAutoHyphens/>
        <w:spacing w:after="0" w:line="240" w:lineRule="auto"/>
        <w:ind w:firstLine="709"/>
        <w:jc w:val="both"/>
        <w:rPr>
          <w:rFonts w:ascii="Cambria" w:hAnsi="Cambria" w:cs="Calibri Light"/>
          <w:b/>
          <w:color w:val="000000"/>
          <w:sz w:val="20"/>
          <w:szCs w:val="20"/>
        </w:rPr>
      </w:pPr>
    </w:p>
    <w:p w14:paraId="48B7A24E" w14:textId="4151EEBC" w:rsidR="00C530A7" w:rsidRPr="00C530A7" w:rsidRDefault="00C530A7" w:rsidP="00C530A7">
      <w:pPr>
        <w:numPr>
          <w:ilvl w:val="0"/>
          <w:numId w:val="37"/>
        </w:numPr>
        <w:suppressAutoHyphens/>
        <w:spacing w:after="0" w:line="240" w:lineRule="auto"/>
        <w:ind w:left="0" w:firstLine="709"/>
        <w:jc w:val="both"/>
        <w:rPr>
          <w:rFonts w:ascii="Cambria" w:hAnsi="Cambria"/>
          <w:color w:val="000000"/>
          <w:sz w:val="20"/>
          <w:szCs w:val="20"/>
        </w:rPr>
      </w:pPr>
      <w:r w:rsidRPr="00C530A7">
        <w:rPr>
          <w:rFonts w:ascii="Cambria" w:hAnsi="Cambria"/>
          <w:color w:val="000000"/>
          <w:sz w:val="20"/>
          <w:szCs w:val="20"/>
        </w:rPr>
        <w:t xml:space="preserve">On </w:t>
      </w:r>
      <w:r>
        <w:rPr>
          <w:rFonts w:ascii="Cambria" w:hAnsi="Cambria"/>
          <w:color w:val="000000"/>
          <w:sz w:val="20"/>
          <w:szCs w:val="20"/>
        </w:rPr>
        <w:t>May 7</w:t>
      </w:r>
      <w:r w:rsidRPr="00C530A7">
        <w:rPr>
          <w:rFonts w:ascii="Cambria" w:hAnsi="Cambria"/>
          <w:color w:val="000000"/>
          <w:sz w:val="20"/>
          <w:szCs w:val="20"/>
        </w:rPr>
        <w:t>, 20</w:t>
      </w:r>
      <w:r>
        <w:rPr>
          <w:rFonts w:ascii="Cambria" w:hAnsi="Cambria"/>
          <w:color w:val="000000"/>
          <w:sz w:val="20"/>
          <w:szCs w:val="20"/>
        </w:rPr>
        <w:t>18</w:t>
      </w:r>
      <w:r w:rsidRPr="00C530A7">
        <w:rPr>
          <w:rFonts w:ascii="Cambria" w:hAnsi="Cambria"/>
          <w:color w:val="000000"/>
          <w:sz w:val="20"/>
          <w:szCs w:val="20"/>
        </w:rPr>
        <w:t>, the parties signed a friendly settlement agreement.</w:t>
      </w:r>
    </w:p>
    <w:p w14:paraId="47DA5A96" w14:textId="77777777" w:rsidR="00C530A7" w:rsidRPr="00C530A7" w:rsidRDefault="00C530A7" w:rsidP="00C530A7">
      <w:pPr>
        <w:suppressAutoHyphens/>
        <w:spacing w:after="0" w:line="240" w:lineRule="auto"/>
        <w:ind w:left="709"/>
        <w:jc w:val="both"/>
        <w:rPr>
          <w:rFonts w:ascii="Cambria" w:hAnsi="Cambria"/>
          <w:color w:val="000000"/>
          <w:sz w:val="20"/>
          <w:szCs w:val="20"/>
        </w:rPr>
      </w:pPr>
    </w:p>
    <w:p w14:paraId="3535B6DE" w14:textId="4844EA24" w:rsidR="00C530A7" w:rsidRPr="00C530A7" w:rsidRDefault="00C530A7" w:rsidP="00C530A7">
      <w:pPr>
        <w:numPr>
          <w:ilvl w:val="0"/>
          <w:numId w:val="37"/>
        </w:numPr>
        <w:suppressAutoHyphens/>
        <w:spacing w:after="0" w:line="240" w:lineRule="auto"/>
        <w:ind w:left="0" w:firstLine="709"/>
        <w:jc w:val="both"/>
        <w:rPr>
          <w:rFonts w:ascii="Cambria" w:hAnsi="Cambria"/>
          <w:color w:val="000000"/>
          <w:sz w:val="20"/>
          <w:szCs w:val="20"/>
        </w:rPr>
      </w:pPr>
      <w:r w:rsidRPr="00C530A7">
        <w:rPr>
          <w:rFonts w:ascii="Cambria" w:hAnsi="Cambria"/>
          <w:color w:val="000000"/>
          <w:sz w:val="20"/>
          <w:szCs w:val="20"/>
        </w:rPr>
        <w:t xml:space="preserve">On </w:t>
      </w:r>
      <w:r>
        <w:rPr>
          <w:rFonts w:ascii="Cambria" w:hAnsi="Cambria"/>
          <w:color w:val="000000"/>
          <w:sz w:val="20"/>
          <w:szCs w:val="20"/>
        </w:rPr>
        <w:t>August 23</w:t>
      </w:r>
      <w:r w:rsidRPr="00C530A7">
        <w:rPr>
          <w:rFonts w:ascii="Cambria" w:hAnsi="Cambria"/>
          <w:color w:val="000000"/>
          <w:sz w:val="20"/>
          <w:szCs w:val="20"/>
        </w:rPr>
        <w:t>, 20</w:t>
      </w:r>
      <w:r>
        <w:rPr>
          <w:rFonts w:ascii="Cambria" w:hAnsi="Cambria"/>
          <w:color w:val="000000"/>
          <w:sz w:val="20"/>
          <w:szCs w:val="20"/>
        </w:rPr>
        <w:t>18</w:t>
      </w:r>
      <w:r w:rsidRPr="00C530A7">
        <w:rPr>
          <w:rFonts w:ascii="Cambria" w:hAnsi="Cambria"/>
          <w:color w:val="000000"/>
          <w:sz w:val="20"/>
          <w:szCs w:val="20"/>
        </w:rPr>
        <w:t xml:space="preserve">, the Commission approved the friendly settlement agreement </w:t>
      </w:r>
      <w:r w:rsidR="00A10941">
        <w:rPr>
          <w:rFonts w:ascii="Cambria" w:hAnsi="Cambria"/>
          <w:color w:val="000000"/>
          <w:sz w:val="20"/>
          <w:szCs w:val="20"/>
        </w:rPr>
        <w:t>through</w:t>
      </w:r>
      <w:r w:rsidRPr="00C530A7">
        <w:rPr>
          <w:rFonts w:ascii="Cambria" w:hAnsi="Cambria"/>
          <w:color w:val="000000"/>
          <w:sz w:val="20"/>
          <w:szCs w:val="20"/>
        </w:rPr>
        <w:t xml:space="preserve"> Report </w:t>
      </w:r>
      <w:r>
        <w:rPr>
          <w:rFonts w:ascii="Cambria" w:hAnsi="Cambria"/>
          <w:color w:val="000000"/>
          <w:sz w:val="20"/>
          <w:szCs w:val="20"/>
        </w:rPr>
        <w:t>93</w:t>
      </w:r>
      <w:r w:rsidRPr="00C530A7">
        <w:rPr>
          <w:rFonts w:ascii="Cambria" w:hAnsi="Cambria"/>
          <w:color w:val="000000"/>
          <w:sz w:val="20"/>
          <w:szCs w:val="20"/>
        </w:rPr>
        <w:t>/</w:t>
      </w:r>
      <w:r>
        <w:rPr>
          <w:rFonts w:ascii="Cambria" w:hAnsi="Cambria"/>
          <w:color w:val="000000"/>
          <w:sz w:val="20"/>
          <w:szCs w:val="20"/>
        </w:rPr>
        <w:t>18</w:t>
      </w:r>
      <w:r w:rsidRPr="00C530A7">
        <w:rPr>
          <w:rFonts w:ascii="Cambria" w:hAnsi="Cambria"/>
          <w:color w:val="000000"/>
          <w:sz w:val="20"/>
          <w:szCs w:val="20"/>
        </w:rPr>
        <w:t>.</w:t>
      </w:r>
    </w:p>
    <w:p w14:paraId="201A24E2" w14:textId="77777777" w:rsidR="00C530A7" w:rsidRPr="00C530A7" w:rsidRDefault="00C530A7" w:rsidP="00C530A7">
      <w:pPr>
        <w:suppressAutoHyphens/>
        <w:spacing w:after="0" w:line="240" w:lineRule="auto"/>
        <w:jc w:val="both"/>
        <w:rPr>
          <w:rFonts w:ascii="Cambria" w:hAnsi="Cambria" w:cs="Calibri Light"/>
          <w:color w:val="000000"/>
          <w:sz w:val="20"/>
          <w:szCs w:val="20"/>
        </w:rPr>
      </w:pPr>
    </w:p>
    <w:p w14:paraId="2605AD4C" w14:textId="77777777" w:rsidR="00C530A7" w:rsidRPr="00C530A7" w:rsidRDefault="00C530A7" w:rsidP="00C530A7">
      <w:pPr>
        <w:numPr>
          <w:ilvl w:val="0"/>
          <w:numId w:val="38"/>
        </w:numPr>
        <w:suppressAutoHyphens/>
        <w:spacing w:after="0" w:line="240" w:lineRule="auto"/>
        <w:ind w:left="0" w:firstLine="709"/>
        <w:contextualSpacing/>
        <w:jc w:val="both"/>
        <w:rPr>
          <w:rFonts w:ascii="Cambria" w:hAnsi="Cambria" w:cs="Calibri Light"/>
          <w:b/>
          <w:color w:val="000000"/>
          <w:sz w:val="20"/>
          <w:szCs w:val="20"/>
        </w:rPr>
      </w:pPr>
      <w:r w:rsidRPr="00C530A7">
        <w:rPr>
          <w:rFonts w:ascii="Cambria" w:hAnsi="Cambria"/>
          <w:b/>
          <w:color w:val="000000"/>
          <w:sz w:val="20"/>
          <w:szCs w:val="20"/>
        </w:rPr>
        <w:lastRenderedPageBreak/>
        <w:t xml:space="preserve">ANALYSIS OF COMPLIANCE WITH THE CLAUSES OF THE FRIENDLY SETTLEMENT AGREEMENT </w:t>
      </w:r>
    </w:p>
    <w:p w14:paraId="42D6031E" w14:textId="77777777" w:rsidR="00C530A7" w:rsidRPr="00C530A7" w:rsidRDefault="00C530A7" w:rsidP="00C530A7">
      <w:pPr>
        <w:suppressAutoHyphens/>
        <w:spacing w:after="0" w:line="240" w:lineRule="auto"/>
        <w:ind w:firstLine="720"/>
        <w:contextualSpacing/>
        <w:jc w:val="both"/>
        <w:rPr>
          <w:rFonts w:ascii="Cambria" w:hAnsi="Cambria" w:cs="Calibri Light"/>
          <w:b/>
          <w:color w:val="000000"/>
          <w:sz w:val="20"/>
          <w:szCs w:val="20"/>
          <w:shd w:val="clear" w:color="auto" w:fill="FFFF00"/>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C530A7" w:rsidRPr="00C530A7" w14:paraId="75EBDA61" w14:textId="77777777" w:rsidTr="00C530A7">
        <w:tc>
          <w:tcPr>
            <w:tcW w:w="44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426CD1" w14:textId="15290692" w:rsidR="00C530A7" w:rsidRPr="00C530A7" w:rsidRDefault="00C530A7" w:rsidP="00C530A7">
            <w:pPr>
              <w:tabs>
                <w:tab w:val="center" w:pos="2049"/>
              </w:tabs>
              <w:suppressAutoHyphens/>
              <w:spacing w:after="0" w:line="240" w:lineRule="auto"/>
              <w:jc w:val="center"/>
              <w:rPr>
                <w:rFonts w:ascii="Cambria" w:hAnsi="Cambria"/>
                <w:b/>
                <w:color w:val="000000"/>
                <w:sz w:val="20"/>
                <w:szCs w:val="20"/>
              </w:rPr>
            </w:pPr>
            <w:r w:rsidRPr="00C530A7">
              <w:rPr>
                <w:rFonts w:ascii="Cambria" w:hAnsi="Cambria"/>
                <w:b/>
                <w:color w:val="000000"/>
                <w:sz w:val="20"/>
                <w:szCs w:val="20"/>
              </w:rPr>
              <w:t xml:space="preserve">Agreement </w:t>
            </w:r>
            <w:r>
              <w:rPr>
                <w:rFonts w:ascii="Cambria" w:hAnsi="Cambria"/>
                <w:b/>
                <w:color w:val="000000"/>
                <w:sz w:val="20"/>
                <w:szCs w:val="20"/>
              </w:rPr>
              <w:t>C</w:t>
            </w:r>
            <w:r w:rsidRPr="00C530A7">
              <w:rPr>
                <w:rFonts w:ascii="Cambria" w:hAnsi="Cambria"/>
                <w:b/>
                <w:color w:val="000000"/>
                <w:sz w:val="20"/>
                <w:szCs w:val="20"/>
              </w:rPr>
              <w:t>lause</w:t>
            </w:r>
          </w:p>
        </w:tc>
        <w:tc>
          <w:tcPr>
            <w:tcW w:w="49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C5AF88" w14:textId="67A96094" w:rsidR="00C530A7" w:rsidRPr="00C530A7" w:rsidRDefault="00C530A7" w:rsidP="00C530A7">
            <w:pPr>
              <w:suppressAutoHyphens/>
              <w:spacing w:after="0" w:line="240" w:lineRule="auto"/>
              <w:jc w:val="center"/>
              <w:rPr>
                <w:rFonts w:ascii="Cambria" w:hAnsi="Cambria"/>
                <w:b/>
                <w:color w:val="000000"/>
                <w:sz w:val="20"/>
                <w:szCs w:val="20"/>
              </w:rPr>
            </w:pPr>
            <w:r w:rsidRPr="00C530A7">
              <w:rPr>
                <w:rFonts w:ascii="Cambria" w:hAnsi="Cambria"/>
                <w:b/>
                <w:color w:val="000000"/>
                <w:sz w:val="20"/>
                <w:szCs w:val="20"/>
              </w:rPr>
              <w:t xml:space="preserve">Status of </w:t>
            </w:r>
            <w:r>
              <w:rPr>
                <w:rFonts w:ascii="Cambria" w:hAnsi="Cambria"/>
                <w:b/>
                <w:color w:val="000000"/>
                <w:sz w:val="20"/>
                <w:szCs w:val="20"/>
              </w:rPr>
              <w:t>C</w:t>
            </w:r>
            <w:r w:rsidRPr="00C530A7">
              <w:rPr>
                <w:rFonts w:ascii="Cambria" w:hAnsi="Cambria"/>
                <w:b/>
                <w:color w:val="000000"/>
                <w:sz w:val="20"/>
                <w:szCs w:val="20"/>
              </w:rPr>
              <w:t>ompliance</w:t>
            </w:r>
          </w:p>
        </w:tc>
      </w:tr>
      <w:tr w:rsidR="00C530A7" w:rsidRPr="00C530A7" w14:paraId="67D0E192" w14:textId="77777777" w:rsidTr="00C530A7">
        <w:tc>
          <w:tcPr>
            <w:tcW w:w="9385" w:type="dxa"/>
            <w:gridSpan w:val="2"/>
            <w:tcBorders>
              <w:top w:val="single" w:sz="4" w:space="0" w:color="auto"/>
              <w:left w:val="single" w:sz="4" w:space="0" w:color="auto"/>
              <w:bottom w:val="single" w:sz="4" w:space="0" w:color="auto"/>
              <w:right w:val="single" w:sz="4" w:space="0" w:color="auto"/>
            </w:tcBorders>
            <w:vAlign w:val="center"/>
          </w:tcPr>
          <w:p w14:paraId="7425C3AE" w14:textId="77777777" w:rsidR="00C530A7" w:rsidRPr="00C530A7" w:rsidRDefault="00C530A7" w:rsidP="00C530A7">
            <w:pPr>
              <w:suppressAutoHyphens/>
              <w:spacing w:after="0" w:line="240" w:lineRule="auto"/>
              <w:rPr>
                <w:rFonts w:ascii="Cambria" w:hAnsi="Cambria"/>
                <w:b/>
                <w:color w:val="000000"/>
                <w:sz w:val="20"/>
                <w:szCs w:val="20"/>
              </w:rPr>
            </w:pPr>
            <w:r w:rsidRPr="00C530A7">
              <w:rPr>
                <w:rFonts w:ascii="Cambria" w:hAnsi="Cambria"/>
                <w:b/>
                <w:color w:val="000000"/>
                <w:sz w:val="20"/>
                <w:szCs w:val="20"/>
              </w:rPr>
              <w:t xml:space="preserve">ONE. ADMISSION OF RESPONSIBILITY </w:t>
            </w:r>
          </w:p>
        </w:tc>
      </w:tr>
      <w:tr w:rsidR="00C530A7" w:rsidRPr="00C530A7" w14:paraId="4B74D18C" w14:textId="77777777" w:rsidTr="00C530A7">
        <w:tc>
          <w:tcPr>
            <w:tcW w:w="4423" w:type="dxa"/>
            <w:tcBorders>
              <w:top w:val="single" w:sz="4" w:space="0" w:color="auto"/>
              <w:left w:val="single" w:sz="4" w:space="0" w:color="auto"/>
              <w:bottom w:val="single" w:sz="4" w:space="0" w:color="auto"/>
              <w:right w:val="single" w:sz="4" w:space="0" w:color="auto"/>
            </w:tcBorders>
            <w:vAlign w:val="center"/>
          </w:tcPr>
          <w:p w14:paraId="536A8584" w14:textId="77777777" w:rsidR="00C530A7" w:rsidRPr="00C530A7" w:rsidRDefault="00C530A7" w:rsidP="00C530A7">
            <w:pPr>
              <w:tabs>
                <w:tab w:val="left" w:pos="3921"/>
              </w:tabs>
              <w:suppressAutoHyphens/>
              <w:spacing w:after="0" w:line="240" w:lineRule="auto"/>
              <w:ind w:right="69"/>
              <w:jc w:val="both"/>
              <w:rPr>
                <w:rFonts w:ascii="Cambria" w:eastAsia="Times New Roman" w:hAnsi="Cambria"/>
                <w:bCs/>
                <w:color w:val="000000"/>
                <w:kern w:val="36"/>
                <w:sz w:val="20"/>
                <w:szCs w:val="20"/>
              </w:rPr>
            </w:pPr>
            <w:r w:rsidRPr="00C530A7">
              <w:rPr>
                <w:rFonts w:ascii="Cambria" w:hAnsi="Cambria"/>
                <w:color w:val="000000"/>
                <w:kern w:val="36"/>
                <w:sz w:val="20"/>
                <w:szCs w:val="20"/>
              </w:rPr>
              <w:t xml:space="preserve">Considering that on December 8, 1993, Messrs. Isidoro León Ramírez Ciro, Fernando Velásquez Londoño, and Pompilio de Jesús Cardona Escobar were taken from the municipal prison in Granada, Antioquia, and that on that account the Administrative Litigation Tribunal in Antioquia and the Third Division of the Council of State had convicted the Colombian State of causing special harm to the victims, failing to fulfill the duty of domestic authorities to provide protection, security, and custody, and disavowal of the principles of reasonableness and proportionality, international responsibility is admitted as follows: </w:t>
            </w:r>
          </w:p>
          <w:p w14:paraId="3890ECE0" w14:textId="77777777" w:rsidR="00C530A7" w:rsidRPr="00C530A7" w:rsidRDefault="00C530A7" w:rsidP="00C530A7">
            <w:pPr>
              <w:tabs>
                <w:tab w:val="left" w:pos="3921"/>
              </w:tabs>
              <w:suppressAutoHyphens/>
              <w:spacing w:after="0" w:line="240" w:lineRule="auto"/>
              <w:ind w:right="69"/>
              <w:jc w:val="both"/>
              <w:rPr>
                <w:rFonts w:ascii="Cambria" w:eastAsia="Times New Roman" w:hAnsi="Cambria"/>
                <w:bCs/>
                <w:color w:val="000000"/>
                <w:kern w:val="36"/>
                <w:sz w:val="20"/>
                <w:szCs w:val="20"/>
              </w:rPr>
            </w:pPr>
            <w:r w:rsidRPr="00C530A7">
              <w:rPr>
                <w:rFonts w:ascii="Cambria" w:hAnsi="Cambria"/>
                <w:color w:val="000000"/>
                <w:kern w:val="36"/>
                <w:sz w:val="20"/>
                <w:szCs w:val="20"/>
              </w:rPr>
              <w:t xml:space="preserve">The Colombian State acknowledges its international responsibility for violation of the rights embodied in Articles 4 (right to life) and 5.1  (right to personal integrity), of the American Convention on Human Rights, in conjunction with Articles 8 (right to judicial guarantees) and 25 (right to judicial protection), due  to the lack of due diligence in throwing light on what happened to victims Isidoro Ramírez Ciro, Fernando Velásquez Londoño, and Pompilio de Jesús Cardona Escobar.  </w:t>
            </w:r>
          </w:p>
          <w:p w14:paraId="2ADC11A3" w14:textId="77777777" w:rsidR="00C530A7" w:rsidRPr="00C530A7" w:rsidRDefault="00C530A7" w:rsidP="00C530A7">
            <w:pPr>
              <w:tabs>
                <w:tab w:val="left" w:pos="3921"/>
              </w:tabs>
              <w:suppressAutoHyphens/>
              <w:spacing w:after="0" w:line="240" w:lineRule="auto"/>
              <w:ind w:right="69"/>
              <w:jc w:val="both"/>
              <w:rPr>
                <w:rFonts w:ascii="Cambria" w:eastAsia="Times New Roman" w:hAnsi="Cambria"/>
                <w:bCs/>
                <w:color w:val="000000"/>
                <w:kern w:val="36"/>
                <w:sz w:val="20"/>
                <w:szCs w:val="20"/>
              </w:rPr>
            </w:pPr>
            <w:r w:rsidRPr="00C530A7">
              <w:rPr>
                <w:rFonts w:ascii="Cambria" w:hAnsi="Cambria"/>
                <w:color w:val="000000"/>
                <w:kern w:val="36"/>
                <w:sz w:val="20"/>
                <w:szCs w:val="20"/>
              </w:rPr>
              <w:t>Likewise, the State acknowledges responsibility for violating Articles 8 (right to judicial guarantees) and 25 (right to judicial protection) upheld in the American Convention, in conjunction with the general obligation established in Article 1.1 thereof, with respect to the family members of the victims, particularly since criminal proceedings continued beyond a reasonable period of time.</w:t>
            </w:r>
          </w:p>
        </w:tc>
        <w:tc>
          <w:tcPr>
            <w:tcW w:w="4962" w:type="dxa"/>
            <w:tcBorders>
              <w:top w:val="single" w:sz="4" w:space="0" w:color="auto"/>
              <w:left w:val="single" w:sz="4" w:space="0" w:color="auto"/>
              <w:bottom w:val="single" w:sz="4" w:space="0" w:color="auto"/>
              <w:right w:val="single" w:sz="4" w:space="0" w:color="auto"/>
            </w:tcBorders>
            <w:vAlign w:val="center"/>
          </w:tcPr>
          <w:p w14:paraId="579D5FE6" w14:textId="3C75D7F1" w:rsidR="00C530A7" w:rsidRPr="00C530A7" w:rsidRDefault="00C530A7" w:rsidP="00C530A7">
            <w:pPr>
              <w:suppressAutoHyphens/>
              <w:spacing w:after="0" w:line="240" w:lineRule="auto"/>
              <w:jc w:val="center"/>
              <w:rPr>
                <w:rFonts w:ascii="Cambria" w:hAnsi="Cambria"/>
                <w:color w:val="000000"/>
                <w:sz w:val="20"/>
                <w:szCs w:val="20"/>
                <w:u w:val="single"/>
              </w:rPr>
            </w:pPr>
            <w:r w:rsidRPr="00C530A7">
              <w:rPr>
                <w:rFonts w:ascii="Cambria" w:hAnsi="Cambria"/>
                <w:b/>
                <w:color w:val="000000"/>
                <w:sz w:val="20"/>
                <w:szCs w:val="20"/>
              </w:rPr>
              <w:t xml:space="preserve">Declarative </w:t>
            </w:r>
            <w:r>
              <w:rPr>
                <w:rFonts w:ascii="Cambria" w:hAnsi="Cambria"/>
                <w:b/>
                <w:color w:val="000000"/>
                <w:sz w:val="20"/>
                <w:szCs w:val="20"/>
              </w:rPr>
              <w:t>C</w:t>
            </w:r>
            <w:r w:rsidRPr="00C530A7">
              <w:rPr>
                <w:rFonts w:ascii="Cambria" w:hAnsi="Cambria"/>
                <w:b/>
                <w:color w:val="000000"/>
                <w:sz w:val="20"/>
                <w:szCs w:val="20"/>
              </w:rPr>
              <w:t>lause</w:t>
            </w:r>
          </w:p>
        </w:tc>
      </w:tr>
      <w:tr w:rsidR="00C530A7" w:rsidRPr="00C530A7" w14:paraId="67452954" w14:textId="77777777" w:rsidTr="00C530A7">
        <w:tc>
          <w:tcPr>
            <w:tcW w:w="9385" w:type="dxa"/>
            <w:gridSpan w:val="2"/>
            <w:tcBorders>
              <w:top w:val="single" w:sz="4" w:space="0" w:color="auto"/>
              <w:left w:val="single" w:sz="4" w:space="0" w:color="auto"/>
              <w:bottom w:val="single" w:sz="4" w:space="0" w:color="auto"/>
              <w:right w:val="single" w:sz="4" w:space="0" w:color="auto"/>
            </w:tcBorders>
            <w:vAlign w:val="center"/>
          </w:tcPr>
          <w:p w14:paraId="5B97BD47" w14:textId="77777777" w:rsidR="00C530A7" w:rsidRPr="00C530A7" w:rsidRDefault="00C530A7" w:rsidP="00C530A7">
            <w:pPr>
              <w:suppressAutoHyphens/>
              <w:spacing w:after="0" w:line="240" w:lineRule="auto"/>
              <w:rPr>
                <w:rFonts w:ascii="Cambria" w:hAnsi="Cambria"/>
                <w:b/>
                <w:color w:val="000000"/>
                <w:sz w:val="20"/>
                <w:szCs w:val="20"/>
              </w:rPr>
            </w:pPr>
            <w:r w:rsidRPr="00C530A7">
              <w:rPr>
                <w:rFonts w:ascii="Cambria" w:hAnsi="Cambria"/>
                <w:b/>
                <w:color w:val="000000"/>
                <w:sz w:val="20"/>
                <w:szCs w:val="20"/>
              </w:rPr>
              <w:t>TWO.  MEASURES TO SEE JUSTICE DONE</w:t>
            </w:r>
          </w:p>
        </w:tc>
      </w:tr>
      <w:tr w:rsidR="00C530A7" w:rsidRPr="00C530A7" w14:paraId="13B2EAAC" w14:textId="77777777" w:rsidTr="00DD5475">
        <w:trPr>
          <w:trHeight w:val="791"/>
        </w:trPr>
        <w:tc>
          <w:tcPr>
            <w:tcW w:w="4423" w:type="dxa"/>
            <w:tcBorders>
              <w:top w:val="single" w:sz="4" w:space="0" w:color="auto"/>
              <w:left w:val="single" w:sz="4" w:space="0" w:color="auto"/>
              <w:bottom w:val="single" w:sz="4" w:space="0" w:color="auto"/>
              <w:right w:val="single" w:sz="4" w:space="0" w:color="auto"/>
            </w:tcBorders>
            <w:vAlign w:val="center"/>
            <w:hideMark/>
          </w:tcPr>
          <w:p w14:paraId="776A6021" w14:textId="4F73818D" w:rsidR="00C530A7" w:rsidRPr="00C530A7" w:rsidRDefault="00C530A7" w:rsidP="00C530A7">
            <w:pPr>
              <w:suppressAutoHyphens/>
              <w:spacing w:after="0" w:line="240" w:lineRule="auto"/>
              <w:ind w:right="72"/>
              <w:jc w:val="both"/>
              <w:rPr>
                <w:rFonts w:ascii="Cambria" w:eastAsia="Times New Roman" w:hAnsi="Cambria"/>
                <w:bCs/>
                <w:color w:val="000000"/>
                <w:kern w:val="36"/>
                <w:sz w:val="20"/>
                <w:szCs w:val="20"/>
              </w:rPr>
            </w:pPr>
            <w:r w:rsidRPr="00C530A7">
              <w:rPr>
                <w:rFonts w:ascii="Cambria" w:hAnsi="Cambria"/>
                <w:color w:val="000000"/>
                <w:kern w:val="36"/>
                <w:sz w:val="20"/>
                <w:szCs w:val="20"/>
              </w:rPr>
              <w:t>The State commits to continuing to honor its obligation to investigate, try, and punish those responsible for the crimes.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228CEED3" w14:textId="3EBB1E97" w:rsidR="00C530A7" w:rsidRPr="00C530A7" w:rsidRDefault="00C530A7" w:rsidP="00C530A7">
            <w:pPr>
              <w:suppressAutoHyphens/>
              <w:spacing w:after="0" w:line="240" w:lineRule="auto"/>
              <w:jc w:val="center"/>
              <w:rPr>
                <w:rFonts w:ascii="Cambria" w:eastAsia="Batang" w:hAnsi="Cambria"/>
                <w:color w:val="000000"/>
                <w:sz w:val="20"/>
                <w:szCs w:val="20"/>
              </w:rPr>
            </w:pPr>
            <w:r w:rsidRPr="00C530A7">
              <w:rPr>
                <w:rFonts w:ascii="Cambria" w:hAnsi="Cambria"/>
                <w:b/>
                <w:color w:val="000000"/>
                <w:sz w:val="20"/>
                <w:szCs w:val="20"/>
                <w:lang w:val="es-CO"/>
              </w:rPr>
              <w:t>Total</w:t>
            </w:r>
            <w:r>
              <w:rPr>
                <w:rStyle w:val="FootnoteReference"/>
                <w:rFonts w:ascii="Cambria" w:hAnsi="Cambria"/>
                <w:b/>
                <w:color w:val="000000"/>
                <w:sz w:val="20"/>
                <w:szCs w:val="20"/>
                <w:lang w:val="es-CO"/>
              </w:rPr>
              <w:footnoteReference w:id="2"/>
            </w:r>
          </w:p>
        </w:tc>
      </w:tr>
      <w:tr w:rsidR="00C530A7" w:rsidRPr="00C530A7" w14:paraId="555FBB61" w14:textId="77777777" w:rsidTr="00C530A7">
        <w:trPr>
          <w:trHeight w:val="197"/>
        </w:trPr>
        <w:tc>
          <w:tcPr>
            <w:tcW w:w="9385" w:type="dxa"/>
            <w:gridSpan w:val="2"/>
            <w:tcBorders>
              <w:top w:val="single" w:sz="4" w:space="0" w:color="auto"/>
              <w:left w:val="single" w:sz="4" w:space="0" w:color="auto"/>
              <w:bottom w:val="single" w:sz="4" w:space="0" w:color="auto"/>
              <w:right w:val="single" w:sz="4" w:space="0" w:color="auto"/>
            </w:tcBorders>
          </w:tcPr>
          <w:p w14:paraId="51E1900A" w14:textId="77777777" w:rsidR="00C530A7" w:rsidRPr="00C530A7" w:rsidRDefault="00C530A7" w:rsidP="00C530A7">
            <w:pPr>
              <w:suppressAutoHyphens/>
              <w:spacing w:after="0" w:line="240" w:lineRule="auto"/>
              <w:jc w:val="both"/>
              <w:rPr>
                <w:rFonts w:ascii="Cambria" w:hAnsi="Cambria"/>
                <w:b/>
                <w:color w:val="000000"/>
                <w:sz w:val="20"/>
                <w:szCs w:val="20"/>
              </w:rPr>
            </w:pPr>
            <w:r w:rsidRPr="00C530A7">
              <w:rPr>
                <w:rFonts w:ascii="Cambria" w:hAnsi="Cambria"/>
                <w:b/>
                <w:color w:val="000000"/>
                <w:sz w:val="20"/>
                <w:szCs w:val="20"/>
              </w:rPr>
              <w:t>THREE:  MEASURES OF SATISFACTION</w:t>
            </w:r>
          </w:p>
        </w:tc>
      </w:tr>
      <w:tr w:rsidR="00C530A7" w:rsidRPr="00C530A7" w14:paraId="44666AAC" w14:textId="77777777" w:rsidTr="00C530A7">
        <w:trPr>
          <w:trHeight w:val="558"/>
        </w:trPr>
        <w:tc>
          <w:tcPr>
            <w:tcW w:w="4423" w:type="dxa"/>
            <w:tcBorders>
              <w:top w:val="single" w:sz="4" w:space="0" w:color="auto"/>
              <w:left w:val="single" w:sz="4" w:space="0" w:color="auto"/>
              <w:bottom w:val="single" w:sz="4" w:space="0" w:color="auto"/>
              <w:right w:val="single" w:sz="4" w:space="0" w:color="auto"/>
            </w:tcBorders>
          </w:tcPr>
          <w:p w14:paraId="54A459B8" w14:textId="77777777" w:rsidR="00C530A7" w:rsidRPr="00C530A7" w:rsidRDefault="00C530A7" w:rsidP="00C530A7">
            <w:pPr>
              <w:suppressAutoHyphens/>
              <w:spacing w:after="0" w:line="240" w:lineRule="auto"/>
              <w:ind w:right="72"/>
              <w:jc w:val="both"/>
              <w:rPr>
                <w:rFonts w:ascii="Cambria" w:eastAsia="Times New Roman" w:hAnsi="Cambria"/>
                <w:bCs/>
                <w:color w:val="000000"/>
                <w:kern w:val="36"/>
                <w:sz w:val="20"/>
                <w:szCs w:val="20"/>
              </w:rPr>
            </w:pPr>
            <w:r w:rsidRPr="00C530A7">
              <w:rPr>
                <w:rFonts w:ascii="Cambria" w:hAnsi="Cambria"/>
                <w:color w:val="000000"/>
                <w:kern w:val="36"/>
                <w:sz w:val="20"/>
                <w:szCs w:val="20"/>
              </w:rPr>
              <w:t xml:space="preserve">The Colombian State undertakes to hold a private ceremony to acknowledge its responsibility for what happened in the instant case. It will also deliver a letter to the victims acknowledging responsibility for what happened. How this measure will be </w:t>
            </w:r>
            <w:r w:rsidRPr="00C530A7">
              <w:rPr>
                <w:rFonts w:ascii="Cambria" w:hAnsi="Cambria"/>
                <w:color w:val="000000"/>
                <w:kern w:val="36"/>
                <w:sz w:val="20"/>
                <w:szCs w:val="20"/>
              </w:rPr>
              <w:lastRenderedPageBreak/>
              <w:t xml:space="preserve">implemented shall be agreed upon with the victims and their representatives. </w:t>
            </w:r>
          </w:p>
          <w:p w14:paraId="4012CDBF" w14:textId="77777777" w:rsidR="00C530A7" w:rsidRPr="00C530A7" w:rsidRDefault="00C530A7" w:rsidP="00C530A7">
            <w:pPr>
              <w:suppressAutoHyphens/>
              <w:spacing w:after="0" w:line="240" w:lineRule="auto"/>
              <w:ind w:right="72"/>
              <w:jc w:val="both"/>
              <w:rPr>
                <w:rFonts w:ascii="Cambria" w:eastAsia="Times New Roman" w:hAnsi="Cambria"/>
                <w:bCs/>
                <w:color w:val="000000"/>
                <w:kern w:val="36"/>
                <w:sz w:val="20"/>
                <w:szCs w:val="20"/>
              </w:rPr>
            </w:pPr>
            <w:r w:rsidRPr="00C530A7">
              <w:rPr>
                <w:rFonts w:ascii="Cambria" w:hAnsi="Cambria"/>
                <w:color w:val="000000"/>
                <w:kern w:val="36"/>
                <w:sz w:val="20"/>
                <w:szCs w:val="20"/>
              </w:rPr>
              <w:t xml:space="preserve">The Office of the Presidential Adviser for Human Rights shall be responsible for providing the logistical and technical support for these measures. </w:t>
            </w:r>
          </w:p>
        </w:tc>
        <w:tc>
          <w:tcPr>
            <w:tcW w:w="4962" w:type="dxa"/>
            <w:tcBorders>
              <w:top w:val="single" w:sz="4" w:space="0" w:color="auto"/>
              <w:left w:val="single" w:sz="4" w:space="0" w:color="auto"/>
              <w:bottom w:val="single" w:sz="4" w:space="0" w:color="auto"/>
              <w:right w:val="single" w:sz="4" w:space="0" w:color="auto"/>
            </w:tcBorders>
            <w:vAlign w:val="center"/>
          </w:tcPr>
          <w:p w14:paraId="2C6BF36D" w14:textId="77777777" w:rsidR="00C530A7" w:rsidRPr="00C530A7" w:rsidRDefault="00C530A7" w:rsidP="00C530A7">
            <w:pPr>
              <w:suppressAutoHyphens/>
              <w:spacing w:after="0" w:line="240" w:lineRule="auto"/>
              <w:jc w:val="center"/>
              <w:rPr>
                <w:rFonts w:ascii="Cambria" w:hAnsi="Cambria"/>
                <w:color w:val="000000"/>
                <w:sz w:val="20"/>
                <w:szCs w:val="20"/>
              </w:rPr>
            </w:pPr>
            <w:r w:rsidRPr="00C530A7">
              <w:rPr>
                <w:rFonts w:ascii="Cambria" w:hAnsi="Cambria"/>
                <w:b/>
                <w:color w:val="000000"/>
                <w:sz w:val="20"/>
                <w:szCs w:val="20"/>
              </w:rPr>
              <w:lastRenderedPageBreak/>
              <w:t>Total</w:t>
            </w:r>
            <w:r w:rsidRPr="00C530A7">
              <w:rPr>
                <w:rFonts w:ascii="Cambria" w:hAnsi="Cambria"/>
                <w:b/>
                <w:color w:val="000000"/>
                <w:sz w:val="20"/>
                <w:szCs w:val="20"/>
                <w:vertAlign w:val="superscript"/>
              </w:rPr>
              <w:footnoteReference w:id="3"/>
            </w:r>
          </w:p>
        </w:tc>
      </w:tr>
      <w:tr w:rsidR="00C530A7" w:rsidRPr="00C530A7" w14:paraId="1C1949FB" w14:textId="77777777" w:rsidTr="00C530A7">
        <w:trPr>
          <w:trHeight w:val="278"/>
        </w:trPr>
        <w:tc>
          <w:tcPr>
            <w:tcW w:w="9385" w:type="dxa"/>
            <w:gridSpan w:val="2"/>
            <w:tcBorders>
              <w:top w:val="single" w:sz="4" w:space="0" w:color="auto"/>
              <w:left w:val="single" w:sz="4" w:space="0" w:color="auto"/>
              <w:bottom w:val="single" w:sz="4" w:space="0" w:color="auto"/>
              <w:right w:val="single" w:sz="4" w:space="0" w:color="auto"/>
            </w:tcBorders>
          </w:tcPr>
          <w:p w14:paraId="28172CAA" w14:textId="77777777" w:rsidR="00C530A7" w:rsidRPr="00C530A7" w:rsidRDefault="00C530A7" w:rsidP="00C530A7">
            <w:pPr>
              <w:suppressAutoHyphens/>
              <w:spacing w:after="0" w:line="240" w:lineRule="auto"/>
              <w:jc w:val="both"/>
              <w:rPr>
                <w:rFonts w:ascii="Cambria" w:hAnsi="Cambria"/>
                <w:b/>
                <w:color w:val="000000"/>
                <w:sz w:val="20"/>
                <w:szCs w:val="20"/>
              </w:rPr>
            </w:pPr>
            <w:r w:rsidRPr="00C530A7">
              <w:rPr>
                <w:rFonts w:ascii="Cambria" w:hAnsi="Cambria"/>
                <w:b/>
                <w:color w:val="000000"/>
                <w:sz w:val="20"/>
                <w:szCs w:val="20"/>
              </w:rPr>
              <w:t>FOUR.  Financial reparation</w:t>
            </w:r>
          </w:p>
        </w:tc>
      </w:tr>
      <w:tr w:rsidR="00C530A7" w:rsidRPr="00C530A7" w14:paraId="1B839497" w14:textId="77777777" w:rsidTr="00C530A7">
        <w:trPr>
          <w:trHeight w:val="1520"/>
        </w:trPr>
        <w:tc>
          <w:tcPr>
            <w:tcW w:w="4423" w:type="dxa"/>
            <w:tcBorders>
              <w:top w:val="single" w:sz="4" w:space="0" w:color="auto"/>
              <w:left w:val="single" w:sz="4" w:space="0" w:color="auto"/>
              <w:bottom w:val="single" w:sz="4" w:space="0" w:color="auto"/>
              <w:right w:val="single" w:sz="4" w:space="0" w:color="auto"/>
            </w:tcBorders>
          </w:tcPr>
          <w:p w14:paraId="1137DBF5" w14:textId="77777777" w:rsidR="00C530A7" w:rsidRPr="00C530A7" w:rsidRDefault="00C530A7" w:rsidP="00C530A7">
            <w:pPr>
              <w:suppressAutoHyphens/>
              <w:spacing w:after="0" w:line="240" w:lineRule="auto"/>
              <w:ind w:right="72"/>
              <w:jc w:val="both"/>
              <w:rPr>
                <w:rFonts w:ascii="Cambria" w:eastAsia="Times New Roman" w:hAnsi="Cambria"/>
                <w:bCs/>
                <w:color w:val="000000"/>
                <w:kern w:val="36"/>
                <w:sz w:val="20"/>
                <w:szCs w:val="20"/>
              </w:rPr>
            </w:pPr>
            <w:r w:rsidRPr="00C530A7">
              <w:rPr>
                <w:rFonts w:ascii="Cambria" w:hAnsi="Cambria"/>
                <w:color w:val="000000"/>
                <w:kern w:val="36"/>
                <w:sz w:val="20"/>
                <w:szCs w:val="20"/>
              </w:rPr>
              <w:t>The State commits to the following: that once the present friendly settlement agreement been formally approved with the issuance of the report referred to in Article 49 of the American Convention on Human Rights, Law 288 of 1996 shall be applied with a view to making reparation for non-material  damages to Messrs. Edgar de Jesús Muñoz Orjuela and Goblis Anyelo Muñoz Orjuela, the foster children of Luis Fernando Velásquez Londoño,  who were not compensated through Administrative Litigation Courts. The entities responsible for following the procedures established in Law 288 of 1996 shall be the National Police and the National Penitentiary and Prison Institute (INPEC), pursuant to Decree 507 of 2016.</w:t>
            </w:r>
          </w:p>
        </w:tc>
        <w:tc>
          <w:tcPr>
            <w:tcW w:w="4962" w:type="dxa"/>
            <w:tcBorders>
              <w:top w:val="single" w:sz="4" w:space="0" w:color="auto"/>
              <w:left w:val="single" w:sz="4" w:space="0" w:color="auto"/>
              <w:bottom w:val="single" w:sz="4" w:space="0" w:color="auto"/>
              <w:right w:val="single" w:sz="4" w:space="0" w:color="auto"/>
            </w:tcBorders>
            <w:vAlign w:val="center"/>
          </w:tcPr>
          <w:p w14:paraId="5EFC98ED" w14:textId="34A582D3" w:rsidR="00C530A7" w:rsidRPr="00C530A7" w:rsidRDefault="00C530A7" w:rsidP="00C530A7">
            <w:pPr>
              <w:suppressAutoHyphens/>
              <w:spacing w:after="0" w:line="240" w:lineRule="auto"/>
              <w:jc w:val="center"/>
              <w:rPr>
                <w:rFonts w:ascii="Cambria" w:hAnsi="Cambria"/>
                <w:color w:val="000000"/>
                <w:sz w:val="20"/>
                <w:szCs w:val="20"/>
              </w:rPr>
            </w:pPr>
            <w:r w:rsidRPr="00C530A7">
              <w:rPr>
                <w:rFonts w:ascii="Cambria" w:hAnsi="Cambria"/>
                <w:b/>
                <w:color w:val="000000"/>
                <w:sz w:val="20"/>
                <w:szCs w:val="20"/>
                <w:lang w:val="es-CO"/>
              </w:rPr>
              <w:t>Total</w:t>
            </w:r>
            <w:r>
              <w:rPr>
                <w:rStyle w:val="FootnoteReference"/>
                <w:rFonts w:ascii="Cambria" w:hAnsi="Cambria"/>
                <w:b/>
                <w:color w:val="000000"/>
                <w:sz w:val="20"/>
                <w:szCs w:val="20"/>
                <w:lang w:val="es-CO"/>
              </w:rPr>
              <w:footnoteReference w:id="4"/>
            </w:r>
          </w:p>
        </w:tc>
      </w:tr>
    </w:tbl>
    <w:p w14:paraId="57E6617A" w14:textId="77777777" w:rsidR="00C530A7" w:rsidRPr="00C530A7" w:rsidRDefault="00C530A7" w:rsidP="006965B0">
      <w:pPr>
        <w:suppressAutoHyphens/>
        <w:autoSpaceDE w:val="0"/>
        <w:autoSpaceDN w:val="0"/>
        <w:adjustRightInd w:val="0"/>
        <w:spacing w:after="0" w:line="240" w:lineRule="auto"/>
        <w:jc w:val="both"/>
        <w:rPr>
          <w:rFonts w:ascii="Cambria" w:hAnsi="Cambria"/>
          <w:color w:val="000000"/>
          <w:sz w:val="20"/>
          <w:szCs w:val="20"/>
        </w:rPr>
      </w:pPr>
    </w:p>
    <w:p w14:paraId="3C366800" w14:textId="77777777" w:rsidR="00C530A7" w:rsidRPr="00C530A7" w:rsidRDefault="00C530A7" w:rsidP="00C530A7">
      <w:pPr>
        <w:numPr>
          <w:ilvl w:val="0"/>
          <w:numId w:val="38"/>
        </w:numPr>
        <w:tabs>
          <w:tab w:val="left" w:pos="1440"/>
        </w:tabs>
        <w:suppressAutoHyphens/>
        <w:autoSpaceDE w:val="0"/>
        <w:autoSpaceDN w:val="0"/>
        <w:adjustRightInd w:val="0"/>
        <w:spacing w:after="0" w:line="240" w:lineRule="auto"/>
        <w:ind w:left="0" w:firstLine="709"/>
        <w:jc w:val="both"/>
        <w:rPr>
          <w:rFonts w:ascii="Cambria" w:hAnsi="Cambria"/>
          <w:color w:val="000000"/>
          <w:sz w:val="20"/>
          <w:szCs w:val="20"/>
        </w:rPr>
      </w:pPr>
      <w:r w:rsidRPr="00C530A7">
        <w:rPr>
          <w:rFonts w:ascii="Cambria" w:hAnsi="Cambria"/>
          <w:b/>
          <w:color w:val="000000"/>
          <w:sz w:val="20"/>
          <w:szCs w:val="20"/>
        </w:rPr>
        <w:t xml:space="preserve">LEVEL OF COMPLIANCE OF THE CASE </w:t>
      </w:r>
    </w:p>
    <w:p w14:paraId="0E40AA4F" w14:textId="77777777" w:rsidR="00C530A7" w:rsidRPr="00C530A7" w:rsidRDefault="00C530A7" w:rsidP="00C530A7">
      <w:pPr>
        <w:suppressAutoHyphens/>
        <w:autoSpaceDE w:val="0"/>
        <w:autoSpaceDN w:val="0"/>
        <w:adjustRightInd w:val="0"/>
        <w:spacing w:after="0" w:line="240" w:lineRule="auto"/>
        <w:ind w:firstLine="709"/>
        <w:jc w:val="both"/>
        <w:rPr>
          <w:rFonts w:ascii="Cambria" w:hAnsi="Cambria" w:cs="Calibri Light"/>
          <w:sz w:val="20"/>
          <w:szCs w:val="20"/>
        </w:rPr>
      </w:pPr>
      <w:r w:rsidRPr="00C530A7">
        <w:rPr>
          <w:rFonts w:ascii="Cambria" w:hAnsi="Cambria"/>
          <w:color w:val="FF0000"/>
          <w:sz w:val="20"/>
          <w:szCs w:val="20"/>
        </w:rPr>
        <w:t xml:space="preserve"> </w:t>
      </w:r>
    </w:p>
    <w:p w14:paraId="61D25829" w14:textId="3DB9E787" w:rsidR="00C530A7" w:rsidRPr="00C530A7" w:rsidRDefault="006965B0" w:rsidP="00C530A7">
      <w:pPr>
        <w:numPr>
          <w:ilvl w:val="0"/>
          <w:numId w:val="37"/>
        </w:numPr>
        <w:suppressAutoHyphens/>
        <w:spacing w:after="0" w:line="240" w:lineRule="auto"/>
        <w:ind w:left="0" w:firstLine="709"/>
        <w:jc w:val="both"/>
        <w:rPr>
          <w:rFonts w:ascii="Cambria" w:hAnsi="Cambria" w:cs="Calibri Light"/>
          <w:sz w:val="20"/>
          <w:szCs w:val="20"/>
        </w:rPr>
      </w:pPr>
      <w:r w:rsidRPr="00091458">
        <w:rPr>
          <w:rFonts w:ascii="Cambria" w:eastAsia="Batang" w:hAnsi="Cambria" w:cs="Calibri Light"/>
          <w:color w:val="000000"/>
          <w:sz w:val="20"/>
          <w:szCs w:val="20"/>
        </w:rPr>
        <w:t>The Commission declared full compliance with the case and the ceasing of the follow-up of the friendly settlement agreement in the 2024 Annual Report</w:t>
      </w:r>
      <w:r w:rsidR="00C530A7" w:rsidRPr="00C530A7">
        <w:rPr>
          <w:rFonts w:ascii="Cambria" w:hAnsi="Cambria"/>
          <w:sz w:val="20"/>
          <w:szCs w:val="20"/>
        </w:rPr>
        <w:t>.</w:t>
      </w:r>
    </w:p>
    <w:p w14:paraId="5D8D1753" w14:textId="77777777" w:rsidR="00C530A7" w:rsidRPr="00C530A7" w:rsidRDefault="00C530A7" w:rsidP="00C530A7">
      <w:pPr>
        <w:suppressAutoHyphens/>
        <w:autoSpaceDE w:val="0"/>
        <w:autoSpaceDN w:val="0"/>
        <w:adjustRightInd w:val="0"/>
        <w:spacing w:after="0" w:line="240" w:lineRule="auto"/>
        <w:ind w:firstLine="709"/>
        <w:jc w:val="both"/>
        <w:rPr>
          <w:rFonts w:ascii="Cambria" w:hAnsi="Cambria"/>
          <w:color w:val="000000"/>
          <w:sz w:val="20"/>
          <w:szCs w:val="20"/>
        </w:rPr>
      </w:pPr>
    </w:p>
    <w:p w14:paraId="08C4C3B7" w14:textId="77777777" w:rsidR="00C530A7" w:rsidRPr="00C530A7" w:rsidRDefault="00C530A7" w:rsidP="00C530A7">
      <w:pPr>
        <w:numPr>
          <w:ilvl w:val="0"/>
          <w:numId w:val="38"/>
        </w:numPr>
        <w:tabs>
          <w:tab w:val="left" w:pos="720"/>
          <w:tab w:val="left" w:pos="1440"/>
        </w:tabs>
        <w:suppressAutoHyphens/>
        <w:spacing w:after="0" w:line="240" w:lineRule="auto"/>
        <w:ind w:left="0" w:firstLine="709"/>
        <w:contextualSpacing/>
        <w:jc w:val="both"/>
        <w:rPr>
          <w:rFonts w:ascii="Cambria" w:hAnsi="Cambria" w:cs="Calibri Light"/>
          <w:b/>
          <w:color w:val="000000"/>
          <w:sz w:val="20"/>
          <w:szCs w:val="20"/>
        </w:rPr>
      </w:pPr>
      <w:r w:rsidRPr="00C530A7">
        <w:rPr>
          <w:rFonts w:ascii="Cambria" w:hAnsi="Cambria"/>
          <w:b/>
          <w:color w:val="000000"/>
          <w:sz w:val="20"/>
          <w:szCs w:val="20"/>
        </w:rPr>
        <w:t xml:space="preserve">INDIVIDUAL AND STRUCTURAL OUTCOMES OF THE CASE </w:t>
      </w:r>
    </w:p>
    <w:p w14:paraId="7F9500EB" w14:textId="77777777" w:rsidR="00C530A7" w:rsidRPr="00C530A7" w:rsidRDefault="00C530A7" w:rsidP="00C530A7">
      <w:pPr>
        <w:suppressAutoHyphens/>
        <w:spacing w:after="0" w:line="240" w:lineRule="auto"/>
        <w:ind w:firstLine="720"/>
        <w:contextualSpacing/>
        <w:jc w:val="both"/>
        <w:rPr>
          <w:rFonts w:ascii="Cambria" w:hAnsi="Cambria" w:cs="Calibri Light"/>
          <w:b/>
          <w:color w:val="000000"/>
          <w:sz w:val="20"/>
          <w:szCs w:val="20"/>
        </w:rPr>
      </w:pPr>
    </w:p>
    <w:p w14:paraId="1251357B" w14:textId="63A29839" w:rsidR="00C530A7" w:rsidRPr="00C530A7" w:rsidRDefault="00C530A7" w:rsidP="00C530A7">
      <w:pPr>
        <w:tabs>
          <w:tab w:val="left" w:pos="1440"/>
        </w:tabs>
        <w:suppressAutoHyphens/>
        <w:spacing w:after="0" w:line="240" w:lineRule="auto"/>
        <w:ind w:firstLine="720"/>
        <w:contextualSpacing/>
        <w:jc w:val="both"/>
        <w:rPr>
          <w:rFonts w:ascii="Cambria" w:hAnsi="Cambria" w:cs="Calibri Light"/>
          <w:b/>
          <w:color w:val="000000"/>
          <w:sz w:val="20"/>
          <w:szCs w:val="20"/>
        </w:rPr>
      </w:pPr>
      <w:r w:rsidRPr="00C530A7">
        <w:rPr>
          <w:rFonts w:ascii="Cambria" w:hAnsi="Cambria"/>
          <w:b/>
          <w:color w:val="000000"/>
          <w:sz w:val="20"/>
          <w:szCs w:val="20"/>
        </w:rPr>
        <w:t>A.</w:t>
      </w:r>
      <w:r w:rsidRPr="00C530A7">
        <w:rPr>
          <w:rFonts w:ascii="Cambria" w:hAnsi="Cambria"/>
          <w:sz w:val="20"/>
          <w:szCs w:val="20"/>
        </w:rPr>
        <w:tab/>
      </w:r>
      <w:r w:rsidRPr="00C530A7">
        <w:rPr>
          <w:rFonts w:ascii="Cambria" w:hAnsi="Cambria"/>
          <w:b/>
          <w:color w:val="000000"/>
          <w:sz w:val="20"/>
          <w:szCs w:val="20"/>
        </w:rPr>
        <w:t>Individual outcomes of the case</w:t>
      </w:r>
    </w:p>
    <w:p w14:paraId="507D57C5" w14:textId="77777777" w:rsidR="00C530A7" w:rsidRPr="00C530A7" w:rsidRDefault="00C530A7" w:rsidP="00C530A7">
      <w:pPr>
        <w:suppressAutoHyphens/>
        <w:spacing w:after="0" w:line="240" w:lineRule="auto"/>
        <w:ind w:firstLine="720"/>
        <w:contextualSpacing/>
        <w:jc w:val="both"/>
        <w:rPr>
          <w:rFonts w:ascii="Cambria" w:hAnsi="Cambria" w:cs="Calibri Light"/>
          <w:b/>
          <w:color w:val="000000"/>
          <w:sz w:val="20"/>
          <w:szCs w:val="20"/>
        </w:rPr>
      </w:pPr>
    </w:p>
    <w:p w14:paraId="739D0139" w14:textId="0877A397" w:rsidR="00C530A7" w:rsidRPr="00C530A7" w:rsidRDefault="00C530A7" w:rsidP="00C530A7">
      <w:pPr>
        <w:numPr>
          <w:ilvl w:val="0"/>
          <w:numId w:val="39"/>
        </w:numPr>
        <w:suppressAutoHyphens/>
        <w:spacing w:after="0" w:line="240" w:lineRule="auto"/>
        <w:ind w:left="1418" w:hanging="709"/>
        <w:contextualSpacing/>
        <w:jc w:val="both"/>
        <w:rPr>
          <w:rFonts w:ascii="Cambria" w:hAnsi="Cambria" w:cs="Calibri Light"/>
          <w:b/>
          <w:color w:val="000000"/>
          <w:sz w:val="20"/>
          <w:szCs w:val="20"/>
        </w:rPr>
      </w:pPr>
      <w:r w:rsidRPr="00C530A7">
        <w:rPr>
          <w:rFonts w:ascii="Cambria" w:hAnsi="Cambria"/>
          <w:color w:val="000000"/>
          <w:sz w:val="20"/>
          <w:szCs w:val="20"/>
        </w:rPr>
        <w:t>The State acknowledged its international responsibility for the deeds committed</w:t>
      </w:r>
      <w:r>
        <w:rPr>
          <w:rFonts w:ascii="Cambria" w:hAnsi="Cambria"/>
          <w:color w:val="000000"/>
          <w:sz w:val="20"/>
          <w:szCs w:val="20"/>
        </w:rPr>
        <w:t>.</w:t>
      </w:r>
    </w:p>
    <w:p w14:paraId="6944CDAF" w14:textId="77777777" w:rsidR="00C530A7" w:rsidRPr="00C530A7" w:rsidRDefault="00C530A7" w:rsidP="00C530A7">
      <w:pPr>
        <w:numPr>
          <w:ilvl w:val="0"/>
          <w:numId w:val="39"/>
        </w:numPr>
        <w:suppressAutoHyphens/>
        <w:spacing w:after="0" w:line="240" w:lineRule="auto"/>
        <w:ind w:left="1418" w:hanging="709"/>
        <w:contextualSpacing/>
        <w:jc w:val="both"/>
        <w:rPr>
          <w:rFonts w:ascii="Cambria" w:hAnsi="Cambria"/>
          <w:color w:val="000000"/>
          <w:sz w:val="20"/>
          <w:szCs w:val="20"/>
        </w:rPr>
      </w:pPr>
      <w:r w:rsidRPr="00C530A7">
        <w:rPr>
          <w:rFonts w:ascii="Cambria" w:hAnsi="Cambria"/>
          <w:color w:val="000000"/>
          <w:sz w:val="20"/>
          <w:szCs w:val="20"/>
        </w:rPr>
        <w:t>The State delivered a letter of apology to the next-of-kins of Isidoro León Ramírez Ciro, Pompilio de Jesús Cardona Escobar and Luis Fernando Velásquez Londoño.</w:t>
      </w:r>
    </w:p>
    <w:p w14:paraId="72628587" w14:textId="5639AFB8" w:rsidR="00F74974" w:rsidRPr="00C530A7" w:rsidRDefault="00C530A7" w:rsidP="00C530A7">
      <w:pPr>
        <w:numPr>
          <w:ilvl w:val="0"/>
          <w:numId w:val="39"/>
        </w:numPr>
        <w:suppressAutoHyphens/>
        <w:spacing w:after="0" w:line="240" w:lineRule="auto"/>
        <w:ind w:left="1418" w:hanging="709"/>
        <w:contextualSpacing/>
        <w:jc w:val="both"/>
        <w:rPr>
          <w:rFonts w:ascii="Cambria" w:hAnsi="Cambria" w:cs="Calibri Light"/>
          <w:bCs/>
          <w:color w:val="000000"/>
          <w:sz w:val="20"/>
          <w:szCs w:val="20"/>
        </w:rPr>
      </w:pPr>
      <w:r w:rsidRPr="00C530A7">
        <w:rPr>
          <w:rFonts w:ascii="Cambria" w:hAnsi="Cambria" w:cs="Calibri Light"/>
          <w:bCs/>
          <w:color w:val="000000"/>
          <w:sz w:val="20"/>
          <w:szCs w:val="20"/>
        </w:rPr>
        <w:t>Economic compensation was granted to two beneficiaries in the amount of COP $250,248,488.00, for moral damages and default interest.</w:t>
      </w:r>
    </w:p>
    <w:sectPr w:rsidR="00F74974" w:rsidRPr="00C530A7" w:rsidSect="008E42E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807AB" w14:textId="77777777" w:rsidR="00B51BCB" w:rsidRDefault="00B51BCB" w:rsidP="00A343FF">
      <w:pPr>
        <w:spacing w:after="0" w:line="240" w:lineRule="auto"/>
      </w:pPr>
      <w:r>
        <w:separator/>
      </w:r>
    </w:p>
  </w:endnote>
  <w:endnote w:type="continuationSeparator" w:id="0">
    <w:p w14:paraId="1EB68F0E" w14:textId="77777777" w:rsidR="00B51BCB" w:rsidRDefault="00B51BCB" w:rsidP="00A343FF">
      <w:pPr>
        <w:spacing w:after="0" w:line="240" w:lineRule="auto"/>
      </w:pPr>
      <w:r>
        <w:continuationSeparator/>
      </w:r>
    </w:p>
  </w:endnote>
  <w:endnote w:type="continuationNotice" w:id="1">
    <w:p w14:paraId="39B09218" w14:textId="77777777" w:rsidR="00B51BCB" w:rsidRDefault="00B51B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F7F56" w14:textId="77777777" w:rsidR="00F74974" w:rsidRDefault="00F74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7C8D" w14:textId="77777777" w:rsidR="00A61B5E" w:rsidRPr="00A61B5E" w:rsidRDefault="00A61B5E">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F74974">
      <w:rPr>
        <w:noProof/>
        <w:color w:val="404040"/>
        <w:sz w:val="16"/>
        <w:szCs w:val="16"/>
      </w:rPr>
      <w:t>2</w:t>
    </w:r>
    <w:r w:rsidRPr="00A61B5E">
      <w:rPr>
        <w:noProof/>
        <w:color w:val="404040"/>
        <w:sz w:val="16"/>
        <w:szCs w:val="16"/>
      </w:rPr>
      <w:fldChar w:fldCharType="end"/>
    </w:r>
  </w:p>
  <w:p w14:paraId="24CBDDDA" w14:textId="77777777" w:rsidR="00F66FEE" w:rsidRDefault="00F66FEE" w:rsidP="008550EF">
    <w:pPr>
      <w:pStyle w:val="Footer"/>
      <w:spacing w:line="360" w:lineRule="auto"/>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677C7" w14:textId="77777777" w:rsidR="008F2248" w:rsidRDefault="00930A2A" w:rsidP="008F2248">
    <w:pPr>
      <w:pStyle w:val="Footer"/>
      <w:spacing w:line="360" w:lineRule="auto"/>
    </w:pPr>
    <w:r>
      <w:rPr>
        <w:noProof/>
      </w:rPr>
      <w:pict w14:anchorId="413C72BF">
        <v:rect id="_x0000_i1027" alt="" style="width:441.9pt;height:.05pt;mso-width-percent:0;mso-height-percent:0;mso-width-percent:0;mso-height-percent:0" o:hralign="center" o:hrstd="t" o:hr="t" fillcolor="#a0a0a0" stroked="f"/>
      </w:pict>
    </w:r>
  </w:p>
  <w:p w14:paraId="36DDBAC6" w14:textId="77777777" w:rsidR="008F2248" w:rsidRDefault="009A73C0" w:rsidP="006E2BD8">
    <w:pPr>
      <w:pStyle w:val="Footer"/>
      <w:jc w:val="center"/>
    </w:pPr>
    <w:r>
      <w:rPr>
        <w:noProof/>
      </w:rPr>
      <w:drawing>
        <wp:inline distT="0" distB="0" distL="0" distR="0" wp14:anchorId="0865921E" wp14:editId="3BA32EF6">
          <wp:extent cx="5238750" cy="323850"/>
          <wp:effectExtent l="0" t="0" r="0" b="0"/>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0" cy="323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45028" w14:textId="77777777" w:rsidR="00B51BCB" w:rsidRDefault="00B51BCB" w:rsidP="00A343FF">
      <w:pPr>
        <w:spacing w:after="0" w:line="240" w:lineRule="auto"/>
      </w:pPr>
      <w:r>
        <w:separator/>
      </w:r>
    </w:p>
  </w:footnote>
  <w:footnote w:type="continuationSeparator" w:id="0">
    <w:p w14:paraId="7ABE49FB" w14:textId="77777777" w:rsidR="00B51BCB" w:rsidRDefault="00B51BCB" w:rsidP="00A343FF">
      <w:pPr>
        <w:spacing w:after="0" w:line="240" w:lineRule="auto"/>
      </w:pPr>
      <w:r>
        <w:continuationSeparator/>
      </w:r>
    </w:p>
  </w:footnote>
  <w:footnote w:type="continuationNotice" w:id="1">
    <w:p w14:paraId="520202BF" w14:textId="77777777" w:rsidR="00B51BCB" w:rsidRDefault="00B51BCB">
      <w:pPr>
        <w:spacing w:after="0" w:line="240" w:lineRule="auto"/>
      </w:pPr>
    </w:p>
  </w:footnote>
  <w:footnote w:id="2">
    <w:p w14:paraId="2B9161F8" w14:textId="554434AC" w:rsidR="00C530A7" w:rsidRPr="00F15522" w:rsidRDefault="00C530A7" w:rsidP="00C530A7">
      <w:pPr>
        <w:pStyle w:val="FootnoteText"/>
        <w:ind w:firstLine="709"/>
        <w:jc w:val="both"/>
        <w:rPr>
          <w:rFonts w:ascii="Cambria" w:hAnsi="Cambria"/>
          <w:sz w:val="16"/>
          <w:szCs w:val="16"/>
        </w:rPr>
      </w:pPr>
      <w:r w:rsidRPr="00F15522">
        <w:rPr>
          <w:rStyle w:val="FootnoteReference"/>
          <w:rFonts w:ascii="Cambria" w:hAnsi="Cambria"/>
          <w:sz w:val="16"/>
          <w:szCs w:val="16"/>
        </w:rPr>
        <w:footnoteRef/>
      </w:r>
      <w:r w:rsidRPr="00F15522">
        <w:rPr>
          <w:rFonts w:ascii="Cambria" w:hAnsi="Cambria"/>
          <w:sz w:val="16"/>
          <w:szCs w:val="16"/>
        </w:rPr>
        <w:t xml:space="preserve"> See IACHR, Annual Report 2024, Chapter II, Section C. Advances and challenges on negotiation and implementation of friendly settlements agreements. Available at: </w:t>
      </w:r>
      <w:hyperlink r:id="rId1" w:history="1">
        <w:r w:rsidRPr="00F15522">
          <w:rPr>
            <w:rStyle w:val="Hyperlink"/>
            <w:rFonts w:ascii="Cambria" w:hAnsi="Cambria"/>
            <w:sz w:val="16"/>
            <w:szCs w:val="16"/>
          </w:rPr>
          <w:t>https://www.oas.org/en/iachr/docs/annual/2024/chapters/IA2024_2_EN.PDF</w:t>
        </w:r>
      </w:hyperlink>
      <w:r w:rsidRPr="00F15522">
        <w:rPr>
          <w:rFonts w:ascii="Cambria" w:hAnsi="Cambria"/>
          <w:sz w:val="16"/>
          <w:szCs w:val="16"/>
        </w:rPr>
        <w:t xml:space="preserve">. </w:t>
      </w:r>
    </w:p>
  </w:footnote>
  <w:footnote w:id="3">
    <w:p w14:paraId="36AF8E13" w14:textId="5C170E2A" w:rsidR="00C530A7" w:rsidRPr="00F15522" w:rsidRDefault="00C530A7" w:rsidP="00C530A7">
      <w:pPr>
        <w:tabs>
          <w:tab w:val="left" w:pos="180"/>
          <w:tab w:val="left" w:pos="270"/>
          <w:tab w:val="left" w:pos="360"/>
        </w:tabs>
        <w:spacing w:after="0" w:line="240" w:lineRule="auto"/>
        <w:ind w:firstLine="709"/>
        <w:jc w:val="both"/>
        <w:rPr>
          <w:rFonts w:ascii="Cambria" w:hAnsi="Cambria"/>
          <w:sz w:val="16"/>
          <w:szCs w:val="16"/>
        </w:rPr>
      </w:pPr>
      <w:r w:rsidRPr="00F15522">
        <w:rPr>
          <w:rStyle w:val="FootnoteReference"/>
          <w:rFonts w:ascii="Cambria" w:hAnsi="Cambria"/>
          <w:sz w:val="16"/>
          <w:szCs w:val="16"/>
        </w:rPr>
        <w:footnoteRef/>
      </w:r>
      <w:r w:rsidRPr="00F15522">
        <w:rPr>
          <w:rFonts w:ascii="Cambria" w:hAnsi="Cambria"/>
          <w:sz w:val="16"/>
          <w:szCs w:val="16"/>
        </w:rPr>
        <w:t xml:space="preserve"> </w:t>
      </w:r>
      <w:r w:rsidRPr="00F15522">
        <w:rPr>
          <w:rFonts w:ascii="Cambria" w:hAnsi="Cambria"/>
          <w:color w:val="000000"/>
          <w:sz w:val="16"/>
          <w:szCs w:val="16"/>
        </w:rPr>
        <w:t xml:space="preserve">See IACHR, Annual Report 2019, Chapter II, Section G.  Friendly Settlements. Available at: </w:t>
      </w:r>
      <w:r w:rsidRPr="00F15522">
        <w:rPr>
          <w:rStyle w:val="Hyperlink"/>
          <w:rFonts w:ascii="Cambria" w:hAnsi="Cambria"/>
          <w:sz w:val="16"/>
          <w:szCs w:val="16"/>
        </w:rPr>
        <w:t>http://www.oas.org/en/iachr/docs/annual/2019/docs/IA2019cap2-en.pdf</w:t>
      </w:r>
      <w:r w:rsidR="006965B0" w:rsidRPr="00F15522">
        <w:rPr>
          <w:rStyle w:val="Hyperlink"/>
          <w:rFonts w:ascii="Cambria" w:hAnsi="Cambria"/>
          <w:sz w:val="16"/>
          <w:szCs w:val="16"/>
        </w:rPr>
        <w:t>.</w:t>
      </w:r>
    </w:p>
  </w:footnote>
  <w:footnote w:id="4">
    <w:p w14:paraId="4C98B869" w14:textId="40186EEF" w:rsidR="00C530A7" w:rsidRPr="00F15522" w:rsidRDefault="00C530A7" w:rsidP="00C530A7">
      <w:pPr>
        <w:pStyle w:val="FootnoteText"/>
        <w:ind w:firstLine="709"/>
        <w:jc w:val="both"/>
        <w:rPr>
          <w:rFonts w:ascii="Cambria" w:hAnsi="Cambria"/>
          <w:sz w:val="16"/>
          <w:szCs w:val="16"/>
        </w:rPr>
      </w:pPr>
      <w:r w:rsidRPr="00F15522">
        <w:rPr>
          <w:rStyle w:val="FootnoteReference"/>
          <w:rFonts w:ascii="Cambria" w:hAnsi="Cambria"/>
          <w:sz w:val="16"/>
          <w:szCs w:val="16"/>
        </w:rPr>
        <w:footnoteRef/>
      </w:r>
      <w:r w:rsidRPr="00F15522">
        <w:rPr>
          <w:rFonts w:ascii="Cambria" w:hAnsi="Cambria"/>
          <w:sz w:val="16"/>
          <w:szCs w:val="16"/>
        </w:rPr>
        <w:t xml:space="preserve"> See IACHR, Annual Report 2024, Chapter II, Section C. Advances and challenges on negotiation and implementation of friendly settlements agreements. Available at: </w:t>
      </w:r>
      <w:hyperlink r:id="rId2" w:history="1">
        <w:r w:rsidRPr="00F15522">
          <w:rPr>
            <w:rStyle w:val="Hyperlink"/>
            <w:rFonts w:ascii="Cambria" w:hAnsi="Cambria"/>
            <w:sz w:val="16"/>
            <w:szCs w:val="16"/>
          </w:rPr>
          <w:t>https://www.oas.org/en/iachr/docs/annual/2024/chapters/IA2024_2_EN.PDF</w:t>
        </w:r>
      </w:hyperlink>
      <w:r w:rsidRPr="00F15522">
        <w:rPr>
          <w:rFonts w:ascii="Cambria" w:hAnsi="Cambri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CD530" w14:textId="77777777" w:rsidR="00F74974" w:rsidRDefault="00F74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0B052" w14:textId="77777777" w:rsidR="00A343FF" w:rsidRDefault="009A73C0" w:rsidP="00DC7C8F">
    <w:pPr>
      <w:pStyle w:val="Header"/>
      <w:jc w:val="center"/>
    </w:pPr>
    <w:r>
      <w:rPr>
        <w:noProof/>
      </w:rPr>
      <w:drawing>
        <wp:inline distT="0" distB="0" distL="0" distR="0" wp14:anchorId="3DA1D74D" wp14:editId="04CD84E3">
          <wp:extent cx="2286000" cy="114300"/>
          <wp:effectExtent l="0" t="0" r="0" b="0"/>
          <wp:docPr id="1"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14300"/>
                  </a:xfrm>
                  <a:prstGeom prst="rect">
                    <a:avLst/>
                  </a:prstGeom>
                  <a:noFill/>
                  <a:ln>
                    <a:noFill/>
                  </a:ln>
                </pic:spPr>
              </pic:pic>
            </a:graphicData>
          </a:graphic>
        </wp:inline>
      </w:drawing>
    </w:r>
  </w:p>
  <w:p w14:paraId="5548F4C2" w14:textId="77777777" w:rsidR="00A343FF" w:rsidRDefault="00930A2A">
    <w:pPr>
      <w:pStyle w:val="Header"/>
    </w:pPr>
    <w:r>
      <w:rPr>
        <w:noProof/>
      </w:rPr>
      <w:pict w14:anchorId="5B6F98C2">
        <v:rect id="_x0000_i1025" alt="" style="width:441.9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56893" w14:textId="77777777" w:rsidR="00A61B5E" w:rsidRDefault="009A73C0" w:rsidP="00A61B5E">
    <w:pPr>
      <w:pStyle w:val="Header"/>
    </w:pPr>
    <w:r>
      <w:rPr>
        <w:noProof/>
      </w:rPr>
      <w:drawing>
        <wp:anchor distT="0" distB="0" distL="114300" distR="114300" simplePos="0" relativeHeight="251657216" behindDoc="1" locked="0" layoutInCell="1" allowOverlap="1" wp14:anchorId="49D89616" wp14:editId="1502AB67">
          <wp:simplePos x="0" y="0"/>
          <wp:positionH relativeFrom="column">
            <wp:posOffset>0</wp:posOffset>
          </wp:positionH>
          <wp:positionV relativeFrom="paragraph">
            <wp:posOffset>-28575</wp:posOffset>
          </wp:positionV>
          <wp:extent cx="2567940" cy="495300"/>
          <wp:effectExtent l="0" t="0" r="0" b="0"/>
          <wp:wrapThrough wrapText="bothSides">
            <wp:wrapPolygon edited="0">
              <wp:start x="0" y="0"/>
              <wp:lineTo x="0" y="21046"/>
              <wp:lineTo x="21472" y="21046"/>
              <wp:lineTo x="21472" y="0"/>
              <wp:lineTo x="0" y="0"/>
            </wp:wrapPolygon>
          </wp:wrapThrough>
          <wp:docPr id="885469928"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27646FE" wp14:editId="2E8E3712">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141" y="0"/>
              <wp:lineTo x="0" y="4397"/>
              <wp:lineTo x="0" y="14290"/>
              <wp:lineTo x="143" y="17588"/>
              <wp:lineTo x="998" y="20885"/>
              <wp:lineTo x="1141" y="20885"/>
              <wp:lineTo x="3850" y="20885"/>
              <wp:lineTo x="4135" y="20885"/>
              <wp:lineTo x="5133" y="17588"/>
              <wp:lineTo x="21529" y="17588"/>
              <wp:lineTo x="21529" y="11542"/>
              <wp:lineTo x="20388" y="8794"/>
              <wp:lineTo x="20673" y="4947"/>
              <wp:lineTo x="18820" y="3847"/>
              <wp:lineTo x="4135" y="0"/>
              <wp:lineTo x="1141" y="0"/>
            </wp:wrapPolygon>
          </wp:wrapThrough>
          <wp:docPr id="2"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B5E">
      <w:tab/>
    </w:r>
    <w:r w:rsidR="00A61B5E">
      <w:tab/>
    </w:r>
  </w:p>
  <w:p w14:paraId="6FE98F63" w14:textId="77777777" w:rsidR="00F53B51" w:rsidRDefault="00F53B51" w:rsidP="00A61B5E">
    <w:pPr>
      <w:pStyle w:val="Header"/>
    </w:pPr>
  </w:p>
  <w:p w14:paraId="6E2ECDCF" w14:textId="77777777" w:rsidR="00F53B51" w:rsidRDefault="00F53B51" w:rsidP="00A61B5E">
    <w:pPr>
      <w:pStyle w:val="Header"/>
    </w:pPr>
  </w:p>
  <w:p w14:paraId="149A805A" w14:textId="77777777" w:rsidR="00A61B5E" w:rsidRDefault="00930A2A" w:rsidP="00A61B5E">
    <w:pPr>
      <w:pStyle w:val="Header"/>
    </w:pPr>
    <w:r>
      <w:rPr>
        <w:noProof/>
      </w:rPr>
      <w:pict w14:anchorId="20E37B3E">
        <v:rect id="_x0000_i1026"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31EB2"/>
    <w:multiLevelType w:val="hybridMultilevel"/>
    <w:tmpl w:val="F2EE32A4"/>
    <w:lvl w:ilvl="0" w:tplc="78CEEF1C">
      <w:start w:val="1"/>
      <w:numFmt w:val="decimal"/>
      <w:lvlText w:val="%1."/>
      <w:lvlJc w:val="left"/>
      <w:pPr>
        <w:ind w:left="1080" w:hanging="360"/>
      </w:pPr>
      <w:rPr>
        <w:rFonts w:ascii="Cambria" w:hAnsi="Cambria" w:cs="Cambria" w:hint="default"/>
        <w:b w:val="0"/>
        <w:bCs w:val="0"/>
        <w:sz w:val="20"/>
        <w:szCs w:val="20"/>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2C0A000F">
      <w:start w:val="1"/>
      <w:numFmt w:val="decimal"/>
      <w:lvlText w:val="%4."/>
      <w:lvlJc w:val="left"/>
      <w:pPr>
        <w:ind w:left="3240" w:hanging="360"/>
      </w:p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2C0A000F">
      <w:start w:val="1"/>
      <w:numFmt w:val="decimal"/>
      <w:lvlText w:val="%7."/>
      <w:lvlJc w:val="left"/>
      <w:pPr>
        <w:ind w:left="5400" w:hanging="360"/>
      </w:p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1" w15:restartNumberingAfterBreak="0">
    <w:nsid w:val="14CB5C7B"/>
    <w:multiLevelType w:val="hybridMultilevel"/>
    <w:tmpl w:val="3CB0A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B3573"/>
    <w:multiLevelType w:val="hybridMultilevel"/>
    <w:tmpl w:val="98F21584"/>
    <w:lvl w:ilvl="0" w:tplc="080A000F">
      <w:start w:val="5"/>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5D4758"/>
    <w:multiLevelType w:val="hybridMultilevel"/>
    <w:tmpl w:val="0562B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03100"/>
    <w:multiLevelType w:val="hybridMultilevel"/>
    <w:tmpl w:val="F88EE254"/>
    <w:lvl w:ilvl="0" w:tplc="DABE6054">
      <w:start w:val="1"/>
      <w:numFmt w:val="decimal"/>
      <w:lvlText w:val="%1."/>
      <w:lvlJc w:val="left"/>
      <w:pPr>
        <w:ind w:left="720" w:hanging="360"/>
      </w:pPr>
    </w:lvl>
    <w:lvl w:ilvl="1" w:tplc="0C0A0019">
      <w:start w:val="1"/>
      <w:numFmt w:val="lowerLetter"/>
      <w:lvlText w:val="%2."/>
      <w:lvlJc w:val="left"/>
      <w:pPr>
        <w:ind w:left="1980" w:hanging="360"/>
      </w:pPr>
    </w:lvl>
    <w:lvl w:ilvl="2" w:tplc="0C0A001B">
      <w:start w:val="1"/>
      <w:numFmt w:val="lowerRoman"/>
      <w:lvlText w:val="%3."/>
      <w:lvlJc w:val="right"/>
      <w:pPr>
        <w:ind w:left="2700" w:hanging="180"/>
      </w:pPr>
    </w:lvl>
    <w:lvl w:ilvl="3" w:tplc="0C0A000F">
      <w:start w:val="1"/>
      <w:numFmt w:val="decimal"/>
      <w:lvlText w:val="%4."/>
      <w:lvlJc w:val="left"/>
      <w:pPr>
        <w:ind w:left="3420" w:hanging="360"/>
      </w:pPr>
    </w:lvl>
    <w:lvl w:ilvl="4" w:tplc="0C0A0019">
      <w:start w:val="1"/>
      <w:numFmt w:val="lowerLetter"/>
      <w:lvlText w:val="%5."/>
      <w:lvlJc w:val="left"/>
      <w:pPr>
        <w:ind w:left="4140" w:hanging="360"/>
      </w:pPr>
    </w:lvl>
    <w:lvl w:ilvl="5" w:tplc="0C0A001B">
      <w:start w:val="1"/>
      <w:numFmt w:val="lowerRoman"/>
      <w:lvlText w:val="%6."/>
      <w:lvlJc w:val="right"/>
      <w:pPr>
        <w:ind w:left="4860" w:hanging="180"/>
      </w:pPr>
    </w:lvl>
    <w:lvl w:ilvl="6" w:tplc="0C0A000F">
      <w:start w:val="1"/>
      <w:numFmt w:val="decimal"/>
      <w:lvlText w:val="%7."/>
      <w:lvlJc w:val="left"/>
      <w:pPr>
        <w:ind w:left="5580" w:hanging="360"/>
      </w:pPr>
    </w:lvl>
    <w:lvl w:ilvl="7" w:tplc="0C0A0019">
      <w:start w:val="1"/>
      <w:numFmt w:val="lowerLetter"/>
      <w:lvlText w:val="%8."/>
      <w:lvlJc w:val="left"/>
      <w:pPr>
        <w:ind w:left="6300" w:hanging="360"/>
      </w:pPr>
    </w:lvl>
    <w:lvl w:ilvl="8" w:tplc="0C0A001B">
      <w:start w:val="1"/>
      <w:numFmt w:val="lowerRoman"/>
      <w:lvlText w:val="%9."/>
      <w:lvlJc w:val="right"/>
      <w:pPr>
        <w:ind w:left="7020" w:hanging="180"/>
      </w:pPr>
    </w:lvl>
  </w:abstractNum>
  <w:abstractNum w:abstractNumId="5" w15:restartNumberingAfterBreak="0">
    <w:nsid w:val="1ACE7A24"/>
    <w:multiLevelType w:val="hybridMultilevel"/>
    <w:tmpl w:val="21843F30"/>
    <w:lvl w:ilvl="0" w:tplc="C15680D8">
      <w:start w:val="4"/>
      <w:numFmt w:val="decimal"/>
      <w:lvlText w:val="%1."/>
      <w:lvlJc w:val="left"/>
      <w:pPr>
        <w:ind w:left="1080" w:hanging="360"/>
      </w:pPr>
      <w:rPr>
        <w:rFonts w:ascii="Cambria" w:hAnsi="Cambria" w:cs="Cambria"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B7ACD"/>
    <w:multiLevelType w:val="hybridMultilevel"/>
    <w:tmpl w:val="A7B076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7753E"/>
    <w:multiLevelType w:val="hybridMultilevel"/>
    <w:tmpl w:val="60865F60"/>
    <w:lvl w:ilvl="0" w:tplc="080A0001">
      <w:start w:val="1"/>
      <w:numFmt w:val="bullet"/>
      <w:lvlText w:val=""/>
      <w:lvlJc w:val="left"/>
      <w:pPr>
        <w:ind w:left="1440" w:hanging="360"/>
      </w:pPr>
      <w:rPr>
        <w:rFonts w:ascii="Symbol" w:hAnsi="Symbol" w:cs="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cs="Wingdings" w:hint="default"/>
      </w:rPr>
    </w:lvl>
    <w:lvl w:ilvl="3" w:tplc="080A0001">
      <w:start w:val="1"/>
      <w:numFmt w:val="bullet"/>
      <w:lvlText w:val=""/>
      <w:lvlJc w:val="left"/>
      <w:pPr>
        <w:ind w:left="3600" w:hanging="360"/>
      </w:pPr>
      <w:rPr>
        <w:rFonts w:ascii="Symbol" w:hAnsi="Symbol" w:cs="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cs="Wingdings" w:hint="default"/>
      </w:rPr>
    </w:lvl>
    <w:lvl w:ilvl="6" w:tplc="080A0001">
      <w:start w:val="1"/>
      <w:numFmt w:val="bullet"/>
      <w:lvlText w:val=""/>
      <w:lvlJc w:val="left"/>
      <w:pPr>
        <w:ind w:left="5760" w:hanging="360"/>
      </w:pPr>
      <w:rPr>
        <w:rFonts w:ascii="Symbol" w:hAnsi="Symbol" w:cs="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cs="Wingdings" w:hint="default"/>
      </w:rPr>
    </w:lvl>
  </w:abstractNum>
  <w:abstractNum w:abstractNumId="9" w15:restartNumberingAfterBreak="0">
    <w:nsid w:val="26582976"/>
    <w:multiLevelType w:val="hybridMultilevel"/>
    <w:tmpl w:val="A204FA62"/>
    <w:lvl w:ilvl="0" w:tplc="474CA6B0">
      <w:start w:val="1"/>
      <w:numFmt w:val="upperRoman"/>
      <w:lvlText w:val="%1."/>
      <w:lvlJc w:val="left"/>
      <w:pPr>
        <w:ind w:left="1800" w:hanging="72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D55483B"/>
    <w:multiLevelType w:val="hybridMultilevel"/>
    <w:tmpl w:val="6E0AE690"/>
    <w:lvl w:ilvl="0" w:tplc="6B1221EE">
      <w:start w:val="7"/>
      <w:numFmt w:val="decimal"/>
      <w:lvlText w:val="%1."/>
      <w:lvlJc w:val="left"/>
      <w:pPr>
        <w:ind w:left="1080" w:hanging="360"/>
      </w:pPr>
      <w:rPr>
        <w:rFonts w:ascii="Cambria" w:hAnsi="Cambria" w:cs="Cambria"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092331"/>
    <w:multiLevelType w:val="hybridMultilevel"/>
    <w:tmpl w:val="EE8E5C28"/>
    <w:lvl w:ilvl="0" w:tplc="9712026A">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0C20BE"/>
    <w:multiLevelType w:val="hybridMultilevel"/>
    <w:tmpl w:val="E67EED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086371B"/>
    <w:multiLevelType w:val="hybridMultilevel"/>
    <w:tmpl w:val="FE5010DE"/>
    <w:lvl w:ilvl="0" w:tplc="90E2B7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0D220D"/>
    <w:multiLevelType w:val="hybridMultilevel"/>
    <w:tmpl w:val="B07AD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8816C6"/>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246356"/>
    <w:multiLevelType w:val="hybridMultilevel"/>
    <w:tmpl w:val="C832D3B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522C6C"/>
    <w:multiLevelType w:val="hybridMultilevel"/>
    <w:tmpl w:val="7F046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EC3815"/>
    <w:multiLevelType w:val="hybridMultilevel"/>
    <w:tmpl w:val="6348609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840792F"/>
    <w:multiLevelType w:val="hybridMultilevel"/>
    <w:tmpl w:val="5F5CAB6E"/>
    <w:lvl w:ilvl="0" w:tplc="4086A9CA">
      <w:numFmt w:val="bullet"/>
      <w:lvlText w:val="-"/>
      <w:lvlJc w:val="left"/>
      <w:pPr>
        <w:ind w:left="720" w:hanging="360"/>
      </w:pPr>
      <w:rPr>
        <w:rFonts w:ascii="Cambria" w:eastAsia="Calibri" w:hAnsi="Cambri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D40730"/>
    <w:multiLevelType w:val="hybridMultilevel"/>
    <w:tmpl w:val="80C2E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957859"/>
    <w:multiLevelType w:val="hybridMultilevel"/>
    <w:tmpl w:val="2ED4D6D8"/>
    <w:lvl w:ilvl="0" w:tplc="52144A84">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191C38"/>
    <w:multiLevelType w:val="hybridMultilevel"/>
    <w:tmpl w:val="9F1EC0FE"/>
    <w:lvl w:ilvl="0" w:tplc="845897D0">
      <w:start w:val="1"/>
      <w:numFmt w:val="decimal"/>
      <w:lvlText w:val="%1."/>
      <w:lvlJc w:val="left"/>
      <w:pPr>
        <w:ind w:left="720" w:hanging="360"/>
      </w:pPr>
      <w:rPr>
        <w:rFonts w:hint="default"/>
        <w:b w:val="0"/>
        <w:i w:val="0"/>
      </w:rPr>
    </w:lvl>
    <w:lvl w:ilvl="1" w:tplc="298AE862">
      <w:numFmt w:val="bullet"/>
      <w:lvlText w:val="-"/>
      <w:lvlJc w:val="left"/>
      <w:pPr>
        <w:ind w:left="1440" w:hanging="360"/>
      </w:pPr>
      <w:rPr>
        <w:rFonts w:ascii="Cambria" w:eastAsia="MS Mincho" w:hAnsi="Cambria"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1B5598"/>
    <w:multiLevelType w:val="hybridMultilevel"/>
    <w:tmpl w:val="829614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712C71"/>
    <w:multiLevelType w:val="hybridMultilevel"/>
    <w:tmpl w:val="598268C2"/>
    <w:lvl w:ilvl="0" w:tplc="D95091A6">
      <w:start w:val="3"/>
      <w:numFmt w:val="decimal"/>
      <w:lvlText w:val="%1."/>
      <w:lvlJc w:val="left"/>
      <w:pPr>
        <w:ind w:left="720" w:hanging="360"/>
      </w:pPr>
      <w:rPr>
        <w:rFonts w:ascii="Cambria" w:hAnsi="Cambria" w:cs="Cambria" w:hint="default"/>
        <w:b w:val="0"/>
        <w:bCs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4712EBB"/>
    <w:multiLevelType w:val="hybridMultilevel"/>
    <w:tmpl w:val="F23ECB98"/>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559A457C"/>
    <w:multiLevelType w:val="hybridMultilevel"/>
    <w:tmpl w:val="2AD22794"/>
    <w:lvl w:ilvl="0" w:tplc="BC2696BC">
      <w:start w:val="1"/>
      <w:numFmt w:val="upperRoman"/>
      <w:lvlText w:val="%1."/>
      <w:lvlJc w:val="left"/>
      <w:pPr>
        <w:ind w:left="144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6AF402B"/>
    <w:multiLevelType w:val="hybridMultilevel"/>
    <w:tmpl w:val="C8840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773E5A"/>
    <w:multiLevelType w:val="hybridMultilevel"/>
    <w:tmpl w:val="E9C83F88"/>
    <w:lvl w:ilvl="0" w:tplc="080A000F">
      <w:start w:val="5"/>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0DE6D06"/>
    <w:multiLevelType w:val="hybridMultilevel"/>
    <w:tmpl w:val="F5F41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6F1327"/>
    <w:multiLevelType w:val="hybridMultilevel"/>
    <w:tmpl w:val="58CCEF62"/>
    <w:lvl w:ilvl="0" w:tplc="3BB85CCE">
      <w:start w:val="1"/>
      <w:numFmt w:val="upperRoman"/>
      <w:lvlText w:val="%1."/>
      <w:lvlJc w:val="left"/>
      <w:pPr>
        <w:ind w:left="1800" w:hanging="72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62D00078"/>
    <w:multiLevelType w:val="hybridMultilevel"/>
    <w:tmpl w:val="3ADEB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D301AD"/>
    <w:multiLevelType w:val="hybridMultilevel"/>
    <w:tmpl w:val="16225D3E"/>
    <w:lvl w:ilvl="0" w:tplc="ADD442F4">
      <w:start w:val="2"/>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41424F1"/>
    <w:multiLevelType w:val="hybridMultilevel"/>
    <w:tmpl w:val="9884AD90"/>
    <w:lvl w:ilvl="0" w:tplc="04090015">
      <w:start w:val="9"/>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4654F51"/>
    <w:multiLevelType w:val="hybridMultilevel"/>
    <w:tmpl w:val="736EC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576EC8"/>
    <w:multiLevelType w:val="hybridMultilevel"/>
    <w:tmpl w:val="C832D3B2"/>
    <w:lvl w:ilvl="0" w:tplc="83B059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921A3E"/>
    <w:multiLevelType w:val="hybridMultilevel"/>
    <w:tmpl w:val="0A6AE3E8"/>
    <w:lvl w:ilvl="0" w:tplc="F1726806">
      <w:start w:val="2"/>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0773AA"/>
    <w:multiLevelType w:val="hybridMultilevel"/>
    <w:tmpl w:val="2AD22794"/>
    <w:lvl w:ilvl="0" w:tplc="BC2696BC">
      <w:start w:val="1"/>
      <w:numFmt w:val="upperRoman"/>
      <w:lvlText w:val="%1."/>
      <w:lvlJc w:val="left"/>
      <w:pPr>
        <w:ind w:left="144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8E2692"/>
    <w:multiLevelType w:val="hybridMultilevel"/>
    <w:tmpl w:val="4D7CE0A8"/>
    <w:lvl w:ilvl="0" w:tplc="4686E8BE">
      <w:start w:val="1"/>
      <w:numFmt w:val="upperRoman"/>
      <w:lvlText w:val="%1."/>
      <w:lvlJc w:val="left"/>
      <w:pPr>
        <w:ind w:left="1800" w:hanging="72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71F50A04"/>
    <w:multiLevelType w:val="hybridMultilevel"/>
    <w:tmpl w:val="6C1E1AC4"/>
    <w:lvl w:ilvl="0" w:tplc="080A000F">
      <w:start w:val="5"/>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91C7AFA"/>
    <w:multiLevelType w:val="hybridMultilevel"/>
    <w:tmpl w:val="A0E854F6"/>
    <w:lvl w:ilvl="0" w:tplc="ECE480EA">
      <w:start w:val="1"/>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DC41D44"/>
    <w:multiLevelType w:val="hybridMultilevel"/>
    <w:tmpl w:val="826289F6"/>
    <w:lvl w:ilvl="0" w:tplc="83E6A654">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516721">
    <w:abstractNumId w:val="36"/>
  </w:num>
  <w:num w:numId="2" w16cid:durableId="386493659">
    <w:abstractNumId w:val="27"/>
  </w:num>
  <w:num w:numId="3" w16cid:durableId="1073046593">
    <w:abstractNumId w:val="20"/>
  </w:num>
  <w:num w:numId="4" w16cid:durableId="665286190">
    <w:abstractNumId w:val="26"/>
  </w:num>
  <w:num w:numId="5" w16cid:durableId="890190884">
    <w:abstractNumId w:val="19"/>
  </w:num>
  <w:num w:numId="6" w16cid:durableId="1269696070">
    <w:abstractNumId w:val="17"/>
  </w:num>
  <w:num w:numId="7" w16cid:durableId="369956807">
    <w:abstractNumId w:val="34"/>
  </w:num>
  <w:num w:numId="8" w16cid:durableId="1461067811">
    <w:abstractNumId w:val="29"/>
  </w:num>
  <w:num w:numId="9" w16cid:durableId="1469392667">
    <w:abstractNumId w:val="37"/>
  </w:num>
  <w:num w:numId="10" w16cid:durableId="126054260">
    <w:abstractNumId w:val="1"/>
  </w:num>
  <w:num w:numId="11" w16cid:durableId="14933726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0625847">
    <w:abstractNumId w:val="7"/>
  </w:num>
  <w:num w:numId="13" w16cid:durableId="888763914">
    <w:abstractNumId w:val="15"/>
  </w:num>
  <w:num w:numId="14" w16cid:durableId="1191532033">
    <w:abstractNumId w:val="0"/>
  </w:num>
  <w:num w:numId="15" w16cid:durableId="2065325609">
    <w:abstractNumId w:val="8"/>
  </w:num>
  <w:num w:numId="16" w16cid:durableId="203366524">
    <w:abstractNumId w:val="33"/>
  </w:num>
  <w:num w:numId="17" w16cid:durableId="1994485589">
    <w:abstractNumId w:val="32"/>
  </w:num>
  <w:num w:numId="18" w16cid:durableId="593170908">
    <w:abstractNumId w:val="12"/>
  </w:num>
  <w:num w:numId="19" w16cid:durableId="1387949599">
    <w:abstractNumId w:val="25"/>
  </w:num>
  <w:num w:numId="20" w16cid:durableId="2114475546">
    <w:abstractNumId w:val="23"/>
  </w:num>
  <w:num w:numId="21" w16cid:durableId="1129208414">
    <w:abstractNumId w:val="5"/>
  </w:num>
  <w:num w:numId="22" w16cid:durableId="54397452">
    <w:abstractNumId w:val="10"/>
  </w:num>
  <w:num w:numId="23" w16cid:durableId="2113012360">
    <w:abstractNumId w:val="24"/>
  </w:num>
  <w:num w:numId="24" w16cid:durableId="1256785358">
    <w:abstractNumId w:val="14"/>
  </w:num>
  <w:num w:numId="25" w16cid:durableId="621379413">
    <w:abstractNumId w:val="30"/>
  </w:num>
  <w:num w:numId="26" w16cid:durableId="977150517">
    <w:abstractNumId w:val="18"/>
  </w:num>
  <w:num w:numId="27" w16cid:durableId="328752619">
    <w:abstractNumId w:val="21"/>
  </w:num>
  <w:num w:numId="28" w16cid:durableId="189227929">
    <w:abstractNumId w:val="39"/>
  </w:num>
  <w:num w:numId="29" w16cid:durableId="1831368133">
    <w:abstractNumId w:val="38"/>
  </w:num>
  <w:num w:numId="30" w16cid:durableId="1716999929">
    <w:abstractNumId w:val="16"/>
  </w:num>
  <w:num w:numId="31" w16cid:durableId="1063480400">
    <w:abstractNumId w:val="11"/>
  </w:num>
  <w:num w:numId="32" w16cid:durableId="1943146568">
    <w:abstractNumId w:val="2"/>
  </w:num>
  <w:num w:numId="33" w16cid:durableId="1476990475">
    <w:abstractNumId w:val="9"/>
  </w:num>
  <w:num w:numId="34" w16cid:durableId="1228420666">
    <w:abstractNumId w:val="35"/>
  </w:num>
  <w:num w:numId="35" w16cid:durableId="7492617">
    <w:abstractNumId w:val="41"/>
  </w:num>
  <w:num w:numId="36" w16cid:durableId="308216504">
    <w:abstractNumId w:val="28"/>
  </w:num>
  <w:num w:numId="37" w16cid:durableId="17895376">
    <w:abstractNumId w:val="22"/>
  </w:num>
  <w:num w:numId="38" w16cid:durableId="1143236458">
    <w:abstractNumId w:val="40"/>
  </w:num>
  <w:num w:numId="39" w16cid:durableId="2049062223">
    <w:abstractNumId w:val="6"/>
  </w:num>
  <w:num w:numId="40" w16cid:durableId="1848934085">
    <w:abstractNumId w:val="13"/>
  </w:num>
  <w:num w:numId="41" w16cid:durableId="640380668">
    <w:abstractNumId w:val="31"/>
  </w:num>
  <w:num w:numId="42" w16cid:durableId="415826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47B56"/>
    <w:rsid w:val="0006625E"/>
    <w:rsid w:val="00086009"/>
    <w:rsid w:val="00092EFD"/>
    <w:rsid w:val="00096079"/>
    <w:rsid w:val="000E14E3"/>
    <w:rsid w:val="0012586C"/>
    <w:rsid w:val="0014555C"/>
    <w:rsid w:val="00150E20"/>
    <w:rsid w:val="00193906"/>
    <w:rsid w:val="0021669C"/>
    <w:rsid w:val="00226F48"/>
    <w:rsid w:val="002319CE"/>
    <w:rsid w:val="00236A78"/>
    <w:rsid w:val="00240E8E"/>
    <w:rsid w:val="002650A2"/>
    <w:rsid w:val="00283964"/>
    <w:rsid w:val="002859A9"/>
    <w:rsid w:val="00292B52"/>
    <w:rsid w:val="00294B17"/>
    <w:rsid w:val="002A39B2"/>
    <w:rsid w:val="002F2DC7"/>
    <w:rsid w:val="00343CED"/>
    <w:rsid w:val="00393310"/>
    <w:rsid w:val="003C4836"/>
    <w:rsid w:val="003D2D55"/>
    <w:rsid w:val="003F2DDA"/>
    <w:rsid w:val="00400A82"/>
    <w:rsid w:val="00413FCD"/>
    <w:rsid w:val="004140B8"/>
    <w:rsid w:val="00457711"/>
    <w:rsid w:val="0047146A"/>
    <w:rsid w:val="004722BC"/>
    <w:rsid w:val="00486911"/>
    <w:rsid w:val="004939B6"/>
    <w:rsid w:val="004B3074"/>
    <w:rsid w:val="00506CFE"/>
    <w:rsid w:val="00513A38"/>
    <w:rsid w:val="00533294"/>
    <w:rsid w:val="00534F2B"/>
    <w:rsid w:val="005566F5"/>
    <w:rsid w:val="005A328E"/>
    <w:rsid w:val="005A5E14"/>
    <w:rsid w:val="005B3C19"/>
    <w:rsid w:val="005B6392"/>
    <w:rsid w:val="005C3542"/>
    <w:rsid w:val="005F4AAA"/>
    <w:rsid w:val="0060012C"/>
    <w:rsid w:val="00604132"/>
    <w:rsid w:val="00607CC7"/>
    <w:rsid w:val="0063220A"/>
    <w:rsid w:val="00687213"/>
    <w:rsid w:val="006965B0"/>
    <w:rsid w:val="006A25F7"/>
    <w:rsid w:val="006B6131"/>
    <w:rsid w:val="006E2BD8"/>
    <w:rsid w:val="006F0429"/>
    <w:rsid w:val="00754FFD"/>
    <w:rsid w:val="0076604D"/>
    <w:rsid w:val="00774F86"/>
    <w:rsid w:val="007A485F"/>
    <w:rsid w:val="007B0327"/>
    <w:rsid w:val="007B5729"/>
    <w:rsid w:val="007C2CC3"/>
    <w:rsid w:val="007C351D"/>
    <w:rsid w:val="007C3E98"/>
    <w:rsid w:val="007E361B"/>
    <w:rsid w:val="007F5F4E"/>
    <w:rsid w:val="0080119C"/>
    <w:rsid w:val="00807BAA"/>
    <w:rsid w:val="008550EF"/>
    <w:rsid w:val="008A7933"/>
    <w:rsid w:val="008E42E1"/>
    <w:rsid w:val="008F2248"/>
    <w:rsid w:val="00901B37"/>
    <w:rsid w:val="00913220"/>
    <w:rsid w:val="00920591"/>
    <w:rsid w:val="00930A2A"/>
    <w:rsid w:val="00967413"/>
    <w:rsid w:val="009949ED"/>
    <w:rsid w:val="009A73C0"/>
    <w:rsid w:val="009B219C"/>
    <w:rsid w:val="009C227B"/>
    <w:rsid w:val="009C4D87"/>
    <w:rsid w:val="009E73F0"/>
    <w:rsid w:val="009F3EF3"/>
    <w:rsid w:val="00A10941"/>
    <w:rsid w:val="00A2502C"/>
    <w:rsid w:val="00A25CA7"/>
    <w:rsid w:val="00A31FA7"/>
    <w:rsid w:val="00A343FF"/>
    <w:rsid w:val="00A61B5E"/>
    <w:rsid w:val="00A7781B"/>
    <w:rsid w:val="00A94641"/>
    <w:rsid w:val="00AE1B0F"/>
    <w:rsid w:val="00B056D9"/>
    <w:rsid w:val="00B205A7"/>
    <w:rsid w:val="00B51BCB"/>
    <w:rsid w:val="00B806AC"/>
    <w:rsid w:val="00B93993"/>
    <w:rsid w:val="00BA2B9F"/>
    <w:rsid w:val="00BA7724"/>
    <w:rsid w:val="00BB46E5"/>
    <w:rsid w:val="00C17F04"/>
    <w:rsid w:val="00C402CB"/>
    <w:rsid w:val="00C44D28"/>
    <w:rsid w:val="00C530A7"/>
    <w:rsid w:val="00C57947"/>
    <w:rsid w:val="00C71434"/>
    <w:rsid w:val="00CB6344"/>
    <w:rsid w:val="00CC6DB2"/>
    <w:rsid w:val="00CD545A"/>
    <w:rsid w:val="00CE4E6F"/>
    <w:rsid w:val="00CF54E1"/>
    <w:rsid w:val="00D05BCC"/>
    <w:rsid w:val="00D2459E"/>
    <w:rsid w:val="00D24A05"/>
    <w:rsid w:val="00D52BED"/>
    <w:rsid w:val="00D90D22"/>
    <w:rsid w:val="00DC5A37"/>
    <w:rsid w:val="00DC7C8F"/>
    <w:rsid w:val="00DD1591"/>
    <w:rsid w:val="00DD5475"/>
    <w:rsid w:val="00DE14B5"/>
    <w:rsid w:val="00DF0FE5"/>
    <w:rsid w:val="00E3040C"/>
    <w:rsid w:val="00E44647"/>
    <w:rsid w:val="00E50AF7"/>
    <w:rsid w:val="00E6614F"/>
    <w:rsid w:val="00EA09D8"/>
    <w:rsid w:val="00EB0395"/>
    <w:rsid w:val="00EB2DCD"/>
    <w:rsid w:val="00F15522"/>
    <w:rsid w:val="00F306C1"/>
    <w:rsid w:val="00F36C7F"/>
    <w:rsid w:val="00F53B51"/>
    <w:rsid w:val="00F54F60"/>
    <w:rsid w:val="00F66FEE"/>
    <w:rsid w:val="00F74974"/>
    <w:rsid w:val="00FC66C2"/>
    <w:rsid w:val="00FD3451"/>
    <w:rsid w:val="00FD65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5C9D1"/>
  <w15:chartTrackingRefBased/>
  <w15:docId w15:val="{B4EA294D-61C5-2E46-8C7B-6F882B6D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semiHidden/>
    <w:unhideWhenUsed/>
    <w:rsid w:val="0047146A"/>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DD15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1591"/>
    <w:rPr>
      <w:lang w:val="en-US" w:eastAsia="en-US"/>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nhideWhenUsed/>
    <w:qFormat/>
    <w:rsid w:val="00DD1591"/>
    <w:rPr>
      <w:vertAlign w:val="superscript"/>
    </w:rPr>
  </w:style>
  <w:style w:type="paragraph" w:customStyle="1" w:styleId="Appelnotedebasde">
    <w:name w:val="Appel note de bas de..."/>
    <w:basedOn w:val="Normal"/>
    <w:link w:val="FootnoteReference"/>
    <w:rsid w:val="00DD1591"/>
    <w:pPr>
      <w:spacing w:after="160" w:line="240" w:lineRule="exact"/>
    </w:pPr>
    <w:rPr>
      <w:sz w:val="20"/>
      <w:szCs w:val="20"/>
      <w:vertAlign w:val="superscript"/>
      <w:lang w:val="es-MX" w:eastAsia="es-MX"/>
    </w:rPr>
  </w:style>
  <w:style w:type="paragraph" w:styleId="ListParagraph">
    <w:name w:val="List Paragraph"/>
    <w:basedOn w:val="Normal"/>
    <w:uiPriority w:val="34"/>
    <w:qFormat/>
    <w:rsid w:val="00DD1591"/>
    <w:pPr>
      <w:ind w:left="720"/>
      <w:contextualSpacing/>
    </w:pPr>
  </w:style>
  <w:style w:type="character" w:styleId="Hyperlink">
    <w:name w:val="Hyperlink"/>
    <w:basedOn w:val="DefaultParagraphFont"/>
    <w:uiPriority w:val="99"/>
    <w:unhideWhenUsed/>
    <w:rsid w:val="00920591"/>
    <w:rPr>
      <w:color w:val="467886" w:themeColor="hyperlink"/>
      <w:u w:val="single"/>
    </w:rPr>
  </w:style>
  <w:style w:type="character" w:styleId="UnresolvedMention">
    <w:name w:val="Unresolved Mention"/>
    <w:basedOn w:val="DefaultParagraphFont"/>
    <w:uiPriority w:val="99"/>
    <w:semiHidden/>
    <w:unhideWhenUsed/>
    <w:rsid w:val="00920591"/>
    <w:rPr>
      <w:color w:val="605E5C"/>
      <w:shd w:val="clear" w:color="auto" w:fill="E1DFDD"/>
    </w:rPr>
  </w:style>
  <w:style w:type="character" w:styleId="CommentReference">
    <w:name w:val="annotation reference"/>
    <w:basedOn w:val="DefaultParagraphFont"/>
    <w:uiPriority w:val="99"/>
    <w:semiHidden/>
    <w:unhideWhenUsed/>
    <w:rsid w:val="00FD3451"/>
    <w:rPr>
      <w:sz w:val="16"/>
      <w:szCs w:val="16"/>
    </w:rPr>
  </w:style>
  <w:style w:type="paragraph" w:styleId="CommentText">
    <w:name w:val="annotation text"/>
    <w:basedOn w:val="Normal"/>
    <w:link w:val="CommentTextChar"/>
    <w:uiPriority w:val="99"/>
    <w:semiHidden/>
    <w:unhideWhenUsed/>
    <w:rsid w:val="00FD3451"/>
    <w:pPr>
      <w:spacing w:line="240" w:lineRule="auto"/>
    </w:pPr>
    <w:rPr>
      <w:sz w:val="20"/>
      <w:szCs w:val="20"/>
    </w:rPr>
  </w:style>
  <w:style w:type="character" w:customStyle="1" w:styleId="CommentTextChar">
    <w:name w:val="Comment Text Char"/>
    <w:basedOn w:val="DefaultParagraphFont"/>
    <w:link w:val="CommentText"/>
    <w:uiPriority w:val="99"/>
    <w:semiHidden/>
    <w:rsid w:val="00FD3451"/>
    <w:rPr>
      <w:lang w:val="en-US" w:eastAsia="en-US"/>
    </w:rPr>
  </w:style>
  <w:style w:type="paragraph" w:styleId="CommentSubject">
    <w:name w:val="annotation subject"/>
    <w:basedOn w:val="CommentText"/>
    <w:next w:val="CommentText"/>
    <w:link w:val="CommentSubjectChar"/>
    <w:uiPriority w:val="99"/>
    <w:semiHidden/>
    <w:unhideWhenUsed/>
    <w:rsid w:val="00FD3451"/>
    <w:rPr>
      <w:b/>
      <w:bCs/>
    </w:rPr>
  </w:style>
  <w:style w:type="character" w:customStyle="1" w:styleId="CommentSubjectChar">
    <w:name w:val="Comment Subject Char"/>
    <w:basedOn w:val="CommentTextChar"/>
    <w:link w:val="CommentSubject"/>
    <w:uiPriority w:val="99"/>
    <w:semiHidden/>
    <w:rsid w:val="00FD345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as.org/en/iachr/decisions/2018/COSA799-06EN.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oas.org/en/iachr/decisions/2018/COSA799-06EN.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s://www.oas.org/en/iachr/docs/annual/2024/chapters/IA2024_2_EN.PDF" TargetMode="External"/><Relationship Id="rId1" Type="http://schemas.openxmlformats.org/officeDocument/2006/relationships/hyperlink" Target="https://www.oas.org/en/iachr/docs/annual/2024/chapters/IA2024_2_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00D9A7D-3F87-214A-B521-385E0A630F07}">
  <ds:schemaRefs>
    <ds:schemaRef ds:uri="http://schemas.openxmlformats.org/officeDocument/2006/bibliography"/>
  </ds:schemaRefs>
</ds:datastoreItem>
</file>

<file path=customXml/itemProps2.xml><?xml version="1.0" encoding="utf-8"?>
<ds:datastoreItem xmlns:ds="http://schemas.openxmlformats.org/officeDocument/2006/customXml" ds:itemID="{17D7219C-6771-4D05-A151-FA8803AC9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0A2D28-5FAE-4C93-A166-435BBB1CA95B}">
  <ds:schemaRefs>
    <ds:schemaRef ds:uri="http://schemas.microsoft.com/sharepoint/v3/contenttype/forms"/>
  </ds:schemaRefs>
</ds:datastoreItem>
</file>

<file path=customXml/itemProps4.xml><?xml version="1.0" encoding="utf-8"?>
<ds:datastoreItem xmlns:ds="http://schemas.openxmlformats.org/officeDocument/2006/customXml" ds:itemID="{0BACFA19-3160-4579-AECE-597C0192578B}">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5.xml><?xml version="1.0" encoding="utf-8"?>
<ds:datastoreItem xmlns:ds="http://schemas.openxmlformats.org/officeDocument/2006/customXml" ds:itemID="{2C534A0D-18CE-4362-9E26-A3C7BFDE772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Cartas-es.dotx</Template>
  <TotalTime>3</TotalTime>
  <Pages>3</Pages>
  <Words>1011</Words>
  <Characters>5769</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Seminario, Javier</cp:lastModifiedBy>
  <cp:revision>4</cp:revision>
  <cp:lastPrinted>2025-08-26T18:25:00Z</cp:lastPrinted>
  <dcterms:created xsi:type="dcterms:W3CDTF">2025-07-25T17:55:00Z</dcterms:created>
  <dcterms:modified xsi:type="dcterms:W3CDTF">2025-08-26T18:25:00Z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Montero, Erika</vt:lpwstr>
  </property>
  <property fmtid="{D5CDD505-2E9C-101B-9397-08002B2CF9AE}" pid="3" name="Order">
    <vt:lpwstr>73400.0000000000</vt:lpwstr>
  </property>
  <property fmtid="{D5CDD505-2E9C-101B-9397-08002B2CF9AE}" pid="4" name="display_urn:schemas-microsoft-com:office:office#Author">
    <vt:lpwstr>Montero, Erika</vt:lpwstr>
  </property>
  <property fmtid="{D5CDD505-2E9C-101B-9397-08002B2CF9AE}" pid="5" name="ContentTypeId">
    <vt:lpwstr>0x010100D589DCDDB8A16B44BDC2A7128ECAC845</vt:lpwstr>
  </property>
</Properties>
</file>