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27BB" w14:textId="77777777" w:rsidR="00DD1591" w:rsidRPr="009B72D0" w:rsidRDefault="00DD1591" w:rsidP="009B72D0">
      <w:pPr>
        <w:suppressAutoHyphens/>
        <w:spacing w:after="0" w:line="240" w:lineRule="auto"/>
        <w:ind w:right="4"/>
        <w:rPr>
          <w:rFonts w:ascii="Cambria" w:eastAsia="Batang" w:hAnsi="Cambria"/>
          <w:b/>
          <w:bCs/>
          <w:color w:val="000000"/>
          <w:sz w:val="24"/>
        </w:rPr>
      </w:pPr>
    </w:p>
    <w:p w14:paraId="63C6CC88" w14:textId="6343F2F5" w:rsidR="00457711" w:rsidRPr="009B72D0" w:rsidRDefault="00457711" w:rsidP="009B72D0">
      <w:pPr>
        <w:suppressAutoHyphens/>
        <w:spacing w:after="0" w:line="240" w:lineRule="auto"/>
        <w:ind w:right="4"/>
        <w:jc w:val="center"/>
        <w:rPr>
          <w:rFonts w:ascii="Cambria" w:eastAsia="Batang" w:hAnsi="Cambria"/>
          <w:b/>
          <w:bCs/>
          <w:color w:val="000000"/>
          <w:sz w:val="24"/>
        </w:rPr>
      </w:pPr>
      <w:r w:rsidRPr="009B72D0">
        <w:rPr>
          <w:rFonts w:ascii="Cambria" w:eastAsia="Batang" w:hAnsi="Cambria"/>
          <w:b/>
          <w:bCs/>
          <w:color w:val="000000"/>
          <w:sz w:val="24"/>
        </w:rPr>
        <w:t>TECHNICAL INFORMATION SHEET</w:t>
      </w:r>
    </w:p>
    <w:p w14:paraId="10162700" w14:textId="67583629" w:rsidR="009B72D0" w:rsidRPr="009B72D0" w:rsidRDefault="009B72D0" w:rsidP="009B72D0">
      <w:pPr>
        <w:suppressAutoHyphens/>
        <w:spacing w:after="0" w:line="240" w:lineRule="auto"/>
        <w:ind w:right="4"/>
        <w:jc w:val="center"/>
        <w:rPr>
          <w:rFonts w:ascii="Cambria" w:hAnsi="Cambria"/>
          <w:b/>
          <w:color w:val="000000"/>
          <w:sz w:val="24"/>
        </w:rPr>
      </w:pPr>
      <w:r w:rsidRPr="009B72D0">
        <w:rPr>
          <w:rFonts w:ascii="Cambria" w:hAnsi="Cambria"/>
          <w:b/>
          <w:color w:val="000000"/>
          <w:sz w:val="24"/>
        </w:rPr>
        <w:t>CASE 12.732 RICHARD CONRAD SOLÓRZANO CONTRERAS</w:t>
      </w:r>
    </w:p>
    <w:p w14:paraId="486FDFC3" w14:textId="359385E2" w:rsidR="00DD1591" w:rsidRPr="009B72D0" w:rsidRDefault="00DD1591" w:rsidP="009B72D0">
      <w:pPr>
        <w:suppressAutoHyphens/>
        <w:spacing w:after="0" w:line="240" w:lineRule="auto"/>
        <w:ind w:right="4"/>
        <w:jc w:val="center"/>
        <w:rPr>
          <w:rFonts w:ascii="Cambria" w:eastAsia="Batang" w:hAnsi="Cambria"/>
          <w:b/>
          <w:bCs/>
          <w:color w:val="000000"/>
          <w:sz w:val="24"/>
        </w:rPr>
      </w:pPr>
      <w:r w:rsidRPr="009B72D0">
        <w:rPr>
          <w:rFonts w:ascii="Cambria" w:eastAsia="Batang" w:hAnsi="Cambria"/>
          <w:b/>
          <w:bCs/>
          <w:color w:val="000000"/>
          <w:sz w:val="24"/>
        </w:rPr>
        <w:t xml:space="preserve">FRIENDLY SETTLEMENT </w:t>
      </w:r>
      <w:r w:rsidR="002F2DC7" w:rsidRPr="009B72D0">
        <w:rPr>
          <w:rFonts w:ascii="Cambria" w:eastAsia="Batang" w:hAnsi="Cambria"/>
          <w:b/>
          <w:bCs/>
          <w:color w:val="000000"/>
          <w:sz w:val="24"/>
        </w:rPr>
        <w:t>REPORT</w:t>
      </w:r>
      <w:r w:rsidR="009B72D0" w:rsidRPr="009B72D0">
        <w:rPr>
          <w:rFonts w:ascii="Cambria" w:eastAsia="Batang" w:hAnsi="Cambria"/>
          <w:b/>
          <w:bCs/>
          <w:color w:val="000000"/>
          <w:sz w:val="24"/>
        </w:rPr>
        <w:t xml:space="preserve"> </w:t>
      </w:r>
      <w:hyperlink r:id="rId12" w:history="1">
        <w:r w:rsidR="009B72D0" w:rsidRPr="009B72D0">
          <w:rPr>
            <w:rStyle w:val="Hyperlink"/>
            <w:rFonts w:ascii="Cambria" w:eastAsia="Batang" w:hAnsi="Cambria"/>
            <w:b/>
            <w:bCs/>
            <w:sz w:val="24"/>
          </w:rPr>
          <w:t>No. 86/20</w:t>
        </w:r>
      </w:hyperlink>
    </w:p>
    <w:p w14:paraId="2B66417A" w14:textId="5CD0615A" w:rsidR="00457711" w:rsidRPr="009B72D0" w:rsidRDefault="009B72D0" w:rsidP="009B72D0">
      <w:pPr>
        <w:suppressAutoHyphens/>
        <w:spacing w:after="0" w:line="240" w:lineRule="auto"/>
        <w:ind w:right="4"/>
        <w:jc w:val="center"/>
        <w:rPr>
          <w:rFonts w:ascii="Cambria" w:eastAsia="Batang" w:hAnsi="Cambria"/>
          <w:b/>
          <w:color w:val="000000"/>
          <w:sz w:val="24"/>
          <w:lang w:val="pt-BR"/>
        </w:rPr>
      </w:pPr>
      <w:r w:rsidRPr="009B72D0">
        <w:rPr>
          <w:rFonts w:ascii="Cambria" w:eastAsia="Batang" w:hAnsi="Cambria"/>
          <w:b/>
          <w:bCs/>
          <w:color w:val="000000"/>
          <w:sz w:val="24"/>
        </w:rPr>
        <w:t>PARTIAL</w:t>
      </w:r>
      <w:r w:rsidR="002F2DC7" w:rsidRPr="009B72D0">
        <w:rPr>
          <w:rFonts w:ascii="Cambria" w:eastAsia="Batang" w:hAnsi="Cambria"/>
          <w:b/>
          <w:bCs/>
          <w:color w:val="000000"/>
          <w:sz w:val="24"/>
        </w:rPr>
        <w:t xml:space="preserve"> COMPLIANCE</w:t>
      </w:r>
    </w:p>
    <w:p w14:paraId="0CDE4D15" w14:textId="00CA8358" w:rsidR="00DD1591" w:rsidRPr="009B72D0" w:rsidRDefault="00DD1591" w:rsidP="009B72D0">
      <w:pPr>
        <w:suppressAutoHyphens/>
        <w:spacing w:after="0" w:line="240" w:lineRule="auto"/>
        <w:ind w:right="4"/>
        <w:jc w:val="center"/>
        <w:rPr>
          <w:rFonts w:ascii="Cambria" w:eastAsia="Batang" w:hAnsi="Cambria"/>
          <w:b/>
          <w:color w:val="000000"/>
          <w:sz w:val="24"/>
        </w:rPr>
      </w:pPr>
      <w:r w:rsidRPr="009B72D0">
        <w:rPr>
          <w:rFonts w:ascii="Cambria" w:eastAsia="Batang" w:hAnsi="Cambria"/>
          <w:b/>
          <w:bCs/>
          <w:color w:val="000000"/>
          <w:sz w:val="24"/>
        </w:rPr>
        <w:t>(</w:t>
      </w:r>
      <w:r w:rsidR="009B72D0" w:rsidRPr="009B72D0">
        <w:rPr>
          <w:rFonts w:ascii="Cambria" w:eastAsia="Batang" w:hAnsi="Cambria"/>
          <w:b/>
          <w:bCs/>
          <w:color w:val="000000"/>
          <w:sz w:val="24"/>
        </w:rPr>
        <w:t>GUATEMALA</w:t>
      </w:r>
      <w:r w:rsidRPr="009B72D0">
        <w:rPr>
          <w:rFonts w:ascii="Cambria" w:eastAsia="Batang" w:hAnsi="Cambria"/>
          <w:b/>
          <w:bCs/>
          <w:color w:val="000000"/>
          <w:sz w:val="24"/>
        </w:rPr>
        <w:t>)</w:t>
      </w:r>
    </w:p>
    <w:p w14:paraId="6D701224" w14:textId="77777777" w:rsidR="009B72D0" w:rsidRPr="009B72D0" w:rsidRDefault="009B72D0" w:rsidP="009B72D0">
      <w:pPr>
        <w:suppressAutoHyphens/>
        <w:spacing w:after="0" w:line="240" w:lineRule="auto"/>
        <w:ind w:right="-270"/>
        <w:jc w:val="center"/>
        <w:rPr>
          <w:rFonts w:ascii="Cambria" w:eastAsia="Batang" w:hAnsi="Cambria" w:cs="Calibri"/>
          <w:b/>
          <w:bCs/>
          <w:color w:val="000000"/>
          <w:sz w:val="20"/>
          <w:szCs w:val="20"/>
        </w:rPr>
      </w:pPr>
    </w:p>
    <w:p w14:paraId="7F74D6C6" w14:textId="77777777" w:rsidR="009B72D0" w:rsidRPr="009B72D0" w:rsidRDefault="009B72D0" w:rsidP="009B72D0">
      <w:pPr>
        <w:numPr>
          <w:ilvl w:val="0"/>
          <w:numId w:val="61"/>
        </w:numPr>
        <w:suppressAutoHyphens/>
        <w:spacing w:after="0" w:line="240" w:lineRule="auto"/>
        <w:ind w:left="0" w:firstLine="720"/>
        <w:rPr>
          <w:rFonts w:ascii="Cambria" w:eastAsia="Batang" w:hAnsi="Cambria" w:cs="Calibri"/>
          <w:b/>
          <w:bCs/>
          <w:color w:val="000000"/>
          <w:sz w:val="20"/>
          <w:szCs w:val="20"/>
        </w:rPr>
      </w:pPr>
      <w:r w:rsidRPr="009B72D0">
        <w:rPr>
          <w:rFonts w:ascii="Cambria" w:hAnsi="Cambria" w:cs="Calibri"/>
          <w:b/>
          <w:bCs/>
          <w:color w:val="000000"/>
          <w:sz w:val="20"/>
          <w:szCs w:val="20"/>
        </w:rPr>
        <w:t>SUMMARY OF THE CASE</w:t>
      </w:r>
    </w:p>
    <w:p w14:paraId="4060791E" w14:textId="77777777" w:rsidR="009B72D0" w:rsidRPr="009B72D0" w:rsidRDefault="009B72D0" w:rsidP="009B72D0">
      <w:pPr>
        <w:suppressAutoHyphens/>
        <w:spacing w:after="0" w:line="240" w:lineRule="auto"/>
        <w:rPr>
          <w:rFonts w:ascii="Cambria" w:eastAsia="Batang" w:hAnsi="Cambria" w:cs="Calibri"/>
          <w:b/>
          <w:bCs/>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9B72D0" w:rsidRPr="009B72D0" w14:paraId="15A4E403" w14:textId="77777777" w:rsidTr="00BC046E">
        <w:trPr>
          <w:trHeight w:val="5003"/>
          <w:jc w:val="center"/>
        </w:trPr>
        <w:tc>
          <w:tcPr>
            <w:tcW w:w="9576" w:type="dxa"/>
            <w:shd w:val="clear" w:color="auto" w:fill="F2F2F2"/>
          </w:tcPr>
          <w:p w14:paraId="5013523C" w14:textId="77777777" w:rsidR="009B72D0" w:rsidRPr="009B72D0" w:rsidRDefault="009B72D0" w:rsidP="009B72D0">
            <w:pPr>
              <w:tabs>
                <w:tab w:val="left" w:pos="9270"/>
              </w:tabs>
              <w:suppressAutoHyphens/>
              <w:spacing w:after="0" w:line="240" w:lineRule="auto"/>
              <w:jc w:val="both"/>
              <w:rPr>
                <w:rFonts w:ascii="Cambria" w:eastAsia="Batang" w:hAnsi="Cambria" w:cs="Cambria"/>
                <w:color w:val="000000"/>
                <w:sz w:val="20"/>
                <w:szCs w:val="20"/>
              </w:rPr>
            </w:pPr>
            <w:r w:rsidRPr="009B72D0">
              <w:rPr>
                <w:rFonts w:ascii="Cambria" w:hAnsi="Cambria" w:cs="Calibri"/>
                <w:b/>
                <w:bCs/>
                <w:color w:val="000000"/>
                <w:sz w:val="20"/>
                <w:szCs w:val="20"/>
              </w:rPr>
              <w:t>Victim(s):</w:t>
            </w:r>
            <w:r w:rsidRPr="009B72D0">
              <w:rPr>
                <w:rFonts w:ascii="Cambria" w:hAnsi="Cambria" w:cs="Calibri"/>
                <w:color w:val="000000"/>
                <w:sz w:val="20"/>
                <w:szCs w:val="20"/>
              </w:rPr>
              <w:t xml:space="preserve"> Richard Conrad Solórzano Contreras</w:t>
            </w:r>
          </w:p>
          <w:p w14:paraId="10469593" w14:textId="77777777" w:rsidR="009B72D0" w:rsidRPr="009B72D0" w:rsidRDefault="009B72D0" w:rsidP="009B72D0">
            <w:pPr>
              <w:tabs>
                <w:tab w:val="left" w:pos="9270"/>
              </w:tabs>
              <w:suppressAutoHyphens/>
              <w:spacing w:after="0" w:line="240" w:lineRule="auto"/>
              <w:jc w:val="both"/>
              <w:rPr>
                <w:rFonts w:ascii="Cambria" w:eastAsia="Batang" w:hAnsi="Cambria" w:cs="Calibri"/>
                <w:color w:val="000000"/>
                <w:sz w:val="20"/>
                <w:szCs w:val="20"/>
              </w:rPr>
            </w:pPr>
            <w:r w:rsidRPr="009B72D0">
              <w:rPr>
                <w:rFonts w:ascii="Cambria" w:hAnsi="Cambria" w:cs="Calibri"/>
                <w:b/>
                <w:bCs/>
                <w:color w:val="000000"/>
                <w:sz w:val="20"/>
                <w:szCs w:val="20"/>
              </w:rPr>
              <w:t xml:space="preserve">Petitioner(s): </w:t>
            </w:r>
            <w:r w:rsidRPr="009B72D0">
              <w:rPr>
                <w:rFonts w:ascii="Cambria" w:hAnsi="Cambria" w:cs="Calibri"/>
                <w:color w:val="000000"/>
                <w:sz w:val="20"/>
                <w:szCs w:val="20"/>
              </w:rPr>
              <w:t>Mario Conrado Solórzano Puac</w:t>
            </w:r>
          </w:p>
          <w:p w14:paraId="7EE4F0B4" w14:textId="77777777" w:rsidR="009B72D0" w:rsidRPr="009B72D0" w:rsidRDefault="009B72D0" w:rsidP="009B72D0">
            <w:pPr>
              <w:tabs>
                <w:tab w:val="left" w:pos="9270"/>
              </w:tabs>
              <w:suppressAutoHyphens/>
              <w:spacing w:after="0" w:line="240" w:lineRule="auto"/>
              <w:jc w:val="both"/>
              <w:rPr>
                <w:rFonts w:ascii="Cambria" w:eastAsia="Batang" w:hAnsi="Cambria" w:cs="Cambria"/>
                <w:color w:val="000000"/>
                <w:sz w:val="20"/>
                <w:szCs w:val="20"/>
              </w:rPr>
            </w:pPr>
            <w:r w:rsidRPr="009B72D0">
              <w:rPr>
                <w:rFonts w:ascii="Cambria" w:hAnsi="Cambria" w:cs="Calibri"/>
                <w:b/>
                <w:bCs/>
                <w:color w:val="000000"/>
                <w:sz w:val="20"/>
                <w:szCs w:val="20"/>
              </w:rPr>
              <w:t>State:</w:t>
            </w:r>
            <w:r w:rsidRPr="009B72D0">
              <w:rPr>
                <w:rFonts w:ascii="Cambria" w:hAnsi="Cambria" w:cs="Calibri"/>
                <w:color w:val="000000"/>
                <w:sz w:val="20"/>
                <w:szCs w:val="20"/>
              </w:rPr>
              <w:t xml:space="preserve"> Guatemala.</w:t>
            </w:r>
          </w:p>
          <w:p w14:paraId="2FF33475" w14:textId="563C9787" w:rsidR="009B72D0" w:rsidRPr="009B72D0" w:rsidRDefault="009B72D0" w:rsidP="009B72D0">
            <w:pPr>
              <w:tabs>
                <w:tab w:val="left" w:pos="9270"/>
              </w:tabs>
              <w:suppressAutoHyphens/>
              <w:spacing w:after="0" w:line="240" w:lineRule="auto"/>
              <w:jc w:val="both"/>
              <w:rPr>
                <w:rFonts w:ascii="Cambria" w:eastAsia="Batang" w:hAnsi="Cambria" w:cs="Calibri"/>
                <w:color w:val="000000"/>
                <w:sz w:val="20"/>
                <w:szCs w:val="20"/>
              </w:rPr>
            </w:pPr>
            <w:r w:rsidRPr="009B72D0">
              <w:rPr>
                <w:rFonts w:ascii="Cambria" w:hAnsi="Cambria" w:cs="Calibri"/>
                <w:b/>
                <w:bCs/>
                <w:color w:val="000000"/>
                <w:sz w:val="20"/>
                <w:szCs w:val="20"/>
              </w:rPr>
              <w:t xml:space="preserve">Start of negotiations: </w:t>
            </w:r>
            <w:r w:rsidRPr="009B72D0">
              <w:rPr>
                <w:rFonts w:ascii="Cambria" w:hAnsi="Cambria" w:cs="Calibri"/>
                <w:color w:val="000000"/>
                <w:sz w:val="20"/>
                <w:szCs w:val="20"/>
              </w:rPr>
              <w:t>N/</w:t>
            </w:r>
            <w:r>
              <w:rPr>
                <w:rFonts w:ascii="Cambria" w:hAnsi="Cambria" w:cs="Calibri"/>
                <w:color w:val="000000"/>
                <w:sz w:val="20"/>
                <w:szCs w:val="20"/>
              </w:rPr>
              <w:t>A</w:t>
            </w:r>
          </w:p>
          <w:p w14:paraId="20304B24" w14:textId="6378BD7F" w:rsidR="009B72D0" w:rsidRPr="009B72D0" w:rsidRDefault="009B72D0" w:rsidP="009B72D0">
            <w:pPr>
              <w:tabs>
                <w:tab w:val="left" w:pos="9270"/>
              </w:tabs>
              <w:suppressAutoHyphens/>
              <w:spacing w:after="0" w:line="240" w:lineRule="auto"/>
              <w:jc w:val="both"/>
              <w:rPr>
                <w:rFonts w:ascii="Cambria" w:hAnsi="Cambria" w:cs="Cambria"/>
                <w:color w:val="000000"/>
                <w:sz w:val="20"/>
                <w:szCs w:val="20"/>
              </w:rPr>
            </w:pPr>
            <w:r w:rsidRPr="009B72D0">
              <w:rPr>
                <w:rFonts w:ascii="Cambria" w:hAnsi="Cambria" w:cs="Calibri"/>
                <w:b/>
                <w:bCs/>
                <w:color w:val="000000"/>
                <w:sz w:val="20"/>
                <w:szCs w:val="20"/>
              </w:rPr>
              <w:t xml:space="preserve">Date FSA Signed: </w:t>
            </w:r>
            <w:r>
              <w:rPr>
                <w:rFonts w:ascii="Cambria" w:hAnsi="Cambria" w:cs="Calibri"/>
                <w:color w:val="000000"/>
                <w:sz w:val="20"/>
                <w:szCs w:val="20"/>
              </w:rPr>
              <w:t>December</w:t>
            </w:r>
            <w:r w:rsidRPr="009B72D0">
              <w:rPr>
                <w:rFonts w:ascii="Cambria" w:hAnsi="Cambria" w:cs="Calibri"/>
                <w:color w:val="000000"/>
                <w:sz w:val="20"/>
                <w:szCs w:val="20"/>
              </w:rPr>
              <w:t xml:space="preserve"> 17, 2011</w:t>
            </w:r>
          </w:p>
          <w:p w14:paraId="77BF675C" w14:textId="782D63EF" w:rsidR="009B72D0" w:rsidRPr="009B72D0" w:rsidRDefault="009B72D0" w:rsidP="009B72D0">
            <w:pPr>
              <w:suppressAutoHyphens/>
              <w:spacing w:after="0" w:line="240" w:lineRule="auto"/>
              <w:rPr>
                <w:rFonts w:ascii="Cambria" w:hAnsi="Cambria" w:cs="Cambria"/>
                <w:b/>
                <w:bCs/>
                <w:sz w:val="20"/>
                <w:szCs w:val="20"/>
              </w:rPr>
            </w:pPr>
            <w:r w:rsidRPr="009B72D0">
              <w:rPr>
                <w:rFonts w:ascii="Cambria" w:hAnsi="Cambria" w:cs="Calibri"/>
                <w:b/>
                <w:bCs/>
                <w:sz w:val="20"/>
                <w:szCs w:val="20"/>
              </w:rPr>
              <w:t xml:space="preserve">Admissibility Report No.: </w:t>
            </w:r>
            <w:hyperlink r:id="rId13" w:history="1">
              <w:r w:rsidRPr="009B72D0">
                <w:rPr>
                  <w:rStyle w:val="Hyperlink"/>
                  <w:rFonts w:ascii="Cambria" w:hAnsi="Cambria" w:cs="Calibri"/>
                  <w:b/>
                  <w:bCs/>
                  <w:sz w:val="20"/>
                  <w:szCs w:val="20"/>
                </w:rPr>
                <w:t>103/09</w:t>
              </w:r>
            </w:hyperlink>
            <w:r w:rsidRPr="009B72D0">
              <w:rPr>
                <w:rFonts w:ascii="Cambria" w:hAnsi="Cambria" w:cs="Calibri"/>
                <w:color w:val="000000"/>
                <w:sz w:val="20"/>
                <w:szCs w:val="20"/>
              </w:rPr>
              <w:t>, published on October 29, 2009</w:t>
            </w:r>
          </w:p>
          <w:p w14:paraId="04ED38F9" w14:textId="72F5D3D8" w:rsidR="009B72D0" w:rsidRPr="009B72D0" w:rsidRDefault="009B72D0" w:rsidP="009B72D0">
            <w:pPr>
              <w:tabs>
                <w:tab w:val="left" w:pos="9270"/>
              </w:tabs>
              <w:suppressAutoHyphens/>
              <w:spacing w:after="0" w:line="240" w:lineRule="auto"/>
              <w:jc w:val="both"/>
              <w:rPr>
                <w:rFonts w:ascii="Cambria" w:eastAsia="Batang" w:hAnsi="Cambria" w:cs="Calibri"/>
                <w:b/>
                <w:bCs/>
                <w:color w:val="000000"/>
                <w:sz w:val="20"/>
                <w:szCs w:val="20"/>
              </w:rPr>
            </w:pPr>
            <w:r w:rsidRPr="009B72D0">
              <w:rPr>
                <w:rFonts w:ascii="Cambria" w:hAnsi="Cambria" w:cs="Calibri"/>
                <w:b/>
                <w:bCs/>
                <w:color w:val="000000"/>
                <w:sz w:val="20"/>
                <w:szCs w:val="20"/>
              </w:rPr>
              <w:t>Report on Friendly Settlement Agreement No.</w:t>
            </w:r>
            <w:r w:rsidRPr="009B72D0">
              <w:rPr>
                <w:rFonts w:ascii="Cambria" w:hAnsi="Cambria" w:cs="Calibri"/>
                <w:color w:val="000000"/>
                <w:sz w:val="20"/>
                <w:szCs w:val="20"/>
              </w:rPr>
              <w:t xml:space="preserve"> </w:t>
            </w:r>
            <w:hyperlink r:id="rId14" w:history="1">
              <w:r w:rsidRPr="009B72D0">
                <w:rPr>
                  <w:rStyle w:val="Hyperlink"/>
                  <w:rFonts w:ascii="Cambria" w:hAnsi="Cambria" w:cs="Calibri"/>
                  <w:b/>
                  <w:bCs/>
                  <w:sz w:val="20"/>
                  <w:szCs w:val="20"/>
                </w:rPr>
                <w:t>86/20,</w:t>
              </w:r>
            </w:hyperlink>
            <w:r w:rsidRPr="009B72D0">
              <w:rPr>
                <w:rFonts w:ascii="Cambria" w:hAnsi="Cambria" w:cs="Calibri"/>
                <w:color w:val="000000"/>
                <w:sz w:val="20"/>
                <w:szCs w:val="20"/>
              </w:rPr>
              <w:t xml:space="preserve"> published on June 1, 2020</w:t>
            </w:r>
          </w:p>
          <w:p w14:paraId="1BAF6860" w14:textId="77777777" w:rsidR="009B72D0" w:rsidRPr="009B72D0" w:rsidRDefault="009B72D0" w:rsidP="009B72D0">
            <w:pPr>
              <w:tabs>
                <w:tab w:val="left" w:pos="9270"/>
              </w:tabs>
              <w:suppressAutoHyphens/>
              <w:spacing w:after="0" w:line="240" w:lineRule="auto"/>
              <w:jc w:val="both"/>
              <w:rPr>
                <w:rFonts w:ascii="Cambria" w:hAnsi="Cambria" w:cs="Cambria"/>
                <w:color w:val="000000"/>
                <w:sz w:val="20"/>
                <w:szCs w:val="20"/>
              </w:rPr>
            </w:pPr>
            <w:r w:rsidRPr="009B72D0">
              <w:rPr>
                <w:rFonts w:ascii="Cambria" w:hAnsi="Cambria" w:cs="Calibri"/>
                <w:b/>
                <w:bCs/>
                <w:color w:val="000000"/>
                <w:sz w:val="20"/>
                <w:szCs w:val="20"/>
              </w:rPr>
              <w:t xml:space="preserve">Estimated duration of the negotiation phase: </w:t>
            </w:r>
            <w:r w:rsidRPr="009B72D0">
              <w:rPr>
                <w:rFonts w:ascii="Cambria" w:hAnsi="Cambria" w:cs="Calibri"/>
                <w:color w:val="000000"/>
                <w:sz w:val="20"/>
                <w:szCs w:val="20"/>
              </w:rPr>
              <w:t>8 years, 6 months</w:t>
            </w:r>
          </w:p>
          <w:p w14:paraId="3343DC07" w14:textId="5C482C9A" w:rsidR="009B72D0" w:rsidRPr="009B72D0" w:rsidRDefault="009B72D0" w:rsidP="009B72D0">
            <w:pPr>
              <w:tabs>
                <w:tab w:val="left" w:pos="9270"/>
              </w:tabs>
              <w:suppressAutoHyphens/>
              <w:spacing w:after="0" w:line="240" w:lineRule="auto"/>
              <w:jc w:val="both"/>
              <w:rPr>
                <w:rFonts w:ascii="Cambria" w:eastAsia="Batang" w:hAnsi="Cambria" w:cs="Cambria"/>
                <w:color w:val="000000"/>
                <w:sz w:val="20"/>
                <w:szCs w:val="20"/>
              </w:rPr>
            </w:pPr>
            <w:r w:rsidRPr="009B72D0">
              <w:rPr>
                <w:rFonts w:ascii="Cambria" w:hAnsi="Cambria" w:cs="Calibri"/>
                <w:b/>
                <w:bCs/>
                <w:color w:val="000000"/>
                <w:sz w:val="20"/>
                <w:szCs w:val="20"/>
              </w:rPr>
              <w:t xml:space="preserve">Associated </w:t>
            </w:r>
            <w:r w:rsidR="00730A61" w:rsidRPr="009B72D0">
              <w:rPr>
                <w:rFonts w:ascii="Cambria" w:hAnsi="Cambria" w:cs="Calibri"/>
                <w:b/>
                <w:bCs/>
                <w:color w:val="000000"/>
                <w:sz w:val="20"/>
                <w:szCs w:val="20"/>
              </w:rPr>
              <w:t>Rapporteurship</w:t>
            </w:r>
            <w:r w:rsidRPr="009B72D0">
              <w:rPr>
                <w:rFonts w:ascii="Cambria" w:hAnsi="Cambria" w:cs="Calibri"/>
                <w:b/>
                <w:bCs/>
                <w:color w:val="000000"/>
                <w:sz w:val="20"/>
                <w:szCs w:val="20"/>
              </w:rPr>
              <w:t>:</w:t>
            </w:r>
            <w:r w:rsidRPr="009B72D0">
              <w:rPr>
                <w:rFonts w:ascii="Cambria" w:hAnsi="Cambria" w:cs="Calibri"/>
                <w:color w:val="000000"/>
                <w:sz w:val="20"/>
                <w:szCs w:val="20"/>
              </w:rPr>
              <w:t xml:space="preserve"> Rights of the Child</w:t>
            </w:r>
          </w:p>
          <w:p w14:paraId="4D5CD860" w14:textId="77777777" w:rsidR="009B72D0" w:rsidRPr="009B72D0" w:rsidRDefault="009B72D0" w:rsidP="009B72D0">
            <w:pPr>
              <w:tabs>
                <w:tab w:val="left" w:pos="9270"/>
              </w:tabs>
              <w:suppressAutoHyphens/>
              <w:spacing w:after="0" w:line="240" w:lineRule="auto"/>
              <w:jc w:val="both"/>
              <w:rPr>
                <w:rFonts w:ascii="Cambria" w:eastAsia="Batang" w:hAnsi="Cambria" w:cs="Cambria"/>
                <w:color w:val="000000"/>
                <w:sz w:val="20"/>
                <w:szCs w:val="20"/>
              </w:rPr>
            </w:pPr>
            <w:r w:rsidRPr="009B72D0">
              <w:rPr>
                <w:rFonts w:ascii="Cambria" w:hAnsi="Cambria" w:cs="Calibri"/>
                <w:b/>
                <w:bCs/>
                <w:color w:val="000000"/>
                <w:sz w:val="20"/>
                <w:szCs w:val="20"/>
              </w:rPr>
              <w:t xml:space="preserve">Topics: </w:t>
            </w:r>
            <w:r w:rsidRPr="009B72D0">
              <w:rPr>
                <w:rFonts w:ascii="Cambria" w:hAnsi="Cambria" w:cs="Calibri"/>
                <w:color w:val="000000"/>
                <w:sz w:val="20"/>
                <w:szCs w:val="20"/>
              </w:rPr>
              <w:t>Right to life/ Rights of the child/ Fair trial/ Investigation and due diligence/ Judicial protection</w:t>
            </w:r>
          </w:p>
          <w:p w14:paraId="7DE5C0ED" w14:textId="77777777" w:rsidR="009B72D0" w:rsidRPr="009B72D0" w:rsidRDefault="009B72D0" w:rsidP="009B72D0">
            <w:pPr>
              <w:tabs>
                <w:tab w:val="left" w:pos="9270"/>
              </w:tabs>
              <w:suppressAutoHyphens/>
              <w:spacing w:after="0" w:line="240" w:lineRule="auto"/>
              <w:jc w:val="both"/>
              <w:rPr>
                <w:rFonts w:ascii="Cambria" w:eastAsia="Batang" w:hAnsi="Cambria" w:cs="Cambria"/>
                <w:color w:val="000000"/>
                <w:sz w:val="20"/>
                <w:szCs w:val="20"/>
              </w:rPr>
            </w:pPr>
          </w:p>
          <w:p w14:paraId="72272D12" w14:textId="77777777" w:rsidR="009B72D0" w:rsidRPr="009B72D0" w:rsidRDefault="009B72D0" w:rsidP="009B72D0">
            <w:pPr>
              <w:autoSpaceDE w:val="0"/>
              <w:autoSpaceDN w:val="0"/>
              <w:adjustRightInd w:val="0"/>
              <w:spacing w:after="0" w:line="240" w:lineRule="auto"/>
              <w:jc w:val="both"/>
              <w:rPr>
                <w:rFonts w:ascii="Cambria" w:eastAsia="Times New Roman" w:hAnsi="Cambria" w:cs="Cambria"/>
                <w:color w:val="000000"/>
                <w:sz w:val="20"/>
                <w:szCs w:val="20"/>
              </w:rPr>
            </w:pPr>
            <w:r w:rsidRPr="009B72D0">
              <w:rPr>
                <w:rFonts w:ascii="Cambria" w:eastAsia="Times New Roman" w:hAnsi="Cambria" w:cs="Univers"/>
                <w:b/>
                <w:bCs/>
                <w:color w:val="000000"/>
                <w:sz w:val="20"/>
                <w:szCs w:val="20"/>
              </w:rPr>
              <w:t>Facts:</w:t>
            </w:r>
            <w:r w:rsidRPr="009B72D0">
              <w:rPr>
                <w:rFonts w:ascii="Cambria" w:eastAsia="Times New Roman" w:hAnsi="Cambria" w:cs="Univers"/>
                <w:color w:val="000000"/>
                <w:sz w:val="20"/>
                <w:szCs w:val="20"/>
              </w:rPr>
              <w:t xml:space="preserve"> The petitioner alleges lack of due diligence in the investigation, negligence, and an aiding and abetting after the fact by State agents in the criminal proceedings instituted for the murder of his son, Richard Conrad Solórzano Contreras, aged 16, which took place on March 10, 2003. He also reported that certain officials participated in acts designed to conceal the responsibility and whereabouts of the alleged culprit. He also alleged that medical staff at the hospital where his wounded son died shortly afterwards failed to provide him the medical care he required. As to admissibility requirements, the petitioner said that the remedies under domestic law had been exhausted.</w:t>
            </w:r>
          </w:p>
          <w:p w14:paraId="63F8F7CF" w14:textId="77777777" w:rsidR="009B72D0" w:rsidRPr="009B72D0" w:rsidRDefault="009B72D0" w:rsidP="009B72D0">
            <w:pPr>
              <w:tabs>
                <w:tab w:val="left" w:pos="9270"/>
              </w:tabs>
              <w:suppressAutoHyphens/>
              <w:spacing w:after="0" w:line="240" w:lineRule="auto"/>
              <w:jc w:val="both"/>
              <w:rPr>
                <w:rFonts w:ascii="Cambria" w:eastAsia="Batang" w:hAnsi="Cambria" w:cs="Calibri"/>
                <w:color w:val="000000"/>
                <w:sz w:val="20"/>
                <w:szCs w:val="20"/>
              </w:rPr>
            </w:pPr>
          </w:p>
          <w:p w14:paraId="6147AC2B" w14:textId="77777777" w:rsidR="009B72D0" w:rsidRPr="009B72D0" w:rsidRDefault="009B72D0" w:rsidP="009B72D0">
            <w:pPr>
              <w:tabs>
                <w:tab w:val="left" w:pos="9270"/>
              </w:tabs>
              <w:suppressAutoHyphens/>
              <w:spacing w:after="0" w:line="240" w:lineRule="auto"/>
              <w:jc w:val="both"/>
              <w:rPr>
                <w:rFonts w:ascii="Cambria" w:eastAsia="Batang" w:hAnsi="Cambria" w:cs="Calibri"/>
                <w:color w:val="000000"/>
                <w:sz w:val="20"/>
                <w:szCs w:val="20"/>
              </w:rPr>
            </w:pPr>
            <w:r w:rsidRPr="009B72D0">
              <w:rPr>
                <w:rFonts w:ascii="Cambria" w:hAnsi="Cambria" w:cs="Calibri"/>
                <w:b/>
                <w:bCs/>
                <w:color w:val="000000"/>
                <w:sz w:val="20"/>
                <w:szCs w:val="20"/>
              </w:rPr>
              <w:t xml:space="preserve">Rights declared admissible: </w:t>
            </w:r>
            <w:r w:rsidRPr="009B72D0">
              <w:rPr>
                <w:rFonts w:ascii="Cambria" w:hAnsi="Cambria" w:cs="Calibri"/>
                <w:color w:val="000000"/>
                <w:sz w:val="20"/>
                <w:szCs w:val="20"/>
              </w:rPr>
              <w:t>The Commission concluded that it was competent to take up this case and declared that the petition was admissible in relation to Articles 8 (right to a fair trial) and 25 (right to judicial protection) of the American Convention.</w:t>
            </w:r>
          </w:p>
        </w:tc>
      </w:tr>
    </w:tbl>
    <w:p w14:paraId="71CBFA43" w14:textId="77777777" w:rsidR="009B72D0" w:rsidRPr="009B72D0" w:rsidRDefault="009B72D0" w:rsidP="009B72D0">
      <w:pPr>
        <w:suppressAutoHyphens/>
        <w:spacing w:after="0" w:line="240" w:lineRule="auto"/>
        <w:jc w:val="both"/>
        <w:rPr>
          <w:rFonts w:ascii="Cambria" w:eastAsia="Batang" w:hAnsi="Cambria" w:cs="Calibri"/>
          <w:b/>
          <w:bCs/>
          <w:color w:val="000000"/>
          <w:sz w:val="20"/>
          <w:szCs w:val="20"/>
        </w:rPr>
      </w:pPr>
    </w:p>
    <w:p w14:paraId="394CDEDE" w14:textId="77777777" w:rsidR="009B72D0" w:rsidRPr="009B72D0" w:rsidRDefault="009B72D0" w:rsidP="009B72D0">
      <w:pPr>
        <w:numPr>
          <w:ilvl w:val="0"/>
          <w:numId w:val="62"/>
        </w:numPr>
        <w:suppressAutoHyphens/>
        <w:spacing w:after="0" w:line="240" w:lineRule="auto"/>
        <w:ind w:left="0" w:firstLine="720"/>
        <w:jc w:val="both"/>
        <w:rPr>
          <w:rFonts w:ascii="Cambria" w:eastAsia="Batang" w:hAnsi="Cambria" w:cs="Calibri"/>
          <w:b/>
          <w:bCs/>
          <w:color w:val="000000"/>
          <w:sz w:val="20"/>
          <w:szCs w:val="20"/>
        </w:rPr>
      </w:pPr>
      <w:r w:rsidRPr="009B72D0">
        <w:rPr>
          <w:rFonts w:ascii="Cambria" w:hAnsi="Cambria" w:cs="Calibri"/>
          <w:b/>
          <w:bCs/>
          <w:color w:val="000000"/>
          <w:sz w:val="20"/>
          <w:szCs w:val="20"/>
        </w:rPr>
        <w:t>PROCEDURAL ACTIVITY</w:t>
      </w:r>
    </w:p>
    <w:p w14:paraId="550EAE28" w14:textId="77777777" w:rsidR="009B72D0" w:rsidRPr="009B72D0" w:rsidRDefault="009B72D0" w:rsidP="009B72D0">
      <w:pPr>
        <w:tabs>
          <w:tab w:val="left" w:pos="1440"/>
        </w:tabs>
        <w:suppressAutoHyphens/>
        <w:spacing w:after="0" w:line="240" w:lineRule="auto"/>
        <w:jc w:val="both"/>
        <w:rPr>
          <w:rFonts w:ascii="Cambria" w:eastAsia="Batang" w:hAnsi="Cambria" w:cs="Calibri"/>
          <w:b/>
          <w:bCs/>
          <w:color w:val="000000"/>
          <w:sz w:val="20"/>
          <w:szCs w:val="20"/>
        </w:rPr>
      </w:pPr>
    </w:p>
    <w:p w14:paraId="2F3C279F" w14:textId="6F58596B" w:rsidR="009B72D0" w:rsidRPr="009B72D0" w:rsidRDefault="009B72D0" w:rsidP="009B72D0">
      <w:pPr>
        <w:numPr>
          <w:ilvl w:val="0"/>
          <w:numId w:val="65"/>
        </w:numPr>
        <w:suppressAutoHyphens/>
        <w:spacing w:after="0" w:line="240" w:lineRule="auto"/>
        <w:ind w:left="0" w:firstLine="720"/>
        <w:jc w:val="both"/>
        <w:rPr>
          <w:rFonts w:ascii="Cambria" w:hAnsi="Cambria" w:cs="Cambria"/>
          <w:color w:val="000000"/>
          <w:sz w:val="20"/>
          <w:szCs w:val="20"/>
        </w:rPr>
      </w:pPr>
      <w:r>
        <w:rPr>
          <w:rFonts w:ascii="Cambria" w:hAnsi="Cambria" w:cs="Calibri"/>
          <w:color w:val="000000"/>
          <w:sz w:val="20"/>
          <w:szCs w:val="20"/>
        </w:rPr>
        <w:t>On December 17, 2011, the parties signed a friendly settlement agreement</w:t>
      </w:r>
      <w:r w:rsidRPr="009B72D0">
        <w:rPr>
          <w:rFonts w:ascii="Cambria" w:hAnsi="Cambria" w:cs="Calibri"/>
          <w:color w:val="000000"/>
          <w:sz w:val="20"/>
          <w:szCs w:val="20"/>
        </w:rPr>
        <w:t>.</w:t>
      </w:r>
    </w:p>
    <w:p w14:paraId="31C8D89A" w14:textId="77777777" w:rsidR="009B72D0" w:rsidRPr="009B72D0" w:rsidRDefault="009B72D0" w:rsidP="009B72D0">
      <w:pPr>
        <w:suppressAutoHyphens/>
        <w:spacing w:after="0" w:line="240" w:lineRule="auto"/>
        <w:ind w:firstLine="720"/>
        <w:jc w:val="both"/>
        <w:rPr>
          <w:rFonts w:ascii="Cambria" w:hAnsi="Cambria" w:cs="Cambria"/>
          <w:color w:val="000000"/>
          <w:sz w:val="20"/>
          <w:szCs w:val="20"/>
        </w:rPr>
      </w:pPr>
    </w:p>
    <w:p w14:paraId="012A5D9F" w14:textId="2A60B0BF" w:rsidR="009B72D0" w:rsidRPr="009B72D0" w:rsidRDefault="009B72D0" w:rsidP="009B72D0">
      <w:pPr>
        <w:numPr>
          <w:ilvl w:val="0"/>
          <w:numId w:val="65"/>
        </w:numPr>
        <w:suppressAutoHyphens/>
        <w:spacing w:after="0" w:line="240" w:lineRule="auto"/>
        <w:ind w:left="0" w:firstLine="720"/>
        <w:jc w:val="both"/>
        <w:rPr>
          <w:rFonts w:ascii="Cambria" w:hAnsi="Cambria" w:cs="Cambria"/>
          <w:color w:val="000000"/>
          <w:sz w:val="20"/>
          <w:szCs w:val="20"/>
        </w:rPr>
      </w:pPr>
      <w:r>
        <w:rPr>
          <w:rFonts w:ascii="Cambria" w:hAnsi="Cambria" w:cs="Calibri"/>
          <w:color w:val="000000"/>
          <w:sz w:val="20"/>
          <w:szCs w:val="20"/>
        </w:rPr>
        <w:t xml:space="preserve">On June 1, 2020, the Commission approved the friendly settlement agreement </w:t>
      </w:r>
      <w:r w:rsidR="00730A61">
        <w:rPr>
          <w:rFonts w:ascii="Cambria" w:hAnsi="Cambria" w:cs="Calibri"/>
          <w:color w:val="000000"/>
          <w:sz w:val="20"/>
          <w:szCs w:val="20"/>
        </w:rPr>
        <w:t>through</w:t>
      </w:r>
      <w:r>
        <w:rPr>
          <w:rFonts w:ascii="Cambria" w:hAnsi="Cambria" w:cs="Calibri"/>
          <w:color w:val="000000"/>
          <w:sz w:val="20"/>
          <w:szCs w:val="20"/>
        </w:rPr>
        <w:t xml:space="preserve"> Report 86/202</w:t>
      </w:r>
      <w:r w:rsidRPr="009B72D0">
        <w:rPr>
          <w:rFonts w:ascii="Cambria" w:hAnsi="Cambria" w:cs="Calibri"/>
          <w:color w:val="000000"/>
          <w:sz w:val="20"/>
          <w:szCs w:val="20"/>
        </w:rPr>
        <w:t>.</w:t>
      </w:r>
    </w:p>
    <w:p w14:paraId="47C15FCA" w14:textId="77777777" w:rsidR="009B72D0" w:rsidRPr="009B72D0" w:rsidRDefault="009B72D0" w:rsidP="009B72D0">
      <w:pPr>
        <w:suppressAutoHyphens/>
        <w:spacing w:after="0" w:line="240" w:lineRule="auto"/>
        <w:rPr>
          <w:rFonts w:ascii="Cambria" w:hAnsi="Cambria" w:cs="Cambria"/>
          <w:color w:val="000000"/>
          <w:sz w:val="20"/>
          <w:szCs w:val="20"/>
        </w:rPr>
      </w:pPr>
    </w:p>
    <w:p w14:paraId="6084988E" w14:textId="77777777" w:rsidR="009B72D0" w:rsidRPr="009B72D0" w:rsidRDefault="009B72D0" w:rsidP="009B72D0">
      <w:pPr>
        <w:numPr>
          <w:ilvl w:val="0"/>
          <w:numId w:val="62"/>
        </w:numPr>
        <w:suppressAutoHyphens/>
        <w:spacing w:after="0" w:line="240" w:lineRule="auto"/>
        <w:ind w:left="0" w:firstLine="709"/>
        <w:jc w:val="both"/>
        <w:rPr>
          <w:rFonts w:ascii="Cambria" w:eastAsia="Batang" w:hAnsi="Cambria" w:cs="Calibri"/>
          <w:b/>
          <w:bCs/>
          <w:color w:val="000000"/>
          <w:sz w:val="20"/>
          <w:szCs w:val="20"/>
        </w:rPr>
      </w:pPr>
      <w:r w:rsidRPr="009B72D0">
        <w:rPr>
          <w:rFonts w:ascii="Cambria" w:hAnsi="Cambria" w:cs="Calibri"/>
          <w:b/>
          <w:bCs/>
          <w:color w:val="000000"/>
          <w:sz w:val="20"/>
          <w:szCs w:val="20"/>
        </w:rPr>
        <w:t>ANALYSIS OF COMPLIANCE WITH INDIVIDUAL CLAUSES OF THE FRIENDLY SETTLEMENT AGREEMENT</w:t>
      </w:r>
    </w:p>
    <w:p w14:paraId="59DD6710" w14:textId="77777777" w:rsidR="009B72D0" w:rsidRPr="009B72D0" w:rsidRDefault="009B72D0" w:rsidP="009B72D0">
      <w:pPr>
        <w:suppressAutoHyphens/>
        <w:spacing w:after="0" w:line="240" w:lineRule="auto"/>
        <w:rPr>
          <w:rFonts w:ascii="Cambria" w:eastAsia="Batang" w:hAnsi="Cambria" w:cs="Calibri"/>
          <w:color w:val="000000"/>
          <w:sz w:val="20"/>
          <w:szCs w:val="20"/>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962"/>
      </w:tblGrid>
      <w:tr w:rsidR="009B72D0" w:rsidRPr="009B72D0" w14:paraId="5F7E48D7" w14:textId="77777777" w:rsidTr="009B72D0">
        <w:tc>
          <w:tcPr>
            <w:tcW w:w="4529" w:type="dxa"/>
            <w:shd w:val="clear" w:color="auto" w:fill="D9D9D9"/>
            <w:vAlign w:val="center"/>
          </w:tcPr>
          <w:p w14:paraId="1DC7A4BC" w14:textId="06234EA7" w:rsidR="009B72D0" w:rsidRPr="009B72D0" w:rsidRDefault="009B72D0" w:rsidP="009B72D0">
            <w:pPr>
              <w:tabs>
                <w:tab w:val="center" w:pos="2049"/>
              </w:tabs>
              <w:suppressAutoHyphens/>
              <w:spacing w:after="0" w:line="240" w:lineRule="auto"/>
              <w:jc w:val="center"/>
              <w:rPr>
                <w:rFonts w:ascii="Cambria" w:eastAsia="Batang" w:hAnsi="Cambria" w:cs="Calibri"/>
                <w:b/>
                <w:bCs/>
                <w:color w:val="000000"/>
                <w:sz w:val="20"/>
                <w:szCs w:val="20"/>
              </w:rPr>
            </w:pPr>
            <w:r w:rsidRPr="009B72D0">
              <w:rPr>
                <w:rFonts w:ascii="Cambria" w:hAnsi="Cambria" w:cs="Calibri"/>
                <w:b/>
                <w:bCs/>
                <w:color w:val="000000"/>
                <w:sz w:val="20"/>
                <w:szCs w:val="20"/>
              </w:rPr>
              <w:t xml:space="preserve">Agreement </w:t>
            </w:r>
            <w:r>
              <w:rPr>
                <w:rFonts w:ascii="Cambria" w:hAnsi="Cambria" w:cs="Calibri"/>
                <w:b/>
                <w:bCs/>
                <w:color w:val="000000"/>
                <w:sz w:val="20"/>
                <w:szCs w:val="20"/>
              </w:rPr>
              <w:t>C</w:t>
            </w:r>
            <w:r w:rsidRPr="009B72D0">
              <w:rPr>
                <w:rFonts w:ascii="Cambria" w:hAnsi="Cambria" w:cs="Calibri"/>
                <w:b/>
                <w:bCs/>
                <w:color w:val="000000"/>
                <w:sz w:val="20"/>
                <w:szCs w:val="20"/>
              </w:rPr>
              <w:t>lause</w:t>
            </w:r>
          </w:p>
        </w:tc>
        <w:tc>
          <w:tcPr>
            <w:tcW w:w="4962" w:type="dxa"/>
            <w:shd w:val="clear" w:color="auto" w:fill="D9D9D9"/>
            <w:vAlign w:val="center"/>
          </w:tcPr>
          <w:p w14:paraId="2E7527A2" w14:textId="2572D310" w:rsidR="009B72D0" w:rsidRPr="009B72D0" w:rsidRDefault="009B72D0" w:rsidP="009B72D0">
            <w:pPr>
              <w:suppressAutoHyphens/>
              <w:spacing w:after="0" w:line="240" w:lineRule="auto"/>
              <w:jc w:val="center"/>
              <w:rPr>
                <w:rFonts w:ascii="Cambria" w:eastAsia="Batang" w:hAnsi="Cambria" w:cs="Calibri"/>
                <w:b/>
                <w:bCs/>
                <w:color w:val="000000"/>
                <w:sz w:val="20"/>
                <w:szCs w:val="20"/>
              </w:rPr>
            </w:pPr>
            <w:r w:rsidRPr="009B72D0">
              <w:rPr>
                <w:rFonts w:ascii="Cambria" w:hAnsi="Cambria" w:cs="Calibri"/>
                <w:b/>
                <w:bCs/>
                <w:color w:val="000000"/>
                <w:sz w:val="20"/>
                <w:szCs w:val="20"/>
              </w:rPr>
              <w:t xml:space="preserve">Status of </w:t>
            </w:r>
            <w:r>
              <w:rPr>
                <w:rFonts w:ascii="Cambria" w:hAnsi="Cambria" w:cs="Calibri"/>
                <w:b/>
                <w:bCs/>
                <w:color w:val="000000"/>
                <w:sz w:val="20"/>
                <w:szCs w:val="20"/>
              </w:rPr>
              <w:t>C</w:t>
            </w:r>
            <w:r w:rsidRPr="009B72D0">
              <w:rPr>
                <w:rFonts w:ascii="Cambria" w:hAnsi="Cambria" w:cs="Calibri"/>
                <w:b/>
                <w:bCs/>
                <w:color w:val="000000"/>
                <w:sz w:val="20"/>
                <w:szCs w:val="20"/>
              </w:rPr>
              <w:t>ompliance</w:t>
            </w:r>
          </w:p>
        </w:tc>
      </w:tr>
      <w:tr w:rsidR="009B72D0" w:rsidRPr="009B72D0" w14:paraId="1D7AF001" w14:textId="77777777" w:rsidTr="009B72D0">
        <w:trPr>
          <w:trHeight w:val="526"/>
        </w:trPr>
        <w:tc>
          <w:tcPr>
            <w:tcW w:w="9491" w:type="dxa"/>
            <w:gridSpan w:val="2"/>
            <w:vAlign w:val="center"/>
          </w:tcPr>
          <w:p w14:paraId="0ABD5BE4" w14:textId="77777777" w:rsidR="009B72D0" w:rsidRPr="009B72D0" w:rsidRDefault="009B72D0" w:rsidP="009B72D0">
            <w:pPr>
              <w:suppressAutoHyphens/>
              <w:spacing w:after="0" w:line="240" w:lineRule="auto"/>
              <w:rPr>
                <w:rFonts w:ascii="Cambria" w:eastAsia="Batang" w:hAnsi="Cambria" w:cs="Calibri"/>
                <w:b/>
                <w:bCs/>
                <w:color w:val="000000"/>
                <w:sz w:val="20"/>
                <w:szCs w:val="20"/>
              </w:rPr>
            </w:pPr>
            <w:r w:rsidRPr="009B72D0">
              <w:rPr>
                <w:rFonts w:ascii="Cambria" w:hAnsi="Cambria" w:cs="Calibri"/>
                <w:b/>
                <w:bCs/>
                <w:color w:val="000000"/>
                <w:sz w:val="20"/>
                <w:szCs w:val="20"/>
              </w:rPr>
              <w:t>I. CLAUSE. COMMITMENTS ASSUMED BY THE STATE OF GUATEMALA</w:t>
            </w:r>
          </w:p>
        </w:tc>
      </w:tr>
      <w:tr w:rsidR="009B72D0" w:rsidRPr="009B72D0" w14:paraId="25CD44E1" w14:textId="77777777" w:rsidTr="009B72D0">
        <w:trPr>
          <w:trHeight w:val="2015"/>
        </w:trPr>
        <w:tc>
          <w:tcPr>
            <w:tcW w:w="4529" w:type="dxa"/>
          </w:tcPr>
          <w:p w14:paraId="1056165B" w14:textId="77777777" w:rsidR="009B72D0" w:rsidRPr="009B72D0" w:rsidRDefault="009B72D0" w:rsidP="009B72D0">
            <w:pPr>
              <w:numPr>
                <w:ilvl w:val="0"/>
                <w:numId w:val="64"/>
              </w:numPr>
              <w:suppressAutoHyphens/>
              <w:spacing w:after="0" w:line="240" w:lineRule="auto"/>
              <w:ind w:left="72" w:right="72" w:hanging="72"/>
              <w:jc w:val="both"/>
              <w:rPr>
                <w:rFonts w:ascii="Cambria" w:hAnsi="Cambria" w:cs="Cambria"/>
                <w:b/>
                <w:bCs/>
                <w:color w:val="000000"/>
                <w:kern w:val="36"/>
                <w:sz w:val="20"/>
                <w:szCs w:val="20"/>
              </w:rPr>
            </w:pPr>
            <w:r w:rsidRPr="009B72D0">
              <w:rPr>
                <w:rFonts w:ascii="Cambria" w:hAnsi="Cambria" w:cs="Calibri"/>
                <w:b/>
                <w:bCs/>
                <w:color w:val="000000"/>
                <w:sz w:val="20"/>
                <w:szCs w:val="20"/>
              </w:rPr>
              <w:lastRenderedPageBreak/>
              <w:t>ACKNOWLEDGMENT OF THE FACTS</w:t>
            </w:r>
          </w:p>
          <w:p w14:paraId="51A4592E" w14:textId="77777777" w:rsidR="009B72D0" w:rsidRPr="009B72D0" w:rsidRDefault="009B72D0" w:rsidP="009B72D0">
            <w:pPr>
              <w:suppressAutoHyphens/>
              <w:spacing w:after="0" w:line="240" w:lineRule="auto"/>
              <w:ind w:right="72"/>
              <w:jc w:val="both"/>
              <w:rPr>
                <w:rFonts w:ascii="Cambria" w:hAnsi="Cambria" w:cs="Cambria"/>
                <w:b/>
                <w:bCs/>
                <w:color w:val="000000"/>
                <w:kern w:val="36"/>
                <w:sz w:val="20"/>
                <w:szCs w:val="20"/>
              </w:rPr>
            </w:pPr>
          </w:p>
          <w:p w14:paraId="28FE156D" w14:textId="77777777" w:rsidR="009B72D0" w:rsidRPr="009B72D0" w:rsidRDefault="009B72D0" w:rsidP="009B72D0">
            <w:pPr>
              <w:suppressAutoHyphens/>
              <w:spacing w:after="0" w:line="240" w:lineRule="auto"/>
              <w:ind w:right="72"/>
              <w:jc w:val="both"/>
              <w:rPr>
                <w:rFonts w:ascii="Cambria" w:hAnsi="Cambria" w:cs="Cambria"/>
                <w:color w:val="000000"/>
                <w:kern w:val="36"/>
                <w:sz w:val="20"/>
                <w:szCs w:val="20"/>
              </w:rPr>
            </w:pPr>
            <w:r w:rsidRPr="009B72D0">
              <w:rPr>
                <w:rFonts w:ascii="Cambria" w:hAnsi="Cambria" w:cs="Calibri"/>
                <w:b/>
                <w:bCs/>
                <w:color w:val="000000"/>
                <w:sz w:val="20"/>
                <w:szCs w:val="20"/>
              </w:rPr>
              <w:t>(a)</w:t>
            </w:r>
            <w:r w:rsidRPr="009B72D0">
              <w:rPr>
                <w:rFonts w:ascii="Cambria" w:hAnsi="Cambria" w:cs="Calibri"/>
                <w:color w:val="000000"/>
                <w:sz w:val="20"/>
                <w:szCs w:val="20"/>
              </w:rPr>
              <w:t xml:space="preserve"> The State will undertake an act of public acknowledgment of international responsibility and request for forgiveness in the municipality of Coatepeque, Quetzaltenango Department, the native city of the victim, which shall be directed by the President of the Presidential Commission Coordinating the Executive Policy on Human Rights (COPREDEH). In accordance with the request of the petitioner, a special invitation will be addressed to the Attorney General of the Nation and the Director of the National Civil Police, for them to attend the act of acknowledgment of international responsibility. Similarly, it will undertake the necessary steps for this public act to take place in the Municipal Theater of Culture of the Municipality of Coatepeque.</w:t>
            </w:r>
          </w:p>
          <w:p w14:paraId="3688B6AA" w14:textId="77777777" w:rsidR="009B72D0" w:rsidRPr="009B72D0" w:rsidRDefault="009B72D0" w:rsidP="009B72D0">
            <w:pPr>
              <w:suppressAutoHyphens/>
              <w:spacing w:after="0" w:line="240" w:lineRule="auto"/>
              <w:ind w:right="72"/>
              <w:jc w:val="both"/>
              <w:rPr>
                <w:rFonts w:ascii="Cambria" w:hAnsi="Cambria" w:cs="Cambria"/>
                <w:color w:val="000000"/>
                <w:kern w:val="36"/>
                <w:sz w:val="20"/>
                <w:szCs w:val="20"/>
              </w:rPr>
            </w:pPr>
            <w:r w:rsidRPr="009B72D0">
              <w:rPr>
                <w:rFonts w:ascii="Cambria" w:hAnsi="Cambria" w:cs="Calibri"/>
                <w:b/>
                <w:bCs/>
                <w:color w:val="000000"/>
                <w:sz w:val="20"/>
                <w:szCs w:val="20"/>
              </w:rPr>
              <w:t>(b)</w:t>
            </w:r>
            <w:r w:rsidRPr="009B72D0">
              <w:rPr>
                <w:rFonts w:ascii="Cambria" w:hAnsi="Cambria" w:cs="Calibri"/>
                <w:color w:val="000000"/>
                <w:sz w:val="20"/>
                <w:szCs w:val="20"/>
              </w:rPr>
              <w:t xml:space="preserve"> The State will produce a 7-minute documentary that summarizes said act, to be broadcasted only once in local cable channels.</w:t>
            </w:r>
          </w:p>
          <w:p w14:paraId="35D456D9" w14:textId="77777777" w:rsidR="009B72D0" w:rsidRPr="009B72D0" w:rsidRDefault="009B72D0" w:rsidP="009B72D0">
            <w:pPr>
              <w:suppressAutoHyphens/>
              <w:spacing w:after="0" w:line="240" w:lineRule="auto"/>
              <w:ind w:right="72"/>
              <w:jc w:val="both"/>
              <w:rPr>
                <w:rFonts w:ascii="Cambria" w:hAnsi="Cambria" w:cs="Cambria"/>
                <w:color w:val="000000"/>
                <w:kern w:val="36"/>
                <w:sz w:val="20"/>
                <w:szCs w:val="20"/>
              </w:rPr>
            </w:pPr>
            <w:r w:rsidRPr="009B72D0">
              <w:rPr>
                <w:rFonts w:ascii="Cambria" w:hAnsi="Cambria" w:cs="Calibri"/>
                <w:b/>
                <w:bCs/>
                <w:color w:val="000000"/>
                <w:sz w:val="20"/>
                <w:szCs w:val="20"/>
              </w:rPr>
              <w:t>(c)</w:t>
            </w:r>
            <w:r w:rsidRPr="009B72D0">
              <w:rPr>
                <w:rFonts w:ascii="Cambria" w:hAnsi="Cambria" w:cs="Calibri"/>
                <w:color w:val="000000"/>
                <w:sz w:val="20"/>
                <w:szCs w:val="20"/>
              </w:rPr>
              <w:t xml:space="preserve"> The State will publish a summary of the facts that gave rise to the instant case in the </w:t>
            </w:r>
            <w:r w:rsidRPr="009B72D0">
              <w:rPr>
                <w:rFonts w:ascii="Cambria" w:hAnsi="Cambria" w:cs="Calibri"/>
                <w:i/>
                <w:iCs/>
                <w:color w:val="000000"/>
                <w:sz w:val="20"/>
                <w:szCs w:val="20"/>
              </w:rPr>
              <w:t>Diario de Centro América</w:t>
            </w:r>
            <w:r w:rsidRPr="009B72D0">
              <w:rPr>
                <w:rFonts w:ascii="Cambria" w:hAnsi="Cambria" w:cs="Calibri"/>
                <w:color w:val="000000"/>
                <w:sz w:val="20"/>
                <w:szCs w:val="20"/>
              </w:rPr>
              <w:t xml:space="preserve"> and in the </w:t>
            </w:r>
            <w:r w:rsidRPr="009B72D0">
              <w:rPr>
                <w:rFonts w:ascii="Cambria" w:hAnsi="Cambria" w:cs="Calibri"/>
                <w:i/>
                <w:iCs/>
                <w:color w:val="000000"/>
                <w:sz w:val="20"/>
                <w:szCs w:val="20"/>
              </w:rPr>
              <w:t>Diario El Quetzalteco</w:t>
            </w:r>
            <w:r w:rsidRPr="009B72D0">
              <w:rPr>
                <w:rFonts w:ascii="Cambria" w:hAnsi="Cambria" w:cs="Calibri"/>
                <w:color w:val="000000"/>
                <w:sz w:val="20"/>
                <w:szCs w:val="20"/>
              </w:rPr>
              <w:t>.</w:t>
            </w:r>
          </w:p>
        </w:tc>
        <w:tc>
          <w:tcPr>
            <w:tcW w:w="4962" w:type="dxa"/>
            <w:vAlign w:val="center"/>
          </w:tcPr>
          <w:p w14:paraId="0FC22334" w14:textId="4117CB3A" w:rsidR="009B72D0" w:rsidRPr="009B72D0" w:rsidRDefault="009B72D0" w:rsidP="009B72D0">
            <w:pPr>
              <w:suppressAutoHyphens/>
              <w:spacing w:after="0" w:line="240" w:lineRule="auto"/>
              <w:jc w:val="center"/>
              <w:rPr>
                <w:rFonts w:ascii="Cambria" w:eastAsia="Batang" w:hAnsi="Cambria" w:cs="Calibri"/>
                <w:b/>
                <w:bCs/>
                <w:color w:val="000000"/>
                <w:sz w:val="20"/>
                <w:szCs w:val="20"/>
                <w:vertAlign w:val="superscript"/>
              </w:rPr>
            </w:pPr>
            <w:r w:rsidRPr="009B72D0">
              <w:rPr>
                <w:rFonts w:ascii="Cambria" w:hAnsi="Cambria" w:cs="Calibri"/>
                <w:b/>
                <w:bCs/>
                <w:color w:val="000000"/>
                <w:sz w:val="20"/>
                <w:szCs w:val="20"/>
              </w:rPr>
              <w:t>Total</w:t>
            </w:r>
            <w:r w:rsidRPr="009B72D0">
              <w:rPr>
                <w:rFonts w:ascii="Cambria" w:hAnsi="Cambria" w:cs="Calibri"/>
                <w:b/>
                <w:bCs/>
                <w:color w:val="000000"/>
                <w:sz w:val="20"/>
                <w:szCs w:val="20"/>
                <w:vertAlign w:val="superscript"/>
              </w:rPr>
              <w:footnoteReference w:id="2"/>
            </w:r>
          </w:p>
        </w:tc>
      </w:tr>
      <w:tr w:rsidR="009B72D0" w:rsidRPr="009B72D0" w14:paraId="3FD6FE66" w14:textId="77777777" w:rsidTr="009B72D0">
        <w:trPr>
          <w:trHeight w:val="278"/>
        </w:trPr>
        <w:tc>
          <w:tcPr>
            <w:tcW w:w="4529" w:type="dxa"/>
          </w:tcPr>
          <w:p w14:paraId="4ED82E0D" w14:textId="77777777" w:rsidR="009B72D0" w:rsidRPr="009B72D0" w:rsidRDefault="009B72D0" w:rsidP="009B72D0">
            <w:pPr>
              <w:numPr>
                <w:ilvl w:val="0"/>
                <w:numId w:val="64"/>
              </w:numPr>
              <w:suppressAutoHyphens/>
              <w:spacing w:after="0" w:line="240" w:lineRule="auto"/>
              <w:ind w:left="342" w:right="72"/>
              <w:jc w:val="both"/>
              <w:rPr>
                <w:rFonts w:ascii="Cambria" w:hAnsi="Cambria" w:cs="Cambria"/>
                <w:b/>
                <w:bCs/>
                <w:color w:val="000000"/>
                <w:kern w:val="36"/>
                <w:sz w:val="20"/>
                <w:szCs w:val="20"/>
              </w:rPr>
            </w:pPr>
            <w:r w:rsidRPr="009B72D0">
              <w:rPr>
                <w:rFonts w:ascii="Cambria" w:hAnsi="Cambria" w:cs="Calibri"/>
                <w:b/>
                <w:bCs/>
                <w:color w:val="000000"/>
                <w:sz w:val="20"/>
                <w:szCs w:val="20"/>
              </w:rPr>
              <w:t>JUSTICE</w:t>
            </w:r>
          </w:p>
          <w:p w14:paraId="566B790B" w14:textId="77777777" w:rsidR="009B72D0" w:rsidRPr="009B72D0" w:rsidRDefault="009B72D0" w:rsidP="009B72D0">
            <w:pPr>
              <w:suppressAutoHyphens/>
              <w:spacing w:after="0" w:line="240" w:lineRule="auto"/>
              <w:ind w:right="72"/>
              <w:jc w:val="both"/>
              <w:rPr>
                <w:rFonts w:ascii="Cambria" w:hAnsi="Cambria" w:cs="Cambria"/>
                <w:b/>
                <w:bCs/>
                <w:color w:val="000000"/>
                <w:kern w:val="36"/>
                <w:sz w:val="20"/>
                <w:szCs w:val="20"/>
              </w:rPr>
            </w:pPr>
          </w:p>
          <w:p w14:paraId="740F9068" w14:textId="77777777" w:rsidR="009B72D0" w:rsidRPr="009B72D0" w:rsidRDefault="009B72D0" w:rsidP="009B72D0">
            <w:pPr>
              <w:suppressAutoHyphens/>
              <w:spacing w:after="0" w:line="240" w:lineRule="auto"/>
              <w:ind w:right="72"/>
              <w:jc w:val="both"/>
              <w:rPr>
                <w:rFonts w:ascii="Cambria" w:hAnsi="Cambria" w:cs="Cambria"/>
                <w:color w:val="000000"/>
                <w:kern w:val="36"/>
                <w:sz w:val="20"/>
                <w:szCs w:val="20"/>
              </w:rPr>
            </w:pPr>
            <w:r w:rsidRPr="009B72D0">
              <w:rPr>
                <w:rFonts w:ascii="Cambria" w:hAnsi="Cambria" w:cs="Calibri"/>
                <w:color w:val="000000"/>
                <w:sz w:val="20"/>
                <w:szCs w:val="20"/>
              </w:rPr>
              <w:t>The State commits to set up a Promotion Committee, which will be formed by all bodies of justice involved in the process of investigation resulting from the death of the young student, Richard Conrad Solórzano Contreras, for the purposes of promoting such process and follow-up on administrative procedures against the employees and government officials identified by the petitioner as responsible for the negligence during the first investigatory acts.</w:t>
            </w:r>
          </w:p>
        </w:tc>
        <w:tc>
          <w:tcPr>
            <w:tcW w:w="4962" w:type="dxa"/>
            <w:vAlign w:val="center"/>
          </w:tcPr>
          <w:p w14:paraId="1423D7D3" w14:textId="77777777" w:rsidR="009B72D0" w:rsidRPr="009B72D0" w:rsidRDefault="009B72D0" w:rsidP="009B72D0">
            <w:pPr>
              <w:suppressAutoHyphens/>
              <w:spacing w:after="0" w:line="240" w:lineRule="auto"/>
              <w:jc w:val="center"/>
              <w:rPr>
                <w:rFonts w:ascii="Cambria" w:eastAsia="Batang" w:hAnsi="Cambria" w:cs="Cambria"/>
                <w:b/>
                <w:bCs/>
                <w:color w:val="000000"/>
                <w:sz w:val="20"/>
                <w:szCs w:val="20"/>
              </w:rPr>
            </w:pPr>
            <w:r w:rsidRPr="009B72D0">
              <w:rPr>
                <w:rFonts w:ascii="Cambria" w:hAnsi="Cambria" w:cs="Calibri"/>
                <w:b/>
                <w:bCs/>
                <w:color w:val="000000"/>
                <w:sz w:val="20"/>
                <w:szCs w:val="20"/>
              </w:rPr>
              <w:t>Partial</w:t>
            </w:r>
          </w:p>
          <w:p w14:paraId="3E1B7EA9" w14:textId="77777777" w:rsidR="009B72D0" w:rsidRPr="009B72D0" w:rsidRDefault="009B72D0" w:rsidP="009B72D0">
            <w:pPr>
              <w:suppressAutoHyphens/>
              <w:spacing w:after="0" w:line="240" w:lineRule="auto"/>
              <w:jc w:val="center"/>
              <w:rPr>
                <w:rFonts w:ascii="Cambria" w:eastAsia="Batang" w:hAnsi="Cambria" w:cs="Calibri"/>
                <w:color w:val="000000"/>
                <w:sz w:val="20"/>
                <w:szCs w:val="20"/>
              </w:rPr>
            </w:pPr>
            <w:r w:rsidRPr="009B72D0">
              <w:rPr>
                <w:rFonts w:ascii="Cambria" w:hAnsi="Cambria" w:cs="Calibri"/>
                <w:b/>
                <w:color w:val="000000"/>
                <w:sz w:val="20"/>
                <w:szCs w:val="20"/>
              </w:rPr>
              <w:t>Cease of supervision</w:t>
            </w:r>
            <w:r w:rsidRPr="009B72D0">
              <w:rPr>
                <w:rFonts w:ascii="Cambria" w:hAnsi="Cambria" w:cs="Calibri"/>
                <w:b/>
                <w:color w:val="000000"/>
                <w:sz w:val="20"/>
                <w:szCs w:val="20"/>
                <w:vertAlign w:val="superscript"/>
              </w:rPr>
              <w:footnoteReference w:id="3"/>
            </w:r>
          </w:p>
        </w:tc>
      </w:tr>
      <w:tr w:rsidR="009B72D0" w:rsidRPr="009B72D0" w14:paraId="1C0668DC" w14:textId="77777777" w:rsidTr="005151BC">
        <w:trPr>
          <w:trHeight w:val="350"/>
        </w:trPr>
        <w:tc>
          <w:tcPr>
            <w:tcW w:w="4529" w:type="dxa"/>
          </w:tcPr>
          <w:p w14:paraId="35EA6333" w14:textId="77777777" w:rsidR="009B72D0" w:rsidRPr="009B72D0" w:rsidRDefault="009B72D0" w:rsidP="009B72D0">
            <w:pPr>
              <w:numPr>
                <w:ilvl w:val="0"/>
                <w:numId w:val="64"/>
              </w:numPr>
              <w:suppressAutoHyphens/>
              <w:spacing w:after="0" w:line="240" w:lineRule="auto"/>
              <w:ind w:right="72" w:hanging="720"/>
              <w:jc w:val="both"/>
              <w:rPr>
                <w:rFonts w:ascii="Cambria" w:hAnsi="Cambria" w:cs="Cambria"/>
                <w:b/>
                <w:bCs/>
                <w:color w:val="000000"/>
                <w:kern w:val="36"/>
                <w:sz w:val="20"/>
                <w:szCs w:val="20"/>
              </w:rPr>
            </w:pPr>
            <w:r w:rsidRPr="009B72D0">
              <w:rPr>
                <w:rFonts w:ascii="Cambria" w:hAnsi="Cambria" w:cs="Calibri"/>
                <w:b/>
                <w:bCs/>
                <w:color w:val="000000"/>
                <w:sz w:val="20"/>
                <w:szCs w:val="20"/>
              </w:rPr>
              <w:t>MEASURES OF DIGNIFICATION</w:t>
            </w:r>
          </w:p>
          <w:p w14:paraId="7BEC74B0" w14:textId="77777777" w:rsidR="009B72D0" w:rsidRPr="009B72D0" w:rsidRDefault="009B72D0" w:rsidP="009B72D0">
            <w:pPr>
              <w:suppressAutoHyphens/>
              <w:spacing w:after="0" w:line="240" w:lineRule="auto"/>
              <w:ind w:right="72"/>
              <w:jc w:val="both"/>
              <w:rPr>
                <w:rFonts w:ascii="Cambria" w:hAnsi="Cambria" w:cs="Cambria"/>
                <w:b/>
                <w:bCs/>
                <w:color w:val="000000"/>
                <w:kern w:val="36"/>
                <w:sz w:val="20"/>
                <w:szCs w:val="20"/>
              </w:rPr>
            </w:pPr>
          </w:p>
          <w:p w14:paraId="394589FC" w14:textId="77777777" w:rsidR="009B72D0" w:rsidRPr="009B72D0" w:rsidRDefault="009B72D0" w:rsidP="009B72D0">
            <w:pPr>
              <w:suppressAutoHyphens/>
              <w:spacing w:after="0" w:line="240" w:lineRule="auto"/>
              <w:ind w:right="72"/>
              <w:jc w:val="both"/>
              <w:rPr>
                <w:rFonts w:ascii="Cambria" w:hAnsi="Cambria" w:cs="Cambria"/>
                <w:color w:val="000000"/>
                <w:kern w:val="36"/>
                <w:sz w:val="20"/>
                <w:szCs w:val="20"/>
              </w:rPr>
            </w:pPr>
            <w:r w:rsidRPr="009B72D0">
              <w:rPr>
                <w:rFonts w:ascii="Cambria" w:hAnsi="Cambria" w:cs="Calibri"/>
                <w:b/>
                <w:bCs/>
                <w:color w:val="000000"/>
                <w:sz w:val="20"/>
                <w:szCs w:val="20"/>
              </w:rPr>
              <w:t xml:space="preserve">(a) </w:t>
            </w:r>
            <w:r w:rsidRPr="009B72D0">
              <w:rPr>
                <w:rFonts w:ascii="Cambria" w:hAnsi="Cambria" w:cs="Calibri"/>
                <w:color w:val="000000"/>
                <w:sz w:val="20"/>
                <w:szCs w:val="20"/>
              </w:rPr>
              <w:t>The State will request the municipal government of Coatepeque for it to authorize the naming of the Municipal Theater of Culture under the name of Richard Conrad Solórzano Contreras and, if it were not possible, the naming of the 6th Street, Zone 1, in front of the Central Park of Coatepeque or other location, with the name of the victim. Upon receiving authorization, a commemorative plaque shall be placed there.</w:t>
            </w:r>
          </w:p>
          <w:p w14:paraId="3BCB60BD" w14:textId="77777777" w:rsidR="009B72D0" w:rsidRPr="009B72D0" w:rsidRDefault="009B72D0" w:rsidP="009B72D0">
            <w:pPr>
              <w:suppressAutoHyphens/>
              <w:spacing w:after="0" w:line="240" w:lineRule="auto"/>
              <w:ind w:right="72"/>
              <w:jc w:val="both"/>
              <w:rPr>
                <w:rFonts w:ascii="Cambria" w:hAnsi="Cambria" w:cs="Cambria"/>
                <w:b/>
                <w:bCs/>
                <w:color w:val="000000"/>
                <w:kern w:val="36"/>
                <w:sz w:val="20"/>
                <w:szCs w:val="20"/>
              </w:rPr>
            </w:pPr>
            <w:r w:rsidRPr="009B72D0">
              <w:rPr>
                <w:rFonts w:ascii="Cambria" w:hAnsi="Cambria" w:cs="Calibri"/>
                <w:b/>
                <w:bCs/>
                <w:color w:val="000000"/>
                <w:sz w:val="20"/>
                <w:szCs w:val="20"/>
              </w:rPr>
              <w:t xml:space="preserve">(b) </w:t>
            </w:r>
            <w:r w:rsidRPr="009B72D0">
              <w:rPr>
                <w:rFonts w:ascii="Cambria" w:hAnsi="Cambria" w:cs="Calibri"/>
                <w:color w:val="000000"/>
                <w:sz w:val="20"/>
                <w:szCs w:val="20"/>
              </w:rPr>
              <w:t xml:space="preserve">The State will request the relevant institutions to grant the usufruct over a property of the State </w:t>
            </w:r>
            <w:r w:rsidRPr="009B72D0">
              <w:rPr>
                <w:rFonts w:ascii="Cambria" w:hAnsi="Cambria" w:cs="Calibri"/>
                <w:color w:val="000000"/>
                <w:sz w:val="20"/>
                <w:szCs w:val="20"/>
              </w:rPr>
              <w:lastRenderedPageBreak/>
              <w:t>for the purposes of the Richard Conrad Solórzano Contreras Foundation operating there.</w:t>
            </w:r>
          </w:p>
        </w:tc>
        <w:tc>
          <w:tcPr>
            <w:tcW w:w="4962" w:type="dxa"/>
            <w:vAlign w:val="center"/>
          </w:tcPr>
          <w:p w14:paraId="7227ED26" w14:textId="77777777" w:rsidR="009B72D0" w:rsidRPr="009B72D0" w:rsidRDefault="009B72D0" w:rsidP="009B72D0">
            <w:pPr>
              <w:suppressAutoHyphens/>
              <w:spacing w:after="0" w:line="240" w:lineRule="auto"/>
              <w:jc w:val="center"/>
              <w:rPr>
                <w:rFonts w:ascii="Cambria" w:eastAsia="Batang" w:hAnsi="Cambria" w:cs="Cambria"/>
                <w:b/>
                <w:bCs/>
                <w:color w:val="000000"/>
                <w:sz w:val="20"/>
                <w:szCs w:val="20"/>
              </w:rPr>
            </w:pPr>
            <w:r w:rsidRPr="009B72D0">
              <w:rPr>
                <w:rFonts w:ascii="Cambria" w:hAnsi="Cambria" w:cs="Calibri"/>
                <w:b/>
                <w:bCs/>
                <w:color w:val="000000"/>
                <w:sz w:val="20"/>
                <w:szCs w:val="20"/>
              </w:rPr>
              <w:lastRenderedPageBreak/>
              <w:t>Partial</w:t>
            </w:r>
          </w:p>
          <w:p w14:paraId="17365FD0" w14:textId="4517FC01" w:rsidR="009B72D0" w:rsidRPr="009B72D0" w:rsidRDefault="009B72D0" w:rsidP="009B72D0">
            <w:pPr>
              <w:suppressAutoHyphens/>
              <w:spacing w:after="0" w:line="240" w:lineRule="auto"/>
              <w:jc w:val="center"/>
              <w:rPr>
                <w:rFonts w:ascii="Cambria" w:eastAsia="Batang" w:hAnsi="Cambria" w:cs="Calibri"/>
                <w:b/>
                <w:bCs/>
                <w:color w:val="000000"/>
                <w:sz w:val="20"/>
                <w:szCs w:val="20"/>
              </w:rPr>
            </w:pPr>
            <w:r w:rsidRPr="009B72D0">
              <w:rPr>
                <w:rFonts w:ascii="Cambria" w:hAnsi="Cambria" w:cs="Calibri"/>
                <w:b/>
                <w:color w:val="000000"/>
                <w:sz w:val="20"/>
                <w:szCs w:val="20"/>
              </w:rPr>
              <w:t>Cease of supervision</w:t>
            </w:r>
            <w:r w:rsidR="00183FBF">
              <w:rPr>
                <w:rStyle w:val="FootnoteReference"/>
                <w:rFonts w:ascii="Cambria" w:hAnsi="Cambria" w:cs="Calibri"/>
                <w:b/>
                <w:color w:val="000000"/>
                <w:sz w:val="20"/>
                <w:szCs w:val="20"/>
              </w:rPr>
              <w:footnoteReference w:id="4"/>
            </w:r>
          </w:p>
        </w:tc>
      </w:tr>
      <w:tr w:rsidR="009B72D0" w:rsidRPr="009B72D0" w14:paraId="6869D8BF" w14:textId="77777777" w:rsidTr="009B72D0">
        <w:trPr>
          <w:trHeight w:val="368"/>
        </w:trPr>
        <w:tc>
          <w:tcPr>
            <w:tcW w:w="4529" w:type="dxa"/>
          </w:tcPr>
          <w:p w14:paraId="3CF17F89" w14:textId="77777777" w:rsidR="009B72D0" w:rsidRPr="009B72D0" w:rsidRDefault="009B72D0" w:rsidP="009B72D0">
            <w:pPr>
              <w:numPr>
                <w:ilvl w:val="0"/>
                <w:numId w:val="64"/>
              </w:numPr>
              <w:suppressAutoHyphens/>
              <w:spacing w:after="0" w:line="240" w:lineRule="auto"/>
              <w:ind w:right="72" w:hanging="648"/>
              <w:jc w:val="both"/>
              <w:rPr>
                <w:rFonts w:ascii="Cambria" w:hAnsi="Cambria" w:cs="Cambria"/>
                <w:b/>
                <w:bCs/>
                <w:color w:val="000000"/>
                <w:kern w:val="36"/>
                <w:sz w:val="20"/>
                <w:szCs w:val="20"/>
              </w:rPr>
            </w:pPr>
            <w:r w:rsidRPr="009B72D0">
              <w:rPr>
                <w:rFonts w:ascii="Cambria" w:hAnsi="Cambria" w:cs="Calibri"/>
                <w:b/>
                <w:bCs/>
                <w:color w:val="000000"/>
                <w:sz w:val="20"/>
                <w:szCs w:val="20"/>
              </w:rPr>
              <w:t>ECONOMIC REPARATION</w:t>
            </w:r>
          </w:p>
          <w:p w14:paraId="17B68CC7" w14:textId="77777777" w:rsidR="009B72D0" w:rsidRPr="009B72D0" w:rsidRDefault="009B72D0" w:rsidP="009B72D0">
            <w:pPr>
              <w:suppressAutoHyphens/>
              <w:spacing w:after="0" w:line="240" w:lineRule="auto"/>
              <w:ind w:right="72"/>
              <w:jc w:val="both"/>
              <w:rPr>
                <w:rFonts w:ascii="Cambria" w:hAnsi="Cambria" w:cs="Cambria"/>
                <w:b/>
                <w:bCs/>
                <w:color w:val="000000"/>
                <w:kern w:val="36"/>
                <w:sz w:val="20"/>
                <w:szCs w:val="20"/>
              </w:rPr>
            </w:pPr>
          </w:p>
          <w:p w14:paraId="5143783F" w14:textId="77777777" w:rsidR="009B72D0" w:rsidRPr="009B72D0" w:rsidRDefault="009B72D0" w:rsidP="009B72D0">
            <w:pPr>
              <w:suppressAutoHyphens/>
              <w:spacing w:after="0" w:line="240" w:lineRule="auto"/>
              <w:ind w:right="72"/>
              <w:jc w:val="both"/>
              <w:rPr>
                <w:rFonts w:ascii="Cambria" w:hAnsi="Cambria" w:cs="Cambria"/>
                <w:color w:val="000000"/>
                <w:kern w:val="36"/>
                <w:sz w:val="20"/>
                <w:szCs w:val="20"/>
              </w:rPr>
            </w:pPr>
            <w:r w:rsidRPr="009B72D0">
              <w:rPr>
                <w:rFonts w:ascii="Cambria" w:hAnsi="Cambria" w:cs="Calibri"/>
                <w:color w:val="000000"/>
                <w:sz w:val="20"/>
                <w:szCs w:val="20"/>
              </w:rPr>
              <w:t>The parties to this Friendly Settlement Agreement recognize the mutual will evinced in agreeing to a sum that allows compensation to the family members of Richard Conrad Solórzano Contreras, and thus the State commits to pay to the petitioner and his family composed of: Mario Conrado Solórzano Puac, Milton Josue, Edinson Geovany, Jaquelin Xiomara, Jorge Mario y Abner Alexander, all of Solórzano surname, compensation in the sum of […]3, which has been established through actuarial valuation carried out by an independent consultant, in order to establish the payment corresponding to the economic reparation of the respective material and non-material or moral damages. The amount established in this agreement is confidential and shall</w:t>
            </w:r>
            <w:r w:rsidRPr="009B72D0">
              <w:rPr>
                <w:rFonts w:ascii="Cambria" w:hAnsi="Cambria" w:cs="Calibri"/>
                <w:sz w:val="20"/>
                <w:szCs w:val="20"/>
              </w:rPr>
              <w:t xml:space="preserve"> </w:t>
            </w:r>
            <w:r w:rsidRPr="009B72D0">
              <w:rPr>
                <w:rFonts w:ascii="Cambria" w:hAnsi="Cambria" w:cs="Calibri"/>
                <w:color w:val="000000"/>
                <w:sz w:val="20"/>
                <w:szCs w:val="20"/>
              </w:rPr>
              <w:t xml:space="preserve">not be published. </w:t>
            </w:r>
          </w:p>
        </w:tc>
        <w:tc>
          <w:tcPr>
            <w:tcW w:w="4962" w:type="dxa"/>
            <w:vAlign w:val="center"/>
          </w:tcPr>
          <w:p w14:paraId="2468ED71" w14:textId="77777777" w:rsidR="009B72D0" w:rsidRPr="009B72D0" w:rsidRDefault="009B72D0" w:rsidP="009B72D0">
            <w:pPr>
              <w:suppressAutoHyphens/>
              <w:spacing w:after="0" w:line="240" w:lineRule="auto"/>
              <w:jc w:val="center"/>
              <w:rPr>
                <w:rFonts w:ascii="Cambria" w:eastAsia="Batang" w:hAnsi="Cambria" w:cs="Calibri"/>
                <w:sz w:val="20"/>
                <w:szCs w:val="20"/>
                <w:vertAlign w:val="superscript"/>
              </w:rPr>
            </w:pPr>
            <w:r w:rsidRPr="009B72D0">
              <w:rPr>
                <w:rFonts w:ascii="Cambria" w:hAnsi="Cambria" w:cs="Calibri"/>
                <w:b/>
                <w:bCs/>
                <w:color w:val="000000"/>
                <w:sz w:val="20"/>
                <w:szCs w:val="20"/>
              </w:rPr>
              <w:t>Total</w:t>
            </w:r>
            <w:r w:rsidRPr="009B72D0">
              <w:rPr>
                <w:rFonts w:ascii="Cambria" w:eastAsia="Batang" w:hAnsi="Cambria" w:cs="Calibri"/>
                <w:b/>
                <w:bCs/>
                <w:sz w:val="20"/>
                <w:szCs w:val="20"/>
                <w:vertAlign w:val="superscript"/>
              </w:rPr>
              <w:footnoteReference w:id="5"/>
            </w:r>
          </w:p>
        </w:tc>
      </w:tr>
    </w:tbl>
    <w:p w14:paraId="3FAD0947" w14:textId="77777777" w:rsidR="009B72D0" w:rsidRPr="009B72D0" w:rsidRDefault="009B72D0" w:rsidP="009B72D0">
      <w:pPr>
        <w:tabs>
          <w:tab w:val="left" w:pos="720"/>
        </w:tabs>
        <w:suppressAutoHyphens/>
        <w:spacing w:after="0" w:line="240" w:lineRule="auto"/>
        <w:jc w:val="both"/>
        <w:rPr>
          <w:rFonts w:ascii="Cambria" w:hAnsi="Cambria" w:cs="Cambria"/>
          <w:b/>
          <w:bCs/>
          <w:color w:val="000000"/>
          <w:sz w:val="20"/>
          <w:szCs w:val="20"/>
        </w:rPr>
      </w:pPr>
    </w:p>
    <w:p w14:paraId="7738B17A" w14:textId="77777777" w:rsidR="009B72D0" w:rsidRPr="009B72D0" w:rsidRDefault="009B72D0" w:rsidP="009B72D0">
      <w:pPr>
        <w:numPr>
          <w:ilvl w:val="0"/>
          <w:numId w:val="62"/>
        </w:numPr>
        <w:suppressAutoHyphens/>
        <w:autoSpaceDE w:val="0"/>
        <w:autoSpaceDN w:val="0"/>
        <w:adjustRightInd w:val="0"/>
        <w:spacing w:after="0" w:line="240" w:lineRule="auto"/>
        <w:ind w:left="0" w:firstLine="720"/>
        <w:jc w:val="both"/>
        <w:rPr>
          <w:rFonts w:ascii="Cambria" w:eastAsia="Batang" w:hAnsi="Cambria" w:cs="Calibri"/>
          <w:color w:val="000000"/>
          <w:sz w:val="20"/>
          <w:szCs w:val="20"/>
        </w:rPr>
      </w:pPr>
      <w:r w:rsidRPr="009B72D0">
        <w:rPr>
          <w:rFonts w:ascii="Cambria" w:hAnsi="Cambria" w:cs="Calibri"/>
          <w:b/>
          <w:bCs/>
          <w:color w:val="000000"/>
          <w:sz w:val="20"/>
          <w:szCs w:val="20"/>
        </w:rPr>
        <w:t>LEVEL OF COMPLIANCE OF THE CASE</w:t>
      </w:r>
    </w:p>
    <w:p w14:paraId="0DE8BAA6" w14:textId="77777777" w:rsidR="00A00A33" w:rsidRPr="00A00A33" w:rsidRDefault="00A00A33" w:rsidP="00A00A33">
      <w:pPr>
        <w:pStyle w:val="ListParagraph"/>
        <w:suppressAutoHyphens/>
        <w:spacing w:after="0" w:line="240" w:lineRule="auto"/>
        <w:ind w:left="1080"/>
        <w:rPr>
          <w:rFonts w:ascii="Cambria" w:hAnsi="Cambria"/>
          <w:color w:val="000000"/>
          <w:sz w:val="20"/>
          <w:szCs w:val="20"/>
        </w:rPr>
      </w:pPr>
    </w:p>
    <w:p w14:paraId="344D31EB" w14:textId="63209BC8" w:rsidR="00A00A33" w:rsidRPr="00A00A33" w:rsidRDefault="00A00A33" w:rsidP="00A00A33">
      <w:pPr>
        <w:pStyle w:val="ListParagraph"/>
        <w:tabs>
          <w:tab w:val="left" w:pos="1440"/>
        </w:tabs>
        <w:suppressAutoHyphens/>
        <w:spacing w:after="0" w:line="240" w:lineRule="auto"/>
        <w:ind w:left="0" w:firstLine="709"/>
        <w:jc w:val="both"/>
        <w:rPr>
          <w:rFonts w:ascii="Cambria" w:eastAsia="Batang" w:hAnsi="Cambria" w:cs="Calibri Light"/>
          <w:color w:val="000000"/>
          <w:sz w:val="20"/>
          <w:szCs w:val="20"/>
        </w:rPr>
      </w:pPr>
      <w:r w:rsidRPr="00A00A33">
        <w:rPr>
          <w:rFonts w:ascii="Cambria" w:eastAsia="Batang" w:hAnsi="Cambria" w:cs="Calibri Light"/>
          <w:color w:val="000000"/>
          <w:sz w:val="20"/>
          <w:szCs w:val="20"/>
        </w:rPr>
        <w:t>3.</w:t>
      </w:r>
      <w:r w:rsidRPr="00A00A33">
        <w:rPr>
          <w:rFonts w:ascii="Cambria" w:eastAsia="Batang" w:hAnsi="Cambria" w:cs="Calibri Light"/>
          <w:color w:val="000000"/>
          <w:sz w:val="20"/>
          <w:szCs w:val="20"/>
        </w:rPr>
        <w:tab/>
        <w:t xml:space="preserve">The Commission declared </w:t>
      </w:r>
      <w:r w:rsidR="00766B5B">
        <w:rPr>
          <w:rFonts w:ascii="Cambria" w:eastAsia="Batang" w:hAnsi="Cambria" w:cs="Calibri Light"/>
          <w:color w:val="000000"/>
          <w:sz w:val="20"/>
          <w:szCs w:val="20"/>
        </w:rPr>
        <w:t>partial</w:t>
      </w:r>
      <w:r w:rsidRPr="00A00A33">
        <w:rPr>
          <w:rFonts w:ascii="Cambria" w:eastAsia="Batang" w:hAnsi="Cambria" w:cs="Calibri Light"/>
          <w:color w:val="000000"/>
          <w:sz w:val="20"/>
          <w:szCs w:val="20"/>
        </w:rPr>
        <w:t xml:space="preserve"> compliance with the case and the ceasing of the follow-up of the friendly settlement agreement in the 2024 Annual Report. </w:t>
      </w:r>
    </w:p>
    <w:p w14:paraId="12EAB5CA" w14:textId="77777777" w:rsidR="009B72D0" w:rsidRPr="009B72D0" w:rsidRDefault="009B72D0" w:rsidP="009B72D0">
      <w:pPr>
        <w:suppressAutoHyphens/>
        <w:spacing w:after="0" w:line="240" w:lineRule="auto"/>
        <w:rPr>
          <w:rFonts w:ascii="Cambria" w:eastAsia="Batang" w:hAnsi="Cambria" w:cs="Calibri"/>
          <w:b/>
          <w:bCs/>
          <w:color w:val="000000"/>
          <w:sz w:val="20"/>
          <w:szCs w:val="20"/>
        </w:rPr>
      </w:pPr>
    </w:p>
    <w:p w14:paraId="514CCF96" w14:textId="77777777" w:rsidR="009B72D0" w:rsidRPr="009B72D0" w:rsidRDefault="009B72D0" w:rsidP="009B72D0">
      <w:pPr>
        <w:numPr>
          <w:ilvl w:val="0"/>
          <w:numId w:val="62"/>
        </w:numPr>
        <w:suppressAutoHyphens/>
        <w:spacing w:after="0" w:line="240" w:lineRule="auto"/>
        <w:ind w:left="1440"/>
        <w:jc w:val="both"/>
        <w:rPr>
          <w:rFonts w:ascii="Cambria" w:eastAsia="Batang" w:hAnsi="Cambria" w:cs="Calibri"/>
          <w:b/>
          <w:bCs/>
          <w:color w:val="000000"/>
          <w:sz w:val="20"/>
          <w:szCs w:val="20"/>
        </w:rPr>
      </w:pPr>
      <w:r w:rsidRPr="009B72D0">
        <w:rPr>
          <w:rFonts w:ascii="Cambria" w:hAnsi="Cambria" w:cs="Calibri"/>
          <w:b/>
          <w:bCs/>
          <w:color w:val="000000"/>
          <w:sz w:val="20"/>
          <w:szCs w:val="20"/>
        </w:rPr>
        <w:t xml:space="preserve">INDIVIDUAL AND STRUCTURAL OUTCOMES OF THE CASE </w:t>
      </w:r>
    </w:p>
    <w:p w14:paraId="0AC49918" w14:textId="77777777" w:rsidR="009B72D0" w:rsidRPr="009B72D0" w:rsidRDefault="009B72D0" w:rsidP="009B72D0">
      <w:pPr>
        <w:suppressAutoHyphens/>
        <w:spacing w:after="0" w:line="240" w:lineRule="auto"/>
        <w:ind w:left="1440"/>
        <w:jc w:val="both"/>
        <w:rPr>
          <w:rFonts w:ascii="Cambria" w:eastAsia="Batang" w:hAnsi="Cambria" w:cs="Calibri"/>
          <w:b/>
          <w:bCs/>
          <w:color w:val="000000"/>
          <w:sz w:val="20"/>
          <w:szCs w:val="20"/>
        </w:rPr>
      </w:pPr>
    </w:p>
    <w:p w14:paraId="3331DAE7" w14:textId="77777777" w:rsidR="009B72D0" w:rsidRPr="009B72D0" w:rsidRDefault="009B72D0" w:rsidP="009B72D0">
      <w:pPr>
        <w:numPr>
          <w:ilvl w:val="0"/>
          <w:numId w:val="63"/>
        </w:numPr>
        <w:suppressAutoHyphens/>
        <w:spacing w:after="0" w:line="240" w:lineRule="auto"/>
        <w:ind w:firstLine="0"/>
        <w:jc w:val="both"/>
        <w:rPr>
          <w:rFonts w:ascii="Cambria" w:eastAsia="Batang" w:hAnsi="Cambria" w:cs="Calibri"/>
          <w:b/>
          <w:bCs/>
          <w:color w:val="000000"/>
          <w:sz w:val="20"/>
          <w:szCs w:val="20"/>
        </w:rPr>
      </w:pPr>
      <w:r w:rsidRPr="009B72D0">
        <w:rPr>
          <w:rFonts w:ascii="Cambria" w:hAnsi="Cambria" w:cs="Calibri"/>
          <w:b/>
          <w:bCs/>
          <w:color w:val="000000"/>
          <w:sz w:val="20"/>
          <w:szCs w:val="20"/>
        </w:rPr>
        <w:t>Individual outcomes of the case</w:t>
      </w:r>
    </w:p>
    <w:p w14:paraId="1AA797B4" w14:textId="77777777" w:rsidR="009B72D0" w:rsidRPr="009B72D0" w:rsidRDefault="009B72D0" w:rsidP="009B72D0">
      <w:pPr>
        <w:suppressAutoHyphens/>
        <w:spacing w:after="0" w:line="240" w:lineRule="auto"/>
        <w:ind w:left="720"/>
        <w:jc w:val="both"/>
        <w:rPr>
          <w:rFonts w:ascii="Cambria" w:eastAsia="Batang" w:hAnsi="Cambria" w:cs="Calibri"/>
          <w:b/>
          <w:bCs/>
          <w:color w:val="000000"/>
          <w:sz w:val="20"/>
          <w:szCs w:val="20"/>
        </w:rPr>
      </w:pPr>
    </w:p>
    <w:p w14:paraId="2A738851" w14:textId="77777777" w:rsidR="009B72D0" w:rsidRPr="009B72D0" w:rsidRDefault="009B72D0" w:rsidP="009B72D0">
      <w:pPr>
        <w:numPr>
          <w:ilvl w:val="0"/>
          <w:numId w:val="15"/>
        </w:numPr>
        <w:suppressAutoHyphens/>
        <w:spacing w:after="0" w:line="240" w:lineRule="auto"/>
        <w:ind w:hanging="720"/>
        <w:jc w:val="both"/>
        <w:rPr>
          <w:rFonts w:ascii="Cambria" w:eastAsia="Batang" w:hAnsi="Cambria" w:cs="Calibri"/>
          <w:b/>
          <w:bCs/>
          <w:color w:val="000000"/>
          <w:sz w:val="20"/>
          <w:szCs w:val="20"/>
        </w:rPr>
      </w:pPr>
      <w:r w:rsidRPr="009B72D0">
        <w:rPr>
          <w:rFonts w:ascii="Cambria" w:hAnsi="Cambria" w:cs="Calibri"/>
          <w:color w:val="000000"/>
          <w:sz w:val="20"/>
          <w:szCs w:val="20"/>
        </w:rPr>
        <w:t>The State paid the economic reparation, as agreed in the arbitration award.</w:t>
      </w:r>
    </w:p>
    <w:p w14:paraId="2D41608C" w14:textId="77777777" w:rsidR="009B72D0" w:rsidRPr="009B72D0" w:rsidRDefault="009B72D0" w:rsidP="009B72D0">
      <w:pPr>
        <w:numPr>
          <w:ilvl w:val="0"/>
          <w:numId w:val="15"/>
        </w:numPr>
        <w:suppressAutoHyphens/>
        <w:spacing w:after="0" w:line="240" w:lineRule="auto"/>
        <w:ind w:hanging="720"/>
        <w:jc w:val="both"/>
        <w:rPr>
          <w:rFonts w:ascii="Cambria" w:eastAsia="Batang" w:hAnsi="Cambria" w:cs="Calibri"/>
          <w:b/>
          <w:bCs/>
          <w:color w:val="000000"/>
          <w:sz w:val="20"/>
          <w:szCs w:val="20"/>
        </w:rPr>
      </w:pPr>
      <w:r w:rsidRPr="009B72D0">
        <w:rPr>
          <w:rFonts w:ascii="Cambria" w:hAnsi="Cambria" w:cs="Calibri"/>
          <w:color w:val="000000"/>
          <w:sz w:val="20"/>
          <w:szCs w:val="20"/>
        </w:rPr>
        <w:t>The State held a public act of recognition and apology at the Municipal Theatre, which was broadcasted on local channels.</w:t>
      </w:r>
    </w:p>
    <w:p w14:paraId="40219B86" w14:textId="77777777" w:rsidR="009B72D0" w:rsidRPr="009B72D0" w:rsidRDefault="009B72D0" w:rsidP="009B72D0">
      <w:pPr>
        <w:suppressAutoHyphens/>
        <w:spacing w:after="0" w:line="240" w:lineRule="auto"/>
        <w:jc w:val="both"/>
        <w:rPr>
          <w:rFonts w:ascii="Cambria" w:eastAsia="Batang" w:hAnsi="Cambria" w:cs="Calibri"/>
          <w:color w:val="000000"/>
          <w:sz w:val="20"/>
          <w:szCs w:val="20"/>
        </w:rPr>
      </w:pPr>
    </w:p>
    <w:p w14:paraId="64583427" w14:textId="77777777" w:rsidR="009B72D0" w:rsidRPr="009B72D0" w:rsidRDefault="009B72D0" w:rsidP="009B72D0">
      <w:pPr>
        <w:numPr>
          <w:ilvl w:val="0"/>
          <w:numId w:val="63"/>
        </w:numPr>
        <w:suppressAutoHyphens/>
        <w:spacing w:after="0" w:line="240" w:lineRule="auto"/>
        <w:ind w:firstLine="0"/>
        <w:jc w:val="both"/>
        <w:rPr>
          <w:rFonts w:ascii="Cambria" w:eastAsia="Batang" w:hAnsi="Cambria" w:cs="Calibri"/>
          <w:b/>
          <w:bCs/>
          <w:color w:val="000000"/>
          <w:sz w:val="20"/>
          <w:szCs w:val="20"/>
        </w:rPr>
      </w:pPr>
      <w:r w:rsidRPr="009B72D0">
        <w:rPr>
          <w:rFonts w:ascii="Cambria" w:hAnsi="Cambria" w:cs="Calibri"/>
          <w:b/>
          <w:bCs/>
          <w:color w:val="000000"/>
          <w:sz w:val="20"/>
          <w:szCs w:val="20"/>
        </w:rPr>
        <w:t>Structural outcomes of the case</w:t>
      </w:r>
    </w:p>
    <w:p w14:paraId="26D59928" w14:textId="77777777" w:rsidR="009B72D0" w:rsidRPr="009B72D0" w:rsidRDefault="009B72D0" w:rsidP="009B72D0">
      <w:pPr>
        <w:suppressAutoHyphens/>
        <w:spacing w:after="0" w:line="240" w:lineRule="auto"/>
        <w:ind w:left="720"/>
        <w:jc w:val="both"/>
        <w:rPr>
          <w:rFonts w:ascii="Cambria" w:eastAsia="Batang" w:hAnsi="Cambria" w:cs="Calibri"/>
          <w:b/>
          <w:bCs/>
          <w:color w:val="000000"/>
          <w:sz w:val="20"/>
          <w:szCs w:val="20"/>
        </w:rPr>
      </w:pPr>
    </w:p>
    <w:p w14:paraId="6B6156F7" w14:textId="77777777" w:rsidR="009B72D0" w:rsidRPr="009B72D0" w:rsidRDefault="009B72D0" w:rsidP="009B72D0">
      <w:pPr>
        <w:numPr>
          <w:ilvl w:val="0"/>
          <w:numId w:val="15"/>
        </w:numPr>
        <w:suppressAutoHyphens/>
        <w:spacing w:after="0" w:line="240" w:lineRule="auto"/>
        <w:ind w:left="0" w:firstLine="720"/>
        <w:jc w:val="both"/>
        <w:rPr>
          <w:rFonts w:ascii="Cambria" w:eastAsia="Batang" w:hAnsi="Cambria" w:cs="Calibri"/>
          <w:b/>
          <w:bCs/>
          <w:color w:val="000000"/>
          <w:sz w:val="20"/>
          <w:szCs w:val="20"/>
        </w:rPr>
      </w:pPr>
      <w:r w:rsidRPr="009B72D0">
        <w:rPr>
          <w:rFonts w:ascii="Cambria" w:hAnsi="Cambria" w:cs="Calibri"/>
          <w:color w:val="000000"/>
          <w:sz w:val="20"/>
          <w:szCs w:val="20"/>
        </w:rPr>
        <w:t xml:space="preserve">The State carried installed a commemorative plaque on June 26, 2014, as agreed. </w:t>
      </w:r>
    </w:p>
    <w:p w14:paraId="72628587" w14:textId="7F4FDD23" w:rsidR="00F74974" w:rsidRPr="00723C07" w:rsidRDefault="009B72D0" w:rsidP="00723C07">
      <w:pPr>
        <w:numPr>
          <w:ilvl w:val="0"/>
          <w:numId w:val="15"/>
        </w:numPr>
        <w:suppressAutoHyphens/>
        <w:spacing w:after="0" w:line="240" w:lineRule="auto"/>
        <w:ind w:hanging="720"/>
        <w:jc w:val="both"/>
        <w:rPr>
          <w:rFonts w:ascii="Cambria" w:eastAsia="Batang" w:hAnsi="Cambria" w:cs="Calibri"/>
          <w:b/>
          <w:bCs/>
          <w:color w:val="000000"/>
          <w:sz w:val="20"/>
          <w:szCs w:val="20"/>
        </w:rPr>
      </w:pPr>
      <w:r w:rsidRPr="009B72D0">
        <w:rPr>
          <w:rFonts w:ascii="Cambria" w:hAnsi="Cambria" w:cs="Calibri"/>
          <w:color w:val="000000"/>
          <w:sz w:val="20"/>
          <w:szCs w:val="20"/>
        </w:rPr>
        <w:t>The State renamed "10a Avenida zona 2 barrio el Jardín" as "Estudiante Richard Solórzano", as agreed.</w:t>
      </w:r>
      <w:r w:rsidRPr="009B72D0">
        <w:rPr>
          <w:rFonts w:ascii="Cambria" w:hAnsi="Cambria" w:cs="Calibri"/>
          <w:b/>
          <w:bCs/>
          <w:color w:val="000000"/>
          <w:sz w:val="20"/>
          <w:szCs w:val="20"/>
        </w:rPr>
        <w:t xml:space="preserve"> </w:t>
      </w:r>
    </w:p>
    <w:sectPr w:rsidR="00F74974" w:rsidRPr="00723C07" w:rsidSect="008E42E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75EF1" w14:textId="77777777" w:rsidR="00250AE0" w:rsidRDefault="00250AE0" w:rsidP="00A343FF">
      <w:pPr>
        <w:spacing w:after="0" w:line="240" w:lineRule="auto"/>
      </w:pPr>
      <w:r>
        <w:separator/>
      </w:r>
    </w:p>
  </w:endnote>
  <w:endnote w:type="continuationSeparator" w:id="0">
    <w:p w14:paraId="2C90CB0C" w14:textId="77777777" w:rsidR="00250AE0" w:rsidRDefault="00250AE0" w:rsidP="00A343FF">
      <w:pPr>
        <w:spacing w:after="0" w:line="240" w:lineRule="auto"/>
      </w:pPr>
      <w:r>
        <w:continuationSeparator/>
      </w:r>
    </w:p>
  </w:endnote>
  <w:endnote w:type="continuationNotice" w:id="1">
    <w:p w14:paraId="72855F1F" w14:textId="77777777" w:rsidR="00250AE0" w:rsidRDefault="00250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7F56"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7C8D"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CBDDDA"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77C7" w14:textId="77777777" w:rsidR="008F2248" w:rsidRDefault="00EF656F" w:rsidP="008F2248">
    <w:pPr>
      <w:pStyle w:val="Footer"/>
      <w:spacing w:line="360" w:lineRule="auto"/>
    </w:pPr>
    <w:r>
      <w:rPr>
        <w:noProof/>
      </w:rPr>
      <w:pict w14:anchorId="413C72BF">
        <v:rect id="_x0000_i1027" alt="" style="width:441.9pt;height:.05pt;mso-width-percent:0;mso-height-percent:0;mso-width-percent:0;mso-height-percent:0" o:hralign="center" o:hrstd="t" o:hr="t" fillcolor="#a0a0a0" stroked="f"/>
      </w:pict>
    </w:r>
  </w:p>
  <w:p w14:paraId="36DDBAC6" w14:textId="77777777" w:rsidR="008F2248" w:rsidRDefault="009A73C0" w:rsidP="006E2BD8">
    <w:pPr>
      <w:pStyle w:val="Footer"/>
      <w:jc w:val="center"/>
    </w:pPr>
    <w:r>
      <w:rPr>
        <w:noProof/>
      </w:rPr>
      <w:drawing>
        <wp:inline distT="0" distB="0" distL="0" distR="0" wp14:anchorId="0865921E" wp14:editId="3BA32EF6">
          <wp:extent cx="5238750" cy="323850"/>
          <wp:effectExtent l="0" t="0" r="0" b="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21C81" w14:textId="77777777" w:rsidR="00250AE0" w:rsidRDefault="00250AE0" w:rsidP="00A343FF">
      <w:pPr>
        <w:spacing w:after="0" w:line="240" w:lineRule="auto"/>
      </w:pPr>
      <w:r>
        <w:separator/>
      </w:r>
    </w:p>
  </w:footnote>
  <w:footnote w:type="continuationSeparator" w:id="0">
    <w:p w14:paraId="7018FAB0" w14:textId="77777777" w:rsidR="00250AE0" w:rsidRDefault="00250AE0" w:rsidP="00A343FF">
      <w:pPr>
        <w:spacing w:after="0" w:line="240" w:lineRule="auto"/>
      </w:pPr>
      <w:r>
        <w:continuationSeparator/>
      </w:r>
    </w:p>
  </w:footnote>
  <w:footnote w:type="continuationNotice" w:id="1">
    <w:p w14:paraId="48F6F609" w14:textId="77777777" w:rsidR="00250AE0" w:rsidRDefault="00250AE0">
      <w:pPr>
        <w:spacing w:after="0" w:line="240" w:lineRule="auto"/>
      </w:pPr>
    </w:p>
  </w:footnote>
  <w:footnote w:id="2">
    <w:p w14:paraId="3BB5E23B" w14:textId="01C85216" w:rsidR="009B72D0" w:rsidRPr="00183FBF" w:rsidRDefault="009B72D0" w:rsidP="00183FBF">
      <w:pPr>
        <w:pStyle w:val="FootnoteText"/>
        <w:ind w:firstLine="709"/>
        <w:jc w:val="both"/>
        <w:rPr>
          <w:rFonts w:ascii="Cambria" w:hAnsi="Cambria"/>
          <w:sz w:val="16"/>
          <w:szCs w:val="16"/>
        </w:rPr>
      </w:pPr>
      <w:r w:rsidRPr="00183FBF">
        <w:rPr>
          <w:rStyle w:val="FootnoteReference"/>
          <w:rFonts w:ascii="Cambria" w:hAnsi="Cambria"/>
          <w:sz w:val="16"/>
          <w:szCs w:val="16"/>
        </w:rPr>
        <w:footnoteRef/>
      </w:r>
      <w:r w:rsidRPr="00183FBF">
        <w:rPr>
          <w:rFonts w:ascii="Cambria" w:hAnsi="Cambria"/>
          <w:sz w:val="16"/>
          <w:szCs w:val="16"/>
        </w:rPr>
        <w:t xml:space="preserve"> </w:t>
      </w:r>
      <w:r w:rsidR="00183FBF">
        <w:rPr>
          <w:rFonts w:ascii="Cambria" w:hAnsi="Cambria"/>
          <w:sz w:val="16"/>
          <w:szCs w:val="16"/>
        </w:rPr>
        <w:t xml:space="preserve">See </w:t>
      </w:r>
      <w:r w:rsidRPr="00183FBF">
        <w:rPr>
          <w:rFonts w:ascii="Cambria" w:hAnsi="Cambria"/>
          <w:sz w:val="16"/>
          <w:szCs w:val="16"/>
        </w:rPr>
        <w:t>IACHR, Report No. 86/20 Case 12.732, Friendly Settlement, Richard Conrad Solórzano Contreras</w:t>
      </w:r>
      <w:r w:rsidR="00183FBF">
        <w:rPr>
          <w:rFonts w:ascii="Cambria" w:hAnsi="Cambria"/>
          <w:sz w:val="16"/>
          <w:szCs w:val="16"/>
        </w:rPr>
        <w:t>.</w:t>
      </w:r>
      <w:r w:rsidRPr="00183FBF">
        <w:rPr>
          <w:rFonts w:ascii="Cambria" w:hAnsi="Cambria"/>
          <w:sz w:val="16"/>
          <w:szCs w:val="16"/>
        </w:rPr>
        <w:t xml:space="preserve"> Guatemala</w:t>
      </w:r>
      <w:r w:rsidR="00183FBF">
        <w:rPr>
          <w:rFonts w:ascii="Cambria" w:hAnsi="Cambria"/>
          <w:sz w:val="16"/>
          <w:szCs w:val="16"/>
        </w:rPr>
        <w:t>.</w:t>
      </w:r>
      <w:r w:rsidRPr="00183FBF">
        <w:rPr>
          <w:rFonts w:ascii="Cambria" w:hAnsi="Cambria"/>
          <w:sz w:val="16"/>
          <w:szCs w:val="16"/>
        </w:rPr>
        <w:t xml:space="preserve"> June 1, 2020. </w:t>
      </w:r>
      <w:r w:rsidR="00183FBF">
        <w:rPr>
          <w:rFonts w:ascii="Cambria" w:hAnsi="Cambria"/>
          <w:sz w:val="16"/>
          <w:szCs w:val="16"/>
        </w:rPr>
        <w:t>Available at:</w:t>
      </w:r>
      <w:r w:rsidR="00183FBF" w:rsidRPr="00183FBF">
        <w:t xml:space="preserve"> </w:t>
      </w:r>
      <w:hyperlink r:id="rId1" w:history="1">
        <w:r w:rsidR="00183FBF" w:rsidRPr="00EB414D">
          <w:rPr>
            <w:rStyle w:val="Hyperlink"/>
            <w:rFonts w:ascii="Cambria" w:hAnsi="Cambria"/>
            <w:sz w:val="16"/>
            <w:szCs w:val="16"/>
          </w:rPr>
          <w:t>https://www.oas.org/en/iachr/decisions/2020/gusa12732en.pdf</w:t>
        </w:r>
      </w:hyperlink>
      <w:r w:rsidR="00183FBF">
        <w:rPr>
          <w:rFonts w:ascii="Cambria" w:hAnsi="Cambria"/>
          <w:sz w:val="16"/>
          <w:szCs w:val="16"/>
        </w:rPr>
        <w:t xml:space="preserve">. </w:t>
      </w:r>
      <w:r w:rsidRPr="00183FBF">
        <w:rPr>
          <w:rFonts w:ascii="Cambria" w:hAnsi="Cambria"/>
          <w:sz w:val="16"/>
          <w:szCs w:val="16"/>
        </w:rPr>
        <w:t xml:space="preserve"> </w:t>
      </w:r>
    </w:p>
  </w:footnote>
  <w:footnote w:id="3">
    <w:p w14:paraId="4BB4C9B3" w14:textId="5066846E" w:rsidR="009B72D0" w:rsidRPr="00183FBF" w:rsidRDefault="009B72D0" w:rsidP="00183FBF">
      <w:pPr>
        <w:pStyle w:val="FootnoteText"/>
        <w:ind w:firstLine="709"/>
        <w:jc w:val="both"/>
        <w:rPr>
          <w:rFonts w:ascii="Cambria" w:hAnsi="Cambria"/>
          <w:sz w:val="16"/>
          <w:szCs w:val="16"/>
        </w:rPr>
      </w:pPr>
      <w:r w:rsidRPr="00183FBF">
        <w:rPr>
          <w:rStyle w:val="FootnoteReference"/>
          <w:rFonts w:ascii="Cambria" w:hAnsi="Cambria"/>
          <w:sz w:val="16"/>
          <w:szCs w:val="16"/>
        </w:rPr>
        <w:footnoteRef/>
      </w:r>
      <w:r w:rsidRPr="00183FBF">
        <w:rPr>
          <w:rFonts w:ascii="Cambria" w:hAnsi="Cambria"/>
          <w:sz w:val="16"/>
          <w:szCs w:val="16"/>
        </w:rPr>
        <w:t xml:space="preserve"> </w:t>
      </w:r>
      <w:r w:rsidR="00A00A33">
        <w:rPr>
          <w:rFonts w:ascii="Cambria" w:hAnsi="Cambria"/>
          <w:sz w:val="16"/>
          <w:szCs w:val="16"/>
        </w:rPr>
        <w:t xml:space="preserve">See </w:t>
      </w:r>
      <w:r w:rsidRPr="00A00A33">
        <w:rPr>
          <w:rFonts w:ascii="Cambria" w:hAnsi="Cambria"/>
          <w:sz w:val="16"/>
          <w:szCs w:val="16"/>
        </w:rPr>
        <w:t>IACHR, Annual Report 2023, Chapter II, Section C, Advances and challenges on negotiation and implementation of friendly settlement agreements.</w:t>
      </w:r>
      <w:r w:rsidR="00A00A33">
        <w:rPr>
          <w:rFonts w:ascii="Cambria" w:hAnsi="Cambria"/>
          <w:sz w:val="16"/>
          <w:szCs w:val="16"/>
        </w:rPr>
        <w:t xml:space="preserve"> Available at: </w:t>
      </w:r>
      <w:hyperlink r:id="rId2" w:history="1">
        <w:r w:rsidR="00A00A33" w:rsidRPr="00EB414D">
          <w:rPr>
            <w:rStyle w:val="Hyperlink"/>
            <w:rFonts w:ascii="Cambria" w:hAnsi="Cambria"/>
            <w:sz w:val="16"/>
            <w:szCs w:val="16"/>
          </w:rPr>
          <w:t>https://www.oas.org/en/iachr/docs/annual/2023/chapters/IA2023_Cap_2_ENG.PDF</w:t>
        </w:r>
      </w:hyperlink>
      <w:r w:rsidR="00A00A33">
        <w:rPr>
          <w:rFonts w:ascii="Cambria" w:hAnsi="Cambria"/>
          <w:sz w:val="16"/>
          <w:szCs w:val="16"/>
        </w:rPr>
        <w:t xml:space="preserve">. </w:t>
      </w:r>
    </w:p>
  </w:footnote>
  <w:footnote w:id="4">
    <w:p w14:paraId="4476BBA7" w14:textId="528C2671" w:rsidR="00183FBF" w:rsidRPr="00730A61" w:rsidRDefault="00183FBF" w:rsidP="00183FBF">
      <w:pPr>
        <w:pStyle w:val="FootnoteText"/>
        <w:ind w:firstLine="709"/>
        <w:jc w:val="both"/>
        <w:rPr>
          <w:rFonts w:ascii="Cambria" w:hAnsi="Cambria"/>
          <w:sz w:val="16"/>
          <w:szCs w:val="16"/>
        </w:rPr>
      </w:pPr>
      <w:r w:rsidRPr="00183FBF">
        <w:rPr>
          <w:rStyle w:val="FootnoteReference"/>
          <w:rFonts w:ascii="Cambria" w:hAnsi="Cambria"/>
          <w:sz w:val="16"/>
          <w:szCs w:val="16"/>
        </w:rPr>
        <w:footnoteRef/>
      </w:r>
      <w:r w:rsidRPr="00183FBF">
        <w:rPr>
          <w:rFonts w:ascii="Cambria" w:hAnsi="Cambria"/>
          <w:sz w:val="16"/>
          <w:szCs w:val="16"/>
        </w:rPr>
        <w:t xml:space="preserve"> </w:t>
      </w:r>
      <w:r w:rsidRPr="00730A61">
        <w:rPr>
          <w:rFonts w:ascii="Cambria" w:hAnsi="Cambria"/>
          <w:sz w:val="16"/>
          <w:szCs w:val="16"/>
        </w:rPr>
        <w:t xml:space="preserve">See IACHR, Annual Report 2024, Chapter II, Section C. Advances and challenges on negotiation and implementation of friendly settlements agreements. Available at: </w:t>
      </w:r>
      <w:hyperlink r:id="rId3" w:history="1">
        <w:r w:rsidRPr="00730A61">
          <w:rPr>
            <w:rStyle w:val="Hyperlink"/>
            <w:rFonts w:ascii="Cambria" w:hAnsi="Cambria"/>
            <w:sz w:val="16"/>
            <w:szCs w:val="16"/>
          </w:rPr>
          <w:t>https://www.oas.org/en/iachr/docs/annual/2024/chapters/IA2024_2_EN.PDF</w:t>
        </w:r>
      </w:hyperlink>
      <w:r w:rsidRPr="00730A61">
        <w:rPr>
          <w:rFonts w:ascii="Cambria" w:hAnsi="Cambria"/>
          <w:sz w:val="16"/>
          <w:szCs w:val="16"/>
        </w:rPr>
        <w:t xml:space="preserve">. </w:t>
      </w:r>
    </w:p>
  </w:footnote>
  <w:footnote w:id="5">
    <w:p w14:paraId="3C4E2522" w14:textId="72D79C22" w:rsidR="009B72D0" w:rsidRPr="00A00A33" w:rsidRDefault="009B72D0" w:rsidP="00A00A33">
      <w:pPr>
        <w:pStyle w:val="FootnoteText"/>
        <w:ind w:firstLine="709"/>
        <w:jc w:val="both"/>
        <w:rPr>
          <w:rFonts w:ascii="Cambria" w:hAnsi="Cambria" w:cs="Cambria"/>
          <w:sz w:val="16"/>
          <w:szCs w:val="16"/>
        </w:rPr>
      </w:pPr>
      <w:r w:rsidRPr="00183FBF">
        <w:rPr>
          <w:rStyle w:val="FootnoteReference"/>
          <w:rFonts w:ascii="Cambria" w:hAnsi="Cambria" w:cs="Cambria"/>
          <w:sz w:val="16"/>
          <w:szCs w:val="16"/>
        </w:rPr>
        <w:footnoteRef/>
      </w:r>
      <w:r w:rsidRPr="00183FBF">
        <w:rPr>
          <w:rFonts w:ascii="Cambria" w:hAnsi="Cambria"/>
          <w:sz w:val="16"/>
          <w:szCs w:val="16"/>
        </w:rPr>
        <w:t xml:space="preserve"> </w:t>
      </w:r>
      <w:r w:rsidR="00A00A33">
        <w:rPr>
          <w:rFonts w:ascii="Cambria" w:hAnsi="Cambria"/>
          <w:sz w:val="16"/>
          <w:szCs w:val="16"/>
        </w:rPr>
        <w:t xml:space="preserve">See </w:t>
      </w:r>
      <w:r w:rsidR="00A00A33" w:rsidRPr="00183FBF">
        <w:rPr>
          <w:rFonts w:ascii="Cambria" w:hAnsi="Cambria"/>
          <w:sz w:val="16"/>
          <w:szCs w:val="16"/>
        </w:rPr>
        <w:t>IACHR, Report No. 86/20 Case 12.732, Friendly Settlement, Richard Conrad Solórzano Contreras</w:t>
      </w:r>
      <w:r w:rsidR="00A00A33">
        <w:rPr>
          <w:rFonts w:ascii="Cambria" w:hAnsi="Cambria"/>
          <w:sz w:val="16"/>
          <w:szCs w:val="16"/>
        </w:rPr>
        <w:t>.</w:t>
      </w:r>
      <w:r w:rsidR="00A00A33" w:rsidRPr="00183FBF">
        <w:rPr>
          <w:rFonts w:ascii="Cambria" w:hAnsi="Cambria"/>
          <w:sz w:val="16"/>
          <w:szCs w:val="16"/>
        </w:rPr>
        <w:t xml:space="preserve"> Guatemala</w:t>
      </w:r>
      <w:r w:rsidR="00A00A33">
        <w:rPr>
          <w:rFonts w:ascii="Cambria" w:hAnsi="Cambria"/>
          <w:sz w:val="16"/>
          <w:szCs w:val="16"/>
        </w:rPr>
        <w:t>.</w:t>
      </w:r>
      <w:r w:rsidR="00A00A33" w:rsidRPr="00183FBF">
        <w:rPr>
          <w:rFonts w:ascii="Cambria" w:hAnsi="Cambria"/>
          <w:sz w:val="16"/>
          <w:szCs w:val="16"/>
        </w:rPr>
        <w:t xml:space="preserve"> June 1, 2020. </w:t>
      </w:r>
      <w:r w:rsidR="00A00A33">
        <w:rPr>
          <w:rFonts w:ascii="Cambria" w:hAnsi="Cambria"/>
          <w:sz w:val="16"/>
          <w:szCs w:val="16"/>
        </w:rPr>
        <w:t>Available at:</w:t>
      </w:r>
      <w:r w:rsidR="00A00A33" w:rsidRPr="00183FBF">
        <w:t xml:space="preserve"> </w:t>
      </w:r>
      <w:hyperlink r:id="rId4" w:history="1">
        <w:r w:rsidR="00A00A33" w:rsidRPr="00EB414D">
          <w:rPr>
            <w:rStyle w:val="Hyperlink"/>
            <w:rFonts w:ascii="Cambria" w:hAnsi="Cambria"/>
            <w:sz w:val="16"/>
            <w:szCs w:val="16"/>
          </w:rPr>
          <w:t>https://www.oas.org/en/iachr/decisions/2020/gusa12732en.pdf</w:t>
        </w:r>
      </w:hyperlink>
      <w:r w:rsidR="00A00A33">
        <w:rPr>
          <w:rFonts w:ascii="Cambria" w:hAnsi="Cambria"/>
          <w:sz w:val="16"/>
          <w:szCs w:val="16"/>
        </w:rPr>
        <w:t xml:space="preserve">. </w:t>
      </w:r>
      <w:r w:rsidR="00A00A33" w:rsidRPr="00183FBF">
        <w:rPr>
          <w:rFonts w:ascii="Cambria" w:hAnsi="Cambri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D530"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B052" w14:textId="77777777" w:rsidR="00A343FF" w:rsidRDefault="009A73C0" w:rsidP="00DC7C8F">
    <w:pPr>
      <w:pStyle w:val="Header"/>
      <w:jc w:val="center"/>
    </w:pPr>
    <w:r>
      <w:rPr>
        <w:noProof/>
      </w:rPr>
      <w:drawing>
        <wp:inline distT="0" distB="0" distL="0" distR="0" wp14:anchorId="3DA1D74D" wp14:editId="04CD84E3">
          <wp:extent cx="2286000" cy="114300"/>
          <wp:effectExtent l="0" t="0" r="0" b="0"/>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
                  </a:xfrm>
                  <a:prstGeom prst="rect">
                    <a:avLst/>
                  </a:prstGeom>
                  <a:noFill/>
                  <a:ln>
                    <a:noFill/>
                  </a:ln>
                </pic:spPr>
              </pic:pic>
            </a:graphicData>
          </a:graphic>
        </wp:inline>
      </w:drawing>
    </w:r>
  </w:p>
  <w:p w14:paraId="5548F4C2" w14:textId="77777777" w:rsidR="00A343FF" w:rsidRDefault="00EF656F">
    <w:pPr>
      <w:pStyle w:val="Header"/>
    </w:pPr>
    <w:r>
      <w:rPr>
        <w:noProof/>
      </w:rPr>
      <w:pict w14:anchorId="5B6F98C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6893" w14:textId="77777777" w:rsidR="00A61B5E" w:rsidRDefault="009A73C0" w:rsidP="00A61B5E">
    <w:pPr>
      <w:pStyle w:val="Header"/>
    </w:pPr>
    <w:r>
      <w:rPr>
        <w:noProof/>
      </w:rPr>
      <w:drawing>
        <wp:anchor distT="0" distB="0" distL="114300" distR="114300" simplePos="0" relativeHeight="251657216" behindDoc="1" locked="0" layoutInCell="1" allowOverlap="1" wp14:anchorId="49D89616" wp14:editId="1502AB67">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88546992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27646FE" wp14:editId="2E8E3712">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141" y="0"/>
              <wp:lineTo x="0" y="4397"/>
              <wp:lineTo x="0" y="14290"/>
              <wp:lineTo x="143" y="17588"/>
              <wp:lineTo x="998" y="20885"/>
              <wp:lineTo x="1141" y="20885"/>
              <wp:lineTo x="3850" y="20885"/>
              <wp:lineTo x="4135" y="20885"/>
              <wp:lineTo x="5133" y="17588"/>
              <wp:lineTo x="21529" y="17588"/>
              <wp:lineTo x="21529" y="11542"/>
              <wp:lineTo x="20388" y="8794"/>
              <wp:lineTo x="20673" y="4947"/>
              <wp:lineTo x="18820" y="3847"/>
              <wp:lineTo x="4135" y="0"/>
              <wp:lineTo x="1141" y="0"/>
            </wp:wrapPolygon>
          </wp:wrapThrough>
          <wp:docPr id="2"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6FE98F63" w14:textId="77777777" w:rsidR="00F53B51" w:rsidRDefault="00F53B51" w:rsidP="00A61B5E">
    <w:pPr>
      <w:pStyle w:val="Header"/>
    </w:pPr>
  </w:p>
  <w:p w14:paraId="6E2ECDCF" w14:textId="77777777" w:rsidR="00F53B51" w:rsidRDefault="00F53B51" w:rsidP="00A61B5E">
    <w:pPr>
      <w:pStyle w:val="Header"/>
    </w:pPr>
  </w:p>
  <w:p w14:paraId="149A805A" w14:textId="77777777" w:rsidR="00A61B5E" w:rsidRDefault="00EF656F" w:rsidP="00A61B5E">
    <w:pPr>
      <w:pStyle w:val="Header"/>
    </w:pPr>
    <w:r>
      <w:rPr>
        <w:noProof/>
      </w:rPr>
      <w:pict w14:anchorId="20E37B3E">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6B3"/>
    <w:multiLevelType w:val="hybridMultilevel"/>
    <w:tmpl w:val="3D7C4DF6"/>
    <w:lvl w:ilvl="0" w:tplc="060653D6">
      <w:start w:val="1"/>
      <w:numFmt w:val="decimal"/>
      <w:lvlText w:val="%1."/>
      <w:lvlJc w:val="left"/>
      <w:pPr>
        <w:ind w:left="720" w:hanging="360"/>
      </w:pPr>
      <w:rPr>
        <w:rFonts w:ascii="Cambria" w:eastAsia="Batang" w:hAnsi="Cambria" w:hint="default"/>
        <w:b w:val="0"/>
        <w:bCs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B31EB2"/>
    <w:multiLevelType w:val="hybridMultilevel"/>
    <w:tmpl w:val="F2EE32A4"/>
    <w:lvl w:ilvl="0" w:tplc="78CEEF1C">
      <w:start w:val="1"/>
      <w:numFmt w:val="decimal"/>
      <w:lvlText w:val="%1."/>
      <w:lvlJc w:val="left"/>
      <w:pPr>
        <w:ind w:left="1080" w:hanging="360"/>
      </w:pPr>
      <w:rPr>
        <w:rFonts w:ascii="Cambria" w:hAnsi="Cambria" w:cs="Cambria" w:hint="default"/>
        <w:b w:val="0"/>
        <w:bCs w:val="0"/>
        <w:sz w:val="20"/>
        <w:szCs w:val="20"/>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2" w15:restartNumberingAfterBreak="0">
    <w:nsid w:val="0AA10711"/>
    <w:multiLevelType w:val="hybridMultilevel"/>
    <w:tmpl w:val="3CFA9B1A"/>
    <w:lvl w:ilvl="0" w:tplc="E814C9C6">
      <w:start w:val="1"/>
      <w:numFmt w:val="upperLetter"/>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D01CC"/>
    <w:multiLevelType w:val="hybridMultilevel"/>
    <w:tmpl w:val="8970FA82"/>
    <w:lvl w:ilvl="0" w:tplc="081690D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F407A"/>
    <w:multiLevelType w:val="hybridMultilevel"/>
    <w:tmpl w:val="80BAD2B4"/>
    <w:lvl w:ilvl="0" w:tplc="4FD070B4">
      <w:start w:val="2"/>
      <w:numFmt w:val="bullet"/>
      <w:lvlText w:val="-"/>
      <w:lvlJc w:val="left"/>
      <w:pPr>
        <w:ind w:left="720" w:hanging="360"/>
      </w:pPr>
      <w:rPr>
        <w:rFonts w:ascii="Cambria" w:eastAsia="Batang" w:hAnsi="Cambria"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CB5C7B"/>
    <w:multiLevelType w:val="hybridMultilevel"/>
    <w:tmpl w:val="3CB0A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61104"/>
    <w:multiLevelType w:val="hybridMultilevel"/>
    <w:tmpl w:val="E0B62022"/>
    <w:lvl w:ilvl="0" w:tplc="1E3C3D4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B3573"/>
    <w:multiLevelType w:val="hybridMultilevel"/>
    <w:tmpl w:val="98F2158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480D41"/>
    <w:multiLevelType w:val="hybridMultilevel"/>
    <w:tmpl w:val="C2D873C2"/>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58F30BF"/>
    <w:multiLevelType w:val="hybridMultilevel"/>
    <w:tmpl w:val="9E8CF8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F03100"/>
    <w:multiLevelType w:val="hybridMultilevel"/>
    <w:tmpl w:val="F88EE254"/>
    <w:lvl w:ilvl="0" w:tplc="DABE6054">
      <w:start w:val="1"/>
      <w:numFmt w:val="decimal"/>
      <w:lvlText w:val="%1."/>
      <w:lvlJc w:val="left"/>
      <w:pPr>
        <w:ind w:left="720" w:hanging="360"/>
      </w:pPr>
    </w:lvl>
    <w:lvl w:ilvl="1" w:tplc="0C0A0019">
      <w:start w:val="1"/>
      <w:numFmt w:val="lowerLetter"/>
      <w:lvlText w:val="%2."/>
      <w:lvlJc w:val="left"/>
      <w:pPr>
        <w:ind w:left="1980" w:hanging="360"/>
      </w:pPr>
    </w:lvl>
    <w:lvl w:ilvl="2" w:tplc="0C0A001B">
      <w:start w:val="1"/>
      <w:numFmt w:val="lowerRoman"/>
      <w:lvlText w:val="%3."/>
      <w:lvlJc w:val="right"/>
      <w:pPr>
        <w:ind w:left="2700" w:hanging="180"/>
      </w:pPr>
    </w:lvl>
    <w:lvl w:ilvl="3" w:tplc="0C0A000F">
      <w:start w:val="1"/>
      <w:numFmt w:val="decimal"/>
      <w:lvlText w:val="%4."/>
      <w:lvlJc w:val="left"/>
      <w:pPr>
        <w:ind w:left="3420" w:hanging="360"/>
      </w:pPr>
    </w:lvl>
    <w:lvl w:ilvl="4" w:tplc="0C0A0019">
      <w:start w:val="1"/>
      <w:numFmt w:val="lowerLetter"/>
      <w:lvlText w:val="%5."/>
      <w:lvlJc w:val="left"/>
      <w:pPr>
        <w:ind w:left="4140" w:hanging="360"/>
      </w:pPr>
    </w:lvl>
    <w:lvl w:ilvl="5" w:tplc="0C0A001B">
      <w:start w:val="1"/>
      <w:numFmt w:val="lowerRoman"/>
      <w:lvlText w:val="%6."/>
      <w:lvlJc w:val="right"/>
      <w:pPr>
        <w:ind w:left="4860" w:hanging="180"/>
      </w:pPr>
    </w:lvl>
    <w:lvl w:ilvl="6" w:tplc="0C0A000F">
      <w:start w:val="1"/>
      <w:numFmt w:val="decimal"/>
      <w:lvlText w:val="%7."/>
      <w:lvlJc w:val="left"/>
      <w:pPr>
        <w:ind w:left="5580" w:hanging="360"/>
      </w:pPr>
    </w:lvl>
    <w:lvl w:ilvl="7" w:tplc="0C0A0019">
      <w:start w:val="1"/>
      <w:numFmt w:val="lowerLetter"/>
      <w:lvlText w:val="%8."/>
      <w:lvlJc w:val="left"/>
      <w:pPr>
        <w:ind w:left="6300" w:hanging="360"/>
      </w:pPr>
    </w:lvl>
    <w:lvl w:ilvl="8" w:tplc="0C0A001B">
      <w:start w:val="1"/>
      <w:numFmt w:val="lowerRoman"/>
      <w:lvlText w:val="%9."/>
      <w:lvlJc w:val="right"/>
      <w:pPr>
        <w:ind w:left="7020" w:hanging="180"/>
      </w:pPr>
    </w:lvl>
  </w:abstractNum>
  <w:abstractNum w:abstractNumId="11" w15:restartNumberingAfterBreak="0">
    <w:nsid w:val="17500734"/>
    <w:multiLevelType w:val="multilevel"/>
    <w:tmpl w:val="1BDAC532"/>
    <w:lvl w:ilvl="0">
      <w:start w:val="1"/>
      <w:numFmt w:val="decimal"/>
      <w:lvlText w:val="%1."/>
      <w:lvlJc w:val="left"/>
      <w:pPr>
        <w:ind w:left="1080" w:hanging="360"/>
      </w:pPr>
      <w:rPr>
        <w:rFonts w:ascii="Cambria" w:hAnsi="Cambria" w:hint="default"/>
        <w:sz w:val="20"/>
        <w:szCs w:val="20"/>
      </w:rPr>
    </w:lvl>
    <w:lvl w:ilvl="1">
      <w:start w:val="1"/>
      <w:numFmt w:val="decimal"/>
      <w:isLgl/>
      <w:lvlText w:val="%1.%2"/>
      <w:lvlJc w:val="left"/>
      <w:pPr>
        <w:ind w:left="36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1ACE7A24"/>
    <w:multiLevelType w:val="hybridMultilevel"/>
    <w:tmpl w:val="21843F30"/>
    <w:lvl w:ilvl="0" w:tplc="C15680D8">
      <w:start w:val="4"/>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7753E"/>
    <w:multiLevelType w:val="hybridMultilevel"/>
    <w:tmpl w:val="60865F60"/>
    <w:lvl w:ilvl="0" w:tplc="080A0001">
      <w:start w:val="1"/>
      <w:numFmt w:val="bullet"/>
      <w:lvlText w:val=""/>
      <w:lvlJc w:val="left"/>
      <w:pPr>
        <w:ind w:left="1440" w:hanging="360"/>
      </w:pPr>
      <w:rPr>
        <w:rFonts w:ascii="Symbol" w:hAnsi="Symbol" w:cs="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cs="Wingdings" w:hint="default"/>
      </w:rPr>
    </w:lvl>
    <w:lvl w:ilvl="3" w:tplc="080A0001">
      <w:start w:val="1"/>
      <w:numFmt w:val="bullet"/>
      <w:lvlText w:val=""/>
      <w:lvlJc w:val="left"/>
      <w:pPr>
        <w:ind w:left="3600" w:hanging="360"/>
      </w:pPr>
      <w:rPr>
        <w:rFonts w:ascii="Symbol" w:hAnsi="Symbol" w:cs="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cs="Wingdings" w:hint="default"/>
      </w:rPr>
    </w:lvl>
    <w:lvl w:ilvl="6" w:tplc="080A0001">
      <w:start w:val="1"/>
      <w:numFmt w:val="bullet"/>
      <w:lvlText w:val=""/>
      <w:lvlJc w:val="left"/>
      <w:pPr>
        <w:ind w:left="5760" w:hanging="360"/>
      </w:pPr>
      <w:rPr>
        <w:rFonts w:ascii="Symbol" w:hAnsi="Symbol" w:cs="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cs="Wingdings" w:hint="default"/>
      </w:rPr>
    </w:lvl>
  </w:abstractNum>
  <w:abstractNum w:abstractNumId="15" w15:restartNumberingAfterBreak="0">
    <w:nsid w:val="1F327DAA"/>
    <w:multiLevelType w:val="hybridMultilevel"/>
    <w:tmpl w:val="564C2810"/>
    <w:lvl w:ilvl="0" w:tplc="66AC60D4">
      <w:start w:val="2"/>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09C2857"/>
    <w:multiLevelType w:val="multilevel"/>
    <w:tmpl w:val="6CDEE4F4"/>
    <w:lvl w:ilvl="0">
      <w:start w:val="1"/>
      <w:numFmt w:val="decimal"/>
      <w:lvlText w:val="%1."/>
      <w:lvlJc w:val="left"/>
      <w:pPr>
        <w:tabs>
          <w:tab w:val="num" w:pos="720"/>
        </w:tabs>
        <w:ind w:left="720" w:hanging="360"/>
      </w:pPr>
      <w:rPr>
        <w:rFonts w:ascii="Cambria" w:hAnsi="Cambria" w:hint="default"/>
      </w:rPr>
    </w:lvl>
    <w:lvl w:ilvl="1">
      <w:start w:val="1"/>
      <w:numFmt w:val="upperRoman"/>
      <w:lvlText w:val="%2."/>
      <w:lvlJc w:val="left"/>
      <w:pPr>
        <w:ind w:left="1800" w:hanging="720"/>
      </w:pPr>
      <w:rPr>
        <w:rFonts w:ascii="Cambria" w:hAnsi="Cambria" w:hint="default"/>
        <w:b/>
        <w:sz w:val="20"/>
      </w:rPr>
    </w:lvl>
    <w:lvl w:ilvl="2">
      <w:start w:val="1"/>
      <w:numFmt w:val="lowerRoman"/>
      <w:lvlText w:val="%3."/>
      <w:lvlJc w:val="left"/>
      <w:pPr>
        <w:ind w:left="6120" w:hanging="720"/>
      </w:pPr>
      <w:rPr>
        <w:rFonts w:ascii="Cambria" w:hAnsi="Cambria" w:hint="default"/>
        <w:b/>
        <w:sz w:val="20"/>
      </w:rPr>
    </w:lvl>
    <w:lvl w:ilvl="3">
      <w:start w:val="4"/>
      <w:numFmt w:val="upperRoman"/>
      <w:lvlText w:val="%4&gt;"/>
      <w:lvlJc w:val="left"/>
      <w:pPr>
        <w:ind w:left="3240" w:hanging="720"/>
      </w:pPr>
      <w:rPr>
        <w:rFonts w:cs="Calibri Light" w:hint="default"/>
        <w:b/>
      </w:rPr>
    </w:lvl>
    <w:lvl w:ilvl="4">
      <w:start w:val="4"/>
      <w:numFmt w:val="bullet"/>
      <w:lvlText w:val="-"/>
      <w:lvlJc w:val="left"/>
      <w:pPr>
        <w:ind w:left="3600" w:hanging="360"/>
      </w:pPr>
      <w:rPr>
        <w:rFonts w:ascii="Cambria" w:eastAsia="Batang" w:hAnsi="Cambria" w:cstheme="minorBidi" w:hint="default"/>
        <w:color w:val="auto"/>
      </w:rPr>
    </w:lvl>
    <w:lvl w:ilvl="5">
      <w:start w:val="1"/>
      <w:numFmt w:val="upperLetter"/>
      <w:lvlText w:val="%6."/>
      <w:lvlJc w:val="left"/>
      <w:pPr>
        <w:ind w:left="4320" w:hanging="360"/>
      </w:pPr>
      <w:rPr>
        <w:rFonts w:eastAsiaTheme="minorHAnsi" w:cstheme="minorBidi"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82976"/>
    <w:multiLevelType w:val="hybridMultilevel"/>
    <w:tmpl w:val="A204FA62"/>
    <w:lvl w:ilvl="0" w:tplc="474CA6B0">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65A771A"/>
    <w:multiLevelType w:val="hybridMultilevel"/>
    <w:tmpl w:val="9D40096E"/>
    <w:lvl w:ilvl="0" w:tplc="FFFFFFFF">
      <w:start w:val="9"/>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D26642"/>
    <w:multiLevelType w:val="hybridMultilevel"/>
    <w:tmpl w:val="21F05E5E"/>
    <w:lvl w:ilvl="0" w:tplc="FFFFFFFF">
      <w:start w:val="2"/>
      <w:numFmt w:val="upperRoman"/>
      <w:lvlText w:val="%1."/>
      <w:lvlJc w:val="left"/>
      <w:pPr>
        <w:ind w:left="1080" w:hanging="72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F879C0"/>
    <w:multiLevelType w:val="hybridMultilevel"/>
    <w:tmpl w:val="931C1576"/>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D55483B"/>
    <w:multiLevelType w:val="hybridMultilevel"/>
    <w:tmpl w:val="6E0AE690"/>
    <w:lvl w:ilvl="0" w:tplc="6B1221EE">
      <w:start w:val="7"/>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092331"/>
    <w:multiLevelType w:val="hybridMultilevel"/>
    <w:tmpl w:val="EE8E5C28"/>
    <w:lvl w:ilvl="0" w:tplc="9712026A">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C20BE"/>
    <w:multiLevelType w:val="hybridMultilevel"/>
    <w:tmpl w:val="E67EED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3B73507"/>
    <w:multiLevelType w:val="hybridMultilevel"/>
    <w:tmpl w:val="47A61E54"/>
    <w:lvl w:ilvl="0" w:tplc="C76E7A1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0D220D"/>
    <w:multiLevelType w:val="hybridMultilevel"/>
    <w:tmpl w:val="B07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426321"/>
    <w:multiLevelType w:val="hybridMultilevel"/>
    <w:tmpl w:val="5284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8816C6"/>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E9675C"/>
    <w:multiLevelType w:val="hybridMultilevel"/>
    <w:tmpl w:val="AEFA1EBA"/>
    <w:lvl w:ilvl="0" w:tplc="C99CF52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3058BC"/>
    <w:multiLevelType w:val="hybridMultilevel"/>
    <w:tmpl w:val="EE164612"/>
    <w:lvl w:ilvl="0" w:tplc="FFFFFFFF">
      <w:start w:val="1"/>
      <w:numFmt w:val="upperLetter"/>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0246356"/>
    <w:multiLevelType w:val="hybridMultilevel"/>
    <w:tmpl w:val="C832D3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522C6C"/>
    <w:multiLevelType w:val="hybridMultilevel"/>
    <w:tmpl w:val="7F046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73535"/>
    <w:multiLevelType w:val="hybridMultilevel"/>
    <w:tmpl w:val="61A67360"/>
    <w:lvl w:ilvl="0" w:tplc="84565F88">
      <w:start w:val="1"/>
      <w:numFmt w:val="upperLetter"/>
      <w:lvlText w:val="%1."/>
      <w:lvlJc w:val="left"/>
      <w:pPr>
        <w:ind w:left="1080" w:hanging="360"/>
      </w:pPr>
      <w:rPr>
        <w:rFonts w:eastAsiaTheme="minorHAnsi" w:cstheme="minorBid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45EC3815"/>
    <w:multiLevelType w:val="hybridMultilevel"/>
    <w:tmpl w:val="634860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840792F"/>
    <w:multiLevelType w:val="hybridMultilevel"/>
    <w:tmpl w:val="5F5CAB6E"/>
    <w:lvl w:ilvl="0" w:tplc="4086A9CA">
      <w:numFmt w:val="bullet"/>
      <w:lvlText w:val="-"/>
      <w:lvlJc w:val="left"/>
      <w:pPr>
        <w:ind w:left="720" w:hanging="360"/>
      </w:pPr>
      <w:rPr>
        <w:rFonts w:ascii="Cambria" w:eastAsia="Calibri"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9D40730"/>
    <w:multiLevelType w:val="hybridMultilevel"/>
    <w:tmpl w:val="80C2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957859"/>
    <w:multiLevelType w:val="hybridMultilevel"/>
    <w:tmpl w:val="2ED4D6D8"/>
    <w:lvl w:ilvl="0" w:tplc="52144A8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8B4472"/>
    <w:multiLevelType w:val="hybridMultilevel"/>
    <w:tmpl w:val="F40C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BE51F1"/>
    <w:multiLevelType w:val="hybridMultilevel"/>
    <w:tmpl w:val="8F94CE6E"/>
    <w:lvl w:ilvl="0" w:tplc="DCA07888">
      <w:start w:val="1"/>
      <w:numFmt w:val="upperLetter"/>
      <w:lvlText w:val="%1."/>
      <w:lvlJc w:val="left"/>
      <w:pPr>
        <w:ind w:left="1080" w:hanging="360"/>
      </w:pPr>
      <w:rPr>
        <w:rFonts w:ascii="Cambria" w:hAnsi="Cambria"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9" w15:restartNumberingAfterBreak="0">
    <w:nsid w:val="51A607C2"/>
    <w:multiLevelType w:val="hybridMultilevel"/>
    <w:tmpl w:val="47D04940"/>
    <w:lvl w:ilvl="0" w:tplc="7C345A0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31E74AE"/>
    <w:multiLevelType w:val="hybridMultilevel"/>
    <w:tmpl w:val="5C4E9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41B5598"/>
    <w:multiLevelType w:val="hybridMultilevel"/>
    <w:tmpl w:val="82961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712C71"/>
    <w:multiLevelType w:val="hybridMultilevel"/>
    <w:tmpl w:val="598268C2"/>
    <w:lvl w:ilvl="0" w:tplc="D95091A6">
      <w:start w:val="3"/>
      <w:numFmt w:val="decimal"/>
      <w:lvlText w:val="%1."/>
      <w:lvlJc w:val="left"/>
      <w:pPr>
        <w:ind w:left="720" w:hanging="360"/>
      </w:pPr>
      <w:rPr>
        <w:rFonts w:ascii="Cambria" w:hAnsi="Cambria" w:cs="Cambria" w:hint="default"/>
        <w:b w:val="0"/>
        <w:bCs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4712EBB"/>
    <w:multiLevelType w:val="hybridMultilevel"/>
    <w:tmpl w:val="F23ECB98"/>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559A457C"/>
    <w:multiLevelType w:val="hybridMultilevel"/>
    <w:tmpl w:val="2AD22794"/>
    <w:lvl w:ilvl="0" w:tplc="BC2696BC">
      <w:start w:val="1"/>
      <w:numFmt w:val="upperRoman"/>
      <w:lvlText w:val="%1."/>
      <w:lvlJc w:val="left"/>
      <w:pPr>
        <w:ind w:left="144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6AF402B"/>
    <w:multiLevelType w:val="hybridMultilevel"/>
    <w:tmpl w:val="C884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773E5A"/>
    <w:multiLevelType w:val="hybridMultilevel"/>
    <w:tmpl w:val="E9C83F88"/>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BB90373"/>
    <w:multiLevelType w:val="hybridMultilevel"/>
    <w:tmpl w:val="BF280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C8F254F"/>
    <w:multiLevelType w:val="hybridMultilevel"/>
    <w:tmpl w:val="7A5EE584"/>
    <w:lvl w:ilvl="0" w:tplc="FFFFFFFF">
      <w:start w:val="1"/>
      <w:numFmt w:val="upperRoman"/>
      <w:lvlText w:val="%1."/>
      <w:lvlJc w:val="left"/>
      <w:pPr>
        <w:ind w:left="1440" w:hanging="720"/>
      </w:pPr>
      <w:rPr>
        <w:b/>
      </w:rPr>
    </w:lvl>
    <w:lvl w:ilvl="1" w:tplc="FFFFFFFF">
      <w:start w:val="1"/>
      <w:numFmt w:val="lowerLetter"/>
      <w:lvlText w:val="%2."/>
      <w:lvlJc w:val="left"/>
      <w:pPr>
        <w:ind w:left="990" w:hanging="360"/>
      </w:pPr>
    </w:lvl>
    <w:lvl w:ilvl="2" w:tplc="FFFFFFFF">
      <w:start w:val="1"/>
      <w:numFmt w:val="lowerRoman"/>
      <w:lvlText w:val="%3."/>
      <w:lvlJc w:val="right"/>
      <w:pPr>
        <w:ind w:left="1710" w:hanging="180"/>
      </w:pPr>
    </w:lvl>
    <w:lvl w:ilvl="3" w:tplc="B1CEB8EA">
      <w:start w:val="2"/>
      <w:numFmt w:val="decimal"/>
      <w:lvlText w:val="%4."/>
      <w:lvlJc w:val="left"/>
      <w:pPr>
        <w:ind w:left="2430" w:hanging="360"/>
      </w:pPr>
      <w:rPr>
        <w:rFonts w:hint="default"/>
      </w:r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49" w15:restartNumberingAfterBreak="0">
    <w:nsid w:val="5E2876C1"/>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DE6D06"/>
    <w:multiLevelType w:val="hybridMultilevel"/>
    <w:tmpl w:val="F5F41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6F1327"/>
    <w:multiLevelType w:val="hybridMultilevel"/>
    <w:tmpl w:val="58CCEF62"/>
    <w:lvl w:ilvl="0" w:tplc="3BB85CC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62D301AD"/>
    <w:multiLevelType w:val="hybridMultilevel"/>
    <w:tmpl w:val="16225D3E"/>
    <w:lvl w:ilvl="0" w:tplc="ADD442F4">
      <w:start w:val="2"/>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41424F1"/>
    <w:multiLevelType w:val="hybridMultilevel"/>
    <w:tmpl w:val="9884AD90"/>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64654F51"/>
    <w:multiLevelType w:val="hybridMultilevel"/>
    <w:tmpl w:val="736E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76EC8"/>
    <w:multiLevelType w:val="hybridMultilevel"/>
    <w:tmpl w:val="C832D3B2"/>
    <w:lvl w:ilvl="0" w:tplc="83B05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284106"/>
    <w:multiLevelType w:val="hybridMultilevel"/>
    <w:tmpl w:val="A08CC97E"/>
    <w:lvl w:ilvl="0" w:tplc="B0BC88B4">
      <w:start w:val="6"/>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921A3E"/>
    <w:multiLevelType w:val="hybridMultilevel"/>
    <w:tmpl w:val="0A6AE3E8"/>
    <w:lvl w:ilvl="0" w:tplc="F1726806">
      <w:start w:val="2"/>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656724"/>
    <w:multiLevelType w:val="hybridMultilevel"/>
    <w:tmpl w:val="1CFA08F0"/>
    <w:lvl w:ilvl="0" w:tplc="5228622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10773AA"/>
    <w:multiLevelType w:val="hybridMultilevel"/>
    <w:tmpl w:val="2AD22794"/>
    <w:lvl w:ilvl="0" w:tplc="BC2696BC">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18E2692"/>
    <w:multiLevelType w:val="hybridMultilevel"/>
    <w:tmpl w:val="4D7CE0A8"/>
    <w:lvl w:ilvl="0" w:tplc="4686E8B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71F50A04"/>
    <w:multiLevelType w:val="hybridMultilevel"/>
    <w:tmpl w:val="6C1E1AC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DC41D44"/>
    <w:multiLevelType w:val="hybridMultilevel"/>
    <w:tmpl w:val="826289F6"/>
    <w:lvl w:ilvl="0" w:tplc="83E6A65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D34362"/>
    <w:multiLevelType w:val="hybridMultilevel"/>
    <w:tmpl w:val="E3DAE8C0"/>
    <w:lvl w:ilvl="0" w:tplc="A88C816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E26E1D"/>
    <w:multiLevelType w:val="hybridMultilevel"/>
    <w:tmpl w:val="25BAA4B4"/>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81516721">
    <w:abstractNumId w:val="57"/>
  </w:num>
  <w:num w:numId="2" w16cid:durableId="386493659">
    <w:abstractNumId w:val="45"/>
  </w:num>
  <w:num w:numId="3" w16cid:durableId="1073046593">
    <w:abstractNumId w:val="35"/>
  </w:num>
  <w:num w:numId="4" w16cid:durableId="665286190">
    <w:abstractNumId w:val="44"/>
  </w:num>
  <w:num w:numId="5" w16cid:durableId="890190884">
    <w:abstractNumId w:val="34"/>
  </w:num>
  <w:num w:numId="6" w16cid:durableId="1269696070">
    <w:abstractNumId w:val="31"/>
  </w:num>
  <w:num w:numId="7" w16cid:durableId="369956807">
    <w:abstractNumId w:val="54"/>
  </w:num>
  <w:num w:numId="8" w16cid:durableId="1461067811">
    <w:abstractNumId w:val="50"/>
  </w:num>
  <w:num w:numId="9" w16cid:durableId="1469392667">
    <w:abstractNumId w:val="59"/>
  </w:num>
  <w:num w:numId="10" w16cid:durableId="126054260">
    <w:abstractNumId w:val="5"/>
  </w:num>
  <w:num w:numId="11" w16cid:durableId="14933726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0625847">
    <w:abstractNumId w:val="13"/>
  </w:num>
  <w:num w:numId="13" w16cid:durableId="888763914">
    <w:abstractNumId w:val="27"/>
  </w:num>
  <w:num w:numId="14" w16cid:durableId="1191532033">
    <w:abstractNumId w:val="1"/>
  </w:num>
  <w:num w:numId="15" w16cid:durableId="2065325609">
    <w:abstractNumId w:val="14"/>
  </w:num>
  <w:num w:numId="16" w16cid:durableId="203366524">
    <w:abstractNumId w:val="53"/>
  </w:num>
  <w:num w:numId="17" w16cid:durableId="1994485589">
    <w:abstractNumId w:val="52"/>
  </w:num>
  <w:num w:numId="18" w16cid:durableId="593170908">
    <w:abstractNumId w:val="23"/>
  </w:num>
  <w:num w:numId="19" w16cid:durableId="1387949599">
    <w:abstractNumId w:val="43"/>
  </w:num>
  <w:num w:numId="20" w16cid:durableId="2114475546">
    <w:abstractNumId w:val="41"/>
  </w:num>
  <w:num w:numId="21" w16cid:durableId="1129208414">
    <w:abstractNumId w:val="12"/>
  </w:num>
  <w:num w:numId="22" w16cid:durableId="54397452">
    <w:abstractNumId w:val="21"/>
  </w:num>
  <w:num w:numId="23" w16cid:durableId="2113012360">
    <w:abstractNumId w:val="42"/>
  </w:num>
  <w:num w:numId="24" w16cid:durableId="1256785358">
    <w:abstractNumId w:val="25"/>
  </w:num>
  <w:num w:numId="25" w16cid:durableId="621379413">
    <w:abstractNumId w:val="51"/>
  </w:num>
  <w:num w:numId="26" w16cid:durableId="977150517">
    <w:abstractNumId w:val="33"/>
  </w:num>
  <w:num w:numId="27" w16cid:durableId="328752619">
    <w:abstractNumId w:val="36"/>
  </w:num>
  <w:num w:numId="28" w16cid:durableId="189227929">
    <w:abstractNumId w:val="61"/>
  </w:num>
  <w:num w:numId="29" w16cid:durableId="1831368133">
    <w:abstractNumId w:val="60"/>
  </w:num>
  <w:num w:numId="30" w16cid:durableId="1716999929">
    <w:abstractNumId w:val="30"/>
  </w:num>
  <w:num w:numId="31" w16cid:durableId="1063480400">
    <w:abstractNumId w:val="22"/>
  </w:num>
  <w:num w:numId="32" w16cid:durableId="1943146568">
    <w:abstractNumId w:val="7"/>
  </w:num>
  <w:num w:numId="33" w16cid:durableId="1476990475">
    <w:abstractNumId w:val="17"/>
  </w:num>
  <w:num w:numId="34" w16cid:durableId="1228420666">
    <w:abstractNumId w:val="55"/>
  </w:num>
  <w:num w:numId="35" w16cid:durableId="7492617">
    <w:abstractNumId w:val="62"/>
  </w:num>
  <w:num w:numId="36" w16cid:durableId="308216504">
    <w:abstractNumId w:val="46"/>
  </w:num>
  <w:num w:numId="37" w16cid:durableId="1528759844">
    <w:abstractNumId w:val="2"/>
  </w:num>
  <w:num w:numId="38" w16cid:durableId="1001276887">
    <w:abstractNumId w:val="3"/>
  </w:num>
  <w:num w:numId="39" w16cid:durableId="2040281333">
    <w:abstractNumId w:val="56"/>
  </w:num>
  <w:num w:numId="40" w16cid:durableId="1169834467">
    <w:abstractNumId w:val="37"/>
  </w:num>
  <w:num w:numId="41" w16cid:durableId="1534853125">
    <w:abstractNumId w:val="49"/>
  </w:num>
  <w:num w:numId="42" w16cid:durableId="1927375965">
    <w:abstractNumId w:val="11"/>
  </w:num>
  <w:num w:numId="43" w16cid:durableId="1931157220">
    <w:abstractNumId w:val="39"/>
  </w:num>
  <w:num w:numId="44" w16cid:durableId="21077254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77730927">
    <w:abstractNumId w:val="32"/>
  </w:num>
  <w:num w:numId="46" w16cid:durableId="1750420369">
    <w:abstractNumId w:val="8"/>
  </w:num>
  <w:num w:numId="47" w16cid:durableId="1007442756">
    <w:abstractNumId w:val="48"/>
  </w:num>
  <w:num w:numId="48" w16cid:durableId="2028753163">
    <w:abstractNumId w:val="24"/>
  </w:num>
  <w:num w:numId="49" w16cid:durableId="20121007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80961885">
    <w:abstractNumId w:val="6"/>
  </w:num>
  <w:num w:numId="51" w16cid:durableId="1970820388">
    <w:abstractNumId w:val="63"/>
  </w:num>
  <w:num w:numId="52" w16cid:durableId="288047770">
    <w:abstractNumId w:val="26"/>
  </w:num>
  <w:num w:numId="53" w16cid:durableId="1149713471">
    <w:abstractNumId w:val="28"/>
  </w:num>
  <w:num w:numId="54" w16cid:durableId="975330207">
    <w:abstractNumId w:val="20"/>
  </w:num>
  <w:num w:numId="55" w16cid:durableId="1251038565">
    <w:abstractNumId w:val="18"/>
  </w:num>
  <w:num w:numId="56" w16cid:durableId="1472165521">
    <w:abstractNumId w:val="19"/>
  </w:num>
  <w:num w:numId="57" w16cid:durableId="1542013022">
    <w:abstractNumId w:val="29"/>
  </w:num>
  <w:num w:numId="58" w16cid:durableId="691104186">
    <w:abstractNumId w:val="47"/>
  </w:num>
  <w:num w:numId="59" w16cid:durableId="359859406">
    <w:abstractNumId w:val="16"/>
  </w:num>
  <w:num w:numId="60" w16cid:durableId="361516250">
    <w:abstractNumId w:val="4"/>
  </w:num>
  <w:num w:numId="61" w16cid:durableId="1644044314">
    <w:abstractNumId w:val="64"/>
  </w:num>
  <w:num w:numId="62" w16cid:durableId="1299458854">
    <w:abstractNumId w:val="15"/>
  </w:num>
  <w:num w:numId="63" w16cid:durableId="1502694876">
    <w:abstractNumId w:val="9"/>
  </w:num>
  <w:num w:numId="64" w16cid:durableId="1021197840">
    <w:abstractNumId w:val="40"/>
  </w:num>
  <w:num w:numId="65" w16cid:durableId="837379128">
    <w:abstractNumId w:val="0"/>
  </w:num>
  <w:num w:numId="66" w16cid:durableId="1383093250">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47B56"/>
    <w:rsid w:val="0006625E"/>
    <w:rsid w:val="00076A15"/>
    <w:rsid w:val="00086009"/>
    <w:rsid w:val="00092EFD"/>
    <w:rsid w:val="00096079"/>
    <w:rsid w:val="000E14E3"/>
    <w:rsid w:val="0012586C"/>
    <w:rsid w:val="00142634"/>
    <w:rsid w:val="0014555C"/>
    <w:rsid w:val="00150E20"/>
    <w:rsid w:val="00183FBF"/>
    <w:rsid w:val="00193906"/>
    <w:rsid w:val="0021669C"/>
    <w:rsid w:val="0022695E"/>
    <w:rsid w:val="00226F48"/>
    <w:rsid w:val="002319CE"/>
    <w:rsid w:val="00236A78"/>
    <w:rsid w:val="00237E17"/>
    <w:rsid w:val="00240E8E"/>
    <w:rsid w:val="00250AE0"/>
    <w:rsid w:val="00252981"/>
    <w:rsid w:val="002650A2"/>
    <w:rsid w:val="00283964"/>
    <w:rsid w:val="002859A9"/>
    <w:rsid w:val="00292B52"/>
    <w:rsid w:val="00294B17"/>
    <w:rsid w:val="002A39B2"/>
    <w:rsid w:val="002F121F"/>
    <w:rsid w:val="002F2DC7"/>
    <w:rsid w:val="00343CED"/>
    <w:rsid w:val="00393310"/>
    <w:rsid w:val="003C4836"/>
    <w:rsid w:val="003D2D55"/>
    <w:rsid w:val="003F2DDA"/>
    <w:rsid w:val="00400A82"/>
    <w:rsid w:val="00413FCD"/>
    <w:rsid w:val="004140B8"/>
    <w:rsid w:val="00457711"/>
    <w:rsid w:val="0047146A"/>
    <w:rsid w:val="004722BC"/>
    <w:rsid w:val="00486911"/>
    <w:rsid w:val="004B3074"/>
    <w:rsid w:val="004B5A99"/>
    <w:rsid w:val="004C1718"/>
    <w:rsid w:val="00506CFE"/>
    <w:rsid w:val="00513A38"/>
    <w:rsid w:val="00534F2B"/>
    <w:rsid w:val="005566F5"/>
    <w:rsid w:val="00593183"/>
    <w:rsid w:val="005A328E"/>
    <w:rsid w:val="005A5E14"/>
    <w:rsid w:val="005B3C19"/>
    <w:rsid w:val="005B6392"/>
    <w:rsid w:val="005C3542"/>
    <w:rsid w:val="005F4AAA"/>
    <w:rsid w:val="0060012C"/>
    <w:rsid w:val="00604132"/>
    <w:rsid w:val="00607CC7"/>
    <w:rsid w:val="00616891"/>
    <w:rsid w:val="00631A43"/>
    <w:rsid w:val="00641D03"/>
    <w:rsid w:val="00675EC0"/>
    <w:rsid w:val="00687213"/>
    <w:rsid w:val="006A25F7"/>
    <w:rsid w:val="006B6131"/>
    <w:rsid w:val="006E2BD8"/>
    <w:rsid w:val="006F0429"/>
    <w:rsid w:val="00720B84"/>
    <w:rsid w:val="00723C07"/>
    <w:rsid w:val="00730A61"/>
    <w:rsid w:val="00754FFD"/>
    <w:rsid w:val="00766B5B"/>
    <w:rsid w:val="00774F86"/>
    <w:rsid w:val="007A485F"/>
    <w:rsid w:val="007B0327"/>
    <w:rsid w:val="007B5729"/>
    <w:rsid w:val="007C2CC3"/>
    <w:rsid w:val="007C351D"/>
    <w:rsid w:val="007C3E98"/>
    <w:rsid w:val="007E361B"/>
    <w:rsid w:val="007F5F4E"/>
    <w:rsid w:val="0080119C"/>
    <w:rsid w:val="00802EFE"/>
    <w:rsid w:val="00807BAA"/>
    <w:rsid w:val="008550EF"/>
    <w:rsid w:val="008A7933"/>
    <w:rsid w:val="008E42E1"/>
    <w:rsid w:val="008F2248"/>
    <w:rsid w:val="00901B37"/>
    <w:rsid w:val="0090673A"/>
    <w:rsid w:val="00913220"/>
    <w:rsid w:val="00920591"/>
    <w:rsid w:val="00947E40"/>
    <w:rsid w:val="00967413"/>
    <w:rsid w:val="009949ED"/>
    <w:rsid w:val="009A73C0"/>
    <w:rsid w:val="009B219C"/>
    <w:rsid w:val="009B72D0"/>
    <w:rsid w:val="009C227B"/>
    <w:rsid w:val="009C4D87"/>
    <w:rsid w:val="009C55E2"/>
    <w:rsid w:val="009E73F0"/>
    <w:rsid w:val="009F7EAC"/>
    <w:rsid w:val="00A00A33"/>
    <w:rsid w:val="00A2502C"/>
    <w:rsid w:val="00A25CA7"/>
    <w:rsid w:val="00A31FA7"/>
    <w:rsid w:val="00A343FF"/>
    <w:rsid w:val="00A61B5E"/>
    <w:rsid w:val="00A7781B"/>
    <w:rsid w:val="00A94641"/>
    <w:rsid w:val="00AC40B7"/>
    <w:rsid w:val="00AE1B0F"/>
    <w:rsid w:val="00B056D9"/>
    <w:rsid w:val="00B1720D"/>
    <w:rsid w:val="00B205A7"/>
    <w:rsid w:val="00B5431F"/>
    <w:rsid w:val="00B806AC"/>
    <w:rsid w:val="00B93993"/>
    <w:rsid w:val="00BA2B9F"/>
    <w:rsid w:val="00BA7724"/>
    <w:rsid w:val="00BB46E5"/>
    <w:rsid w:val="00BD5E6F"/>
    <w:rsid w:val="00BE26A4"/>
    <w:rsid w:val="00C17F04"/>
    <w:rsid w:val="00C402CB"/>
    <w:rsid w:val="00C44D28"/>
    <w:rsid w:val="00C57947"/>
    <w:rsid w:val="00C71434"/>
    <w:rsid w:val="00CB6344"/>
    <w:rsid w:val="00CC6DB2"/>
    <w:rsid w:val="00CD545A"/>
    <w:rsid w:val="00CE4E6F"/>
    <w:rsid w:val="00CF54E1"/>
    <w:rsid w:val="00D05BCC"/>
    <w:rsid w:val="00D2459E"/>
    <w:rsid w:val="00D90D22"/>
    <w:rsid w:val="00DB18F3"/>
    <w:rsid w:val="00DC5A37"/>
    <w:rsid w:val="00DC7C8F"/>
    <w:rsid w:val="00DD05C3"/>
    <w:rsid w:val="00DD1591"/>
    <w:rsid w:val="00DD6D51"/>
    <w:rsid w:val="00DE14B5"/>
    <w:rsid w:val="00DF0FE5"/>
    <w:rsid w:val="00E27850"/>
    <w:rsid w:val="00E3040C"/>
    <w:rsid w:val="00E44647"/>
    <w:rsid w:val="00E6614F"/>
    <w:rsid w:val="00E93B77"/>
    <w:rsid w:val="00EA09D8"/>
    <w:rsid w:val="00EB0395"/>
    <w:rsid w:val="00EB2DCD"/>
    <w:rsid w:val="00EB7690"/>
    <w:rsid w:val="00EF656F"/>
    <w:rsid w:val="00F035F2"/>
    <w:rsid w:val="00F306C1"/>
    <w:rsid w:val="00F36C7F"/>
    <w:rsid w:val="00F53391"/>
    <w:rsid w:val="00F53B51"/>
    <w:rsid w:val="00F54F60"/>
    <w:rsid w:val="00F66FEE"/>
    <w:rsid w:val="00F74974"/>
    <w:rsid w:val="00FC66C2"/>
    <w:rsid w:val="00FD3451"/>
    <w:rsid w:val="00FD65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5C9D1"/>
  <w15:chartTrackingRefBased/>
  <w15:docId w15:val="{B4EA294D-61C5-2E46-8C7B-6F882B6D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D15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591"/>
    <w:rPr>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DD1591"/>
    <w:rPr>
      <w:vertAlign w:val="superscript"/>
    </w:rPr>
  </w:style>
  <w:style w:type="paragraph" w:customStyle="1" w:styleId="Appelnotedebasde">
    <w:name w:val="Appel note de bas de..."/>
    <w:basedOn w:val="Normal"/>
    <w:link w:val="FootnoteReference"/>
    <w:uiPriority w:val="99"/>
    <w:rsid w:val="00DD1591"/>
    <w:pPr>
      <w:spacing w:after="160" w:line="240" w:lineRule="exact"/>
    </w:pPr>
    <w:rPr>
      <w:sz w:val="20"/>
      <w:szCs w:val="20"/>
      <w:vertAlign w:val="superscript"/>
      <w:lang w:val="es-MX" w:eastAsia="es-MX"/>
    </w:rPr>
  </w:style>
  <w:style w:type="paragraph" w:styleId="ListParagraph">
    <w:name w:val="List Paragraph"/>
    <w:basedOn w:val="Normal"/>
    <w:uiPriority w:val="34"/>
    <w:qFormat/>
    <w:rsid w:val="00DD1591"/>
    <w:pPr>
      <w:ind w:left="720"/>
      <w:contextualSpacing/>
    </w:pPr>
  </w:style>
  <w:style w:type="character" w:styleId="Hyperlink">
    <w:name w:val="Hyperlink"/>
    <w:basedOn w:val="DefaultParagraphFont"/>
    <w:uiPriority w:val="99"/>
    <w:unhideWhenUsed/>
    <w:rsid w:val="00920591"/>
    <w:rPr>
      <w:color w:val="467886" w:themeColor="hyperlink"/>
      <w:u w:val="single"/>
    </w:rPr>
  </w:style>
  <w:style w:type="character" w:styleId="UnresolvedMention">
    <w:name w:val="Unresolved Mention"/>
    <w:basedOn w:val="DefaultParagraphFont"/>
    <w:uiPriority w:val="99"/>
    <w:semiHidden/>
    <w:unhideWhenUsed/>
    <w:rsid w:val="00920591"/>
    <w:rPr>
      <w:color w:val="605E5C"/>
      <w:shd w:val="clear" w:color="auto" w:fill="E1DFDD"/>
    </w:rPr>
  </w:style>
  <w:style w:type="character" w:styleId="CommentReference">
    <w:name w:val="annotation reference"/>
    <w:basedOn w:val="DefaultParagraphFont"/>
    <w:uiPriority w:val="99"/>
    <w:semiHidden/>
    <w:unhideWhenUsed/>
    <w:rsid w:val="00FD3451"/>
    <w:rPr>
      <w:sz w:val="16"/>
      <w:szCs w:val="16"/>
    </w:rPr>
  </w:style>
  <w:style w:type="paragraph" w:styleId="CommentText">
    <w:name w:val="annotation text"/>
    <w:basedOn w:val="Normal"/>
    <w:link w:val="CommentTextChar"/>
    <w:uiPriority w:val="99"/>
    <w:semiHidden/>
    <w:unhideWhenUsed/>
    <w:rsid w:val="00FD3451"/>
    <w:pPr>
      <w:spacing w:line="240" w:lineRule="auto"/>
    </w:pPr>
    <w:rPr>
      <w:sz w:val="20"/>
      <w:szCs w:val="20"/>
    </w:rPr>
  </w:style>
  <w:style w:type="character" w:customStyle="1" w:styleId="CommentTextChar">
    <w:name w:val="Comment Text Char"/>
    <w:basedOn w:val="DefaultParagraphFont"/>
    <w:link w:val="CommentText"/>
    <w:uiPriority w:val="99"/>
    <w:semiHidden/>
    <w:rsid w:val="00FD3451"/>
    <w:rPr>
      <w:lang w:val="en-US" w:eastAsia="en-US"/>
    </w:rPr>
  </w:style>
  <w:style w:type="paragraph" w:styleId="CommentSubject">
    <w:name w:val="annotation subject"/>
    <w:basedOn w:val="CommentText"/>
    <w:next w:val="CommentText"/>
    <w:link w:val="CommentSubjectChar"/>
    <w:uiPriority w:val="99"/>
    <w:semiHidden/>
    <w:unhideWhenUsed/>
    <w:rsid w:val="00FD3451"/>
    <w:rPr>
      <w:b/>
      <w:bCs/>
    </w:rPr>
  </w:style>
  <w:style w:type="character" w:customStyle="1" w:styleId="CommentSubjectChar">
    <w:name w:val="Comment Subject Char"/>
    <w:basedOn w:val="CommentTextChar"/>
    <w:link w:val="CommentSubject"/>
    <w:uiPriority w:val="99"/>
    <w:semiHidden/>
    <w:rsid w:val="00FD3451"/>
    <w:rPr>
      <w:b/>
      <w:bCs/>
      <w:lang w:val="en-US" w:eastAsia="en-US"/>
    </w:rPr>
  </w:style>
  <w:style w:type="character" w:customStyle="1" w:styleId="normaltextrun">
    <w:name w:val="normaltextrun"/>
    <w:basedOn w:val="DefaultParagraphFont"/>
    <w:rsid w:val="00142634"/>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basedOn w:val="DefaultParagraphFont"/>
    <w:link w:val="Ca1"/>
    <w:uiPriority w:val="99"/>
    <w:qFormat/>
    <w:rsid w:val="00142634"/>
  </w:style>
  <w:style w:type="paragraph" w:customStyle="1" w:styleId="Ca1">
    <w:name w:val="Ca1"/>
    <w:basedOn w:val="Normal"/>
    <w:next w:val="FootnoteText"/>
    <w:link w:val="TextonotapieCar1"/>
    <w:uiPriority w:val="99"/>
    <w:unhideWhenUsed/>
    <w:rsid w:val="00142634"/>
    <w:pPr>
      <w:suppressAutoHyphens/>
      <w:spacing w:after="0" w:line="240" w:lineRule="auto"/>
      <w:ind w:firstLine="720"/>
      <w:jc w:val="both"/>
    </w:pPr>
    <w:rPr>
      <w:sz w:val="20"/>
      <w:szCs w:val="20"/>
      <w:lang w:val="es-MX" w:eastAsia="es-MX"/>
    </w:rPr>
  </w:style>
  <w:style w:type="character" w:customStyle="1" w:styleId="Hipervnculo1">
    <w:name w:val="Hipervínculo1"/>
    <w:basedOn w:val="DefaultParagraphFont"/>
    <w:uiPriority w:val="99"/>
    <w:unhideWhenUsed/>
    <w:rsid w:val="00142634"/>
    <w:rPr>
      <w:color w:val="0563C1"/>
      <w:u w:val="single"/>
    </w:rPr>
  </w:style>
  <w:style w:type="character" w:styleId="FollowedHyperlink">
    <w:name w:val="FollowedHyperlink"/>
    <w:basedOn w:val="DefaultParagraphFont"/>
    <w:uiPriority w:val="99"/>
    <w:semiHidden/>
    <w:unhideWhenUsed/>
    <w:rsid w:val="009B72D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idh.oas.org/annualrep/2009eng/Guatemala581.03eng.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as.org/en/iachr/decisions/2020/gusa12732e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n/iachr/decisions/2020/gusa12732en.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ocs/annual/2024/chapters/IA2024_2_EN.PDF" TargetMode="External"/><Relationship Id="rId2" Type="http://schemas.openxmlformats.org/officeDocument/2006/relationships/hyperlink" Target="https://www.oas.org/en/iachr/docs/annual/2023/chapters/IA2023_Cap_2_ENG.PDF" TargetMode="External"/><Relationship Id="rId1" Type="http://schemas.openxmlformats.org/officeDocument/2006/relationships/hyperlink" Target="https://www.oas.org/en/iachr/decisions/2020/gusa12732en.pdf" TargetMode="External"/><Relationship Id="rId4" Type="http://schemas.openxmlformats.org/officeDocument/2006/relationships/hyperlink" Target="https://www.oas.org/en/iachr/decisions/2020/gusa12732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2.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3.xml><?xml version="1.0" encoding="utf-8"?>
<ds:datastoreItem xmlns:ds="http://schemas.openxmlformats.org/officeDocument/2006/customXml" ds:itemID="{00183EF5-AE71-4629-A94D-7062D2D3717E}">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8C1DEC81-93C3-4F3C-9700-E655F7728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0D9A7D-3F87-214A-B521-385E0A63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Cartas-es.dotx</Template>
  <TotalTime>1</TotalTime>
  <Pages>3</Pages>
  <Words>890</Words>
  <Characters>5078</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3</cp:revision>
  <cp:lastPrinted>2025-08-26T18:25:00Z</cp:lastPrinted>
  <dcterms:created xsi:type="dcterms:W3CDTF">2025-07-28T17:49:00Z</dcterms:created>
  <dcterms:modified xsi:type="dcterms:W3CDTF">2025-08-26T18:25:00Z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73400.0000000000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