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47276B" w:rsidRDefault="00DD1591" w:rsidP="0047276B">
      <w:pPr>
        <w:suppressAutoHyphens/>
        <w:spacing w:after="0" w:line="240" w:lineRule="auto"/>
        <w:ind w:right="4"/>
        <w:rPr>
          <w:rFonts w:ascii="Cambria" w:eastAsia="Batang" w:hAnsi="Cambria"/>
          <w:b/>
          <w:bCs/>
          <w:color w:val="000000"/>
          <w:sz w:val="24"/>
        </w:rPr>
      </w:pPr>
    </w:p>
    <w:p w14:paraId="63C6CC88" w14:textId="6343F2F5" w:rsidR="00457711" w:rsidRPr="0047276B" w:rsidRDefault="00457711" w:rsidP="0047276B">
      <w:pPr>
        <w:suppressAutoHyphens/>
        <w:spacing w:after="0" w:line="240" w:lineRule="auto"/>
        <w:ind w:right="4"/>
        <w:jc w:val="center"/>
        <w:rPr>
          <w:rFonts w:ascii="Cambria" w:eastAsia="Batang" w:hAnsi="Cambria"/>
          <w:b/>
          <w:bCs/>
          <w:color w:val="000000"/>
          <w:sz w:val="24"/>
          <w:szCs w:val="24"/>
        </w:rPr>
      </w:pPr>
      <w:r w:rsidRPr="0047276B">
        <w:rPr>
          <w:rFonts w:ascii="Cambria" w:eastAsia="Batang" w:hAnsi="Cambria"/>
          <w:b/>
          <w:bCs/>
          <w:color w:val="000000"/>
          <w:sz w:val="24"/>
          <w:szCs w:val="24"/>
        </w:rPr>
        <w:t>TECHNICAL INFORMATION SHEET</w:t>
      </w:r>
    </w:p>
    <w:p w14:paraId="754C250F" w14:textId="1B5AFF6B" w:rsidR="0047276B" w:rsidRPr="0047276B" w:rsidRDefault="0047276B" w:rsidP="0047276B">
      <w:pPr>
        <w:suppressAutoHyphens/>
        <w:spacing w:after="0" w:line="240" w:lineRule="auto"/>
        <w:ind w:right="4"/>
        <w:jc w:val="center"/>
        <w:rPr>
          <w:rFonts w:ascii="Cambria" w:hAnsi="Cambria"/>
          <w:b/>
          <w:color w:val="000000"/>
          <w:sz w:val="24"/>
          <w:szCs w:val="24"/>
        </w:rPr>
      </w:pPr>
      <w:r w:rsidRPr="0047276B">
        <w:rPr>
          <w:rFonts w:ascii="Cambria" w:hAnsi="Cambria"/>
          <w:b/>
          <w:color w:val="000000"/>
          <w:sz w:val="24"/>
          <w:szCs w:val="24"/>
        </w:rPr>
        <w:t>PETITION 735-07 ISMAEL MONDRAGÓN MOLINA</w:t>
      </w:r>
    </w:p>
    <w:p w14:paraId="486FDFC3" w14:textId="0E72DDD7" w:rsidR="00DD1591" w:rsidRPr="0047276B" w:rsidRDefault="00DD1591" w:rsidP="0047276B">
      <w:pPr>
        <w:suppressAutoHyphens/>
        <w:spacing w:after="0" w:line="240" w:lineRule="auto"/>
        <w:ind w:right="4"/>
        <w:jc w:val="center"/>
        <w:rPr>
          <w:rFonts w:ascii="Cambria" w:eastAsia="Batang" w:hAnsi="Cambria"/>
          <w:b/>
          <w:bCs/>
          <w:color w:val="000000"/>
          <w:sz w:val="24"/>
          <w:szCs w:val="24"/>
        </w:rPr>
      </w:pPr>
      <w:r w:rsidRPr="0047276B">
        <w:rPr>
          <w:rFonts w:ascii="Cambria" w:eastAsia="Batang" w:hAnsi="Cambria"/>
          <w:b/>
          <w:bCs/>
          <w:color w:val="000000"/>
          <w:sz w:val="24"/>
          <w:szCs w:val="24"/>
        </w:rPr>
        <w:t xml:space="preserve">FRIENDLY SETTLEMENT </w:t>
      </w:r>
      <w:r w:rsidR="002F2DC7" w:rsidRPr="0047276B">
        <w:rPr>
          <w:rFonts w:ascii="Cambria" w:eastAsia="Batang" w:hAnsi="Cambria"/>
          <w:b/>
          <w:bCs/>
          <w:color w:val="000000"/>
          <w:sz w:val="24"/>
          <w:szCs w:val="24"/>
        </w:rPr>
        <w:t>REPORT</w:t>
      </w:r>
      <w:r w:rsidR="0047276B" w:rsidRPr="0047276B">
        <w:rPr>
          <w:rFonts w:ascii="Cambria" w:eastAsia="Batang" w:hAnsi="Cambria"/>
          <w:b/>
          <w:bCs/>
          <w:color w:val="000000"/>
          <w:sz w:val="24"/>
          <w:szCs w:val="24"/>
        </w:rPr>
        <w:t xml:space="preserve"> </w:t>
      </w:r>
      <w:hyperlink r:id="rId12" w:history="1">
        <w:r w:rsidR="0047276B" w:rsidRPr="0047276B">
          <w:rPr>
            <w:rStyle w:val="Hyperlink"/>
            <w:rFonts w:ascii="Cambria" w:eastAsia="Batang" w:hAnsi="Cambria"/>
            <w:b/>
            <w:bCs/>
            <w:sz w:val="24"/>
            <w:szCs w:val="24"/>
          </w:rPr>
          <w:t>No. 110/20</w:t>
        </w:r>
      </w:hyperlink>
    </w:p>
    <w:p w14:paraId="2B66417A" w14:textId="5D0EDE53" w:rsidR="00457711" w:rsidRPr="0047276B" w:rsidRDefault="002F2DC7" w:rsidP="0047276B">
      <w:pPr>
        <w:suppressAutoHyphens/>
        <w:spacing w:after="0" w:line="240" w:lineRule="auto"/>
        <w:ind w:right="4"/>
        <w:jc w:val="center"/>
        <w:rPr>
          <w:rFonts w:ascii="Cambria" w:eastAsia="Batang" w:hAnsi="Cambria"/>
          <w:b/>
          <w:color w:val="000000"/>
          <w:sz w:val="24"/>
          <w:szCs w:val="24"/>
          <w:lang w:val="pt-BR"/>
        </w:rPr>
      </w:pPr>
      <w:r w:rsidRPr="0047276B">
        <w:rPr>
          <w:rFonts w:ascii="Cambria" w:eastAsia="Batang" w:hAnsi="Cambria"/>
          <w:b/>
          <w:bCs/>
          <w:color w:val="000000"/>
          <w:sz w:val="24"/>
          <w:szCs w:val="24"/>
        </w:rPr>
        <w:t>TOTAL COMPLIANCE</w:t>
      </w:r>
    </w:p>
    <w:p w14:paraId="0CDE4D15" w14:textId="660B8624" w:rsidR="00DD1591" w:rsidRPr="0047276B" w:rsidRDefault="00DD1591" w:rsidP="0047276B">
      <w:pPr>
        <w:suppressAutoHyphens/>
        <w:spacing w:after="0" w:line="240" w:lineRule="auto"/>
        <w:ind w:right="4"/>
        <w:jc w:val="center"/>
        <w:rPr>
          <w:rFonts w:ascii="Cambria" w:eastAsia="Batang" w:hAnsi="Cambria"/>
          <w:b/>
          <w:color w:val="000000"/>
          <w:sz w:val="24"/>
          <w:szCs w:val="24"/>
        </w:rPr>
      </w:pPr>
      <w:r w:rsidRPr="0047276B">
        <w:rPr>
          <w:rFonts w:ascii="Cambria" w:eastAsia="Batang" w:hAnsi="Cambria"/>
          <w:b/>
          <w:bCs/>
          <w:color w:val="000000"/>
          <w:sz w:val="24"/>
          <w:szCs w:val="24"/>
        </w:rPr>
        <w:t>(</w:t>
      </w:r>
      <w:r w:rsidR="0047276B" w:rsidRPr="0047276B">
        <w:rPr>
          <w:rFonts w:ascii="Cambria" w:eastAsia="Batang" w:hAnsi="Cambria"/>
          <w:b/>
          <w:bCs/>
          <w:color w:val="000000"/>
          <w:sz w:val="24"/>
          <w:szCs w:val="24"/>
        </w:rPr>
        <w:t>MEXICO</w:t>
      </w:r>
      <w:r w:rsidRPr="0047276B">
        <w:rPr>
          <w:rFonts w:ascii="Cambria" w:eastAsia="Batang" w:hAnsi="Cambria"/>
          <w:b/>
          <w:bCs/>
          <w:color w:val="000000"/>
          <w:sz w:val="24"/>
          <w:szCs w:val="24"/>
        </w:rPr>
        <w:t>)</w:t>
      </w:r>
    </w:p>
    <w:p w14:paraId="47349C39" w14:textId="77777777" w:rsidR="0047276B" w:rsidRPr="0047276B" w:rsidRDefault="0047276B" w:rsidP="0047276B">
      <w:pPr>
        <w:suppressAutoHyphens/>
        <w:spacing w:after="0" w:line="240" w:lineRule="auto"/>
        <w:ind w:left="720"/>
        <w:jc w:val="center"/>
        <w:rPr>
          <w:rFonts w:ascii="Cambria" w:eastAsia="Batang" w:hAnsi="Cambria" w:cs="Calibri Light"/>
          <w:b/>
          <w:sz w:val="20"/>
          <w:szCs w:val="20"/>
          <w:lang w:val="es-CO"/>
        </w:rPr>
      </w:pPr>
    </w:p>
    <w:p w14:paraId="485A2454" w14:textId="77777777" w:rsidR="0047276B" w:rsidRPr="0047276B" w:rsidRDefault="0047276B" w:rsidP="0047276B">
      <w:pPr>
        <w:numPr>
          <w:ilvl w:val="0"/>
          <w:numId w:val="29"/>
        </w:numPr>
        <w:suppressAutoHyphens/>
        <w:spacing w:after="0" w:line="240" w:lineRule="auto"/>
        <w:ind w:left="0" w:firstLine="720"/>
        <w:rPr>
          <w:rFonts w:ascii="Cambria" w:eastAsia="Batang" w:hAnsi="Cambria" w:cs="Calibri Light"/>
          <w:b/>
          <w:sz w:val="20"/>
          <w:szCs w:val="20"/>
        </w:rPr>
      </w:pPr>
      <w:r w:rsidRPr="0047276B">
        <w:rPr>
          <w:rFonts w:ascii="Cambria" w:eastAsia="Batang" w:hAnsi="Cambria" w:cs="Calibri Light"/>
          <w:b/>
          <w:sz w:val="20"/>
          <w:szCs w:val="20"/>
        </w:rPr>
        <w:t>SUMMARY OF THE CASE</w:t>
      </w:r>
    </w:p>
    <w:p w14:paraId="45307A64" w14:textId="77777777" w:rsidR="0047276B" w:rsidRPr="0047276B" w:rsidRDefault="0047276B" w:rsidP="0047276B">
      <w:pPr>
        <w:suppressAutoHyphens/>
        <w:spacing w:after="0" w:line="240" w:lineRule="auto"/>
        <w:rPr>
          <w:rFonts w:ascii="Cambria" w:eastAsia="Batang" w:hAnsi="Cambria" w:cs="Calibri Ligh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47276B" w:rsidRPr="0047276B" w14:paraId="3A75D327" w14:textId="77777777" w:rsidTr="00BC046E">
        <w:trPr>
          <w:jc w:val="center"/>
        </w:trPr>
        <w:tc>
          <w:tcPr>
            <w:tcW w:w="9576" w:type="dxa"/>
            <w:shd w:val="clear" w:color="auto" w:fill="F2F2F2"/>
          </w:tcPr>
          <w:p w14:paraId="6FD419EE" w14:textId="105267BA" w:rsidR="0047276B" w:rsidRPr="0047276B" w:rsidRDefault="0047276B" w:rsidP="0047276B">
            <w:pPr>
              <w:spacing w:after="0" w:line="240" w:lineRule="auto"/>
              <w:jc w:val="both"/>
              <w:rPr>
                <w:rFonts w:ascii="Cambria" w:hAnsi="Cambria"/>
                <w:sz w:val="20"/>
                <w:szCs w:val="20"/>
              </w:rPr>
            </w:pPr>
            <w:r w:rsidRPr="0047276B">
              <w:rPr>
                <w:rFonts w:ascii="Cambria" w:eastAsia="Batang" w:hAnsi="Cambria"/>
                <w:b/>
                <w:sz w:val="20"/>
                <w:szCs w:val="20"/>
              </w:rPr>
              <w:t>Victim(s):</w:t>
            </w:r>
            <w:r w:rsidRPr="0047276B">
              <w:rPr>
                <w:rFonts w:ascii="Cambria" w:eastAsia="Batang" w:hAnsi="Cambria"/>
                <w:sz w:val="20"/>
                <w:szCs w:val="20"/>
              </w:rPr>
              <w:t xml:space="preserve"> </w:t>
            </w:r>
            <w:r w:rsidRPr="0047276B">
              <w:rPr>
                <w:rFonts w:ascii="Cambria" w:hAnsi="Cambria"/>
                <w:sz w:val="20"/>
                <w:szCs w:val="20"/>
              </w:rPr>
              <w:t>Ismael Mondrag</w:t>
            </w:r>
            <w:r>
              <w:rPr>
                <w:rFonts w:ascii="Cambria" w:hAnsi="Cambria"/>
                <w:sz w:val="20"/>
                <w:szCs w:val="20"/>
              </w:rPr>
              <w:t>ó</w:t>
            </w:r>
            <w:r w:rsidRPr="0047276B">
              <w:rPr>
                <w:rFonts w:ascii="Cambria" w:hAnsi="Cambria"/>
                <w:sz w:val="20"/>
                <w:szCs w:val="20"/>
              </w:rPr>
              <w:t xml:space="preserve">n </w:t>
            </w:r>
            <w:r w:rsidR="00637322">
              <w:rPr>
                <w:rFonts w:ascii="Cambria" w:hAnsi="Cambria"/>
                <w:sz w:val="20"/>
                <w:szCs w:val="20"/>
              </w:rPr>
              <w:t>Molina</w:t>
            </w:r>
          </w:p>
          <w:p w14:paraId="36F3A3DE" w14:textId="7E43B6B3" w:rsidR="0047276B" w:rsidRPr="0047276B" w:rsidRDefault="0047276B" w:rsidP="0047276B">
            <w:pPr>
              <w:spacing w:after="0" w:line="240" w:lineRule="auto"/>
              <w:jc w:val="both"/>
              <w:rPr>
                <w:rFonts w:ascii="Cambria" w:hAnsi="Cambria"/>
                <w:sz w:val="20"/>
                <w:szCs w:val="20"/>
              </w:rPr>
            </w:pPr>
            <w:r w:rsidRPr="0047276B">
              <w:rPr>
                <w:rFonts w:ascii="Cambria" w:eastAsia="Batang" w:hAnsi="Cambria"/>
                <w:b/>
                <w:sz w:val="20"/>
                <w:szCs w:val="20"/>
              </w:rPr>
              <w:t xml:space="preserve">Petitioner(s): </w:t>
            </w:r>
            <w:r w:rsidRPr="0047276B">
              <w:rPr>
                <w:rFonts w:ascii="Cambria" w:hAnsi="Cambria"/>
                <w:sz w:val="20"/>
                <w:szCs w:val="20"/>
              </w:rPr>
              <w:t>Edgar Mondrag</w:t>
            </w:r>
            <w:r>
              <w:rPr>
                <w:rFonts w:ascii="Cambria" w:hAnsi="Cambria"/>
                <w:sz w:val="20"/>
                <w:szCs w:val="20"/>
              </w:rPr>
              <w:t>ó</w:t>
            </w:r>
            <w:r w:rsidRPr="0047276B">
              <w:rPr>
                <w:rFonts w:ascii="Cambria" w:hAnsi="Cambria"/>
                <w:sz w:val="20"/>
                <w:szCs w:val="20"/>
              </w:rPr>
              <w:t xml:space="preserve">n Bustamante </w:t>
            </w:r>
          </w:p>
          <w:p w14:paraId="3BE23E69" w14:textId="77777777" w:rsidR="0047276B" w:rsidRPr="0047276B" w:rsidRDefault="0047276B" w:rsidP="0047276B">
            <w:pPr>
              <w:spacing w:after="0" w:line="240" w:lineRule="auto"/>
              <w:jc w:val="both"/>
              <w:rPr>
                <w:rFonts w:ascii="Cambria" w:hAnsi="Cambria"/>
                <w:sz w:val="20"/>
                <w:szCs w:val="20"/>
              </w:rPr>
            </w:pPr>
            <w:r w:rsidRPr="0047276B">
              <w:rPr>
                <w:rFonts w:ascii="Cambria" w:eastAsia="Batang" w:hAnsi="Cambria"/>
                <w:b/>
                <w:sz w:val="20"/>
                <w:szCs w:val="20"/>
              </w:rPr>
              <w:t>State:</w:t>
            </w:r>
            <w:r w:rsidRPr="0047276B">
              <w:rPr>
                <w:rFonts w:ascii="Cambria" w:eastAsia="Batang" w:hAnsi="Cambria"/>
                <w:sz w:val="20"/>
                <w:szCs w:val="20"/>
              </w:rPr>
              <w:t xml:space="preserve"> Mexico</w:t>
            </w:r>
          </w:p>
          <w:p w14:paraId="718115E9" w14:textId="77777777" w:rsidR="0047276B" w:rsidRPr="0047276B" w:rsidRDefault="0047276B" w:rsidP="0047276B">
            <w:pPr>
              <w:spacing w:after="0" w:line="240" w:lineRule="auto"/>
              <w:jc w:val="both"/>
              <w:rPr>
                <w:rFonts w:ascii="Cambria" w:hAnsi="Cambria"/>
                <w:sz w:val="20"/>
                <w:szCs w:val="20"/>
              </w:rPr>
            </w:pPr>
            <w:r w:rsidRPr="0047276B">
              <w:rPr>
                <w:rFonts w:ascii="Cambria" w:hAnsi="Cambria"/>
                <w:b/>
                <w:bCs/>
                <w:sz w:val="20"/>
                <w:szCs w:val="20"/>
              </w:rPr>
              <w:t>Date negotiations started</w:t>
            </w:r>
            <w:r w:rsidRPr="0047276B">
              <w:rPr>
                <w:rFonts w:ascii="Cambria" w:hAnsi="Cambria"/>
                <w:sz w:val="20"/>
                <w:szCs w:val="20"/>
              </w:rPr>
              <w:t>: December 5, 2016</w:t>
            </w:r>
          </w:p>
          <w:p w14:paraId="00328EB3" w14:textId="77777777" w:rsidR="0047276B" w:rsidRPr="0047276B" w:rsidRDefault="0047276B" w:rsidP="0047276B">
            <w:pPr>
              <w:spacing w:after="0" w:line="240" w:lineRule="auto"/>
              <w:jc w:val="both"/>
              <w:rPr>
                <w:rFonts w:ascii="Cambria" w:hAnsi="Cambria"/>
                <w:sz w:val="20"/>
                <w:szCs w:val="20"/>
              </w:rPr>
            </w:pPr>
            <w:r w:rsidRPr="0047276B">
              <w:rPr>
                <w:rFonts w:ascii="Cambria" w:hAnsi="Cambria"/>
                <w:b/>
                <w:bCs/>
                <w:sz w:val="20"/>
                <w:szCs w:val="20"/>
              </w:rPr>
              <w:t xml:space="preserve">FSA signature date: </w:t>
            </w:r>
            <w:r w:rsidRPr="0047276B">
              <w:rPr>
                <w:rFonts w:ascii="Cambria" w:hAnsi="Cambria"/>
                <w:sz w:val="20"/>
                <w:szCs w:val="20"/>
              </w:rPr>
              <w:t>March 14, 2018</w:t>
            </w:r>
          </w:p>
          <w:p w14:paraId="2E9910AA" w14:textId="71E88EBD" w:rsidR="0047276B" w:rsidRPr="0047276B" w:rsidRDefault="0047276B" w:rsidP="0047276B">
            <w:pPr>
              <w:spacing w:after="0" w:line="240" w:lineRule="auto"/>
              <w:jc w:val="both"/>
              <w:rPr>
                <w:rFonts w:ascii="Cambria" w:eastAsia="Batang" w:hAnsi="Cambria"/>
                <w:sz w:val="20"/>
                <w:szCs w:val="20"/>
              </w:rPr>
            </w:pPr>
            <w:r w:rsidRPr="0047276B">
              <w:rPr>
                <w:rFonts w:ascii="Cambria" w:eastAsia="Batang" w:hAnsi="Cambria"/>
                <w:b/>
                <w:sz w:val="20"/>
                <w:szCs w:val="20"/>
              </w:rPr>
              <w:t xml:space="preserve">Report on Friendly Settlement Agreement No.: </w:t>
            </w:r>
            <w:hyperlink r:id="rId13" w:history="1">
              <w:r w:rsidRPr="0047276B">
                <w:rPr>
                  <w:rFonts w:ascii="Cambria" w:eastAsia="Batang" w:hAnsi="Cambria"/>
                  <w:b/>
                  <w:color w:val="0563C1"/>
                  <w:sz w:val="20"/>
                  <w:szCs w:val="20"/>
                  <w:u w:val="single"/>
                </w:rPr>
                <w:t>110/20</w:t>
              </w:r>
              <w:r>
                <w:rPr>
                  <w:rFonts w:ascii="Cambria" w:eastAsia="Batang" w:hAnsi="Cambria"/>
                  <w:b/>
                  <w:color w:val="0563C1"/>
                  <w:sz w:val="20"/>
                  <w:szCs w:val="20"/>
                  <w:u w:val="single"/>
                </w:rPr>
                <w:t>,</w:t>
              </w:r>
              <w:r w:rsidRPr="0047276B">
                <w:rPr>
                  <w:rFonts w:ascii="Cambria" w:eastAsia="Batang" w:hAnsi="Cambria"/>
                  <w:b/>
                  <w:color w:val="0563C1"/>
                  <w:sz w:val="20"/>
                  <w:szCs w:val="20"/>
                  <w:u w:val="single"/>
                </w:rPr>
                <w:t xml:space="preserve"> </w:t>
              </w:r>
            </w:hyperlink>
            <w:r w:rsidRPr="0047276B">
              <w:rPr>
                <w:rFonts w:ascii="Cambria" w:eastAsia="Batang" w:hAnsi="Cambria"/>
                <w:sz w:val="20"/>
                <w:szCs w:val="20"/>
              </w:rPr>
              <w:t>published on June 9, 2020</w:t>
            </w:r>
          </w:p>
          <w:p w14:paraId="412126F8" w14:textId="77777777" w:rsidR="0047276B" w:rsidRPr="0047276B" w:rsidRDefault="0047276B" w:rsidP="0047276B">
            <w:pPr>
              <w:spacing w:after="0" w:line="240" w:lineRule="auto"/>
              <w:jc w:val="both"/>
              <w:rPr>
                <w:rFonts w:ascii="Cambria" w:hAnsi="Cambria"/>
                <w:sz w:val="20"/>
                <w:szCs w:val="20"/>
              </w:rPr>
            </w:pPr>
            <w:r w:rsidRPr="0047276B">
              <w:rPr>
                <w:rFonts w:ascii="Cambria" w:hAnsi="Cambria"/>
                <w:b/>
                <w:bCs/>
                <w:sz w:val="20"/>
                <w:szCs w:val="20"/>
              </w:rPr>
              <w:t xml:space="preserve">Estimated length of the negotiation phase: </w:t>
            </w:r>
            <w:r w:rsidRPr="0047276B">
              <w:rPr>
                <w:rFonts w:ascii="Cambria" w:hAnsi="Cambria"/>
                <w:bCs/>
                <w:sz w:val="20"/>
                <w:szCs w:val="20"/>
              </w:rPr>
              <w:t>3</w:t>
            </w:r>
            <w:r w:rsidRPr="0047276B">
              <w:rPr>
                <w:rFonts w:ascii="Cambria" w:hAnsi="Cambria"/>
                <w:sz w:val="20"/>
                <w:szCs w:val="20"/>
              </w:rPr>
              <w:t xml:space="preserve"> years 6 months</w:t>
            </w:r>
          </w:p>
          <w:p w14:paraId="2FE0DED2" w14:textId="77777777" w:rsidR="0047276B" w:rsidRPr="0047276B" w:rsidRDefault="0047276B" w:rsidP="0047276B">
            <w:pPr>
              <w:spacing w:after="0" w:line="240" w:lineRule="auto"/>
              <w:jc w:val="both"/>
              <w:rPr>
                <w:rFonts w:ascii="Cambria" w:eastAsia="Batang" w:hAnsi="Cambria"/>
                <w:sz w:val="20"/>
                <w:szCs w:val="20"/>
              </w:rPr>
            </w:pPr>
            <w:r w:rsidRPr="0047276B">
              <w:rPr>
                <w:rFonts w:ascii="Cambria" w:eastAsia="Batang" w:hAnsi="Cambria"/>
                <w:b/>
                <w:sz w:val="20"/>
                <w:szCs w:val="20"/>
              </w:rPr>
              <w:t>Associated Rapporteurship:</w:t>
            </w:r>
            <w:r w:rsidRPr="0047276B">
              <w:rPr>
                <w:rFonts w:ascii="Cambria" w:eastAsia="Batang" w:hAnsi="Cambria"/>
                <w:bCs/>
                <w:sz w:val="20"/>
                <w:szCs w:val="20"/>
              </w:rPr>
              <w:t xml:space="preserve"> Rapporteurship on the Rights of the Child</w:t>
            </w:r>
          </w:p>
          <w:p w14:paraId="60D0F940" w14:textId="77777777" w:rsidR="0047276B" w:rsidRPr="0047276B" w:rsidRDefault="0047276B" w:rsidP="0047276B">
            <w:pPr>
              <w:spacing w:after="0" w:line="240" w:lineRule="auto"/>
              <w:jc w:val="both"/>
              <w:rPr>
                <w:rFonts w:ascii="Cambria" w:eastAsia="Batang" w:hAnsi="Cambria"/>
                <w:bCs/>
                <w:sz w:val="20"/>
                <w:szCs w:val="20"/>
              </w:rPr>
            </w:pPr>
            <w:r w:rsidRPr="0047276B">
              <w:rPr>
                <w:rFonts w:ascii="Cambria" w:eastAsia="Batang" w:hAnsi="Cambria"/>
                <w:b/>
                <w:sz w:val="20"/>
                <w:szCs w:val="20"/>
              </w:rPr>
              <w:t xml:space="preserve">Topics: </w:t>
            </w:r>
            <w:r w:rsidRPr="0047276B">
              <w:rPr>
                <w:rFonts w:ascii="Cambria" w:eastAsia="Batang" w:hAnsi="Cambria"/>
                <w:sz w:val="20"/>
                <w:szCs w:val="20"/>
              </w:rPr>
              <w:t>Rights of children and adolescents/ right to life</w:t>
            </w:r>
            <w:r w:rsidRPr="0047276B">
              <w:rPr>
                <w:rFonts w:ascii="Cambria" w:eastAsia="Batang" w:hAnsi="Cambria"/>
                <w:bCs/>
                <w:sz w:val="20"/>
                <w:szCs w:val="20"/>
              </w:rPr>
              <w:t xml:space="preserve">/ </w:t>
            </w:r>
            <w:r w:rsidRPr="0047276B">
              <w:rPr>
                <w:rFonts w:ascii="Cambria" w:eastAsia="Batang" w:hAnsi="Cambria"/>
                <w:sz w:val="20"/>
                <w:szCs w:val="20"/>
              </w:rPr>
              <w:t>right to a fair trial/</w:t>
            </w:r>
            <w:r w:rsidRPr="0047276B">
              <w:rPr>
                <w:rFonts w:ascii="Cambria" w:eastAsia="Batang" w:hAnsi="Cambria"/>
                <w:bCs/>
                <w:sz w:val="20"/>
                <w:szCs w:val="20"/>
              </w:rPr>
              <w:t xml:space="preserve"> investigation and due diligence/ judicial protection</w:t>
            </w:r>
          </w:p>
          <w:p w14:paraId="4BF6F9B8" w14:textId="77777777" w:rsidR="0047276B" w:rsidRPr="0047276B" w:rsidRDefault="0047276B" w:rsidP="0047276B">
            <w:pPr>
              <w:spacing w:after="0" w:line="240" w:lineRule="auto"/>
              <w:jc w:val="both"/>
              <w:rPr>
                <w:rFonts w:ascii="Cambria" w:eastAsia="Batang" w:hAnsi="Cambria"/>
                <w:bCs/>
                <w:sz w:val="20"/>
                <w:szCs w:val="20"/>
              </w:rPr>
            </w:pPr>
          </w:p>
          <w:p w14:paraId="5CD6F024" w14:textId="77777777" w:rsidR="0047276B" w:rsidRPr="0047276B" w:rsidRDefault="0047276B" w:rsidP="0047276B">
            <w:pPr>
              <w:spacing w:after="0" w:line="240" w:lineRule="auto"/>
              <w:jc w:val="both"/>
              <w:rPr>
                <w:rFonts w:ascii="Cambria" w:hAnsi="Cambria"/>
                <w:sz w:val="20"/>
                <w:szCs w:val="20"/>
              </w:rPr>
            </w:pPr>
            <w:r w:rsidRPr="0047276B">
              <w:rPr>
                <w:rFonts w:ascii="Cambria" w:eastAsia="Batang" w:hAnsi="Cambria"/>
                <w:b/>
                <w:sz w:val="20"/>
                <w:szCs w:val="20"/>
              </w:rPr>
              <w:t>Facts:</w:t>
            </w:r>
            <w:r w:rsidRPr="0047276B">
              <w:rPr>
                <w:rFonts w:ascii="Cambria" w:eastAsia="Batang" w:hAnsi="Cambria"/>
                <w:sz w:val="20"/>
                <w:szCs w:val="20"/>
              </w:rPr>
              <w:t xml:space="preserve"> </w:t>
            </w:r>
            <w:r w:rsidRPr="0047276B">
              <w:rPr>
                <w:rFonts w:ascii="Cambria" w:hAnsi="Cambria"/>
                <w:sz w:val="20"/>
                <w:szCs w:val="20"/>
              </w:rPr>
              <w:t xml:space="preserve">On June 6, 2007, the Inter-American Commission on Human Rights received the petition filed by Mr. Edgar Mondragon Bustamante, alleging the Mexican State’s international responsibility for the failure to investigate the death of his son, 1 year 11 months of age, Ismael Mondragon, as a result of medical malpractice during cranial surgery at the Children’s Hospital of the State of Sonora, a public institution. Afterwards, the attorney Miguel Nava Alvarado became a co-petitioner. </w:t>
            </w:r>
          </w:p>
          <w:p w14:paraId="3CC78F49" w14:textId="77777777" w:rsidR="0047276B" w:rsidRPr="0047276B" w:rsidRDefault="0047276B" w:rsidP="0047276B">
            <w:pPr>
              <w:spacing w:after="0" w:line="240" w:lineRule="auto"/>
              <w:jc w:val="both"/>
              <w:rPr>
                <w:rFonts w:ascii="Cambria" w:hAnsi="Cambria"/>
                <w:sz w:val="20"/>
                <w:szCs w:val="20"/>
              </w:rPr>
            </w:pPr>
          </w:p>
          <w:p w14:paraId="4ED0C72C" w14:textId="77777777" w:rsidR="0047276B" w:rsidRPr="0047276B" w:rsidRDefault="0047276B" w:rsidP="0047276B">
            <w:pPr>
              <w:spacing w:after="0" w:line="240" w:lineRule="auto"/>
              <w:jc w:val="both"/>
              <w:rPr>
                <w:rFonts w:ascii="Cambria" w:hAnsi="Cambria"/>
                <w:sz w:val="20"/>
                <w:szCs w:val="20"/>
              </w:rPr>
            </w:pPr>
            <w:r w:rsidRPr="0047276B">
              <w:rPr>
                <w:rFonts w:ascii="Cambria" w:eastAsia="Batang" w:hAnsi="Cambria"/>
                <w:b/>
                <w:sz w:val="20"/>
                <w:szCs w:val="20"/>
              </w:rPr>
              <w:t>Rights allegedly violated:</w:t>
            </w:r>
            <w:r w:rsidRPr="0047276B">
              <w:rPr>
                <w:rFonts w:ascii="Cambria" w:hAnsi="Cambria"/>
                <w:sz w:val="20"/>
                <w:szCs w:val="20"/>
              </w:rPr>
              <w:t xml:space="preserve"> The petitioners alleged that the Republic of Mexico violated Article 4 (right to life), Article 5 (right to personal integrity), and Article 19 (rights of the child) of the American Convention on Human Rights. </w:t>
            </w:r>
          </w:p>
        </w:tc>
      </w:tr>
    </w:tbl>
    <w:p w14:paraId="553255C9" w14:textId="77777777" w:rsidR="0047276B" w:rsidRPr="0047276B" w:rsidRDefault="0047276B" w:rsidP="0047276B">
      <w:pPr>
        <w:suppressAutoHyphens/>
        <w:spacing w:after="0" w:line="240" w:lineRule="auto"/>
        <w:ind w:firstLine="709"/>
        <w:contextualSpacing/>
        <w:jc w:val="both"/>
        <w:rPr>
          <w:rFonts w:ascii="Cambria" w:eastAsia="Batang" w:hAnsi="Cambria" w:cs="Calibri Light"/>
          <w:b/>
          <w:sz w:val="20"/>
          <w:szCs w:val="20"/>
        </w:rPr>
      </w:pPr>
    </w:p>
    <w:p w14:paraId="0711D8F7" w14:textId="77777777" w:rsidR="0047276B" w:rsidRPr="0047276B" w:rsidRDefault="0047276B" w:rsidP="0047276B">
      <w:pPr>
        <w:numPr>
          <w:ilvl w:val="0"/>
          <w:numId w:val="29"/>
        </w:numPr>
        <w:suppressAutoHyphens/>
        <w:spacing w:after="0" w:line="240" w:lineRule="auto"/>
        <w:ind w:left="0" w:firstLine="709"/>
        <w:contextualSpacing/>
        <w:jc w:val="both"/>
        <w:rPr>
          <w:rFonts w:ascii="Cambria" w:eastAsia="Batang" w:hAnsi="Cambria" w:cs="Calibri Light"/>
          <w:b/>
          <w:sz w:val="20"/>
          <w:szCs w:val="20"/>
        </w:rPr>
      </w:pPr>
      <w:r w:rsidRPr="0047276B">
        <w:rPr>
          <w:rFonts w:ascii="Cambria" w:eastAsia="Batang" w:hAnsi="Cambria"/>
          <w:b/>
          <w:sz w:val="20"/>
          <w:szCs w:val="20"/>
        </w:rPr>
        <w:t>PROCEDURAL ACTIVITY</w:t>
      </w:r>
    </w:p>
    <w:p w14:paraId="52BD2025" w14:textId="77777777" w:rsidR="0047276B" w:rsidRPr="0047276B" w:rsidRDefault="0047276B" w:rsidP="0047276B">
      <w:pPr>
        <w:suppressAutoHyphens/>
        <w:spacing w:after="0" w:line="240" w:lineRule="auto"/>
        <w:ind w:firstLine="709"/>
        <w:contextualSpacing/>
        <w:jc w:val="both"/>
        <w:rPr>
          <w:rFonts w:ascii="Cambria" w:eastAsia="Batang" w:hAnsi="Cambria" w:cs="Calibri Light"/>
          <w:b/>
          <w:sz w:val="20"/>
          <w:szCs w:val="20"/>
        </w:rPr>
      </w:pPr>
    </w:p>
    <w:p w14:paraId="3C870FEC" w14:textId="38D0D2C2" w:rsidR="0047276B" w:rsidRPr="0047276B" w:rsidRDefault="0047276B" w:rsidP="0047276B">
      <w:pPr>
        <w:numPr>
          <w:ilvl w:val="0"/>
          <w:numId w:val="32"/>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Pr>
          <w:rFonts w:ascii="Cambria" w:hAnsi="Cambria" w:cs="Calibri Light"/>
          <w:color w:val="000000"/>
          <w:sz w:val="20"/>
          <w:szCs w:val="20"/>
        </w:rPr>
        <w:t>On March 14, 2018, the parties signed a friendly settlement agreement</w:t>
      </w:r>
      <w:r w:rsidRPr="0047276B">
        <w:rPr>
          <w:rFonts w:ascii="Cambria" w:hAnsi="Cambria" w:cs="Calibri Light"/>
          <w:color w:val="000000"/>
          <w:sz w:val="20"/>
          <w:szCs w:val="20"/>
        </w:rPr>
        <w:t>.</w:t>
      </w:r>
    </w:p>
    <w:p w14:paraId="247A9A77" w14:textId="77777777" w:rsidR="0047276B" w:rsidRPr="0047276B" w:rsidRDefault="0047276B" w:rsidP="0047276B">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p>
    <w:p w14:paraId="33432C3E" w14:textId="6A544ACD" w:rsidR="0047276B" w:rsidRPr="0047276B" w:rsidRDefault="0047276B" w:rsidP="0047276B">
      <w:pPr>
        <w:numPr>
          <w:ilvl w:val="0"/>
          <w:numId w:val="32"/>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Pr>
          <w:rFonts w:ascii="Cambria" w:eastAsia="Batang" w:hAnsi="Cambria" w:cs="Calibri Light"/>
          <w:color w:val="000000"/>
          <w:sz w:val="20"/>
          <w:szCs w:val="20"/>
        </w:rPr>
        <w:t xml:space="preserve">On June 9, 2020, the Commission approved the friendly settlement agreement </w:t>
      </w:r>
      <w:r w:rsidR="00871116">
        <w:rPr>
          <w:rFonts w:ascii="Cambria" w:eastAsia="Batang" w:hAnsi="Cambria" w:cs="Calibri Light"/>
          <w:color w:val="000000"/>
          <w:sz w:val="20"/>
          <w:szCs w:val="20"/>
        </w:rPr>
        <w:t>through</w:t>
      </w:r>
      <w:r>
        <w:rPr>
          <w:rFonts w:ascii="Cambria" w:eastAsia="Batang" w:hAnsi="Cambria" w:cs="Calibri Light"/>
          <w:color w:val="000000"/>
          <w:sz w:val="20"/>
          <w:szCs w:val="20"/>
        </w:rPr>
        <w:t xml:space="preserve"> Report 110/20</w:t>
      </w:r>
      <w:r w:rsidRPr="0047276B">
        <w:rPr>
          <w:rFonts w:ascii="Cambria" w:eastAsia="Batang" w:hAnsi="Cambria" w:cs="Calibri Light"/>
          <w:color w:val="000000"/>
          <w:sz w:val="20"/>
          <w:szCs w:val="20"/>
        </w:rPr>
        <w:t>.</w:t>
      </w:r>
    </w:p>
    <w:p w14:paraId="330509D0" w14:textId="77777777" w:rsidR="0047276B" w:rsidRPr="0047276B" w:rsidRDefault="0047276B" w:rsidP="0047276B">
      <w:pPr>
        <w:tabs>
          <w:tab w:val="left" w:pos="1440"/>
        </w:tabs>
        <w:suppressAutoHyphens/>
        <w:spacing w:after="0" w:line="240" w:lineRule="auto"/>
        <w:ind w:firstLine="709"/>
        <w:jc w:val="both"/>
        <w:rPr>
          <w:rFonts w:ascii="Cambria" w:eastAsia="Batang" w:hAnsi="Cambria" w:cs="Calibri Light"/>
          <w:sz w:val="20"/>
          <w:szCs w:val="20"/>
        </w:rPr>
      </w:pPr>
    </w:p>
    <w:p w14:paraId="63563F63" w14:textId="77777777" w:rsidR="0047276B" w:rsidRPr="0047276B" w:rsidRDefault="0047276B" w:rsidP="0047276B">
      <w:pPr>
        <w:numPr>
          <w:ilvl w:val="0"/>
          <w:numId w:val="29"/>
        </w:numPr>
        <w:tabs>
          <w:tab w:val="left" w:pos="1440"/>
        </w:tabs>
        <w:suppressAutoHyphens/>
        <w:spacing w:after="0" w:line="240" w:lineRule="auto"/>
        <w:ind w:left="0" w:firstLine="709"/>
        <w:jc w:val="both"/>
        <w:rPr>
          <w:rFonts w:ascii="Cambria" w:eastAsia="Batang" w:hAnsi="Cambria" w:cs="Calibri Light"/>
          <w:b/>
          <w:sz w:val="20"/>
          <w:szCs w:val="20"/>
        </w:rPr>
      </w:pPr>
      <w:r w:rsidRPr="0047276B">
        <w:rPr>
          <w:rFonts w:ascii="Cambria" w:eastAsia="Batang" w:hAnsi="Cambria" w:cs="Calibri Light"/>
          <w:b/>
          <w:sz w:val="20"/>
          <w:szCs w:val="20"/>
        </w:rPr>
        <w:t>ANALYSIS OF COMPLIANCE WITH THE CLAUSES OF THE FRIENDLY SETTLEMENT AGREEMENT</w:t>
      </w:r>
    </w:p>
    <w:p w14:paraId="7ECA9619" w14:textId="77777777" w:rsidR="0047276B" w:rsidRPr="0047276B" w:rsidRDefault="0047276B" w:rsidP="0047276B">
      <w:pPr>
        <w:suppressAutoHyphens/>
        <w:spacing w:after="0" w:line="240" w:lineRule="auto"/>
        <w:ind w:firstLine="709"/>
        <w:rPr>
          <w:rFonts w:ascii="Cambria" w:eastAsia="Batang" w:hAnsi="Cambria"/>
          <w:sz w:val="20"/>
          <w:szCs w:val="20"/>
        </w:rPr>
      </w:pP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3"/>
        <w:gridCol w:w="4962"/>
      </w:tblGrid>
      <w:tr w:rsidR="0047276B" w:rsidRPr="0047276B" w14:paraId="592C0F1D" w14:textId="77777777" w:rsidTr="0047276B">
        <w:tc>
          <w:tcPr>
            <w:tcW w:w="47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D34D1" w14:textId="27112AFB" w:rsidR="0047276B" w:rsidRPr="0047276B" w:rsidRDefault="0047276B" w:rsidP="0047276B">
            <w:pPr>
              <w:tabs>
                <w:tab w:val="center" w:pos="2049"/>
              </w:tabs>
              <w:suppressAutoHyphens/>
              <w:spacing w:after="0" w:line="240" w:lineRule="auto"/>
              <w:jc w:val="center"/>
              <w:rPr>
                <w:rFonts w:ascii="Cambria" w:eastAsia="Batang" w:hAnsi="Cambria"/>
                <w:b/>
                <w:sz w:val="20"/>
                <w:szCs w:val="20"/>
              </w:rPr>
            </w:pPr>
            <w:r w:rsidRPr="0047276B">
              <w:rPr>
                <w:rFonts w:ascii="Cambria" w:eastAsia="Batang" w:hAnsi="Cambria"/>
                <w:b/>
                <w:sz w:val="20"/>
                <w:szCs w:val="20"/>
              </w:rPr>
              <w:t xml:space="preserve">Agreement </w:t>
            </w:r>
            <w:r>
              <w:rPr>
                <w:rFonts w:ascii="Cambria" w:eastAsia="Batang" w:hAnsi="Cambria"/>
                <w:b/>
                <w:sz w:val="20"/>
                <w:szCs w:val="20"/>
              </w:rPr>
              <w:t>C</w:t>
            </w:r>
            <w:r w:rsidRPr="0047276B">
              <w:rPr>
                <w:rFonts w:ascii="Cambria" w:eastAsia="Batang" w:hAnsi="Cambria"/>
                <w:b/>
                <w:sz w:val="20"/>
                <w:szCs w:val="20"/>
              </w:rPr>
              <w:t>lause</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AD28B" w14:textId="37430DE5" w:rsidR="0047276B" w:rsidRPr="0047276B" w:rsidRDefault="00871116" w:rsidP="0047276B">
            <w:pPr>
              <w:suppressAutoHyphens/>
              <w:spacing w:after="0" w:line="240" w:lineRule="auto"/>
              <w:jc w:val="center"/>
              <w:rPr>
                <w:rFonts w:ascii="Cambria" w:eastAsia="Batang" w:hAnsi="Cambria"/>
                <w:b/>
                <w:sz w:val="20"/>
                <w:szCs w:val="20"/>
              </w:rPr>
            </w:pPr>
            <w:r>
              <w:rPr>
                <w:rFonts w:ascii="Cambria" w:eastAsia="Batang" w:hAnsi="Cambria"/>
                <w:b/>
                <w:sz w:val="20"/>
                <w:szCs w:val="20"/>
              </w:rPr>
              <w:t>Status</w:t>
            </w:r>
            <w:r w:rsidR="0047276B" w:rsidRPr="0047276B">
              <w:rPr>
                <w:rFonts w:ascii="Cambria" w:eastAsia="Batang" w:hAnsi="Cambria"/>
                <w:b/>
                <w:sz w:val="20"/>
                <w:szCs w:val="20"/>
              </w:rPr>
              <w:t xml:space="preserve"> of </w:t>
            </w:r>
            <w:r w:rsidR="0047276B">
              <w:rPr>
                <w:rFonts w:ascii="Cambria" w:eastAsia="Batang" w:hAnsi="Cambria"/>
                <w:b/>
                <w:sz w:val="20"/>
                <w:szCs w:val="20"/>
              </w:rPr>
              <w:t>C</w:t>
            </w:r>
            <w:r w:rsidR="0047276B" w:rsidRPr="0047276B">
              <w:rPr>
                <w:rFonts w:ascii="Cambria" w:eastAsia="Batang" w:hAnsi="Cambria"/>
                <w:b/>
                <w:sz w:val="20"/>
                <w:szCs w:val="20"/>
              </w:rPr>
              <w:t>ompliance</w:t>
            </w:r>
          </w:p>
        </w:tc>
      </w:tr>
      <w:tr w:rsidR="0047276B" w:rsidRPr="0047276B" w14:paraId="4F53782E" w14:textId="77777777" w:rsidTr="0047276B">
        <w:trPr>
          <w:trHeight w:val="341"/>
        </w:trPr>
        <w:tc>
          <w:tcPr>
            <w:tcW w:w="4783" w:type="dxa"/>
            <w:tcBorders>
              <w:top w:val="single" w:sz="4" w:space="0" w:color="auto"/>
              <w:left w:val="single" w:sz="4" w:space="0" w:color="auto"/>
              <w:bottom w:val="single" w:sz="4" w:space="0" w:color="auto"/>
              <w:right w:val="single" w:sz="4" w:space="0" w:color="auto"/>
            </w:tcBorders>
            <w:vAlign w:val="center"/>
          </w:tcPr>
          <w:p w14:paraId="0A4CA59A" w14:textId="77777777" w:rsidR="0047276B" w:rsidRPr="0047276B" w:rsidRDefault="0047276B" w:rsidP="0047276B">
            <w:pPr>
              <w:numPr>
                <w:ilvl w:val="0"/>
                <w:numId w:val="35"/>
              </w:numPr>
              <w:suppressAutoHyphens/>
              <w:spacing w:after="0" w:line="240" w:lineRule="auto"/>
              <w:ind w:left="286" w:hanging="284"/>
              <w:jc w:val="both"/>
              <w:rPr>
                <w:rFonts w:ascii="Cambria" w:hAnsi="Cambria"/>
                <w:b/>
                <w:bCs/>
                <w:sz w:val="20"/>
                <w:szCs w:val="20"/>
              </w:rPr>
            </w:pPr>
            <w:r w:rsidRPr="0047276B">
              <w:rPr>
                <w:rFonts w:ascii="Cambria" w:hAnsi="Cambria"/>
                <w:b/>
                <w:bCs/>
                <w:sz w:val="20"/>
                <w:szCs w:val="20"/>
              </w:rPr>
              <w:t>RECOGNITION OF RESPONSIBILITY</w:t>
            </w:r>
          </w:p>
          <w:p w14:paraId="3979C529" w14:textId="77777777" w:rsidR="0047276B" w:rsidRPr="0047276B" w:rsidRDefault="0047276B" w:rsidP="0047276B">
            <w:pPr>
              <w:spacing w:after="0" w:line="240" w:lineRule="auto"/>
              <w:jc w:val="both"/>
              <w:rPr>
                <w:rFonts w:ascii="Cambria" w:hAnsi="Cambria"/>
                <w:sz w:val="20"/>
                <w:szCs w:val="20"/>
              </w:rPr>
            </w:pPr>
            <w:r w:rsidRPr="0047276B">
              <w:rPr>
                <w:rFonts w:ascii="Cambria" w:hAnsi="Cambria"/>
                <w:sz w:val="20"/>
                <w:szCs w:val="20"/>
              </w:rPr>
              <w:t xml:space="preserve">The </w:t>
            </w:r>
            <w:r w:rsidRPr="0047276B">
              <w:rPr>
                <w:rFonts w:ascii="Cambria" w:hAnsi="Cambria"/>
                <w:b/>
                <w:bCs/>
                <w:sz w:val="20"/>
                <w:szCs w:val="20"/>
              </w:rPr>
              <w:t>"MEXICAN STATE</w:t>
            </w:r>
            <w:r w:rsidRPr="0047276B">
              <w:rPr>
                <w:rFonts w:ascii="Cambria" w:hAnsi="Cambria"/>
                <w:sz w:val="20"/>
                <w:szCs w:val="20"/>
              </w:rPr>
              <w:t xml:space="preserve">" recognizes its international responsibility for violations of the rights to life and personal integrity and the rights of the child enshrined in Articles 4, 5, and 19 of the American Convention on Human Rights, in connection with the general obligation to respect the rights contained in Article 1.1 of the same instrument, for the incidents that occurred to the detriment of Ismael Mondragon Molina. </w:t>
            </w:r>
          </w:p>
          <w:p w14:paraId="0F8D82ED" w14:textId="77777777" w:rsidR="0047276B" w:rsidRPr="0047276B" w:rsidRDefault="0047276B" w:rsidP="0047276B">
            <w:pPr>
              <w:spacing w:after="0" w:line="240" w:lineRule="auto"/>
              <w:jc w:val="both"/>
              <w:rPr>
                <w:rFonts w:ascii="Cambria" w:hAnsi="Cambria"/>
                <w:sz w:val="20"/>
                <w:szCs w:val="20"/>
              </w:rPr>
            </w:pPr>
            <w:r w:rsidRPr="0047276B">
              <w:rPr>
                <w:rFonts w:ascii="Cambria" w:hAnsi="Cambria"/>
                <w:sz w:val="20"/>
                <w:szCs w:val="20"/>
              </w:rPr>
              <w:lastRenderedPageBreak/>
              <w:t>The "</w:t>
            </w:r>
            <w:r w:rsidRPr="0047276B">
              <w:rPr>
                <w:rFonts w:ascii="Cambria" w:hAnsi="Cambria"/>
                <w:b/>
                <w:bCs/>
                <w:sz w:val="20"/>
                <w:szCs w:val="20"/>
              </w:rPr>
              <w:t>MEXICAN STATE</w:t>
            </w:r>
            <w:r w:rsidRPr="0047276B">
              <w:rPr>
                <w:rFonts w:ascii="Cambria" w:hAnsi="Cambria"/>
                <w:sz w:val="20"/>
                <w:szCs w:val="20"/>
              </w:rPr>
              <w:t xml:space="preserve">" recognizes that the violations indicated in the previous paragraph are imputable to it and entail its international responsibility with respect to "THE VICTIMS," as well as the obligation to provide them with reparations.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2E46715" w14:textId="779658FD" w:rsidR="0047276B" w:rsidRPr="0047276B" w:rsidRDefault="0047276B" w:rsidP="0047276B">
            <w:pPr>
              <w:suppressAutoHyphens/>
              <w:spacing w:after="0" w:line="240" w:lineRule="auto"/>
              <w:contextualSpacing/>
              <w:jc w:val="center"/>
              <w:rPr>
                <w:rFonts w:ascii="Cambria" w:eastAsia="Batang" w:hAnsi="Cambria"/>
                <w:sz w:val="20"/>
                <w:szCs w:val="20"/>
              </w:rPr>
            </w:pPr>
            <w:r w:rsidRPr="0047276B">
              <w:rPr>
                <w:rFonts w:ascii="Cambria" w:eastAsia="Batang" w:hAnsi="Cambria"/>
                <w:b/>
                <w:sz w:val="20"/>
                <w:szCs w:val="20"/>
              </w:rPr>
              <w:lastRenderedPageBreak/>
              <w:t xml:space="preserve">Declarative </w:t>
            </w:r>
            <w:r>
              <w:rPr>
                <w:rFonts w:ascii="Cambria" w:eastAsia="Batang" w:hAnsi="Cambria"/>
                <w:b/>
                <w:sz w:val="20"/>
                <w:szCs w:val="20"/>
              </w:rPr>
              <w:t>C</w:t>
            </w:r>
            <w:r w:rsidRPr="0047276B">
              <w:rPr>
                <w:rFonts w:ascii="Cambria" w:eastAsia="Batang" w:hAnsi="Cambria"/>
                <w:b/>
                <w:sz w:val="20"/>
                <w:szCs w:val="20"/>
              </w:rPr>
              <w:t>lause</w:t>
            </w:r>
          </w:p>
        </w:tc>
      </w:tr>
      <w:tr w:rsidR="0047276B" w:rsidRPr="0047276B" w14:paraId="4FCB6F15" w14:textId="77777777" w:rsidTr="0047276B">
        <w:trPr>
          <w:trHeight w:val="269"/>
        </w:trPr>
        <w:tc>
          <w:tcPr>
            <w:tcW w:w="9745" w:type="dxa"/>
            <w:gridSpan w:val="2"/>
            <w:tcBorders>
              <w:top w:val="single" w:sz="4" w:space="0" w:color="auto"/>
              <w:left w:val="single" w:sz="4" w:space="0" w:color="auto"/>
              <w:right w:val="single" w:sz="4" w:space="0" w:color="auto"/>
            </w:tcBorders>
          </w:tcPr>
          <w:p w14:paraId="50365799" w14:textId="77777777" w:rsidR="0047276B" w:rsidRPr="0047276B" w:rsidRDefault="0047276B" w:rsidP="0047276B">
            <w:pPr>
              <w:suppressAutoHyphens/>
              <w:spacing w:after="0" w:line="240" w:lineRule="auto"/>
              <w:jc w:val="both"/>
              <w:rPr>
                <w:rFonts w:ascii="Cambria" w:eastAsia="Batang" w:hAnsi="Cambria"/>
                <w:b/>
                <w:bCs/>
                <w:sz w:val="20"/>
                <w:szCs w:val="20"/>
              </w:rPr>
            </w:pPr>
            <w:r w:rsidRPr="0047276B">
              <w:rPr>
                <w:rFonts w:ascii="Cambria" w:hAnsi="Cambria"/>
                <w:b/>
                <w:bCs/>
                <w:sz w:val="20"/>
                <w:szCs w:val="20"/>
              </w:rPr>
              <w:t xml:space="preserve">A. REHABILITATION MEASURES </w:t>
            </w:r>
          </w:p>
        </w:tc>
      </w:tr>
      <w:tr w:rsidR="0047276B" w:rsidRPr="0047276B" w14:paraId="2595AF54" w14:textId="77777777" w:rsidTr="0047276B">
        <w:trPr>
          <w:trHeight w:val="4670"/>
        </w:trPr>
        <w:tc>
          <w:tcPr>
            <w:tcW w:w="4783" w:type="dxa"/>
            <w:tcBorders>
              <w:top w:val="single" w:sz="4" w:space="0" w:color="auto"/>
              <w:left w:val="single" w:sz="4" w:space="0" w:color="auto"/>
              <w:right w:val="single" w:sz="4" w:space="0" w:color="auto"/>
            </w:tcBorders>
          </w:tcPr>
          <w:p w14:paraId="4A71650D"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 xml:space="preserve">Clause 3.2 Regarding health. </w:t>
            </w:r>
            <w:r w:rsidRPr="0047276B">
              <w:rPr>
                <w:rFonts w:ascii="Cambria" w:hAnsi="Cambria"/>
                <w:sz w:val="20"/>
                <w:szCs w:val="20"/>
              </w:rPr>
              <w:t>The "</w:t>
            </w:r>
            <w:r w:rsidRPr="0047276B">
              <w:rPr>
                <w:rFonts w:ascii="Cambria" w:hAnsi="Cambria"/>
                <w:b/>
                <w:bCs/>
                <w:sz w:val="20"/>
                <w:szCs w:val="20"/>
              </w:rPr>
              <w:t>MEXICAN STATE</w:t>
            </w:r>
            <w:r w:rsidRPr="0047276B">
              <w:rPr>
                <w:rFonts w:ascii="Cambria" w:hAnsi="Cambria"/>
                <w:sz w:val="20"/>
                <w:szCs w:val="20"/>
              </w:rPr>
              <w:t>" undertakes to provide each one of "</w:t>
            </w:r>
            <w:r w:rsidRPr="0047276B">
              <w:rPr>
                <w:rFonts w:ascii="Cambria" w:hAnsi="Cambria"/>
                <w:b/>
                <w:bCs/>
                <w:sz w:val="20"/>
                <w:szCs w:val="20"/>
              </w:rPr>
              <w:t>THE VICTIMS</w:t>
            </w:r>
            <w:r w:rsidRPr="0047276B">
              <w:rPr>
                <w:rFonts w:ascii="Cambria" w:hAnsi="Cambria"/>
                <w:sz w:val="20"/>
                <w:szCs w:val="20"/>
              </w:rPr>
              <w:t xml:space="preserve">" priority, free, and adequate medical and psychological care services, by designing personally tailored health roadmap that takes into consideration the information of each one of the beneficiaries, as well as their place of residence and their accessibility to existing services depending on the distance. </w:t>
            </w:r>
          </w:p>
          <w:p w14:paraId="7B3E7731"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The healthcare services shall be provided via the public institutions of the "</w:t>
            </w:r>
            <w:r w:rsidRPr="0047276B">
              <w:rPr>
                <w:rFonts w:ascii="Cambria" w:hAnsi="Cambria"/>
                <w:b/>
                <w:bCs/>
                <w:sz w:val="20"/>
                <w:szCs w:val="20"/>
              </w:rPr>
              <w:t>MEXICAN STATE.</w:t>
            </w:r>
            <w:r w:rsidRPr="0047276B">
              <w:rPr>
                <w:rFonts w:ascii="Cambria" w:hAnsi="Cambria"/>
                <w:sz w:val="20"/>
                <w:szCs w:val="20"/>
              </w:rPr>
              <w:t>"</w:t>
            </w:r>
          </w:p>
          <w:p w14:paraId="266F79FB"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The "</w:t>
            </w:r>
            <w:r w:rsidRPr="0047276B">
              <w:rPr>
                <w:rFonts w:ascii="Cambria" w:hAnsi="Cambria"/>
                <w:b/>
                <w:bCs/>
                <w:sz w:val="20"/>
                <w:szCs w:val="20"/>
              </w:rPr>
              <w:t>MEXICAN STATE</w:t>
            </w:r>
            <w:r w:rsidRPr="0047276B">
              <w:rPr>
                <w:rFonts w:ascii="Cambria" w:hAnsi="Cambria"/>
                <w:sz w:val="20"/>
                <w:szCs w:val="20"/>
              </w:rPr>
              <w:t xml:space="preserve">" shall provide them with a direct contact in the public health institutions in the event they require any healthcare service. This contact must be capable of taking decisions and acting as an intermediary to resolve any need that might appear. </w:t>
            </w:r>
          </w:p>
          <w:p w14:paraId="1DA74A4F"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3.2.1 Agreement on the health roadmap</w:t>
            </w:r>
            <w:r w:rsidRPr="0047276B">
              <w:rPr>
                <w:rFonts w:ascii="Cambria" w:hAnsi="Cambria"/>
                <w:sz w:val="20"/>
                <w:szCs w:val="20"/>
              </w:rPr>
              <w:t xml:space="preserve">. </w:t>
            </w:r>
          </w:p>
          <w:p w14:paraId="35DA6E0D"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The specific needs for services of "THE VICTIMS" shall be incorporated into the present agreement, through Annex 1, which shall be agreed upon by consensus between "THE PARTIES" within six months, at the latest, after the present agreement has been signed. “</w:t>
            </w:r>
            <w:r w:rsidRPr="0047276B">
              <w:rPr>
                <w:rFonts w:ascii="Cambria" w:hAnsi="Cambria"/>
                <w:b/>
                <w:bCs/>
                <w:sz w:val="20"/>
                <w:szCs w:val="20"/>
              </w:rPr>
              <w:t>THE VICTIMS</w:t>
            </w:r>
            <w:r w:rsidRPr="0047276B">
              <w:rPr>
                <w:rFonts w:ascii="Cambria" w:hAnsi="Cambria"/>
                <w:sz w:val="20"/>
                <w:szCs w:val="20"/>
              </w:rPr>
              <w:t>" through their representatives, shall provide "</w:t>
            </w:r>
            <w:r w:rsidRPr="0047276B">
              <w:rPr>
                <w:rFonts w:ascii="Cambria" w:hAnsi="Cambria"/>
                <w:b/>
                <w:bCs/>
                <w:sz w:val="20"/>
                <w:szCs w:val="20"/>
              </w:rPr>
              <w:t>SEGOB</w:t>
            </w:r>
            <w:r w:rsidRPr="0047276B">
              <w:rPr>
                <w:rFonts w:ascii="Cambria" w:hAnsi="Cambria"/>
                <w:sz w:val="20"/>
                <w:szCs w:val="20"/>
              </w:rPr>
              <w:t>" with all of the necessary information for their affiliation, assessment, and/or healthcare in the public health institutions as soon as "</w:t>
            </w:r>
            <w:r w:rsidRPr="0047276B">
              <w:rPr>
                <w:rFonts w:ascii="Cambria" w:hAnsi="Cambria"/>
                <w:b/>
                <w:bCs/>
                <w:sz w:val="20"/>
                <w:szCs w:val="20"/>
              </w:rPr>
              <w:t>THE PARTIES</w:t>
            </w:r>
            <w:r w:rsidRPr="0047276B">
              <w:rPr>
                <w:rFonts w:ascii="Cambria" w:hAnsi="Cambria"/>
                <w:sz w:val="20"/>
                <w:szCs w:val="20"/>
              </w:rPr>
              <w:t xml:space="preserve">" agree on the terms. In turn, </w:t>
            </w:r>
            <w:r w:rsidRPr="0047276B">
              <w:rPr>
                <w:rFonts w:ascii="Cambria" w:hAnsi="Cambria"/>
                <w:b/>
                <w:sz w:val="20"/>
                <w:szCs w:val="20"/>
              </w:rPr>
              <w:t>"THE VICTIMS"</w:t>
            </w:r>
            <w:r w:rsidRPr="0047276B">
              <w:rPr>
                <w:rFonts w:ascii="Cambria" w:hAnsi="Cambria"/>
                <w:sz w:val="20"/>
                <w:szCs w:val="20"/>
              </w:rPr>
              <w:t xml:space="preserve"> pledge to go to the consultations, checkups, assessments, sessions, treatments, and any other type of procedure established by or stemming from the agreements. The "</w:t>
            </w:r>
            <w:r w:rsidRPr="0047276B">
              <w:rPr>
                <w:rFonts w:ascii="Cambria" w:hAnsi="Cambria"/>
                <w:b/>
                <w:bCs/>
                <w:sz w:val="20"/>
                <w:szCs w:val="20"/>
              </w:rPr>
              <w:t>MEXICAN STATE</w:t>
            </w:r>
            <w:r w:rsidRPr="0047276B">
              <w:rPr>
                <w:rFonts w:ascii="Cambria" w:hAnsi="Cambria"/>
                <w:sz w:val="20"/>
                <w:szCs w:val="20"/>
              </w:rPr>
              <w:t xml:space="preserve">" shall provide the corresponding facilities for the provision of the services in accordance with the terms of applicable legal regulations. </w:t>
            </w:r>
          </w:p>
          <w:p w14:paraId="17BCA8CA" w14:textId="77777777" w:rsidR="0047276B" w:rsidRPr="0047276B" w:rsidRDefault="0047276B" w:rsidP="0047276B">
            <w:pPr>
              <w:suppressAutoHyphens/>
              <w:spacing w:after="0" w:line="240" w:lineRule="auto"/>
              <w:jc w:val="both"/>
              <w:rPr>
                <w:rFonts w:ascii="Cambria" w:hAnsi="Cambria"/>
                <w:b/>
                <w:bCs/>
                <w:sz w:val="20"/>
                <w:szCs w:val="20"/>
              </w:rPr>
            </w:pPr>
            <w:r w:rsidRPr="0047276B">
              <w:rPr>
                <w:rFonts w:ascii="Cambria" w:hAnsi="Cambria"/>
                <w:sz w:val="20"/>
                <w:szCs w:val="20"/>
              </w:rPr>
              <w:t>The "</w:t>
            </w:r>
            <w:r w:rsidRPr="0047276B">
              <w:rPr>
                <w:rFonts w:ascii="Cambria" w:hAnsi="Cambria"/>
                <w:b/>
                <w:bCs/>
                <w:sz w:val="20"/>
                <w:szCs w:val="20"/>
              </w:rPr>
              <w:t>MEXICAN STATE</w:t>
            </w:r>
            <w:r w:rsidRPr="0047276B">
              <w:rPr>
                <w:rFonts w:ascii="Cambria" w:hAnsi="Cambria"/>
                <w:sz w:val="20"/>
                <w:szCs w:val="20"/>
              </w:rPr>
              <w:t>" shall not be required to provide medical or psychological care services to "</w:t>
            </w:r>
            <w:r w:rsidRPr="0047276B">
              <w:rPr>
                <w:rFonts w:ascii="Cambria" w:hAnsi="Cambria"/>
                <w:b/>
                <w:bCs/>
                <w:sz w:val="20"/>
                <w:szCs w:val="20"/>
              </w:rPr>
              <w:t>THE VICTIMS</w:t>
            </w:r>
            <w:r w:rsidRPr="0047276B">
              <w:rPr>
                <w:rFonts w:ascii="Cambria" w:hAnsi="Cambria"/>
                <w:sz w:val="20"/>
                <w:szCs w:val="20"/>
              </w:rPr>
              <w:t xml:space="preserve">" or their next-of-kin if they decide to change, either temporarily or permanently, their place of residence outside the country’s territory, and this is without detriment to fact that the services can once again be provided if the victims return to Mexican territory. </w:t>
            </w:r>
          </w:p>
        </w:tc>
        <w:tc>
          <w:tcPr>
            <w:tcW w:w="4962" w:type="dxa"/>
            <w:tcBorders>
              <w:top w:val="single" w:sz="4" w:space="0" w:color="auto"/>
              <w:left w:val="single" w:sz="4" w:space="0" w:color="auto"/>
              <w:right w:val="single" w:sz="4" w:space="0" w:color="auto"/>
            </w:tcBorders>
            <w:vAlign w:val="center"/>
          </w:tcPr>
          <w:p w14:paraId="7301C2A8" w14:textId="66D3308F" w:rsidR="0047276B" w:rsidRPr="0047276B" w:rsidRDefault="0047276B" w:rsidP="0047276B">
            <w:pPr>
              <w:suppressAutoHyphens/>
              <w:spacing w:after="0" w:line="240" w:lineRule="auto"/>
              <w:jc w:val="center"/>
              <w:rPr>
                <w:rFonts w:ascii="Cambria" w:eastAsia="Batang" w:hAnsi="Cambria"/>
                <w:b/>
                <w:bCs/>
                <w:sz w:val="20"/>
                <w:szCs w:val="20"/>
              </w:rPr>
            </w:pPr>
            <w:r w:rsidRPr="0047276B">
              <w:rPr>
                <w:rFonts w:ascii="Cambria" w:eastAsia="Batang" w:hAnsi="Cambria"/>
                <w:b/>
                <w:bCs/>
                <w:color w:val="000000"/>
                <w:sz w:val="20"/>
                <w:szCs w:val="20"/>
              </w:rPr>
              <w:t>Total</w:t>
            </w:r>
            <w:r w:rsidRPr="0047276B">
              <w:rPr>
                <w:rFonts w:ascii="Cambria" w:eastAsia="Batang" w:hAnsi="Cambria"/>
                <w:b/>
                <w:bCs/>
                <w:color w:val="000000"/>
                <w:sz w:val="20"/>
                <w:szCs w:val="20"/>
                <w:vertAlign w:val="superscript"/>
              </w:rPr>
              <w:footnoteReference w:id="2"/>
            </w:r>
          </w:p>
        </w:tc>
      </w:tr>
      <w:tr w:rsidR="0047276B" w:rsidRPr="0047276B" w14:paraId="75AC9F8F" w14:textId="77777777" w:rsidTr="0047276B">
        <w:trPr>
          <w:trHeight w:val="971"/>
        </w:trPr>
        <w:tc>
          <w:tcPr>
            <w:tcW w:w="4783" w:type="dxa"/>
            <w:tcBorders>
              <w:top w:val="single" w:sz="4" w:space="0" w:color="auto"/>
              <w:left w:val="single" w:sz="4" w:space="0" w:color="auto"/>
              <w:bottom w:val="single" w:sz="4" w:space="0" w:color="auto"/>
              <w:right w:val="single" w:sz="4" w:space="0" w:color="auto"/>
            </w:tcBorders>
          </w:tcPr>
          <w:p w14:paraId="7A73EC93"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kern w:val="36"/>
                <w:sz w:val="20"/>
                <w:szCs w:val="20"/>
              </w:rPr>
              <w:lastRenderedPageBreak/>
              <w:t xml:space="preserve">III. A. </w:t>
            </w:r>
            <w:r w:rsidRPr="0047276B">
              <w:rPr>
                <w:rFonts w:ascii="Cambria" w:hAnsi="Cambria"/>
                <w:b/>
                <w:bCs/>
                <w:sz w:val="20"/>
                <w:szCs w:val="20"/>
              </w:rPr>
              <w:t xml:space="preserve"> Clause 3.2.2 Affiliation to the People’s Social Security (</w:t>
            </w:r>
            <w:r w:rsidRPr="0047276B">
              <w:rPr>
                <w:rFonts w:ascii="Cambria" w:hAnsi="Cambria"/>
                <w:b/>
                <w:bCs/>
                <w:i/>
                <w:sz w:val="20"/>
                <w:szCs w:val="20"/>
              </w:rPr>
              <w:t>Seguro Popular</w:t>
            </w:r>
            <w:r w:rsidRPr="0047276B">
              <w:rPr>
                <w:rFonts w:ascii="Cambria" w:hAnsi="Cambria"/>
                <w:b/>
                <w:bCs/>
                <w:sz w:val="20"/>
                <w:szCs w:val="20"/>
              </w:rPr>
              <w:t>)</w:t>
            </w:r>
            <w:r w:rsidRPr="0047276B">
              <w:rPr>
                <w:rFonts w:ascii="Cambria" w:hAnsi="Cambria"/>
                <w:sz w:val="20"/>
                <w:szCs w:val="20"/>
              </w:rPr>
              <w:t>. The "</w:t>
            </w:r>
            <w:r w:rsidRPr="0047276B">
              <w:rPr>
                <w:rFonts w:ascii="Cambria" w:hAnsi="Cambria"/>
                <w:b/>
                <w:bCs/>
                <w:sz w:val="20"/>
                <w:szCs w:val="20"/>
              </w:rPr>
              <w:t>MEXICAN STATE</w:t>
            </w:r>
            <w:r w:rsidRPr="0047276B">
              <w:rPr>
                <w:rFonts w:ascii="Cambria" w:hAnsi="Cambria"/>
                <w:sz w:val="20"/>
                <w:szCs w:val="20"/>
              </w:rPr>
              <w:t>" shall affiliate "</w:t>
            </w:r>
            <w:r w:rsidRPr="0047276B">
              <w:rPr>
                <w:rFonts w:ascii="Cambria" w:hAnsi="Cambria"/>
                <w:b/>
                <w:bCs/>
                <w:sz w:val="20"/>
                <w:szCs w:val="20"/>
              </w:rPr>
              <w:t>THE VICTIMS,</w:t>
            </w:r>
            <w:r w:rsidRPr="0047276B">
              <w:rPr>
                <w:rFonts w:ascii="Cambria" w:hAnsi="Cambria"/>
                <w:sz w:val="20"/>
                <w:szCs w:val="20"/>
              </w:rPr>
              <w:t xml:space="preserve">" if appropriate, to the People’s Social Security, and they shall have access to the services included in the medical coverage of that insurance. </w:t>
            </w:r>
          </w:p>
        </w:tc>
        <w:tc>
          <w:tcPr>
            <w:tcW w:w="4962" w:type="dxa"/>
            <w:tcBorders>
              <w:top w:val="single" w:sz="4" w:space="0" w:color="auto"/>
              <w:left w:val="single" w:sz="4" w:space="0" w:color="auto"/>
              <w:bottom w:val="single" w:sz="4" w:space="0" w:color="auto"/>
              <w:right w:val="single" w:sz="4" w:space="0" w:color="auto"/>
            </w:tcBorders>
            <w:vAlign w:val="center"/>
          </w:tcPr>
          <w:p w14:paraId="4C47B30C" w14:textId="77777777" w:rsidR="0047276B" w:rsidRPr="0047276B" w:rsidRDefault="0047276B" w:rsidP="0047276B">
            <w:pPr>
              <w:suppressAutoHyphens/>
              <w:spacing w:after="0" w:line="240" w:lineRule="auto"/>
              <w:jc w:val="center"/>
              <w:rPr>
                <w:rFonts w:ascii="Cambria" w:eastAsia="Batang" w:hAnsi="Cambria"/>
                <w:b/>
                <w:bCs/>
                <w:sz w:val="20"/>
                <w:szCs w:val="20"/>
              </w:rPr>
            </w:pPr>
            <w:r w:rsidRPr="0047276B">
              <w:rPr>
                <w:rFonts w:ascii="Cambria" w:hAnsi="Cambria"/>
                <w:b/>
                <w:sz w:val="20"/>
                <w:szCs w:val="20"/>
              </w:rPr>
              <w:t>Total</w:t>
            </w:r>
            <w:r w:rsidRPr="0047276B">
              <w:rPr>
                <w:rFonts w:ascii="Cambria" w:eastAsia="Batang" w:hAnsi="Cambria"/>
                <w:b/>
                <w:bCs/>
                <w:sz w:val="20"/>
                <w:szCs w:val="20"/>
                <w:vertAlign w:val="superscript"/>
              </w:rPr>
              <w:footnoteReference w:id="3"/>
            </w:r>
          </w:p>
        </w:tc>
      </w:tr>
      <w:tr w:rsidR="0047276B" w:rsidRPr="0047276B" w14:paraId="7D86FD0B" w14:textId="77777777" w:rsidTr="0047276B">
        <w:trPr>
          <w:trHeight w:val="971"/>
        </w:trPr>
        <w:tc>
          <w:tcPr>
            <w:tcW w:w="4783" w:type="dxa"/>
            <w:tcBorders>
              <w:top w:val="single" w:sz="4" w:space="0" w:color="auto"/>
              <w:left w:val="single" w:sz="4" w:space="0" w:color="auto"/>
              <w:bottom w:val="single" w:sz="4" w:space="0" w:color="auto"/>
              <w:right w:val="single" w:sz="4" w:space="0" w:color="auto"/>
            </w:tcBorders>
          </w:tcPr>
          <w:p w14:paraId="7A7226BC"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3.3 Scholarships</w:t>
            </w:r>
            <w:r w:rsidRPr="0047276B">
              <w:rPr>
                <w:rFonts w:ascii="Cambria" w:hAnsi="Cambria"/>
                <w:sz w:val="20"/>
                <w:szCs w:val="20"/>
              </w:rPr>
              <w:t>. "</w:t>
            </w:r>
            <w:r w:rsidRPr="0047276B">
              <w:rPr>
                <w:rFonts w:ascii="Cambria" w:hAnsi="Cambria"/>
                <w:b/>
                <w:bCs/>
                <w:sz w:val="20"/>
                <w:szCs w:val="20"/>
              </w:rPr>
              <w:t>THE ENTITY</w:t>
            </w:r>
            <w:r w:rsidRPr="0047276B">
              <w:rPr>
                <w:rFonts w:ascii="Cambria" w:hAnsi="Cambria"/>
                <w:sz w:val="20"/>
                <w:szCs w:val="20"/>
              </w:rPr>
              <w:t>" shall provide facilities to Edgar Mondragon Bustamante, Leslie Michelle Mondragon Molina, and Edgar Eduardo Mondragon Molina, for the purpose of awarding scholarships for their schooling in conformity with applicable laws and through the institutions having jurisdiction. The facilities for awarding the scholarships shall continue until university education.</w:t>
            </w:r>
          </w:p>
          <w:p w14:paraId="0844E8D2"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Once the scholarships have been awarded, this measure shall be subject to the academic performance of the beneficiaries and may be withdrawn if they do not meet academic, administrative, disciplinary, or any other standards that the schools they attend require of their students, regardless of their academic achievement. The "</w:t>
            </w:r>
            <w:r w:rsidRPr="0047276B">
              <w:rPr>
                <w:rFonts w:ascii="Cambria" w:hAnsi="Cambria"/>
                <w:b/>
                <w:bCs/>
                <w:sz w:val="20"/>
                <w:szCs w:val="20"/>
              </w:rPr>
              <w:t>MEXICAN STATE</w:t>
            </w:r>
            <w:r w:rsidRPr="0047276B">
              <w:rPr>
                <w:rFonts w:ascii="Cambria" w:hAnsi="Cambria"/>
                <w:sz w:val="20"/>
                <w:szCs w:val="20"/>
              </w:rPr>
              <w:t>" can be released from this obligation if, for reasons imputable to Mr. Edgar Mondragon Bustamante, as well as to Leslie Michelle Mondragon Molina and Edgar Eduardo Mondragon Molina, the requirements stipulated in the present clause are not met.</w:t>
            </w:r>
          </w:p>
        </w:tc>
        <w:tc>
          <w:tcPr>
            <w:tcW w:w="4962" w:type="dxa"/>
            <w:tcBorders>
              <w:top w:val="single" w:sz="4" w:space="0" w:color="auto"/>
              <w:left w:val="single" w:sz="4" w:space="0" w:color="auto"/>
              <w:bottom w:val="single" w:sz="4" w:space="0" w:color="auto"/>
              <w:right w:val="single" w:sz="4" w:space="0" w:color="auto"/>
            </w:tcBorders>
            <w:vAlign w:val="center"/>
          </w:tcPr>
          <w:p w14:paraId="56A470C4"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hAnsi="Cambria"/>
                <w:b/>
                <w:sz w:val="20"/>
                <w:szCs w:val="20"/>
              </w:rPr>
              <w:t>Total</w:t>
            </w:r>
            <w:r w:rsidRPr="0047276B">
              <w:rPr>
                <w:rFonts w:ascii="Cambria" w:eastAsia="Batang" w:hAnsi="Cambria"/>
                <w:b/>
                <w:sz w:val="20"/>
                <w:szCs w:val="20"/>
                <w:vertAlign w:val="superscript"/>
              </w:rPr>
              <w:footnoteReference w:id="4"/>
            </w:r>
          </w:p>
        </w:tc>
      </w:tr>
      <w:tr w:rsidR="0047276B" w:rsidRPr="0047276B" w14:paraId="064382CB" w14:textId="77777777" w:rsidTr="00311991">
        <w:trPr>
          <w:trHeight w:val="971"/>
        </w:trPr>
        <w:tc>
          <w:tcPr>
            <w:tcW w:w="4783" w:type="dxa"/>
            <w:tcBorders>
              <w:top w:val="single" w:sz="4" w:space="0" w:color="auto"/>
              <w:left w:val="single" w:sz="4" w:space="0" w:color="auto"/>
              <w:bottom w:val="single" w:sz="4" w:space="0" w:color="auto"/>
              <w:right w:val="single" w:sz="4" w:space="0" w:color="auto"/>
            </w:tcBorders>
          </w:tcPr>
          <w:p w14:paraId="3EA69A23" w14:textId="77777777" w:rsidR="0047276B" w:rsidRPr="0047276B" w:rsidRDefault="0047276B" w:rsidP="0047276B">
            <w:pPr>
              <w:numPr>
                <w:ilvl w:val="0"/>
                <w:numId w:val="31"/>
              </w:numPr>
              <w:suppressAutoHyphens/>
              <w:spacing w:after="0" w:line="240" w:lineRule="auto"/>
              <w:ind w:left="72" w:hanging="72"/>
              <w:jc w:val="both"/>
              <w:rPr>
                <w:rFonts w:ascii="Cambria" w:hAnsi="Cambria"/>
                <w:b/>
                <w:bCs/>
                <w:sz w:val="20"/>
                <w:szCs w:val="20"/>
              </w:rPr>
            </w:pPr>
            <w:r w:rsidRPr="0047276B">
              <w:rPr>
                <w:rFonts w:ascii="Cambria" w:hAnsi="Cambria"/>
                <w:b/>
                <w:bCs/>
                <w:sz w:val="20"/>
                <w:szCs w:val="20"/>
              </w:rPr>
              <w:t>Measures of satisfaction</w:t>
            </w:r>
          </w:p>
          <w:p w14:paraId="18741665" w14:textId="77777777" w:rsidR="0047276B" w:rsidRPr="0047276B" w:rsidRDefault="0047276B" w:rsidP="0047276B">
            <w:pPr>
              <w:autoSpaceDE w:val="0"/>
              <w:autoSpaceDN w:val="0"/>
              <w:adjustRightInd w:val="0"/>
              <w:spacing w:after="0" w:line="240" w:lineRule="auto"/>
              <w:jc w:val="both"/>
              <w:rPr>
                <w:rFonts w:ascii="Cambria" w:hAnsi="Cambria" w:cs="Cambria"/>
                <w:sz w:val="20"/>
                <w:szCs w:val="20"/>
                <w:lang w:eastAsia="es-AR"/>
              </w:rPr>
            </w:pPr>
            <w:r w:rsidRPr="0047276B">
              <w:rPr>
                <w:rFonts w:ascii="Cambria" w:hAnsi="Cambria" w:cs="Cambria"/>
                <w:b/>
                <w:bCs/>
                <w:sz w:val="20"/>
                <w:szCs w:val="20"/>
                <w:lang w:eastAsia="es-AR"/>
              </w:rPr>
              <w:t>Clause 3.4 Act of acknowledgment of responsibility</w:t>
            </w:r>
            <w:r w:rsidRPr="0047276B">
              <w:rPr>
                <w:rFonts w:ascii="Cambria" w:hAnsi="Cambria" w:cs="Cambria"/>
                <w:sz w:val="20"/>
                <w:szCs w:val="20"/>
                <w:lang w:eastAsia="es-AR"/>
              </w:rPr>
              <w:t>. The "</w:t>
            </w:r>
            <w:r w:rsidRPr="0047276B">
              <w:rPr>
                <w:rFonts w:ascii="Cambria" w:hAnsi="Cambria" w:cs="Cambria"/>
                <w:b/>
                <w:bCs/>
                <w:sz w:val="20"/>
                <w:szCs w:val="20"/>
                <w:lang w:eastAsia="es-AR"/>
              </w:rPr>
              <w:t>MEXICAN STATE</w:t>
            </w:r>
            <w:r w:rsidRPr="0047276B">
              <w:rPr>
                <w:rFonts w:ascii="Cambria" w:hAnsi="Cambria" w:cs="Cambria"/>
                <w:sz w:val="20"/>
                <w:szCs w:val="20"/>
                <w:lang w:eastAsia="es-AR"/>
              </w:rPr>
              <w:t xml:space="preserve">" shall hold a public ceremony of recognition of responsibility and public apology in which it recognizes that Ismael Mondragon Molina died because of medical malpractice, attributable to the medical staff of Children’s Hospital of the State of Sonora. </w:t>
            </w:r>
          </w:p>
          <w:p w14:paraId="388BE6D3" w14:textId="77777777" w:rsidR="0047276B" w:rsidRPr="0047276B" w:rsidRDefault="0047276B" w:rsidP="0047276B">
            <w:pPr>
              <w:autoSpaceDE w:val="0"/>
              <w:autoSpaceDN w:val="0"/>
              <w:adjustRightInd w:val="0"/>
              <w:spacing w:after="0" w:line="240" w:lineRule="auto"/>
              <w:jc w:val="both"/>
              <w:rPr>
                <w:rFonts w:ascii="Cambria" w:hAnsi="Cambria" w:cs="Cambria"/>
                <w:sz w:val="20"/>
                <w:szCs w:val="20"/>
                <w:lang w:eastAsia="es-AR"/>
              </w:rPr>
            </w:pPr>
            <w:r w:rsidRPr="0047276B">
              <w:rPr>
                <w:rFonts w:ascii="Cambria" w:hAnsi="Cambria" w:cs="Cambria"/>
                <w:sz w:val="20"/>
                <w:szCs w:val="20"/>
                <w:lang w:eastAsia="es-AR"/>
              </w:rPr>
              <w:t>The public ceremony of recognition shall be headed by the Under-Secretary of Human Rights of the "</w:t>
            </w:r>
            <w:r w:rsidRPr="0047276B">
              <w:rPr>
                <w:rFonts w:ascii="Cambria" w:hAnsi="Cambria" w:cs="Cambria"/>
                <w:b/>
                <w:bCs/>
                <w:sz w:val="20"/>
                <w:szCs w:val="20"/>
                <w:lang w:eastAsia="es-AR"/>
              </w:rPr>
              <w:t>SEGOB,</w:t>
            </w:r>
            <w:r w:rsidRPr="0047276B">
              <w:rPr>
                <w:rFonts w:ascii="Cambria" w:hAnsi="Cambria" w:cs="Cambria"/>
                <w:sz w:val="20"/>
                <w:szCs w:val="20"/>
                <w:lang w:eastAsia="es-AR"/>
              </w:rPr>
              <w:t>'' as well as by the Under-Secretary for Unilateral Affairs and Human Rights of the "</w:t>
            </w:r>
            <w:r w:rsidRPr="0047276B">
              <w:rPr>
                <w:rFonts w:ascii="Cambria" w:hAnsi="Cambria" w:cs="Cambria"/>
                <w:b/>
                <w:bCs/>
                <w:sz w:val="20"/>
                <w:szCs w:val="20"/>
                <w:lang w:eastAsia="es-AR"/>
              </w:rPr>
              <w:t>SRE.</w:t>
            </w:r>
            <w:r w:rsidRPr="0047276B">
              <w:rPr>
                <w:rFonts w:ascii="Cambria" w:hAnsi="Cambria" w:cs="Cambria"/>
                <w:sz w:val="20"/>
                <w:szCs w:val="20"/>
                <w:lang w:eastAsia="es-AR"/>
              </w:rPr>
              <w:t xml:space="preserve">" The Governor of the state of Sonora shall be invited to attend said ceremony or to designate a high-level official to attend on her behalf. </w:t>
            </w:r>
          </w:p>
          <w:p w14:paraId="6A230717" w14:textId="77777777" w:rsidR="0047276B" w:rsidRPr="0047276B" w:rsidRDefault="0047276B" w:rsidP="0047276B">
            <w:pPr>
              <w:autoSpaceDE w:val="0"/>
              <w:autoSpaceDN w:val="0"/>
              <w:adjustRightInd w:val="0"/>
              <w:spacing w:after="0" w:line="240" w:lineRule="auto"/>
              <w:jc w:val="both"/>
              <w:rPr>
                <w:rFonts w:ascii="Cambria" w:hAnsi="Cambria" w:cs="Cambria"/>
                <w:sz w:val="20"/>
                <w:szCs w:val="20"/>
                <w:lang w:eastAsia="es-AR"/>
              </w:rPr>
            </w:pPr>
            <w:r w:rsidRPr="0047276B">
              <w:rPr>
                <w:rFonts w:ascii="Cambria" w:hAnsi="Cambria" w:cs="Cambria"/>
                <w:sz w:val="20"/>
                <w:szCs w:val="20"/>
                <w:lang w:eastAsia="es-AR"/>
              </w:rPr>
              <w:t xml:space="preserve">The specific contents of the ceremony of recognition of responsibility shall be incorporated into the present Agreement in Annex 2, which shall be agreed upon between "THE PARTIES" in conformity with the provisions in the present clause, and they shall part of a public ceremony to be held after the present agreement has been signed. Annex 2 must include the </w:t>
            </w:r>
            <w:r w:rsidRPr="0047276B">
              <w:rPr>
                <w:rFonts w:ascii="Cambria" w:hAnsi="Cambria" w:cs="Cambria"/>
                <w:sz w:val="20"/>
                <w:szCs w:val="20"/>
                <w:lang w:eastAsia="es-AR"/>
              </w:rPr>
              <w:lastRenderedPageBreak/>
              <w:t>date, place, and general characteristics of the public ceremony of recognition of responsibility. The "</w:t>
            </w:r>
            <w:r w:rsidRPr="0047276B">
              <w:rPr>
                <w:rFonts w:ascii="Cambria" w:hAnsi="Cambria" w:cs="Cambria"/>
                <w:b/>
                <w:bCs/>
                <w:sz w:val="20"/>
                <w:szCs w:val="20"/>
                <w:lang w:eastAsia="es-AR"/>
              </w:rPr>
              <w:t>MEXICAN STATE</w:t>
            </w:r>
            <w:r w:rsidRPr="0047276B">
              <w:rPr>
                <w:rFonts w:ascii="Cambria" w:hAnsi="Cambria" w:cs="Cambria"/>
                <w:sz w:val="20"/>
                <w:szCs w:val="20"/>
                <w:lang w:eastAsia="es-AR"/>
              </w:rPr>
              <w:t>" must offer "</w:t>
            </w:r>
            <w:r w:rsidRPr="0047276B">
              <w:rPr>
                <w:rFonts w:ascii="Cambria" w:hAnsi="Cambria" w:cs="Cambria"/>
                <w:b/>
                <w:bCs/>
                <w:sz w:val="20"/>
                <w:szCs w:val="20"/>
                <w:lang w:eastAsia="es-AR"/>
              </w:rPr>
              <w:t>THE VICTIMS</w:t>
            </w:r>
            <w:r w:rsidRPr="0047276B">
              <w:rPr>
                <w:rFonts w:ascii="Cambria" w:hAnsi="Cambria" w:cs="Cambria"/>
                <w:sz w:val="20"/>
                <w:szCs w:val="20"/>
                <w:lang w:eastAsia="es-AR"/>
              </w:rPr>
              <w:t>" or their "</w:t>
            </w:r>
            <w:r w:rsidRPr="0047276B">
              <w:rPr>
                <w:rFonts w:ascii="Cambria" w:hAnsi="Cambria" w:cs="Cambria"/>
                <w:b/>
                <w:bCs/>
                <w:sz w:val="20"/>
                <w:szCs w:val="20"/>
                <w:lang w:eastAsia="es-AR"/>
              </w:rPr>
              <w:t>REPRESENTATIVE</w:t>
            </w:r>
            <w:r w:rsidRPr="0047276B">
              <w:rPr>
                <w:rFonts w:ascii="Cambria" w:hAnsi="Cambria" w:cs="Cambria"/>
                <w:sz w:val="20"/>
                <w:szCs w:val="20"/>
                <w:lang w:eastAsia="es-AR"/>
              </w:rPr>
              <w:t xml:space="preserve">" a proposal for the ceremony of recognition of responsibility, which shall incorporated into Annex 2, within three months after the agreement has been signed. </w:t>
            </w:r>
          </w:p>
          <w:p w14:paraId="5CD3E069" w14:textId="77777777" w:rsidR="0047276B" w:rsidRPr="0047276B" w:rsidRDefault="0047276B" w:rsidP="0047276B">
            <w:pPr>
              <w:suppressAutoHyphens/>
              <w:spacing w:after="0" w:line="240" w:lineRule="auto"/>
              <w:jc w:val="both"/>
              <w:rPr>
                <w:rFonts w:ascii="Cambria" w:hAnsi="Cambria"/>
                <w:b/>
                <w:bCs/>
                <w:sz w:val="20"/>
                <w:szCs w:val="20"/>
              </w:rPr>
            </w:pPr>
            <w:r w:rsidRPr="0047276B">
              <w:rPr>
                <w:rFonts w:ascii="Cambria" w:hAnsi="Cambria"/>
                <w:sz w:val="20"/>
                <w:szCs w:val="20"/>
              </w:rPr>
              <w:t>The public ceremony must be held within six months after "</w:t>
            </w:r>
            <w:r w:rsidRPr="0047276B">
              <w:rPr>
                <w:rFonts w:ascii="Cambria" w:hAnsi="Cambria"/>
                <w:b/>
                <w:bCs/>
                <w:sz w:val="20"/>
                <w:szCs w:val="20"/>
              </w:rPr>
              <w:t>THE PARTIES</w:t>
            </w:r>
            <w:r w:rsidRPr="0047276B">
              <w:rPr>
                <w:rFonts w:ascii="Cambria" w:hAnsi="Cambria"/>
                <w:sz w:val="20"/>
                <w:szCs w:val="20"/>
              </w:rPr>
              <w:t>" have agreed upon the terms of Annex 2.</w:t>
            </w:r>
          </w:p>
        </w:tc>
        <w:tc>
          <w:tcPr>
            <w:tcW w:w="4962" w:type="dxa"/>
            <w:tcBorders>
              <w:top w:val="single" w:sz="4" w:space="0" w:color="auto"/>
              <w:left w:val="single" w:sz="4" w:space="0" w:color="auto"/>
              <w:bottom w:val="single" w:sz="4" w:space="0" w:color="auto"/>
              <w:right w:val="single" w:sz="4" w:space="0" w:color="auto"/>
            </w:tcBorders>
            <w:vAlign w:val="center"/>
          </w:tcPr>
          <w:p w14:paraId="022FFE82" w14:textId="31379024" w:rsidR="0047276B" w:rsidRPr="0047276B" w:rsidRDefault="0047276B" w:rsidP="0047276B">
            <w:pPr>
              <w:suppressAutoHyphens/>
              <w:spacing w:after="0" w:line="240" w:lineRule="auto"/>
              <w:jc w:val="center"/>
              <w:rPr>
                <w:rFonts w:ascii="Cambria" w:hAnsi="Cambria"/>
                <w:sz w:val="20"/>
                <w:szCs w:val="20"/>
              </w:rPr>
            </w:pPr>
            <w:r w:rsidRPr="0047276B">
              <w:rPr>
                <w:rFonts w:ascii="Cambria" w:eastAsia="Batang" w:hAnsi="Cambria"/>
                <w:b/>
                <w:sz w:val="20"/>
                <w:szCs w:val="20"/>
              </w:rPr>
              <w:lastRenderedPageBreak/>
              <w:t>Total</w:t>
            </w:r>
            <w:r>
              <w:rPr>
                <w:rStyle w:val="FootnoteReference"/>
                <w:rFonts w:ascii="Cambria" w:eastAsia="Batang" w:hAnsi="Cambria"/>
                <w:b/>
                <w:sz w:val="20"/>
                <w:szCs w:val="20"/>
              </w:rPr>
              <w:footnoteReference w:id="5"/>
            </w:r>
          </w:p>
        </w:tc>
      </w:tr>
      <w:tr w:rsidR="0047276B" w:rsidRPr="0047276B" w14:paraId="0059C27D" w14:textId="77777777" w:rsidTr="00A373EF">
        <w:trPr>
          <w:trHeight w:val="971"/>
        </w:trPr>
        <w:tc>
          <w:tcPr>
            <w:tcW w:w="4783" w:type="dxa"/>
            <w:tcBorders>
              <w:top w:val="single" w:sz="4" w:space="0" w:color="auto"/>
              <w:left w:val="single" w:sz="4" w:space="0" w:color="auto"/>
              <w:bottom w:val="single" w:sz="4" w:space="0" w:color="auto"/>
              <w:right w:val="single" w:sz="4" w:space="0" w:color="auto"/>
            </w:tcBorders>
          </w:tcPr>
          <w:p w14:paraId="66FD56C0" w14:textId="77777777" w:rsidR="0047276B" w:rsidRPr="0047276B" w:rsidRDefault="0047276B" w:rsidP="0047276B">
            <w:pPr>
              <w:suppressAutoHyphens/>
              <w:spacing w:after="0" w:line="240" w:lineRule="auto"/>
              <w:ind w:hanging="19"/>
              <w:jc w:val="both"/>
              <w:rPr>
                <w:rFonts w:ascii="Cambria" w:hAnsi="Cambria"/>
                <w:sz w:val="20"/>
                <w:szCs w:val="20"/>
              </w:rPr>
            </w:pPr>
            <w:r w:rsidRPr="0047276B">
              <w:rPr>
                <w:rFonts w:ascii="Cambria" w:hAnsi="Cambria"/>
                <w:b/>
                <w:bCs/>
                <w:sz w:val="20"/>
                <w:szCs w:val="20"/>
              </w:rPr>
              <w:t>Clause 3.4.1 Dissemination of the Act of acknowledgment of responsibility</w:t>
            </w:r>
            <w:r w:rsidRPr="0047276B">
              <w:rPr>
                <w:rFonts w:ascii="Cambria" w:hAnsi="Cambria"/>
                <w:sz w:val="20"/>
                <w:szCs w:val="20"/>
              </w:rPr>
              <w:t xml:space="preserve">. The public ceremony of recognition of responsibility shall be disseminated according to the terms set forth in Annex 2. </w:t>
            </w:r>
            <w:r w:rsidRPr="0047276B">
              <w:rPr>
                <w:rFonts w:ascii="Cambria" w:hAnsi="Cambria"/>
                <w:sz w:val="20"/>
                <w:szCs w:val="20"/>
                <w:vertAlign w:val="superscript"/>
              </w:rPr>
              <w:footnoteReference w:id="6"/>
            </w:r>
          </w:p>
        </w:tc>
        <w:tc>
          <w:tcPr>
            <w:tcW w:w="4962" w:type="dxa"/>
            <w:tcBorders>
              <w:top w:val="single" w:sz="4" w:space="0" w:color="auto"/>
              <w:left w:val="single" w:sz="4" w:space="0" w:color="auto"/>
              <w:bottom w:val="single" w:sz="4" w:space="0" w:color="auto"/>
              <w:right w:val="single" w:sz="4" w:space="0" w:color="auto"/>
            </w:tcBorders>
            <w:vAlign w:val="center"/>
          </w:tcPr>
          <w:p w14:paraId="68DCF96D" w14:textId="255E9DFA" w:rsidR="0047276B" w:rsidRPr="0047276B" w:rsidRDefault="0047276B" w:rsidP="0047276B">
            <w:pPr>
              <w:suppressAutoHyphens/>
              <w:spacing w:after="0" w:line="240" w:lineRule="auto"/>
              <w:jc w:val="center"/>
              <w:rPr>
                <w:rFonts w:ascii="Cambria" w:eastAsia="Batang" w:hAnsi="Cambria"/>
                <w:b/>
                <w:color w:val="000000"/>
                <w:sz w:val="20"/>
                <w:szCs w:val="20"/>
              </w:rPr>
            </w:pPr>
            <w:r w:rsidRPr="0047276B">
              <w:rPr>
                <w:rFonts w:ascii="Cambria" w:eastAsia="Batang" w:hAnsi="Cambria"/>
                <w:b/>
                <w:sz w:val="20"/>
                <w:szCs w:val="20"/>
              </w:rPr>
              <w:t>Total</w:t>
            </w:r>
            <w:r>
              <w:rPr>
                <w:rStyle w:val="FootnoteReference"/>
                <w:rFonts w:ascii="Cambria" w:eastAsia="Batang" w:hAnsi="Cambria"/>
                <w:b/>
                <w:sz w:val="20"/>
                <w:szCs w:val="20"/>
              </w:rPr>
              <w:footnoteReference w:id="7"/>
            </w:r>
          </w:p>
        </w:tc>
      </w:tr>
      <w:tr w:rsidR="0047276B" w:rsidRPr="0047276B" w14:paraId="24C52853" w14:textId="77777777" w:rsidTr="0047276B">
        <w:trPr>
          <w:trHeight w:val="602"/>
        </w:trPr>
        <w:tc>
          <w:tcPr>
            <w:tcW w:w="4783" w:type="dxa"/>
            <w:tcBorders>
              <w:top w:val="single" w:sz="4" w:space="0" w:color="auto"/>
              <w:left w:val="single" w:sz="4" w:space="0" w:color="auto"/>
              <w:bottom w:val="single" w:sz="4" w:space="0" w:color="auto"/>
              <w:right w:val="single" w:sz="4" w:space="0" w:color="auto"/>
            </w:tcBorders>
          </w:tcPr>
          <w:p w14:paraId="0E86DA81"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 xml:space="preserve">Clause 3.5 Unveiling of commemorative plaque and bust in the Children’s Hospital of the State of Sonora. </w:t>
            </w:r>
            <w:r w:rsidRPr="0047276B">
              <w:rPr>
                <w:rFonts w:ascii="Cambria" w:hAnsi="Cambria"/>
                <w:sz w:val="20"/>
                <w:szCs w:val="20"/>
              </w:rPr>
              <w:t>For the purpose of rendering tribute to the memory of Ismael Mondragon Molina, the "</w:t>
            </w:r>
            <w:r w:rsidRPr="0047276B">
              <w:rPr>
                <w:rFonts w:ascii="Cambria" w:hAnsi="Cambria"/>
                <w:b/>
                <w:bCs/>
                <w:sz w:val="20"/>
                <w:szCs w:val="20"/>
              </w:rPr>
              <w:t>MEXICAN STATE,</w:t>
            </w:r>
            <w:r w:rsidRPr="0047276B">
              <w:rPr>
                <w:rFonts w:ascii="Cambria" w:hAnsi="Cambria"/>
                <w:sz w:val="20"/>
                <w:szCs w:val="20"/>
              </w:rPr>
              <w:t>" in particular the health authorities of "</w:t>
            </w:r>
            <w:r w:rsidRPr="0047276B">
              <w:rPr>
                <w:rFonts w:ascii="Cambria" w:hAnsi="Cambria"/>
                <w:b/>
                <w:bCs/>
                <w:sz w:val="20"/>
                <w:szCs w:val="20"/>
              </w:rPr>
              <w:t>THE ENTITY,”</w:t>
            </w:r>
            <w:r w:rsidRPr="0047276B">
              <w:rPr>
                <w:rFonts w:ascii="Cambria" w:hAnsi="Cambria"/>
                <w:sz w:val="20"/>
                <w:szCs w:val="20"/>
              </w:rPr>
              <w:t xml:space="preserve"> shall take steps to install a commemorative plaque and bust at Children’s Hospital of the state of Sonora, which shall include a commemorative text. </w:t>
            </w:r>
          </w:p>
          <w:p w14:paraId="667936F7"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The specific contents of the present clause shall be incorporated into the present agreement in Annex 3 and shall be agreed upon by consensus by "</w:t>
            </w:r>
            <w:r w:rsidRPr="0047276B">
              <w:rPr>
                <w:rFonts w:ascii="Cambria" w:hAnsi="Cambria"/>
                <w:b/>
                <w:bCs/>
                <w:sz w:val="20"/>
                <w:szCs w:val="20"/>
              </w:rPr>
              <w:t>THE PARTIES</w:t>
            </w:r>
            <w:r w:rsidRPr="0047276B">
              <w:rPr>
                <w:rFonts w:ascii="Cambria" w:hAnsi="Cambria"/>
                <w:sz w:val="20"/>
                <w:szCs w:val="20"/>
              </w:rPr>
              <w:t xml:space="preserve">" within than six months, at the latest, as of the signing of the present agreement. </w:t>
            </w:r>
          </w:p>
        </w:tc>
        <w:tc>
          <w:tcPr>
            <w:tcW w:w="4962" w:type="dxa"/>
            <w:tcBorders>
              <w:top w:val="single" w:sz="4" w:space="0" w:color="auto"/>
              <w:left w:val="single" w:sz="4" w:space="0" w:color="auto"/>
              <w:bottom w:val="single" w:sz="4" w:space="0" w:color="auto"/>
              <w:right w:val="single" w:sz="4" w:space="0" w:color="auto"/>
            </w:tcBorders>
            <w:vAlign w:val="center"/>
          </w:tcPr>
          <w:p w14:paraId="533EA177"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eastAsia="Batang" w:hAnsi="Cambria"/>
                <w:b/>
                <w:sz w:val="20"/>
                <w:szCs w:val="20"/>
              </w:rPr>
              <w:t>Total</w:t>
            </w:r>
            <w:r w:rsidRPr="0047276B">
              <w:rPr>
                <w:rFonts w:ascii="Cambria" w:eastAsia="Batang" w:hAnsi="Cambria"/>
                <w:b/>
                <w:sz w:val="20"/>
                <w:szCs w:val="20"/>
                <w:vertAlign w:val="superscript"/>
              </w:rPr>
              <w:footnoteReference w:id="8"/>
            </w:r>
          </w:p>
        </w:tc>
      </w:tr>
      <w:tr w:rsidR="0047276B" w:rsidRPr="0047276B" w14:paraId="77DAC278" w14:textId="77777777" w:rsidTr="0047276B">
        <w:trPr>
          <w:trHeight w:val="269"/>
        </w:trPr>
        <w:tc>
          <w:tcPr>
            <w:tcW w:w="9745" w:type="dxa"/>
            <w:gridSpan w:val="2"/>
            <w:tcBorders>
              <w:top w:val="single" w:sz="4" w:space="0" w:color="auto"/>
              <w:left w:val="single" w:sz="4" w:space="0" w:color="auto"/>
              <w:bottom w:val="single" w:sz="4" w:space="0" w:color="auto"/>
              <w:right w:val="single" w:sz="4" w:space="0" w:color="auto"/>
            </w:tcBorders>
          </w:tcPr>
          <w:p w14:paraId="3AA8C6AE" w14:textId="77777777" w:rsidR="0047276B" w:rsidRPr="0047276B" w:rsidRDefault="0047276B" w:rsidP="0047276B">
            <w:pPr>
              <w:suppressAutoHyphens/>
              <w:spacing w:after="0" w:line="240" w:lineRule="auto"/>
              <w:ind w:right="720"/>
              <w:contextualSpacing/>
              <w:jc w:val="both"/>
              <w:rPr>
                <w:rFonts w:ascii="Cambria" w:hAnsi="Cambria"/>
                <w:sz w:val="20"/>
                <w:szCs w:val="20"/>
              </w:rPr>
            </w:pPr>
            <w:r w:rsidRPr="0047276B">
              <w:rPr>
                <w:rFonts w:ascii="Cambria" w:hAnsi="Cambria"/>
                <w:b/>
                <w:sz w:val="20"/>
                <w:szCs w:val="20"/>
              </w:rPr>
              <w:t>C. GUARANTEES OF NON-REPETITION</w:t>
            </w:r>
          </w:p>
        </w:tc>
      </w:tr>
      <w:tr w:rsidR="0047276B" w:rsidRPr="0047276B" w14:paraId="2A2F6E48" w14:textId="77777777" w:rsidTr="0047276B">
        <w:trPr>
          <w:trHeight w:val="971"/>
        </w:trPr>
        <w:tc>
          <w:tcPr>
            <w:tcW w:w="4783" w:type="dxa"/>
            <w:tcBorders>
              <w:top w:val="single" w:sz="4" w:space="0" w:color="auto"/>
              <w:left w:val="single" w:sz="4" w:space="0" w:color="auto"/>
              <w:bottom w:val="single" w:sz="4" w:space="0" w:color="auto"/>
              <w:right w:val="single" w:sz="4" w:space="0" w:color="auto"/>
            </w:tcBorders>
          </w:tcPr>
          <w:p w14:paraId="1E637DD1" w14:textId="77777777" w:rsidR="0047276B" w:rsidRPr="0047276B" w:rsidRDefault="0047276B" w:rsidP="0047276B">
            <w:pPr>
              <w:suppressAutoHyphens/>
              <w:spacing w:after="0" w:line="240" w:lineRule="auto"/>
              <w:rPr>
                <w:rFonts w:ascii="Cambria" w:hAnsi="Cambria"/>
                <w:b/>
                <w:bCs/>
                <w:sz w:val="20"/>
                <w:szCs w:val="20"/>
              </w:rPr>
            </w:pPr>
            <w:r w:rsidRPr="0047276B">
              <w:rPr>
                <w:rFonts w:ascii="Cambria" w:hAnsi="Cambria"/>
                <w:b/>
                <w:bCs/>
                <w:sz w:val="20"/>
                <w:szCs w:val="20"/>
              </w:rPr>
              <w:t>Clause 3.6 Training courses</w:t>
            </w:r>
          </w:p>
          <w:p w14:paraId="69DE76F1"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Training courses on pediatric medical care and human rights: a training course must be provided to physicians working in public children’s hospitals of the state of Sonora, and it must focus on pediatric medical care and human rights, especially the right to health and its ramifications when there are children, taking into account the inter-American system in order to prevent the repetition of the incidents in the case and in which practical cases are examined with elements that are similar to those described herein.</w:t>
            </w:r>
          </w:p>
        </w:tc>
        <w:tc>
          <w:tcPr>
            <w:tcW w:w="4962" w:type="dxa"/>
            <w:tcBorders>
              <w:top w:val="single" w:sz="4" w:space="0" w:color="auto"/>
              <w:left w:val="single" w:sz="4" w:space="0" w:color="auto"/>
              <w:bottom w:val="single" w:sz="4" w:space="0" w:color="auto"/>
              <w:right w:val="single" w:sz="4" w:space="0" w:color="auto"/>
            </w:tcBorders>
            <w:vAlign w:val="center"/>
          </w:tcPr>
          <w:p w14:paraId="1685E859" w14:textId="77777777" w:rsidR="0047276B" w:rsidRPr="0047276B" w:rsidRDefault="0047276B" w:rsidP="0047276B">
            <w:pPr>
              <w:suppressAutoHyphens/>
              <w:spacing w:after="0" w:line="240" w:lineRule="auto"/>
              <w:jc w:val="center"/>
              <w:rPr>
                <w:rFonts w:ascii="Cambria" w:hAnsi="Cambria"/>
                <w:b/>
                <w:bCs/>
                <w:sz w:val="20"/>
                <w:szCs w:val="20"/>
              </w:rPr>
            </w:pPr>
            <w:r w:rsidRPr="0047276B">
              <w:rPr>
                <w:rFonts w:ascii="Cambria" w:hAnsi="Cambria"/>
                <w:b/>
                <w:sz w:val="20"/>
                <w:szCs w:val="20"/>
              </w:rPr>
              <w:t>Total</w:t>
            </w:r>
            <w:r w:rsidRPr="0047276B">
              <w:rPr>
                <w:rFonts w:ascii="Cambria" w:hAnsi="Cambria"/>
                <w:b/>
                <w:bCs/>
                <w:sz w:val="20"/>
                <w:szCs w:val="20"/>
                <w:vertAlign w:val="superscript"/>
              </w:rPr>
              <w:footnoteReference w:id="9"/>
            </w:r>
          </w:p>
        </w:tc>
      </w:tr>
      <w:tr w:rsidR="0047276B" w:rsidRPr="0047276B" w14:paraId="7B02F1C8" w14:textId="77777777" w:rsidTr="0047276B">
        <w:trPr>
          <w:trHeight w:val="971"/>
        </w:trPr>
        <w:tc>
          <w:tcPr>
            <w:tcW w:w="4783" w:type="dxa"/>
            <w:tcBorders>
              <w:top w:val="single" w:sz="4" w:space="0" w:color="auto"/>
              <w:left w:val="single" w:sz="4" w:space="0" w:color="auto"/>
              <w:bottom w:val="single" w:sz="4" w:space="0" w:color="auto"/>
              <w:right w:val="single" w:sz="4" w:space="0" w:color="auto"/>
            </w:tcBorders>
          </w:tcPr>
          <w:p w14:paraId="78A692B9"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D. COMPENSATORY INDEMNIFICATIONS</w:t>
            </w:r>
          </w:p>
          <w:p w14:paraId="2957C9DB"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3.7 Compensation for material damages</w:t>
            </w:r>
            <w:r w:rsidRPr="0047276B">
              <w:rPr>
                <w:rFonts w:ascii="Cambria" w:hAnsi="Cambria"/>
                <w:sz w:val="20"/>
                <w:szCs w:val="20"/>
              </w:rPr>
              <w:t xml:space="preserve">: The State shall pay the indirect victims, namely, C. Edgar Mondragon Bustamante, Elizabeth Molina </w:t>
            </w:r>
            <w:r w:rsidRPr="0047276B">
              <w:rPr>
                <w:rFonts w:ascii="Cambria" w:hAnsi="Cambria"/>
                <w:sz w:val="20"/>
                <w:szCs w:val="20"/>
              </w:rPr>
              <w:lastRenderedPageBreak/>
              <w:t xml:space="preserve">Hernández, Leslie Michelle Mondragon Molina, and Edgar Eduardo Mondragon Molina, compensation for material damages in the amounts specified in Annex 4 of the present agreement. </w:t>
            </w:r>
          </w:p>
        </w:tc>
        <w:tc>
          <w:tcPr>
            <w:tcW w:w="4962" w:type="dxa"/>
            <w:tcBorders>
              <w:top w:val="single" w:sz="4" w:space="0" w:color="auto"/>
              <w:left w:val="single" w:sz="4" w:space="0" w:color="auto"/>
              <w:bottom w:val="single" w:sz="4" w:space="0" w:color="auto"/>
              <w:right w:val="single" w:sz="4" w:space="0" w:color="auto"/>
            </w:tcBorders>
            <w:vAlign w:val="center"/>
          </w:tcPr>
          <w:p w14:paraId="27E799C5"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hAnsi="Cambria"/>
                <w:b/>
                <w:sz w:val="20"/>
                <w:szCs w:val="20"/>
              </w:rPr>
              <w:lastRenderedPageBreak/>
              <w:t>Total</w:t>
            </w:r>
            <w:r w:rsidRPr="0047276B">
              <w:rPr>
                <w:rFonts w:ascii="Cambria" w:eastAsia="Batang" w:hAnsi="Cambria"/>
                <w:b/>
                <w:sz w:val="20"/>
                <w:szCs w:val="20"/>
                <w:vertAlign w:val="superscript"/>
              </w:rPr>
              <w:footnoteReference w:id="10"/>
            </w:r>
          </w:p>
        </w:tc>
      </w:tr>
      <w:tr w:rsidR="0047276B" w:rsidRPr="0047276B" w14:paraId="6A792A67" w14:textId="77777777" w:rsidTr="0047276B">
        <w:trPr>
          <w:trHeight w:val="1056"/>
        </w:trPr>
        <w:tc>
          <w:tcPr>
            <w:tcW w:w="4783" w:type="dxa"/>
            <w:tcBorders>
              <w:top w:val="single" w:sz="4" w:space="0" w:color="auto"/>
              <w:left w:val="single" w:sz="4" w:space="0" w:color="auto"/>
              <w:bottom w:val="single" w:sz="4" w:space="0" w:color="auto"/>
              <w:right w:val="single" w:sz="4" w:space="0" w:color="auto"/>
            </w:tcBorders>
          </w:tcPr>
          <w:p w14:paraId="3B026FFB"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3.8. Compensation for nonpecuniary damages</w:t>
            </w:r>
            <w:r w:rsidRPr="0047276B">
              <w:rPr>
                <w:rFonts w:ascii="Cambria" w:hAnsi="Cambria"/>
                <w:sz w:val="20"/>
                <w:szCs w:val="20"/>
              </w:rPr>
              <w:t>: The "</w:t>
            </w:r>
            <w:r w:rsidRPr="0047276B">
              <w:rPr>
                <w:rFonts w:ascii="Cambria" w:hAnsi="Cambria"/>
                <w:b/>
                <w:bCs/>
                <w:sz w:val="20"/>
                <w:szCs w:val="20"/>
              </w:rPr>
              <w:t>MEXICAN STATE</w:t>
            </w:r>
            <w:r w:rsidRPr="0047276B">
              <w:rPr>
                <w:rFonts w:ascii="Cambria" w:hAnsi="Cambria"/>
                <w:sz w:val="20"/>
                <w:szCs w:val="20"/>
              </w:rPr>
              <w:t>" pledges to pay compensation for nonpecuniary damages, in conformity with the Rules of Operation of the "</w:t>
            </w:r>
            <w:r w:rsidRPr="0047276B">
              <w:rPr>
                <w:rFonts w:ascii="Cambria" w:hAnsi="Cambria"/>
                <w:b/>
                <w:bCs/>
                <w:sz w:val="20"/>
                <w:szCs w:val="20"/>
              </w:rPr>
              <w:t>Trust Fund.</w:t>
            </w:r>
            <w:r w:rsidRPr="0047276B">
              <w:rPr>
                <w:rFonts w:ascii="Cambria" w:hAnsi="Cambria"/>
                <w:sz w:val="20"/>
                <w:szCs w:val="20"/>
              </w:rPr>
              <w:t>"</w:t>
            </w:r>
          </w:p>
        </w:tc>
        <w:tc>
          <w:tcPr>
            <w:tcW w:w="4962" w:type="dxa"/>
            <w:tcBorders>
              <w:top w:val="single" w:sz="4" w:space="0" w:color="auto"/>
              <w:left w:val="single" w:sz="4" w:space="0" w:color="auto"/>
              <w:bottom w:val="single" w:sz="4" w:space="0" w:color="auto"/>
              <w:right w:val="single" w:sz="4" w:space="0" w:color="auto"/>
            </w:tcBorders>
            <w:vAlign w:val="center"/>
          </w:tcPr>
          <w:p w14:paraId="678EC06E"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hAnsi="Cambria"/>
                <w:b/>
                <w:sz w:val="20"/>
                <w:szCs w:val="20"/>
              </w:rPr>
              <w:t>Total</w:t>
            </w:r>
            <w:r w:rsidRPr="0047276B">
              <w:rPr>
                <w:rFonts w:ascii="Cambria" w:eastAsia="Batang" w:hAnsi="Cambria"/>
                <w:b/>
                <w:sz w:val="20"/>
                <w:szCs w:val="20"/>
                <w:vertAlign w:val="superscript"/>
              </w:rPr>
              <w:footnoteReference w:id="11"/>
            </w:r>
          </w:p>
        </w:tc>
      </w:tr>
      <w:tr w:rsidR="0047276B" w:rsidRPr="0047276B" w14:paraId="3BDBF089" w14:textId="77777777" w:rsidTr="0047276B">
        <w:trPr>
          <w:trHeight w:val="2393"/>
        </w:trPr>
        <w:tc>
          <w:tcPr>
            <w:tcW w:w="4783" w:type="dxa"/>
            <w:tcBorders>
              <w:top w:val="single" w:sz="4" w:space="0" w:color="auto"/>
              <w:left w:val="single" w:sz="4" w:space="0" w:color="auto"/>
              <w:bottom w:val="single" w:sz="4" w:space="0" w:color="auto"/>
              <w:right w:val="single" w:sz="4" w:space="0" w:color="auto"/>
            </w:tcBorders>
          </w:tcPr>
          <w:p w14:paraId="455CA794"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3.9. Compensation payment procedures:</w:t>
            </w:r>
            <w:r w:rsidRPr="0047276B">
              <w:rPr>
                <w:rFonts w:ascii="Cambria" w:hAnsi="Cambria"/>
                <w:sz w:val="20"/>
                <w:szCs w:val="20"/>
              </w:rPr>
              <w:t xml:space="preserve"> The amounts agreed upon shall be paid to "</w:t>
            </w:r>
            <w:r w:rsidRPr="0047276B">
              <w:rPr>
                <w:rFonts w:ascii="Cambria" w:hAnsi="Cambria"/>
                <w:b/>
                <w:bCs/>
                <w:sz w:val="20"/>
                <w:szCs w:val="20"/>
              </w:rPr>
              <w:t>THE VICTIMS,</w:t>
            </w:r>
            <w:r w:rsidRPr="0047276B">
              <w:rPr>
                <w:rFonts w:ascii="Cambria" w:hAnsi="Cambria"/>
                <w:sz w:val="20"/>
                <w:szCs w:val="20"/>
              </w:rPr>
              <w:t xml:space="preserve">" within six months after the present agreement has been signed, as long as they meet the indispensable formal requirements stipulated by Mexican law for the payment. In the event of delays, the provisions of the Rules of Operation of the Trust Fund shall be applied. </w:t>
            </w:r>
          </w:p>
          <w:p w14:paraId="0E95C3C4" w14:textId="77777777" w:rsidR="0047276B" w:rsidRPr="0047276B" w:rsidRDefault="0047276B" w:rsidP="0047276B">
            <w:pPr>
              <w:suppressAutoHyphens/>
              <w:spacing w:after="0" w:line="240" w:lineRule="auto"/>
              <w:jc w:val="both"/>
              <w:rPr>
                <w:rFonts w:ascii="Cambria" w:hAnsi="Cambria"/>
                <w:b/>
                <w:bCs/>
                <w:sz w:val="20"/>
                <w:szCs w:val="20"/>
              </w:rPr>
            </w:pPr>
            <w:r w:rsidRPr="0047276B">
              <w:rPr>
                <w:rFonts w:ascii="Cambria" w:hAnsi="Cambria"/>
                <w:sz w:val="20"/>
                <w:szCs w:val="20"/>
              </w:rPr>
              <w:t>These payments shall be made as a single lump sum and shall constitute the full amount of the monetary compensation that the "</w:t>
            </w:r>
            <w:r w:rsidRPr="0047276B">
              <w:rPr>
                <w:rFonts w:ascii="Cambria" w:hAnsi="Cambria"/>
                <w:b/>
                <w:bCs/>
                <w:sz w:val="20"/>
                <w:szCs w:val="20"/>
              </w:rPr>
              <w:t>MEXICAN STATE</w:t>
            </w:r>
            <w:r w:rsidRPr="0047276B">
              <w:rPr>
                <w:rFonts w:ascii="Cambria" w:hAnsi="Cambria"/>
                <w:sz w:val="20"/>
                <w:szCs w:val="20"/>
              </w:rPr>
              <w:t xml:space="preserve">" shall pay to compensate for the damages stemming from the violations stated in clause 2.1. </w:t>
            </w:r>
          </w:p>
        </w:tc>
        <w:tc>
          <w:tcPr>
            <w:tcW w:w="4962" w:type="dxa"/>
            <w:tcBorders>
              <w:top w:val="single" w:sz="4" w:space="0" w:color="auto"/>
              <w:left w:val="single" w:sz="4" w:space="0" w:color="auto"/>
              <w:bottom w:val="single" w:sz="4" w:space="0" w:color="auto"/>
              <w:right w:val="single" w:sz="4" w:space="0" w:color="auto"/>
            </w:tcBorders>
            <w:vAlign w:val="center"/>
          </w:tcPr>
          <w:p w14:paraId="2283F85E"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hAnsi="Cambria"/>
                <w:b/>
                <w:sz w:val="20"/>
                <w:szCs w:val="20"/>
              </w:rPr>
              <w:t>Total</w:t>
            </w:r>
            <w:r w:rsidRPr="0047276B">
              <w:rPr>
                <w:rFonts w:ascii="Cambria" w:eastAsia="Batang" w:hAnsi="Cambria"/>
                <w:b/>
                <w:sz w:val="20"/>
                <w:szCs w:val="20"/>
                <w:vertAlign w:val="superscript"/>
              </w:rPr>
              <w:footnoteReference w:id="12"/>
            </w:r>
          </w:p>
        </w:tc>
      </w:tr>
      <w:tr w:rsidR="0047276B" w:rsidRPr="0047276B" w14:paraId="21A64CC1" w14:textId="77777777" w:rsidTr="0047276B">
        <w:trPr>
          <w:trHeight w:val="782"/>
        </w:trPr>
        <w:tc>
          <w:tcPr>
            <w:tcW w:w="4783" w:type="dxa"/>
            <w:tcBorders>
              <w:top w:val="single" w:sz="4" w:space="0" w:color="auto"/>
              <w:left w:val="single" w:sz="4" w:space="0" w:color="auto"/>
              <w:bottom w:val="single" w:sz="4" w:space="0" w:color="auto"/>
              <w:right w:val="single" w:sz="4" w:space="0" w:color="auto"/>
            </w:tcBorders>
          </w:tcPr>
          <w:p w14:paraId="7FA78F0F"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b/>
                <w:bCs/>
                <w:sz w:val="20"/>
                <w:szCs w:val="20"/>
              </w:rPr>
              <w:t>Clause 3.10. Delivery of the Productive Project</w:t>
            </w:r>
            <w:r w:rsidRPr="0047276B">
              <w:rPr>
                <w:rFonts w:ascii="Cambria" w:hAnsi="Cambria"/>
                <w:sz w:val="20"/>
                <w:szCs w:val="20"/>
              </w:rPr>
              <w:t>. As a measure of compensation, the "</w:t>
            </w:r>
            <w:r w:rsidRPr="0047276B">
              <w:rPr>
                <w:rFonts w:ascii="Cambria" w:hAnsi="Cambria"/>
                <w:b/>
                <w:bCs/>
                <w:sz w:val="20"/>
                <w:szCs w:val="20"/>
              </w:rPr>
              <w:t>MEXICAN STATE,</w:t>
            </w:r>
            <w:r w:rsidRPr="0047276B">
              <w:rPr>
                <w:rFonts w:ascii="Cambria" w:hAnsi="Cambria"/>
                <w:sz w:val="20"/>
                <w:szCs w:val="20"/>
              </w:rPr>
              <w:t xml:space="preserve">" through the </w:t>
            </w:r>
            <w:r w:rsidRPr="0047276B">
              <w:rPr>
                <w:rFonts w:ascii="Cambria" w:hAnsi="Cambria"/>
                <w:b/>
                <w:bCs/>
                <w:sz w:val="20"/>
                <w:szCs w:val="20"/>
              </w:rPr>
              <w:t>SEGOB</w:t>
            </w:r>
            <w:r w:rsidRPr="0047276B">
              <w:rPr>
                <w:rFonts w:ascii="Cambria" w:hAnsi="Cambria"/>
                <w:sz w:val="20"/>
                <w:szCs w:val="20"/>
              </w:rPr>
              <w:t>, pledges to take steps to secure access to possible support for “productive projects” for "</w:t>
            </w:r>
            <w:r w:rsidRPr="0047276B">
              <w:rPr>
                <w:rFonts w:ascii="Cambria" w:hAnsi="Cambria"/>
                <w:b/>
                <w:bCs/>
                <w:sz w:val="20"/>
                <w:szCs w:val="20"/>
              </w:rPr>
              <w:t>THE VICTIMS.</w:t>
            </w:r>
            <w:r w:rsidRPr="0047276B">
              <w:rPr>
                <w:rFonts w:ascii="Cambria" w:hAnsi="Cambria"/>
                <w:sz w:val="20"/>
                <w:szCs w:val="20"/>
              </w:rPr>
              <w:t xml:space="preserve">" Awarding these projects shall be subject to the regulations and provisions which have been established for this purpose by the institutions that can award them in the federative entities in which the victims are residents. </w:t>
            </w:r>
          </w:p>
          <w:p w14:paraId="5A2823BD" w14:textId="77777777" w:rsidR="0047276B" w:rsidRPr="0047276B" w:rsidRDefault="0047276B" w:rsidP="0047276B">
            <w:pPr>
              <w:suppressAutoHyphens/>
              <w:spacing w:after="0" w:line="240" w:lineRule="auto"/>
              <w:jc w:val="both"/>
              <w:rPr>
                <w:rFonts w:ascii="Cambria" w:hAnsi="Cambria"/>
                <w:sz w:val="20"/>
                <w:szCs w:val="20"/>
              </w:rPr>
            </w:pPr>
            <w:r w:rsidRPr="0047276B">
              <w:rPr>
                <w:rFonts w:ascii="Cambria" w:hAnsi="Cambria"/>
                <w:sz w:val="20"/>
                <w:szCs w:val="20"/>
              </w:rPr>
              <w:t xml:space="preserve">The number of productive projects to be provided, after previously established requirements have been duly met, can in no way be more than one for each one of the indirect victims. </w:t>
            </w:r>
          </w:p>
        </w:tc>
        <w:tc>
          <w:tcPr>
            <w:tcW w:w="4962" w:type="dxa"/>
            <w:tcBorders>
              <w:top w:val="single" w:sz="4" w:space="0" w:color="auto"/>
              <w:left w:val="single" w:sz="4" w:space="0" w:color="auto"/>
              <w:bottom w:val="single" w:sz="4" w:space="0" w:color="auto"/>
              <w:right w:val="single" w:sz="4" w:space="0" w:color="auto"/>
            </w:tcBorders>
            <w:vAlign w:val="center"/>
          </w:tcPr>
          <w:p w14:paraId="50EFFC13" w14:textId="77777777" w:rsidR="0047276B" w:rsidRPr="0047276B" w:rsidRDefault="0047276B" w:rsidP="0047276B">
            <w:pPr>
              <w:suppressAutoHyphens/>
              <w:spacing w:after="0" w:line="240" w:lineRule="auto"/>
              <w:jc w:val="center"/>
              <w:rPr>
                <w:rFonts w:ascii="Cambria" w:eastAsia="Batang" w:hAnsi="Cambria"/>
                <w:b/>
                <w:sz w:val="20"/>
                <w:szCs w:val="20"/>
              </w:rPr>
            </w:pPr>
            <w:r w:rsidRPr="0047276B">
              <w:rPr>
                <w:rFonts w:ascii="Cambria" w:eastAsia="Batang" w:hAnsi="Cambria"/>
                <w:b/>
                <w:sz w:val="20"/>
                <w:szCs w:val="20"/>
              </w:rPr>
              <w:t>Total</w:t>
            </w:r>
            <w:r w:rsidRPr="0047276B">
              <w:rPr>
                <w:rFonts w:ascii="Cambria" w:eastAsia="Batang" w:hAnsi="Cambria"/>
                <w:b/>
                <w:sz w:val="20"/>
                <w:szCs w:val="20"/>
                <w:vertAlign w:val="superscript"/>
              </w:rPr>
              <w:footnoteReference w:id="13"/>
            </w:r>
          </w:p>
        </w:tc>
      </w:tr>
    </w:tbl>
    <w:p w14:paraId="0B63459E" w14:textId="77777777" w:rsidR="0047276B" w:rsidRPr="0047276B" w:rsidRDefault="0047276B" w:rsidP="00854366">
      <w:pPr>
        <w:suppressAutoHyphens/>
        <w:autoSpaceDE w:val="0"/>
        <w:autoSpaceDN w:val="0"/>
        <w:adjustRightInd w:val="0"/>
        <w:spacing w:after="0" w:line="240" w:lineRule="auto"/>
        <w:jc w:val="both"/>
        <w:rPr>
          <w:rFonts w:ascii="Cambria" w:eastAsia="Batang" w:hAnsi="Cambria"/>
          <w:color w:val="000000"/>
          <w:sz w:val="20"/>
          <w:szCs w:val="20"/>
        </w:rPr>
      </w:pPr>
    </w:p>
    <w:p w14:paraId="7A72662F" w14:textId="77777777" w:rsidR="0047276B" w:rsidRPr="0047276B" w:rsidRDefault="0047276B" w:rsidP="0047276B">
      <w:pPr>
        <w:numPr>
          <w:ilvl w:val="0"/>
          <w:numId w:val="29"/>
        </w:numPr>
        <w:tabs>
          <w:tab w:val="left" w:pos="1440"/>
        </w:tabs>
        <w:suppressAutoHyphens/>
        <w:spacing w:after="0" w:line="240" w:lineRule="auto"/>
        <w:ind w:left="0" w:firstLine="709"/>
        <w:jc w:val="both"/>
        <w:rPr>
          <w:rFonts w:ascii="Cambria" w:hAnsi="Cambria" w:cs="Calibri"/>
          <w:color w:val="000000"/>
          <w:sz w:val="20"/>
          <w:szCs w:val="20"/>
        </w:rPr>
      </w:pPr>
      <w:r w:rsidRPr="0047276B">
        <w:rPr>
          <w:rFonts w:ascii="Cambria" w:hAnsi="Cambria" w:cs="Calibri"/>
          <w:b/>
          <w:bCs/>
          <w:color w:val="000000"/>
          <w:sz w:val="20"/>
          <w:szCs w:val="20"/>
        </w:rPr>
        <w:t xml:space="preserve">LEVEL OF COMPLIANCE OF THE CASE   </w:t>
      </w:r>
    </w:p>
    <w:p w14:paraId="5046DCFB" w14:textId="77777777" w:rsidR="00854366" w:rsidRPr="00091458" w:rsidRDefault="00854366" w:rsidP="00854366">
      <w:pPr>
        <w:suppressAutoHyphens/>
        <w:spacing w:after="0" w:line="240" w:lineRule="auto"/>
        <w:rPr>
          <w:rFonts w:ascii="Cambria" w:hAnsi="Cambria"/>
          <w:color w:val="000000"/>
          <w:sz w:val="20"/>
          <w:szCs w:val="20"/>
        </w:rPr>
      </w:pPr>
    </w:p>
    <w:p w14:paraId="49987A66" w14:textId="77777777" w:rsidR="00854366" w:rsidRPr="00091458" w:rsidRDefault="00854366" w:rsidP="00854366">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3.</w:t>
      </w:r>
      <w:r w:rsidRPr="00091458">
        <w:rPr>
          <w:rFonts w:ascii="Cambria" w:eastAsia="Batang" w:hAnsi="Cambria" w:cs="Calibri Light"/>
          <w:color w:val="000000"/>
          <w:sz w:val="20"/>
          <w:szCs w:val="20"/>
        </w:rPr>
        <w:tab/>
        <w:t xml:space="preserve">The Commission declared full compliance with the case and the ceasing of the follow-up of the friendly settlement agreement in the 2024 Annual Report. </w:t>
      </w:r>
    </w:p>
    <w:p w14:paraId="6CDF1C0C" w14:textId="77777777" w:rsidR="0047276B" w:rsidRPr="0047276B" w:rsidRDefault="0047276B" w:rsidP="0047276B">
      <w:pPr>
        <w:suppressAutoHyphens/>
        <w:spacing w:after="0" w:line="240" w:lineRule="auto"/>
        <w:ind w:firstLine="709"/>
        <w:jc w:val="both"/>
        <w:rPr>
          <w:rFonts w:ascii="Cambria" w:hAnsi="Cambria"/>
          <w:sz w:val="20"/>
          <w:szCs w:val="20"/>
        </w:rPr>
      </w:pPr>
    </w:p>
    <w:p w14:paraId="4643EEE5" w14:textId="77777777" w:rsidR="0047276B" w:rsidRPr="0047276B" w:rsidRDefault="0047276B" w:rsidP="0047276B">
      <w:pPr>
        <w:numPr>
          <w:ilvl w:val="0"/>
          <w:numId w:val="29"/>
        </w:numPr>
        <w:tabs>
          <w:tab w:val="left" w:pos="1440"/>
        </w:tabs>
        <w:suppressAutoHyphens/>
        <w:spacing w:after="0" w:line="240" w:lineRule="auto"/>
        <w:ind w:left="0" w:firstLine="709"/>
        <w:jc w:val="both"/>
        <w:rPr>
          <w:rFonts w:ascii="Cambria" w:eastAsia="Batang" w:hAnsi="Cambria" w:cs="Calibri Light"/>
          <w:b/>
          <w:sz w:val="20"/>
          <w:szCs w:val="20"/>
        </w:rPr>
      </w:pPr>
      <w:r w:rsidRPr="0047276B">
        <w:rPr>
          <w:rFonts w:ascii="Cambria" w:eastAsia="Batang" w:hAnsi="Cambria" w:cs="Calibri Light"/>
          <w:b/>
          <w:sz w:val="20"/>
          <w:szCs w:val="20"/>
        </w:rPr>
        <w:t xml:space="preserve">INDIVIDUAL AND STRUCTURAL OUTCOMES OF THE CASE </w:t>
      </w:r>
    </w:p>
    <w:p w14:paraId="3730AEAB" w14:textId="77777777" w:rsidR="0047276B" w:rsidRPr="0047276B" w:rsidRDefault="0047276B" w:rsidP="0047276B">
      <w:pPr>
        <w:suppressAutoHyphens/>
        <w:spacing w:after="0" w:line="240" w:lineRule="auto"/>
        <w:ind w:left="1440"/>
        <w:contextualSpacing/>
        <w:jc w:val="both"/>
        <w:rPr>
          <w:rFonts w:ascii="Cambria" w:eastAsia="Batang" w:hAnsi="Cambria" w:cs="Calibri Light"/>
          <w:b/>
          <w:sz w:val="20"/>
          <w:szCs w:val="20"/>
        </w:rPr>
      </w:pPr>
    </w:p>
    <w:p w14:paraId="61A9AA0A" w14:textId="77777777" w:rsidR="0047276B" w:rsidRPr="0047276B" w:rsidRDefault="0047276B" w:rsidP="0047276B">
      <w:pPr>
        <w:numPr>
          <w:ilvl w:val="0"/>
          <w:numId w:val="30"/>
        </w:numPr>
        <w:suppressAutoHyphens/>
        <w:spacing w:after="0" w:line="240" w:lineRule="auto"/>
        <w:ind w:firstLine="0"/>
        <w:contextualSpacing/>
        <w:jc w:val="both"/>
        <w:rPr>
          <w:rFonts w:ascii="Cambria" w:eastAsia="Batang" w:hAnsi="Cambria" w:cs="Calibri Light"/>
          <w:b/>
          <w:sz w:val="20"/>
          <w:szCs w:val="20"/>
        </w:rPr>
      </w:pPr>
      <w:r w:rsidRPr="0047276B">
        <w:rPr>
          <w:rFonts w:ascii="Cambria" w:eastAsia="Batang" w:hAnsi="Cambria" w:cs="Calibri Light"/>
          <w:b/>
          <w:sz w:val="20"/>
          <w:szCs w:val="20"/>
        </w:rPr>
        <w:t>Individual outcomes of the case</w:t>
      </w:r>
    </w:p>
    <w:p w14:paraId="44ED2C41" w14:textId="77777777" w:rsidR="0047276B" w:rsidRPr="0047276B" w:rsidRDefault="0047276B" w:rsidP="0047276B">
      <w:pPr>
        <w:suppressAutoHyphens/>
        <w:spacing w:after="0" w:line="240" w:lineRule="auto"/>
        <w:contextualSpacing/>
        <w:jc w:val="both"/>
        <w:rPr>
          <w:rFonts w:ascii="Cambria" w:eastAsia="Batang" w:hAnsi="Cambria" w:cs="Calibri Light"/>
          <w:b/>
          <w:sz w:val="20"/>
          <w:szCs w:val="20"/>
        </w:rPr>
      </w:pPr>
    </w:p>
    <w:p w14:paraId="59C7A5A9" w14:textId="77777777" w:rsidR="0047276B" w:rsidRPr="0047276B" w:rsidRDefault="0047276B" w:rsidP="0047276B">
      <w:pPr>
        <w:numPr>
          <w:ilvl w:val="0"/>
          <w:numId w:val="12"/>
        </w:numPr>
        <w:suppressAutoHyphens/>
        <w:spacing w:after="0" w:line="240" w:lineRule="auto"/>
        <w:ind w:left="1440" w:hanging="720"/>
        <w:contextualSpacing/>
        <w:jc w:val="both"/>
        <w:rPr>
          <w:rFonts w:ascii="Cambria" w:eastAsia="Batang" w:hAnsi="Cambria"/>
          <w:sz w:val="20"/>
          <w:szCs w:val="20"/>
        </w:rPr>
      </w:pPr>
      <w:r w:rsidRPr="0047276B">
        <w:rPr>
          <w:rFonts w:ascii="Cambria" w:eastAsia="Batang" w:hAnsi="Cambria"/>
          <w:sz w:val="20"/>
          <w:szCs w:val="20"/>
        </w:rPr>
        <w:t xml:space="preserve">The State awarded the scholarships for the benefit of Edgar Eduardo Mondragon. </w:t>
      </w:r>
    </w:p>
    <w:p w14:paraId="5B2B1B63" w14:textId="77777777" w:rsidR="0047276B" w:rsidRPr="0047276B" w:rsidRDefault="0047276B" w:rsidP="0047276B">
      <w:pPr>
        <w:numPr>
          <w:ilvl w:val="0"/>
          <w:numId w:val="12"/>
        </w:numPr>
        <w:suppressAutoHyphens/>
        <w:spacing w:after="0" w:line="240" w:lineRule="auto"/>
        <w:ind w:left="1440" w:hanging="720"/>
        <w:contextualSpacing/>
        <w:jc w:val="both"/>
        <w:rPr>
          <w:rFonts w:ascii="Cambria" w:eastAsia="Batang" w:hAnsi="Cambria"/>
          <w:sz w:val="20"/>
          <w:szCs w:val="20"/>
        </w:rPr>
      </w:pPr>
      <w:r w:rsidRPr="0047276B">
        <w:rPr>
          <w:rFonts w:ascii="Cambria" w:eastAsia="Batang" w:hAnsi="Cambria"/>
          <w:sz w:val="20"/>
          <w:szCs w:val="20"/>
        </w:rPr>
        <w:t>The State paid monetary compensation for the damages caused by the incident, for the benefit of the victims, as agreed upon.</w:t>
      </w:r>
    </w:p>
    <w:p w14:paraId="1FC67A63" w14:textId="77777777" w:rsidR="0047276B" w:rsidRPr="0047276B" w:rsidRDefault="0047276B" w:rsidP="0047276B">
      <w:pPr>
        <w:numPr>
          <w:ilvl w:val="0"/>
          <w:numId w:val="12"/>
        </w:numPr>
        <w:suppressAutoHyphens/>
        <w:spacing w:after="0" w:line="240" w:lineRule="auto"/>
        <w:ind w:left="1440" w:hanging="720"/>
        <w:contextualSpacing/>
        <w:jc w:val="both"/>
        <w:rPr>
          <w:rFonts w:ascii="Cambria" w:eastAsia="Batang" w:hAnsi="Cambria"/>
          <w:sz w:val="20"/>
          <w:szCs w:val="20"/>
        </w:rPr>
      </w:pPr>
      <w:r w:rsidRPr="0047276B">
        <w:rPr>
          <w:rFonts w:ascii="Cambria" w:eastAsia="Batang" w:hAnsi="Cambria"/>
          <w:sz w:val="20"/>
          <w:szCs w:val="20"/>
        </w:rPr>
        <w:lastRenderedPageBreak/>
        <w:t>The State affiliated the beneficiaries of the agreement to the people’s social security for health (</w:t>
      </w:r>
      <w:r w:rsidRPr="0047276B">
        <w:rPr>
          <w:rFonts w:ascii="Cambria" w:eastAsia="Batang" w:hAnsi="Cambria"/>
          <w:i/>
          <w:sz w:val="20"/>
          <w:szCs w:val="20"/>
        </w:rPr>
        <w:t>Seguro Popular</w:t>
      </w:r>
      <w:r w:rsidRPr="0047276B">
        <w:rPr>
          <w:rFonts w:ascii="Cambria" w:eastAsia="Batang" w:hAnsi="Cambria"/>
          <w:sz w:val="20"/>
          <w:szCs w:val="20"/>
        </w:rPr>
        <w:t xml:space="preserve">). </w:t>
      </w:r>
    </w:p>
    <w:p w14:paraId="1C51DE24" w14:textId="77777777" w:rsidR="0047276B" w:rsidRPr="0047276B" w:rsidRDefault="0047276B" w:rsidP="0047276B">
      <w:pPr>
        <w:numPr>
          <w:ilvl w:val="0"/>
          <w:numId w:val="12"/>
        </w:numPr>
        <w:suppressAutoHyphens/>
        <w:spacing w:after="0" w:line="240" w:lineRule="auto"/>
        <w:ind w:left="1440" w:hanging="720"/>
        <w:contextualSpacing/>
        <w:jc w:val="both"/>
        <w:rPr>
          <w:rFonts w:ascii="Cambria" w:eastAsia="Batang" w:hAnsi="Cambria" w:cs="Calibri Light"/>
          <w:b/>
          <w:sz w:val="20"/>
          <w:szCs w:val="20"/>
        </w:rPr>
      </w:pPr>
      <w:r w:rsidRPr="0047276B">
        <w:rPr>
          <w:rFonts w:ascii="Cambria" w:eastAsia="Batang" w:hAnsi="Cambria"/>
          <w:color w:val="000000"/>
          <w:sz w:val="20"/>
          <w:szCs w:val="20"/>
        </w:rPr>
        <w:t xml:space="preserve">The State paid </w:t>
      </w:r>
      <w:r w:rsidRPr="0047276B">
        <w:rPr>
          <w:rFonts w:ascii="Cambria" w:hAnsi="Cambria"/>
          <w:sz w:val="20"/>
          <w:szCs w:val="20"/>
        </w:rPr>
        <w:t xml:space="preserve">$1,436,365.00 (one million, four hundred and thirty-six thousand, three hundred and sixty-five Mexican pesos) to the family for health care and production projects. </w:t>
      </w:r>
    </w:p>
    <w:p w14:paraId="0BC3CB12" w14:textId="77777777" w:rsidR="0047276B" w:rsidRPr="0047276B" w:rsidRDefault="0047276B" w:rsidP="0047276B">
      <w:pPr>
        <w:numPr>
          <w:ilvl w:val="0"/>
          <w:numId w:val="12"/>
        </w:numPr>
        <w:suppressAutoHyphens/>
        <w:spacing w:after="0" w:line="240" w:lineRule="auto"/>
        <w:ind w:left="1440" w:hanging="720"/>
        <w:contextualSpacing/>
        <w:jc w:val="both"/>
        <w:rPr>
          <w:rFonts w:ascii="Cambria" w:eastAsia="Batang" w:hAnsi="Cambria"/>
          <w:color w:val="000000"/>
          <w:sz w:val="20"/>
          <w:szCs w:val="20"/>
        </w:rPr>
      </w:pPr>
      <w:r w:rsidRPr="0047276B">
        <w:rPr>
          <w:rFonts w:ascii="Cambria" w:hAnsi="Cambria"/>
          <w:sz w:val="20"/>
          <w:szCs w:val="20"/>
        </w:rPr>
        <w:t>The unveiling of a plaque and bust at the Children's Hospital in the State of Sonora, which included an inscription in memory of the child Ismael Mondragon.</w:t>
      </w:r>
    </w:p>
    <w:p w14:paraId="715229A8" w14:textId="77777777" w:rsidR="0047276B" w:rsidRPr="0047276B" w:rsidRDefault="0047276B" w:rsidP="0047276B">
      <w:pPr>
        <w:numPr>
          <w:ilvl w:val="0"/>
          <w:numId w:val="12"/>
        </w:numPr>
        <w:tabs>
          <w:tab w:val="left" w:pos="90"/>
        </w:tabs>
        <w:suppressAutoHyphens/>
        <w:spacing w:after="0" w:line="240" w:lineRule="auto"/>
        <w:ind w:left="1440" w:hanging="720"/>
        <w:contextualSpacing/>
        <w:jc w:val="both"/>
        <w:rPr>
          <w:rFonts w:ascii="Cambria" w:hAnsi="Cambria" w:cs="Calibri Light"/>
          <w:b/>
          <w:color w:val="000000"/>
          <w:sz w:val="20"/>
          <w:szCs w:val="20"/>
        </w:rPr>
      </w:pPr>
      <w:r w:rsidRPr="0047276B">
        <w:rPr>
          <w:rFonts w:ascii="Cambria" w:eastAsia="MS Mincho" w:hAnsi="Cambria"/>
          <w:color w:val="000000"/>
          <w:sz w:val="20"/>
          <w:szCs w:val="20"/>
          <w:lang w:eastAsia="ja-JP"/>
        </w:rPr>
        <w:t>On January 20, 2024, the ceremony of public acknowledgement of responsibility was held and disseminated on social networks and on the YouTube channel of the Ministry of the Interior.</w:t>
      </w:r>
    </w:p>
    <w:p w14:paraId="7815141B" w14:textId="77777777" w:rsidR="0047276B" w:rsidRPr="0047276B" w:rsidRDefault="0047276B" w:rsidP="0047276B">
      <w:pPr>
        <w:suppressAutoHyphens/>
        <w:spacing w:after="0" w:line="240" w:lineRule="auto"/>
        <w:ind w:left="1440"/>
        <w:contextualSpacing/>
        <w:jc w:val="both"/>
        <w:rPr>
          <w:rFonts w:ascii="Cambria" w:eastAsia="Batang" w:hAnsi="Cambria" w:cs="Calibri Light"/>
          <w:b/>
          <w:sz w:val="20"/>
          <w:szCs w:val="20"/>
        </w:rPr>
      </w:pPr>
    </w:p>
    <w:p w14:paraId="5BB1363C" w14:textId="77777777" w:rsidR="0047276B" w:rsidRPr="0047276B" w:rsidRDefault="0047276B" w:rsidP="0047276B">
      <w:pPr>
        <w:numPr>
          <w:ilvl w:val="0"/>
          <w:numId w:val="30"/>
        </w:numPr>
        <w:suppressAutoHyphens/>
        <w:spacing w:after="0" w:line="240" w:lineRule="auto"/>
        <w:ind w:firstLine="0"/>
        <w:contextualSpacing/>
        <w:jc w:val="both"/>
        <w:rPr>
          <w:rFonts w:ascii="Cambria" w:eastAsia="Batang" w:hAnsi="Cambria" w:cs="Calibri Light"/>
          <w:b/>
          <w:sz w:val="20"/>
          <w:szCs w:val="20"/>
        </w:rPr>
      </w:pPr>
      <w:r w:rsidRPr="0047276B">
        <w:rPr>
          <w:rFonts w:ascii="Cambria" w:eastAsia="Batang" w:hAnsi="Cambria" w:cs="Calibri Light"/>
          <w:b/>
          <w:sz w:val="20"/>
          <w:szCs w:val="20"/>
        </w:rPr>
        <w:t>Structural outcomes of the case</w:t>
      </w:r>
    </w:p>
    <w:p w14:paraId="387A8153" w14:textId="77777777" w:rsidR="0047276B" w:rsidRPr="0047276B" w:rsidRDefault="0047276B" w:rsidP="0047276B">
      <w:pPr>
        <w:suppressAutoHyphens/>
        <w:spacing w:after="0" w:line="240" w:lineRule="auto"/>
        <w:ind w:right="72"/>
        <w:jc w:val="both"/>
        <w:rPr>
          <w:rFonts w:ascii="Cambria" w:hAnsi="Cambria"/>
          <w:bCs/>
          <w:kern w:val="36"/>
          <w:sz w:val="20"/>
          <w:szCs w:val="20"/>
        </w:rPr>
      </w:pPr>
    </w:p>
    <w:p w14:paraId="72628587" w14:textId="43B4B3D7" w:rsidR="00F74974" w:rsidRPr="00854366" w:rsidRDefault="0047276B" w:rsidP="00854366">
      <w:pPr>
        <w:numPr>
          <w:ilvl w:val="0"/>
          <w:numId w:val="34"/>
        </w:numPr>
        <w:tabs>
          <w:tab w:val="left" w:pos="6204"/>
        </w:tabs>
        <w:suppressAutoHyphens/>
        <w:spacing w:after="0" w:line="240" w:lineRule="auto"/>
        <w:ind w:left="1418" w:hanging="709"/>
        <w:contextualSpacing/>
        <w:jc w:val="both"/>
        <w:rPr>
          <w:rFonts w:ascii="Cambria" w:eastAsia="Batang" w:hAnsi="Cambria"/>
          <w:color w:val="000000"/>
          <w:sz w:val="20"/>
          <w:szCs w:val="20"/>
        </w:rPr>
      </w:pPr>
      <w:r w:rsidRPr="0047276B">
        <w:rPr>
          <w:rFonts w:ascii="Cambria" w:eastAsia="Batang" w:hAnsi="Cambria"/>
          <w:color w:val="000000"/>
          <w:sz w:val="20"/>
          <w:szCs w:val="20"/>
        </w:rPr>
        <w:t>Training courses were held for the authorities of children hospitals of Sonora.</w:t>
      </w:r>
    </w:p>
    <w:sectPr w:rsidR="00F74974" w:rsidRPr="00854366" w:rsidSect="008E42E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B87A" w14:textId="77777777" w:rsidR="003D5634" w:rsidRDefault="003D5634" w:rsidP="00A343FF">
      <w:pPr>
        <w:spacing w:after="0" w:line="240" w:lineRule="auto"/>
      </w:pPr>
      <w:r>
        <w:separator/>
      </w:r>
    </w:p>
  </w:endnote>
  <w:endnote w:type="continuationSeparator" w:id="0">
    <w:p w14:paraId="7A9B5053" w14:textId="77777777" w:rsidR="003D5634" w:rsidRDefault="003D5634" w:rsidP="00A343FF">
      <w:pPr>
        <w:spacing w:after="0" w:line="240" w:lineRule="auto"/>
      </w:pPr>
      <w:r>
        <w:continuationSeparator/>
      </w:r>
    </w:p>
  </w:endnote>
  <w:endnote w:type="continuationNotice" w:id="1">
    <w:p w14:paraId="54B85A4F" w14:textId="77777777" w:rsidR="003D5634" w:rsidRDefault="003D5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E64AF1" w:rsidP="008F2248">
    <w:pPr>
      <w:pStyle w:val="Footer"/>
      <w:spacing w:line="360" w:lineRule="auto"/>
    </w:pPr>
    <w:bookmarkStart w:id="1" w:name="_Hlk204937138"/>
    <w:r>
      <w:rPr>
        <w:noProof/>
      </w:rPr>
      <w:pict w14:anchorId="413C72BF">
        <v:rect id="_x0000_i1027" alt="" style="width:441.9pt;height:.05pt;mso-width-percent:0;mso-height-percent:0;mso-width-percent:0;mso-height-percent:0" o:hralign="center" o:hrstd="t" o:hr="t" fillcolor="#a0a0a0" stroked="f"/>
      </w:pict>
    </w:r>
    <w:bookmarkEnd w:id="1"/>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B0E7" w14:textId="77777777" w:rsidR="003D5634" w:rsidRDefault="003D5634" w:rsidP="00A343FF">
      <w:pPr>
        <w:spacing w:after="0" w:line="240" w:lineRule="auto"/>
      </w:pPr>
      <w:r>
        <w:separator/>
      </w:r>
    </w:p>
  </w:footnote>
  <w:footnote w:type="continuationSeparator" w:id="0">
    <w:p w14:paraId="40A58569" w14:textId="77777777" w:rsidR="003D5634" w:rsidRDefault="003D5634" w:rsidP="00A343FF">
      <w:pPr>
        <w:spacing w:after="0" w:line="240" w:lineRule="auto"/>
      </w:pPr>
      <w:r>
        <w:continuationSeparator/>
      </w:r>
    </w:p>
  </w:footnote>
  <w:footnote w:type="continuationNotice" w:id="1">
    <w:p w14:paraId="644912AA" w14:textId="77777777" w:rsidR="003D5634" w:rsidRDefault="003D5634">
      <w:pPr>
        <w:spacing w:after="0" w:line="240" w:lineRule="auto"/>
      </w:pPr>
    </w:p>
  </w:footnote>
  <w:footnote w:id="2">
    <w:p w14:paraId="3D59C7CC" w14:textId="709E1B8C" w:rsidR="0047276B" w:rsidRPr="00B120FE"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Pr="00B120FE">
        <w:rPr>
          <w:rFonts w:ascii="Cambria" w:hAnsi="Cambria"/>
          <w:color w:val="000000"/>
          <w:sz w:val="16"/>
          <w:szCs w:val="16"/>
        </w:rPr>
        <w:t>See IACHR, Annual Report</w:t>
      </w:r>
      <w:r w:rsidR="00B120FE">
        <w:rPr>
          <w:rFonts w:ascii="Cambria" w:hAnsi="Cambria"/>
          <w:color w:val="000000"/>
          <w:sz w:val="16"/>
          <w:szCs w:val="16"/>
        </w:rPr>
        <w:t xml:space="preserve"> 2021</w:t>
      </w:r>
      <w:r w:rsidRPr="00B120FE">
        <w:rPr>
          <w:rFonts w:ascii="Cambria" w:hAnsi="Cambria"/>
          <w:color w:val="000000"/>
          <w:sz w:val="16"/>
          <w:szCs w:val="16"/>
        </w:rPr>
        <w:t xml:space="preserve">, Chapter II, Section F. </w:t>
      </w:r>
      <w:r w:rsidR="00B120FE">
        <w:rPr>
          <w:rFonts w:ascii="Cambria" w:hAnsi="Cambria"/>
          <w:color w:val="000000"/>
          <w:sz w:val="16"/>
          <w:szCs w:val="16"/>
        </w:rPr>
        <w:t>Advances and regressions on n</w:t>
      </w:r>
      <w:r w:rsidRPr="00B120FE">
        <w:rPr>
          <w:rFonts w:ascii="Cambria" w:hAnsi="Cambria"/>
          <w:color w:val="000000"/>
          <w:sz w:val="16"/>
          <w:szCs w:val="16"/>
        </w:rPr>
        <w:t xml:space="preserve">egotiation and implementation of friendly settlement. Available at: </w:t>
      </w:r>
      <w:hyperlink r:id="rId1" w:history="1">
        <w:r w:rsidRPr="00B120FE">
          <w:rPr>
            <w:rStyle w:val="Hyperlink"/>
            <w:rFonts w:ascii="Cambria" w:hAnsi="Cambria"/>
            <w:sz w:val="16"/>
            <w:szCs w:val="16"/>
          </w:rPr>
          <w:t>https://www.oas.org/en/iachr/docs/annual/2021/Chapters/IA2021cap2-en.pdf</w:t>
        </w:r>
      </w:hyperlink>
      <w:r w:rsidR="00B120FE">
        <w:rPr>
          <w:rFonts w:ascii="Cambria" w:hAnsi="Cambria"/>
          <w:sz w:val="16"/>
          <w:szCs w:val="16"/>
        </w:rPr>
        <w:t>.</w:t>
      </w:r>
      <w:r w:rsidRPr="00B120FE">
        <w:rPr>
          <w:rFonts w:ascii="Cambria" w:hAnsi="Cambria"/>
          <w:color w:val="000000"/>
          <w:sz w:val="16"/>
          <w:szCs w:val="16"/>
        </w:rPr>
        <w:t xml:space="preserve"> </w:t>
      </w:r>
    </w:p>
  </w:footnote>
  <w:footnote w:id="3">
    <w:p w14:paraId="3852BF6B" w14:textId="6F56AD6B"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color w:val="000000"/>
          <w:sz w:val="16"/>
          <w:szCs w:val="16"/>
        </w:rPr>
        <w:footnoteRef/>
      </w:r>
      <w:r w:rsidRPr="00B120FE">
        <w:rPr>
          <w:rFonts w:ascii="Cambria" w:hAnsi="Cambria"/>
          <w:color w:val="000000"/>
          <w:sz w:val="16"/>
          <w:szCs w:val="16"/>
        </w:rPr>
        <w:t xml:space="preserve"> </w:t>
      </w:r>
      <w:r w:rsidR="00B120FE" w:rsidRPr="00B120FE">
        <w:rPr>
          <w:rFonts w:ascii="Cambria" w:hAnsi="Cambria"/>
          <w:color w:val="000000" w:themeColor="text1"/>
          <w:sz w:val="16"/>
          <w:szCs w:val="16"/>
        </w:rPr>
        <w:t xml:space="preserve">See </w:t>
      </w:r>
      <w:r w:rsidRPr="00B120FE">
        <w:rPr>
          <w:rFonts w:ascii="Cambria" w:hAnsi="Cambria"/>
          <w:color w:val="000000" w:themeColor="text1"/>
          <w:sz w:val="16"/>
          <w:szCs w:val="16"/>
        </w:rPr>
        <w:t>IACHR, Report No. 110/2020, Petition 735-07</w:t>
      </w:r>
      <w:r w:rsidR="00B120FE" w:rsidRPr="00B120FE">
        <w:rPr>
          <w:rFonts w:ascii="Cambria" w:hAnsi="Cambria"/>
          <w:color w:val="000000" w:themeColor="text1"/>
          <w:sz w:val="16"/>
          <w:szCs w:val="16"/>
        </w:rPr>
        <w:t>.</w:t>
      </w:r>
      <w:r w:rsidRPr="00B120FE">
        <w:rPr>
          <w:rFonts w:ascii="Cambria" w:hAnsi="Cambria"/>
          <w:color w:val="000000" w:themeColor="text1"/>
          <w:sz w:val="16"/>
          <w:szCs w:val="16"/>
        </w:rPr>
        <w:t xml:space="preserve"> Friendly Settlement. </w:t>
      </w:r>
      <w:r w:rsidRPr="00871116">
        <w:rPr>
          <w:rFonts w:ascii="Cambria" w:hAnsi="Cambria"/>
          <w:color w:val="000000" w:themeColor="text1"/>
          <w:sz w:val="16"/>
          <w:szCs w:val="16"/>
        </w:rPr>
        <w:t xml:space="preserve">Ismael Mondragon Molina. Mexico. June 9, 2020. </w:t>
      </w:r>
      <w:r w:rsidR="00B120FE" w:rsidRPr="00871116">
        <w:rPr>
          <w:rFonts w:ascii="Cambria" w:hAnsi="Cambria"/>
          <w:color w:val="000000" w:themeColor="text1"/>
          <w:sz w:val="16"/>
          <w:szCs w:val="16"/>
        </w:rPr>
        <w:t xml:space="preserve">Available at: </w:t>
      </w:r>
      <w:hyperlink r:id="rId2"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w:t>
      </w:r>
    </w:p>
  </w:footnote>
  <w:footnote w:id="4">
    <w:p w14:paraId="59862B56" w14:textId="61E77A3F"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themeColor="text1"/>
          <w:sz w:val="16"/>
          <w:szCs w:val="16"/>
        </w:rPr>
        <w:t xml:space="preserve">See IACHR, Report No. 110/2020, Petition 735-07. Friendly Settlement. </w:t>
      </w:r>
      <w:r w:rsidR="00B120FE" w:rsidRPr="00871116">
        <w:rPr>
          <w:rFonts w:ascii="Cambria" w:hAnsi="Cambria"/>
          <w:color w:val="000000" w:themeColor="text1"/>
          <w:sz w:val="16"/>
          <w:szCs w:val="16"/>
        </w:rPr>
        <w:t xml:space="preserve">Ismael Mondragon Molina. Mexico. June 9, 2020. Available at: </w:t>
      </w:r>
      <w:hyperlink r:id="rId3"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 xml:space="preserve">. </w:t>
      </w:r>
    </w:p>
  </w:footnote>
  <w:footnote w:id="5">
    <w:p w14:paraId="3BA17478" w14:textId="2B779367" w:rsidR="0047276B" w:rsidRPr="00871116"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Pr="00871116">
        <w:rPr>
          <w:rFonts w:ascii="Cambria" w:hAnsi="Cambria"/>
          <w:sz w:val="16"/>
          <w:szCs w:val="16"/>
        </w:rPr>
        <w:t xml:space="preserve">See IACHR, Annual Report 2024, Chapter II, Section C. Advances and challenges on negotiation and implementation of friendly settlements agreements. Available at: </w:t>
      </w:r>
      <w:hyperlink r:id="rId4" w:history="1">
        <w:r w:rsidRPr="00871116">
          <w:rPr>
            <w:rStyle w:val="Hyperlink"/>
            <w:rFonts w:ascii="Cambria" w:hAnsi="Cambria"/>
            <w:sz w:val="16"/>
            <w:szCs w:val="16"/>
          </w:rPr>
          <w:t>https://www.oas.org/en/iachr/docs/annual/2024/chapters/IA2024_2_EN.PDF</w:t>
        </w:r>
      </w:hyperlink>
      <w:r w:rsidRPr="00871116">
        <w:rPr>
          <w:rFonts w:ascii="Cambria" w:hAnsi="Cambria"/>
          <w:sz w:val="16"/>
          <w:szCs w:val="16"/>
        </w:rPr>
        <w:t xml:space="preserve">. </w:t>
      </w:r>
    </w:p>
  </w:footnote>
  <w:footnote w:id="6">
    <w:p w14:paraId="0B395651" w14:textId="22847C9A" w:rsidR="0047276B" w:rsidRPr="00B120FE"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The Commission notes that there is no Annex 2 of the FSA signed on March 14, </w:t>
      </w:r>
      <w:r w:rsidR="00B120FE" w:rsidRPr="00B120FE">
        <w:rPr>
          <w:rFonts w:ascii="Cambria" w:hAnsi="Cambria"/>
          <w:sz w:val="16"/>
          <w:szCs w:val="16"/>
        </w:rPr>
        <w:t>2018,</w:t>
      </w:r>
      <w:r w:rsidRPr="00B120FE">
        <w:rPr>
          <w:rFonts w:ascii="Cambria" w:hAnsi="Cambria"/>
          <w:sz w:val="16"/>
          <w:szCs w:val="16"/>
        </w:rPr>
        <w:t xml:space="preserve"> in the case file. Therefore, it informally consulted the State and verified that the parties, throughout the negotiation process, did not prepare this document, so that its reference becomes abstract.</w:t>
      </w:r>
    </w:p>
  </w:footnote>
  <w:footnote w:id="7">
    <w:p w14:paraId="39DF4534" w14:textId="05B09C5B" w:rsidR="0047276B" w:rsidRPr="00871116"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Pr="00871116">
        <w:rPr>
          <w:rFonts w:ascii="Cambria" w:hAnsi="Cambria"/>
          <w:sz w:val="16"/>
          <w:szCs w:val="16"/>
        </w:rPr>
        <w:t xml:space="preserve">See IACHR, Annual Report 2024, Chapter II, Section C. Advances and challenges on negotiation and implementation of friendly settlements agreements. Available at: </w:t>
      </w:r>
      <w:hyperlink r:id="rId5" w:history="1">
        <w:r w:rsidRPr="00871116">
          <w:rPr>
            <w:rStyle w:val="Hyperlink"/>
            <w:rFonts w:ascii="Cambria" w:hAnsi="Cambria"/>
            <w:sz w:val="16"/>
            <w:szCs w:val="16"/>
          </w:rPr>
          <w:t>https://www.oas.org/en/iachr/docs/annual/2024/chapters/IA2024_2_EN.PDF</w:t>
        </w:r>
      </w:hyperlink>
      <w:r w:rsidRPr="00871116">
        <w:rPr>
          <w:rFonts w:ascii="Cambria" w:hAnsi="Cambria"/>
          <w:sz w:val="16"/>
          <w:szCs w:val="16"/>
        </w:rPr>
        <w:t xml:space="preserve">. </w:t>
      </w:r>
    </w:p>
  </w:footnote>
  <w:footnote w:id="8">
    <w:p w14:paraId="705680C7" w14:textId="62FD5534" w:rsidR="0047276B" w:rsidRPr="00B120FE"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See IACHR, Annual Report 2023, Chapter II, Section C, Advances and challenges on negotiation and implementation of friendly settlement agreements.</w:t>
      </w:r>
      <w:r w:rsidR="00B120FE">
        <w:rPr>
          <w:rFonts w:ascii="Cambria" w:hAnsi="Cambria"/>
          <w:sz w:val="16"/>
          <w:szCs w:val="16"/>
        </w:rPr>
        <w:t xml:space="preserve"> Available at: </w:t>
      </w:r>
      <w:hyperlink r:id="rId6" w:history="1">
        <w:r w:rsidR="00B120FE" w:rsidRPr="00EB414D">
          <w:rPr>
            <w:rStyle w:val="Hyperlink"/>
            <w:rFonts w:ascii="Cambria" w:hAnsi="Cambria"/>
            <w:sz w:val="16"/>
            <w:szCs w:val="16"/>
          </w:rPr>
          <w:t>https://www.oas.org/en/iachr/docs/annual/2023/chapters/IA2023_Cap_2_ENG.PDF</w:t>
        </w:r>
      </w:hyperlink>
      <w:r w:rsidR="00B120FE">
        <w:rPr>
          <w:rFonts w:ascii="Cambria" w:hAnsi="Cambria"/>
          <w:sz w:val="16"/>
          <w:szCs w:val="16"/>
        </w:rPr>
        <w:t xml:space="preserve">. </w:t>
      </w:r>
    </w:p>
  </w:footnote>
  <w:footnote w:id="9">
    <w:p w14:paraId="41975066" w14:textId="322292AF"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themeColor="text1"/>
          <w:sz w:val="16"/>
          <w:szCs w:val="16"/>
        </w:rPr>
        <w:t xml:space="preserve">See IACHR, Report No. 110/2020, Petition 735-07. Friendly Settlement. </w:t>
      </w:r>
      <w:r w:rsidR="00B120FE" w:rsidRPr="00871116">
        <w:rPr>
          <w:rFonts w:ascii="Cambria" w:hAnsi="Cambria"/>
          <w:color w:val="000000" w:themeColor="text1"/>
          <w:sz w:val="16"/>
          <w:szCs w:val="16"/>
        </w:rPr>
        <w:t xml:space="preserve">Ismael Mondragon Molina. Mexico. June 9, 2020. Available at: </w:t>
      </w:r>
      <w:hyperlink r:id="rId7"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w:t>
      </w:r>
    </w:p>
  </w:footnote>
  <w:footnote w:id="10">
    <w:p w14:paraId="64F42781" w14:textId="49B859FC"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themeColor="text1"/>
          <w:sz w:val="16"/>
          <w:szCs w:val="16"/>
        </w:rPr>
        <w:t xml:space="preserve">See IACHR, Report No. 110/2020, Petition 735-07. Friendly Settlement. </w:t>
      </w:r>
      <w:r w:rsidR="00B120FE" w:rsidRPr="00871116">
        <w:rPr>
          <w:rFonts w:ascii="Cambria" w:hAnsi="Cambria"/>
          <w:color w:val="000000" w:themeColor="text1"/>
          <w:sz w:val="16"/>
          <w:szCs w:val="16"/>
        </w:rPr>
        <w:t xml:space="preserve">Ismael Mondragon Molina. Mexico. June 9, 2020. Available at: </w:t>
      </w:r>
      <w:hyperlink r:id="rId8"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 xml:space="preserve">. </w:t>
      </w:r>
    </w:p>
  </w:footnote>
  <w:footnote w:id="11">
    <w:p w14:paraId="059C6086" w14:textId="53294735"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themeColor="text1"/>
          <w:sz w:val="16"/>
          <w:szCs w:val="16"/>
        </w:rPr>
        <w:t xml:space="preserve">See IACHR, Report No. 110/2020, Petition 735-07. Friendly Settlement. </w:t>
      </w:r>
      <w:r w:rsidR="00B120FE" w:rsidRPr="00871116">
        <w:rPr>
          <w:rFonts w:ascii="Cambria" w:hAnsi="Cambria"/>
          <w:color w:val="000000" w:themeColor="text1"/>
          <w:sz w:val="16"/>
          <w:szCs w:val="16"/>
        </w:rPr>
        <w:t xml:space="preserve">Ismael Mondragon Molina. Mexico. June 9, 2020. Available at: </w:t>
      </w:r>
      <w:hyperlink r:id="rId9"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w:t>
      </w:r>
    </w:p>
  </w:footnote>
  <w:footnote w:id="12">
    <w:p w14:paraId="5B2FB44B" w14:textId="628A22F7" w:rsidR="0047276B" w:rsidRPr="00871116" w:rsidRDefault="0047276B" w:rsidP="00B120FE">
      <w:pPr>
        <w:pStyle w:val="NormalWeb"/>
        <w:tabs>
          <w:tab w:val="left" w:pos="900"/>
        </w:tabs>
        <w:spacing w:before="0" w:beforeAutospacing="0" w:after="0" w:afterAutospacing="0"/>
        <w:ind w:firstLine="709"/>
        <w:jc w:val="both"/>
        <w:rPr>
          <w:rFonts w:ascii="Cambria" w:hAnsi="Cambria"/>
          <w:color w:val="000000"/>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themeColor="text1"/>
          <w:sz w:val="16"/>
          <w:szCs w:val="16"/>
        </w:rPr>
        <w:t xml:space="preserve">See IACHR, Report No. 110/2020, Petition 735-07. Friendly Settlement. </w:t>
      </w:r>
      <w:r w:rsidR="00B120FE" w:rsidRPr="00871116">
        <w:rPr>
          <w:rFonts w:ascii="Cambria" w:hAnsi="Cambria"/>
          <w:color w:val="000000" w:themeColor="text1"/>
          <w:sz w:val="16"/>
          <w:szCs w:val="16"/>
        </w:rPr>
        <w:t xml:space="preserve">Ismael Mondragon Molina. Mexico. June 9, 2020. Available at: </w:t>
      </w:r>
      <w:hyperlink r:id="rId10" w:history="1">
        <w:r w:rsidR="00B120FE" w:rsidRPr="00871116">
          <w:rPr>
            <w:rStyle w:val="Hyperlink"/>
            <w:rFonts w:ascii="Cambria" w:hAnsi="Cambria"/>
            <w:sz w:val="16"/>
            <w:szCs w:val="16"/>
          </w:rPr>
          <w:t>http://www.oas.org/es/cidh/decisiones/2020/mxsa735-07es.pdf</w:t>
        </w:r>
      </w:hyperlink>
      <w:r w:rsidR="00B120FE" w:rsidRPr="00871116">
        <w:rPr>
          <w:rFonts w:ascii="Cambria" w:hAnsi="Cambria"/>
          <w:sz w:val="16"/>
          <w:szCs w:val="16"/>
        </w:rPr>
        <w:t>.</w:t>
      </w:r>
    </w:p>
  </w:footnote>
  <w:footnote w:id="13">
    <w:p w14:paraId="50248340" w14:textId="09D4E248" w:rsidR="0047276B" w:rsidRPr="00B120FE" w:rsidRDefault="0047276B" w:rsidP="00B120FE">
      <w:pPr>
        <w:pStyle w:val="FootnoteText"/>
        <w:ind w:firstLine="709"/>
        <w:jc w:val="both"/>
        <w:rPr>
          <w:rFonts w:ascii="Cambria" w:hAnsi="Cambria"/>
          <w:sz w:val="16"/>
          <w:szCs w:val="16"/>
        </w:rPr>
      </w:pPr>
      <w:r w:rsidRPr="00B120FE">
        <w:rPr>
          <w:rStyle w:val="FootnoteReference"/>
          <w:rFonts w:ascii="Cambria" w:hAnsi="Cambria"/>
          <w:sz w:val="16"/>
          <w:szCs w:val="16"/>
        </w:rPr>
        <w:footnoteRef/>
      </w:r>
      <w:r w:rsidRPr="00B120FE">
        <w:rPr>
          <w:rFonts w:ascii="Cambria" w:hAnsi="Cambria"/>
          <w:sz w:val="16"/>
          <w:szCs w:val="16"/>
        </w:rPr>
        <w:t xml:space="preserve"> </w:t>
      </w:r>
      <w:r w:rsidR="00B120FE" w:rsidRPr="00B120FE">
        <w:rPr>
          <w:rFonts w:ascii="Cambria" w:hAnsi="Cambria"/>
          <w:color w:val="000000"/>
          <w:sz w:val="16"/>
          <w:szCs w:val="16"/>
        </w:rPr>
        <w:t>See IACHR, Annual Report</w:t>
      </w:r>
      <w:r w:rsidR="00B120FE">
        <w:rPr>
          <w:rFonts w:ascii="Cambria" w:hAnsi="Cambria"/>
          <w:color w:val="000000"/>
          <w:sz w:val="16"/>
          <w:szCs w:val="16"/>
        </w:rPr>
        <w:t xml:space="preserve"> 2021</w:t>
      </w:r>
      <w:r w:rsidR="00B120FE" w:rsidRPr="00B120FE">
        <w:rPr>
          <w:rFonts w:ascii="Cambria" w:hAnsi="Cambria"/>
          <w:color w:val="000000"/>
          <w:sz w:val="16"/>
          <w:szCs w:val="16"/>
        </w:rPr>
        <w:t xml:space="preserve">, Chapter II, Section F. </w:t>
      </w:r>
      <w:r w:rsidR="00B120FE">
        <w:rPr>
          <w:rFonts w:ascii="Cambria" w:hAnsi="Cambria"/>
          <w:color w:val="000000"/>
          <w:sz w:val="16"/>
          <w:szCs w:val="16"/>
        </w:rPr>
        <w:t>Advances and regressions on n</w:t>
      </w:r>
      <w:r w:rsidR="00B120FE" w:rsidRPr="00B120FE">
        <w:rPr>
          <w:rFonts w:ascii="Cambria" w:hAnsi="Cambria"/>
          <w:color w:val="000000"/>
          <w:sz w:val="16"/>
          <w:szCs w:val="16"/>
        </w:rPr>
        <w:t xml:space="preserve">egotiation and implementation of friendly settlement. Available at: </w:t>
      </w:r>
      <w:hyperlink r:id="rId11" w:history="1">
        <w:r w:rsidR="00B120FE" w:rsidRPr="00B120FE">
          <w:rPr>
            <w:rStyle w:val="Hyperlink"/>
            <w:rFonts w:ascii="Cambria" w:hAnsi="Cambria"/>
            <w:sz w:val="16"/>
            <w:szCs w:val="16"/>
          </w:rPr>
          <w:t>https://www.oas.org/en/iachr/docs/annual/2021/Chapters/IA2021cap2-en.pdf</w:t>
        </w:r>
      </w:hyperlink>
      <w:r w:rsidR="00B120FE">
        <w:rPr>
          <w:rFonts w:ascii="Cambria" w:hAnsi="Cambria"/>
          <w:sz w:val="16"/>
          <w:szCs w:val="16"/>
        </w:rPr>
        <w:t>.</w:t>
      </w:r>
      <w:r w:rsidR="00B120FE" w:rsidRPr="00B120FE">
        <w:rPr>
          <w:rFonts w:ascii="Cambria" w:hAnsi="Cambria"/>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E64AF1">
    <w:pPr>
      <w:pStyle w:val="Header"/>
    </w:pPr>
    <w:bookmarkStart w:id="0" w:name="_Hlk204937144"/>
    <w:r>
      <w:rPr>
        <w:noProof/>
      </w:rPr>
      <w:pict w14:anchorId="5B6F98C2">
        <v:rect id="_x0000_i1025" alt="" style="width:441.9pt;height:.05pt;mso-width-percent:0;mso-height-percent:0;mso-width-percent:0;mso-height-percent:0" o:hralign="center" o:hrstd="t" o:hr="t" fillcolor="#a0a0a0" stroked="f"/>
      </w:pic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E64AF1"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D7332C2"/>
    <w:multiLevelType w:val="hybridMultilevel"/>
    <w:tmpl w:val="BB681E48"/>
    <w:lvl w:ilvl="0" w:tplc="319481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76C82"/>
    <w:multiLevelType w:val="hybridMultilevel"/>
    <w:tmpl w:val="A01856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5"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8" w15:restartNumberingAfterBreak="0">
    <w:nsid w:val="27C444D2"/>
    <w:multiLevelType w:val="hybridMultilevel"/>
    <w:tmpl w:val="EB50DFB4"/>
    <w:lvl w:ilvl="0" w:tplc="54CC6C96">
      <w:start w:val="1"/>
      <w:numFmt w:val="bullet"/>
      <w:lvlText w:val=""/>
      <w:lvlJc w:val="left"/>
      <w:pPr>
        <w:ind w:left="2138" w:hanging="360"/>
      </w:pPr>
      <w:rPr>
        <w:rFonts w:ascii="Symbol" w:hAnsi="Symbol" w:hint="default"/>
        <w:b w:val="0"/>
        <w:lang w:val="en-US"/>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9"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87574"/>
    <w:multiLevelType w:val="hybridMultilevel"/>
    <w:tmpl w:val="63EE20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301CB9"/>
    <w:multiLevelType w:val="hybridMultilevel"/>
    <w:tmpl w:val="1054C162"/>
    <w:lvl w:ilvl="0" w:tplc="42EA5E98">
      <w:start w:val="1"/>
      <w:numFmt w:val="upperRoman"/>
      <w:lvlText w:val="%1."/>
      <w:lvlJc w:val="left"/>
      <w:pPr>
        <w:ind w:left="1080" w:hanging="72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681516721">
    <w:abstractNumId w:val="30"/>
  </w:num>
  <w:num w:numId="2" w16cid:durableId="386493659">
    <w:abstractNumId w:val="23"/>
  </w:num>
  <w:num w:numId="3" w16cid:durableId="1073046593">
    <w:abstractNumId w:val="17"/>
  </w:num>
  <w:num w:numId="4" w16cid:durableId="665286190">
    <w:abstractNumId w:val="22"/>
  </w:num>
  <w:num w:numId="5" w16cid:durableId="890190884">
    <w:abstractNumId w:val="16"/>
  </w:num>
  <w:num w:numId="6" w16cid:durableId="1269696070">
    <w:abstractNumId w:val="14"/>
  </w:num>
  <w:num w:numId="7" w16cid:durableId="369956807">
    <w:abstractNumId w:val="29"/>
  </w:num>
  <w:num w:numId="8" w16cid:durableId="1461067811">
    <w:abstractNumId w:val="25"/>
  </w:num>
  <w:num w:numId="9" w16cid:durableId="1469392667">
    <w:abstractNumId w:val="32"/>
  </w:num>
  <w:num w:numId="10" w16cid:durableId="126054260">
    <w:abstractNumId w:val="2"/>
  </w:num>
  <w:num w:numId="11" w16cid:durableId="149337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6"/>
  </w:num>
  <w:num w:numId="13" w16cid:durableId="888763914">
    <w:abstractNumId w:val="13"/>
  </w:num>
  <w:num w:numId="14" w16cid:durableId="1191532033">
    <w:abstractNumId w:val="0"/>
  </w:num>
  <w:num w:numId="15" w16cid:durableId="2065325609">
    <w:abstractNumId w:val="7"/>
  </w:num>
  <w:num w:numId="16" w16cid:durableId="203366524">
    <w:abstractNumId w:val="28"/>
  </w:num>
  <w:num w:numId="17" w16cid:durableId="1994485589">
    <w:abstractNumId w:val="27"/>
  </w:num>
  <w:num w:numId="18" w16cid:durableId="593170908">
    <w:abstractNumId w:val="11"/>
  </w:num>
  <w:num w:numId="19" w16cid:durableId="1387949599">
    <w:abstractNumId w:val="21"/>
  </w:num>
  <w:num w:numId="20" w16cid:durableId="2114475546">
    <w:abstractNumId w:val="19"/>
  </w:num>
  <w:num w:numId="21" w16cid:durableId="1129208414">
    <w:abstractNumId w:val="5"/>
  </w:num>
  <w:num w:numId="22" w16cid:durableId="54397452">
    <w:abstractNumId w:val="10"/>
  </w:num>
  <w:num w:numId="23" w16cid:durableId="2113012360">
    <w:abstractNumId w:val="20"/>
  </w:num>
  <w:num w:numId="24" w16cid:durableId="1256785358">
    <w:abstractNumId w:val="12"/>
  </w:num>
  <w:num w:numId="25" w16cid:durableId="621379413">
    <w:abstractNumId w:val="26"/>
  </w:num>
  <w:num w:numId="26" w16cid:durableId="977150517">
    <w:abstractNumId w:val="15"/>
  </w:num>
  <w:num w:numId="27" w16cid:durableId="328752619">
    <w:abstractNumId w:val="18"/>
  </w:num>
  <w:num w:numId="28" w16cid:durableId="189227929">
    <w:abstractNumId w:val="33"/>
  </w:num>
  <w:num w:numId="29" w16cid:durableId="124933043">
    <w:abstractNumId w:val="9"/>
  </w:num>
  <w:num w:numId="30" w16cid:durableId="1394933766">
    <w:abstractNumId w:val="24"/>
  </w:num>
  <w:num w:numId="31" w16cid:durableId="181088966">
    <w:abstractNumId w:val="31"/>
  </w:num>
  <w:num w:numId="32" w16cid:durableId="1633320775">
    <w:abstractNumId w:val="1"/>
  </w:num>
  <w:num w:numId="33" w16cid:durableId="926615561">
    <w:abstractNumId w:val="3"/>
  </w:num>
  <w:num w:numId="34" w16cid:durableId="1040207474">
    <w:abstractNumId w:val="8"/>
  </w:num>
  <w:num w:numId="35" w16cid:durableId="6049245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91458"/>
    <w:rsid w:val="00092EFD"/>
    <w:rsid w:val="00096079"/>
    <w:rsid w:val="000E14E3"/>
    <w:rsid w:val="0012586C"/>
    <w:rsid w:val="0014555C"/>
    <w:rsid w:val="00150E20"/>
    <w:rsid w:val="00193906"/>
    <w:rsid w:val="0021669C"/>
    <w:rsid w:val="00226F48"/>
    <w:rsid w:val="002319CE"/>
    <w:rsid w:val="00236A78"/>
    <w:rsid w:val="00240E8E"/>
    <w:rsid w:val="002650A2"/>
    <w:rsid w:val="00283964"/>
    <w:rsid w:val="002859A9"/>
    <w:rsid w:val="00292B52"/>
    <w:rsid w:val="00294B17"/>
    <w:rsid w:val="002A39B2"/>
    <w:rsid w:val="002F2DC7"/>
    <w:rsid w:val="00343CED"/>
    <w:rsid w:val="00393310"/>
    <w:rsid w:val="003C4836"/>
    <w:rsid w:val="003D2D55"/>
    <w:rsid w:val="003D5634"/>
    <w:rsid w:val="003F2DDA"/>
    <w:rsid w:val="00400A82"/>
    <w:rsid w:val="00406604"/>
    <w:rsid w:val="00413FCD"/>
    <w:rsid w:val="00457711"/>
    <w:rsid w:val="0047146A"/>
    <w:rsid w:val="004722BC"/>
    <w:rsid w:val="0047276B"/>
    <w:rsid w:val="00486911"/>
    <w:rsid w:val="004B3074"/>
    <w:rsid w:val="00513A38"/>
    <w:rsid w:val="00534F2B"/>
    <w:rsid w:val="005566F5"/>
    <w:rsid w:val="005A328E"/>
    <w:rsid w:val="005A5E14"/>
    <w:rsid w:val="005B6392"/>
    <w:rsid w:val="005C3542"/>
    <w:rsid w:val="005F4AAA"/>
    <w:rsid w:val="0060012C"/>
    <w:rsid w:val="00604132"/>
    <w:rsid w:val="00607CC7"/>
    <w:rsid w:val="00631A43"/>
    <w:rsid w:val="00637322"/>
    <w:rsid w:val="00650793"/>
    <w:rsid w:val="00687213"/>
    <w:rsid w:val="006A25F7"/>
    <w:rsid w:val="006B6131"/>
    <w:rsid w:val="006E2BD8"/>
    <w:rsid w:val="006F0429"/>
    <w:rsid w:val="006F2CC5"/>
    <w:rsid w:val="00754FFD"/>
    <w:rsid w:val="00774F86"/>
    <w:rsid w:val="007A485F"/>
    <w:rsid w:val="007B0327"/>
    <w:rsid w:val="007B5729"/>
    <w:rsid w:val="007C2CC3"/>
    <w:rsid w:val="007C351D"/>
    <w:rsid w:val="007C3E98"/>
    <w:rsid w:val="007E361B"/>
    <w:rsid w:val="007F5F4E"/>
    <w:rsid w:val="0080119C"/>
    <w:rsid w:val="00807BAA"/>
    <w:rsid w:val="00854366"/>
    <w:rsid w:val="008550EF"/>
    <w:rsid w:val="00871116"/>
    <w:rsid w:val="008A7933"/>
    <w:rsid w:val="008E42E1"/>
    <w:rsid w:val="008F2248"/>
    <w:rsid w:val="00901B37"/>
    <w:rsid w:val="00913220"/>
    <w:rsid w:val="00920591"/>
    <w:rsid w:val="00967413"/>
    <w:rsid w:val="009949ED"/>
    <w:rsid w:val="009A73C0"/>
    <w:rsid w:val="009B219C"/>
    <w:rsid w:val="009C227B"/>
    <w:rsid w:val="009C4D87"/>
    <w:rsid w:val="009E73F0"/>
    <w:rsid w:val="00A10F22"/>
    <w:rsid w:val="00A2502C"/>
    <w:rsid w:val="00A25CA7"/>
    <w:rsid w:val="00A31FA7"/>
    <w:rsid w:val="00A343FF"/>
    <w:rsid w:val="00A61B5E"/>
    <w:rsid w:val="00A7781B"/>
    <w:rsid w:val="00AE1B0F"/>
    <w:rsid w:val="00B056D9"/>
    <w:rsid w:val="00B120FE"/>
    <w:rsid w:val="00B205A7"/>
    <w:rsid w:val="00B806AC"/>
    <w:rsid w:val="00B93993"/>
    <w:rsid w:val="00BA2B9F"/>
    <w:rsid w:val="00BA7724"/>
    <w:rsid w:val="00BB46E5"/>
    <w:rsid w:val="00C17F04"/>
    <w:rsid w:val="00C402CB"/>
    <w:rsid w:val="00C57947"/>
    <w:rsid w:val="00C71434"/>
    <w:rsid w:val="00CB6344"/>
    <w:rsid w:val="00CC6DB2"/>
    <w:rsid w:val="00CD545A"/>
    <w:rsid w:val="00CE4E6F"/>
    <w:rsid w:val="00CF54E1"/>
    <w:rsid w:val="00D05BCC"/>
    <w:rsid w:val="00D90D22"/>
    <w:rsid w:val="00DA59CD"/>
    <w:rsid w:val="00DC0F6D"/>
    <w:rsid w:val="00DC5A37"/>
    <w:rsid w:val="00DC7C8F"/>
    <w:rsid w:val="00DD1591"/>
    <w:rsid w:val="00DE14B5"/>
    <w:rsid w:val="00DF0FE5"/>
    <w:rsid w:val="00E3040C"/>
    <w:rsid w:val="00E64AF1"/>
    <w:rsid w:val="00E6614F"/>
    <w:rsid w:val="00EA09D8"/>
    <w:rsid w:val="00EB0395"/>
    <w:rsid w:val="00F2174D"/>
    <w:rsid w:val="00F306C1"/>
    <w:rsid w:val="00F36C7F"/>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 w:type="character" w:customStyle="1" w:styleId="ui-provider">
    <w:name w:val="ui-provider"/>
    <w:basedOn w:val="DefaultParagraphFont"/>
    <w:rsid w:val="0047276B"/>
  </w:style>
  <w:style w:type="paragraph" w:customStyle="1" w:styleId="Corpo">
    <w:name w:val="Corpo"/>
    <w:rsid w:val="0047276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FollowedHyperlink">
    <w:name w:val="FollowedHyperlink"/>
    <w:basedOn w:val="DefaultParagraphFont"/>
    <w:uiPriority w:val="99"/>
    <w:semiHidden/>
    <w:unhideWhenUsed/>
    <w:rsid w:val="00B120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20/MXSA735-07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0/MXSA735-07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20/mxsa735-07es.pdf" TargetMode="External"/><Relationship Id="rId3" Type="http://schemas.openxmlformats.org/officeDocument/2006/relationships/hyperlink" Target="http://www.oas.org/es/cidh/decisiones/2020/mxsa735-07es.pdf" TargetMode="External"/><Relationship Id="rId7" Type="http://schemas.openxmlformats.org/officeDocument/2006/relationships/hyperlink" Target="http://www.oas.org/es/cidh/decisiones/2020/mxsa735-07es.pdf" TargetMode="External"/><Relationship Id="rId2" Type="http://schemas.openxmlformats.org/officeDocument/2006/relationships/hyperlink" Target="http://www.oas.org/es/cidh/decisiones/2020/mxsa735-07es.pdf" TargetMode="External"/><Relationship Id="rId1" Type="http://schemas.openxmlformats.org/officeDocument/2006/relationships/hyperlink" Target="https://www.oas.org/en/iachr/docs/annual/2021/Chapters/IA2021cap2-en.pdf" TargetMode="External"/><Relationship Id="rId6" Type="http://schemas.openxmlformats.org/officeDocument/2006/relationships/hyperlink" Target="https://www.oas.org/en/iachr/docs/annual/2023/chapters/IA2023_Cap_2_ENG.PDF" TargetMode="External"/><Relationship Id="rId11" Type="http://schemas.openxmlformats.org/officeDocument/2006/relationships/hyperlink" Target="https://www.oas.org/en/iachr/docs/annual/2021/Chapters/IA2021cap2-en.pdf" TargetMode="External"/><Relationship Id="rId5" Type="http://schemas.openxmlformats.org/officeDocument/2006/relationships/hyperlink" Target="https://www.oas.org/en/iachr/docs/annual/2024/chapters/IA2024_2_EN.PDF" TargetMode="External"/><Relationship Id="rId10" Type="http://schemas.openxmlformats.org/officeDocument/2006/relationships/hyperlink" Target="http://www.oas.org/es/cidh/decisiones/2020/mxsa735-07es.pdf" TargetMode="External"/><Relationship Id="rId4" Type="http://schemas.openxmlformats.org/officeDocument/2006/relationships/hyperlink" Target="https://www.oas.org/en/iachr/docs/annual/2024/chapters/IA2024_2_EN.PDF" TargetMode="External"/><Relationship Id="rId9" Type="http://schemas.openxmlformats.org/officeDocument/2006/relationships/hyperlink" Target="http://www.oas.org/es/cidh/decisiones/2020/mxsa735-07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2.xml><?xml version="1.0" encoding="utf-8"?>
<ds:datastoreItem xmlns:ds="http://schemas.openxmlformats.org/officeDocument/2006/customXml" ds:itemID="{BA7C5DEC-B422-4ACC-A2EA-0F2090CB5FF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04427CD-A9C5-46E6-92C6-0E76DDA9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3</TotalTime>
  <Pages>6</Pages>
  <Words>1776</Words>
  <Characters>10126</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3</cp:revision>
  <cp:lastPrinted>2025-08-26T18:26:00Z</cp:lastPrinted>
  <dcterms:created xsi:type="dcterms:W3CDTF">2025-08-01T14:40:00Z</dcterms:created>
  <dcterms:modified xsi:type="dcterms:W3CDTF">2025-08-26T18:26:00Z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