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footer12.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633CFE" w14:textId="3D6E6423" w:rsidR="00210DB3" w:rsidRPr="00D920C9" w:rsidRDefault="00E14895" w:rsidP="001E4747">
      <w:pPr>
        <w:jc w:val="both"/>
        <w:rPr>
          <w:rFonts w:asciiTheme="minorHAnsi" w:hAnsiTheme="minorHAnsi"/>
          <w:b/>
          <w:spacing w:val="-3"/>
          <w:sz w:val="20"/>
          <w:szCs w:val="20"/>
          <w:lang w:val="pt-BR"/>
        </w:rPr>
      </w:pPr>
      <w:r w:rsidRPr="00D920C9">
        <w:rPr>
          <w:rFonts w:asciiTheme="minorHAnsi" w:hAnsiTheme="minorHAnsi"/>
          <w:noProof/>
        </w:rPr>
        <w:drawing>
          <wp:anchor distT="0" distB="0" distL="114300" distR="114300" simplePos="0" relativeHeight="251657216" behindDoc="0" locked="0" layoutInCell="1" allowOverlap="1" wp14:anchorId="36FE19B7" wp14:editId="0394E247">
            <wp:simplePos x="0" y="0"/>
            <wp:positionH relativeFrom="margin">
              <wp:align>right</wp:align>
            </wp:positionH>
            <wp:positionV relativeFrom="margin">
              <wp:align>top</wp:align>
            </wp:positionV>
            <wp:extent cx="2138045" cy="54546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EA-ENG-Main-01.png"/>
                    <pic:cNvPicPr/>
                  </pic:nvPicPr>
                  <pic:blipFill>
                    <a:blip r:embed="rId8">
                      <a:extLst>
                        <a:ext uri="{28A0092B-C50C-407E-A947-70E740481C1C}">
                          <a14:useLocalDpi xmlns:a14="http://schemas.microsoft.com/office/drawing/2010/main" val="0"/>
                        </a:ext>
                      </a:extLst>
                    </a:blip>
                    <a:stretch>
                      <a:fillRect/>
                    </a:stretch>
                  </pic:blipFill>
                  <pic:spPr>
                    <a:xfrm>
                      <a:off x="0" y="0"/>
                      <a:ext cx="2138045" cy="545465"/>
                    </a:xfrm>
                    <a:prstGeom prst="rect">
                      <a:avLst/>
                    </a:prstGeom>
                  </pic:spPr>
                </pic:pic>
              </a:graphicData>
            </a:graphic>
          </wp:anchor>
        </w:drawing>
      </w:r>
      <w:r w:rsidR="00ED6831" w:rsidRPr="00D920C9">
        <w:rPr>
          <w:rFonts w:asciiTheme="minorHAnsi" w:hAnsiTheme="minorHAnsi"/>
          <w:noProof/>
        </w:rPr>
        <w:drawing>
          <wp:anchor distT="0" distB="0" distL="114300" distR="114300" simplePos="0" relativeHeight="251664384" behindDoc="0" locked="0" layoutInCell="1" allowOverlap="1" wp14:anchorId="36EBAF4B" wp14:editId="1E63D69D">
            <wp:simplePos x="0" y="0"/>
            <wp:positionH relativeFrom="margin">
              <wp:align>left</wp:align>
            </wp:positionH>
            <wp:positionV relativeFrom="margin">
              <wp:align>top</wp:align>
            </wp:positionV>
            <wp:extent cx="2419985" cy="570865"/>
            <wp:effectExtent l="0" t="0" r="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chr-en.jpg"/>
                    <pic:cNvPicPr/>
                  </pic:nvPicPr>
                  <pic:blipFill>
                    <a:blip r:embed="rId9">
                      <a:extLst>
                        <a:ext uri="{28A0092B-C50C-407E-A947-70E740481C1C}">
                          <a14:useLocalDpi xmlns:a14="http://schemas.microsoft.com/office/drawing/2010/main" val="0"/>
                        </a:ext>
                      </a:extLst>
                    </a:blip>
                    <a:stretch>
                      <a:fillRect/>
                    </a:stretch>
                  </pic:blipFill>
                  <pic:spPr>
                    <a:xfrm>
                      <a:off x="0" y="0"/>
                      <a:ext cx="2419985" cy="570865"/>
                    </a:xfrm>
                    <a:prstGeom prst="rect">
                      <a:avLst/>
                    </a:prstGeom>
                  </pic:spPr>
                </pic:pic>
              </a:graphicData>
            </a:graphic>
          </wp:anchor>
        </w:drawing>
      </w:r>
    </w:p>
    <w:p w14:paraId="3027A631" w14:textId="77777777" w:rsidR="00210DB3" w:rsidRPr="00D920C9" w:rsidRDefault="00210DB3" w:rsidP="0040052F">
      <w:pPr>
        <w:suppressAutoHyphens/>
        <w:spacing w:after="0" w:line="240" w:lineRule="auto"/>
        <w:rPr>
          <w:rFonts w:asciiTheme="minorHAnsi" w:hAnsiTheme="minorHAnsi"/>
          <w:b/>
          <w:spacing w:val="-3"/>
          <w:sz w:val="20"/>
          <w:szCs w:val="20"/>
          <w:lang w:val="pt-BR"/>
        </w:rPr>
      </w:pPr>
    </w:p>
    <w:p w14:paraId="5DA60CE0" w14:textId="77777777" w:rsidR="00167623" w:rsidRPr="00D920C9" w:rsidRDefault="00167623" w:rsidP="0040052F">
      <w:pPr>
        <w:suppressAutoHyphens/>
        <w:spacing w:after="0" w:line="240" w:lineRule="auto"/>
        <w:rPr>
          <w:rFonts w:asciiTheme="minorHAnsi" w:hAnsiTheme="minorHAnsi"/>
          <w:b/>
          <w:spacing w:val="-3"/>
          <w:lang w:val="pt-BR"/>
        </w:rPr>
      </w:pPr>
    </w:p>
    <w:p w14:paraId="4648DF31" w14:textId="6E9F19F0" w:rsidR="00167623" w:rsidRPr="00D920C9" w:rsidRDefault="00167623" w:rsidP="009639C5">
      <w:pPr>
        <w:spacing w:after="0" w:line="360" w:lineRule="auto"/>
        <w:ind w:left="7200" w:right="65" w:hanging="1440"/>
        <w:rPr>
          <w:rFonts w:asciiTheme="minorHAnsi" w:hAnsiTheme="minorHAnsi"/>
          <w:szCs w:val="20"/>
          <w:lang w:val="pt-BR"/>
        </w:rPr>
      </w:pPr>
      <w:r w:rsidRPr="00D920C9">
        <w:rPr>
          <w:rFonts w:asciiTheme="minorHAnsi" w:hAnsiTheme="minorHAnsi"/>
          <w:szCs w:val="20"/>
          <w:lang w:val="pt-BR"/>
        </w:rPr>
        <w:t>OEA/Ser.L/V/II.</w:t>
      </w:r>
    </w:p>
    <w:p w14:paraId="74A73144" w14:textId="545127F8" w:rsidR="00167623" w:rsidRPr="00D920C9" w:rsidRDefault="00167623" w:rsidP="009639C5">
      <w:pPr>
        <w:spacing w:after="0" w:line="360" w:lineRule="auto"/>
        <w:ind w:left="7200" w:right="65" w:hanging="1440"/>
        <w:rPr>
          <w:rFonts w:asciiTheme="minorHAnsi" w:hAnsiTheme="minorHAnsi" w:cs="Arial"/>
          <w:szCs w:val="20"/>
          <w:lang w:val="pt-BR"/>
        </w:rPr>
      </w:pPr>
      <w:r w:rsidRPr="00D920C9">
        <w:rPr>
          <w:rFonts w:asciiTheme="minorHAnsi" w:hAnsiTheme="minorHAnsi" w:cs="Arial"/>
          <w:szCs w:val="20"/>
          <w:lang w:val="pt-BR"/>
        </w:rPr>
        <w:t xml:space="preserve">Doc. </w:t>
      </w:r>
      <w:r w:rsidR="009639C5">
        <w:rPr>
          <w:rFonts w:asciiTheme="minorHAnsi" w:hAnsiTheme="minorHAnsi" w:cs="Arial"/>
          <w:szCs w:val="20"/>
          <w:lang w:val="pt-BR"/>
        </w:rPr>
        <w:t>156</w:t>
      </w:r>
    </w:p>
    <w:p w14:paraId="4D19EF12" w14:textId="7183C5F8" w:rsidR="00167623" w:rsidRPr="00D920C9" w:rsidRDefault="003D7958" w:rsidP="009639C5">
      <w:pPr>
        <w:spacing w:after="0" w:line="360" w:lineRule="auto"/>
        <w:ind w:left="7200" w:hanging="1440"/>
        <w:rPr>
          <w:rFonts w:asciiTheme="minorHAnsi" w:hAnsiTheme="minorHAnsi" w:cs="Arial"/>
          <w:szCs w:val="20"/>
        </w:rPr>
      </w:pPr>
      <w:r>
        <w:rPr>
          <w:rFonts w:asciiTheme="minorHAnsi" w:hAnsiTheme="minorHAnsi" w:cs="Arial"/>
          <w:szCs w:val="20"/>
        </w:rPr>
        <w:t>26</w:t>
      </w:r>
      <w:r w:rsidR="00167623" w:rsidRPr="00D920C9">
        <w:rPr>
          <w:rFonts w:asciiTheme="minorHAnsi" w:hAnsiTheme="minorHAnsi" w:cs="Arial"/>
          <w:szCs w:val="20"/>
        </w:rPr>
        <w:t xml:space="preserve"> </w:t>
      </w:r>
      <w:r w:rsidR="009639C5">
        <w:rPr>
          <w:rFonts w:asciiTheme="minorHAnsi" w:hAnsiTheme="minorHAnsi" w:cs="Arial"/>
          <w:szCs w:val="20"/>
        </w:rPr>
        <w:t>November</w:t>
      </w:r>
      <w:r w:rsidR="00167623" w:rsidRPr="00D920C9">
        <w:rPr>
          <w:rFonts w:asciiTheme="minorHAnsi" w:hAnsiTheme="minorHAnsi" w:cs="Arial"/>
          <w:szCs w:val="20"/>
        </w:rPr>
        <w:t xml:space="preserve"> 2018</w:t>
      </w:r>
    </w:p>
    <w:p w14:paraId="76F558A2" w14:textId="77777777" w:rsidR="00167623" w:rsidRPr="00D920C9" w:rsidRDefault="00167623" w:rsidP="009639C5">
      <w:pPr>
        <w:spacing w:after="0" w:line="360" w:lineRule="auto"/>
        <w:ind w:left="7200" w:hanging="1440"/>
        <w:rPr>
          <w:rFonts w:asciiTheme="minorHAnsi" w:hAnsiTheme="minorHAnsi" w:cs="Arial"/>
          <w:szCs w:val="20"/>
        </w:rPr>
      </w:pPr>
      <w:r w:rsidRPr="00D920C9">
        <w:rPr>
          <w:rFonts w:asciiTheme="minorHAnsi" w:hAnsiTheme="minorHAnsi" w:cs="Arial"/>
          <w:szCs w:val="20"/>
        </w:rPr>
        <w:t>Original: English</w:t>
      </w:r>
    </w:p>
    <w:p w14:paraId="3D56298D" w14:textId="77777777" w:rsidR="003357D2" w:rsidRPr="00D920C9" w:rsidRDefault="003357D2" w:rsidP="0040052F">
      <w:pPr>
        <w:suppressAutoHyphens/>
        <w:spacing w:after="0" w:line="240" w:lineRule="auto"/>
        <w:jc w:val="center"/>
        <w:rPr>
          <w:rFonts w:asciiTheme="minorHAnsi" w:hAnsiTheme="minorHAnsi"/>
          <w:b/>
          <w:spacing w:val="-3"/>
        </w:rPr>
      </w:pPr>
    </w:p>
    <w:p w14:paraId="2D84D2E0" w14:textId="77777777" w:rsidR="003357D2" w:rsidRPr="00D920C9" w:rsidRDefault="003357D2" w:rsidP="0040052F">
      <w:pPr>
        <w:suppressAutoHyphens/>
        <w:spacing w:after="0" w:line="240" w:lineRule="auto"/>
        <w:jc w:val="center"/>
        <w:rPr>
          <w:rFonts w:asciiTheme="minorHAnsi" w:hAnsiTheme="minorHAnsi"/>
          <w:b/>
          <w:spacing w:val="-3"/>
        </w:rPr>
      </w:pPr>
    </w:p>
    <w:p w14:paraId="5B9AAE3F" w14:textId="77777777" w:rsidR="003357D2" w:rsidRPr="00D920C9" w:rsidRDefault="003357D2" w:rsidP="0040052F">
      <w:pPr>
        <w:suppressAutoHyphens/>
        <w:spacing w:after="0" w:line="240" w:lineRule="auto"/>
        <w:jc w:val="center"/>
        <w:rPr>
          <w:rFonts w:asciiTheme="minorHAnsi" w:hAnsiTheme="minorHAnsi"/>
          <w:b/>
          <w:spacing w:val="-3"/>
        </w:rPr>
      </w:pPr>
    </w:p>
    <w:p w14:paraId="581B7CAE" w14:textId="77777777" w:rsidR="00210DB3" w:rsidRPr="00D920C9" w:rsidRDefault="00210DB3" w:rsidP="0040052F">
      <w:pPr>
        <w:suppressAutoHyphens/>
        <w:spacing w:after="0" w:line="240" w:lineRule="auto"/>
        <w:jc w:val="center"/>
        <w:rPr>
          <w:rFonts w:asciiTheme="minorHAnsi" w:hAnsiTheme="minorHAnsi"/>
          <w:b/>
          <w:spacing w:val="-3"/>
        </w:rPr>
      </w:pPr>
    </w:p>
    <w:p w14:paraId="318AF83A" w14:textId="77777777" w:rsidR="00ED6831" w:rsidRPr="00D920C9" w:rsidRDefault="00ED6831" w:rsidP="0040052F">
      <w:pPr>
        <w:suppressAutoHyphens/>
        <w:spacing w:after="0" w:line="240" w:lineRule="auto"/>
        <w:jc w:val="center"/>
        <w:rPr>
          <w:rFonts w:asciiTheme="minorHAnsi" w:hAnsiTheme="minorHAnsi"/>
          <w:b/>
          <w:spacing w:val="-3"/>
        </w:rPr>
      </w:pPr>
    </w:p>
    <w:p w14:paraId="14349C41" w14:textId="77777777" w:rsidR="00ED6831" w:rsidRPr="00D920C9" w:rsidRDefault="00ED6831" w:rsidP="0040052F">
      <w:pPr>
        <w:suppressAutoHyphens/>
        <w:spacing w:after="0" w:line="240" w:lineRule="auto"/>
        <w:jc w:val="center"/>
        <w:rPr>
          <w:rFonts w:asciiTheme="minorHAnsi" w:hAnsiTheme="minorHAnsi"/>
          <w:b/>
          <w:spacing w:val="-3"/>
        </w:rPr>
      </w:pPr>
    </w:p>
    <w:p w14:paraId="2F053052" w14:textId="77777777" w:rsidR="007B4695" w:rsidRPr="00D920C9" w:rsidRDefault="007B4695" w:rsidP="0040052F">
      <w:pPr>
        <w:suppressAutoHyphens/>
        <w:spacing w:after="0" w:line="240" w:lineRule="auto"/>
        <w:jc w:val="center"/>
        <w:rPr>
          <w:rFonts w:asciiTheme="minorHAnsi" w:hAnsiTheme="minorHAnsi"/>
          <w:color w:val="808080" w:themeColor="background1" w:themeShade="80"/>
          <w:spacing w:val="-3"/>
          <w:sz w:val="24"/>
          <w:szCs w:val="24"/>
        </w:rPr>
      </w:pPr>
      <w:r w:rsidRPr="00D920C9">
        <w:rPr>
          <w:rFonts w:asciiTheme="minorHAnsi" w:hAnsiTheme="minorHAnsi"/>
          <w:color w:val="808080" w:themeColor="background1" w:themeShade="80"/>
          <w:spacing w:val="-3"/>
          <w:sz w:val="24"/>
          <w:szCs w:val="24"/>
        </w:rPr>
        <w:t>INTER-AMERICAN COMMISSION ON HUMAN RIGHTS</w:t>
      </w:r>
    </w:p>
    <w:p w14:paraId="3AB6DECB" w14:textId="77777777" w:rsidR="007B4695" w:rsidRPr="00D920C9" w:rsidRDefault="0030356C" w:rsidP="0040052F">
      <w:pPr>
        <w:suppressAutoHyphens/>
        <w:spacing w:after="0" w:line="240" w:lineRule="auto"/>
        <w:jc w:val="center"/>
        <w:rPr>
          <w:rFonts w:asciiTheme="minorHAnsi" w:hAnsiTheme="minorHAnsi"/>
          <w:spacing w:val="-3"/>
          <w:sz w:val="52"/>
          <w:szCs w:val="52"/>
        </w:rPr>
      </w:pPr>
      <w:r w:rsidRPr="00D920C9">
        <w:rPr>
          <w:rFonts w:asciiTheme="minorHAnsi" w:hAnsiTheme="minorHAnsi"/>
          <w:spacing w:val="-3"/>
          <w:sz w:val="52"/>
          <w:szCs w:val="52"/>
        </w:rPr>
        <w:t xml:space="preserve">African </w:t>
      </w:r>
      <w:r w:rsidR="00591E77" w:rsidRPr="00D920C9">
        <w:rPr>
          <w:rFonts w:asciiTheme="minorHAnsi" w:hAnsiTheme="minorHAnsi"/>
          <w:spacing w:val="-3"/>
          <w:sz w:val="52"/>
          <w:szCs w:val="52"/>
        </w:rPr>
        <w:t xml:space="preserve">Americans, </w:t>
      </w:r>
      <w:r w:rsidR="00ED6831" w:rsidRPr="00D920C9">
        <w:rPr>
          <w:rFonts w:asciiTheme="minorHAnsi" w:hAnsiTheme="minorHAnsi"/>
          <w:spacing w:val="-3"/>
          <w:sz w:val="52"/>
          <w:szCs w:val="52"/>
        </w:rPr>
        <w:t xml:space="preserve">Police Use </w:t>
      </w:r>
      <w:r w:rsidR="0057544E" w:rsidRPr="00D920C9">
        <w:rPr>
          <w:rFonts w:asciiTheme="minorHAnsi" w:hAnsiTheme="minorHAnsi"/>
          <w:spacing w:val="-3"/>
          <w:sz w:val="52"/>
          <w:szCs w:val="52"/>
        </w:rPr>
        <w:t xml:space="preserve">of </w:t>
      </w:r>
      <w:r w:rsidR="00ED6831" w:rsidRPr="00D920C9">
        <w:rPr>
          <w:rFonts w:asciiTheme="minorHAnsi" w:hAnsiTheme="minorHAnsi"/>
          <w:spacing w:val="-3"/>
          <w:sz w:val="52"/>
          <w:szCs w:val="52"/>
        </w:rPr>
        <w:t>Force</w:t>
      </w:r>
      <w:r w:rsidR="00591E77" w:rsidRPr="00D920C9">
        <w:rPr>
          <w:rFonts w:asciiTheme="minorHAnsi" w:hAnsiTheme="minorHAnsi"/>
          <w:spacing w:val="-3"/>
          <w:sz w:val="52"/>
          <w:szCs w:val="52"/>
        </w:rPr>
        <w:t xml:space="preserve">, and </w:t>
      </w:r>
      <w:r w:rsidR="00ED6831" w:rsidRPr="00D920C9">
        <w:rPr>
          <w:rFonts w:asciiTheme="minorHAnsi" w:hAnsiTheme="minorHAnsi"/>
          <w:spacing w:val="-3"/>
          <w:sz w:val="52"/>
          <w:szCs w:val="52"/>
        </w:rPr>
        <w:t xml:space="preserve">Human Rights </w:t>
      </w:r>
      <w:r w:rsidR="00591E77" w:rsidRPr="00D920C9">
        <w:rPr>
          <w:rFonts w:asciiTheme="minorHAnsi" w:hAnsiTheme="minorHAnsi"/>
          <w:spacing w:val="-3"/>
          <w:sz w:val="52"/>
          <w:szCs w:val="52"/>
        </w:rPr>
        <w:t xml:space="preserve">in the United States </w:t>
      </w:r>
    </w:p>
    <w:p w14:paraId="148DF52E" w14:textId="77777777" w:rsidR="007B4695" w:rsidRPr="00D920C9" w:rsidRDefault="007B4695" w:rsidP="0040052F">
      <w:pPr>
        <w:suppressAutoHyphens/>
        <w:spacing w:after="0" w:line="240" w:lineRule="auto"/>
        <w:jc w:val="center"/>
        <w:rPr>
          <w:rFonts w:asciiTheme="minorHAnsi" w:hAnsiTheme="minorHAnsi"/>
          <w:spacing w:val="-3"/>
        </w:rPr>
      </w:pPr>
    </w:p>
    <w:p w14:paraId="25039A9D" w14:textId="77777777" w:rsidR="003713DF" w:rsidRPr="00D920C9" w:rsidRDefault="003713DF" w:rsidP="0040052F">
      <w:pPr>
        <w:suppressAutoHyphens/>
        <w:spacing w:after="0" w:line="240" w:lineRule="auto"/>
        <w:jc w:val="center"/>
        <w:rPr>
          <w:rFonts w:asciiTheme="minorHAnsi" w:hAnsiTheme="minorHAnsi"/>
          <w:spacing w:val="-3"/>
        </w:rPr>
      </w:pPr>
    </w:p>
    <w:p w14:paraId="164F35A8" w14:textId="77777777" w:rsidR="003357D2" w:rsidRPr="00D920C9" w:rsidRDefault="003357D2" w:rsidP="0040052F">
      <w:pPr>
        <w:suppressAutoHyphens/>
        <w:spacing w:after="0" w:line="240" w:lineRule="auto"/>
        <w:jc w:val="center"/>
        <w:rPr>
          <w:rFonts w:asciiTheme="minorHAnsi" w:hAnsiTheme="minorHAnsi"/>
          <w:spacing w:val="-3"/>
        </w:rPr>
      </w:pPr>
    </w:p>
    <w:p w14:paraId="77CA1F7B" w14:textId="77777777" w:rsidR="003357D2" w:rsidRPr="00D920C9" w:rsidRDefault="003357D2" w:rsidP="0040052F">
      <w:pPr>
        <w:suppressAutoHyphens/>
        <w:spacing w:after="0" w:line="240" w:lineRule="auto"/>
        <w:jc w:val="center"/>
        <w:rPr>
          <w:rFonts w:asciiTheme="minorHAnsi" w:hAnsiTheme="minorHAnsi"/>
          <w:spacing w:val="-3"/>
        </w:rPr>
      </w:pPr>
    </w:p>
    <w:p w14:paraId="2026AD64" w14:textId="77777777" w:rsidR="003357D2" w:rsidRPr="00D920C9" w:rsidRDefault="003357D2" w:rsidP="0040052F">
      <w:pPr>
        <w:suppressAutoHyphens/>
        <w:spacing w:after="0" w:line="240" w:lineRule="auto"/>
        <w:jc w:val="center"/>
        <w:rPr>
          <w:rFonts w:asciiTheme="minorHAnsi" w:hAnsiTheme="minorHAnsi"/>
          <w:spacing w:val="-3"/>
        </w:rPr>
      </w:pPr>
    </w:p>
    <w:p w14:paraId="06D6AAFA" w14:textId="77777777" w:rsidR="003357D2" w:rsidRPr="00D920C9" w:rsidRDefault="003357D2" w:rsidP="0040052F">
      <w:pPr>
        <w:suppressAutoHyphens/>
        <w:spacing w:after="0" w:line="240" w:lineRule="auto"/>
        <w:jc w:val="center"/>
        <w:rPr>
          <w:rFonts w:asciiTheme="minorHAnsi" w:hAnsiTheme="minorHAnsi"/>
          <w:spacing w:val="-3"/>
        </w:rPr>
      </w:pPr>
    </w:p>
    <w:p w14:paraId="7469DD88" w14:textId="77777777" w:rsidR="003357D2" w:rsidRPr="00D920C9" w:rsidRDefault="003357D2" w:rsidP="0040052F">
      <w:pPr>
        <w:suppressAutoHyphens/>
        <w:spacing w:after="0" w:line="240" w:lineRule="auto"/>
        <w:jc w:val="center"/>
        <w:rPr>
          <w:rFonts w:asciiTheme="minorHAnsi" w:hAnsiTheme="minorHAnsi"/>
          <w:spacing w:val="-3"/>
        </w:rPr>
      </w:pPr>
    </w:p>
    <w:p w14:paraId="1C64AAC3" w14:textId="77777777" w:rsidR="003357D2" w:rsidRPr="00D920C9" w:rsidRDefault="003357D2" w:rsidP="0040052F">
      <w:pPr>
        <w:suppressAutoHyphens/>
        <w:spacing w:after="0" w:line="240" w:lineRule="auto"/>
        <w:jc w:val="center"/>
        <w:rPr>
          <w:rFonts w:asciiTheme="minorHAnsi" w:hAnsiTheme="minorHAnsi"/>
          <w:spacing w:val="-3"/>
        </w:rPr>
      </w:pPr>
    </w:p>
    <w:p w14:paraId="5CF7B429" w14:textId="77777777" w:rsidR="003357D2" w:rsidRPr="00D920C9" w:rsidRDefault="003357D2" w:rsidP="0040052F">
      <w:pPr>
        <w:suppressAutoHyphens/>
        <w:spacing w:after="0" w:line="240" w:lineRule="auto"/>
        <w:jc w:val="center"/>
        <w:rPr>
          <w:rFonts w:asciiTheme="minorHAnsi" w:hAnsiTheme="minorHAnsi"/>
          <w:spacing w:val="-3"/>
        </w:rPr>
      </w:pPr>
    </w:p>
    <w:p w14:paraId="25C76103" w14:textId="77777777" w:rsidR="003713DF" w:rsidRPr="00D920C9" w:rsidRDefault="003713DF" w:rsidP="0040052F">
      <w:pPr>
        <w:suppressAutoHyphens/>
        <w:spacing w:after="0" w:line="240" w:lineRule="auto"/>
        <w:jc w:val="center"/>
        <w:rPr>
          <w:rFonts w:asciiTheme="minorHAnsi" w:hAnsiTheme="minorHAnsi"/>
          <w:spacing w:val="-3"/>
        </w:rPr>
      </w:pPr>
    </w:p>
    <w:p w14:paraId="6CE17AF1" w14:textId="77777777" w:rsidR="00D838E3" w:rsidRPr="00D920C9" w:rsidRDefault="00D838E3" w:rsidP="0040052F">
      <w:pPr>
        <w:suppressAutoHyphens/>
        <w:spacing w:after="0" w:line="240" w:lineRule="auto"/>
        <w:jc w:val="center"/>
        <w:rPr>
          <w:rFonts w:asciiTheme="minorHAnsi" w:hAnsiTheme="minorHAnsi"/>
          <w:spacing w:val="-3"/>
        </w:rPr>
      </w:pPr>
    </w:p>
    <w:p w14:paraId="21365B00" w14:textId="77777777" w:rsidR="00D838E3" w:rsidRPr="00D920C9" w:rsidRDefault="00D838E3" w:rsidP="0040052F">
      <w:pPr>
        <w:suppressAutoHyphens/>
        <w:spacing w:after="0" w:line="240" w:lineRule="auto"/>
        <w:jc w:val="center"/>
        <w:rPr>
          <w:rFonts w:asciiTheme="minorHAnsi" w:hAnsiTheme="minorHAnsi"/>
          <w:spacing w:val="-3"/>
        </w:rPr>
      </w:pPr>
    </w:p>
    <w:p w14:paraId="6F6F3E73" w14:textId="77777777" w:rsidR="00E14895" w:rsidRPr="00D920C9" w:rsidRDefault="00E14895" w:rsidP="0040052F">
      <w:pPr>
        <w:suppressAutoHyphens/>
        <w:spacing w:after="0" w:line="240" w:lineRule="auto"/>
        <w:jc w:val="center"/>
        <w:rPr>
          <w:rFonts w:asciiTheme="minorHAnsi" w:hAnsiTheme="minorHAnsi"/>
          <w:spacing w:val="-3"/>
        </w:rPr>
      </w:pPr>
    </w:p>
    <w:p w14:paraId="19BBAF8D" w14:textId="77777777" w:rsidR="00E14895" w:rsidRPr="00D920C9" w:rsidRDefault="00E14895" w:rsidP="0040052F">
      <w:pPr>
        <w:suppressAutoHyphens/>
        <w:spacing w:after="0" w:line="240" w:lineRule="auto"/>
        <w:jc w:val="center"/>
        <w:rPr>
          <w:rFonts w:asciiTheme="minorHAnsi" w:hAnsiTheme="minorHAnsi"/>
          <w:spacing w:val="-3"/>
        </w:rPr>
      </w:pPr>
    </w:p>
    <w:p w14:paraId="504A6BBE" w14:textId="77777777" w:rsidR="00E14895" w:rsidRPr="00D920C9" w:rsidRDefault="00E14895" w:rsidP="0040052F">
      <w:pPr>
        <w:suppressAutoHyphens/>
        <w:spacing w:after="0" w:line="240" w:lineRule="auto"/>
        <w:jc w:val="center"/>
        <w:rPr>
          <w:rFonts w:asciiTheme="minorHAnsi" w:hAnsiTheme="minorHAnsi"/>
          <w:spacing w:val="-3"/>
        </w:rPr>
      </w:pPr>
    </w:p>
    <w:p w14:paraId="521448B7" w14:textId="77777777" w:rsidR="00E14895" w:rsidRPr="00D920C9" w:rsidRDefault="00E14895" w:rsidP="0040052F">
      <w:pPr>
        <w:suppressAutoHyphens/>
        <w:spacing w:after="0" w:line="240" w:lineRule="auto"/>
        <w:jc w:val="center"/>
        <w:rPr>
          <w:rFonts w:asciiTheme="minorHAnsi" w:hAnsiTheme="minorHAnsi"/>
          <w:spacing w:val="-3"/>
        </w:rPr>
      </w:pPr>
    </w:p>
    <w:p w14:paraId="6F367583" w14:textId="77777777" w:rsidR="00E14895" w:rsidRPr="00D920C9" w:rsidRDefault="00E14895" w:rsidP="0040052F">
      <w:pPr>
        <w:suppressAutoHyphens/>
        <w:spacing w:after="0" w:line="240" w:lineRule="auto"/>
        <w:jc w:val="center"/>
        <w:rPr>
          <w:rFonts w:asciiTheme="minorHAnsi" w:hAnsiTheme="minorHAnsi"/>
          <w:spacing w:val="-3"/>
        </w:rPr>
      </w:pPr>
    </w:p>
    <w:p w14:paraId="0AA186AC" w14:textId="77777777" w:rsidR="00E14895" w:rsidRPr="00D920C9" w:rsidRDefault="00E14895" w:rsidP="0040052F">
      <w:pPr>
        <w:suppressAutoHyphens/>
        <w:spacing w:after="0" w:line="240" w:lineRule="auto"/>
        <w:jc w:val="center"/>
        <w:rPr>
          <w:rFonts w:asciiTheme="minorHAnsi" w:hAnsiTheme="minorHAnsi"/>
          <w:spacing w:val="-3"/>
        </w:rPr>
      </w:pPr>
    </w:p>
    <w:p w14:paraId="6FEBC988" w14:textId="380BB5EC" w:rsidR="00ED6831" w:rsidRPr="00D920C9" w:rsidRDefault="00A40692" w:rsidP="0040052F">
      <w:pPr>
        <w:suppressAutoHyphens/>
        <w:spacing w:after="0" w:line="240" w:lineRule="auto"/>
        <w:jc w:val="center"/>
        <w:rPr>
          <w:rFonts w:asciiTheme="minorHAnsi" w:hAnsiTheme="minorHAnsi"/>
          <w:spacing w:val="-3"/>
          <w:szCs w:val="20"/>
        </w:rPr>
      </w:pPr>
      <w:r w:rsidRPr="00D920C9">
        <w:rPr>
          <w:rFonts w:asciiTheme="minorHAnsi" w:hAnsiTheme="minorHAnsi"/>
          <w:spacing w:val="-3"/>
          <w:szCs w:val="20"/>
        </w:rPr>
        <w:t>201</w:t>
      </w:r>
      <w:r w:rsidR="00F51BB6" w:rsidRPr="00D920C9">
        <w:rPr>
          <w:rFonts w:asciiTheme="minorHAnsi" w:hAnsiTheme="minorHAnsi"/>
          <w:spacing w:val="-3"/>
          <w:szCs w:val="20"/>
        </w:rPr>
        <w:t>8</w:t>
      </w:r>
    </w:p>
    <w:p w14:paraId="79B0DF24" w14:textId="77777777" w:rsidR="001E4747" w:rsidRPr="00D920C9" w:rsidRDefault="00E14895" w:rsidP="00E14895">
      <w:pPr>
        <w:suppressAutoHyphens/>
        <w:spacing w:after="0" w:line="240" w:lineRule="auto"/>
        <w:jc w:val="center"/>
        <w:rPr>
          <w:rFonts w:asciiTheme="minorHAnsi" w:hAnsiTheme="minorHAnsi"/>
          <w:spacing w:val="-3"/>
          <w:szCs w:val="20"/>
        </w:rPr>
        <w:sectPr w:rsidR="001E4747" w:rsidRPr="00D920C9" w:rsidSect="001E4747">
          <w:type w:val="continuous"/>
          <w:pgSz w:w="10325" w:h="14573" w:code="13"/>
          <w:pgMar w:top="1152" w:right="1152" w:bottom="1152" w:left="1296" w:header="720" w:footer="720" w:gutter="0"/>
          <w:cols w:space="708"/>
          <w:docGrid w:linePitch="360"/>
        </w:sectPr>
      </w:pPr>
      <w:r w:rsidRPr="00D920C9">
        <w:rPr>
          <w:rFonts w:asciiTheme="minorHAnsi" w:hAnsiTheme="minorHAnsi"/>
          <w:spacing w:val="-3"/>
          <w:szCs w:val="20"/>
        </w:rPr>
        <w:t>iachr.org</w:t>
      </w:r>
    </w:p>
    <w:tbl>
      <w:tblPr>
        <w:tblpPr w:leftFromText="180" w:rightFromText="180" w:vertAnchor="text" w:horzAnchor="margin" w:tblpXSpec="center" w:tblpY="1"/>
        <w:tblW w:w="0" w:type="auto"/>
        <w:shd w:val="clear" w:color="auto" w:fill="F2F2F2"/>
        <w:tblLook w:val="01E0" w:firstRow="1" w:lastRow="1" w:firstColumn="1" w:lastColumn="1" w:noHBand="0" w:noVBand="0"/>
      </w:tblPr>
      <w:tblGrid>
        <w:gridCol w:w="6966"/>
      </w:tblGrid>
      <w:tr w:rsidR="00D920C9" w:rsidRPr="00D920C9" w14:paraId="1555E094" w14:textId="77777777" w:rsidTr="00A0401B">
        <w:tc>
          <w:tcPr>
            <w:tcW w:w="6966" w:type="dxa"/>
            <w:shd w:val="clear" w:color="auto" w:fill="F2F2F2"/>
          </w:tcPr>
          <w:p w14:paraId="52B2A7CA" w14:textId="77777777" w:rsidR="00D920C9" w:rsidRPr="00D920C9" w:rsidRDefault="00D920C9" w:rsidP="00A0401B">
            <w:pPr>
              <w:tabs>
                <w:tab w:val="left" w:pos="360"/>
              </w:tabs>
              <w:rPr>
                <w:rFonts w:asciiTheme="minorHAnsi" w:hAnsiTheme="minorHAnsi"/>
                <w:sz w:val="18"/>
                <w:szCs w:val="18"/>
              </w:rPr>
            </w:pPr>
          </w:p>
          <w:p w14:paraId="2ADBC4D4" w14:textId="77777777" w:rsidR="00D920C9" w:rsidRPr="00D920C9" w:rsidRDefault="00D920C9" w:rsidP="00A0401B">
            <w:pPr>
              <w:tabs>
                <w:tab w:val="left" w:pos="360"/>
              </w:tabs>
              <w:jc w:val="center"/>
              <w:rPr>
                <w:rFonts w:asciiTheme="minorHAnsi" w:hAnsiTheme="minorHAnsi"/>
                <w:b/>
                <w:sz w:val="18"/>
                <w:szCs w:val="18"/>
              </w:rPr>
            </w:pPr>
            <w:r w:rsidRPr="00D920C9">
              <w:rPr>
                <w:rFonts w:asciiTheme="minorHAnsi" w:hAnsiTheme="minorHAnsi"/>
                <w:b/>
                <w:sz w:val="18"/>
                <w:szCs w:val="18"/>
              </w:rPr>
              <w:t>OAS Cataloging-in-Publication Data</w:t>
            </w:r>
          </w:p>
          <w:p w14:paraId="60AC12AC" w14:textId="77777777" w:rsidR="005C2394" w:rsidRPr="005C2394" w:rsidRDefault="005C2394" w:rsidP="005C2394">
            <w:pPr>
              <w:tabs>
                <w:tab w:val="left" w:pos="360"/>
              </w:tabs>
              <w:spacing w:line="360" w:lineRule="auto"/>
              <w:ind w:left="288" w:right="288"/>
              <w:jc w:val="both"/>
              <w:rPr>
                <w:rFonts w:asciiTheme="minorHAnsi" w:hAnsiTheme="minorHAnsi"/>
                <w:sz w:val="18"/>
                <w:szCs w:val="18"/>
              </w:rPr>
            </w:pPr>
            <w:r w:rsidRPr="005C2394">
              <w:rPr>
                <w:rFonts w:asciiTheme="minorHAnsi" w:hAnsiTheme="minorHAnsi"/>
                <w:sz w:val="18"/>
                <w:szCs w:val="18"/>
              </w:rPr>
              <w:t>Inter-American Commission on Human Rights.</w:t>
            </w:r>
          </w:p>
          <w:p w14:paraId="44553A6F" w14:textId="53C0B454" w:rsidR="005C2394" w:rsidRPr="005C2394" w:rsidRDefault="0004388D" w:rsidP="005C2394">
            <w:pPr>
              <w:tabs>
                <w:tab w:val="left" w:pos="360"/>
              </w:tabs>
              <w:spacing w:line="360" w:lineRule="auto"/>
              <w:ind w:left="288" w:right="288"/>
              <w:jc w:val="both"/>
              <w:rPr>
                <w:rFonts w:asciiTheme="minorHAnsi" w:hAnsiTheme="minorHAnsi"/>
                <w:sz w:val="18"/>
                <w:szCs w:val="18"/>
              </w:rPr>
            </w:pPr>
            <w:r>
              <w:rPr>
                <w:rFonts w:asciiTheme="minorHAnsi" w:hAnsiTheme="minorHAnsi"/>
                <w:sz w:val="18"/>
                <w:szCs w:val="18"/>
              </w:rPr>
              <w:t xml:space="preserve">         </w:t>
            </w:r>
            <w:r w:rsidR="005C2394" w:rsidRPr="005C2394">
              <w:rPr>
                <w:rFonts w:asciiTheme="minorHAnsi" w:hAnsiTheme="minorHAnsi"/>
                <w:sz w:val="18"/>
                <w:szCs w:val="18"/>
              </w:rPr>
              <w:t xml:space="preserve">African Americans, police use of force, and human rights in the United </w:t>
            </w:r>
            <w:proofErr w:type="gramStart"/>
            <w:r w:rsidR="005C2394" w:rsidRPr="005C2394">
              <w:rPr>
                <w:rFonts w:asciiTheme="minorHAnsi" w:hAnsiTheme="minorHAnsi"/>
                <w:sz w:val="18"/>
                <w:szCs w:val="18"/>
              </w:rPr>
              <w:t>States :</w:t>
            </w:r>
            <w:proofErr w:type="gramEnd"/>
            <w:r w:rsidR="005C2394" w:rsidRPr="005C2394">
              <w:rPr>
                <w:rFonts w:asciiTheme="minorHAnsi" w:hAnsiTheme="minorHAnsi"/>
                <w:sz w:val="18"/>
                <w:szCs w:val="18"/>
              </w:rPr>
              <w:t xml:space="preserve"> Approved by the Inter-American Commissio</w:t>
            </w:r>
            <w:r w:rsidR="005C2394">
              <w:rPr>
                <w:rFonts w:asciiTheme="minorHAnsi" w:hAnsiTheme="minorHAnsi"/>
                <w:sz w:val="18"/>
                <w:szCs w:val="18"/>
              </w:rPr>
              <w:t xml:space="preserve">n on Human Rights on November </w:t>
            </w:r>
            <w:r w:rsidR="003D7958">
              <w:rPr>
                <w:rFonts w:asciiTheme="minorHAnsi" w:hAnsiTheme="minorHAnsi"/>
                <w:sz w:val="18"/>
                <w:szCs w:val="18"/>
              </w:rPr>
              <w:t>26</w:t>
            </w:r>
            <w:r w:rsidR="005C2394" w:rsidRPr="005C2394">
              <w:rPr>
                <w:rFonts w:asciiTheme="minorHAnsi" w:hAnsiTheme="minorHAnsi"/>
                <w:sz w:val="18"/>
                <w:szCs w:val="18"/>
              </w:rPr>
              <w:t>, 2018.</w:t>
            </w:r>
          </w:p>
          <w:p w14:paraId="2D01FD89" w14:textId="796EFE51" w:rsidR="005C2394" w:rsidRPr="005C2394" w:rsidRDefault="005C2394" w:rsidP="005C2394">
            <w:pPr>
              <w:tabs>
                <w:tab w:val="left" w:pos="360"/>
              </w:tabs>
              <w:spacing w:line="360" w:lineRule="auto"/>
              <w:ind w:left="288" w:right="288"/>
              <w:jc w:val="both"/>
              <w:rPr>
                <w:rFonts w:asciiTheme="minorHAnsi" w:hAnsiTheme="minorHAnsi"/>
                <w:sz w:val="18"/>
                <w:szCs w:val="18"/>
              </w:rPr>
            </w:pPr>
            <w:proofErr w:type="gramStart"/>
            <w:r w:rsidRPr="005C2394">
              <w:rPr>
                <w:rFonts w:asciiTheme="minorHAnsi" w:hAnsiTheme="minorHAnsi"/>
                <w:sz w:val="18"/>
                <w:szCs w:val="18"/>
              </w:rPr>
              <w:t>p. ;</w:t>
            </w:r>
            <w:proofErr w:type="gramEnd"/>
            <w:r w:rsidRPr="005C2394">
              <w:rPr>
                <w:rFonts w:asciiTheme="minorHAnsi" w:hAnsiTheme="minorHAnsi"/>
                <w:sz w:val="18"/>
                <w:szCs w:val="18"/>
              </w:rPr>
              <w:t xml:space="preserve">  cm.  (OAS. Official records ; OEA/</w:t>
            </w:r>
            <w:proofErr w:type="spellStart"/>
            <w:r w:rsidRPr="005C2394">
              <w:rPr>
                <w:rFonts w:asciiTheme="minorHAnsi" w:hAnsiTheme="minorHAnsi"/>
                <w:sz w:val="18"/>
                <w:szCs w:val="18"/>
              </w:rPr>
              <w:t>Ser.L</w:t>
            </w:r>
            <w:proofErr w:type="spellEnd"/>
            <w:r w:rsidRPr="005C2394">
              <w:rPr>
                <w:rFonts w:asciiTheme="minorHAnsi" w:hAnsiTheme="minorHAnsi"/>
                <w:sz w:val="18"/>
                <w:szCs w:val="18"/>
              </w:rPr>
              <w:t>)</w:t>
            </w:r>
          </w:p>
          <w:p w14:paraId="406842D1" w14:textId="77777777" w:rsidR="005C2394" w:rsidRPr="005C2394" w:rsidRDefault="005C2394" w:rsidP="005C2394">
            <w:pPr>
              <w:tabs>
                <w:tab w:val="left" w:pos="360"/>
              </w:tabs>
              <w:spacing w:line="360" w:lineRule="auto"/>
              <w:ind w:left="288" w:right="288"/>
              <w:jc w:val="both"/>
              <w:rPr>
                <w:rFonts w:asciiTheme="minorHAnsi" w:hAnsiTheme="minorHAnsi"/>
                <w:sz w:val="18"/>
                <w:szCs w:val="18"/>
              </w:rPr>
            </w:pPr>
            <w:r w:rsidRPr="005C2394">
              <w:rPr>
                <w:rFonts w:asciiTheme="minorHAnsi" w:hAnsiTheme="minorHAnsi"/>
                <w:sz w:val="18"/>
                <w:szCs w:val="18"/>
              </w:rPr>
              <w:t>ISBN 978-0-8270-6823-0</w:t>
            </w:r>
          </w:p>
          <w:p w14:paraId="7AD821CA" w14:textId="77777777" w:rsidR="005C2394" w:rsidRPr="005C2394" w:rsidRDefault="005C2394" w:rsidP="005C2394">
            <w:pPr>
              <w:tabs>
                <w:tab w:val="left" w:pos="360"/>
              </w:tabs>
              <w:spacing w:line="360" w:lineRule="auto"/>
              <w:ind w:left="288" w:right="288"/>
              <w:jc w:val="both"/>
              <w:rPr>
                <w:rFonts w:asciiTheme="minorHAnsi" w:hAnsiTheme="minorHAnsi"/>
                <w:sz w:val="18"/>
                <w:szCs w:val="18"/>
              </w:rPr>
            </w:pPr>
            <w:r w:rsidRPr="005C2394">
              <w:rPr>
                <w:rFonts w:asciiTheme="minorHAnsi" w:hAnsiTheme="minorHAnsi"/>
                <w:sz w:val="18"/>
                <w:szCs w:val="18"/>
              </w:rPr>
              <w:t>1. Human rights.  2. Police misconduct--United States.  3. Race discrimination--United States.  4. African Americans--Civil rights.  5. Racism--United States.</w:t>
            </w:r>
          </w:p>
          <w:p w14:paraId="509548BB" w14:textId="77777777" w:rsidR="005C2394" w:rsidRPr="005C2394" w:rsidRDefault="005C2394" w:rsidP="005C2394">
            <w:pPr>
              <w:tabs>
                <w:tab w:val="left" w:pos="360"/>
              </w:tabs>
              <w:spacing w:line="360" w:lineRule="auto"/>
              <w:ind w:left="288" w:right="288"/>
              <w:jc w:val="both"/>
              <w:rPr>
                <w:rFonts w:asciiTheme="minorHAnsi" w:hAnsiTheme="minorHAnsi"/>
                <w:sz w:val="18"/>
                <w:szCs w:val="18"/>
              </w:rPr>
            </w:pPr>
            <w:r w:rsidRPr="005C2394">
              <w:rPr>
                <w:rFonts w:asciiTheme="minorHAnsi" w:hAnsiTheme="minorHAnsi"/>
                <w:sz w:val="18"/>
                <w:szCs w:val="18"/>
              </w:rPr>
              <w:t>I. Title.  II. Series.</w:t>
            </w:r>
          </w:p>
          <w:p w14:paraId="2F957FD5" w14:textId="6B76D30C" w:rsidR="00D920C9" w:rsidRPr="00D920C9" w:rsidRDefault="00D920C9" w:rsidP="005C2394">
            <w:pPr>
              <w:tabs>
                <w:tab w:val="left" w:pos="360"/>
              </w:tabs>
              <w:spacing w:line="360" w:lineRule="auto"/>
              <w:ind w:left="288" w:right="288"/>
              <w:jc w:val="right"/>
              <w:rPr>
                <w:rFonts w:asciiTheme="minorHAnsi" w:hAnsiTheme="minorHAnsi"/>
                <w:b/>
                <w:sz w:val="20"/>
              </w:rPr>
            </w:pPr>
            <w:r w:rsidRPr="00D920C9">
              <w:rPr>
                <w:rFonts w:asciiTheme="minorHAnsi" w:hAnsiTheme="minorHAnsi"/>
                <w:sz w:val="18"/>
                <w:szCs w:val="18"/>
              </w:rPr>
              <w:t>OEA/</w:t>
            </w:r>
            <w:proofErr w:type="spellStart"/>
            <w:r w:rsidRPr="00D920C9">
              <w:rPr>
                <w:rFonts w:asciiTheme="minorHAnsi" w:hAnsiTheme="minorHAnsi"/>
                <w:sz w:val="18"/>
                <w:szCs w:val="18"/>
              </w:rPr>
              <w:t>Ser.L</w:t>
            </w:r>
            <w:proofErr w:type="spellEnd"/>
            <w:r w:rsidRPr="00D920C9">
              <w:rPr>
                <w:rFonts w:asciiTheme="minorHAnsi" w:hAnsiTheme="minorHAnsi"/>
                <w:sz w:val="18"/>
                <w:szCs w:val="18"/>
              </w:rPr>
              <w:t>/V/II. Doc.</w:t>
            </w:r>
            <w:r w:rsidR="00BC143C">
              <w:rPr>
                <w:rFonts w:asciiTheme="minorHAnsi" w:hAnsiTheme="minorHAnsi"/>
                <w:sz w:val="18"/>
                <w:szCs w:val="18"/>
              </w:rPr>
              <w:t>156</w:t>
            </w:r>
            <w:r w:rsidRPr="00D920C9">
              <w:rPr>
                <w:rFonts w:asciiTheme="minorHAnsi" w:hAnsiTheme="minorHAnsi"/>
                <w:sz w:val="18"/>
                <w:szCs w:val="18"/>
              </w:rPr>
              <w:t xml:space="preserve">/18                                                   </w:t>
            </w:r>
          </w:p>
        </w:tc>
      </w:tr>
    </w:tbl>
    <w:p w14:paraId="6C7307FE" w14:textId="77777777" w:rsidR="00D920C9" w:rsidRPr="00D920C9" w:rsidRDefault="00D920C9" w:rsidP="00E14895">
      <w:pPr>
        <w:suppressAutoHyphens/>
        <w:spacing w:after="0" w:line="240" w:lineRule="auto"/>
        <w:jc w:val="center"/>
        <w:rPr>
          <w:rFonts w:asciiTheme="minorHAnsi" w:hAnsiTheme="minorHAnsi"/>
          <w:spacing w:val="-3"/>
          <w:sz w:val="20"/>
          <w:szCs w:val="20"/>
        </w:rPr>
        <w:sectPr w:rsidR="00D920C9" w:rsidRPr="00D920C9" w:rsidSect="001E4747">
          <w:pgSz w:w="10080" w:h="14400" w:code="13"/>
          <w:pgMar w:top="1152" w:right="1152" w:bottom="1152" w:left="1296" w:header="720" w:footer="720" w:gutter="0"/>
          <w:cols w:space="708"/>
          <w:vAlign w:val="center"/>
          <w:docGrid w:linePitch="360"/>
        </w:sectPr>
      </w:pPr>
    </w:p>
    <w:p w14:paraId="0BCB20C3" w14:textId="77777777" w:rsidR="00D920C9" w:rsidRPr="00D920C9" w:rsidRDefault="00D920C9" w:rsidP="00D920C9">
      <w:pPr>
        <w:spacing w:before="960" w:after="640"/>
        <w:jc w:val="center"/>
        <w:rPr>
          <w:rFonts w:asciiTheme="minorHAnsi" w:hAnsiTheme="minorHAnsi"/>
          <w:b/>
          <w:sz w:val="28"/>
          <w:szCs w:val="28"/>
        </w:rPr>
      </w:pPr>
      <w:r w:rsidRPr="00D920C9">
        <w:rPr>
          <w:rFonts w:asciiTheme="minorHAnsi" w:hAnsiTheme="minorHAnsi"/>
          <w:b/>
          <w:sz w:val="28"/>
          <w:szCs w:val="28"/>
        </w:rPr>
        <w:lastRenderedPageBreak/>
        <w:t>INTER-AMERICAN COMMISSION ON HUMAN RIGHTS</w:t>
      </w:r>
    </w:p>
    <w:p w14:paraId="0AB49EE7" w14:textId="77777777" w:rsidR="00D920C9" w:rsidRPr="00D920C9" w:rsidRDefault="00D920C9" w:rsidP="00D920C9">
      <w:pPr>
        <w:pBdr>
          <w:bottom w:val="single" w:sz="4" w:space="1" w:color="auto"/>
        </w:pBdr>
        <w:spacing w:after="240"/>
        <w:rPr>
          <w:rFonts w:asciiTheme="minorHAnsi" w:hAnsiTheme="minorHAnsi"/>
          <w:color w:val="4A442A" w:themeColor="background2" w:themeShade="40"/>
          <w:sz w:val="28"/>
          <w:szCs w:val="28"/>
          <w:lang w:val="es-US"/>
        </w:rPr>
      </w:pPr>
      <w:proofErr w:type="spellStart"/>
      <w:r w:rsidRPr="00D920C9">
        <w:rPr>
          <w:rFonts w:asciiTheme="minorHAnsi" w:hAnsiTheme="minorHAnsi"/>
          <w:color w:val="4A442A" w:themeColor="background2" w:themeShade="40"/>
          <w:sz w:val="28"/>
          <w:szCs w:val="28"/>
          <w:lang w:val="es-US"/>
        </w:rPr>
        <w:t>Members</w:t>
      </w:r>
      <w:proofErr w:type="spellEnd"/>
    </w:p>
    <w:p w14:paraId="4E40B106" w14:textId="77777777" w:rsidR="00D920C9" w:rsidRPr="009639C5" w:rsidRDefault="00D920C9" w:rsidP="00D920C9">
      <w:pPr>
        <w:spacing w:after="0" w:line="240" w:lineRule="auto"/>
        <w:rPr>
          <w:rFonts w:asciiTheme="minorHAnsi" w:hAnsiTheme="minorHAnsi"/>
          <w:sz w:val="24"/>
          <w:lang w:val="es-US"/>
        </w:rPr>
      </w:pPr>
      <w:r w:rsidRPr="009639C5">
        <w:rPr>
          <w:rFonts w:asciiTheme="minorHAnsi" w:hAnsiTheme="minorHAnsi"/>
          <w:sz w:val="24"/>
          <w:lang w:val="es-US"/>
        </w:rPr>
        <w:t xml:space="preserve">Margarette </w:t>
      </w:r>
      <w:proofErr w:type="spellStart"/>
      <w:r w:rsidRPr="009639C5">
        <w:rPr>
          <w:rFonts w:asciiTheme="minorHAnsi" w:hAnsiTheme="minorHAnsi"/>
          <w:sz w:val="24"/>
          <w:lang w:val="es-US"/>
        </w:rPr>
        <w:t>May</w:t>
      </w:r>
      <w:proofErr w:type="spellEnd"/>
      <w:r w:rsidRPr="009639C5">
        <w:rPr>
          <w:rFonts w:asciiTheme="minorHAnsi" w:hAnsiTheme="minorHAnsi"/>
          <w:sz w:val="24"/>
          <w:lang w:val="es-US"/>
        </w:rPr>
        <w:t xml:space="preserve"> Macaulay </w:t>
      </w:r>
    </w:p>
    <w:p w14:paraId="22D41A5C" w14:textId="77777777" w:rsidR="00D920C9" w:rsidRPr="009639C5" w:rsidRDefault="00D920C9" w:rsidP="00D920C9">
      <w:pPr>
        <w:spacing w:after="0" w:line="240" w:lineRule="auto"/>
        <w:rPr>
          <w:rFonts w:asciiTheme="minorHAnsi" w:hAnsiTheme="minorHAnsi"/>
          <w:sz w:val="24"/>
          <w:lang w:val="es-US"/>
        </w:rPr>
      </w:pPr>
    </w:p>
    <w:p w14:paraId="3E03F378" w14:textId="77777777" w:rsidR="00D920C9" w:rsidRPr="009639C5" w:rsidRDefault="00D920C9" w:rsidP="00D920C9">
      <w:pPr>
        <w:spacing w:after="0" w:line="240" w:lineRule="auto"/>
        <w:rPr>
          <w:rFonts w:asciiTheme="minorHAnsi" w:hAnsiTheme="minorHAnsi"/>
          <w:sz w:val="24"/>
          <w:lang w:val="es-US"/>
        </w:rPr>
      </w:pPr>
      <w:r w:rsidRPr="009639C5">
        <w:rPr>
          <w:rFonts w:asciiTheme="minorHAnsi" w:hAnsiTheme="minorHAnsi"/>
          <w:sz w:val="24"/>
          <w:lang w:val="es-US"/>
        </w:rPr>
        <w:t xml:space="preserve">Esmeralda Arosemena de </w:t>
      </w:r>
      <w:proofErr w:type="spellStart"/>
      <w:r w:rsidRPr="009639C5">
        <w:rPr>
          <w:rFonts w:asciiTheme="minorHAnsi" w:hAnsiTheme="minorHAnsi"/>
          <w:sz w:val="24"/>
          <w:lang w:val="es-US"/>
        </w:rPr>
        <w:t>Troitiño</w:t>
      </w:r>
      <w:proofErr w:type="spellEnd"/>
    </w:p>
    <w:p w14:paraId="38A01757" w14:textId="77777777" w:rsidR="00D920C9" w:rsidRPr="009639C5" w:rsidRDefault="00D920C9" w:rsidP="00D920C9">
      <w:pPr>
        <w:spacing w:after="0" w:line="240" w:lineRule="auto"/>
        <w:rPr>
          <w:rFonts w:asciiTheme="minorHAnsi" w:hAnsiTheme="minorHAnsi"/>
          <w:sz w:val="24"/>
          <w:lang w:val="es-US"/>
        </w:rPr>
      </w:pPr>
    </w:p>
    <w:p w14:paraId="70AC28CA" w14:textId="77777777" w:rsidR="00D920C9" w:rsidRPr="009639C5" w:rsidRDefault="00D920C9" w:rsidP="00D920C9">
      <w:pPr>
        <w:spacing w:after="0" w:line="240" w:lineRule="auto"/>
        <w:rPr>
          <w:rFonts w:asciiTheme="minorHAnsi" w:hAnsiTheme="minorHAnsi"/>
          <w:sz w:val="24"/>
          <w:lang w:val="es-US"/>
        </w:rPr>
      </w:pPr>
      <w:r w:rsidRPr="009639C5">
        <w:rPr>
          <w:rFonts w:asciiTheme="minorHAnsi" w:hAnsiTheme="minorHAnsi"/>
          <w:sz w:val="24"/>
          <w:lang w:val="es-US"/>
        </w:rPr>
        <w:t>Francisco José Eguiguren Praeli</w:t>
      </w:r>
    </w:p>
    <w:p w14:paraId="17A5B277" w14:textId="77777777" w:rsidR="00D920C9" w:rsidRPr="009639C5" w:rsidRDefault="00D920C9" w:rsidP="00D920C9">
      <w:pPr>
        <w:spacing w:after="0" w:line="240" w:lineRule="auto"/>
        <w:rPr>
          <w:rFonts w:asciiTheme="minorHAnsi" w:hAnsiTheme="minorHAnsi"/>
          <w:sz w:val="24"/>
          <w:lang w:val="es-US"/>
        </w:rPr>
      </w:pPr>
    </w:p>
    <w:p w14:paraId="4ABC340E" w14:textId="77777777" w:rsidR="00D920C9" w:rsidRPr="009639C5" w:rsidRDefault="00D920C9" w:rsidP="00D920C9">
      <w:pPr>
        <w:spacing w:after="0" w:line="240" w:lineRule="auto"/>
        <w:rPr>
          <w:rFonts w:asciiTheme="minorHAnsi" w:hAnsiTheme="minorHAnsi"/>
          <w:sz w:val="24"/>
          <w:lang w:val="es-US"/>
        </w:rPr>
      </w:pPr>
      <w:r w:rsidRPr="009639C5">
        <w:rPr>
          <w:rFonts w:asciiTheme="minorHAnsi" w:hAnsiTheme="minorHAnsi"/>
          <w:sz w:val="24"/>
          <w:lang w:val="es-US"/>
        </w:rPr>
        <w:t>Luis Ernesto Vargas Silva</w:t>
      </w:r>
    </w:p>
    <w:p w14:paraId="3125D919" w14:textId="77777777" w:rsidR="00D920C9" w:rsidRPr="009639C5" w:rsidRDefault="00D920C9" w:rsidP="00D920C9">
      <w:pPr>
        <w:spacing w:after="0" w:line="240" w:lineRule="auto"/>
        <w:rPr>
          <w:rFonts w:asciiTheme="minorHAnsi" w:hAnsiTheme="minorHAnsi"/>
          <w:sz w:val="24"/>
          <w:lang w:val="es-US"/>
        </w:rPr>
      </w:pPr>
    </w:p>
    <w:p w14:paraId="14067006" w14:textId="77777777" w:rsidR="00D920C9" w:rsidRPr="009639C5" w:rsidRDefault="00D920C9" w:rsidP="00D920C9">
      <w:pPr>
        <w:spacing w:after="0" w:line="240" w:lineRule="auto"/>
        <w:rPr>
          <w:rFonts w:asciiTheme="minorHAnsi" w:hAnsiTheme="minorHAnsi"/>
          <w:sz w:val="24"/>
          <w:lang w:val="es-US"/>
        </w:rPr>
      </w:pPr>
      <w:r w:rsidRPr="009639C5">
        <w:rPr>
          <w:rFonts w:asciiTheme="minorHAnsi" w:hAnsiTheme="minorHAnsi"/>
          <w:sz w:val="24"/>
          <w:lang w:val="es-US"/>
        </w:rPr>
        <w:t>Joel Hernández García</w:t>
      </w:r>
    </w:p>
    <w:p w14:paraId="560444C9" w14:textId="77777777" w:rsidR="00D920C9" w:rsidRPr="009639C5" w:rsidRDefault="00D920C9" w:rsidP="00D920C9">
      <w:pPr>
        <w:spacing w:after="0" w:line="240" w:lineRule="auto"/>
        <w:rPr>
          <w:rFonts w:asciiTheme="minorHAnsi" w:hAnsiTheme="minorHAnsi"/>
          <w:sz w:val="24"/>
          <w:lang w:val="es-US"/>
        </w:rPr>
      </w:pPr>
    </w:p>
    <w:p w14:paraId="7CCFAC1B" w14:textId="77777777" w:rsidR="00D920C9" w:rsidRPr="009639C5" w:rsidRDefault="00D920C9" w:rsidP="00D920C9">
      <w:pPr>
        <w:spacing w:after="0" w:line="240" w:lineRule="auto"/>
        <w:rPr>
          <w:rFonts w:asciiTheme="minorHAnsi" w:hAnsiTheme="minorHAnsi"/>
          <w:sz w:val="24"/>
          <w:lang w:val="es-US"/>
        </w:rPr>
      </w:pPr>
      <w:r w:rsidRPr="009639C5">
        <w:rPr>
          <w:rFonts w:asciiTheme="minorHAnsi" w:hAnsiTheme="minorHAnsi"/>
          <w:sz w:val="24"/>
          <w:lang w:val="es-US"/>
        </w:rPr>
        <w:t>Antonia Urrejola</w:t>
      </w:r>
    </w:p>
    <w:p w14:paraId="460A86E3" w14:textId="77777777" w:rsidR="00D920C9" w:rsidRPr="009639C5" w:rsidRDefault="00D920C9" w:rsidP="00D920C9">
      <w:pPr>
        <w:spacing w:after="0" w:line="240" w:lineRule="auto"/>
        <w:rPr>
          <w:rFonts w:asciiTheme="minorHAnsi" w:hAnsiTheme="minorHAnsi"/>
          <w:sz w:val="24"/>
          <w:lang w:val="es-US"/>
        </w:rPr>
      </w:pPr>
    </w:p>
    <w:p w14:paraId="1CE58EB4" w14:textId="77777777" w:rsidR="00D920C9" w:rsidRPr="009639C5" w:rsidRDefault="00D920C9" w:rsidP="00D920C9">
      <w:pPr>
        <w:spacing w:after="0" w:line="240" w:lineRule="auto"/>
        <w:rPr>
          <w:rFonts w:asciiTheme="minorHAnsi" w:hAnsiTheme="minorHAnsi"/>
          <w:sz w:val="24"/>
          <w:lang w:val="es-US"/>
        </w:rPr>
      </w:pPr>
      <w:proofErr w:type="spellStart"/>
      <w:r w:rsidRPr="009639C5">
        <w:rPr>
          <w:rFonts w:asciiTheme="minorHAnsi" w:hAnsiTheme="minorHAnsi"/>
          <w:sz w:val="24"/>
          <w:lang w:val="es-US"/>
        </w:rPr>
        <w:t>Flávia</w:t>
      </w:r>
      <w:proofErr w:type="spellEnd"/>
      <w:r w:rsidRPr="009639C5">
        <w:rPr>
          <w:rFonts w:asciiTheme="minorHAnsi" w:hAnsiTheme="minorHAnsi"/>
          <w:sz w:val="24"/>
          <w:lang w:val="es-US"/>
        </w:rPr>
        <w:t xml:space="preserve"> </w:t>
      </w:r>
      <w:proofErr w:type="spellStart"/>
      <w:r w:rsidRPr="009639C5">
        <w:rPr>
          <w:rFonts w:asciiTheme="minorHAnsi" w:hAnsiTheme="minorHAnsi"/>
          <w:sz w:val="24"/>
          <w:lang w:val="es-US"/>
        </w:rPr>
        <w:t>Piovesan</w:t>
      </w:r>
      <w:proofErr w:type="spellEnd"/>
    </w:p>
    <w:p w14:paraId="2DA059DF" w14:textId="77777777" w:rsidR="00D920C9" w:rsidRPr="00D920C9" w:rsidRDefault="00D920C9" w:rsidP="00D920C9">
      <w:pPr>
        <w:spacing w:after="0" w:line="240" w:lineRule="auto"/>
        <w:rPr>
          <w:rFonts w:asciiTheme="minorHAnsi" w:hAnsiTheme="minorHAnsi"/>
          <w:lang w:val="es-US"/>
        </w:rPr>
      </w:pPr>
    </w:p>
    <w:p w14:paraId="7BA4889D" w14:textId="77777777" w:rsidR="00D920C9" w:rsidRPr="00D920C9" w:rsidRDefault="00D920C9" w:rsidP="00D920C9">
      <w:pPr>
        <w:spacing w:after="0" w:line="240" w:lineRule="auto"/>
        <w:rPr>
          <w:rFonts w:asciiTheme="minorHAnsi" w:hAnsiTheme="minorHAnsi"/>
          <w:lang w:val="es-US"/>
        </w:rPr>
      </w:pPr>
    </w:p>
    <w:p w14:paraId="7219EF9C" w14:textId="77777777" w:rsidR="00D920C9" w:rsidRPr="00D920C9" w:rsidRDefault="00D920C9" w:rsidP="00D920C9">
      <w:pPr>
        <w:pBdr>
          <w:bottom w:val="single" w:sz="4" w:space="1" w:color="auto"/>
        </w:pBdr>
        <w:spacing w:after="0" w:line="240" w:lineRule="auto"/>
        <w:rPr>
          <w:rFonts w:asciiTheme="minorHAnsi" w:hAnsiTheme="minorHAnsi"/>
          <w:color w:val="4A442A" w:themeColor="background2" w:themeShade="40"/>
          <w:sz w:val="28"/>
        </w:rPr>
      </w:pPr>
      <w:r w:rsidRPr="00D920C9">
        <w:rPr>
          <w:rFonts w:asciiTheme="minorHAnsi" w:hAnsiTheme="minorHAnsi"/>
          <w:color w:val="4A442A" w:themeColor="background2" w:themeShade="40"/>
          <w:sz w:val="28"/>
        </w:rPr>
        <w:t>Executive Secretary</w:t>
      </w:r>
    </w:p>
    <w:p w14:paraId="680A282F" w14:textId="77777777" w:rsidR="00D920C9" w:rsidRPr="00D920C9" w:rsidRDefault="00D920C9" w:rsidP="00D920C9">
      <w:pPr>
        <w:spacing w:after="0" w:line="240" w:lineRule="auto"/>
        <w:rPr>
          <w:rFonts w:asciiTheme="minorHAnsi" w:hAnsiTheme="minorHAnsi"/>
          <w:b/>
        </w:rPr>
      </w:pPr>
    </w:p>
    <w:p w14:paraId="68B47E4B" w14:textId="77777777" w:rsidR="00D920C9" w:rsidRPr="00D920C9" w:rsidRDefault="00D920C9" w:rsidP="00D920C9">
      <w:pPr>
        <w:spacing w:after="0" w:line="240" w:lineRule="auto"/>
        <w:rPr>
          <w:rFonts w:asciiTheme="minorHAnsi" w:hAnsiTheme="minorHAnsi"/>
          <w:b/>
        </w:rPr>
      </w:pPr>
      <w:r w:rsidRPr="009639C5">
        <w:rPr>
          <w:rFonts w:asciiTheme="minorHAnsi" w:hAnsiTheme="minorHAnsi"/>
          <w:sz w:val="24"/>
        </w:rPr>
        <w:t xml:space="preserve">Paulo </w:t>
      </w:r>
      <w:proofErr w:type="spellStart"/>
      <w:r w:rsidRPr="009639C5">
        <w:rPr>
          <w:rFonts w:asciiTheme="minorHAnsi" w:hAnsiTheme="minorHAnsi"/>
          <w:sz w:val="24"/>
        </w:rPr>
        <w:t>Abrão</w:t>
      </w:r>
      <w:proofErr w:type="spellEnd"/>
      <w:r w:rsidRPr="009639C5">
        <w:rPr>
          <w:rFonts w:asciiTheme="minorHAnsi" w:hAnsiTheme="minorHAnsi"/>
          <w:sz w:val="24"/>
        </w:rPr>
        <w:br/>
      </w:r>
    </w:p>
    <w:p w14:paraId="485FADD2" w14:textId="77777777" w:rsidR="00D920C9" w:rsidRPr="00D920C9" w:rsidRDefault="00D920C9" w:rsidP="00D920C9">
      <w:pPr>
        <w:pBdr>
          <w:bottom w:val="single" w:sz="4" w:space="1" w:color="auto"/>
        </w:pBdr>
        <w:spacing w:after="0" w:line="240" w:lineRule="auto"/>
        <w:rPr>
          <w:rFonts w:asciiTheme="minorHAnsi" w:hAnsiTheme="minorHAnsi"/>
          <w:color w:val="4A442A" w:themeColor="background2" w:themeShade="40"/>
          <w:sz w:val="26"/>
          <w:szCs w:val="26"/>
        </w:rPr>
      </w:pPr>
      <w:r w:rsidRPr="00D920C9">
        <w:rPr>
          <w:rFonts w:asciiTheme="minorHAnsi" w:hAnsiTheme="minorHAnsi"/>
          <w:color w:val="4A442A" w:themeColor="background2" w:themeShade="40"/>
          <w:sz w:val="26"/>
          <w:szCs w:val="26"/>
        </w:rPr>
        <w:t>Assistant Executive Secretary for Monitoring, Promotion and Technical Cooperation</w:t>
      </w:r>
    </w:p>
    <w:p w14:paraId="199C3F23" w14:textId="77777777" w:rsidR="00D920C9" w:rsidRPr="00D920C9" w:rsidRDefault="00D920C9" w:rsidP="00D920C9">
      <w:pPr>
        <w:spacing w:after="0" w:line="240" w:lineRule="auto"/>
        <w:rPr>
          <w:rFonts w:asciiTheme="minorHAnsi" w:hAnsiTheme="minorHAnsi"/>
          <w:b/>
        </w:rPr>
      </w:pPr>
    </w:p>
    <w:p w14:paraId="1A2EE022" w14:textId="77777777" w:rsidR="00D920C9" w:rsidRPr="009639C5" w:rsidRDefault="00D920C9" w:rsidP="00D920C9">
      <w:pPr>
        <w:spacing w:after="0" w:line="240" w:lineRule="auto"/>
        <w:rPr>
          <w:rFonts w:asciiTheme="minorHAnsi" w:hAnsiTheme="minorHAnsi"/>
          <w:sz w:val="32"/>
          <w:szCs w:val="28"/>
        </w:rPr>
      </w:pPr>
      <w:r w:rsidRPr="009639C5">
        <w:rPr>
          <w:rFonts w:asciiTheme="minorHAnsi" w:hAnsiTheme="minorHAnsi"/>
          <w:sz w:val="24"/>
        </w:rPr>
        <w:t>María Claudia Pulido</w:t>
      </w:r>
    </w:p>
    <w:p w14:paraId="13593798" w14:textId="77777777" w:rsidR="00D920C9" w:rsidRPr="00D920C9" w:rsidRDefault="00D920C9" w:rsidP="00D920C9">
      <w:pPr>
        <w:spacing w:after="0" w:line="240" w:lineRule="auto"/>
        <w:rPr>
          <w:rFonts w:asciiTheme="minorHAnsi" w:hAnsiTheme="minorHAnsi"/>
          <w:sz w:val="20"/>
          <w:szCs w:val="20"/>
        </w:rPr>
      </w:pPr>
    </w:p>
    <w:p w14:paraId="60B68162" w14:textId="77777777" w:rsidR="00D920C9" w:rsidRPr="00D920C9" w:rsidRDefault="00D920C9" w:rsidP="00D920C9">
      <w:pPr>
        <w:pBdr>
          <w:bottom w:val="single" w:sz="4" w:space="1" w:color="auto"/>
        </w:pBdr>
        <w:spacing w:after="0" w:line="240" w:lineRule="auto"/>
        <w:rPr>
          <w:rFonts w:asciiTheme="minorHAnsi" w:hAnsiTheme="minorHAnsi"/>
          <w:color w:val="4A442A" w:themeColor="background2" w:themeShade="40"/>
          <w:sz w:val="26"/>
          <w:szCs w:val="26"/>
        </w:rPr>
      </w:pPr>
      <w:r w:rsidRPr="00D920C9">
        <w:rPr>
          <w:rFonts w:asciiTheme="minorHAnsi" w:hAnsiTheme="minorHAnsi"/>
          <w:color w:val="4A442A" w:themeColor="background2" w:themeShade="40"/>
          <w:sz w:val="26"/>
          <w:szCs w:val="26"/>
        </w:rPr>
        <w:t>Chief of Staff of the Executive Secretariat of the IACHR</w:t>
      </w:r>
    </w:p>
    <w:p w14:paraId="0788B982" w14:textId="77777777" w:rsidR="00D920C9" w:rsidRDefault="00D920C9" w:rsidP="00D920C9">
      <w:pPr>
        <w:spacing w:after="0" w:line="240" w:lineRule="auto"/>
        <w:rPr>
          <w:rFonts w:asciiTheme="minorHAnsi" w:hAnsiTheme="minorHAnsi"/>
        </w:rPr>
      </w:pPr>
    </w:p>
    <w:p w14:paraId="385ABB2B" w14:textId="548E6B29" w:rsidR="00D920C9" w:rsidRPr="00D920C9" w:rsidRDefault="00D920C9" w:rsidP="00D920C9">
      <w:pPr>
        <w:spacing w:after="0" w:line="240" w:lineRule="auto"/>
        <w:rPr>
          <w:rFonts w:asciiTheme="minorHAnsi" w:hAnsiTheme="minorHAnsi"/>
          <w:spacing w:val="-3"/>
          <w:sz w:val="20"/>
          <w:szCs w:val="20"/>
        </w:rPr>
        <w:sectPr w:rsidR="00D920C9" w:rsidRPr="00D920C9" w:rsidSect="001E4747">
          <w:pgSz w:w="10080" w:h="14400" w:code="13"/>
          <w:pgMar w:top="1152" w:right="1152" w:bottom="1152" w:left="1296" w:header="720" w:footer="720" w:gutter="0"/>
          <w:cols w:space="708"/>
          <w:vAlign w:val="center"/>
          <w:docGrid w:linePitch="360"/>
        </w:sectPr>
      </w:pPr>
      <w:r w:rsidRPr="009639C5">
        <w:rPr>
          <w:rFonts w:asciiTheme="minorHAnsi" w:hAnsiTheme="minorHAnsi"/>
          <w:sz w:val="24"/>
        </w:rPr>
        <w:t>Marisol Blanchard Vera</w:t>
      </w:r>
      <w:r w:rsidRPr="009639C5">
        <w:rPr>
          <w:rFonts w:asciiTheme="minorHAnsi" w:hAnsiTheme="minorHAnsi"/>
          <w:sz w:val="24"/>
        </w:rPr>
        <w:br/>
      </w:r>
    </w:p>
    <w:p w14:paraId="0E21B5D2" w14:textId="52E7A1D2" w:rsidR="00E14895" w:rsidRPr="00D920C9" w:rsidRDefault="001E4747" w:rsidP="00E14895">
      <w:pPr>
        <w:suppressAutoHyphens/>
        <w:spacing w:after="0" w:line="240" w:lineRule="auto"/>
        <w:jc w:val="center"/>
        <w:rPr>
          <w:rFonts w:asciiTheme="minorHAnsi" w:hAnsiTheme="minorHAnsi"/>
          <w:spacing w:val="-3"/>
          <w:sz w:val="20"/>
          <w:szCs w:val="20"/>
        </w:rPr>
        <w:sectPr w:rsidR="00E14895" w:rsidRPr="00D920C9" w:rsidSect="001E4747">
          <w:pgSz w:w="10080" w:h="14400" w:code="13"/>
          <w:pgMar w:top="1152" w:right="1152" w:bottom="1152" w:left="1296" w:header="720" w:footer="720" w:gutter="0"/>
          <w:cols w:space="708"/>
          <w:vAlign w:val="center"/>
          <w:docGrid w:linePitch="360"/>
        </w:sectPr>
      </w:pPr>
      <w:r w:rsidRPr="00D920C9">
        <w:rPr>
          <w:rFonts w:asciiTheme="minorHAnsi" w:hAnsiTheme="minorHAnsi"/>
          <w:spacing w:val="-3"/>
          <w:sz w:val="20"/>
          <w:szCs w:val="20"/>
        </w:rPr>
        <w:lastRenderedPageBreak/>
        <w:t xml:space="preserve">Approved by the Inter-American Commission on Human Rights on </w:t>
      </w:r>
      <w:r w:rsidR="009639C5">
        <w:rPr>
          <w:rFonts w:asciiTheme="minorHAnsi" w:hAnsiTheme="minorHAnsi"/>
          <w:spacing w:val="-3"/>
          <w:sz w:val="20"/>
          <w:szCs w:val="20"/>
        </w:rPr>
        <w:t>November</w:t>
      </w:r>
      <w:r w:rsidRPr="00D920C9">
        <w:rPr>
          <w:rFonts w:asciiTheme="minorHAnsi" w:hAnsiTheme="minorHAnsi"/>
          <w:spacing w:val="-3"/>
          <w:sz w:val="20"/>
          <w:szCs w:val="20"/>
        </w:rPr>
        <w:t xml:space="preserve"> </w:t>
      </w:r>
      <w:r w:rsidR="003D7958">
        <w:rPr>
          <w:rFonts w:asciiTheme="minorHAnsi" w:hAnsiTheme="minorHAnsi"/>
          <w:spacing w:val="-3"/>
          <w:sz w:val="20"/>
          <w:szCs w:val="20"/>
        </w:rPr>
        <w:t>26</w:t>
      </w:r>
      <w:r w:rsidRPr="00D920C9">
        <w:rPr>
          <w:rFonts w:asciiTheme="minorHAnsi" w:hAnsiTheme="minorHAnsi"/>
          <w:spacing w:val="-3"/>
          <w:sz w:val="20"/>
          <w:szCs w:val="20"/>
        </w:rPr>
        <w:t>, 2018</w:t>
      </w:r>
    </w:p>
    <w:p w14:paraId="0302DDE4" w14:textId="41B9C0AE" w:rsidR="004D6DE1" w:rsidRPr="00D920C9" w:rsidRDefault="00ED6831" w:rsidP="00C544C3">
      <w:pPr>
        <w:suppressAutoHyphens/>
        <w:spacing w:before="960" w:after="640" w:line="240" w:lineRule="auto"/>
        <w:rPr>
          <w:rFonts w:asciiTheme="minorHAnsi" w:hAnsiTheme="minorHAnsi"/>
          <w:b/>
          <w:color w:val="4A442A" w:themeColor="background2" w:themeShade="40"/>
          <w:spacing w:val="-3"/>
          <w:sz w:val="32"/>
          <w:szCs w:val="20"/>
        </w:rPr>
      </w:pPr>
      <w:r w:rsidRPr="00D920C9">
        <w:rPr>
          <w:rFonts w:asciiTheme="minorHAnsi" w:hAnsiTheme="minorHAnsi"/>
          <w:b/>
          <w:color w:val="4A442A" w:themeColor="background2" w:themeShade="40"/>
          <w:spacing w:val="-3"/>
          <w:sz w:val="32"/>
          <w:szCs w:val="20"/>
        </w:rPr>
        <w:lastRenderedPageBreak/>
        <w:t>TABLE OF CONTENTS</w:t>
      </w:r>
    </w:p>
    <w:p w14:paraId="6233AB9B" w14:textId="77777777" w:rsidR="00C544C3" w:rsidRPr="0061711E" w:rsidRDefault="00C544C3" w:rsidP="00141874">
      <w:pPr>
        <w:pStyle w:val="TOC1"/>
        <w:rPr>
          <w:rFonts w:cstheme="minorBidi"/>
          <w:noProof/>
          <w:lang w:val="en-US"/>
        </w:rPr>
      </w:pPr>
      <w:r w:rsidRPr="0061711E">
        <w:rPr>
          <w:spacing w:val="-3"/>
        </w:rPr>
        <w:fldChar w:fldCharType="begin"/>
      </w:r>
      <w:r w:rsidRPr="0061711E">
        <w:rPr>
          <w:spacing w:val="-3"/>
        </w:rPr>
        <w:instrText xml:space="preserve"> TOC \o "1-4" \h \z \u </w:instrText>
      </w:r>
      <w:r w:rsidRPr="0061711E">
        <w:rPr>
          <w:spacing w:val="-3"/>
        </w:rPr>
        <w:fldChar w:fldCharType="separate"/>
      </w:r>
      <w:hyperlink w:anchor="_Toc517687900" w:history="1">
        <w:r w:rsidRPr="0061711E">
          <w:rPr>
            <w:rStyle w:val="Hyperlink"/>
            <w:noProof/>
            <w:sz w:val="22"/>
            <w:szCs w:val="22"/>
          </w:rPr>
          <w:t>EXECUTIVE SUMMARY</w:t>
        </w:r>
        <w:r w:rsidRPr="0061711E">
          <w:rPr>
            <w:noProof/>
            <w:webHidden/>
          </w:rPr>
          <w:tab/>
        </w:r>
        <w:r w:rsidRPr="0061711E">
          <w:rPr>
            <w:noProof/>
            <w:webHidden/>
          </w:rPr>
          <w:fldChar w:fldCharType="begin"/>
        </w:r>
        <w:r w:rsidRPr="0061711E">
          <w:rPr>
            <w:noProof/>
            <w:webHidden/>
          </w:rPr>
          <w:instrText xml:space="preserve"> PAGEREF _Toc517687900 \h </w:instrText>
        </w:r>
        <w:r w:rsidRPr="0061711E">
          <w:rPr>
            <w:noProof/>
            <w:webHidden/>
          </w:rPr>
        </w:r>
        <w:r w:rsidRPr="0061711E">
          <w:rPr>
            <w:noProof/>
            <w:webHidden/>
          </w:rPr>
          <w:fldChar w:fldCharType="separate"/>
        </w:r>
        <w:r w:rsidR="002D27D9">
          <w:rPr>
            <w:noProof/>
            <w:webHidden/>
          </w:rPr>
          <w:t>9</w:t>
        </w:r>
        <w:r w:rsidRPr="0061711E">
          <w:rPr>
            <w:noProof/>
            <w:webHidden/>
          </w:rPr>
          <w:fldChar w:fldCharType="end"/>
        </w:r>
      </w:hyperlink>
    </w:p>
    <w:p w14:paraId="734B3A7D" w14:textId="1E85CFB2" w:rsidR="00C544C3" w:rsidRPr="0061711E" w:rsidRDefault="00BA1293" w:rsidP="005C2394">
      <w:pPr>
        <w:pStyle w:val="TOC1"/>
        <w:spacing w:after="360"/>
        <w:rPr>
          <w:rFonts w:cstheme="minorBidi"/>
          <w:noProof/>
          <w:lang w:val="en-US"/>
        </w:rPr>
      </w:pPr>
      <w:hyperlink w:anchor="_Toc517687901" w:history="1">
        <w:r w:rsidR="00C544C3" w:rsidRPr="004F79A3">
          <w:rPr>
            <w:rStyle w:val="Hyperlink"/>
            <w:b/>
            <w:noProof/>
            <w:color w:val="808080" w:themeColor="background1" w:themeShade="80"/>
            <w:sz w:val="22"/>
            <w:szCs w:val="22"/>
          </w:rPr>
          <w:t xml:space="preserve">CHAPTER 1 </w:t>
        </w:r>
        <w:r w:rsidR="00704559" w:rsidRPr="004F79A3">
          <w:rPr>
            <w:rStyle w:val="Hyperlink"/>
            <w:b/>
            <w:noProof/>
            <w:color w:val="808080" w:themeColor="background1" w:themeShade="80"/>
            <w:sz w:val="22"/>
            <w:szCs w:val="22"/>
          </w:rPr>
          <w:t xml:space="preserve">| </w:t>
        </w:r>
        <w:r w:rsidR="004F79A3">
          <w:rPr>
            <w:rStyle w:val="Hyperlink"/>
            <w:b/>
            <w:noProof/>
            <w:sz w:val="22"/>
            <w:szCs w:val="22"/>
          </w:rPr>
          <w:tab/>
        </w:r>
        <w:r w:rsidR="00C544C3" w:rsidRPr="0061711E">
          <w:rPr>
            <w:rStyle w:val="Hyperlink"/>
            <w:b/>
            <w:noProof/>
            <w:sz w:val="22"/>
            <w:szCs w:val="22"/>
          </w:rPr>
          <w:t>INTRODUCTION</w:t>
        </w:r>
        <w:r w:rsidR="00C544C3" w:rsidRPr="0061711E">
          <w:rPr>
            <w:noProof/>
            <w:webHidden/>
          </w:rPr>
          <w:tab/>
        </w:r>
        <w:r w:rsidR="00C544C3" w:rsidRPr="0061711E">
          <w:rPr>
            <w:noProof/>
            <w:webHidden/>
          </w:rPr>
          <w:fldChar w:fldCharType="begin"/>
        </w:r>
        <w:r w:rsidR="00C544C3" w:rsidRPr="0061711E">
          <w:rPr>
            <w:noProof/>
            <w:webHidden/>
          </w:rPr>
          <w:instrText xml:space="preserve"> PAGEREF _Toc517687901 \h </w:instrText>
        </w:r>
        <w:r w:rsidR="00C544C3" w:rsidRPr="0061711E">
          <w:rPr>
            <w:noProof/>
            <w:webHidden/>
          </w:rPr>
        </w:r>
        <w:r w:rsidR="00C544C3" w:rsidRPr="0061711E">
          <w:rPr>
            <w:noProof/>
            <w:webHidden/>
          </w:rPr>
          <w:fldChar w:fldCharType="separate"/>
        </w:r>
        <w:r w:rsidR="002D27D9">
          <w:rPr>
            <w:noProof/>
            <w:webHidden/>
          </w:rPr>
          <w:t>17</w:t>
        </w:r>
        <w:r w:rsidR="00C544C3" w:rsidRPr="0061711E">
          <w:rPr>
            <w:noProof/>
            <w:webHidden/>
          </w:rPr>
          <w:fldChar w:fldCharType="end"/>
        </w:r>
      </w:hyperlink>
    </w:p>
    <w:p w14:paraId="280FBDCE" w14:textId="77777777" w:rsidR="00C544C3" w:rsidRPr="0061711E" w:rsidRDefault="00BA1293" w:rsidP="004F79A3">
      <w:pPr>
        <w:pStyle w:val="TOC2"/>
        <w:rPr>
          <w:rFonts w:cstheme="minorBidi"/>
        </w:rPr>
      </w:pPr>
      <w:hyperlink w:anchor="_Toc517687902" w:history="1">
        <w:r w:rsidR="00C544C3" w:rsidRPr="0061711E">
          <w:rPr>
            <w:rStyle w:val="Hyperlink"/>
          </w:rPr>
          <w:t>A.</w:t>
        </w:r>
        <w:r w:rsidR="00C544C3" w:rsidRPr="0061711E">
          <w:rPr>
            <w:rFonts w:cstheme="minorBidi"/>
          </w:rPr>
          <w:tab/>
        </w:r>
        <w:r w:rsidR="00C544C3" w:rsidRPr="0061711E">
          <w:rPr>
            <w:rStyle w:val="Hyperlink"/>
          </w:rPr>
          <w:t>Sources of Information</w:t>
        </w:r>
        <w:r w:rsidR="00C544C3" w:rsidRPr="0061711E">
          <w:rPr>
            <w:webHidden/>
          </w:rPr>
          <w:tab/>
        </w:r>
        <w:r w:rsidR="00C544C3" w:rsidRPr="0061711E">
          <w:rPr>
            <w:webHidden/>
          </w:rPr>
          <w:fldChar w:fldCharType="begin"/>
        </w:r>
        <w:r w:rsidR="00C544C3" w:rsidRPr="0061711E">
          <w:rPr>
            <w:webHidden/>
          </w:rPr>
          <w:instrText xml:space="preserve"> PAGEREF _Toc517687902 \h </w:instrText>
        </w:r>
        <w:r w:rsidR="00C544C3" w:rsidRPr="0061711E">
          <w:rPr>
            <w:webHidden/>
          </w:rPr>
        </w:r>
        <w:r w:rsidR="00C544C3" w:rsidRPr="0061711E">
          <w:rPr>
            <w:webHidden/>
          </w:rPr>
          <w:fldChar w:fldCharType="separate"/>
        </w:r>
        <w:r w:rsidR="002D27D9">
          <w:rPr>
            <w:webHidden/>
          </w:rPr>
          <w:t>20</w:t>
        </w:r>
        <w:r w:rsidR="00C544C3" w:rsidRPr="0061711E">
          <w:rPr>
            <w:webHidden/>
          </w:rPr>
          <w:fldChar w:fldCharType="end"/>
        </w:r>
      </w:hyperlink>
    </w:p>
    <w:p w14:paraId="7EF14CFE" w14:textId="77777777" w:rsidR="00C544C3" w:rsidRPr="0061711E" w:rsidRDefault="00BA1293" w:rsidP="004F79A3">
      <w:pPr>
        <w:pStyle w:val="TOC3"/>
        <w:tabs>
          <w:tab w:val="right" w:pos="7560"/>
        </w:tabs>
        <w:ind w:firstLine="360"/>
        <w:rPr>
          <w:rFonts w:cstheme="minorBidi"/>
          <w:noProof/>
        </w:rPr>
      </w:pPr>
      <w:hyperlink w:anchor="_Toc517687903" w:history="1">
        <w:r w:rsidR="00C544C3" w:rsidRPr="0061711E">
          <w:rPr>
            <w:rStyle w:val="Hyperlink"/>
            <w:noProof/>
          </w:rPr>
          <w:t>1.</w:t>
        </w:r>
        <w:r w:rsidR="00C544C3" w:rsidRPr="0061711E">
          <w:rPr>
            <w:rFonts w:cstheme="minorBidi"/>
            <w:noProof/>
          </w:rPr>
          <w:tab/>
        </w:r>
        <w:r w:rsidR="00C544C3" w:rsidRPr="0061711E">
          <w:rPr>
            <w:rStyle w:val="Hyperlink"/>
            <w:noProof/>
          </w:rPr>
          <w:t>Hearings during Periods of Sessions</w:t>
        </w:r>
        <w:r w:rsidR="00C544C3" w:rsidRPr="0061711E">
          <w:rPr>
            <w:noProof/>
            <w:webHidden/>
          </w:rPr>
          <w:tab/>
        </w:r>
        <w:r w:rsidR="00C544C3" w:rsidRPr="0061711E">
          <w:rPr>
            <w:noProof/>
            <w:webHidden/>
          </w:rPr>
          <w:fldChar w:fldCharType="begin"/>
        </w:r>
        <w:r w:rsidR="00C544C3" w:rsidRPr="0061711E">
          <w:rPr>
            <w:noProof/>
            <w:webHidden/>
          </w:rPr>
          <w:instrText xml:space="preserve"> PAGEREF _Toc517687903 \h </w:instrText>
        </w:r>
        <w:r w:rsidR="00C544C3" w:rsidRPr="0061711E">
          <w:rPr>
            <w:noProof/>
            <w:webHidden/>
          </w:rPr>
        </w:r>
        <w:r w:rsidR="00C544C3" w:rsidRPr="0061711E">
          <w:rPr>
            <w:noProof/>
            <w:webHidden/>
          </w:rPr>
          <w:fldChar w:fldCharType="separate"/>
        </w:r>
        <w:r w:rsidR="002D27D9">
          <w:rPr>
            <w:noProof/>
            <w:webHidden/>
          </w:rPr>
          <w:t>21</w:t>
        </w:r>
        <w:r w:rsidR="00C544C3" w:rsidRPr="0061711E">
          <w:rPr>
            <w:noProof/>
            <w:webHidden/>
          </w:rPr>
          <w:fldChar w:fldCharType="end"/>
        </w:r>
      </w:hyperlink>
    </w:p>
    <w:p w14:paraId="0A239F38" w14:textId="77777777" w:rsidR="00C544C3" w:rsidRPr="0061711E" w:rsidRDefault="00BA1293" w:rsidP="004F79A3">
      <w:pPr>
        <w:pStyle w:val="TOC3"/>
        <w:tabs>
          <w:tab w:val="right" w:pos="7560"/>
        </w:tabs>
        <w:ind w:firstLine="360"/>
        <w:rPr>
          <w:rFonts w:cstheme="minorBidi"/>
          <w:noProof/>
        </w:rPr>
      </w:pPr>
      <w:hyperlink w:anchor="_Toc517687904" w:history="1">
        <w:r w:rsidR="00C544C3" w:rsidRPr="0061711E">
          <w:rPr>
            <w:rStyle w:val="Hyperlink"/>
            <w:noProof/>
          </w:rPr>
          <w:t>2.</w:t>
        </w:r>
        <w:r w:rsidR="00C544C3" w:rsidRPr="0061711E">
          <w:rPr>
            <w:rFonts w:cstheme="minorBidi"/>
            <w:noProof/>
          </w:rPr>
          <w:tab/>
        </w:r>
        <w:r w:rsidR="00C544C3" w:rsidRPr="0061711E">
          <w:rPr>
            <w:rStyle w:val="Hyperlink"/>
            <w:noProof/>
          </w:rPr>
          <w:t>On-Site Visit</w:t>
        </w:r>
        <w:r w:rsidR="00C544C3" w:rsidRPr="0061711E">
          <w:rPr>
            <w:noProof/>
            <w:webHidden/>
          </w:rPr>
          <w:tab/>
        </w:r>
        <w:r w:rsidR="00C544C3" w:rsidRPr="0061711E">
          <w:rPr>
            <w:noProof/>
            <w:webHidden/>
          </w:rPr>
          <w:fldChar w:fldCharType="begin"/>
        </w:r>
        <w:r w:rsidR="00C544C3" w:rsidRPr="0061711E">
          <w:rPr>
            <w:noProof/>
            <w:webHidden/>
          </w:rPr>
          <w:instrText xml:space="preserve"> PAGEREF _Toc517687904 \h </w:instrText>
        </w:r>
        <w:r w:rsidR="00C544C3" w:rsidRPr="0061711E">
          <w:rPr>
            <w:noProof/>
            <w:webHidden/>
          </w:rPr>
        </w:r>
        <w:r w:rsidR="00C544C3" w:rsidRPr="0061711E">
          <w:rPr>
            <w:noProof/>
            <w:webHidden/>
          </w:rPr>
          <w:fldChar w:fldCharType="separate"/>
        </w:r>
        <w:r w:rsidR="002D27D9">
          <w:rPr>
            <w:noProof/>
            <w:webHidden/>
          </w:rPr>
          <w:t>23</w:t>
        </w:r>
        <w:r w:rsidR="00C544C3" w:rsidRPr="0061711E">
          <w:rPr>
            <w:noProof/>
            <w:webHidden/>
          </w:rPr>
          <w:fldChar w:fldCharType="end"/>
        </w:r>
      </w:hyperlink>
    </w:p>
    <w:p w14:paraId="139FCCE3" w14:textId="77777777" w:rsidR="00C544C3" w:rsidRPr="0061711E" w:rsidRDefault="00BA1293" w:rsidP="004F79A3">
      <w:pPr>
        <w:pStyle w:val="TOC3"/>
        <w:tabs>
          <w:tab w:val="right" w:pos="7560"/>
        </w:tabs>
        <w:ind w:firstLine="360"/>
        <w:rPr>
          <w:rFonts w:cstheme="minorBidi"/>
          <w:noProof/>
        </w:rPr>
      </w:pPr>
      <w:hyperlink w:anchor="_Toc517687905" w:history="1">
        <w:r w:rsidR="00C544C3" w:rsidRPr="0061711E">
          <w:rPr>
            <w:rStyle w:val="Hyperlink"/>
            <w:noProof/>
          </w:rPr>
          <w:t>3.</w:t>
        </w:r>
        <w:r w:rsidR="00C544C3" w:rsidRPr="0061711E">
          <w:rPr>
            <w:rFonts w:cstheme="minorBidi"/>
            <w:noProof/>
          </w:rPr>
          <w:tab/>
        </w:r>
        <w:r w:rsidR="00C544C3" w:rsidRPr="0061711E">
          <w:rPr>
            <w:rStyle w:val="Hyperlink"/>
            <w:noProof/>
          </w:rPr>
          <w:t>Press Releases</w:t>
        </w:r>
        <w:r w:rsidR="00C544C3" w:rsidRPr="0061711E">
          <w:rPr>
            <w:noProof/>
            <w:webHidden/>
          </w:rPr>
          <w:tab/>
        </w:r>
        <w:r w:rsidR="00C544C3" w:rsidRPr="0061711E">
          <w:rPr>
            <w:noProof/>
            <w:webHidden/>
          </w:rPr>
          <w:fldChar w:fldCharType="begin"/>
        </w:r>
        <w:r w:rsidR="00C544C3" w:rsidRPr="0061711E">
          <w:rPr>
            <w:noProof/>
            <w:webHidden/>
          </w:rPr>
          <w:instrText xml:space="preserve"> PAGEREF _Toc517687905 \h </w:instrText>
        </w:r>
        <w:r w:rsidR="00C544C3" w:rsidRPr="0061711E">
          <w:rPr>
            <w:noProof/>
            <w:webHidden/>
          </w:rPr>
        </w:r>
        <w:r w:rsidR="00C544C3" w:rsidRPr="0061711E">
          <w:rPr>
            <w:noProof/>
            <w:webHidden/>
          </w:rPr>
          <w:fldChar w:fldCharType="separate"/>
        </w:r>
        <w:r w:rsidR="002D27D9">
          <w:rPr>
            <w:noProof/>
            <w:webHidden/>
          </w:rPr>
          <w:t>24</w:t>
        </w:r>
        <w:r w:rsidR="00C544C3" w:rsidRPr="0061711E">
          <w:rPr>
            <w:noProof/>
            <w:webHidden/>
          </w:rPr>
          <w:fldChar w:fldCharType="end"/>
        </w:r>
      </w:hyperlink>
    </w:p>
    <w:p w14:paraId="7483D403" w14:textId="77777777" w:rsidR="00C544C3" w:rsidRPr="0061711E" w:rsidRDefault="00BA1293" w:rsidP="004F79A3">
      <w:pPr>
        <w:pStyle w:val="TOC3"/>
        <w:tabs>
          <w:tab w:val="right" w:pos="7560"/>
        </w:tabs>
        <w:ind w:firstLine="360"/>
        <w:rPr>
          <w:rFonts w:cstheme="minorBidi"/>
          <w:noProof/>
        </w:rPr>
      </w:pPr>
      <w:hyperlink w:anchor="_Toc517687906" w:history="1">
        <w:r w:rsidR="00C544C3" w:rsidRPr="0061711E">
          <w:rPr>
            <w:rStyle w:val="Hyperlink"/>
            <w:noProof/>
          </w:rPr>
          <w:t>4.</w:t>
        </w:r>
        <w:r w:rsidR="00C544C3" w:rsidRPr="0061711E">
          <w:rPr>
            <w:rFonts w:cstheme="minorBidi"/>
            <w:noProof/>
          </w:rPr>
          <w:tab/>
        </w:r>
        <w:r w:rsidR="00C544C3" w:rsidRPr="0061711E">
          <w:rPr>
            <w:rStyle w:val="Hyperlink"/>
            <w:noProof/>
          </w:rPr>
          <w:t>Additional Sources</w:t>
        </w:r>
        <w:r w:rsidR="00C544C3" w:rsidRPr="0061711E">
          <w:rPr>
            <w:noProof/>
            <w:webHidden/>
          </w:rPr>
          <w:tab/>
        </w:r>
        <w:r w:rsidR="00C544C3" w:rsidRPr="0061711E">
          <w:rPr>
            <w:noProof/>
            <w:webHidden/>
          </w:rPr>
          <w:fldChar w:fldCharType="begin"/>
        </w:r>
        <w:r w:rsidR="00C544C3" w:rsidRPr="0061711E">
          <w:rPr>
            <w:noProof/>
            <w:webHidden/>
          </w:rPr>
          <w:instrText xml:space="preserve"> PAGEREF _Toc517687906 \h </w:instrText>
        </w:r>
        <w:r w:rsidR="00C544C3" w:rsidRPr="0061711E">
          <w:rPr>
            <w:noProof/>
            <w:webHidden/>
          </w:rPr>
        </w:r>
        <w:r w:rsidR="00C544C3" w:rsidRPr="0061711E">
          <w:rPr>
            <w:noProof/>
            <w:webHidden/>
          </w:rPr>
          <w:fldChar w:fldCharType="separate"/>
        </w:r>
        <w:r w:rsidR="002D27D9">
          <w:rPr>
            <w:noProof/>
            <w:webHidden/>
          </w:rPr>
          <w:t>25</w:t>
        </w:r>
        <w:r w:rsidR="00C544C3" w:rsidRPr="0061711E">
          <w:rPr>
            <w:noProof/>
            <w:webHidden/>
          </w:rPr>
          <w:fldChar w:fldCharType="end"/>
        </w:r>
      </w:hyperlink>
    </w:p>
    <w:p w14:paraId="00697619" w14:textId="270DA12F" w:rsidR="00C544C3" w:rsidRPr="0061711E" w:rsidRDefault="00BA1293" w:rsidP="004F79A3">
      <w:pPr>
        <w:pStyle w:val="TOC2"/>
        <w:rPr>
          <w:rFonts w:cstheme="minorBidi"/>
        </w:rPr>
      </w:pPr>
      <w:hyperlink w:anchor="_Toc517687907" w:history="1">
        <w:r w:rsidR="00C544C3" w:rsidRPr="0061711E">
          <w:rPr>
            <w:rStyle w:val="Hyperlink"/>
          </w:rPr>
          <w:t>B.</w:t>
        </w:r>
        <w:r w:rsidR="00C544C3" w:rsidRPr="0061711E">
          <w:rPr>
            <w:rFonts w:cstheme="minorBidi"/>
          </w:rPr>
          <w:tab/>
        </w:r>
        <w:r w:rsidR="00C544C3" w:rsidRPr="0061711E">
          <w:rPr>
            <w:rStyle w:val="Hyperlink"/>
          </w:rPr>
          <w:t xml:space="preserve">The Inter-American Commission’s Jurisdiction with regard </w:t>
        </w:r>
        <w:r w:rsidR="004F79A3">
          <w:rPr>
            <w:rStyle w:val="Hyperlink"/>
          </w:rPr>
          <w:br/>
        </w:r>
        <w:r w:rsidR="00C544C3" w:rsidRPr="0061711E">
          <w:rPr>
            <w:rStyle w:val="Hyperlink"/>
          </w:rPr>
          <w:t>to the United States</w:t>
        </w:r>
        <w:r w:rsidR="00C544C3" w:rsidRPr="0061711E">
          <w:rPr>
            <w:webHidden/>
          </w:rPr>
          <w:tab/>
        </w:r>
        <w:r w:rsidR="00C544C3" w:rsidRPr="0061711E">
          <w:rPr>
            <w:webHidden/>
          </w:rPr>
          <w:fldChar w:fldCharType="begin"/>
        </w:r>
        <w:r w:rsidR="00C544C3" w:rsidRPr="0061711E">
          <w:rPr>
            <w:webHidden/>
          </w:rPr>
          <w:instrText xml:space="preserve"> PAGEREF _Toc517687907 \h </w:instrText>
        </w:r>
        <w:r w:rsidR="00C544C3" w:rsidRPr="0061711E">
          <w:rPr>
            <w:webHidden/>
          </w:rPr>
        </w:r>
        <w:r w:rsidR="00C544C3" w:rsidRPr="0061711E">
          <w:rPr>
            <w:webHidden/>
          </w:rPr>
          <w:fldChar w:fldCharType="separate"/>
        </w:r>
        <w:r w:rsidR="002D27D9">
          <w:rPr>
            <w:webHidden/>
          </w:rPr>
          <w:t>26</w:t>
        </w:r>
        <w:r w:rsidR="00C544C3" w:rsidRPr="0061711E">
          <w:rPr>
            <w:webHidden/>
          </w:rPr>
          <w:fldChar w:fldCharType="end"/>
        </w:r>
      </w:hyperlink>
    </w:p>
    <w:p w14:paraId="68E44C0F" w14:textId="6D6AD109" w:rsidR="00C544C3" w:rsidRPr="0061711E" w:rsidRDefault="00BA1293" w:rsidP="00141874">
      <w:pPr>
        <w:pStyle w:val="TOC1"/>
        <w:rPr>
          <w:rFonts w:cstheme="minorBidi"/>
          <w:noProof/>
          <w:lang w:val="en-US"/>
        </w:rPr>
      </w:pPr>
      <w:hyperlink w:anchor="_Toc517687908" w:history="1">
        <w:r w:rsidR="00C544C3" w:rsidRPr="004F79A3">
          <w:rPr>
            <w:rStyle w:val="Hyperlink"/>
            <w:b/>
            <w:noProof/>
            <w:color w:val="808080" w:themeColor="background1" w:themeShade="80"/>
            <w:sz w:val="22"/>
            <w:szCs w:val="22"/>
          </w:rPr>
          <w:t xml:space="preserve">CHAPTER 2 </w:t>
        </w:r>
        <w:r w:rsidR="00704559" w:rsidRPr="004F79A3">
          <w:rPr>
            <w:rStyle w:val="Hyperlink"/>
            <w:b/>
            <w:noProof/>
            <w:color w:val="808080" w:themeColor="background1" w:themeShade="80"/>
            <w:sz w:val="22"/>
            <w:szCs w:val="22"/>
          </w:rPr>
          <w:t>|</w:t>
        </w:r>
        <w:r w:rsidR="00704559" w:rsidRPr="0061711E">
          <w:rPr>
            <w:rStyle w:val="Hyperlink"/>
            <w:b/>
            <w:noProof/>
            <w:sz w:val="22"/>
            <w:szCs w:val="22"/>
          </w:rPr>
          <w:t xml:space="preserve"> </w:t>
        </w:r>
        <w:r w:rsidR="004F79A3">
          <w:rPr>
            <w:rStyle w:val="Hyperlink"/>
            <w:b/>
            <w:noProof/>
            <w:sz w:val="22"/>
            <w:szCs w:val="22"/>
          </w:rPr>
          <w:tab/>
        </w:r>
        <w:r w:rsidR="00C544C3" w:rsidRPr="0061711E">
          <w:rPr>
            <w:rStyle w:val="Hyperlink"/>
            <w:b/>
            <w:noProof/>
            <w:sz w:val="22"/>
            <w:szCs w:val="22"/>
          </w:rPr>
          <w:t xml:space="preserve">STRUCTURAL DISCRIMINATION AND EXCESSIVE </w:t>
        </w:r>
        <w:r w:rsidR="004F79A3">
          <w:rPr>
            <w:rStyle w:val="Hyperlink"/>
            <w:b/>
            <w:noProof/>
            <w:sz w:val="22"/>
            <w:szCs w:val="22"/>
          </w:rPr>
          <w:br/>
        </w:r>
        <w:r w:rsidR="00C544C3" w:rsidRPr="0061711E">
          <w:rPr>
            <w:rStyle w:val="Hyperlink"/>
            <w:b/>
            <w:noProof/>
            <w:sz w:val="22"/>
            <w:szCs w:val="22"/>
          </w:rPr>
          <w:t xml:space="preserve">USE </w:t>
        </w:r>
        <w:r w:rsidR="004F79A3">
          <w:rPr>
            <w:rStyle w:val="Hyperlink"/>
            <w:b/>
            <w:noProof/>
            <w:sz w:val="22"/>
            <w:szCs w:val="22"/>
          </w:rPr>
          <w:t xml:space="preserve">OF FORCE </w:t>
        </w:r>
        <w:r w:rsidR="00C544C3" w:rsidRPr="0061711E">
          <w:rPr>
            <w:rStyle w:val="Hyperlink"/>
            <w:b/>
            <w:noProof/>
            <w:sz w:val="22"/>
            <w:szCs w:val="22"/>
          </w:rPr>
          <w:t>IN THE U.S.</w:t>
        </w:r>
        <w:r w:rsidR="00C544C3" w:rsidRPr="0061711E">
          <w:rPr>
            <w:noProof/>
            <w:webHidden/>
          </w:rPr>
          <w:tab/>
        </w:r>
        <w:r w:rsidR="00C544C3" w:rsidRPr="0061711E">
          <w:rPr>
            <w:noProof/>
            <w:webHidden/>
          </w:rPr>
          <w:fldChar w:fldCharType="begin"/>
        </w:r>
        <w:r w:rsidR="00C544C3" w:rsidRPr="0061711E">
          <w:rPr>
            <w:noProof/>
            <w:webHidden/>
          </w:rPr>
          <w:instrText xml:space="preserve"> PAGEREF _Toc517687908 \h </w:instrText>
        </w:r>
        <w:r w:rsidR="00C544C3" w:rsidRPr="0061711E">
          <w:rPr>
            <w:noProof/>
            <w:webHidden/>
          </w:rPr>
        </w:r>
        <w:r w:rsidR="00C544C3" w:rsidRPr="0061711E">
          <w:rPr>
            <w:noProof/>
            <w:webHidden/>
          </w:rPr>
          <w:fldChar w:fldCharType="separate"/>
        </w:r>
        <w:r w:rsidR="002D27D9">
          <w:rPr>
            <w:noProof/>
            <w:webHidden/>
          </w:rPr>
          <w:t>31</w:t>
        </w:r>
        <w:r w:rsidR="00C544C3" w:rsidRPr="0061711E">
          <w:rPr>
            <w:noProof/>
            <w:webHidden/>
          </w:rPr>
          <w:fldChar w:fldCharType="end"/>
        </w:r>
      </w:hyperlink>
    </w:p>
    <w:p w14:paraId="1946D762" w14:textId="77777777" w:rsidR="00C544C3" w:rsidRPr="0061711E" w:rsidRDefault="00BA1293" w:rsidP="004F79A3">
      <w:pPr>
        <w:pStyle w:val="TOC2"/>
        <w:rPr>
          <w:rFonts w:cstheme="minorBidi"/>
        </w:rPr>
      </w:pPr>
      <w:hyperlink w:anchor="_Toc517687909" w:history="1">
        <w:r w:rsidR="00C544C3" w:rsidRPr="0061711E">
          <w:rPr>
            <w:rStyle w:val="Hyperlink"/>
          </w:rPr>
          <w:t>A.</w:t>
        </w:r>
        <w:r w:rsidR="00C544C3" w:rsidRPr="0061711E">
          <w:rPr>
            <w:rFonts w:cstheme="minorBidi"/>
          </w:rPr>
          <w:tab/>
        </w:r>
        <w:r w:rsidR="00C544C3" w:rsidRPr="0061711E">
          <w:rPr>
            <w:rStyle w:val="Hyperlink"/>
          </w:rPr>
          <w:t>Initial Considerations on Structural Discrimination</w:t>
        </w:r>
        <w:r w:rsidR="00C544C3" w:rsidRPr="0061711E">
          <w:rPr>
            <w:webHidden/>
          </w:rPr>
          <w:tab/>
        </w:r>
        <w:r w:rsidR="00C544C3" w:rsidRPr="0061711E">
          <w:rPr>
            <w:webHidden/>
          </w:rPr>
          <w:fldChar w:fldCharType="begin"/>
        </w:r>
        <w:r w:rsidR="00C544C3" w:rsidRPr="0061711E">
          <w:rPr>
            <w:webHidden/>
          </w:rPr>
          <w:instrText xml:space="preserve"> PAGEREF _Toc517687909 \h </w:instrText>
        </w:r>
        <w:r w:rsidR="00C544C3" w:rsidRPr="0061711E">
          <w:rPr>
            <w:webHidden/>
          </w:rPr>
        </w:r>
        <w:r w:rsidR="00C544C3" w:rsidRPr="0061711E">
          <w:rPr>
            <w:webHidden/>
          </w:rPr>
          <w:fldChar w:fldCharType="separate"/>
        </w:r>
        <w:r w:rsidR="002D27D9">
          <w:rPr>
            <w:webHidden/>
          </w:rPr>
          <w:t>34</w:t>
        </w:r>
        <w:r w:rsidR="00C544C3" w:rsidRPr="0061711E">
          <w:rPr>
            <w:webHidden/>
          </w:rPr>
          <w:fldChar w:fldCharType="end"/>
        </w:r>
      </w:hyperlink>
    </w:p>
    <w:p w14:paraId="4DC19D19" w14:textId="77777777" w:rsidR="00C544C3" w:rsidRPr="0061711E" w:rsidRDefault="00BA1293" w:rsidP="004F79A3">
      <w:pPr>
        <w:pStyle w:val="TOC2"/>
        <w:rPr>
          <w:rFonts w:cstheme="minorBidi"/>
        </w:rPr>
      </w:pPr>
      <w:hyperlink w:anchor="_Toc517687910" w:history="1">
        <w:r w:rsidR="00C544C3" w:rsidRPr="0061711E">
          <w:rPr>
            <w:rStyle w:val="Hyperlink"/>
          </w:rPr>
          <w:t>B.</w:t>
        </w:r>
        <w:r w:rsidR="00C544C3" w:rsidRPr="0061711E">
          <w:rPr>
            <w:rFonts w:cstheme="minorBidi"/>
          </w:rPr>
          <w:tab/>
        </w:r>
        <w:r w:rsidR="00C544C3" w:rsidRPr="0061711E">
          <w:rPr>
            <w:rStyle w:val="Hyperlink"/>
          </w:rPr>
          <w:t>Historical Overview of Discrimination and Racism in the United States</w:t>
        </w:r>
        <w:r w:rsidR="00C544C3" w:rsidRPr="0061711E">
          <w:rPr>
            <w:webHidden/>
          </w:rPr>
          <w:tab/>
        </w:r>
        <w:r w:rsidR="00C544C3" w:rsidRPr="0061711E">
          <w:rPr>
            <w:webHidden/>
          </w:rPr>
          <w:fldChar w:fldCharType="begin"/>
        </w:r>
        <w:r w:rsidR="00C544C3" w:rsidRPr="0061711E">
          <w:rPr>
            <w:webHidden/>
          </w:rPr>
          <w:instrText xml:space="preserve"> PAGEREF _Toc517687910 \h </w:instrText>
        </w:r>
        <w:r w:rsidR="00C544C3" w:rsidRPr="0061711E">
          <w:rPr>
            <w:webHidden/>
          </w:rPr>
        </w:r>
        <w:r w:rsidR="00C544C3" w:rsidRPr="0061711E">
          <w:rPr>
            <w:webHidden/>
          </w:rPr>
          <w:fldChar w:fldCharType="separate"/>
        </w:r>
        <w:r w:rsidR="002D27D9">
          <w:rPr>
            <w:webHidden/>
          </w:rPr>
          <w:t>37</w:t>
        </w:r>
        <w:r w:rsidR="00C544C3" w:rsidRPr="0061711E">
          <w:rPr>
            <w:webHidden/>
          </w:rPr>
          <w:fldChar w:fldCharType="end"/>
        </w:r>
      </w:hyperlink>
    </w:p>
    <w:p w14:paraId="17B4A166" w14:textId="77777777" w:rsidR="00C544C3" w:rsidRPr="0061711E" w:rsidRDefault="00BA1293" w:rsidP="004F79A3">
      <w:pPr>
        <w:pStyle w:val="TOC2"/>
        <w:rPr>
          <w:rFonts w:cstheme="minorBidi"/>
        </w:rPr>
      </w:pPr>
      <w:hyperlink w:anchor="_Toc517687911" w:history="1">
        <w:r w:rsidR="00C544C3" w:rsidRPr="0061711E">
          <w:rPr>
            <w:rStyle w:val="Hyperlink"/>
          </w:rPr>
          <w:t>C.</w:t>
        </w:r>
        <w:r w:rsidR="00C544C3" w:rsidRPr="0061711E">
          <w:rPr>
            <w:rFonts w:cstheme="minorBidi"/>
          </w:rPr>
          <w:tab/>
        </w:r>
        <w:r w:rsidR="00C544C3" w:rsidRPr="0061711E">
          <w:rPr>
            <w:rStyle w:val="Hyperlink"/>
          </w:rPr>
          <w:t>Key issues Identified through IACHR Monitoring Mechanisms</w:t>
        </w:r>
        <w:r w:rsidR="00C544C3" w:rsidRPr="0061711E">
          <w:rPr>
            <w:webHidden/>
          </w:rPr>
          <w:tab/>
        </w:r>
        <w:r w:rsidR="00C544C3" w:rsidRPr="0061711E">
          <w:rPr>
            <w:webHidden/>
          </w:rPr>
          <w:fldChar w:fldCharType="begin"/>
        </w:r>
        <w:r w:rsidR="00C544C3" w:rsidRPr="0061711E">
          <w:rPr>
            <w:webHidden/>
          </w:rPr>
          <w:instrText xml:space="preserve"> PAGEREF _Toc517687911 \h </w:instrText>
        </w:r>
        <w:r w:rsidR="00C544C3" w:rsidRPr="0061711E">
          <w:rPr>
            <w:webHidden/>
          </w:rPr>
        </w:r>
        <w:r w:rsidR="00C544C3" w:rsidRPr="0061711E">
          <w:rPr>
            <w:webHidden/>
          </w:rPr>
          <w:fldChar w:fldCharType="separate"/>
        </w:r>
        <w:r w:rsidR="002D27D9">
          <w:rPr>
            <w:webHidden/>
          </w:rPr>
          <w:t>46</w:t>
        </w:r>
        <w:r w:rsidR="00C544C3" w:rsidRPr="0061711E">
          <w:rPr>
            <w:webHidden/>
          </w:rPr>
          <w:fldChar w:fldCharType="end"/>
        </w:r>
      </w:hyperlink>
    </w:p>
    <w:p w14:paraId="07A08D51" w14:textId="77777777" w:rsidR="00C544C3" w:rsidRPr="0061711E" w:rsidRDefault="00BA1293" w:rsidP="0061711E">
      <w:pPr>
        <w:pStyle w:val="TOC3"/>
        <w:tabs>
          <w:tab w:val="right" w:pos="7560"/>
        </w:tabs>
        <w:rPr>
          <w:rFonts w:cstheme="minorBidi"/>
          <w:noProof/>
        </w:rPr>
      </w:pPr>
      <w:hyperlink w:anchor="_Toc517687912" w:history="1">
        <w:r w:rsidR="00C544C3" w:rsidRPr="0061711E">
          <w:rPr>
            <w:rStyle w:val="Hyperlink"/>
            <w:noProof/>
          </w:rPr>
          <w:t>1.</w:t>
        </w:r>
        <w:r w:rsidR="00C544C3" w:rsidRPr="0061711E">
          <w:rPr>
            <w:rFonts w:cstheme="minorBidi"/>
            <w:noProof/>
          </w:rPr>
          <w:tab/>
        </w:r>
        <w:r w:rsidR="00C544C3" w:rsidRPr="0061711E">
          <w:rPr>
            <w:rStyle w:val="Hyperlink"/>
            <w:noProof/>
          </w:rPr>
          <w:t>Aspects of Racial Discrimination in Policing Practices and Outcomes</w:t>
        </w:r>
        <w:r w:rsidR="00C544C3" w:rsidRPr="0061711E">
          <w:rPr>
            <w:noProof/>
            <w:webHidden/>
          </w:rPr>
          <w:tab/>
        </w:r>
        <w:r w:rsidR="00C544C3" w:rsidRPr="0061711E">
          <w:rPr>
            <w:noProof/>
            <w:webHidden/>
          </w:rPr>
          <w:fldChar w:fldCharType="begin"/>
        </w:r>
        <w:r w:rsidR="00C544C3" w:rsidRPr="0061711E">
          <w:rPr>
            <w:noProof/>
            <w:webHidden/>
          </w:rPr>
          <w:instrText xml:space="preserve"> PAGEREF _Toc517687912 \h </w:instrText>
        </w:r>
        <w:r w:rsidR="00C544C3" w:rsidRPr="0061711E">
          <w:rPr>
            <w:noProof/>
            <w:webHidden/>
          </w:rPr>
        </w:r>
        <w:r w:rsidR="00C544C3" w:rsidRPr="0061711E">
          <w:rPr>
            <w:noProof/>
            <w:webHidden/>
          </w:rPr>
          <w:fldChar w:fldCharType="separate"/>
        </w:r>
        <w:r w:rsidR="002D27D9">
          <w:rPr>
            <w:noProof/>
            <w:webHidden/>
          </w:rPr>
          <w:t>47</w:t>
        </w:r>
        <w:r w:rsidR="00C544C3" w:rsidRPr="0061711E">
          <w:rPr>
            <w:noProof/>
            <w:webHidden/>
          </w:rPr>
          <w:fldChar w:fldCharType="end"/>
        </w:r>
      </w:hyperlink>
    </w:p>
    <w:p w14:paraId="355A05F0" w14:textId="77777777" w:rsidR="00C544C3" w:rsidRPr="0061711E" w:rsidRDefault="00BA1293" w:rsidP="004F79A3">
      <w:pPr>
        <w:pStyle w:val="TOC4"/>
        <w:tabs>
          <w:tab w:val="left" w:pos="1100"/>
          <w:tab w:val="right" w:pos="7560"/>
          <w:tab w:val="right" w:pos="9350"/>
        </w:tabs>
        <w:ind w:firstLine="60"/>
        <w:rPr>
          <w:rFonts w:asciiTheme="minorHAnsi" w:eastAsiaTheme="minorEastAsia" w:hAnsiTheme="minorHAnsi" w:cstheme="minorBidi"/>
          <w:noProof/>
        </w:rPr>
      </w:pPr>
      <w:hyperlink w:anchor="_Toc517687913" w:history="1">
        <w:r w:rsidR="00C544C3" w:rsidRPr="0061711E">
          <w:rPr>
            <w:rStyle w:val="Hyperlink"/>
            <w:rFonts w:asciiTheme="minorHAnsi" w:hAnsiTheme="minorHAnsi"/>
            <w:noProof/>
          </w:rPr>
          <w:t>a.</w:t>
        </w:r>
        <w:r w:rsidR="00C544C3" w:rsidRPr="0061711E">
          <w:rPr>
            <w:rFonts w:asciiTheme="minorHAnsi" w:eastAsiaTheme="minorEastAsia" w:hAnsiTheme="minorHAnsi" w:cstheme="minorBidi"/>
            <w:noProof/>
          </w:rPr>
          <w:tab/>
        </w:r>
        <w:r w:rsidR="00C544C3" w:rsidRPr="0061711E">
          <w:rPr>
            <w:rStyle w:val="Hyperlink"/>
            <w:rFonts w:asciiTheme="minorHAnsi" w:hAnsiTheme="minorHAnsi"/>
            <w:noProof/>
          </w:rPr>
          <w:t>Over-Policing and Racial Profiling of African Americans</w:t>
        </w:r>
        <w:r w:rsidR="00C544C3" w:rsidRPr="0061711E">
          <w:rPr>
            <w:rFonts w:asciiTheme="minorHAnsi" w:hAnsiTheme="minorHAnsi"/>
            <w:noProof/>
            <w:webHidden/>
          </w:rPr>
          <w:tab/>
        </w:r>
        <w:r w:rsidR="00C544C3" w:rsidRPr="0061711E">
          <w:rPr>
            <w:rFonts w:asciiTheme="minorHAnsi" w:hAnsiTheme="minorHAnsi"/>
            <w:noProof/>
            <w:webHidden/>
          </w:rPr>
          <w:fldChar w:fldCharType="begin"/>
        </w:r>
        <w:r w:rsidR="00C544C3" w:rsidRPr="0061711E">
          <w:rPr>
            <w:rFonts w:asciiTheme="minorHAnsi" w:hAnsiTheme="minorHAnsi"/>
            <w:noProof/>
            <w:webHidden/>
          </w:rPr>
          <w:instrText xml:space="preserve"> PAGEREF _Toc517687913 \h </w:instrText>
        </w:r>
        <w:r w:rsidR="00C544C3" w:rsidRPr="0061711E">
          <w:rPr>
            <w:rFonts w:asciiTheme="minorHAnsi" w:hAnsiTheme="minorHAnsi"/>
            <w:noProof/>
            <w:webHidden/>
          </w:rPr>
        </w:r>
        <w:r w:rsidR="00C544C3" w:rsidRPr="0061711E">
          <w:rPr>
            <w:rFonts w:asciiTheme="minorHAnsi" w:hAnsiTheme="minorHAnsi"/>
            <w:noProof/>
            <w:webHidden/>
          </w:rPr>
          <w:fldChar w:fldCharType="separate"/>
        </w:r>
        <w:r w:rsidR="002D27D9">
          <w:rPr>
            <w:rFonts w:asciiTheme="minorHAnsi" w:hAnsiTheme="minorHAnsi"/>
            <w:noProof/>
            <w:webHidden/>
          </w:rPr>
          <w:t>48</w:t>
        </w:r>
        <w:r w:rsidR="00C544C3" w:rsidRPr="0061711E">
          <w:rPr>
            <w:rFonts w:asciiTheme="minorHAnsi" w:hAnsiTheme="minorHAnsi"/>
            <w:noProof/>
            <w:webHidden/>
          </w:rPr>
          <w:fldChar w:fldCharType="end"/>
        </w:r>
      </w:hyperlink>
    </w:p>
    <w:p w14:paraId="59A293CA" w14:textId="77777777" w:rsidR="00C544C3" w:rsidRPr="0061711E" w:rsidRDefault="00BA1293" w:rsidP="004F79A3">
      <w:pPr>
        <w:pStyle w:val="TOC4"/>
        <w:tabs>
          <w:tab w:val="left" w:pos="1100"/>
          <w:tab w:val="right" w:pos="7560"/>
          <w:tab w:val="right" w:pos="9350"/>
        </w:tabs>
        <w:ind w:firstLine="60"/>
        <w:rPr>
          <w:rFonts w:asciiTheme="minorHAnsi" w:eastAsiaTheme="minorEastAsia" w:hAnsiTheme="minorHAnsi" w:cstheme="minorBidi"/>
          <w:noProof/>
        </w:rPr>
      </w:pPr>
      <w:hyperlink w:anchor="_Toc517687914" w:history="1">
        <w:r w:rsidR="00C544C3" w:rsidRPr="0061711E">
          <w:rPr>
            <w:rStyle w:val="Hyperlink"/>
            <w:rFonts w:asciiTheme="minorHAnsi" w:hAnsiTheme="minorHAnsi"/>
            <w:noProof/>
          </w:rPr>
          <w:t>b.</w:t>
        </w:r>
        <w:r w:rsidR="00C544C3" w:rsidRPr="0061711E">
          <w:rPr>
            <w:rFonts w:asciiTheme="minorHAnsi" w:eastAsiaTheme="minorEastAsia" w:hAnsiTheme="minorHAnsi" w:cstheme="minorBidi"/>
            <w:noProof/>
          </w:rPr>
          <w:tab/>
        </w:r>
        <w:r w:rsidR="00C544C3" w:rsidRPr="0061711E">
          <w:rPr>
            <w:rStyle w:val="Hyperlink"/>
            <w:rFonts w:asciiTheme="minorHAnsi" w:hAnsiTheme="minorHAnsi"/>
            <w:noProof/>
          </w:rPr>
          <w:t>Militarization of Police Forces</w:t>
        </w:r>
        <w:r w:rsidR="00C544C3" w:rsidRPr="0061711E">
          <w:rPr>
            <w:rFonts w:asciiTheme="minorHAnsi" w:hAnsiTheme="minorHAnsi"/>
            <w:noProof/>
            <w:webHidden/>
          </w:rPr>
          <w:tab/>
        </w:r>
        <w:r w:rsidR="00C544C3" w:rsidRPr="0061711E">
          <w:rPr>
            <w:rFonts w:asciiTheme="minorHAnsi" w:hAnsiTheme="minorHAnsi"/>
            <w:noProof/>
            <w:webHidden/>
          </w:rPr>
          <w:fldChar w:fldCharType="begin"/>
        </w:r>
        <w:r w:rsidR="00C544C3" w:rsidRPr="0061711E">
          <w:rPr>
            <w:rFonts w:asciiTheme="minorHAnsi" w:hAnsiTheme="minorHAnsi"/>
            <w:noProof/>
            <w:webHidden/>
          </w:rPr>
          <w:instrText xml:space="preserve"> PAGEREF _Toc517687914 \h </w:instrText>
        </w:r>
        <w:r w:rsidR="00C544C3" w:rsidRPr="0061711E">
          <w:rPr>
            <w:rFonts w:asciiTheme="minorHAnsi" w:hAnsiTheme="minorHAnsi"/>
            <w:noProof/>
            <w:webHidden/>
          </w:rPr>
        </w:r>
        <w:r w:rsidR="00C544C3" w:rsidRPr="0061711E">
          <w:rPr>
            <w:rFonts w:asciiTheme="minorHAnsi" w:hAnsiTheme="minorHAnsi"/>
            <w:noProof/>
            <w:webHidden/>
          </w:rPr>
          <w:fldChar w:fldCharType="separate"/>
        </w:r>
        <w:r w:rsidR="002D27D9">
          <w:rPr>
            <w:rFonts w:asciiTheme="minorHAnsi" w:hAnsiTheme="minorHAnsi"/>
            <w:noProof/>
            <w:webHidden/>
          </w:rPr>
          <w:t>56</w:t>
        </w:r>
        <w:r w:rsidR="00C544C3" w:rsidRPr="0061711E">
          <w:rPr>
            <w:rFonts w:asciiTheme="minorHAnsi" w:hAnsiTheme="minorHAnsi"/>
            <w:noProof/>
            <w:webHidden/>
          </w:rPr>
          <w:fldChar w:fldCharType="end"/>
        </w:r>
      </w:hyperlink>
    </w:p>
    <w:p w14:paraId="4D0C90C9" w14:textId="77777777" w:rsidR="00C544C3" w:rsidRPr="0061711E" w:rsidRDefault="00BA1293" w:rsidP="004F79A3">
      <w:pPr>
        <w:pStyle w:val="TOC4"/>
        <w:tabs>
          <w:tab w:val="left" w:pos="1100"/>
          <w:tab w:val="right" w:pos="7560"/>
          <w:tab w:val="right" w:pos="9350"/>
        </w:tabs>
        <w:ind w:firstLine="60"/>
        <w:rPr>
          <w:rFonts w:asciiTheme="minorHAnsi" w:eastAsiaTheme="minorEastAsia" w:hAnsiTheme="minorHAnsi" w:cstheme="minorBidi"/>
          <w:noProof/>
        </w:rPr>
      </w:pPr>
      <w:hyperlink w:anchor="_Toc517687915" w:history="1">
        <w:r w:rsidR="00C544C3" w:rsidRPr="0061711E">
          <w:rPr>
            <w:rStyle w:val="Hyperlink"/>
            <w:rFonts w:asciiTheme="minorHAnsi" w:hAnsiTheme="minorHAnsi"/>
            <w:noProof/>
          </w:rPr>
          <w:t>c.</w:t>
        </w:r>
        <w:r w:rsidR="00C544C3" w:rsidRPr="0061711E">
          <w:rPr>
            <w:rFonts w:asciiTheme="minorHAnsi" w:eastAsiaTheme="minorEastAsia" w:hAnsiTheme="minorHAnsi" w:cstheme="minorBidi"/>
            <w:noProof/>
          </w:rPr>
          <w:tab/>
        </w:r>
        <w:r w:rsidR="00C544C3" w:rsidRPr="0061711E">
          <w:rPr>
            <w:rStyle w:val="Hyperlink"/>
            <w:rFonts w:asciiTheme="minorHAnsi" w:hAnsiTheme="minorHAnsi"/>
            <w:noProof/>
          </w:rPr>
          <w:t>Police Use of Excessive Force</w:t>
        </w:r>
        <w:r w:rsidR="00C544C3" w:rsidRPr="0061711E">
          <w:rPr>
            <w:rFonts w:asciiTheme="minorHAnsi" w:hAnsiTheme="minorHAnsi"/>
            <w:noProof/>
            <w:webHidden/>
          </w:rPr>
          <w:tab/>
        </w:r>
        <w:r w:rsidR="00C544C3" w:rsidRPr="0061711E">
          <w:rPr>
            <w:rFonts w:asciiTheme="minorHAnsi" w:hAnsiTheme="minorHAnsi"/>
            <w:noProof/>
            <w:webHidden/>
          </w:rPr>
          <w:fldChar w:fldCharType="begin"/>
        </w:r>
        <w:r w:rsidR="00C544C3" w:rsidRPr="0061711E">
          <w:rPr>
            <w:rFonts w:asciiTheme="minorHAnsi" w:hAnsiTheme="minorHAnsi"/>
            <w:noProof/>
            <w:webHidden/>
          </w:rPr>
          <w:instrText xml:space="preserve"> PAGEREF _Toc517687915 \h </w:instrText>
        </w:r>
        <w:r w:rsidR="00C544C3" w:rsidRPr="0061711E">
          <w:rPr>
            <w:rFonts w:asciiTheme="minorHAnsi" w:hAnsiTheme="minorHAnsi"/>
            <w:noProof/>
            <w:webHidden/>
          </w:rPr>
        </w:r>
        <w:r w:rsidR="00C544C3" w:rsidRPr="0061711E">
          <w:rPr>
            <w:rFonts w:asciiTheme="minorHAnsi" w:hAnsiTheme="minorHAnsi"/>
            <w:noProof/>
            <w:webHidden/>
          </w:rPr>
          <w:fldChar w:fldCharType="separate"/>
        </w:r>
        <w:r w:rsidR="002D27D9">
          <w:rPr>
            <w:rFonts w:asciiTheme="minorHAnsi" w:hAnsiTheme="minorHAnsi"/>
            <w:noProof/>
            <w:webHidden/>
          </w:rPr>
          <w:t>58</w:t>
        </w:r>
        <w:r w:rsidR="00C544C3" w:rsidRPr="0061711E">
          <w:rPr>
            <w:rFonts w:asciiTheme="minorHAnsi" w:hAnsiTheme="minorHAnsi"/>
            <w:noProof/>
            <w:webHidden/>
          </w:rPr>
          <w:fldChar w:fldCharType="end"/>
        </w:r>
      </w:hyperlink>
    </w:p>
    <w:p w14:paraId="761B5824" w14:textId="77777777" w:rsidR="00C544C3" w:rsidRPr="0061711E" w:rsidRDefault="00BA1293" w:rsidP="004F79A3">
      <w:pPr>
        <w:pStyle w:val="TOC4"/>
        <w:tabs>
          <w:tab w:val="left" w:pos="1100"/>
          <w:tab w:val="right" w:pos="7560"/>
          <w:tab w:val="right" w:pos="9350"/>
        </w:tabs>
        <w:ind w:firstLine="60"/>
        <w:rPr>
          <w:rFonts w:asciiTheme="minorHAnsi" w:eastAsiaTheme="minorEastAsia" w:hAnsiTheme="minorHAnsi" w:cstheme="minorBidi"/>
          <w:noProof/>
        </w:rPr>
      </w:pPr>
      <w:hyperlink w:anchor="_Toc517687916" w:history="1">
        <w:r w:rsidR="00C544C3" w:rsidRPr="0061711E">
          <w:rPr>
            <w:rStyle w:val="Hyperlink"/>
            <w:rFonts w:asciiTheme="minorHAnsi" w:hAnsiTheme="minorHAnsi"/>
            <w:noProof/>
          </w:rPr>
          <w:t>d.</w:t>
        </w:r>
        <w:r w:rsidR="00C544C3" w:rsidRPr="0061711E">
          <w:rPr>
            <w:rFonts w:asciiTheme="minorHAnsi" w:eastAsiaTheme="minorEastAsia" w:hAnsiTheme="minorHAnsi" w:cstheme="minorBidi"/>
            <w:noProof/>
          </w:rPr>
          <w:tab/>
        </w:r>
        <w:r w:rsidR="00C544C3" w:rsidRPr="0061711E">
          <w:rPr>
            <w:rStyle w:val="Hyperlink"/>
            <w:rFonts w:asciiTheme="minorHAnsi" w:hAnsiTheme="minorHAnsi"/>
            <w:noProof/>
          </w:rPr>
          <w:t>Impunity in Cases of Police Killings</w:t>
        </w:r>
        <w:r w:rsidR="00C544C3" w:rsidRPr="0061711E">
          <w:rPr>
            <w:rFonts w:asciiTheme="minorHAnsi" w:hAnsiTheme="minorHAnsi"/>
            <w:noProof/>
            <w:webHidden/>
          </w:rPr>
          <w:tab/>
        </w:r>
        <w:r w:rsidR="00C544C3" w:rsidRPr="0061711E">
          <w:rPr>
            <w:rFonts w:asciiTheme="minorHAnsi" w:hAnsiTheme="minorHAnsi"/>
            <w:noProof/>
            <w:webHidden/>
          </w:rPr>
          <w:fldChar w:fldCharType="begin"/>
        </w:r>
        <w:r w:rsidR="00C544C3" w:rsidRPr="0061711E">
          <w:rPr>
            <w:rFonts w:asciiTheme="minorHAnsi" w:hAnsiTheme="minorHAnsi"/>
            <w:noProof/>
            <w:webHidden/>
          </w:rPr>
          <w:instrText xml:space="preserve"> PAGEREF _Toc517687916 \h </w:instrText>
        </w:r>
        <w:r w:rsidR="00C544C3" w:rsidRPr="0061711E">
          <w:rPr>
            <w:rFonts w:asciiTheme="minorHAnsi" w:hAnsiTheme="minorHAnsi"/>
            <w:noProof/>
            <w:webHidden/>
          </w:rPr>
        </w:r>
        <w:r w:rsidR="00C544C3" w:rsidRPr="0061711E">
          <w:rPr>
            <w:rFonts w:asciiTheme="minorHAnsi" w:hAnsiTheme="minorHAnsi"/>
            <w:noProof/>
            <w:webHidden/>
          </w:rPr>
          <w:fldChar w:fldCharType="separate"/>
        </w:r>
        <w:r w:rsidR="002D27D9">
          <w:rPr>
            <w:rFonts w:asciiTheme="minorHAnsi" w:hAnsiTheme="minorHAnsi"/>
            <w:noProof/>
            <w:webHidden/>
          </w:rPr>
          <w:t>65</w:t>
        </w:r>
        <w:r w:rsidR="00C544C3" w:rsidRPr="0061711E">
          <w:rPr>
            <w:rFonts w:asciiTheme="minorHAnsi" w:hAnsiTheme="minorHAnsi"/>
            <w:noProof/>
            <w:webHidden/>
          </w:rPr>
          <w:fldChar w:fldCharType="end"/>
        </w:r>
      </w:hyperlink>
    </w:p>
    <w:p w14:paraId="12115737" w14:textId="77777777" w:rsidR="00C544C3" w:rsidRPr="0061711E" w:rsidRDefault="00BA1293" w:rsidP="004F79A3">
      <w:pPr>
        <w:pStyle w:val="TOC4"/>
        <w:tabs>
          <w:tab w:val="left" w:pos="1100"/>
          <w:tab w:val="right" w:pos="7560"/>
          <w:tab w:val="right" w:pos="9350"/>
        </w:tabs>
        <w:ind w:firstLine="60"/>
        <w:rPr>
          <w:rFonts w:asciiTheme="minorHAnsi" w:eastAsiaTheme="minorEastAsia" w:hAnsiTheme="minorHAnsi" w:cstheme="minorBidi"/>
          <w:noProof/>
        </w:rPr>
      </w:pPr>
      <w:hyperlink w:anchor="_Toc517687917" w:history="1">
        <w:r w:rsidR="00C544C3" w:rsidRPr="0061711E">
          <w:rPr>
            <w:rStyle w:val="Hyperlink"/>
            <w:rFonts w:asciiTheme="minorHAnsi" w:hAnsiTheme="minorHAnsi"/>
            <w:noProof/>
          </w:rPr>
          <w:t>e.</w:t>
        </w:r>
        <w:r w:rsidR="00C544C3" w:rsidRPr="0061711E">
          <w:rPr>
            <w:rFonts w:asciiTheme="minorHAnsi" w:eastAsiaTheme="minorEastAsia" w:hAnsiTheme="minorHAnsi" w:cstheme="minorBidi"/>
            <w:noProof/>
          </w:rPr>
          <w:tab/>
        </w:r>
        <w:r w:rsidR="00C544C3" w:rsidRPr="0061711E">
          <w:rPr>
            <w:rStyle w:val="Hyperlink"/>
            <w:rFonts w:asciiTheme="minorHAnsi" w:hAnsiTheme="minorHAnsi"/>
            <w:noProof/>
          </w:rPr>
          <w:t>Police Responses to Protests</w:t>
        </w:r>
        <w:r w:rsidR="00C544C3" w:rsidRPr="0061711E">
          <w:rPr>
            <w:rFonts w:asciiTheme="minorHAnsi" w:hAnsiTheme="minorHAnsi"/>
            <w:noProof/>
            <w:webHidden/>
          </w:rPr>
          <w:tab/>
        </w:r>
        <w:r w:rsidR="00C544C3" w:rsidRPr="0061711E">
          <w:rPr>
            <w:rFonts w:asciiTheme="minorHAnsi" w:hAnsiTheme="minorHAnsi"/>
            <w:noProof/>
            <w:webHidden/>
          </w:rPr>
          <w:fldChar w:fldCharType="begin"/>
        </w:r>
        <w:r w:rsidR="00C544C3" w:rsidRPr="0061711E">
          <w:rPr>
            <w:rFonts w:asciiTheme="minorHAnsi" w:hAnsiTheme="minorHAnsi"/>
            <w:noProof/>
            <w:webHidden/>
          </w:rPr>
          <w:instrText xml:space="preserve"> PAGEREF _Toc517687917 \h </w:instrText>
        </w:r>
        <w:r w:rsidR="00C544C3" w:rsidRPr="0061711E">
          <w:rPr>
            <w:rFonts w:asciiTheme="minorHAnsi" w:hAnsiTheme="minorHAnsi"/>
            <w:noProof/>
            <w:webHidden/>
          </w:rPr>
        </w:r>
        <w:r w:rsidR="00C544C3" w:rsidRPr="0061711E">
          <w:rPr>
            <w:rFonts w:asciiTheme="minorHAnsi" w:hAnsiTheme="minorHAnsi"/>
            <w:noProof/>
            <w:webHidden/>
          </w:rPr>
          <w:fldChar w:fldCharType="separate"/>
        </w:r>
        <w:r w:rsidR="002D27D9">
          <w:rPr>
            <w:rFonts w:asciiTheme="minorHAnsi" w:hAnsiTheme="minorHAnsi"/>
            <w:noProof/>
            <w:webHidden/>
          </w:rPr>
          <w:t>72</w:t>
        </w:r>
        <w:r w:rsidR="00C544C3" w:rsidRPr="0061711E">
          <w:rPr>
            <w:rFonts w:asciiTheme="minorHAnsi" w:hAnsiTheme="minorHAnsi"/>
            <w:noProof/>
            <w:webHidden/>
          </w:rPr>
          <w:fldChar w:fldCharType="end"/>
        </w:r>
      </w:hyperlink>
    </w:p>
    <w:p w14:paraId="3E4B8F4E" w14:textId="77777777" w:rsidR="00C544C3" w:rsidRPr="0061711E" w:rsidRDefault="00BA1293" w:rsidP="0061711E">
      <w:pPr>
        <w:pStyle w:val="TOC3"/>
        <w:tabs>
          <w:tab w:val="right" w:pos="7560"/>
        </w:tabs>
        <w:rPr>
          <w:rFonts w:cstheme="minorBidi"/>
          <w:noProof/>
        </w:rPr>
      </w:pPr>
      <w:hyperlink w:anchor="_Toc517687918" w:history="1">
        <w:r w:rsidR="00C544C3" w:rsidRPr="0061711E">
          <w:rPr>
            <w:rStyle w:val="Hyperlink"/>
            <w:noProof/>
          </w:rPr>
          <w:t>2.</w:t>
        </w:r>
        <w:r w:rsidR="00C544C3" w:rsidRPr="0061711E">
          <w:rPr>
            <w:rFonts w:cstheme="minorBidi"/>
            <w:noProof/>
          </w:rPr>
          <w:tab/>
        </w:r>
        <w:r w:rsidR="00C544C3" w:rsidRPr="0061711E">
          <w:rPr>
            <w:rStyle w:val="Hyperlink"/>
            <w:noProof/>
          </w:rPr>
          <w:t>Aspects of Racial Discrimination in the Criminal Justice System</w:t>
        </w:r>
        <w:r w:rsidR="00C544C3" w:rsidRPr="0061711E">
          <w:rPr>
            <w:noProof/>
            <w:webHidden/>
          </w:rPr>
          <w:tab/>
        </w:r>
        <w:r w:rsidR="00C544C3" w:rsidRPr="0061711E">
          <w:rPr>
            <w:noProof/>
            <w:webHidden/>
          </w:rPr>
          <w:fldChar w:fldCharType="begin"/>
        </w:r>
        <w:r w:rsidR="00C544C3" w:rsidRPr="0061711E">
          <w:rPr>
            <w:noProof/>
            <w:webHidden/>
          </w:rPr>
          <w:instrText xml:space="preserve"> PAGEREF _Toc517687918 \h </w:instrText>
        </w:r>
        <w:r w:rsidR="00C544C3" w:rsidRPr="0061711E">
          <w:rPr>
            <w:noProof/>
            <w:webHidden/>
          </w:rPr>
        </w:r>
        <w:r w:rsidR="00C544C3" w:rsidRPr="0061711E">
          <w:rPr>
            <w:noProof/>
            <w:webHidden/>
          </w:rPr>
          <w:fldChar w:fldCharType="separate"/>
        </w:r>
        <w:r w:rsidR="002D27D9">
          <w:rPr>
            <w:noProof/>
            <w:webHidden/>
          </w:rPr>
          <w:t>76</w:t>
        </w:r>
        <w:r w:rsidR="00C544C3" w:rsidRPr="0061711E">
          <w:rPr>
            <w:noProof/>
            <w:webHidden/>
          </w:rPr>
          <w:fldChar w:fldCharType="end"/>
        </w:r>
      </w:hyperlink>
    </w:p>
    <w:p w14:paraId="73C57142" w14:textId="77777777" w:rsidR="00C544C3" w:rsidRPr="0061711E" w:rsidRDefault="00BA1293" w:rsidP="004F79A3">
      <w:pPr>
        <w:pStyle w:val="TOC4"/>
        <w:tabs>
          <w:tab w:val="left" w:pos="1100"/>
          <w:tab w:val="right" w:pos="7560"/>
          <w:tab w:val="right" w:pos="9350"/>
        </w:tabs>
        <w:ind w:firstLine="60"/>
        <w:rPr>
          <w:rFonts w:asciiTheme="minorHAnsi" w:eastAsiaTheme="minorEastAsia" w:hAnsiTheme="minorHAnsi" w:cstheme="minorBidi"/>
          <w:noProof/>
        </w:rPr>
      </w:pPr>
      <w:hyperlink w:anchor="_Toc517687919" w:history="1">
        <w:r w:rsidR="00C544C3" w:rsidRPr="0061711E">
          <w:rPr>
            <w:rStyle w:val="Hyperlink"/>
            <w:rFonts w:asciiTheme="minorHAnsi" w:hAnsiTheme="minorHAnsi"/>
            <w:noProof/>
          </w:rPr>
          <w:t>a.</w:t>
        </w:r>
        <w:r w:rsidR="00C544C3" w:rsidRPr="0061711E">
          <w:rPr>
            <w:rFonts w:asciiTheme="minorHAnsi" w:eastAsiaTheme="minorEastAsia" w:hAnsiTheme="minorHAnsi" w:cstheme="minorBidi"/>
            <w:noProof/>
          </w:rPr>
          <w:tab/>
        </w:r>
        <w:r w:rsidR="00C544C3" w:rsidRPr="0061711E">
          <w:rPr>
            <w:rStyle w:val="Hyperlink"/>
            <w:rFonts w:asciiTheme="minorHAnsi" w:hAnsiTheme="minorHAnsi"/>
            <w:noProof/>
          </w:rPr>
          <w:t>Racial Disparities in Arrests</w:t>
        </w:r>
        <w:r w:rsidR="00C544C3" w:rsidRPr="0061711E">
          <w:rPr>
            <w:rFonts w:asciiTheme="minorHAnsi" w:hAnsiTheme="minorHAnsi"/>
            <w:noProof/>
            <w:webHidden/>
          </w:rPr>
          <w:tab/>
        </w:r>
        <w:r w:rsidR="00C544C3" w:rsidRPr="0061711E">
          <w:rPr>
            <w:rFonts w:asciiTheme="minorHAnsi" w:hAnsiTheme="minorHAnsi"/>
            <w:noProof/>
            <w:webHidden/>
          </w:rPr>
          <w:fldChar w:fldCharType="begin"/>
        </w:r>
        <w:r w:rsidR="00C544C3" w:rsidRPr="0061711E">
          <w:rPr>
            <w:rFonts w:asciiTheme="minorHAnsi" w:hAnsiTheme="minorHAnsi"/>
            <w:noProof/>
            <w:webHidden/>
          </w:rPr>
          <w:instrText xml:space="preserve"> PAGEREF _Toc517687919 \h </w:instrText>
        </w:r>
        <w:r w:rsidR="00C544C3" w:rsidRPr="0061711E">
          <w:rPr>
            <w:rFonts w:asciiTheme="minorHAnsi" w:hAnsiTheme="minorHAnsi"/>
            <w:noProof/>
            <w:webHidden/>
          </w:rPr>
        </w:r>
        <w:r w:rsidR="00C544C3" w:rsidRPr="0061711E">
          <w:rPr>
            <w:rFonts w:asciiTheme="minorHAnsi" w:hAnsiTheme="minorHAnsi"/>
            <w:noProof/>
            <w:webHidden/>
          </w:rPr>
          <w:fldChar w:fldCharType="separate"/>
        </w:r>
        <w:r w:rsidR="002D27D9">
          <w:rPr>
            <w:rFonts w:asciiTheme="minorHAnsi" w:hAnsiTheme="minorHAnsi"/>
            <w:noProof/>
            <w:webHidden/>
          </w:rPr>
          <w:t>76</w:t>
        </w:r>
        <w:r w:rsidR="00C544C3" w:rsidRPr="0061711E">
          <w:rPr>
            <w:rFonts w:asciiTheme="minorHAnsi" w:hAnsiTheme="minorHAnsi"/>
            <w:noProof/>
            <w:webHidden/>
          </w:rPr>
          <w:fldChar w:fldCharType="end"/>
        </w:r>
      </w:hyperlink>
    </w:p>
    <w:p w14:paraId="7896ED94" w14:textId="48999327" w:rsidR="00C544C3" w:rsidRPr="0061711E" w:rsidRDefault="00BA1293" w:rsidP="004F79A3">
      <w:pPr>
        <w:pStyle w:val="TOC4"/>
        <w:tabs>
          <w:tab w:val="left" w:pos="1100"/>
          <w:tab w:val="right" w:pos="7560"/>
          <w:tab w:val="right" w:pos="9350"/>
        </w:tabs>
        <w:ind w:left="1095" w:hanging="375"/>
        <w:rPr>
          <w:rFonts w:asciiTheme="minorHAnsi" w:eastAsiaTheme="minorEastAsia" w:hAnsiTheme="minorHAnsi" w:cstheme="minorBidi"/>
          <w:noProof/>
        </w:rPr>
      </w:pPr>
      <w:hyperlink w:anchor="_Toc517687920" w:history="1">
        <w:r w:rsidR="00C544C3" w:rsidRPr="0061711E">
          <w:rPr>
            <w:rStyle w:val="Hyperlink"/>
            <w:rFonts w:asciiTheme="minorHAnsi" w:hAnsiTheme="minorHAnsi"/>
            <w:noProof/>
          </w:rPr>
          <w:t>b.</w:t>
        </w:r>
        <w:r w:rsidR="00C544C3" w:rsidRPr="0061711E">
          <w:rPr>
            <w:rFonts w:asciiTheme="minorHAnsi" w:eastAsiaTheme="minorEastAsia" w:hAnsiTheme="minorHAnsi" w:cstheme="minorBidi"/>
            <w:noProof/>
          </w:rPr>
          <w:tab/>
        </w:r>
        <w:r w:rsidR="00C544C3" w:rsidRPr="0061711E">
          <w:rPr>
            <w:rStyle w:val="Hyperlink"/>
            <w:rFonts w:asciiTheme="minorHAnsi" w:hAnsiTheme="minorHAnsi"/>
            <w:noProof/>
          </w:rPr>
          <w:t>Racial Disparities in Access to Counsel, Pleas, Sentencing, Incarceration, and Re-Incarceration</w:t>
        </w:r>
        <w:r w:rsidR="00C544C3" w:rsidRPr="0061711E">
          <w:rPr>
            <w:rFonts w:asciiTheme="minorHAnsi" w:hAnsiTheme="minorHAnsi"/>
            <w:noProof/>
            <w:webHidden/>
          </w:rPr>
          <w:tab/>
        </w:r>
        <w:r w:rsidR="00C544C3" w:rsidRPr="0061711E">
          <w:rPr>
            <w:rFonts w:asciiTheme="minorHAnsi" w:hAnsiTheme="minorHAnsi"/>
            <w:noProof/>
            <w:webHidden/>
          </w:rPr>
          <w:fldChar w:fldCharType="begin"/>
        </w:r>
        <w:r w:rsidR="00C544C3" w:rsidRPr="0061711E">
          <w:rPr>
            <w:rFonts w:asciiTheme="minorHAnsi" w:hAnsiTheme="minorHAnsi"/>
            <w:noProof/>
            <w:webHidden/>
          </w:rPr>
          <w:instrText xml:space="preserve"> PAGEREF _Toc517687920 \h </w:instrText>
        </w:r>
        <w:r w:rsidR="00C544C3" w:rsidRPr="0061711E">
          <w:rPr>
            <w:rFonts w:asciiTheme="minorHAnsi" w:hAnsiTheme="minorHAnsi"/>
            <w:noProof/>
            <w:webHidden/>
          </w:rPr>
        </w:r>
        <w:r w:rsidR="00C544C3" w:rsidRPr="0061711E">
          <w:rPr>
            <w:rFonts w:asciiTheme="minorHAnsi" w:hAnsiTheme="minorHAnsi"/>
            <w:noProof/>
            <w:webHidden/>
          </w:rPr>
          <w:fldChar w:fldCharType="separate"/>
        </w:r>
        <w:r w:rsidR="002D27D9">
          <w:rPr>
            <w:rFonts w:asciiTheme="minorHAnsi" w:hAnsiTheme="minorHAnsi"/>
            <w:noProof/>
            <w:webHidden/>
          </w:rPr>
          <w:t>79</w:t>
        </w:r>
        <w:r w:rsidR="00C544C3" w:rsidRPr="0061711E">
          <w:rPr>
            <w:rFonts w:asciiTheme="minorHAnsi" w:hAnsiTheme="minorHAnsi"/>
            <w:noProof/>
            <w:webHidden/>
          </w:rPr>
          <w:fldChar w:fldCharType="end"/>
        </w:r>
      </w:hyperlink>
    </w:p>
    <w:p w14:paraId="512549AA" w14:textId="77777777" w:rsidR="00C544C3" w:rsidRPr="0061711E" w:rsidRDefault="00BA1293" w:rsidP="004F79A3">
      <w:pPr>
        <w:pStyle w:val="TOC4"/>
        <w:tabs>
          <w:tab w:val="left" w:pos="1100"/>
          <w:tab w:val="right" w:pos="7560"/>
          <w:tab w:val="right" w:pos="9350"/>
        </w:tabs>
        <w:ind w:firstLine="60"/>
        <w:rPr>
          <w:rFonts w:asciiTheme="minorHAnsi" w:eastAsiaTheme="minorEastAsia" w:hAnsiTheme="minorHAnsi" w:cstheme="minorBidi"/>
          <w:noProof/>
        </w:rPr>
      </w:pPr>
      <w:hyperlink w:anchor="_Toc517687921" w:history="1">
        <w:r w:rsidR="00C544C3" w:rsidRPr="0061711E">
          <w:rPr>
            <w:rStyle w:val="Hyperlink"/>
            <w:rFonts w:asciiTheme="minorHAnsi" w:hAnsiTheme="minorHAnsi"/>
            <w:noProof/>
          </w:rPr>
          <w:t>c.</w:t>
        </w:r>
        <w:r w:rsidR="00C544C3" w:rsidRPr="0061711E">
          <w:rPr>
            <w:rFonts w:asciiTheme="minorHAnsi" w:eastAsiaTheme="minorEastAsia" w:hAnsiTheme="minorHAnsi" w:cstheme="minorBidi"/>
            <w:noProof/>
          </w:rPr>
          <w:tab/>
        </w:r>
        <w:r w:rsidR="00C544C3" w:rsidRPr="0061711E">
          <w:rPr>
            <w:rStyle w:val="Hyperlink"/>
            <w:rFonts w:asciiTheme="minorHAnsi" w:hAnsiTheme="minorHAnsi"/>
            <w:noProof/>
          </w:rPr>
          <w:t>Consequences of Contact with the Criminal Justice System</w:t>
        </w:r>
        <w:r w:rsidR="00C544C3" w:rsidRPr="0061711E">
          <w:rPr>
            <w:rFonts w:asciiTheme="minorHAnsi" w:hAnsiTheme="minorHAnsi"/>
            <w:noProof/>
            <w:webHidden/>
          </w:rPr>
          <w:tab/>
        </w:r>
        <w:r w:rsidR="00C544C3" w:rsidRPr="0061711E">
          <w:rPr>
            <w:rFonts w:asciiTheme="minorHAnsi" w:hAnsiTheme="minorHAnsi"/>
            <w:noProof/>
            <w:webHidden/>
          </w:rPr>
          <w:fldChar w:fldCharType="begin"/>
        </w:r>
        <w:r w:rsidR="00C544C3" w:rsidRPr="0061711E">
          <w:rPr>
            <w:rFonts w:asciiTheme="minorHAnsi" w:hAnsiTheme="minorHAnsi"/>
            <w:noProof/>
            <w:webHidden/>
          </w:rPr>
          <w:instrText xml:space="preserve"> PAGEREF _Toc517687921 \h </w:instrText>
        </w:r>
        <w:r w:rsidR="00C544C3" w:rsidRPr="0061711E">
          <w:rPr>
            <w:rFonts w:asciiTheme="minorHAnsi" w:hAnsiTheme="minorHAnsi"/>
            <w:noProof/>
            <w:webHidden/>
          </w:rPr>
        </w:r>
        <w:r w:rsidR="00C544C3" w:rsidRPr="0061711E">
          <w:rPr>
            <w:rFonts w:asciiTheme="minorHAnsi" w:hAnsiTheme="minorHAnsi"/>
            <w:noProof/>
            <w:webHidden/>
          </w:rPr>
          <w:fldChar w:fldCharType="separate"/>
        </w:r>
        <w:r w:rsidR="002D27D9">
          <w:rPr>
            <w:rFonts w:asciiTheme="minorHAnsi" w:hAnsiTheme="minorHAnsi"/>
            <w:noProof/>
            <w:webHidden/>
          </w:rPr>
          <w:t>83</w:t>
        </w:r>
        <w:r w:rsidR="00C544C3" w:rsidRPr="0061711E">
          <w:rPr>
            <w:rFonts w:asciiTheme="minorHAnsi" w:hAnsiTheme="minorHAnsi"/>
            <w:noProof/>
            <w:webHidden/>
          </w:rPr>
          <w:fldChar w:fldCharType="end"/>
        </w:r>
      </w:hyperlink>
    </w:p>
    <w:p w14:paraId="1E87E530" w14:textId="77777777" w:rsidR="00C544C3" w:rsidRPr="0061711E" w:rsidRDefault="00BA1293" w:rsidP="0061711E">
      <w:pPr>
        <w:pStyle w:val="TOC3"/>
        <w:tabs>
          <w:tab w:val="right" w:pos="7560"/>
        </w:tabs>
        <w:rPr>
          <w:rFonts w:cstheme="minorBidi"/>
          <w:noProof/>
        </w:rPr>
      </w:pPr>
      <w:hyperlink w:anchor="_Toc517687922" w:history="1">
        <w:r w:rsidR="00C544C3" w:rsidRPr="0061711E">
          <w:rPr>
            <w:rStyle w:val="Hyperlink"/>
            <w:noProof/>
          </w:rPr>
          <w:t>3.</w:t>
        </w:r>
        <w:r w:rsidR="00C544C3" w:rsidRPr="0061711E">
          <w:rPr>
            <w:rFonts w:cstheme="minorBidi"/>
            <w:noProof/>
          </w:rPr>
          <w:tab/>
        </w:r>
        <w:r w:rsidR="00C544C3" w:rsidRPr="0061711E">
          <w:rPr>
            <w:rStyle w:val="Hyperlink"/>
            <w:noProof/>
          </w:rPr>
          <w:t>Related Structural Issues of Racial Discrimination</w:t>
        </w:r>
        <w:r w:rsidR="00C544C3" w:rsidRPr="0061711E">
          <w:rPr>
            <w:noProof/>
            <w:webHidden/>
          </w:rPr>
          <w:tab/>
        </w:r>
        <w:r w:rsidR="00C544C3" w:rsidRPr="0061711E">
          <w:rPr>
            <w:noProof/>
            <w:webHidden/>
          </w:rPr>
          <w:fldChar w:fldCharType="begin"/>
        </w:r>
        <w:r w:rsidR="00C544C3" w:rsidRPr="0061711E">
          <w:rPr>
            <w:noProof/>
            <w:webHidden/>
          </w:rPr>
          <w:instrText xml:space="preserve"> PAGEREF _Toc517687922 \h </w:instrText>
        </w:r>
        <w:r w:rsidR="00C544C3" w:rsidRPr="0061711E">
          <w:rPr>
            <w:noProof/>
            <w:webHidden/>
          </w:rPr>
        </w:r>
        <w:r w:rsidR="00C544C3" w:rsidRPr="0061711E">
          <w:rPr>
            <w:noProof/>
            <w:webHidden/>
          </w:rPr>
          <w:fldChar w:fldCharType="separate"/>
        </w:r>
        <w:r w:rsidR="002D27D9">
          <w:rPr>
            <w:noProof/>
            <w:webHidden/>
          </w:rPr>
          <w:t>85</w:t>
        </w:r>
        <w:r w:rsidR="00C544C3" w:rsidRPr="0061711E">
          <w:rPr>
            <w:noProof/>
            <w:webHidden/>
          </w:rPr>
          <w:fldChar w:fldCharType="end"/>
        </w:r>
      </w:hyperlink>
    </w:p>
    <w:p w14:paraId="5E702187" w14:textId="77777777" w:rsidR="00C544C3" w:rsidRPr="0061711E" w:rsidRDefault="00BA1293" w:rsidP="004F79A3">
      <w:pPr>
        <w:pStyle w:val="TOC4"/>
        <w:tabs>
          <w:tab w:val="left" w:pos="1100"/>
          <w:tab w:val="right" w:pos="7560"/>
          <w:tab w:val="right" w:pos="9350"/>
        </w:tabs>
        <w:ind w:left="1170" w:hanging="450"/>
        <w:rPr>
          <w:rFonts w:asciiTheme="minorHAnsi" w:eastAsiaTheme="minorEastAsia" w:hAnsiTheme="minorHAnsi" w:cstheme="minorBidi"/>
          <w:noProof/>
        </w:rPr>
      </w:pPr>
      <w:hyperlink w:anchor="_Toc517687923" w:history="1">
        <w:r w:rsidR="00C544C3" w:rsidRPr="0061711E">
          <w:rPr>
            <w:rStyle w:val="Hyperlink"/>
            <w:rFonts w:asciiTheme="minorHAnsi" w:hAnsiTheme="minorHAnsi"/>
            <w:noProof/>
          </w:rPr>
          <w:t>a.</w:t>
        </w:r>
        <w:r w:rsidR="00C544C3" w:rsidRPr="0061711E">
          <w:rPr>
            <w:rFonts w:asciiTheme="minorHAnsi" w:eastAsiaTheme="minorEastAsia" w:hAnsiTheme="minorHAnsi" w:cstheme="minorBidi"/>
            <w:noProof/>
          </w:rPr>
          <w:tab/>
        </w:r>
        <w:r w:rsidR="00C544C3" w:rsidRPr="0061711E">
          <w:rPr>
            <w:rStyle w:val="Hyperlink"/>
            <w:rFonts w:asciiTheme="minorHAnsi" w:hAnsiTheme="minorHAnsi"/>
            <w:noProof/>
          </w:rPr>
          <w:t>Social Context: Stigma, Hate Speech, and Hate Crimes</w:t>
        </w:r>
        <w:r w:rsidR="00C544C3" w:rsidRPr="0061711E">
          <w:rPr>
            <w:rFonts w:asciiTheme="minorHAnsi" w:hAnsiTheme="minorHAnsi"/>
            <w:noProof/>
            <w:webHidden/>
          </w:rPr>
          <w:tab/>
        </w:r>
        <w:r w:rsidR="00C544C3" w:rsidRPr="0061711E">
          <w:rPr>
            <w:rFonts w:asciiTheme="minorHAnsi" w:hAnsiTheme="minorHAnsi"/>
            <w:noProof/>
            <w:webHidden/>
          </w:rPr>
          <w:fldChar w:fldCharType="begin"/>
        </w:r>
        <w:r w:rsidR="00C544C3" w:rsidRPr="0061711E">
          <w:rPr>
            <w:rFonts w:asciiTheme="minorHAnsi" w:hAnsiTheme="minorHAnsi"/>
            <w:noProof/>
            <w:webHidden/>
          </w:rPr>
          <w:instrText xml:space="preserve"> PAGEREF _Toc517687923 \h </w:instrText>
        </w:r>
        <w:r w:rsidR="00C544C3" w:rsidRPr="0061711E">
          <w:rPr>
            <w:rFonts w:asciiTheme="minorHAnsi" w:hAnsiTheme="minorHAnsi"/>
            <w:noProof/>
            <w:webHidden/>
          </w:rPr>
        </w:r>
        <w:r w:rsidR="00C544C3" w:rsidRPr="0061711E">
          <w:rPr>
            <w:rFonts w:asciiTheme="minorHAnsi" w:hAnsiTheme="minorHAnsi"/>
            <w:noProof/>
            <w:webHidden/>
          </w:rPr>
          <w:fldChar w:fldCharType="separate"/>
        </w:r>
        <w:r w:rsidR="002D27D9">
          <w:rPr>
            <w:rFonts w:asciiTheme="minorHAnsi" w:hAnsiTheme="minorHAnsi"/>
            <w:noProof/>
            <w:webHidden/>
          </w:rPr>
          <w:t>85</w:t>
        </w:r>
        <w:r w:rsidR="00C544C3" w:rsidRPr="0061711E">
          <w:rPr>
            <w:rFonts w:asciiTheme="minorHAnsi" w:hAnsiTheme="minorHAnsi"/>
            <w:noProof/>
            <w:webHidden/>
          </w:rPr>
          <w:fldChar w:fldCharType="end"/>
        </w:r>
      </w:hyperlink>
    </w:p>
    <w:p w14:paraId="0EC30FA3" w14:textId="77777777" w:rsidR="00C544C3" w:rsidRPr="0061711E" w:rsidRDefault="00BA1293" w:rsidP="004F79A3">
      <w:pPr>
        <w:pStyle w:val="TOC4"/>
        <w:tabs>
          <w:tab w:val="left" w:pos="1100"/>
          <w:tab w:val="right" w:pos="7560"/>
          <w:tab w:val="right" w:pos="9350"/>
        </w:tabs>
        <w:ind w:left="1170" w:hanging="450"/>
        <w:rPr>
          <w:rFonts w:asciiTheme="minorHAnsi" w:eastAsiaTheme="minorEastAsia" w:hAnsiTheme="minorHAnsi" w:cstheme="minorBidi"/>
          <w:noProof/>
        </w:rPr>
      </w:pPr>
      <w:hyperlink w:anchor="_Toc517687924" w:history="1">
        <w:r w:rsidR="00C544C3" w:rsidRPr="0061711E">
          <w:rPr>
            <w:rStyle w:val="Hyperlink"/>
            <w:rFonts w:asciiTheme="minorHAnsi" w:hAnsiTheme="minorHAnsi"/>
            <w:noProof/>
          </w:rPr>
          <w:t>b.</w:t>
        </w:r>
        <w:r w:rsidR="00C544C3" w:rsidRPr="0061711E">
          <w:rPr>
            <w:rFonts w:asciiTheme="minorHAnsi" w:eastAsiaTheme="minorEastAsia" w:hAnsiTheme="minorHAnsi" w:cstheme="minorBidi"/>
            <w:noProof/>
          </w:rPr>
          <w:tab/>
        </w:r>
        <w:r w:rsidR="00C544C3" w:rsidRPr="0061711E">
          <w:rPr>
            <w:rStyle w:val="Hyperlink"/>
            <w:rFonts w:asciiTheme="minorHAnsi" w:hAnsiTheme="minorHAnsi"/>
            <w:noProof/>
          </w:rPr>
          <w:t>“Stand Your Ground” Laws and Violence by Private Citizens</w:t>
        </w:r>
        <w:r w:rsidR="00C544C3" w:rsidRPr="0061711E">
          <w:rPr>
            <w:rFonts w:asciiTheme="minorHAnsi" w:hAnsiTheme="minorHAnsi"/>
            <w:noProof/>
            <w:webHidden/>
          </w:rPr>
          <w:tab/>
        </w:r>
        <w:r w:rsidR="00C544C3" w:rsidRPr="0061711E">
          <w:rPr>
            <w:rFonts w:asciiTheme="minorHAnsi" w:hAnsiTheme="minorHAnsi"/>
            <w:noProof/>
            <w:webHidden/>
          </w:rPr>
          <w:fldChar w:fldCharType="begin"/>
        </w:r>
        <w:r w:rsidR="00C544C3" w:rsidRPr="0061711E">
          <w:rPr>
            <w:rFonts w:asciiTheme="minorHAnsi" w:hAnsiTheme="minorHAnsi"/>
            <w:noProof/>
            <w:webHidden/>
          </w:rPr>
          <w:instrText xml:space="preserve"> PAGEREF _Toc517687924 \h </w:instrText>
        </w:r>
        <w:r w:rsidR="00C544C3" w:rsidRPr="0061711E">
          <w:rPr>
            <w:rFonts w:asciiTheme="minorHAnsi" w:hAnsiTheme="minorHAnsi"/>
            <w:noProof/>
            <w:webHidden/>
          </w:rPr>
        </w:r>
        <w:r w:rsidR="00C544C3" w:rsidRPr="0061711E">
          <w:rPr>
            <w:rFonts w:asciiTheme="minorHAnsi" w:hAnsiTheme="minorHAnsi"/>
            <w:noProof/>
            <w:webHidden/>
          </w:rPr>
          <w:fldChar w:fldCharType="separate"/>
        </w:r>
        <w:r w:rsidR="002D27D9">
          <w:rPr>
            <w:rFonts w:asciiTheme="minorHAnsi" w:hAnsiTheme="minorHAnsi"/>
            <w:noProof/>
            <w:webHidden/>
          </w:rPr>
          <w:t>88</w:t>
        </w:r>
        <w:r w:rsidR="00C544C3" w:rsidRPr="0061711E">
          <w:rPr>
            <w:rFonts w:asciiTheme="minorHAnsi" w:hAnsiTheme="minorHAnsi"/>
            <w:noProof/>
            <w:webHidden/>
          </w:rPr>
          <w:fldChar w:fldCharType="end"/>
        </w:r>
      </w:hyperlink>
    </w:p>
    <w:p w14:paraId="6C3BA0A7" w14:textId="46AF0873" w:rsidR="00C544C3" w:rsidRPr="0061711E" w:rsidRDefault="00BA1293" w:rsidP="004F79A3">
      <w:pPr>
        <w:pStyle w:val="TOC4"/>
        <w:tabs>
          <w:tab w:val="left" w:pos="1100"/>
          <w:tab w:val="right" w:pos="7560"/>
          <w:tab w:val="right" w:pos="9350"/>
        </w:tabs>
        <w:ind w:left="1170" w:hanging="450"/>
        <w:rPr>
          <w:rFonts w:asciiTheme="minorHAnsi" w:eastAsiaTheme="minorEastAsia" w:hAnsiTheme="minorHAnsi" w:cstheme="minorBidi"/>
          <w:noProof/>
        </w:rPr>
      </w:pPr>
      <w:hyperlink w:anchor="_Toc517687925" w:history="1">
        <w:r w:rsidR="00C544C3" w:rsidRPr="0061711E">
          <w:rPr>
            <w:rStyle w:val="Hyperlink"/>
            <w:rFonts w:asciiTheme="minorHAnsi" w:hAnsiTheme="minorHAnsi"/>
            <w:noProof/>
          </w:rPr>
          <w:t>c.</w:t>
        </w:r>
        <w:r w:rsidR="00C544C3" w:rsidRPr="0061711E">
          <w:rPr>
            <w:rFonts w:asciiTheme="minorHAnsi" w:eastAsiaTheme="minorEastAsia" w:hAnsiTheme="minorHAnsi" w:cstheme="minorBidi"/>
            <w:noProof/>
          </w:rPr>
          <w:tab/>
        </w:r>
        <w:r w:rsidR="00C544C3" w:rsidRPr="0061711E">
          <w:rPr>
            <w:rStyle w:val="Hyperlink"/>
            <w:rFonts w:asciiTheme="minorHAnsi" w:hAnsiTheme="minorHAnsi"/>
            <w:noProof/>
          </w:rPr>
          <w:t>Inter</w:t>
        </w:r>
        <w:bookmarkStart w:id="0" w:name="_GoBack"/>
        <w:bookmarkEnd w:id="0"/>
        <w:r w:rsidR="00C544C3" w:rsidRPr="0061711E">
          <w:rPr>
            <w:rStyle w:val="Hyperlink"/>
            <w:rFonts w:asciiTheme="minorHAnsi" w:hAnsiTheme="minorHAnsi"/>
            <w:noProof/>
          </w:rPr>
          <w:t xml:space="preserve">sectional Discrimination: Women, Persons with </w:t>
        </w:r>
        <w:r w:rsidR="004F79A3">
          <w:rPr>
            <w:rStyle w:val="Hyperlink"/>
            <w:rFonts w:asciiTheme="minorHAnsi" w:hAnsiTheme="minorHAnsi"/>
            <w:noProof/>
          </w:rPr>
          <w:br/>
        </w:r>
        <w:r w:rsidR="00C544C3" w:rsidRPr="0061711E">
          <w:rPr>
            <w:rStyle w:val="Hyperlink"/>
            <w:rFonts w:asciiTheme="minorHAnsi" w:hAnsiTheme="minorHAnsi"/>
            <w:noProof/>
          </w:rPr>
          <w:t>Disabilities, and LGBTI Persons</w:t>
        </w:r>
        <w:r w:rsidR="00C544C3" w:rsidRPr="0061711E">
          <w:rPr>
            <w:rFonts w:asciiTheme="minorHAnsi" w:hAnsiTheme="minorHAnsi"/>
            <w:noProof/>
            <w:webHidden/>
          </w:rPr>
          <w:tab/>
        </w:r>
        <w:r w:rsidR="00C544C3" w:rsidRPr="0061711E">
          <w:rPr>
            <w:rFonts w:asciiTheme="minorHAnsi" w:hAnsiTheme="minorHAnsi"/>
            <w:noProof/>
            <w:webHidden/>
          </w:rPr>
          <w:fldChar w:fldCharType="begin"/>
        </w:r>
        <w:r w:rsidR="00C544C3" w:rsidRPr="0061711E">
          <w:rPr>
            <w:rFonts w:asciiTheme="minorHAnsi" w:hAnsiTheme="minorHAnsi"/>
            <w:noProof/>
            <w:webHidden/>
          </w:rPr>
          <w:instrText xml:space="preserve"> PAGEREF _Toc517687925 \h </w:instrText>
        </w:r>
        <w:r w:rsidR="00C544C3" w:rsidRPr="0061711E">
          <w:rPr>
            <w:rFonts w:asciiTheme="minorHAnsi" w:hAnsiTheme="minorHAnsi"/>
            <w:noProof/>
            <w:webHidden/>
          </w:rPr>
        </w:r>
        <w:r w:rsidR="00C544C3" w:rsidRPr="0061711E">
          <w:rPr>
            <w:rFonts w:asciiTheme="minorHAnsi" w:hAnsiTheme="minorHAnsi"/>
            <w:noProof/>
            <w:webHidden/>
          </w:rPr>
          <w:fldChar w:fldCharType="separate"/>
        </w:r>
        <w:r w:rsidR="002D27D9">
          <w:rPr>
            <w:rFonts w:asciiTheme="minorHAnsi" w:hAnsiTheme="minorHAnsi"/>
            <w:noProof/>
            <w:webHidden/>
          </w:rPr>
          <w:t>90</w:t>
        </w:r>
        <w:r w:rsidR="00C544C3" w:rsidRPr="0061711E">
          <w:rPr>
            <w:rFonts w:asciiTheme="minorHAnsi" w:hAnsiTheme="minorHAnsi"/>
            <w:noProof/>
            <w:webHidden/>
          </w:rPr>
          <w:fldChar w:fldCharType="end"/>
        </w:r>
      </w:hyperlink>
    </w:p>
    <w:p w14:paraId="468F0899" w14:textId="43E3FB72" w:rsidR="00C544C3" w:rsidRPr="0061711E" w:rsidRDefault="00BA1293" w:rsidP="004F79A3">
      <w:pPr>
        <w:pStyle w:val="TOC4"/>
        <w:tabs>
          <w:tab w:val="left" w:pos="1100"/>
          <w:tab w:val="right" w:pos="7560"/>
          <w:tab w:val="right" w:pos="9350"/>
        </w:tabs>
        <w:ind w:left="1170" w:hanging="450"/>
        <w:rPr>
          <w:rFonts w:asciiTheme="minorHAnsi" w:eastAsiaTheme="minorEastAsia" w:hAnsiTheme="minorHAnsi" w:cstheme="minorBidi"/>
          <w:noProof/>
        </w:rPr>
      </w:pPr>
      <w:hyperlink w:anchor="_Toc517687926" w:history="1">
        <w:r w:rsidR="00C544C3" w:rsidRPr="0061711E">
          <w:rPr>
            <w:rStyle w:val="Hyperlink"/>
            <w:rFonts w:asciiTheme="minorHAnsi" w:hAnsiTheme="minorHAnsi"/>
            <w:noProof/>
          </w:rPr>
          <w:t>d.</w:t>
        </w:r>
        <w:r w:rsidR="00C544C3" w:rsidRPr="0061711E">
          <w:rPr>
            <w:rFonts w:asciiTheme="minorHAnsi" w:eastAsiaTheme="minorEastAsia" w:hAnsiTheme="minorHAnsi" w:cstheme="minorBidi"/>
            <w:noProof/>
          </w:rPr>
          <w:tab/>
        </w:r>
        <w:r w:rsidR="00C544C3" w:rsidRPr="0061711E">
          <w:rPr>
            <w:rStyle w:val="Hyperlink"/>
            <w:rFonts w:asciiTheme="minorHAnsi" w:hAnsiTheme="minorHAnsi"/>
            <w:noProof/>
          </w:rPr>
          <w:t xml:space="preserve">Poverty and Access to Health, Education, Housing, Work, </w:t>
        </w:r>
        <w:r w:rsidR="004F79A3">
          <w:rPr>
            <w:rStyle w:val="Hyperlink"/>
            <w:rFonts w:asciiTheme="minorHAnsi" w:hAnsiTheme="minorHAnsi"/>
            <w:noProof/>
          </w:rPr>
          <w:br/>
        </w:r>
        <w:r w:rsidR="00C544C3" w:rsidRPr="0061711E">
          <w:rPr>
            <w:rStyle w:val="Hyperlink"/>
            <w:rFonts w:asciiTheme="minorHAnsi" w:hAnsiTheme="minorHAnsi"/>
            <w:noProof/>
          </w:rPr>
          <w:t>and other Rights</w:t>
        </w:r>
        <w:r w:rsidR="00C544C3" w:rsidRPr="0061711E">
          <w:rPr>
            <w:rFonts w:asciiTheme="minorHAnsi" w:hAnsiTheme="minorHAnsi"/>
            <w:noProof/>
            <w:webHidden/>
          </w:rPr>
          <w:tab/>
        </w:r>
        <w:r w:rsidR="00C544C3" w:rsidRPr="0061711E">
          <w:rPr>
            <w:rFonts w:asciiTheme="minorHAnsi" w:hAnsiTheme="minorHAnsi"/>
            <w:noProof/>
            <w:webHidden/>
          </w:rPr>
          <w:fldChar w:fldCharType="begin"/>
        </w:r>
        <w:r w:rsidR="00C544C3" w:rsidRPr="0061711E">
          <w:rPr>
            <w:rFonts w:asciiTheme="minorHAnsi" w:hAnsiTheme="minorHAnsi"/>
            <w:noProof/>
            <w:webHidden/>
          </w:rPr>
          <w:instrText xml:space="preserve"> PAGEREF _Toc517687926 \h </w:instrText>
        </w:r>
        <w:r w:rsidR="00C544C3" w:rsidRPr="0061711E">
          <w:rPr>
            <w:rFonts w:asciiTheme="minorHAnsi" w:hAnsiTheme="minorHAnsi"/>
            <w:noProof/>
            <w:webHidden/>
          </w:rPr>
        </w:r>
        <w:r w:rsidR="00C544C3" w:rsidRPr="0061711E">
          <w:rPr>
            <w:rFonts w:asciiTheme="minorHAnsi" w:hAnsiTheme="minorHAnsi"/>
            <w:noProof/>
            <w:webHidden/>
          </w:rPr>
          <w:fldChar w:fldCharType="separate"/>
        </w:r>
        <w:r w:rsidR="002D27D9">
          <w:rPr>
            <w:rFonts w:asciiTheme="minorHAnsi" w:hAnsiTheme="minorHAnsi"/>
            <w:noProof/>
            <w:webHidden/>
          </w:rPr>
          <w:t>93</w:t>
        </w:r>
        <w:r w:rsidR="00C544C3" w:rsidRPr="0061711E">
          <w:rPr>
            <w:rFonts w:asciiTheme="minorHAnsi" w:hAnsiTheme="minorHAnsi"/>
            <w:noProof/>
            <w:webHidden/>
          </w:rPr>
          <w:fldChar w:fldCharType="end"/>
        </w:r>
      </w:hyperlink>
    </w:p>
    <w:p w14:paraId="7849BF01" w14:textId="77777777" w:rsidR="00C544C3" w:rsidRPr="0061711E" w:rsidRDefault="00BA1293" w:rsidP="004F79A3">
      <w:pPr>
        <w:pStyle w:val="TOC2"/>
        <w:rPr>
          <w:rFonts w:cstheme="minorBidi"/>
        </w:rPr>
      </w:pPr>
      <w:hyperlink w:anchor="_Toc517687927" w:history="1">
        <w:r w:rsidR="00C544C3" w:rsidRPr="0061711E">
          <w:rPr>
            <w:rStyle w:val="Hyperlink"/>
          </w:rPr>
          <w:t>D.</w:t>
        </w:r>
        <w:r w:rsidR="00C544C3" w:rsidRPr="0061711E">
          <w:rPr>
            <w:rFonts w:cstheme="minorBidi"/>
          </w:rPr>
          <w:tab/>
        </w:r>
        <w:r w:rsidR="00C544C3" w:rsidRPr="0061711E">
          <w:rPr>
            <w:rStyle w:val="Hyperlink"/>
          </w:rPr>
          <w:t>Information about Federal Initiatives</w:t>
        </w:r>
        <w:r w:rsidR="00C544C3" w:rsidRPr="0061711E">
          <w:rPr>
            <w:webHidden/>
          </w:rPr>
          <w:tab/>
        </w:r>
        <w:r w:rsidR="00C544C3" w:rsidRPr="0061711E">
          <w:rPr>
            <w:webHidden/>
          </w:rPr>
          <w:fldChar w:fldCharType="begin"/>
        </w:r>
        <w:r w:rsidR="00C544C3" w:rsidRPr="0061711E">
          <w:rPr>
            <w:webHidden/>
          </w:rPr>
          <w:instrText xml:space="preserve"> PAGEREF _Toc517687927 \h </w:instrText>
        </w:r>
        <w:r w:rsidR="00C544C3" w:rsidRPr="0061711E">
          <w:rPr>
            <w:webHidden/>
          </w:rPr>
        </w:r>
        <w:r w:rsidR="00C544C3" w:rsidRPr="0061711E">
          <w:rPr>
            <w:webHidden/>
          </w:rPr>
          <w:fldChar w:fldCharType="separate"/>
        </w:r>
        <w:r w:rsidR="002D27D9">
          <w:rPr>
            <w:webHidden/>
          </w:rPr>
          <w:t>95</w:t>
        </w:r>
        <w:r w:rsidR="00C544C3" w:rsidRPr="0061711E">
          <w:rPr>
            <w:webHidden/>
          </w:rPr>
          <w:fldChar w:fldCharType="end"/>
        </w:r>
      </w:hyperlink>
    </w:p>
    <w:p w14:paraId="40317902" w14:textId="77777777" w:rsidR="00C544C3" w:rsidRPr="0061711E" w:rsidRDefault="00BA1293" w:rsidP="004F79A3">
      <w:pPr>
        <w:pStyle w:val="TOC3"/>
        <w:tabs>
          <w:tab w:val="right" w:pos="7560"/>
        </w:tabs>
        <w:ind w:firstLine="360"/>
        <w:rPr>
          <w:rFonts w:cstheme="minorBidi"/>
          <w:noProof/>
        </w:rPr>
      </w:pPr>
      <w:hyperlink w:anchor="_Toc517687928" w:history="1">
        <w:r w:rsidR="00C544C3" w:rsidRPr="0061711E">
          <w:rPr>
            <w:rStyle w:val="Hyperlink"/>
            <w:noProof/>
          </w:rPr>
          <w:t>1.</w:t>
        </w:r>
        <w:r w:rsidR="00C544C3" w:rsidRPr="0061711E">
          <w:rPr>
            <w:rFonts w:cstheme="minorBidi"/>
            <w:noProof/>
          </w:rPr>
          <w:tab/>
        </w:r>
        <w:r w:rsidR="00C544C3" w:rsidRPr="0061711E">
          <w:rPr>
            <w:rStyle w:val="Hyperlink"/>
            <w:noProof/>
          </w:rPr>
          <w:t>Actions and Initiatives by the Department of Justice</w:t>
        </w:r>
        <w:r w:rsidR="00C544C3" w:rsidRPr="0061711E">
          <w:rPr>
            <w:noProof/>
            <w:webHidden/>
          </w:rPr>
          <w:tab/>
        </w:r>
        <w:r w:rsidR="00C544C3" w:rsidRPr="0061711E">
          <w:rPr>
            <w:noProof/>
            <w:webHidden/>
          </w:rPr>
          <w:fldChar w:fldCharType="begin"/>
        </w:r>
        <w:r w:rsidR="00C544C3" w:rsidRPr="0061711E">
          <w:rPr>
            <w:noProof/>
            <w:webHidden/>
          </w:rPr>
          <w:instrText xml:space="preserve"> PAGEREF _Toc517687928 \h </w:instrText>
        </w:r>
        <w:r w:rsidR="00C544C3" w:rsidRPr="0061711E">
          <w:rPr>
            <w:noProof/>
            <w:webHidden/>
          </w:rPr>
        </w:r>
        <w:r w:rsidR="00C544C3" w:rsidRPr="0061711E">
          <w:rPr>
            <w:noProof/>
            <w:webHidden/>
          </w:rPr>
          <w:fldChar w:fldCharType="separate"/>
        </w:r>
        <w:r w:rsidR="002D27D9">
          <w:rPr>
            <w:noProof/>
            <w:webHidden/>
          </w:rPr>
          <w:t>95</w:t>
        </w:r>
        <w:r w:rsidR="00C544C3" w:rsidRPr="0061711E">
          <w:rPr>
            <w:noProof/>
            <w:webHidden/>
          </w:rPr>
          <w:fldChar w:fldCharType="end"/>
        </w:r>
      </w:hyperlink>
    </w:p>
    <w:p w14:paraId="44FC0DEE" w14:textId="77777777" w:rsidR="00C544C3" w:rsidRPr="0061711E" w:rsidRDefault="00BA1293" w:rsidP="004F79A3">
      <w:pPr>
        <w:pStyle w:val="TOC3"/>
        <w:tabs>
          <w:tab w:val="right" w:pos="7560"/>
        </w:tabs>
        <w:ind w:firstLine="360"/>
        <w:rPr>
          <w:rFonts w:cstheme="minorBidi"/>
          <w:noProof/>
        </w:rPr>
      </w:pPr>
      <w:hyperlink w:anchor="_Toc517687929" w:history="1">
        <w:r w:rsidR="00C544C3" w:rsidRPr="0061711E">
          <w:rPr>
            <w:rStyle w:val="Hyperlink"/>
            <w:noProof/>
          </w:rPr>
          <w:t>2.</w:t>
        </w:r>
        <w:r w:rsidR="00C544C3" w:rsidRPr="0061711E">
          <w:rPr>
            <w:rFonts w:cstheme="minorBidi"/>
            <w:noProof/>
          </w:rPr>
          <w:tab/>
        </w:r>
        <w:r w:rsidR="00C544C3" w:rsidRPr="0061711E">
          <w:rPr>
            <w:rStyle w:val="Hyperlink"/>
            <w:noProof/>
          </w:rPr>
          <w:t>President Obama’s Task Force on 21st Century Policing</w:t>
        </w:r>
        <w:r w:rsidR="00C544C3" w:rsidRPr="0061711E">
          <w:rPr>
            <w:noProof/>
            <w:webHidden/>
          </w:rPr>
          <w:tab/>
        </w:r>
        <w:r w:rsidR="00C544C3" w:rsidRPr="0061711E">
          <w:rPr>
            <w:noProof/>
            <w:webHidden/>
          </w:rPr>
          <w:fldChar w:fldCharType="begin"/>
        </w:r>
        <w:r w:rsidR="00C544C3" w:rsidRPr="0061711E">
          <w:rPr>
            <w:noProof/>
            <w:webHidden/>
          </w:rPr>
          <w:instrText xml:space="preserve"> PAGEREF _Toc517687929 \h </w:instrText>
        </w:r>
        <w:r w:rsidR="00C544C3" w:rsidRPr="0061711E">
          <w:rPr>
            <w:noProof/>
            <w:webHidden/>
          </w:rPr>
        </w:r>
        <w:r w:rsidR="00C544C3" w:rsidRPr="0061711E">
          <w:rPr>
            <w:noProof/>
            <w:webHidden/>
          </w:rPr>
          <w:fldChar w:fldCharType="separate"/>
        </w:r>
        <w:r w:rsidR="002D27D9">
          <w:rPr>
            <w:noProof/>
            <w:webHidden/>
          </w:rPr>
          <w:t>96</w:t>
        </w:r>
        <w:r w:rsidR="00C544C3" w:rsidRPr="0061711E">
          <w:rPr>
            <w:noProof/>
            <w:webHidden/>
          </w:rPr>
          <w:fldChar w:fldCharType="end"/>
        </w:r>
      </w:hyperlink>
    </w:p>
    <w:p w14:paraId="14AF32E3" w14:textId="77777777" w:rsidR="00C544C3" w:rsidRPr="0061711E" w:rsidRDefault="00BA1293" w:rsidP="004F79A3">
      <w:pPr>
        <w:pStyle w:val="TOC3"/>
        <w:tabs>
          <w:tab w:val="right" w:pos="7560"/>
        </w:tabs>
        <w:ind w:firstLine="360"/>
        <w:rPr>
          <w:rFonts w:cstheme="minorBidi"/>
          <w:noProof/>
        </w:rPr>
      </w:pPr>
      <w:hyperlink w:anchor="_Toc517687930" w:history="1">
        <w:r w:rsidR="00C544C3" w:rsidRPr="0061711E">
          <w:rPr>
            <w:rStyle w:val="Hyperlink"/>
            <w:noProof/>
          </w:rPr>
          <w:t>3.</w:t>
        </w:r>
        <w:r w:rsidR="00C544C3" w:rsidRPr="0061711E">
          <w:rPr>
            <w:rFonts w:cstheme="minorBidi"/>
            <w:noProof/>
          </w:rPr>
          <w:tab/>
        </w:r>
        <w:r w:rsidR="00C544C3" w:rsidRPr="0061711E">
          <w:rPr>
            <w:rStyle w:val="Hyperlink"/>
            <w:noProof/>
          </w:rPr>
          <w:t>Community Policing and other Initiatives</w:t>
        </w:r>
        <w:r w:rsidR="00C544C3" w:rsidRPr="0061711E">
          <w:rPr>
            <w:noProof/>
            <w:webHidden/>
          </w:rPr>
          <w:tab/>
        </w:r>
        <w:r w:rsidR="00C544C3" w:rsidRPr="0061711E">
          <w:rPr>
            <w:noProof/>
            <w:webHidden/>
          </w:rPr>
          <w:fldChar w:fldCharType="begin"/>
        </w:r>
        <w:r w:rsidR="00C544C3" w:rsidRPr="0061711E">
          <w:rPr>
            <w:noProof/>
            <w:webHidden/>
          </w:rPr>
          <w:instrText xml:space="preserve"> PAGEREF _Toc517687930 \h </w:instrText>
        </w:r>
        <w:r w:rsidR="00C544C3" w:rsidRPr="0061711E">
          <w:rPr>
            <w:noProof/>
            <w:webHidden/>
          </w:rPr>
        </w:r>
        <w:r w:rsidR="00C544C3" w:rsidRPr="0061711E">
          <w:rPr>
            <w:noProof/>
            <w:webHidden/>
          </w:rPr>
          <w:fldChar w:fldCharType="separate"/>
        </w:r>
        <w:r w:rsidR="002D27D9">
          <w:rPr>
            <w:noProof/>
            <w:webHidden/>
          </w:rPr>
          <w:t>97</w:t>
        </w:r>
        <w:r w:rsidR="00C544C3" w:rsidRPr="0061711E">
          <w:rPr>
            <w:noProof/>
            <w:webHidden/>
          </w:rPr>
          <w:fldChar w:fldCharType="end"/>
        </w:r>
      </w:hyperlink>
    </w:p>
    <w:p w14:paraId="203FF6A0" w14:textId="77777777" w:rsidR="00C544C3" w:rsidRPr="0061711E" w:rsidRDefault="00BA1293" w:rsidP="004F79A3">
      <w:pPr>
        <w:pStyle w:val="TOC2"/>
        <w:rPr>
          <w:rFonts w:cstheme="minorBidi"/>
        </w:rPr>
      </w:pPr>
      <w:hyperlink w:anchor="_Toc517687931" w:history="1">
        <w:r w:rsidR="00C544C3" w:rsidRPr="0061711E">
          <w:rPr>
            <w:rStyle w:val="Hyperlink"/>
          </w:rPr>
          <w:t>E.</w:t>
        </w:r>
        <w:r w:rsidR="00C544C3" w:rsidRPr="0061711E">
          <w:rPr>
            <w:rFonts w:cstheme="minorBidi"/>
          </w:rPr>
          <w:tab/>
        </w:r>
        <w:r w:rsidR="00C544C3" w:rsidRPr="0061711E">
          <w:rPr>
            <w:rStyle w:val="Hyperlink"/>
          </w:rPr>
          <w:t>Considerations of the Commission</w:t>
        </w:r>
        <w:r w:rsidR="00C544C3" w:rsidRPr="0061711E">
          <w:rPr>
            <w:webHidden/>
          </w:rPr>
          <w:tab/>
        </w:r>
        <w:r w:rsidR="00C544C3" w:rsidRPr="0061711E">
          <w:rPr>
            <w:webHidden/>
          </w:rPr>
          <w:fldChar w:fldCharType="begin"/>
        </w:r>
        <w:r w:rsidR="00C544C3" w:rsidRPr="0061711E">
          <w:rPr>
            <w:webHidden/>
          </w:rPr>
          <w:instrText xml:space="preserve"> PAGEREF _Toc517687931 \h </w:instrText>
        </w:r>
        <w:r w:rsidR="00C544C3" w:rsidRPr="0061711E">
          <w:rPr>
            <w:webHidden/>
          </w:rPr>
        </w:r>
        <w:r w:rsidR="00C544C3" w:rsidRPr="0061711E">
          <w:rPr>
            <w:webHidden/>
          </w:rPr>
          <w:fldChar w:fldCharType="separate"/>
        </w:r>
        <w:r w:rsidR="002D27D9">
          <w:rPr>
            <w:webHidden/>
          </w:rPr>
          <w:t>97</w:t>
        </w:r>
        <w:r w:rsidR="00C544C3" w:rsidRPr="0061711E">
          <w:rPr>
            <w:webHidden/>
          </w:rPr>
          <w:fldChar w:fldCharType="end"/>
        </w:r>
      </w:hyperlink>
    </w:p>
    <w:p w14:paraId="50E50887" w14:textId="245FA8F6" w:rsidR="00C544C3" w:rsidRPr="004F79A3" w:rsidRDefault="00BA1293" w:rsidP="00141874">
      <w:pPr>
        <w:pStyle w:val="TOC1"/>
        <w:rPr>
          <w:rStyle w:val="Hyperlink"/>
          <w:b/>
          <w:noProof/>
          <w:sz w:val="22"/>
          <w:szCs w:val="22"/>
        </w:rPr>
      </w:pPr>
      <w:hyperlink w:anchor="_Toc517687932" w:history="1">
        <w:r w:rsidR="00C544C3" w:rsidRPr="004F79A3">
          <w:rPr>
            <w:rStyle w:val="Hyperlink"/>
            <w:b/>
            <w:noProof/>
            <w:color w:val="808080" w:themeColor="background1" w:themeShade="80"/>
            <w:sz w:val="22"/>
            <w:szCs w:val="22"/>
          </w:rPr>
          <w:t xml:space="preserve">CHAPTER 3 </w:t>
        </w:r>
        <w:r w:rsidR="00704559" w:rsidRPr="004F79A3">
          <w:rPr>
            <w:rStyle w:val="Hyperlink"/>
            <w:b/>
            <w:noProof/>
            <w:color w:val="808080" w:themeColor="background1" w:themeShade="80"/>
            <w:sz w:val="22"/>
            <w:szCs w:val="22"/>
          </w:rPr>
          <w:t xml:space="preserve">| </w:t>
        </w:r>
        <w:r w:rsidR="004F79A3">
          <w:rPr>
            <w:rStyle w:val="Hyperlink"/>
            <w:b/>
            <w:noProof/>
            <w:sz w:val="22"/>
            <w:szCs w:val="22"/>
          </w:rPr>
          <w:tab/>
        </w:r>
        <w:r w:rsidR="00C544C3" w:rsidRPr="0061711E">
          <w:rPr>
            <w:rStyle w:val="Hyperlink"/>
            <w:b/>
            <w:noProof/>
            <w:sz w:val="22"/>
            <w:szCs w:val="22"/>
          </w:rPr>
          <w:t xml:space="preserve">INTER-AMERICAN AND INTERNATIONAL OBLIGATIONS </w:t>
        </w:r>
        <w:r w:rsidR="001C39DE" w:rsidRPr="0061711E">
          <w:rPr>
            <w:rStyle w:val="Hyperlink"/>
            <w:b/>
            <w:noProof/>
            <w:sz w:val="22"/>
            <w:szCs w:val="22"/>
          </w:rPr>
          <w:br/>
        </w:r>
        <w:r w:rsidR="00C544C3" w:rsidRPr="0061711E">
          <w:rPr>
            <w:rStyle w:val="Hyperlink"/>
            <w:b/>
            <w:noProof/>
            <w:sz w:val="22"/>
            <w:szCs w:val="22"/>
          </w:rPr>
          <w:t>OF THE UNITED STATES REGARDING NON-DISCRIMINATION, USE OF FORCE, AND ACCESS TO JUSTICE</w:t>
        </w:r>
        <w:r w:rsidR="00C544C3" w:rsidRPr="004F79A3">
          <w:rPr>
            <w:rStyle w:val="Hyperlink"/>
            <w:b/>
            <w:noProof/>
            <w:webHidden/>
            <w:sz w:val="22"/>
            <w:szCs w:val="22"/>
          </w:rPr>
          <w:tab/>
        </w:r>
        <w:r w:rsidR="00C544C3" w:rsidRPr="004F79A3">
          <w:rPr>
            <w:rStyle w:val="Hyperlink"/>
            <w:b/>
            <w:noProof/>
            <w:webHidden/>
            <w:sz w:val="22"/>
            <w:szCs w:val="22"/>
          </w:rPr>
          <w:fldChar w:fldCharType="begin"/>
        </w:r>
        <w:r w:rsidR="00C544C3" w:rsidRPr="004F79A3">
          <w:rPr>
            <w:rStyle w:val="Hyperlink"/>
            <w:b/>
            <w:noProof/>
            <w:webHidden/>
            <w:sz w:val="22"/>
            <w:szCs w:val="22"/>
          </w:rPr>
          <w:instrText xml:space="preserve"> PAGEREF _Toc517687932 \h </w:instrText>
        </w:r>
        <w:r w:rsidR="00C544C3" w:rsidRPr="004F79A3">
          <w:rPr>
            <w:rStyle w:val="Hyperlink"/>
            <w:b/>
            <w:noProof/>
            <w:webHidden/>
            <w:sz w:val="22"/>
            <w:szCs w:val="22"/>
          </w:rPr>
        </w:r>
        <w:r w:rsidR="00C544C3" w:rsidRPr="004F79A3">
          <w:rPr>
            <w:rStyle w:val="Hyperlink"/>
            <w:b/>
            <w:noProof/>
            <w:webHidden/>
            <w:sz w:val="22"/>
            <w:szCs w:val="22"/>
          </w:rPr>
          <w:fldChar w:fldCharType="separate"/>
        </w:r>
        <w:r w:rsidR="002D27D9">
          <w:rPr>
            <w:rStyle w:val="Hyperlink"/>
            <w:b/>
            <w:noProof/>
            <w:webHidden/>
            <w:sz w:val="22"/>
            <w:szCs w:val="22"/>
          </w:rPr>
          <w:t>101</w:t>
        </w:r>
        <w:r w:rsidR="00C544C3" w:rsidRPr="004F79A3">
          <w:rPr>
            <w:rStyle w:val="Hyperlink"/>
            <w:b/>
            <w:noProof/>
            <w:webHidden/>
            <w:sz w:val="22"/>
            <w:szCs w:val="22"/>
          </w:rPr>
          <w:fldChar w:fldCharType="end"/>
        </w:r>
      </w:hyperlink>
    </w:p>
    <w:p w14:paraId="7D8509EB" w14:textId="77777777" w:rsidR="00C544C3" w:rsidRPr="0061711E" w:rsidRDefault="00BA1293" w:rsidP="004F79A3">
      <w:pPr>
        <w:pStyle w:val="TOC2"/>
        <w:rPr>
          <w:rFonts w:cstheme="minorBidi"/>
        </w:rPr>
      </w:pPr>
      <w:hyperlink w:anchor="_Toc517687933" w:history="1">
        <w:r w:rsidR="00C544C3" w:rsidRPr="0061711E">
          <w:rPr>
            <w:rStyle w:val="Hyperlink"/>
          </w:rPr>
          <w:t>A.</w:t>
        </w:r>
        <w:r w:rsidR="00C544C3" w:rsidRPr="0061711E">
          <w:rPr>
            <w:rFonts w:cstheme="minorBidi"/>
          </w:rPr>
          <w:tab/>
        </w:r>
        <w:r w:rsidR="00C544C3" w:rsidRPr="0061711E">
          <w:rPr>
            <w:rStyle w:val="Hyperlink"/>
          </w:rPr>
          <w:t>International Framework regarding Equality and Non-Discrimination</w:t>
        </w:r>
        <w:r w:rsidR="00C544C3" w:rsidRPr="0061711E">
          <w:rPr>
            <w:webHidden/>
          </w:rPr>
          <w:tab/>
        </w:r>
        <w:r w:rsidR="00C544C3" w:rsidRPr="0061711E">
          <w:rPr>
            <w:webHidden/>
          </w:rPr>
          <w:fldChar w:fldCharType="begin"/>
        </w:r>
        <w:r w:rsidR="00C544C3" w:rsidRPr="0061711E">
          <w:rPr>
            <w:webHidden/>
          </w:rPr>
          <w:instrText xml:space="preserve"> PAGEREF _Toc517687933 \h </w:instrText>
        </w:r>
        <w:r w:rsidR="00C544C3" w:rsidRPr="0061711E">
          <w:rPr>
            <w:webHidden/>
          </w:rPr>
        </w:r>
        <w:r w:rsidR="00C544C3" w:rsidRPr="0061711E">
          <w:rPr>
            <w:webHidden/>
          </w:rPr>
          <w:fldChar w:fldCharType="separate"/>
        </w:r>
        <w:r w:rsidR="002D27D9">
          <w:rPr>
            <w:webHidden/>
          </w:rPr>
          <w:t>104</w:t>
        </w:r>
        <w:r w:rsidR="00C544C3" w:rsidRPr="0061711E">
          <w:rPr>
            <w:webHidden/>
          </w:rPr>
          <w:fldChar w:fldCharType="end"/>
        </w:r>
      </w:hyperlink>
    </w:p>
    <w:p w14:paraId="73DA6545" w14:textId="3C55F32E" w:rsidR="00C544C3" w:rsidRPr="0061711E" w:rsidRDefault="00BA1293" w:rsidP="004F79A3">
      <w:pPr>
        <w:pStyle w:val="TOC2"/>
        <w:rPr>
          <w:rFonts w:cstheme="minorBidi"/>
        </w:rPr>
      </w:pPr>
      <w:hyperlink w:anchor="_Toc517687934" w:history="1">
        <w:r w:rsidR="00C544C3" w:rsidRPr="0061711E">
          <w:rPr>
            <w:rStyle w:val="Hyperlink"/>
          </w:rPr>
          <w:t>B.</w:t>
        </w:r>
        <w:r w:rsidR="00C544C3" w:rsidRPr="0061711E">
          <w:rPr>
            <w:rFonts w:cstheme="minorBidi"/>
          </w:rPr>
          <w:tab/>
        </w:r>
        <w:r w:rsidR="00C544C3" w:rsidRPr="0061711E">
          <w:rPr>
            <w:rStyle w:val="Hyperlink"/>
          </w:rPr>
          <w:t xml:space="preserve">International Framework regarding the Use of Force: Legality, </w:t>
        </w:r>
        <w:r w:rsidR="005C2394">
          <w:rPr>
            <w:rStyle w:val="Hyperlink"/>
          </w:rPr>
          <w:br/>
        </w:r>
        <w:r w:rsidR="00C544C3" w:rsidRPr="0061711E">
          <w:rPr>
            <w:rStyle w:val="Hyperlink"/>
          </w:rPr>
          <w:t xml:space="preserve">Absolute </w:t>
        </w:r>
        <w:r w:rsidR="00C544C3" w:rsidRPr="0061711E">
          <w:rPr>
            <w:rStyle w:val="Hyperlink"/>
            <w:bCs/>
            <w:iCs/>
          </w:rPr>
          <w:t>Necessity, and Proportionality</w:t>
        </w:r>
        <w:r w:rsidR="00C544C3" w:rsidRPr="0061711E">
          <w:rPr>
            <w:webHidden/>
          </w:rPr>
          <w:tab/>
        </w:r>
        <w:r w:rsidR="00C544C3" w:rsidRPr="0061711E">
          <w:rPr>
            <w:webHidden/>
          </w:rPr>
          <w:fldChar w:fldCharType="begin"/>
        </w:r>
        <w:r w:rsidR="00C544C3" w:rsidRPr="0061711E">
          <w:rPr>
            <w:webHidden/>
          </w:rPr>
          <w:instrText xml:space="preserve"> PAGEREF _Toc517687934 \h </w:instrText>
        </w:r>
        <w:r w:rsidR="00C544C3" w:rsidRPr="0061711E">
          <w:rPr>
            <w:webHidden/>
          </w:rPr>
        </w:r>
        <w:r w:rsidR="00C544C3" w:rsidRPr="0061711E">
          <w:rPr>
            <w:webHidden/>
          </w:rPr>
          <w:fldChar w:fldCharType="separate"/>
        </w:r>
        <w:r w:rsidR="002D27D9">
          <w:rPr>
            <w:webHidden/>
          </w:rPr>
          <w:t>110</w:t>
        </w:r>
        <w:r w:rsidR="00C544C3" w:rsidRPr="0061711E">
          <w:rPr>
            <w:webHidden/>
          </w:rPr>
          <w:fldChar w:fldCharType="end"/>
        </w:r>
      </w:hyperlink>
    </w:p>
    <w:p w14:paraId="1C6BED4C" w14:textId="77777777" w:rsidR="00C544C3" w:rsidRPr="0061711E" w:rsidRDefault="00BA1293" w:rsidP="004F79A3">
      <w:pPr>
        <w:pStyle w:val="TOC3"/>
        <w:tabs>
          <w:tab w:val="right" w:pos="7560"/>
        </w:tabs>
        <w:ind w:firstLine="360"/>
        <w:rPr>
          <w:rFonts w:cstheme="minorBidi"/>
          <w:noProof/>
        </w:rPr>
      </w:pPr>
      <w:hyperlink w:anchor="_Toc517687935" w:history="1">
        <w:r w:rsidR="00C544C3" w:rsidRPr="0061711E">
          <w:rPr>
            <w:rStyle w:val="Hyperlink"/>
            <w:noProof/>
          </w:rPr>
          <w:t>1.</w:t>
        </w:r>
        <w:r w:rsidR="00C544C3" w:rsidRPr="0061711E">
          <w:rPr>
            <w:rFonts w:cstheme="minorBidi"/>
            <w:noProof/>
          </w:rPr>
          <w:tab/>
        </w:r>
        <w:r w:rsidR="00C544C3" w:rsidRPr="0061711E">
          <w:rPr>
            <w:rStyle w:val="Hyperlink"/>
            <w:noProof/>
          </w:rPr>
          <w:t>Domestic Legal Framework Governing Use of Force</w:t>
        </w:r>
        <w:r w:rsidR="00C544C3" w:rsidRPr="0061711E">
          <w:rPr>
            <w:noProof/>
            <w:webHidden/>
          </w:rPr>
          <w:tab/>
        </w:r>
        <w:r w:rsidR="00C544C3" w:rsidRPr="0061711E">
          <w:rPr>
            <w:noProof/>
            <w:webHidden/>
          </w:rPr>
          <w:fldChar w:fldCharType="begin"/>
        </w:r>
        <w:r w:rsidR="00C544C3" w:rsidRPr="0061711E">
          <w:rPr>
            <w:noProof/>
            <w:webHidden/>
          </w:rPr>
          <w:instrText xml:space="preserve"> PAGEREF _Toc517687935 \h </w:instrText>
        </w:r>
        <w:r w:rsidR="00C544C3" w:rsidRPr="0061711E">
          <w:rPr>
            <w:noProof/>
            <w:webHidden/>
          </w:rPr>
        </w:r>
        <w:r w:rsidR="00C544C3" w:rsidRPr="0061711E">
          <w:rPr>
            <w:noProof/>
            <w:webHidden/>
          </w:rPr>
          <w:fldChar w:fldCharType="separate"/>
        </w:r>
        <w:r w:rsidR="002D27D9">
          <w:rPr>
            <w:noProof/>
            <w:webHidden/>
          </w:rPr>
          <w:t>114</w:t>
        </w:r>
        <w:r w:rsidR="00C544C3" w:rsidRPr="0061711E">
          <w:rPr>
            <w:noProof/>
            <w:webHidden/>
          </w:rPr>
          <w:fldChar w:fldCharType="end"/>
        </w:r>
      </w:hyperlink>
    </w:p>
    <w:p w14:paraId="737B3F5E" w14:textId="77777777" w:rsidR="00C544C3" w:rsidRPr="0061711E" w:rsidRDefault="00BA1293" w:rsidP="004F79A3">
      <w:pPr>
        <w:pStyle w:val="TOC3"/>
        <w:tabs>
          <w:tab w:val="right" w:pos="7560"/>
        </w:tabs>
        <w:ind w:firstLine="360"/>
        <w:rPr>
          <w:rFonts w:cstheme="minorBidi"/>
          <w:noProof/>
        </w:rPr>
      </w:pPr>
      <w:hyperlink w:anchor="_Toc517687936" w:history="1">
        <w:r w:rsidR="00C544C3" w:rsidRPr="0061711E">
          <w:rPr>
            <w:rStyle w:val="Hyperlink"/>
            <w:noProof/>
          </w:rPr>
          <w:t>2.</w:t>
        </w:r>
        <w:r w:rsidR="00C544C3" w:rsidRPr="0061711E">
          <w:rPr>
            <w:rFonts w:cstheme="minorBidi"/>
            <w:noProof/>
          </w:rPr>
          <w:tab/>
        </w:r>
        <w:r w:rsidR="00C544C3" w:rsidRPr="0061711E">
          <w:rPr>
            <w:rStyle w:val="Hyperlink"/>
            <w:noProof/>
          </w:rPr>
          <w:t>Institutional Reform and Guidelines for Policing</w:t>
        </w:r>
        <w:r w:rsidR="00C544C3" w:rsidRPr="0061711E">
          <w:rPr>
            <w:noProof/>
            <w:webHidden/>
          </w:rPr>
          <w:tab/>
        </w:r>
        <w:r w:rsidR="00C544C3" w:rsidRPr="0061711E">
          <w:rPr>
            <w:noProof/>
            <w:webHidden/>
          </w:rPr>
          <w:fldChar w:fldCharType="begin"/>
        </w:r>
        <w:r w:rsidR="00C544C3" w:rsidRPr="0061711E">
          <w:rPr>
            <w:noProof/>
            <w:webHidden/>
          </w:rPr>
          <w:instrText xml:space="preserve"> PAGEREF _Toc517687936 \h </w:instrText>
        </w:r>
        <w:r w:rsidR="00C544C3" w:rsidRPr="0061711E">
          <w:rPr>
            <w:noProof/>
            <w:webHidden/>
          </w:rPr>
        </w:r>
        <w:r w:rsidR="00C544C3" w:rsidRPr="0061711E">
          <w:rPr>
            <w:noProof/>
            <w:webHidden/>
          </w:rPr>
          <w:fldChar w:fldCharType="separate"/>
        </w:r>
        <w:r w:rsidR="002D27D9">
          <w:rPr>
            <w:noProof/>
            <w:webHidden/>
          </w:rPr>
          <w:t>116</w:t>
        </w:r>
        <w:r w:rsidR="00C544C3" w:rsidRPr="0061711E">
          <w:rPr>
            <w:noProof/>
            <w:webHidden/>
          </w:rPr>
          <w:fldChar w:fldCharType="end"/>
        </w:r>
      </w:hyperlink>
    </w:p>
    <w:p w14:paraId="5A3AF348" w14:textId="77777777" w:rsidR="00C544C3" w:rsidRPr="0061711E" w:rsidRDefault="00BA1293" w:rsidP="004F79A3">
      <w:pPr>
        <w:pStyle w:val="TOC4"/>
        <w:tabs>
          <w:tab w:val="left" w:pos="1100"/>
          <w:tab w:val="right" w:pos="7560"/>
          <w:tab w:val="right" w:pos="9350"/>
        </w:tabs>
        <w:ind w:left="1170" w:hanging="450"/>
        <w:rPr>
          <w:rFonts w:asciiTheme="minorHAnsi" w:eastAsiaTheme="minorEastAsia" w:hAnsiTheme="minorHAnsi" w:cstheme="minorBidi"/>
          <w:noProof/>
        </w:rPr>
      </w:pPr>
      <w:hyperlink w:anchor="_Toc517687937" w:history="1">
        <w:r w:rsidR="00C544C3" w:rsidRPr="0061711E">
          <w:rPr>
            <w:rStyle w:val="Hyperlink"/>
            <w:rFonts w:asciiTheme="minorHAnsi" w:hAnsiTheme="minorHAnsi"/>
            <w:noProof/>
          </w:rPr>
          <w:t>a.</w:t>
        </w:r>
        <w:r w:rsidR="00C544C3" w:rsidRPr="0061711E">
          <w:rPr>
            <w:rFonts w:asciiTheme="minorHAnsi" w:eastAsiaTheme="minorEastAsia" w:hAnsiTheme="minorHAnsi" w:cstheme="minorBidi"/>
            <w:noProof/>
          </w:rPr>
          <w:tab/>
        </w:r>
        <w:r w:rsidR="00C544C3" w:rsidRPr="0061711E">
          <w:rPr>
            <w:rStyle w:val="Hyperlink"/>
            <w:rFonts w:asciiTheme="minorHAnsi" w:hAnsiTheme="minorHAnsi"/>
            <w:noProof/>
          </w:rPr>
          <w:t>Hiring and Training of Police</w:t>
        </w:r>
        <w:r w:rsidR="00C544C3" w:rsidRPr="0061711E">
          <w:rPr>
            <w:rFonts w:asciiTheme="minorHAnsi" w:hAnsiTheme="minorHAnsi"/>
            <w:noProof/>
            <w:webHidden/>
          </w:rPr>
          <w:tab/>
        </w:r>
        <w:r w:rsidR="00C544C3" w:rsidRPr="0061711E">
          <w:rPr>
            <w:rFonts w:asciiTheme="minorHAnsi" w:hAnsiTheme="minorHAnsi"/>
            <w:noProof/>
            <w:webHidden/>
          </w:rPr>
          <w:fldChar w:fldCharType="begin"/>
        </w:r>
        <w:r w:rsidR="00C544C3" w:rsidRPr="0061711E">
          <w:rPr>
            <w:rFonts w:asciiTheme="minorHAnsi" w:hAnsiTheme="minorHAnsi"/>
            <w:noProof/>
            <w:webHidden/>
          </w:rPr>
          <w:instrText xml:space="preserve"> PAGEREF _Toc517687937 \h </w:instrText>
        </w:r>
        <w:r w:rsidR="00C544C3" w:rsidRPr="0061711E">
          <w:rPr>
            <w:rFonts w:asciiTheme="minorHAnsi" w:hAnsiTheme="minorHAnsi"/>
            <w:noProof/>
            <w:webHidden/>
          </w:rPr>
        </w:r>
        <w:r w:rsidR="00C544C3" w:rsidRPr="0061711E">
          <w:rPr>
            <w:rFonts w:asciiTheme="minorHAnsi" w:hAnsiTheme="minorHAnsi"/>
            <w:noProof/>
            <w:webHidden/>
          </w:rPr>
          <w:fldChar w:fldCharType="separate"/>
        </w:r>
        <w:r w:rsidR="002D27D9">
          <w:rPr>
            <w:rFonts w:asciiTheme="minorHAnsi" w:hAnsiTheme="minorHAnsi"/>
            <w:noProof/>
            <w:webHidden/>
          </w:rPr>
          <w:t>116</w:t>
        </w:r>
        <w:r w:rsidR="00C544C3" w:rsidRPr="0061711E">
          <w:rPr>
            <w:rFonts w:asciiTheme="minorHAnsi" w:hAnsiTheme="minorHAnsi"/>
            <w:noProof/>
            <w:webHidden/>
          </w:rPr>
          <w:fldChar w:fldCharType="end"/>
        </w:r>
      </w:hyperlink>
    </w:p>
    <w:p w14:paraId="2293EDD8" w14:textId="77777777" w:rsidR="00C544C3" w:rsidRPr="0061711E" w:rsidRDefault="00BA1293" w:rsidP="004F79A3">
      <w:pPr>
        <w:pStyle w:val="TOC4"/>
        <w:tabs>
          <w:tab w:val="left" w:pos="1100"/>
          <w:tab w:val="right" w:pos="7560"/>
          <w:tab w:val="right" w:pos="9350"/>
        </w:tabs>
        <w:ind w:left="1170" w:hanging="450"/>
        <w:rPr>
          <w:rFonts w:asciiTheme="minorHAnsi" w:eastAsiaTheme="minorEastAsia" w:hAnsiTheme="minorHAnsi" w:cstheme="minorBidi"/>
          <w:noProof/>
        </w:rPr>
      </w:pPr>
      <w:hyperlink w:anchor="_Toc517687938" w:history="1">
        <w:r w:rsidR="00C544C3" w:rsidRPr="0061711E">
          <w:rPr>
            <w:rStyle w:val="Hyperlink"/>
            <w:rFonts w:asciiTheme="minorHAnsi" w:hAnsiTheme="minorHAnsi"/>
            <w:noProof/>
          </w:rPr>
          <w:t>b.</w:t>
        </w:r>
        <w:r w:rsidR="00C544C3" w:rsidRPr="0061711E">
          <w:rPr>
            <w:rFonts w:asciiTheme="minorHAnsi" w:eastAsiaTheme="minorEastAsia" w:hAnsiTheme="minorHAnsi" w:cstheme="minorBidi"/>
            <w:noProof/>
          </w:rPr>
          <w:tab/>
        </w:r>
        <w:r w:rsidR="00C544C3" w:rsidRPr="0061711E">
          <w:rPr>
            <w:rStyle w:val="Hyperlink"/>
            <w:rFonts w:asciiTheme="minorHAnsi" w:hAnsiTheme="minorHAnsi"/>
            <w:noProof/>
          </w:rPr>
          <w:t>Adoption of Protocols regarding the Use of Force</w:t>
        </w:r>
        <w:r w:rsidR="00C544C3" w:rsidRPr="0061711E">
          <w:rPr>
            <w:rFonts w:asciiTheme="minorHAnsi" w:hAnsiTheme="minorHAnsi"/>
            <w:noProof/>
            <w:webHidden/>
          </w:rPr>
          <w:tab/>
        </w:r>
        <w:r w:rsidR="00C544C3" w:rsidRPr="0061711E">
          <w:rPr>
            <w:rFonts w:asciiTheme="minorHAnsi" w:hAnsiTheme="minorHAnsi"/>
            <w:noProof/>
            <w:webHidden/>
          </w:rPr>
          <w:fldChar w:fldCharType="begin"/>
        </w:r>
        <w:r w:rsidR="00C544C3" w:rsidRPr="0061711E">
          <w:rPr>
            <w:rFonts w:asciiTheme="minorHAnsi" w:hAnsiTheme="minorHAnsi"/>
            <w:noProof/>
            <w:webHidden/>
          </w:rPr>
          <w:instrText xml:space="preserve"> PAGEREF _Toc517687938 \h </w:instrText>
        </w:r>
        <w:r w:rsidR="00C544C3" w:rsidRPr="0061711E">
          <w:rPr>
            <w:rFonts w:asciiTheme="minorHAnsi" w:hAnsiTheme="minorHAnsi"/>
            <w:noProof/>
            <w:webHidden/>
          </w:rPr>
        </w:r>
        <w:r w:rsidR="00C544C3" w:rsidRPr="0061711E">
          <w:rPr>
            <w:rFonts w:asciiTheme="minorHAnsi" w:hAnsiTheme="minorHAnsi"/>
            <w:noProof/>
            <w:webHidden/>
          </w:rPr>
          <w:fldChar w:fldCharType="separate"/>
        </w:r>
        <w:r w:rsidR="002D27D9">
          <w:rPr>
            <w:rFonts w:asciiTheme="minorHAnsi" w:hAnsiTheme="minorHAnsi"/>
            <w:noProof/>
            <w:webHidden/>
          </w:rPr>
          <w:t>118</w:t>
        </w:r>
        <w:r w:rsidR="00C544C3" w:rsidRPr="0061711E">
          <w:rPr>
            <w:rFonts w:asciiTheme="minorHAnsi" w:hAnsiTheme="minorHAnsi"/>
            <w:noProof/>
            <w:webHidden/>
          </w:rPr>
          <w:fldChar w:fldCharType="end"/>
        </w:r>
      </w:hyperlink>
    </w:p>
    <w:p w14:paraId="20184565" w14:textId="63212698" w:rsidR="00C544C3" w:rsidRPr="0061711E" w:rsidRDefault="00BA1293" w:rsidP="004F79A3">
      <w:pPr>
        <w:pStyle w:val="TOC4"/>
        <w:tabs>
          <w:tab w:val="left" w:pos="1100"/>
          <w:tab w:val="right" w:pos="7560"/>
          <w:tab w:val="right" w:pos="9350"/>
        </w:tabs>
        <w:ind w:left="1170" w:hanging="450"/>
        <w:rPr>
          <w:rFonts w:asciiTheme="minorHAnsi" w:eastAsiaTheme="minorEastAsia" w:hAnsiTheme="minorHAnsi" w:cstheme="minorBidi"/>
          <w:noProof/>
        </w:rPr>
      </w:pPr>
      <w:hyperlink w:anchor="_Toc517687939" w:history="1">
        <w:r w:rsidR="00C544C3" w:rsidRPr="0061711E">
          <w:rPr>
            <w:rStyle w:val="Hyperlink"/>
            <w:rFonts w:asciiTheme="minorHAnsi" w:hAnsiTheme="minorHAnsi"/>
            <w:noProof/>
          </w:rPr>
          <w:t>c.</w:t>
        </w:r>
        <w:r w:rsidR="00C544C3" w:rsidRPr="0061711E">
          <w:rPr>
            <w:rFonts w:asciiTheme="minorHAnsi" w:eastAsiaTheme="minorEastAsia" w:hAnsiTheme="minorHAnsi" w:cstheme="minorBidi"/>
            <w:noProof/>
          </w:rPr>
          <w:tab/>
        </w:r>
        <w:r w:rsidR="00C544C3" w:rsidRPr="0061711E">
          <w:rPr>
            <w:rStyle w:val="Hyperlink"/>
            <w:rFonts w:asciiTheme="minorHAnsi" w:hAnsiTheme="minorHAnsi"/>
            <w:noProof/>
          </w:rPr>
          <w:t xml:space="preserve">Preventing Violations of the Prohibition against Torture </w:t>
        </w:r>
        <w:r w:rsidR="004F79A3">
          <w:rPr>
            <w:rStyle w:val="Hyperlink"/>
            <w:rFonts w:asciiTheme="minorHAnsi" w:hAnsiTheme="minorHAnsi"/>
            <w:noProof/>
          </w:rPr>
          <w:br/>
        </w:r>
        <w:r w:rsidR="00C544C3" w:rsidRPr="0061711E">
          <w:rPr>
            <w:rStyle w:val="Hyperlink"/>
            <w:rFonts w:asciiTheme="minorHAnsi" w:hAnsiTheme="minorHAnsi"/>
            <w:noProof/>
          </w:rPr>
          <w:t>and Cruel, Inhuman, and Degrading Treatment</w:t>
        </w:r>
        <w:r w:rsidR="00C544C3" w:rsidRPr="0061711E">
          <w:rPr>
            <w:rFonts w:asciiTheme="minorHAnsi" w:hAnsiTheme="minorHAnsi"/>
            <w:noProof/>
            <w:webHidden/>
          </w:rPr>
          <w:tab/>
        </w:r>
        <w:r w:rsidR="00C544C3" w:rsidRPr="0061711E">
          <w:rPr>
            <w:rFonts w:asciiTheme="minorHAnsi" w:hAnsiTheme="minorHAnsi"/>
            <w:noProof/>
            <w:webHidden/>
          </w:rPr>
          <w:fldChar w:fldCharType="begin"/>
        </w:r>
        <w:r w:rsidR="00C544C3" w:rsidRPr="0061711E">
          <w:rPr>
            <w:rFonts w:asciiTheme="minorHAnsi" w:hAnsiTheme="minorHAnsi"/>
            <w:noProof/>
            <w:webHidden/>
          </w:rPr>
          <w:instrText xml:space="preserve"> PAGEREF _Toc517687939 \h </w:instrText>
        </w:r>
        <w:r w:rsidR="00C544C3" w:rsidRPr="0061711E">
          <w:rPr>
            <w:rFonts w:asciiTheme="minorHAnsi" w:hAnsiTheme="minorHAnsi"/>
            <w:noProof/>
            <w:webHidden/>
          </w:rPr>
        </w:r>
        <w:r w:rsidR="00C544C3" w:rsidRPr="0061711E">
          <w:rPr>
            <w:rFonts w:asciiTheme="minorHAnsi" w:hAnsiTheme="minorHAnsi"/>
            <w:noProof/>
            <w:webHidden/>
          </w:rPr>
          <w:fldChar w:fldCharType="separate"/>
        </w:r>
        <w:r w:rsidR="002D27D9">
          <w:rPr>
            <w:rFonts w:asciiTheme="minorHAnsi" w:hAnsiTheme="minorHAnsi"/>
            <w:noProof/>
            <w:webHidden/>
          </w:rPr>
          <w:t>120</w:t>
        </w:r>
        <w:r w:rsidR="00C544C3" w:rsidRPr="0061711E">
          <w:rPr>
            <w:rFonts w:asciiTheme="minorHAnsi" w:hAnsiTheme="minorHAnsi"/>
            <w:noProof/>
            <w:webHidden/>
          </w:rPr>
          <w:fldChar w:fldCharType="end"/>
        </w:r>
      </w:hyperlink>
    </w:p>
    <w:p w14:paraId="5E2B09EF" w14:textId="77777777" w:rsidR="00C544C3" w:rsidRPr="0061711E" w:rsidRDefault="00BA1293" w:rsidP="004F79A3">
      <w:pPr>
        <w:pStyle w:val="TOC3"/>
        <w:tabs>
          <w:tab w:val="right" w:pos="7560"/>
        </w:tabs>
        <w:ind w:firstLine="360"/>
        <w:rPr>
          <w:rFonts w:cstheme="minorBidi"/>
          <w:noProof/>
        </w:rPr>
      </w:pPr>
      <w:hyperlink w:anchor="_Toc517687940" w:history="1">
        <w:r w:rsidR="00C544C3" w:rsidRPr="0061711E">
          <w:rPr>
            <w:rStyle w:val="Hyperlink"/>
            <w:noProof/>
          </w:rPr>
          <w:t>3.</w:t>
        </w:r>
        <w:r w:rsidR="00C544C3" w:rsidRPr="0061711E">
          <w:rPr>
            <w:rFonts w:cstheme="minorBidi"/>
            <w:noProof/>
          </w:rPr>
          <w:tab/>
        </w:r>
        <w:r w:rsidR="00C544C3" w:rsidRPr="0061711E">
          <w:rPr>
            <w:rStyle w:val="Hyperlink"/>
            <w:noProof/>
          </w:rPr>
          <w:t>Militarization of Police</w:t>
        </w:r>
        <w:r w:rsidR="00C544C3" w:rsidRPr="0061711E">
          <w:rPr>
            <w:noProof/>
            <w:webHidden/>
          </w:rPr>
          <w:tab/>
        </w:r>
        <w:r w:rsidR="00C544C3" w:rsidRPr="0061711E">
          <w:rPr>
            <w:noProof/>
            <w:webHidden/>
          </w:rPr>
          <w:fldChar w:fldCharType="begin"/>
        </w:r>
        <w:r w:rsidR="00C544C3" w:rsidRPr="0061711E">
          <w:rPr>
            <w:noProof/>
            <w:webHidden/>
          </w:rPr>
          <w:instrText xml:space="preserve"> PAGEREF _Toc517687940 \h </w:instrText>
        </w:r>
        <w:r w:rsidR="00C544C3" w:rsidRPr="0061711E">
          <w:rPr>
            <w:noProof/>
            <w:webHidden/>
          </w:rPr>
        </w:r>
        <w:r w:rsidR="00C544C3" w:rsidRPr="0061711E">
          <w:rPr>
            <w:noProof/>
            <w:webHidden/>
          </w:rPr>
          <w:fldChar w:fldCharType="separate"/>
        </w:r>
        <w:r w:rsidR="002D27D9">
          <w:rPr>
            <w:noProof/>
            <w:webHidden/>
          </w:rPr>
          <w:t>123</w:t>
        </w:r>
        <w:r w:rsidR="00C544C3" w:rsidRPr="0061711E">
          <w:rPr>
            <w:noProof/>
            <w:webHidden/>
          </w:rPr>
          <w:fldChar w:fldCharType="end"/>
        </w:r>
      </w:hyperlink>
    </w:p>
    <w:p w14:paraId="3428F249" w14:textId="7F90BF26" w:rsidR="00C544C3" w:rsidRPr="0061711E" w:rsidRDefault="00BA1293" w:rsidP="004F79A3">
      <w:pPr>
        <w:pStyle w:val="TOC3"/>
        <w:tabs>
          <w:tab w:val="right" w:pos="7560"/>
        </w:tabs>
        <w:ind w:firstLine="360"/>
        <w:rPr>
          <w:rFonts w:cstheme="minorBidi"/>
          <w:noProof/>
        </w:rPr>
      </w:pPr>
      <w:hyperlink w:anchor="_Toc517687941" w:history="1">
        <w:r w:rsidR="00C544C3" w:rsidRPr="0061711E">
          <w:rPr>
            <w:rStyle w:val="Hyperlink"/>
            <w:noProof/>
          </w:rPr>
          <w:t xml:space="preserve">4. </w:t>
        </w:r>
        <w:r w:rsidR="00C544C3" w:rsidRPr="0061711E">
          <w:rPr>
            <w:rStyle w:val="Hyperlink"/>
            <w:noProof/>
          </w:rPr>
          <w:tab/>
          <w:t>Use of Force and Social Protest</w:t>
        </w:r>
        <w:r w:rsidR="00C544C3" w:rsidRPr="0061711E">
          <w:rPr>
            <w:noProof/>
            <w:webHidden/>
          </w:rPr>
          <w:tab/>
        </w:r>
        <w:r w:rsidR="00C544C3" w:rsidRPr="0061711E">
          <w:rPr>
            <w:noProof/>
            <w:webHidden/>
          </w:rPr>
          <w:fldChar w:fldCharType="begin"/>
        </w:r>
        <w:r w:rsidR="00C544C3" w:rsidRPr="0061711E">
          <w:rPr>
            <w:noProof/>
            <w:webHidden/>
          </w:rPr>
          <w:instrText xml:space="preserve"> PAGEREF _Toc517687941 \h </w:instrText>
        </w:r>
        <w:r w:rsidR="00C544C3" w:rsidRPr="0061711E">
          <w:rPr>
            <w:noProof/>
            <w:webHidden/>
          </w:rPr>
        </w:r>
        <w:r w:rsidR="00C544C3" w:rsidRPr="0061711E">
          <w:rPr>
            <w:noProof/>
            <w:webHidden/>
          </w:rPr>
          <w:fldChar w:fldCharType="separate"/>
        </w:r>
        <w:r w:rsidR="002D27D9">
          <w:rPr>
            <w:noProof/>
            <w:webHidden/>
          </w:rPr>
          <w:t>124</w:t>
        </w:r>
        <w:r w:rsidR="00C544C3" w:rsidRPr="0061711E">
          <w:rPr>
            <w:noProof/>
            <w:webHidden/>
          </w:rPr>
          <w:fldChar w:fldCharType="end"/>
        </w:r>
      </w:hyperlink>
    </w:p>
    <w:p w14:paraId="21E3B9E8" w14:textId="0E2036BA" w:rsidR="00C544C3" w:rsidRPr="0061711E" w:rsidRDefault="00BA1293" w:rsidP="004F79A3">
      <w:pPr>
        <w:pStyle w:val="TOC2"/>
        <w:rPr>
          <w:rFonts w:cstheme="minorBidi"/>
        </w:rPr>
      </w:pPr>
      <w:hyperlink w:anchor="_Toc517687942" w:history="1">
        <w:r w:rsidR="00610EA8" w:rsidRPr="0061711E">
          <w:rPr>
            <w:rStyle w:val="Hyperlink"/>
          </w:rPr>
          <w:t>C</w:t>
        </w:r>
        <w:r w:rsidR="00C544C3" w:rsidRPr="0061711E">
          <w:rPr>
            <w:rStyle w:val="Hyperlink"/>
          </w:rPr>
          <w:t>.</w:t>
        </w:r>
        <w:r w:rsidR="00C544C3" w:rsidRPr="0061711E">
          <w:rPr>
            <w:rFonts w:cstheme="minorBidi"/>
          </w:rPr>
          <w:tab/>
        </w:r>
        <w:r w:rsidR="00C544C3" w:rsidRPr="0061711E">
          <w:rPr>
            <w:rStyle w:val="Hyperlink"/>
          </w:rPr>
          <w:t>International Framework regarding Access to Justice: Due Diligence, Accountability, Institutional Independence, Remedies, and Reparations</w:t>
        </w:r>
        <w:r w:rsidR="00C544C3" w:rsidRPr="0061711E">
          <w:rPr>
            <w:webHidden/>
          </w:rPr>
          <w:tab/>
        </w:r>
        <w:r w:rsidR="00C544C3" w:rsidRPr="0061711E">
          <w:rPr>
            <w:webHidden/>
          </w:rPr>
          <w:fldChar w:fldCharType="begin"/>
        </w:r>
        <w:r w:rsidR="00C544C3" w:rsidRPr="0061711E">
          <w:rPr>
            <w:webHidden/>
          </w:rPr>
          <w:instrText xml:space="preserve"> PAGEREF _Toc517687942 \h </w:instrText>
        </w:r>
        <w:r w:rsidR="00C544C3" w:rsidRPr="0061711E">
          <w:rPr>
            <w:webHidden/>
          </w:rPr>
        </w:r>
        <w:r w:rsidR="00C544C3" w:rsidRPr="0061711E">
          <w:rPr>
            <w:webHidden/>
          </w:rPr>
          <w:fldChar w:fldCharType="separate"/>
        </w:r>
        <w:r w:rsidR="002D27D9">
          <w:rPr>
            <w:webHidden/>
          </w:rPr>
          <w:t>127</w:t>
        </w:r>
        <w:r w:rsidR="00C544C3" w:rsidRPr="0061711E">
          <w:rPr>
            <w:webHidden/>
          </w:rPr>
          <w:fldChar w:fldCharType="end"/>
        </w:r>
      </w:hyperlink>
    </w:p>
    <w:p w14:paraId="385FB586" w14:textId="77777777" w:rsidR="00C544C3" w:rsidRPr="0061711E" w:rsidRDefault="00BA1293" w:rsidP="004F79A3">
      <w:pPr>
        <w:pStyle w:val="TOC3"/>
        <w:tabs>
          <w:tab w:val="right" w:pos="7560"/>
        </w:tabs>
        <w:ind w:firstLine="360"/>
        <w:rPr>
          <w:rFonts w:cstheme="minorBidi"/>
          <w:noProof/>
        </w:rPr>
      </w:pPr>
      <w:hyperlink w:anchor="_Toc517687943" w:history="1">
        <w:r w:rsidR="00C544C3" w:rsidRPr="0061711E">
          <w:rPr>
            <w:rStyle w:val="Hyperlink"/>
            <w:noProof/>
          </w:rPr>
          <w:t>1.</w:t>
        </w:r>
        <w:r w:rsidR="00C544C3" w:rsidRPr="0061711E">
          <w:rPr>
            <w:rFonts w:cstheme="minorBidi"/>
            <w:noProof/>
          </w:rPr>
          <w:tab/>
        </w:r>
        <w:r w:rsidR="00C544C3" w:rsidRPr="0061711E">
          <w:rPr>
            <w:rStyle w:val="Hyperlink"/>
            <w:noProof/>
          </w:rPr>
          <w:t>Due Diligence</w:t>
        </w:r>
        <w:r w:rsidR="00C544C3" w:rsidRPr="0061711E">
          <w:rPr>
            <w:noProof/>
            <w:webHidden/>
          </w:rPr>
          <w:tab/>
        </w:r>
        <w:r w:rsidR="00C544C3" w:rsidRPr="0061711E">
          <w:rPr>
            <w:noProof/>
            <w:webHidden/>
          </w:rPr>
          <w:fldChar w:fldCharType="begin"/>
        </w:r>
        <w:r w:rsidR="00C544C3" w:rsidRPr="0061711E">
          <w:rPr>
            <w:noProof/>
            <w:webHidden/>
          </w:rPr>
          <w:instrText xml:space="preserve"> PAGEREF _Toc517687943 \h </w:instrText>
        </w:r>
        <w:r w:rsidR="00C544C3" w:rsidRPr="0061711E">
          <w:rPr>
            <w:noProof/>
            <w:webHidden/>
          </w:rPr>
        </w:r>
        <w:r w:rsidR="00C544C3" w:rsidRPr="0061711E">
          <w:rPr>
            <w:noProof/>
            <w:webHidden/>
          </w:rPr>
          <w:fldChar w:fldCharType="separate"/>
        </w:r>
        <w:r w:rsidR="002D27D9">
          <w:rPr>
            <w:noProof/>
            <w:webHidden/>
          </w:rPr>
          <w:t>128</w:t>
        </w:r>
        <w:r w:rsidR="00C544C3" w:rsidRPr="0061711E">
          <w:rPr>
            <w:noProof/>
            <w:webHidden/>
          </w:rPr>
          <w:fldChar w:fldCharType="end"/>
        </w:r>
      </w:hyperlink>
    </w:p>
    <w:p w14:paraId="4AC3B104" w14:textId="77777777" w:rsidR="00C544C3" w:rsidRPr="0061711E" w:rsidRDefault="00BA1293" w:rsidP="004F79A3">
      <w:pPr>
        <w:pStyle w:val="TOC4"/>
        <w:tabs>
          <w:tab w:val="left" w:pos="1100"/>
          <w:tab w:val="right" w:pos="7560"/>
          <w:tab w:val="right" w:pos="9350"/>
        </w:tabs>
        <w:ind w:left="1170" w:hanging="450"/>
        <w:rPr>
          <w:rFonts w:asciiTheme="minorHAnsi" w:eastAsiaTheme="minorEastAsia" w:hAnsiTheme="minorHAnsi" w:cstheme="minorBidi"/>
          <w:noProof/>
        </w:rPr>
      </w:pPr>
      <w:hyperlink w:anchor="_Toc517687944" w:history="1">
        <w:r w:rsidR="00C544C3" w:rsidRPr="0061711E">
          <w:rPr>
            <w:rStyle w:val="Hyperlink"/>
            <w:rFonts w:asciiTheme="minorHAnsi" w:hAnsiTheme="minorHAnsi"/>
            <w:noProof/>
          </w:rPr>
          <w:t>a.</w:t>
        </w:r>
        <w:r w:rsidR="00C544C3" w:rsidRPr="0061711E">
          <w:rPr>
            <w:rFonts w:asciiTheme="minorHAnsi" w:eastAsiaTheme="minorEastAsia" w:hAnsiTheme="minorHAnsi" w:cstheme="minorBidi"/>
            <w:noProof/>
          </w:rPr>
          <w:tab/>
        </w:r>
        <w:r w:rsidR="00C544C3" w:rsidRPr="0061711E">
          <w:rPr>
            <w:rStyle w:val="Hyperlink"/>
            <w:rFonts w:asciiTheme="minorHAnsi" w:hAnsiTheme="minorHAnsi"/>
            <w:noProof/>
          </w:rPr>
          <w:t>Collection of Statistics and Active Transparency</w:t>
        </w:r>
        <w:r w:rsidR="00C544C3" w:rsidRPr="0061711E">
          <w:rPr>
            <w:rFonts w:asciiTheme="minorHAnsi" w:hAnsiTheme="minorHAnsi"/>
            <w:noProof/>
            <w:webHidden/>
          </w:rPr>
          <w:tab/>
        </w:r>
        <w:r w:rsidR="00C544C3" w:rsidRPr="0061711E">
          <w:rPr>
            <w:rFonts w:asciiTheme="minorHAnsi" w:hAnsiTheme="minorHAnsi"/>
            <w:noProof/>
            <w:webHidden/>
          </w:rPr>
          <w:fldChar w:fldCharType="begin"/>
        </w:r>
        <w:r w:rsidR="00C544C3" w:rsidRPr="0061711E">
          <w:rPr>
            <w:rFonts w:asciiTheme="minorHAnsi" w:hAnsiTheme="minorHAnsi"/>
            <w:noProof/>
            <w:webHidden/>
          </w:rPr>
          <w:instrText xml:space="preserve"> PAGEREF _Toc517687944 \h </w:instrText>
        </w:r>
        <w:r w:rsidR="00C544C3" w:rsidRPr="0061711E">
          <w:rPr>
            <w:rFonts w:asciiTheme="minorHAnsi" w:hAnsiTheme="minorHAnsi"/>
            <w:noProof/>
            <w:webHidden/>
          </w:rPr>
        </w:r>
        <w:r w:rsidR="00C544C3" w:rsidRPr="0061711E">
          <w:rPr>
            <w:rFonts w:asciiTheme="minorHAnsi" w:hAnsiTheme="minorHAnsi"/>
            <w:noProof/>
            <w:webHidden/>
          </w:rPr>
          <w:fldChar w:fldCharType="separate"/>
        </w:r>
        <w:r w:rsidR="002D27D9">
          <w:rPr>
            <w:rFonts w:asciiTheme="minorHAnsi" w:hAnsiTheme="minorHAnsi"/>
            <w:noProof/>
            <w:webHidden/>
          </w:rPr>
          <w:t>131</w:t>
        </w:r>
        <w:r w:rsidR="00C544C3" w:rsidRPr="0061711E">
          <w:rPr>
            <w:rFonts w:asciiTheme="minorHAnsi" w:hAnsiTheme="minorHAnsi"/>
            <w:noProof/>
            <w:webHidden/>
          </w:rPr>
          <w:fldChar w:fldCharType="end"/>
        </w:r>
      </w:hyperlink>
    </w:p>
    <w:p w14:paraId="506AD067" w14:textId="77777777" w:rsidR="00C544C3" w:rsidRPr="0061711E" w:rsidRDefault="00BA1293" w:rsidP="004F79A3">
      <w:pPr>
        <w:pStyle w:val="TOC4"/>
        <w:tabs>
          <w:tab w:val="left" w:pos="1100"/>
          <w:tab w:val="right" w:pos="7560"/>
          <w:tab w:val="right" w:pos="9350"/>
        </w:tabs>
        <w:ind w:left="1170" w:hanging="450"/>
        <w:rPr>
          <w:rFonts w:asciiTheme="minorHAnsi" w:eastAsiaTheme="minorEastAsia" w:hAnsiTheme="minorHAnsi" w:cstheme="minorBidi"/>
          <w:noProof/>
        </w:rPr>
      </w:pPr>
      <w:hyperlink w:anchor="_Toc517687945" w:history="1">
        <w:r w:rsidR="00C544C3" w:rsidRPr="0061711E">
          <w:rPr>
            <w:rStyle w:val="Hyperlink"/>
            <w:rFonts w:asciiTheme="minorHAnsi" w:hAnsiTheme="minorHAnsi"/>
            <w:noProof/>
          </w:rPr>
          <w:t>b.</w:t>
        </w:r>
        <w:r w:rsidR="00C544C3" w:rsidRPr="0061711E">
          <w:rPr>
            <w:rFonts w:asciiTheme="minorHAnsi" w:eastAsiaTheme="minorEastAsia" w:hAnsiTheme="minorHAnsi" w:cstheme="minorBidi"/>
            <w:noProof/>
          </w:rPr>
          <w:tab/>
        </w:r>
        <w:r w:rsidR="00C544C3" w:rsidRPr="0061711E">
          <w:rPr>
            <w:rStyle w:val="Hyperlink"/>
            <w:rFonts w:asciiTheme="minorHAnsi" w:hAnsiTheme="minorHAnsi"/>
            <w:noProof/>
          </w:rPr>
          <w:t>The Duty to Investigate and Principles for Investigation</w:t>
        </w:r>
        <w:r w:rsidR="00C544C3" w:rsidRPr="0061711E">
          <w:rPr>
            <w:rFonts w:asciiTheme="minorHAnsi" w:hAnsiTheme="minorHAnsi"/>
            <w:noProof/>
            <w:webHidden/>
          </w:rPr>
          <w:tab/>
        </w:r>
        <w:r w:rsidR="00C544C3" w:rsidRPr="0061711E">
          <w:rPr>
            <w:rFonts w:asciiTheme="minorHAnsi" w:hAnsiTheme="minorHAnsi"/>
            <w:noProof/>
            <w:webHidden/>
          </w:rPr>
          <w:fldChar w:fldCharType="begin"/>
        </w:r>
        <w:r w:rsidR="00C544C3" w:rsidRPr="0061711E">
          <w:rPr>
            <w:rFonts w:asciiTheme="minorHAnsi" w:hAnsiTheme="minorHAnsi"/>
            <w:noProof/>
            <w:webHidden/>
          </w:rPr>
          <w:instrText xml:space="preserve"> PAGEREF _Toc517687945 \h </w:instrText>
        </w:r>
        <w:r w:rsidR="00C544C3" w:rsidRPr="0061711E">
          <w:rPr>
            <w:rFonts w:asciiTheme="minorHAnsi" w:hAnsiTheme="minorHAnsi"/>
            <w:noProof/>
            <w:webHidden/>
          </w:rPr>
        </w:r>
        <w:r w:rsidR="00C544C3" w:rsidRPr="0061711E">
          <w:rPr>
            <w:rFonts w:asciiTheme="minorHAnsi" w:hAnsiTheme="minorHAnsi"/>
            <w:noProof/>
            <w:webHidden/>
          </w:rPr>
          <w:fldChar w:fldCharType="separate"/>
        </w:r>
        <w:r w:rsidR="002D27D9">
          <w:rPr>
            <w:rFonts w:asciiTheme="minorHAnsi" w:hAnsiTheme="minorHAnsi"/>
            <w:noProof/>
            <w:webHidden/>
          </w:rPr>
          <w:t>133</w:t>
        </w:r>
        <w:r w:rsidR="00C544C3" w:rsidRPr="0061711E">
          <w:rPr>
            <w:rFonts w:asciiTheme="minorHAnsi" w:hAnsiTheme="minorHAnsi"/>
            <w:noProof/>
            <w:webHidden/>
          </w:rPr>
          <w:fldChar w:fldCharType="end"/>
        </w:r>
      </w:hyperlink>
    </w:p>
    <w:p w14:paraId="2CC9D31D" w14:textId="77777777" w:rsidR="00C544C3" w:rsidRPr="0061711E" w:rsidRDefault="00BA1293" w:rsidP="004F79A3">
      <w:pPr>
        <w:pStyle w:val="TOC3"/>
        <w:tabs>
          <w:tab w:val="right" w:pos="7560"/>
        </w:tabs>
        <w:ind w:firstLine="360"/>
        <w:rPr>
          <w:rFonts w:cstheme="minorBidi"/>
          <w:noProof/>
        </w:rPr>
      </w:pPr>
      <w:hyperlink w:anchor="_Toc517687946" w:history="1">
        <w:r w:rsidR="00C544C3" w:rsidRPr="0061711E">
          <w:rPr>
            <w:rStyle w:val="Hyperlink"/>
            <w:noProof/>
          </w:rPr>
          <w:t>2.</w:t>
        </w:r>
        <w:r w:rsidR="00C544C3" w:rsidRPr="0061711E">
          <w:rPr>
            <w:rFonts w:cstheme="minorBidi"/>
            <w:noProof/>
          </w:rPr>
          <w:tab/>
        </w:r>
        <w:r w:rsidR="00C544C3" w:rsidRPr="0061711E">
          <w:rPr>
            <w:rStyle w:val="Hyperlink"/>
            <w:noProof/>
          </w:rPr>
          <w:t>Institutional Design</w:t>
        </w:r>
        <w:r w:rsidR="00C544C3" w:rsidRPr="0061711E">
          <w:rPr>
            <w:noProof/>
            <w:webHidden/>
          </w:rPr>
          <w:tab/>
        </w:r>
        <w:r w:rsidR="00C544C3" w:rsidRPr="0061711E">
          <w:rPr>
            <w:noProof/>
            <w:webHidden/>
          </w:rPr>
          <w:fldChar w:fldCharType="begin"/>
        </w:r>
        <w:r w:rsidR="00C544C3" w:rsidRPr="0061711E">
          <w:rPr>
            <w:noProof/>
            <w:webHidden/>
          </w:rPr>
          <w:instrText xml:space="preserve"> PAGEREF _Toc517687946 \h </w:instrText>
        </w:r>
        <w:r w:rsidR="00C544C3" w:rsidRPr="0061711E">
          <w:rPr>
            <w:noProof/>
            <w:webHidden/>
          </w:rPr>
        </w:r>
        <w:r w:rsidR="00C544C3" w:rsidRPr="0061711E">
          <w:rPr>
            <w:noProof/>
            <w:webHidden/>
          </w:rPr>
          <w:fldChar w:fldCharType="separate"/>
        </w:r>
        <w:r w:rsidR="002D27D9">
          <w:rPr>
            <w:noProof/>
            <w:webHidden/>
          </w:rPr>
          <w:t>135</w:t>
        </w:r>
        <w:r w:rsidR="00C544C3" w:rsidRPr="0061711E">
          <w:rPr>
            <w:noProof/>
            <w:webHidden/>
          </w:rPr>
          <w:fldChar w:fldCharType="end"/>
        </w:r>
      </w:hyperlink>
    </w:p>
    <w:p w14:paraId="55B4D541" w14:textId="77777777" w:rsidR="00C544C3" w:rsidRPr="0061711E" w:rsidRDefault="00BA1293" w:rsidP="004F79A3">
      <w:pPr>
        <w:pStyle w:val="TOC3"/>
        <w:tabs>
          <w:tab w:val="right" w:pos="7560"/>
        </w:tabs>
        <w:ind w:firstLine="360"/>
        <w:rPr>
          <w:rFonts w:cstheme="minorBidi"/>
          <w:noProof/>
        </w:rPr>
      </w:pPr>
      <w:hyperlink w:anchor="_Toc517687947" w:history="1">
        <w:r w:rsidR="00C544C3" w:rsidRPr="0061711E">
          <w:rPr>
            <w:rStyle w:val="Hyperlink"/>
            <w:noProof/>
          </w:rPr>
          <w:t>3.</w:t>
        </w:r>
        <w:r w:rsidR="00C544C3" w:rsidRPr="0061711E">
          <w:rPr>
            <w:rFonts w:cstheme="minorBidi"/>
            <w:noProof/>
          </w:rPr>
          <w:tab/>
        </w:r>
        <w:r w:rsidR="00C544C3" w:rsidRPr="0061711E">
          <w:rPr>
            <w:rStyle w:val="Hyperlink"/>
            <w:noProof/>
          </w:rPr>
          <w:t>The Duty to Prosecute and Punish all Responsible Parties</w:t>
        </w:r>
        <w:r w:rsidR="00C544C3" w:rsidRPr="0061711E">
          <w:rPr>
            <w:noProof/>
            <w:webHidden/>
          </w:rPr>
          <w:tab/>
        </w:r>
        <w:r w:rsidR="00C544C3" w:rsidRPr="0061711E">
          <w:rPr>
            <w:noProof/>
            <w:webHidden/>
          </w:rPr>
          <w:fldChar w:fldCharType="begin"/>
        </w:r>
        <w:r w:rsidR="00C544C3" w:rsidRPr="0061711E">
          <w:rPr>
            <w:noProof/>
            <w:webHidden/>
          </w:rPr>
          <w:instrText xml:space="preserve"> PAGEREF _Toc517687947 \h </w:instrText>
        </w:r>
        <w:r w:rsidR="00C544C3" w:rsidRPr="0061711E">
          <w:rPr>
            <w:noProof/>
            <w:webHidden/>
          </w:rPr>
        </w:r>
        <w:r w:rsidR="00C544C3" w:rsidRPr="0061711E">
          <w:rPr>
            <w:noProof/>
            <w:webHidden/>
          </w:rPr>
          <w:fldChar w:fldCharType="separate"/>
        </w:r>
        <w:r w:rsidR="002D27D9">
          <w:rPr>
            <w:noProof/>
            <w:webHidden/>
          </w:rPr>
          <w:t>137</w:t>
        </w:r>
        <w:r w:rsidR="00C544C3" w:rsidRPr="0061711E">
          <w:rPr>
            <w:noProof/>
            <w:webHidden/>
          </w:rPr>
          <w:fldChar w:fldCharType="end"/>
        </w:r>
      </w:hyperlink>
    </w:p>
    <w:p w14:paraId="1565F0AA" w14:textId="77777777" w:rsidR="00C544C3" w:rsidRPr="0061711E" w:rsidRDefault="00BA1293" w:rsidP="004F79A3">
      <w:pPr>
        <w:pStyle w:val="TOC3"/>
        <w:tabs>
          <w:tab w:val="right" w:pos="7560"/>
        </w:tabs>
        <w:ind w:firstLine="360"/>
        <w:rPr>
          <w:rFonts w:cstheme="minorBidi"/>
          <w:noProof/>
        </w:rPr>
      </w:pPr>
      <w:hyperlink w:anchor="_Toc517687948" w:history="1">
        <w:r w:rsidR="00C544C3" w:rsidRPr="0061711E">
          <w:rPr>
            <w:rStyle w:val="Hyperlink"/>
            <w:noProof/>
          </w:rPr>
          <w:t>4.</w:t>
        </w:r>
        <w:r w:rsidR="00C544C3" w:rsidRPr="0061711E">
          <w:rPr>
            <w:rFonts w:cstheme="minorBidi"/>
            <w:noProof/>
          </w:rPr>
          <w:tab/>
        </w:r>
        <w:r w:rsidR="00C544C3" w:rsidRPr="0061711E">
          <w:rPr>
            <w:rStyle w:val="Hyperlink"/>
            <w:noProof/>
          </w:rPr>
          <w:t>The Right to an Effective Remedy</w:t>
        </w:r>
        <w:r w:rsidR="00C544C3" w:rsidRPr="0061711E">
          <w:rPr>
            <w:noProof/>
            <w:webHidden/>
          </w:rPr>
          <w:tab/>
        </w:r>
        <w:r w:rsidR="00C544C3" w:rsidRPr="0061711E">
          <w:rPr>
            <w:noProof/>
            <w:webHidden/>
          </w:rPr>
          <w:fldChar w:fldCharType="begin"/>
        </w:r>
        <w:r w:rsidR="00C544C3" w:rsidRPr="0061711E">
          <w:rPr>
            <w:noProof/>
            <w:webHidden/>
          </w:rPr>
          <w:instrText xml:space="preserve"> PAGEREF _Toc517687948 \h </w:instrText>
        </w:r>
        <w:r w:rsidR="00C544C3" w:rsidRPr="0061711E">
          <w:rPr>
            <w:noProof/>
            <w:webHidden/>
          </w:rPr>
        </w:r>
        <w:r w:rsidR="00C544C3" w:rsidRPr="0061711E">
          <w:rPr>
            <w:noProof/>
            <w:webHidden/>
          </w:rPr>
          <w:fldChar w:fldCharType="separate"/>
        </w:r>
        <w:r w:rsidR="002D27D9">
          <w:rPr>
            <w:noProof/>
            <w:webHidden/>
          </w:rPr>
          <w:t>139</w:t>
        </w:r>
        <w:r w:rsidR="00C544C3" w:rsidRPr="0061711E">
          <w:rPr>
            <w:noProof/>
            <w:webHidden/>
          </w:rPr>
          <w:fldChar w:fldCharType="end"/>
        </w:r>
      </w:hyperlink>
    </w:p>
    <w:p w14:paraId="02CE5944" w14:textId="77777777" w:rsidR="00C544C3" w:rsidRPr="0061711E" w:rsidRDefault="00BA1293" w:rsidP="004F79A3">
      <w:pPr>
        <w:pStyle w:val="TOC3"/>
        <w:tabs>
          <w:tab w:val="right" w:pos="7560"/>
        </w:tabs>
        <w:ind w:firstLine="360"/>
        <w:rPr>
          <w:rFonts w:cstheme="minorBidi"/>
          <w:noProof/>
        </w:rPr>
      </w:pPr>
      <w:hyperlink w:anchor="_Toc517687949" w:history="1">
        <w:r w:rsidR="00C544C3" w:rsidRPr="0061711E">
          <w:rPr>
            <w:rStyle w:val="Hyperlink"/>
            <w:noProof/>
          </w:rPr>
          <w:t>5.</w:t>
        </w:r>
        <w:r w:rsidR="00C544C3" w:rsidRPr="0061711E">
          <w:rPr>
            <w:rFonts w:cstheme="minorBidi"/>
            <w:noProof/>
          </w:rPr>
          <w:tab/>
        </w:r>
        <w:r w:rsidR="00C544C3" w:rsidRPr="0061711E">
          <w:rPr>
            <w:rStyle w:val="Hyperlink"/>
            <w:noProof/>
          </w:rPr>
          <w:t>Reparations</w:t>
        </w:r>
        <w:r w:rsidR="00C544C3" w:rsidRPr="0061711E">
          <w:rPr>
            <w:noProof/>
            <w:webHidden/>
          </w:rPr>
          <w:tab/>
        </w:r>
        <w:r w:rsidR="00C544C3" w:rsidRPr="0061711E">
          <w:rPr>
            <w:noProof/>
            <w:webHidden/>
          </w:rPr>
          <w:fldChar w:fldCharType="begin"/>
        </w:r>
        <w:r w:rsidR="00C544C3" w:rsidRPr="0061711E">
          <w:rPr>
            <w:noProof/>
            <w:webHidden/>
          </w:rPr>
          <w:instrText xml:space="preserve"> PAGEREF _Toc517687949 \h </w:instrText>
        </w:r>
        <w:r w:rsidR="00C544C3" w:rsidRPr="0061711E">
          <w:rPr>
            <w:noProof/>
            <w:webHidden/>
          </w:rPr>
        </w:r>
        <w:r w:rsidR="00C544C3" w:rsidRPr="0061711E">
          <w:rPr>
            <w:noProof/>
            <w:webHidden/>
          </w:rPr>
          <w:fldChar w:fldCharType="separate"/>
        </w:r>
        <w:r w:rsidR="002D27D9">
          <w:rPr>
            <w:noProof/>
            <w:webHidden/>
          </w:rPr>
          <w:t>143</w:t>
        </w:r>
        <w:r w:rsidR="00C544C3" w:rsidRPr="0061711E">
          <w:rPr>
            <w:noProof/>
            <w:webHidden/>
          </w:rPr>
          <w:fldChar w:fldCharType="end"/>
        </w:r>
      </w:hyperlink>
    </w:p>
    <w:p w14:paraId="41433F53" w14:textId="13A82481" w:rsidR="00C544C3" w:rsidRPr="004F79A3" w:rsidRDefault="00BA1293" w:rsidP="00141874">
      <w:pPr>
        <w:pStyle w:val="TOC1"/>
        <w:rPr>
          <w:rStyle w:val="Hyperlink"/>
          <w:b/>
          <w:noProof/>
          <w:sz w:val="22"/>
          <w:szCs w:val="22"/>
        </w:rPr>
      </w:pPr>
      <w:hyperlink w:anchor="_Toc517687950" w:history="1">
        <w:r w:rsidR="00C544C3" w:rsidRPr="004F79A3">
          <w:rPr>
            <w:rStyle w:val="Hyperlink"/>
            <w:b/>
            <w:noProof/>
            <w:color w:val="808080" w:themeColor="background1" w:themeShade="80"/>
            <w:sz w:val="22"/>
            <w:szCs w:val="22"/>
          </w:rPr>
          <w:t xml:space="preserve">CHAPTER 4 </w:t>
        </w:r>
        <w:r w:rsidR="00704559" w:rsidRPr="004F79A3">
          <w:rPr>
            <w:rStyle w:val="Hyperlink"/>
            <w:b/>
            <w:noProof/>
            <w:color w:val="808080" w:themeColor="background1" w:themeShade="80"/>
            <w:sz w:val="22"/>
            <w:szCs w:val="22"/>
          </w:rPr>
          <w:t xml:space="preserve">| </w:t>
        </w:r>
        <w:r w:rsidR="004F79A3" w:rsidRPr="004F79A3">
          <w:rPr>
            <w:rStyle w:val="Hyperlink"/>
            <w:b/>
            <w:noProof/>
            <w:color w:val="808080" w:themeColor="background1" w:themeShade="80"/>
            <w:sz w:val="22"/>
            <w:szCs w:val="22"/>
          </w:rPr>
          <w:tab/>
        </w:r>
        <w:r w:rsidR="00C544C3" w:rsidRPr="004F79A3">
          <w:rPr>
            <w:rStyle w:val="Hyperlink"/>
            <w:b/>
            <w:noProof/>
            <w:sz w:val="22"/>
            <w:szCs w:val="22"/>
          </w:rPr>
          <w:t>CONCLUSION AND RECOMMENDATIONS</w:t>
        </w:r>
        <w:r w:rsidR="00C544C3" w:rsidRPr="004F79A3">
          <w:rPr>
            <w:rStyle w:val="Hyperlink"/>
            <w:b/>
            <w:noProof/>
            <w:webHidden/>
            <w:sz w:val="22"/>
            <w:szCs w:val="22"/>
          </w:rPr>
          <w:tab/>
        </w:r>
        <w:r w:rsidR="00C544C3" w:rsidRPr="004F79A3">
          <w:rPr>
            <w:rStyle w:val="Hyperlink"/>
            <w:b/>
            <w:noProof/>
            <w:webHidden/>
            <w:sz w:val="22"/>
            <w:szCs w:val="22"/>
          </w:rPr>
          <w:fldChar w:fldCharType="begin"/>
        </w:r>
        <w:r w:rsidR="00C544C3" w:rsidRPr="004F79A3">
          <w:rPr>
            <w:rStyle w:val="Hyperlink"/>
            <w:b/>
            <w:noProof/>
            <w:webHidden/>
            <w:sz w:val="22"/>
            <w:szCs w:val="22"/>
          </w:rPr>
          <w:instrText xml:space="preserve"> PAGEREF _Toc517687950 \h </w:instrText>
        </w:r>
        <w:r w:rsidR="00C544C3" w:rsidRPr="004F79A3">
          <w:rPr>
            <w:rStyle w:val="Hyperlink"/>
            <w:b/>
            <w:noProof/>
            <w:webHidden/>
            <w:sz w:val="22"/>
            <w:szCs w:val="22"/>
          </w:rPr>
        </w:r>
        <w:r w:rsidR="00C544C3" w:rsidRPr="004F79A3">
          <w:rPr>
            <w:rStyle w:val="Hyperlink"/>
            <w:b/>
            <w:noProof/>
            <w:webHidden/>
            <w:sz w:val="22"/>
            <w:szCs w:val="22"/>
          </w:rPr>
          <w:fldChar w:fldCharType="separate"/>
        </w:r>
        <w:r w:rsidR="002D27D9">
          <w:rPr>
            <w:rStyle w:val="Hyperlink"/>
            <w:b/>
            <w:noProof/>
            <w:webHidden/>
            <w:sz w:val="22"/>
            <w:szCs w:val="22"/>
          </w:rPr>
          <w:t>153</w:t>
        </w:r>
        <w:r w:rsidR="00C544C3" w:rsidRPr="004F79A3">
          <w:rPr>
            <w:rStyle w:val="Hyperlink"/>
            <w:b/>
            <w:noProof/>
            <w:webHidden/>
            <w:sz w:val="22"/>
            <w:szCs w:val="22"/>
          </w:rPr>
          <w:fldChar w:fldCharType="end"/>
        </w:r>
      </w:hyperlink>
    </w:p>
    <w:p w14:paraId="4BE120C8" w14:textId="77777777" w:rsidR="00C544C3" w:rsidRPr="0061711E" w:rsidRDefault="00BA1293" w:rsidP="004F79A3">
      <w:pPr>
        <w:pStyle w:val="TOC2"/>
        <w:rPr>
          <w:rFonts w:cstheme="minorBidi"/>
        </w:rPr>
      </w:pPr>
      <w:hyperlink w:anchor="_Toc517687951" w:history="1">
        <w:r w:rsidR="00C544C3" w:rsidRPr="0061711E">
          <w:rPr>
            <w:rStyle w:val="Hyperlink"/>
          </w:rPr>
          <w:t>A.</w:t>
        </w:r>
        <w:r w:rsidR="00C544C3" w:rsidRPr="0061711E">
          <w:rPr>
            <w:rFonts w:cstheme="minorBidi"/>
          </w:rPr>
          <w:tab/>
        </w:r>
        <w:r w:rsidR="00C544C3" w:rsidRPr="0061711E">
          <w:rPr>
            <w:rStyle w:val="Hyperlink"/>
          </w:rPr>
          <w:t>General Recommendations</w:t>
        </w:r>
        <w:r w:rsidR="00C544C3" w:rsidRPr="0061711E">
          <w:rPr>
            <w:webHidden/>
          </w:rPr>
          <w:tab/>
        </w:r>
        <w:r w:rsidR="00C544C3" w:rsidRPr="0061711E">
          <w:rPr>
            <w:webHidden/>
          </w:rPr>
          <w:fldChar w:fldCharType="begin"/>
        </w:r>
        <w:r w:rsidR="00C544C3" w:rsidRPr="0061711E">
          <w:rPr>
            <w:webHidden/>
          </w:rPr>
          <w:instrText xml:space="preserve"> PAGEREF _Toc517687951 \h </w:instrText>
        </w:r>
        <w:r w:rsidR="00C544C3" w:rsidRPr="0061711E">
          <w:rPr>
            <w:webHidden/>
          </w:rPr>
        </w:r>
        <w:r w:rsidR="00C544C3" w:rsidRPr="0061711E">
          <w:rPr>
            <w:webHidden/>
          </w:rPr>
          <w:fldChar w:fldCharType="separate"/>
        </w:r>
        <w:r w:rsidR="002D27D9">
          <w:rPr>
            <w:webHidden/>
          </w:rPr>
          <w:t>157</w:t>
        </w:r>
        <w:r w:rsidR="00C544C3" w:rsidRPr="0061711E">
          <w:rPr>
            <w:webHidden/>
          </w:rPr>
          <w:fldChar w:fldCharType="end"/>
        </w:r>
      </w:hyperlink>
    </w:p>
    <w:p w14:paraId="16B36A08" w14:textId="77777777" w:rsidR="00C544C3" w:rsidRPr="0061711E" w:rsidRDefault="00BA1293" w:rsidP="004F79A3">
      <w:pPr>
        <w:pStyle w:val="TOC2"/>
        <w:rPr>
          <w:rFonts w:cstheme="minorBidi"/>
        </w:rPr>
      </w:pPr>
      <w:hyperlink w:anchor="_Toc517687952" w:history="1">
        <w:r w:rsidR="00C544C3" w:rsidRPr="0061711E">
          <w:rPr>
            <w:rStyle w:val="Hyperlink"/>
          </w:rPr>
          <w:t>B.</w:t>
        </w:r>
        <w:r w:rsidR="00C544C3" w:rsidRPr="0061711E">
          <w:rPr>
            <w:rFonts w:cstheme="minorBidi"/>
          </w:rPr>
          <w:tab/>
        </w:r>
        <w:r w:rsidR="00C544C3" w:rsidRPr="0061711E">
          <w:rPr>
            <w:rStyle w:val="Hyperlink"/>
          </w:rPr>
          <w:t>Recommendations regarding Non-Discrimination</w:t>
        </w:r>
        <w:r w:rsidR="00C544C3" w:rsidRPr="0061711E">
          <w:rPr>
            <w:webHidden/>
          </w:rPr>
          <w:tab/>
        </w:r>
        <w:r w:rsidR="00C544C3" w:rsidRPr="0061711E">
          <w:rPr>
            <w:webHidden/>
          </w:rPr>
          <w:fldChar w:fldCharType="begin"/>
        </w:r>
        <w:r w:rsidR="00C544C3" w:rsidRPr="0061711E">
          <w:rPr>
            <w:webHidden/>
          </w:rPr>
          <w:instrText xml:space="preserve"> PAGEREF _Toc517687952 \h </w:instrText>
        </w:r>
        <w:r w:rsidR="00C544C3" w:rsidRPr="0061711E">
          <w:rPr>
            <w:webHidden/>
          </w:rPr>
        </w:r>
        <w:r w:rsidR="00C544C3" w:rsidRPr="0061711E">
          <w:rPr>
            <w:webHidden/>
          </w:rPr>
          <w:fldChar w:fldCharType="separate"/>
        </w:r>
        <w:r w:rsidR="002D27D9">
          <w:rPr>
            <w:webHidden/>
          </w:rPr>
          <w:t>159</w:t>
        </w:r>
        <w:r w:rsidR="00C544C3" w:rsidRPr="0061711E">
          <w:rPr>
            <w:webHidden/>
          </w:rPr>
          <w:fldChar w:fldCharType="end"/>
        </w:r>
      </w:hyperlink>
    </w:p>
    <w:p w14:paraId="7BF7726B" w14:textId="77777777" w:rsidR="00C544C3" w:rsidRPr="0061711E" w:rsidRDefault="00BA1293" w:rsidP="004F79A3">
      <w:pPr>
        <w:pStyle w:val="TOC2"/>
        <w:rPr>
          <w:rFonts w:cstheme="minorBidi"/>
        </w:rPr>
      </w:pPr>
      <w:hyperlink w:anchor="_Toc517687953" w:history="1">
        <w:r w:rsidR="00C544C3" w:rsidRPr="0061711E">
          <w:rPr>
            <w:rStyle w:val="Hyperlink"/>
          </w:rPr>
          <w:t>C.</w:t>
        </w:r>
        <w:r w:rsidR="00C544C3" w:rsidRPr="0061711E">
          <w:rPr>
            <w:rFonts w:cstheme="minorBidi"/>
          </w:rPr>
          <w:tab/>
        </w:r>
        <w:r w:rsidR="00C544C3" w:rsidRPr="0061711E">
          <w:rPr>
            <w:rStyle w:val="Hyperlink"/>
          </w:rPr>
          <w:t>Recommendations regarding the Use of Force</w:t>
        </w:r>
        <w:r w:rsidR="00C544C3" w:rsidRPr="0061711E">
          <w:rPr>
            <w:webHidden/>
          </w:rPr>
          <w:tab/>
        </w:r>
        <w:r w:rsidR="00C544C3" w:rsidRPr="0061711E">
          <w:rPr>
            <w:webHidden/>
          </w:rPr>
          <w:fldChar w:fldCharType="begin"/>
        </w:r>
        <w:r w:rsidR="00C544C3" w:rsidRPr="0061711E">
          <w:rPr>
            <w:webHidden/>
          </w:rPr>
          <w:instrText xml:space="preserve"> PAGEREF _Toc517687953 \h </w:instrText>
        </w:r>
        <w:r w:rsidR="00C544C3" w:rsidRPr="0061711E">
          <w:rPr>
            <w:webHidden/>
          </w:rPr>
        </w:r>
        <w:r w:rsidR="00C544C3" w:rsidRPr="0061711E">
          <w:rPr>
            <w:webHidden/>
          </w:rPr>
          <w:fldChar w:fldCharType="separate"/>
        </w:r>
        <w:r w:rsidR="002D27D9">
          <w:rPr>
            <w:webHidden/>
          </w:rPr>
          <w:t>160</w:t>
        </w:r>
        <w:r w:rsidR="00C544C3" w:rsidRPr="0061711E">
          <w:rPr>
            <w:webHidden/>
          </w:rPr>
          <w:fldChar w:fldCharType="end"/>
        </w:r>
      </w:hyperlink>
    </w:p>
    <w:p w14:paraId="5EED77F1" w14:textId="77777777" w:rsidR="00C544C3" w:rsidRPr="0061711E" w:rsidRDefault="00BA1293" w:rsidP="004F79A3">
      <w:pPr>
        <w:pStyle w:val="TOC2"/>
        <w:rPr>
          <w:rFonts w:cstheme="minorBidi"/>
        </w:rPr>
      </w:pPr>
      <w:hyperlink w:anchor="_Toc517687954" w:history="1">
        <w:r w:rsidR="00C544C3" w:rsidRPr="0061711E">
          <w:rPr>
            <w:rStyle w:val="Hyperlink"/>
          </w:rPr>
          <w:t>D.</w:t>
        </w:r>
        <w:r w:rsidR="00C544C3" w:rsidRPr="0061711E">
          <w:rPr>
            <w:rFonts w:cstheme="minorBidi"/>
          </w:rPr>
          <w:tab/>
        </w:r>
        <w:r w:rsidR="00C544C3" w:rsidRPr="0061711E">
          <w:rPr>
            <w:rStyle w:val="Hyperlink"/>
          </w:rPr>
          <w:t>Recommendations regarding Due Diligence and Accountability</w:t>
        </w:r>
        <w:r w:rsidR="00C544C3" w:rsidRPr="0061711E">
          <w:rPr>
            <w:webHidden/>
          </w:rPr>
          <w:tab/>
        </w:r>
        <w:r w:rsidR="00C544C3" w:rsidRPr="0061711E">
          <w:rPr>
            <w:webHidden/>
          </w:rPr>
          <w:fldChar w:fldCharType="begin"/>
        </w:r>
        <w:r w:rsidR="00C544C3" w:rsidRPr="0061711E">
          <w:rPr>
            <w:webHidden/>
          </w:rPr>
          <w:instrText xml:space="preserve"> PAGEREF _Toc517687954 \h </w:instrText>
        </w:r>
        <w:r w:rsidR="00C544C3" w:rsidRPr="0061711E">
          <w:rPr>
            <w:webHidden/>
          </w:rPr>
        </w:r>
        <w:r w:rsidR="00C544C3" w:rsidRPr="0061711E">
          <w:rPr>
            <w:webHidden/>
          </w:rPr>
          <w:fldChar w:fldCharType="separate"/>
        </w:r>
        <w:r w:rsidR="002D27D9">
          <w:rPr>
            <w:webHidden/>
          </w:rPr>
          <w:t>162</w:t>
        </w:r>
        <w:r w:rsidR="00C544C3" w:rsidRPr="0061711E">
          <w:rPr>
            <w:webHidden/>
          </w:rPr>
          <w:fldChar w:fldCharType="end"/>
        </w:r>
      </w:hyperlink>
    </w:p>
    <w:p w14:paraId="571F492B" w14:textId="77777777" w:rsidR="00C544C3" w:rsidRPr="0061711E" w:rsidRDefault="00BA1293" w:rsidP="004F79A3">
      <w:pPr>
        <w:pStyle w:val="TOC2"/>
        <w:rPr>
          <w:rFonts w:cstheme="minorBidi"/>
        </w:rPr>
      </w:pPr>
      <w:hyperlink w:anchor="_Toc517687955" w:history="1">
        <w:r w:rsidR="00C544C3" w:rsidRPr="0061711E">
          <w:rPr>
            <w:rStyle w:val="Hyperlink"/>
          </w:rPr>
          <w:t>E.</w:t>
        </w:r>
        <w:r w:rsidR="00C544C3" w:rsidRPr="0061711E">
          <w:rPr>
            <w:rFonts w:cstheme="minorBidi"/>
          </w:rPr>
          <w:tab/>
        </w:r>
        <w:r w:rsidR="00C544C3" w:rsidRPr="0061711E">
          <w:rPr>
            <w:rStyle w:val="Hyperlink"/>
          </w:rPr>
          <w:t>Recommendations regarding Access to Justice and Reparations</w:t>
        </w:r>
        <w:r w:rsidR="00C544C3" w:rsidRPr="0061711E">
          <w:rPr>
            <w:webHidden/>
          </w:rPr>
          <w:tab/>
        </w:r>
        <w:r w:rsidR="00C544C3" w:rsidRPr="0061711E">
          <w:rPr>
            <w:webHidden/>
          </w:rPr>
          <w:fldChar w:fldCharType="begin"/>
        </w:r>
        <w:r w:rsidR="00C544C3" w:rsidRPr="0061711E">
          <w:rPr>
            <w:webHidden/>
          </w:rPr>
          <w:instrText xml:space="preserve"> PAGEREF _Toc517687955 \h </w:instrText>
        </w:r>
        <w:r w:rsidR="00C544C3" w:rsidRPr="0061711E">
          <w:rPr>
            <w:webHidden/>
          </w:rPr>
        </w:r>
        <w:r w:rsidR="00C544C3" w:rsidRPr="0061711E">
          <w:rPr>
            <w:webHidden/>
          </w:rPr>
          <w:fldChar w:fldCharType="separate"/>
        </w:r>
        <w:r w:rsidR="002D27D9">
          <w:rPr>
            <w:webHidden/>
          </w:rPr>
          <w:t>163</w:t>
        </w:r>
        <w:r w:rsidR="00C544C3" w:rsidRPr="0061711E">
          <w:rPr>
            <w:webHidden/>
          </w:rPr>
          <w:fldChar w:fldCharType="end"/>
        </w:r>
      </w:hyperlink>
    </w:p>
    <w:p w14:paraId="554A8DA0" w14:textId="3E48EE44" w:rsidR="00ED6831" w:rsidRPr="00D920C9" w:rsidRDefault="00C544C3" w:rsidP="0061711E">
      <w:pPr>
        <w:tabs>
          <w:tab w:val="right" w:pos="7560"/>
        </w:tabs>
        <w:suppressAutoHyphens/>
        <w:spacing w:after="0" w:line="240" w:lineRule="auto"/>
        <w:jc w:val="both"/>
        <w:rPr>
          <w:rFonts w:asciiTheme="minorHAnsi" w:hAnsiTheme="minorHAnsi"/>
          <w:spacing w:val="-3"/>
          <w:sz w:val="20"/>
          <w:szCs w:val="20"/>
        </w:rPr>
      </w:pPr>
      <w:r w:rsidRPr="0061711E">
        <w:rPr>
          <w:rFonts w:asciiTheme="minorHAnsi" w:hAnsiTheme="minorHAnsi"/>
          <w:spacing w:val="-3"/>
        </w:rPr>
        <w:fldChar w:fldCharType="end"/>
      </w:r>
    </w:p>
    <w:p w14:paraId="2BCCBFC4" w14:textId="77777777" w:rsidR="00C544C3" w:rsidRPr="00D920C9" w:rsidRDefault="00C544C3" w:rsidP="004E3F29">
      <w:pPr>
        <w:suppressAutoHyphens/>
        <w:spacing w:after="0" w:line="240" w:lineRule="auto"/>
        <w:jc w:val="both"/>
        <w:rPr>
          <w:rFonts w:asciiTheme="minorHAnsi" w:hAnsiTheme="minorHAnsi"/>
          <w:spacing w:val="-3"/>
          <w:sz w:val="20"/>
          <w:szCs w:val="20"/>
        </w:rPr>
      </w:pPr>
    </w:p>
    <w:p w14:paraId="28281CC7" w14:textId="77777777" w:rsidR="00D838E3" w:rsidRPr="00D920C9" w:rsidRDefault="00D838E3" w:rsidP="0040052F">
      <w:pPr>
        <w:suppressAutoHyphens/>
        <w:spacing w:after="0" w:line="240" w:lineRule="auto"/>
        <w:jc w:val="center"/>
        <w:rPr>
          <w:rFonts w:asciiTheme="minorHAnsi" w:hAnsiTheme="minorHAnsi"/>
          <w:spacing w:val="-3"/>
          <w:sz w:val="20"/>
          <w:szCs w:val="20"/>
        </w:rPr>
      </w:pPr>
    </w:p>
    <w:p w14:paraId="25E4B61E" w14:textId="77777777" w:rsidR="00ED6831" w:rsidRPr="00D920C9" w:rsidRDefault="00ED6831" w:rsidP="00007A36">
      <w:pPr>
        <w:pStyle w:val="Heading1"/>
        <w:sectPr w:rsidR="00ED6831" w:rsidRPr="00D920C9" w:rsidSect="001E4747">
          <w:type w:val="oddPage"/>
          <w:pgSz w:w="10080" w:h="14400" w:code="1"/>
          <w:pgMar w:top="1152" w:right="1152" w:bottom="1152" w:left="1296" w:header="720" w:footer="720" w:gutter="0"/>
          <w:cols w:space="708"/>
          <w:docGrid w:linePitch="360"/>
        </w:sectPr>
      </w:pPr>
      <w:bookmarkStart w:id="1" w:name="_Toc511837797"/>
    </w:p>
    <w:p w14:paraId="6E042847" w14:textId="5CBBA829" w:rsidR="00A0401B" w:rsidRPr="00A0401B" w:rsidRDefault="00A0401B" w:rsidP="00007A36">
      <w:pPr>
        <w:pStyle w:val="CAP1"/>
        <w:sectPr w:rsidR="00A0401B" w:rsidRPr="00A0401B" w:rsidSect="00A0401B">
          <w:headerReference w:type="even" r:id="rId10"/>
          <w:headerReference w:type="default" r:id="rId11"/>
          <w:footerReference w:type="even" r:id="rId12"/>
          <w:footerReference w:type="default" r:id="rId13"/>
          <w:headerReference w:type="first" r:id="rId14"/>
          <w:footerReference w:type="first" r:id="rId15"/>
          <w:type w:val="oddPage"/>
          <w:pgSz w:w="10080" w:h="14400" w:code="13"/>
          <w:pgMar w:top="1152" w:right="1152" w:bottom="1152" w:left="1296" w:header="720" w:footer="720" w:gutter="0"/>
          <w:cols w:space="708"/>
          <w:vAlign w:val="center"/>
          <w:docGrid w:linePitch="360"/>
        </w:sectPr>
      </w:pPr>
      <w:bookmarkStart w:id="2" w:name="_Toc511902970"/>
      <w:bookmarkStart w:id="3" w:name="_Toc517687900"/>
      <w:r w:rsidRPr="00A0401B">
        <w:lastRenderedPageBreak/>
        <w:t>EXECUTIVE SUMMARY</w:t>
      </w:r>
    </w:p>
    <w:p w14:paraId="522B5CBD" w14:textId="178EE253" w:rsidR="00AA4E32" w:rsidRPr="003D7958" w:rsidRDefault="00167623" w:rsidP="00007A36">
      <w:pPr>
        <w:pStyle w:val="Heading1"/>
      </w:pPr>
      <w:r w:rsidRPr="003D7958">
        <w:lastRenderedPageBreak/>
        <w:t>EXECUTIVE SUMMARY</w:t>
      </w:r>
      <w:bookmarkEnd w:id="1"/>
      <w:bookmarkEnd w:id="2"/>
      <w:bookmarkEnd w:id="3"/>
    </w:p>
    <w:p w14:paraId="64918F35" w14:textId="2ADA6D30" w:rsidR="00EF6ABA" w:rsidRPr="00D920C9" w:rsidRDefault="00DA6127" w:rsidP="00E14895">
      <w:pPr>
        <w:pStyle w:val="ListParagraph"/>
        <w:numPr>
          <w:ilvl w:val="0"/>
          <w:numId w:val="9"/>
        </w:numPr>
        <w:spacing w:after="240" w:line="240" w:lineRule="auto"/>
        <w:ind w:left="547" w:hanging="547"/>
        <w:contextualSpacing w:val="0"/>
        <w:jc w:val="both"/>
        <w:rPr>
          <w:rFonts w:asciiTheme="minorHAnsi" w:hAnsiTheme="minorHAnsi"/>
          <w:szCs w:val="20"/>
        </w:rPr>
      </w:pPr>
      <w:r w:rsidRPr="00D920C9">
        <w:rPr>
          <w:rFonts w:asciiTheme="minorHAnsi" w:hAnsiTheme="minorHAnsi"/>
          <w:szCs w:val="20"/>
        </w:rPr>
        <w:t>This report examines the persistent situation of structural discrimination against African Americans in the United States</w:t>
      </w:r>
      <w:r w:rsidR="00904A46" w:rsidRPr="00D920C9">
        <w:rPr>
          <w:rFonts w:asciiTheme="minorHAnsi" w:hAnsiTheme="minorHAnsi"/>
          <w:szCs w:val="20"/>
        </w:rPr>
        <w:t xml:space="preserve"> </w:t>
      </w:r>
      <w:r w:rsidRPr="00D920C9">
        <w:rPr>
          <w:rFonts w:asciiTheme="minorHAnsi" w:hAnsiTheme="minorHAnsi"/>
          <w:szCs w:val="20"/>
        </w:rPr>
        <w:t xml:space="preserve">and, in particular, </w:t>
      </w:r>
      <w:r w:rsidR="000E74CA" w:rsidRPr="00D920C9">
        <w:rPr>
          <w:rFonts w:asciiTheme="minorHAnsi" w:hAnsiTheme="minorHAnsi"/>
          <w:szCs w:val="20"/>
        </w:rPr>
        <w:t>deep-seated</w:t>
      </w:r>
      <w:r w:rsidR="00EF240A" w:rsidRPr="00D920C9">
        <w:rPr>
          <w:rFonts w:asciiTheme="minorHAnsi" w:hAnsiTheme="minorHAnsi"/>
          <w:szCs w:val="20"/>
        </w:rPr>
        <w:t xml:space="preserve"> </w:t>
      </w:r>
      <w:r w:rsidRPr="00D920C9">
        <w:rPr>
          <w:rFonts w:asciiTheme="minorHAnsi" w:hAnsiTheme="minorHAnsi"/>
          <w:szCs w:val="20"/>
        </w:rPr>
        <w:t xml:space="preserve">racial disparities in policing and the criminal justice system. The Inter-American Commission on Human Rights (the “Commission,” “Inter-American Commission,” or “IACHR”) has previously considered that racial bias forms the backbone of many problems of police abuse, overrepresentation of African Americans in arrests and in the prison system, and unequal access to justice, as well as wider issues of racialized poverty and unequal access </w:t>
      </w:r>
      <w:r w:rsidRPr="00D920C9">
        <w:rPr>
          <w:rFonts w:asciiTheme="minorHAnsi" w:hAnsiTheme="minorHAnsi"/>
        </w:rPr>
        <w:t>to</w:t>
      </w:r>
      <w:r w:rsidRPr="00D920C9">
        <w:rPr>
          <w:rFonts w:asciiTheme="minorHAnsi" w:hAnsiTheme="minorHAnsi"/>
          <w:szCs w:val="20"/>
        </w:rPr>
        <w:t xml:space="preserve"> economic, social, cultural, and environmental rights in the U</w:t>
      </w:r>
      <w:r w:rsidR="000556A7" w:rsidRPr="00D920C9">
        <w:rPr>
          <w:rFonts w:asciiTheme="minorHAnsi" w:hAnsiTheme="minorHAnsi"/>
          <w:szCs w:val="20"/>
        </w:rPr>
        <w:t>.</w:t>
      </w:r>
      <w:r w:rsidRPr="00D920C9">
        <w:rPr>
          <w:rFonts w:asciiTheme="minorHAnsi" w:hAnsiTheme="minorHAnsi"/>
          <w:szCs w:val="20"/>
        </w:rPr>
        <w:t>S.</w:t>
      </w:r>
      <w:r w:rsidR="00EF6ABA" w:rsidRPr="00D920C9">
        <w:rPr>
          <w:rFonts w:asciiTheme="minorHAnsi" w:hAnsiTheme="minorHAnsi"/>
          <w:szCs w:val="20"/>
        </w:rPr>
        <w:t xml:space="preserve"> Since the 2012 shooting death of Trayvon Martin, a series of high-profile deaths of African</w:t>
      </w:r>
      <w:r w:rsidR="0030356C" w:rsidRPr="00D920C9">
        <w:rPr>
          <w:rFonts w:asciiTheme="minorHAnsi" w:hAnsiTheme="minorHAnsi"/>
          <w:szCs w:val="20"/>
        </w:rPr>
        <w:t xml:space="preserve"> </w:t>
      </w:r>
      <w:r w:rsidR="00EF6ABA" w:rsidRPr="00D920C9">
        <w:rPr>
          <w:rFonts w:asciiTheme="minorHAnsi" w:hAnsiTheme="minorHAnsi"/>
          <w:szCs w:val="20"/>
        </w:rPr>
        <w:t xml:space="preserve">Americans at the hands of police or in police custody—including Michael Brown, Eric Garner, </w:t>
      </w:r>
      <w:proofErr w:type="spellStart"/>
      <w:r w:rsidR="00EF6ABA" w:rsidRPr="00D920C9">
        <w:rPr>
          <w:rFonts w:asciiTheme="minorHAnsi" w:hAnsiTheme="minorHAnsi"/>
          <w:szCs w:val="20"/>
        </w:rPr>
        <w:t>Tamir</w:t>
      </w:r>
      <w:proofErr w:type="spellEnd"/>
      <w:r w:rsidR="00EF6ABA" w:rsidRPr="00D920C9">
        <w:rPr>
          <w:rFonts w:asciiTheme="minorHAnsi" w:hAnsiTheme="minorHAnsi"/>
          <w:szCs w:val="20"/>
        </w:rPr>
        <w:t xml:space="preserve"> Rice, Alton Sterling, </w:t>
      </w:r>
      <w:proofErr w:type="spellStart"/>
      <w:r w:rsidR="00EF6ABA" w:rsidRPr="00D920C9">
        <w:rPr>
          <w:rFonts w:asciiTheme="minorHAnsi" w:hAnsiTheme="minorHAnsi"/>
          <w:szCs w:val="20"/>
        </w:rPr>
        <w:t>Philando</w:t>
      </w:r>
      <w:proofErr w:type="spellEnd"/>
      <w:r w:rsidR="00EF6ABA" w:rsidRPr="00D920C9">
        <w:rPr>
          <w:rFonts w:asciiTheme="minorHAnsi" w:hAnsiTheme="minorHAnsi"/>
          <w:szCs w:val="20"/>
        </w:rPr>
        <w:t xml:space="preserve"> Castile, and Terence Crutcher, among many others—as well as public pressure from civil society groups </w:t>
      </w:r>
      <w:r w:rsidR="00406A83" w:rsidRPr="00D920C9">
        <w:rPr>
          <w:rFonts w:asciiTheme="minorHAnsi" w:hAnsiTheme="minorHAnsi"/>
          <w:szCs w:val="20"/>
        </w:rPr>
        <w:t xml:space="preserve">and movements </w:t>
      </w:r>
      <w:r w:rsidR="00EF6ABA" w:rsidRPr="00D920C9">
        <w:rPr>
          <w:rFonts w:asciiTheme="minorHAnsi" w:hAnsiTheme="minorHAnsi"/>
          <w:szCs w:val="20"/>
        </w:rPr>
        <w:t>like Black Lives Matter, have made issues of racial bias in policing and the criminal justice system topics o</w:t>
      </w:r>
      <w:r w:rsidRPr="00D920C9">
        <w:rPr>
          <w:rFonts w:asciiTheme="minorHAnsi" w:hAnsiTheme="minorHAnsi"/>
          <w:szCs w:val="20"/>
        </w:rPr>
        <w:t xml:space="preserve">f increasing public discussion. In light of extensive information of concern received in recent years regarding this issue, the Commission undertook to write this report examining the situation. </w:t>
      </w:r>
    </w:p>
    <w:p w14:paraId="3F2FC835" w14:textId="285D2E46" w:rsidR="00EF6ABA" w:rsidRPr="00D920C9" w:rsidRDefault="00EF6ABA" w:rsidP="002C64F8">
      <w:pPr>
        <w:pStyle w:val="ListParagraph"/>
        <w:numPr>
          <w:ilvl w:val="0"/>
          <w:numId w:val="9"/>
        </w:numPr>
        <w:spacing w:after="240" w:line="240" w:lineRule="auto"/>
        <w:ind w:left="547" w:hanging="547"/>
        <w:contextualSpacing w:val="0"/>
        <w:jc w:val="both"/>
        <w:rPr>
          <w:rFonts w:asciiTheme="minorHAnsi" w:hAnsiTheme="minorHAnsi"/>
          <w:szCs w:val="20"/>
        </w:rPr>
      </w:pPr>
      <w:r w:rsidRPr="00D920C9">
        <w:rPr>
          <w:rFonts w:asciiTheme="minorHAnsi" w:hAnsiTheme="minorHAnsi"/>
          <w:szCs w:val="20"/>
        </w:rPr>
        <w:t xml:space="preserve">While problems of racism in policing and criminal justice are addressed as pressing civil rights issues </w:t>
      </w:r>
      <w:r w:rsidR="000E74CA" w:rsidRPr="00D920C9">
        <w:rPr>
          <w:rFonts w:asciiTheme="minorHAnsi" w:hAnsiTheme="minorHAnsi"/>
          <w:szCs w:val="20"/>
        </w:rPr>
        <w:t>nationally</w:t>
      </w:r>
      <w:r w:rsidRPr="00D920C9">
        <w:rPr>
          <w:rFonts w:asciiTheme="minorHAnsi" w:hAnsiTheme="minorHAnsi"/>
          <w:szCs w:val="20"/>
        </w:rPr>
        <w:t xml:space="preserve">, the Commission highlights that they also raise concerns regarding the </w:t>
      </w:r>
      <w:r w:rsidR="000E74CA" w:rsidRPr="00D920C9">
        <w:rPr>
          <w:rFonts w:asciiTheme="minorHAnsi" w:hAnsiTheme="minorHAnsi"/>
          <w:szCs w:val="20"/>
        </w:rPr>
        <w:t>United States’</w:t>
      </w:r>
      <w:r w:rsidRPr="00D920C9">
        <w:rPr>
          <w:rFonts w:asciiTheme="minorHAnsi" w:hAnsiTheme="minorHAnsi"/>
          <w:szCs w:val="20"/>
        </w:rPr>
        <w:t xml:space="preserve"> international human rights obligations. Under its mandate to monitor and promote human rights in the Member States of the Organization of American States (OAS), the Commission </w:t>
      </w:r>
      <w:r w:rsidR="005651D2" w:rsidRPr="00D920C9">
        <w:rPr>
          <w:rFonts w:asciiTheme="minorHAnsi" w:hAnsiTheme="minorHAnsi"/>
          <w:szCs w:val="20"/>
        </w:rPr>
        <w:t>has</w:t>
      </w:r>
      <w:r w:rsidRPr="00D920C9">
        <w:rPr>
          <w:rFonts w:asciiTheme="minorHAnsi" w:hAnsiTheme="minorHAnsi"/>
          <w:szCs w:val="20"/>
        </w:rPr>
        <w:t xml:space="preserve"> draft</w:t>
      </w:r>
      <w:r w:rsidR="005651D2" w:rsidRPr="00D920C9">
        <w:rPr>
          <w:rFonts w:asciiTheme="minorHAnsi" w:hAnsiTheme="minorHAnsi"/>
          <w:szCs w:val="20"/>
        </w:rPr>
        <w:t>ed</w:t>
      </w:r>
      <w:r w:rsidRPr="00D920C9">
        <w:rPr>
          <w:rFonts w:asciiTheme="minorHAnsi" w:hAnsiTheme="minorHAnsi"/>
          <w:szCs w:val="20"/>
        </w:rPr>
        <w:t xml:space="preserve"> this report on the basis of information gathered </w:t>
      </w:r>
      <w:r w:rsidR="005651D2" w:rsidRPr="00D920C9">
        <w:rPr>
          <w:rFonts w:asciiTheme="minorHAnsi" w:hAnsiTheme="minorHAnsi"/>
          <w:szCs w:val="20"/>
        </w:rPr>
        <w:t xml:space="preserve">from the State, civil society organizations, and victims of police violence </w:t>
      </w:r>
      <w:r w:rsidRPr="00D920C9">
        <w:rPr>
          <w:rFonts w:asciiTheme="minorHAnsi" w:hAnsiTheme="minorHAnsi"/>
          <w:szCs w:val="20"/>
        </w:rPr>
        <w:t xml:space="preserve">in several public hearings held since 2014 on issues related to racism in policing and criminal justice in the </w:t>
      </w:r>
      <w:r w:rsidR="00904A46" w:rsidRPr="00D920C9">
        <w:rPr>
          <w:rFonts w:asciiTheme="minorHAnsi" w:hAnsiTheme="minorHAnsi"/>
          <w:szCs w:val="20"/>
        </w:rPr>
        <w:t>U.S.</w:t>
      </w:r>
      <w:r w:rsidR="005651D2" w:rsidRPr="00D920C9">
        <w:rPr>
          <w:rFonts w:asciiTheme="minorHAnsi" w:hAnsiTheme="minorHAnsi"/>
          <w:szCs w:val="20"/>
        </w:rPr>
        <w:t>;</w:t>
      </w:r>
      <w:r w:rsidRPr="00D920C9">
        <w:rPr>
          <w:rFonts w:asciiTheme="minorHAnsi" w:hAnsiTheme="minorHAnsi"/>
          <w:szCs w:val="20"/>
        </w:rPr>
        <w:t xml:space="preserve"> during a 2015 visit to the states of Florida, Louisiana, and Missouri</w:t>
      </w:r>
      <w:r w:rsidR="005651D2" w:rsidRPr="00D920C9">
        <w:rPr>
          <w:rFonts w:asciiTheme="minorHAnsi" w:hAnsiTheme="minorHAnsi"/>
          <w:szCs w:val="20"/>
        </w:rPr>
        <w:t>;</w:t>
      </w:r>
      <w:r w:rsidRPr="00D920C9">
        <w:rPr>
          <w:rFonts w:asciiTheme="minorHAnsi" w:hAnsiTheme="minorHAnsi"/>
          <w:szCs w:val="20"/>
        </w:rPr>
        <w:t xml:space="preserve"> through th</w:t>
      </w:r>
      <w:r w:rsidR="005651D2" w:rsidRPr="00D920C9">
        <w:rPr>
          <w:rFonts w:asciiTheme="minorHAnsi" w:hAnsiTheme="minorHAnsi"/>
          <w:szCs w:val="20"/>
        </w:rPr>
        <w:t>e publication of press releases;</w:t>
      </w:r>
      <w:r w:rsidRPr="00D920C9">
        <w:rPr>
          <w:rFonts w:asciiTheme="minorHAnsi" w:hAnsiTheme="minorHAnsi"/>
          <w:szCs w:val="20"/>
        </w:rPr>
        <w:t xml:space="preserve"> as well as information gathered via its petitions and cases mechanism</w:t>
      </w:r>
      <w:r w:rsidR="00406A83" w:rsidRPr="00D920C9">
        <w:rPr>
          <w:rFonts w:asciiTheme="minorHAnsi" w:hAnsiTheme="minorHAnsi"/>
          <w:szCs w:val="20"/>
        </w:rPr>
        <w:t xml:space="preserve">, </w:t>
      </w:r>
      <w:r w:rsidRPr="00D920C9">
        <w:rPr>
          <w:rFonts w:asciiTheme="minorHAnsi" w:hAnsiTheme="minorHAnsi"/>
          <w:szCs w:val="20"/>
        </w:rPr>
        <w:t xml:space="preserve"> </w:t>
      </w:r>
      <w:r w:rsidR="002B574C" w:rsidRPr="00D920C9">
        <w:rPr>
          <w:rFonts w:asciiTheme="minorHAnsi" w:hAnsiTheme="minorHAnsi"/>
          <w:szCs w:val="20"/>
        </w:rPr>
        <w:t>and</w:t>
      </w:r>
      <w:r w:rsidRPr="00D920C9">
        <w:rPr>
          <w:rFonts w:asciiTheme="minorHAnsi" w:hAnsiTheme="minorHAnsi"/>
          <w:szCs w:val="20"/>
        </w:rPr>
        <w:t xml:space="preserve"> other public sources of information, including</w:t>
      </w:r>
      <w:r w:rsidR="00755AB8" w:rsidRPr="00D920C9">
        <w:rPr>
          <w:rFonts w:asciiTheme="minorHAnsi" w:hAnsiTheme="minorHAnsi"/>
          <w:szCs w:val="20"/>
        </w:rPr>
        <w:t xml:space="preserve"> from</w:t>
      </w:r>
      <w:r w:rsidRPr="00D920C9">
        <w:rPr>
          <w:rFonts w:asciiTheme="minorHAnsi" w:hAnsiTheme="minorHAnsi"/>
          <w:szCs w:val="20"/>
        </w:rPr>
        <w:t xml:space="preserve"> government </w:t>
      </w:r>
      <w:r w:rsidR="00755AB8" w:rsidRPr="00D920C9">
        <w:rPr>
          <w:rFonts w:asciiTheme="minorHAnsi" w:hAnsiTheme="minorHAnsi"/>
          <w:szCs w:val="20"/>
        </w:rPr>
        <w:t>agencies</w:t>
      </w:r>
      <w:r w:rsidRPr="00D920C9">
        <w:rPr>
          <w:rFonts w:asciiTheme="minorHAnsi" w:hAnsiTheme="minorHAnsi"/>
          <w:szCs w:val="20"/>
        </w:rPr>
        <w:t xml:space="preserve">, reports produced by United Nations mechanisms, and </w:t>
      </w:r>
      <w:r w:rsidR="00755AB8" w:rsidRPr="00D920C9">
        <w:rPr>
          <w:rFonts w:asciiTheme="minorHAnsi" w:hAnsiTheme="minorHAnsi"/>
          <w:szCs w:val="20"/>
        </w:rPr>
        <w:t>by</w:t>
      </w:r>
      <w:r w:rsidRPr="00D920C9">
        <w:rPr>
          <w:rFonts w:asciiTheme="minorHAnsi" w:hAnsiTheme="minorHAnsi"/>
          <w:szCs w:val="20"/>
        </w:rPr>
        <w:t xml:space="preserve"> civil society and the media.</w:t>
      </w:r>
    </w:p>
    <w:p w14:paraId="27207EEF" w14:textId="518C2BF2" w:rsidR="00406A83" w:rsidRPr="00D920C9" w:rsidRDefault="00D06953" w:rsidP="002C64F8">
      <w:pPr>
        <w:pStyle w:val="ListParagraph"/>
        <w:numPr>
          <w:ilvl w:val="0"/>
          <w:numId w:val="9"/>
        </w:numPr>
        <w:spacing w:after="240" w:line="240" w:lineRule="auto"/>
        <w:ind w:left="547" w:hanging="547"/>
        <w:contextualSpacing w:val="0"/>
        <w:jc w:val="both"/>
        <w:rPr>
          <w:rFonts w:asciiTheme="minorHAnsi" w:hAnsiTheme="minorHAnsi"/>
          <w:szCs w:val="20"/>
        </w:rPr>
      </w:pPr>
      <w:r w:rsidRPr="00D920C9">
        <w:rPr>
          <w:rFonts w:asciiTheme="minorHAnsi" w:hAnsiTheme="minorHAnsi"/>
          <w:szCs w:val="20"/>
        </w:rPr>
        <w:t>This</w:t>
      </w:r>
      <w:r w:rsidR="00EF6ABA" w:rsidRPr="00D920C9">
        <w:rPr>
          <w:rFonts w:asciiTheme="minorHAnsi" w:hAnsiTheme="minorHAnsi"/>
          <w:szCs w:val="20"/>
        </w:rPr>
        <w:t xml:space="preserve"> report evaluates the current panorama of policing and criminal justice issues in light of the historic situation of racism and discrimination in the </w:t>
      </w:r>
      <w:r w:rsidR="00EF6ABA" w:rsidRPr="00D920C9">
        <w:rPr>
          <w:rFonts w:asciiTheme="minorHAnsi" w:hAnsiTheme="minorHAnsi"/>
          <w:szCs w:val="20"/>
        </w:rPr>
        <w:lastRenderedPageBreak/>
        <w:t>United States</w:t>
      </w:r>
      <w:r w:rsidR="00755AB8" w:rsidRPr="00D920C9">
        <w:rPr>
          <w:rFonts w:asciiTheme="minorHAnsi" w:hAnsiTheme="minorHAnsi"/>
          <w:szCs w:val="20"/>
        </w:rPr>
        <w:t xml:space="preserve"> (“U.S.” or “State”)</w:t>
      </w:r>
      <w:r w:rsidR="00EF6ABA" w:rsidRPr="00D920C9">
        <w:rPr>
          <w:rFonts w:asciiTheme="minorHAnsi" w:hAnsiTheme="minorHAnsi"/>
          <w:szCs w:val="20"/>
        </w:rPr>
        <w:t>, highlighting the structural nature of discrimination and the corresponding need for s</w:t>
      </w:r>
      <w:r w:rsidR="00DB0288" w:rsidRPr="00D920C9">
        <w:rPr>
          <w:rFonts w:asciiTheme="minorHAnsi" w:hAnsiTheme="minorHAnsi"/>
          <w:szCs w:val="20"/>
        </w:rPr>
        <w:t>ystemic</w:t>
      </w:r>
      <w:r w:rsidR="00EF6ABA" w:rsidRPr="00D920C9">
        <w:rPr>
          <w:rFonts w:asciiTheme="minorHAnsi" w:hAnsiTheme="minorHAnsi"/>
          <w:szCs w:val="20"/>
        </w:rPr>
        <w:t xml:space="preserve"> reforms to fully address past abuses and ensure non-repetition. </w:t>
      </w:r>
      <w:r w:rsidR="009D305C" w:rsidRPr="00D920C9">
        <w:rPr>
          <w:rFonts w:asciiTheme="minorHAnsi" w:eastAsia="Times New Roman" w:hAnsiTheme="minorHAnsi"/>
          <w:szCs w:val="20"/>
          <w:lang w:eastAsia="es-ES"/>
        </w:rPr>
        <w:t xml:space="preserve">The Commission considers that the historical legacy of subjugation, enslavement, terror, marginalization, segregation, and exclusion from enjoying the rights of citizens in the U.S., both </w:t>
      </w:r>
      <w:r w:rsidR="009D305C" w:rsidRPr="00D920C9">
        <w:rPr>
          <w:rFonts w:asciiTheme="minorHAnsi" w:eastAsia="Times New Roman" w:hAnsiTheme="minorHAnsi"/>
          <w:i/>
          <w:szCs w:val="20"/>
          <w:lang w:eastAsia="es-ES"/>
        </w:rPr>
        <w:t>de jure</w:t>
      </w:r>
      <w:r w:rsidR="009D305C" w:rsidRPr="00D920C9">
        <w:rPr>
          <w:rFonts w:asciiTheme="minorHAnsi" w:eastAsia="Times New Roman" w:hAnsiTheme="minorHAnsi"/>
          <w:szCs w:val="20"/>
          <w:lang w:eastAsia="es-ES"/>
        </w:rPr>
        <w:t xml:space="preserve"> and </w:t>
      </w:r>
      <w:r w:rsidR="009D305C" w:rsidRPr="00D920C9">
        <w:rPr>
          <w:rFonts w:asciiTheme="minorHAnsi" w:eastAsia="Times New Roman" w:hAnsiTheme="minorHAnsi"/>
          <w:i/>
          <w:szCs w:val="20"/>
          <w:lang w:eastAsia="es-ES"/>
        </w:rPr>
        <w:t>de facto</w:t>
      </w:r>
      <w:r w:rsidR="009D305C" w:rsidRPr="00D920C9">
        <w:rPr>
          <w:rFonts w:asciiTheme="minorHAnsi" w:eastAsia="Times New Roman" w:hAnsiTheme="minorHAnsi"/>
          <w:szCs w:val="20"/>
          <w:lang w:eastAsia="es-ES"/>
        </w:rPr>
        <w:t xml:space="preserve">, has continuing repercussions for African Americans’ full enjoyment of human rights today in virtually every sphere. </w:t>
      </w:r>
      <w:r w:rsidR="009D305C" w:rsidRPr="00D920C9">
        <w:rPr>
          <w:rFonts w:asciiTheme="minorHAnsi" w:hAnsiTheme="minorHAnsi"/>
          <w:szCs w:val="20"/>
        </w:rPr>
        <w:t>In this regard,</w:t>
      </w:r>
      <w:r w:rsidR="000556A7" w:rsidRPr="00D920C9">
        <w:rPr>
          <w:rFonts w:asciiTheme="minorHAnsi" w:hAnsiTheme="minorHAnsi"/>
          <w:szCs w:val="20"/>
        </w:rPr>
        <w:t xml:space="preserve"> a reckoning with the legacy of racism and discrimination in the U.S. is necessary to effectively transform the situation in the future. </w:t>
      </w:r>
      <w:r w:rsidR="0072065E" w:rsidRPr="00D920C9">
        <w:rPr>
          <w:rFonts w:asciiTheme="minorHAnsi" w:hAnsiTheme="minorHAnsi"/>
          <w:szCs w:val="20"/>
        </w:rPr>
        <w:t xml:space="preserve"> </w:t>
      </w:r>
    </w:p>
    <w:p w14:paraId="24B25CF6" w14:textId="4F4A0984" w:rsidR="00EF6ABA" w:rsidRPr="00D920C9" w:rsidRDefault="0072065E" w:rsidP="002C64F8">
      <w:pPr>
        <w:pStyle w:val="ListParagraph"/>
        <w:numPr>
          <w:ilvl w:val="0"/>
          <w:numId w:val="9"/>
        </w:numPr>
        <w:spacing w:after="240" w:line="240" w:lineRule="auto"/>
        <w:ind w:left="547" w:hanging="547"/>
        <w:contextualSpacing w:val="0"/>
        <w:jc w:val="both"/>
        <w:rPr>
          <w:rFonts w:asciiTheme="minorHAnsi" w:hAnsiTheme="minorHAnsi"/>
          <w:szCs w:val="20"/>
        </w:rPr>
      </w:pPr>
      <w:r w:rsidRPr="00D920C9">
        <w:rPr>
          <w:rFonts w:asciiTheme="minorHAnsi" w:hAnsiTheme="minorHAnsi"/>
          <w:szCs w:val="20"/>
        </w:rPr>
        <w:t>In this light, t</w:t>
      </w:r>
      <w:r w:rsidR="00D06953" w:rsidRPr="00D920C9">
        <w:rPr>
          <w:rFonts w:asciiTheme="minorHAnsi" w:hAnsiTheme="minorHAnsi"/>
          <w:szCs w:val="20"/>
        </w:rPr>
        <w:t>he Commission analyzes</w:t>
      </w:r>
      <w:r w:rsidR="00EF6ABA" w:rsidRPr="00D920C9">
        <w:rPr>
          <w:rFonts w:asciiTheme="minorHAnsi" w:hAnsiTheme="minorHAnsi"/>
          <w:szCs w:val="20"/>
        </w:rPr>
        <w:t xml:space="preserve"> information received regarding issues of over-</w:t>
      </w:r>
      <w:r w:rsidR="00EF6ABA" w:rsidRPr="00D920C9">
        <w:rPr>
          <w:rFonts w:asciiTheme="minorHAnsi" w:hAnsiTheme="minorHAnsi"/>
        </w:rPr>
        <w:t>policing</w:t>
      </w:r>
      <w:r w:rsidR="00EF6ABA" w:rsidRPr="00D920C9">
        <w:rPr>
          <w:rFonts w:asciiTheme="minorHAnsi" w:hAnsiTheme="minorHAnsi"/>
          <w:szCs w:val="20"/>
        </w:rPr>
        <w:t xml:space="preserve"> and racial profiling; the militarization of police forces; police use of excessive force; impunity in cases of police killings; police responses to protests; racial disparities in criminal arrests, convictions, and sentencing; and the lifelong consequences of prior incarceration and felony convictions. </w:t>
      </w:r>
      <w:r w:rsidR="00755AB8" w:rsidRPr="00D920C9">
        <w:rPr>
          <w:rFonts w:asciiTheme="minorHAnsi" w:hAnsiTheme="minorHAnsi"/>
          <w:szCs w:val="20"/>
        </w:rPr>
        <w:t xml:space="preserve">The </w:t>
      </w:r>
      <w:r w:rsidR="00EF6ABA" w:rsidRPr="00D920C9">
        <w:rPr>
          <w:rFonts w:asciiTheme="minorHAnsi" w:hAnsiTheme="minorHAnsi"/>
          <w:szCs w:val="20"/>
        </w:rPr>
        <w:t xml:space="preserve">Commission further considers that issues of discrimination in policing and criminal justice in the </w:t>
      </w:r>
      <w:r w:rsidR="00904A46" w:rsidRPr="00D920C9">
        <w:rPr>
          <w:rFonts w:asciiTheme="minorHAnsi" w:hAnsiTheme="minorHAnsi"/>
          <w:szCs w:val="20"/>
        </w:rPr>
        <w:t>U.S.</w:t>
      </w:r>
      <w:r w:rsidR="00EF6ABA" w:rsidRPr="00D920C9">
        <w:rPr>
          <w:rFonts w:asciiTheme="minorHAnsi" w:hAnsiTheme="minorHAnsi"/>
          <w:szCs w:val="20"/>
        </w:rPr>
        <w:t xml:space="preserve"> are inseparable from social stigma and hate speech;</w:t>
      </w:r>
      <w:r w:rsidR="005651D2" w:rsidRPr="00D920C9">
        <w:rPr>
          <w:rFonts w:asciiTheme="minorHAnsi" w:hAnsiTheme="minorHAnsi"/>
          <w:szCs w:val="20"/>
        </w:rPr>
        <w:t xml:space="preserve"> violence by private citizens;</w:t>
      </w:r>
      <w:r w:rsidR="00EF6ABA" w:rsidRPr="00D920C9">
        <w:rPr>
          <w:rFonts w:asciiTheme="minorHAnsi" w:hAnsiTheme="minorHAnsi"/>
          <w:szCs w:val="20"/>
        </w:rPr>
        <w:t xml:space="preserve"> an enduring situation of racialized poverty; and intersectional discrimination</w:t>
      </w:r>
      <w:r w:rsidR="005651D2" w:rsidRPr="00D920C9">
        <w:rPr>
          <w:rFonts w:asciiTheme="minorHAnsi" w:hAnsiTheme="minorHAnsi"/>
          <w:szCs w:val="20"/>
        </w:rPr>
        <w:t>; as all of these are also governed by a structural situation of discrimination and racism</w:t>
      </w:r>
      <w:r w:rsidR="00755AB8" w:rsidRPr="00D920C9">
        <w:rPr>
          <w:rFonts w:asciiTheme="minorHAnsi" w:hAnsiTheme="minorHAnsi"/>
          <w:szCs w:val="20"/>
        </w:rPr>
        <w:t xml:space="preserve">. </w:t>
      </w:r>
      <w:r w:rsidR="00406A83" w:rsidRPr="00D920C9">
        <w:rPr>
          <w:rFonts w:asciiTheme="minorHAnsi" w:hAnsiTheme="minorHAnsi"/>
          <w:szCs w:val="20"/>
        </w:rPr>
        <w:t>T</w:t>
      </w:r>
      <w:r w:rsidR="00755AB8" w:rsidRPr="00D920C9">
        <w:rPr>
          <w:rFonts w:asciiTheme="minorHAnsi" w:hAnsiTheme="minorHAnsi"/>
          <w:szCs w:val="20"/>
        </w:rPr>
        <w:t xml:space="preserve">hese issues are reviewed in the report </w:t>
      </w:r>
      <w:r w:rsidR="00406A83" w:rsidRPr="00D920C9">
        <w:rPr>
          <w:rFonts w:asciiTheme="minorHAnsi" w:hAnsiTheme="minorHAnsi"/>
          <w:szCs w:val="20"/>
        </w:rPr>
        <w:t>from</w:t>
      </w:r>
      <w:r w:rsidR="00755AB8" w:rsidRPr="00D920C9">
        <w:rPr>
          <w:rFonts w:asciiTheme="minorHAnsi" w:hAnsiTheme="minorHAnsi"/>
          <w:szCs w:val="20"/>
        </w:rPr>
        <w:t xml:space="preserve"> a human rights perspective </w:t>
      </w:r>
      <w:r w:rsidR="00406A83" w:rsidRPr="00D920C9">
        <w:rPr>
          <w:rFonts w:asciiTheme="minorHAnsi" w:hAnsiTheme="minorHAnsi"/>
          <w:szCs w:val="20"/>
        </w:rPr>
        <w:t>considering</w:t>
      </w:r>
      <w:r w:rsidR="00755AB8" w:rsidRPr="00D920C9">
        <w:rPr>
          <w:rFonts w:asciiTheme="minorHAnsi" w:hAnsiTheme="minorHAnsi"/>
          <w:szCs w:val="20"/>
        </w:rPr>
        <w:t xml:space="preserve"> the obligations of the United States </w:t>
      </w:r>
      <w:r w:rsidR="00406A83" w:rsidRPr="00D920C9">
        <w:rPr>
          <w:rFonts w:asciiTheme="minorHAnsi" w:hAnsiTheme="minorHAnsi"/>
          <w:szCs w:val="20"/>
        </w:rPr>
        <w:t>under</w:t>
      </w:r>
      <w:r w:rsidR="00755AB8" w:rsidRPr="00D920C9">
        <w:rPr>
          <w:rFonts w:asciiTheme="minorHAnsi" w:hAnsiTheme="minorHAnsi"/>
          <w:szCs w:val="20"/>
        </w:rPr>
        <w:t xml:space="preserve"> international law.   </w:t>
      </w:r>
    </w:p>
    <w:p w14:paraId="69A4FD71" w14:textId="3E83433D" w:rsidR="00EF6ABA" w:rsidRPr="00D920C9" w:rsidRDefault="00EF6ABA" w:rsidP="002C64F8">
      <w:pPr>
        <w:pStyle w:val="ListParagraph"/>
        <w:numPr>
          <w:ilvl w:val="0"/>
          <w:numId w:val="9"/>
        </w:numPr>
        <w:spacing w:after="240" w:line="240" w:lineRule="auto"/>
        <w:ind w:left="547" w:hanging="547"/>
        <w:contextualSpacing w:val="0"/>
        <w:jc w:val="both"/>
        <w:rPr>
          <w:rFonts w:asciiTheme="minorHAnsi" w:hAnsiTheme="minorHAnsi"/>
          <w:szCs w:val="20"/>
        </w:rPr>
      </w:pPr>
      <w:r w:rsidRPr="00D920C9">
        <w:rPr>
          <w:rFonts w:asciiTheme="minorHAnsi" w:hAnsiTheme="minorHAnsi"/>
          <w:szCs w:val="20"/>
        </w:rPr>
        <w:t xml:space="preserve">The Commission </w:t>
      </w:r>
      <w:r w:rsidR="00755AB8" w:rsidRPr="00D920C9">
        <w:rPr>
          <w:rFonts w:asciiTheme="minorHAnsi" w:hAnsiTheme="minorHAnsi"/>
          <w:szCs w:val="20"/>
        </w:rPr>
        <w:t>highlights</w:t>
      </w:r>
      <w:r w:rsidRPr="00D920C9">
        <w:rPr>
          <w:rFonts w:asciiTheme="minorHAnsi" w:hAnsiTheme="minorHAnsi"/>
          <w:szCs w:val="20"/>
        </w:rPr>
        <w:t xml:space="preserve"> that the issues of police brutality and excessive use of force, racially biased policing practices, and racial disparities that permeate virtually every part of the criminal justice system, are widespread and represent a clear threat to the human rights of African</w:t>
      </w:r>
      <w:r w:rsidR="0030356C" w:rsidRPr="00D920C9">
        <w:rPr>
          <w:rFonts w:asciiTheme="minorHAnsi" w:hAnsiTheme="minorHAnsi"/>
          <w:szCs w:val="20"/>
        </w:rPr>
        <w:t xml:space="preserve"> </w:t>
      </w:r>
      <w:r w:rsidRPr="00D920C9">
        <w:rPr>
          <w:rFonts w:asciiTheme="minorHAnsi" w:hAnsiTheme="minorHAnsi"/>
          <w:szCs w:val="20"/>
        </w:rPr>
        <w:t xml:space="preserve">Americans, including the rights to life, personal integrity, non-discrimination, and due process, among others. In this report, the Commission considers these issues in </w:t>
      </w:r>
      <w:r w:rsidRPr="00D920C9">
        <w:rPr>
          <w:rFonts w:asciiTheme="minorHAnsi" w:hAnsiTheme="minorHAnsi"/>
        </w:rPr>
        <w:t>light</w:t>
      </w:r>
      <w:r w:rsidRPr="00D920C9">
        <w:rPr>
          <w:rFonts w:asciiTheme="minorHAnsi" w:hAnsiTheme="minorHAnsi"/>
          <w:szCs w:val="20"/>
        </w:rPr>
        <w:t xml:space="preserve"> of the United States’ international obligations regarding non-discrimination, use of force, and access to justice.</w:t>
      </w:r>
    </w:p>
    <w:p w14:paraId="799BBB1A" w14:textId="68D6E0E1" w:rsidR="002F3E61" w:rsidRPr="00D920C9" w:rsidRDefault="002F3E61" w:rsidP="002C64F8">
      <w:pPr>
        <w:pStyle w:val="ListParagraph"/>
        <w:numPr>
          <w:ilvl w:val="0"/>
          <w:numId w:val="9"/>
        </w:numPr>
        <w:spacing w:after="240" w:line="240" w:lineRule="auto"/>
        <w:ind w:left="547" w:hanging="547"/>
        <w:contextualSpacing w:val="0"/>
        <w:jc w:val="both"/>
        <w:rPr>
          <w:rFonts w:asciiTheme="minorHAnsi" w:hAnsiTheme="minorHAnsi"/>
          <w:szCs w:val="20"/>
        </w:rPr>
      </w:pPr>
      <w:r w:rsidRPr="00D920C9">
        <w:rPr>
          <w:rFonts w:asciiTheme="minorHAnsi" w:hAnsiTheme="minorHAnsi"/>
          <w:szCs w:val="20"/>
        </w:rPr>
        <w:t>Throughout</w:t>
      </w:r>
      <w:r w:rsidR="00D04B26" w:rsidRPr="00D920C9">
        <w:rPr>
          <w:rFonts w:asciiTheme="minorHAnsi" w:hAnsiTheme="minorHAnsi"/>
          <w:szCs w:val="20"/>
        </w:rPr>
        <w:t xml:space="preserve"> this report</w:t>
      </w:r>
      <w:r w:rsidRPr="00D920C9">
        <w:rPr>
          <w:rFonts w:asciiTheme="minorHAnsi" w:hAnsiTheme="minorHAnsi"/>
          <w:szCs w:val="20"/>
        </w:rPr>
        <w:t xml:space="preserve">, the Commission underscores a series of key international human rights principles </w:t>
      </w:r>
      <w:r w:rsidR="0046735C" w:rsidRPr="00D920C9">
        <w:rPr>
          <w:rFonts w:asciiTheme="minorHAnsi" w:hAnsiTheme="minorHAnsi"/>
          <w:szCs w:val="20"/>
        </w:rPr>
        <w:t>that apply</w:t>
      </w:r>
      <w:r w:rsidRPr="00D920C9">
        <w:rPr>
          <w:rFonts w:asciiTheme="minorHAnsi" w:hAnsiTheme="minorHAnsi"/>
          <w:szCs w:val="20"/>
        </w:rPr>
        <w:t xml:space="preserve"> to the situation: First, all government and police actions should be executed in accordance with the obligations of non-discrimination and the p</w:t>
      </w:r>
      <w:r w:rsidR="0046735C" w:rsidRPr="00D920C9">
        <w:rPr>
          <w:rFonts w:asciiTheme="minorHAnsi" w:hAnsiTheme="minorHAnsi"/>
          <w:szCs w:val="20"/>
        </w:rPr>
        <w:t>rinciple</w:t>
      </w:r>
      <w:r w:rsidRPr="00D920C9">
        <w:rPr>
          <w:rFonts w:asciiTheme="minorHAnsi" w:hAnsiTheme="minorHAnsi"/>
          <w:szCs w:val="20"/>
        </w:rPr>
        <w:t xml:space="preserve"> of equality. Second, police use of force</w:t>
      </w:r>
      <w:r w:rsidR="00073AE6" w:rsidRPr="00D920C9">
        <w:rPr>
          <w:rFonts w:asciiTheme="minorHAnsi" w:hAnsiTheme="minorHAnsi"/>
          <w:szCs w:val="20"/>
        </w:rPr>
        <w:t xml:space="preserve"> </w:t>
      </w:r>
      <w:r w:rsidRPr="00D920C9">
        <w:rPr>
          <w:rFonts w:asciiTheme="minorHAnsi" w:hAnsiTheme="minorHAnsi"/>
          <w:szCs w:val="20"/>
        </w:rPr>
        <w:t>in the United States, as in all other States of the Americas, should be guided by the principle</w:t>
      </w:r>
      <w:r w:rsidR="00073AE6" w:rsidRPr="00D920C9">
        <w:rPr>
          <w:rFonts w:asciiTheme="minorHAnsi" w:hAnsiTheme="minorHAnsi"/>
          <w:szCs w:val="20"/>
        </w:rPr>
        <w:t>s</w:t>
      </w:r>
      <w:r w:rsidRPr="00D920C9">
        <w:rPr>
          <w:rFonts w:asciiTheme="minorHAnsi" w:hAnsiTheme="minorHAnsi"/>
          <w:szCs w:val="20"/>
        </w:rPr>
        <w:t xml:space="preserve"> of </w:t>
      </w:r>
      <w:r w:rsidR="00777FAE" w:rsidRPr="00D920C9">
        <w:rPr>
          <w:rFonts w:asciiTheme="minorHAnsi" w:hAnsiTheme="minorHAnsi"/>
          <w:szCs w:val="20"/>
        </w:rPr>
        <w:t xml:space="preserve">legality, absolute </w:t>
      </w:r>
      <w:r w:rsidR="00073AE6" w:rsidRPr="00D920C9">
        <w:rPr>
          <w:rFonts w:asciiTheme="minorHAnsi" w:hAnsiTheme="minorHAnsi"/>
          <w:szCs w:val="20"/>
        </w:rPr>
        <w:t>necessity</w:t>
      </w:r>
      <w:r w:rsidR="00777FAE" w:rsidRPr="00D920C9">
        <w:rPr>
          <w:rFonts w:asciiTheme="minorHAnsi" w:hAnsiTheme="minorHAnsi"/>
          <w:szCs w:val="20"/>
        </w:rPr>
        <w:t xml:space="preserve">, and proportionality, </w:t>
      </w:r>
      <w:r w:rsidR="002B574C" w:rsidRPr="00D920C9">
        <w:rPr>
          <w:rFonts w:asciiTheme="minorHAnsi" w:hAnsiTheme="minorHAnsi"/>
          <w:szCs w:val="20"/>
        </w:rPr>
        <w:t xml:space="preserve">and </w:t>
      </w:r>
      <w:r w:rsidRPr="00D920C9">
        <w:rPr>
          <w:rFonts w:asciiTheme="minorHAnsi" w:hAnsiTheme="minorHAnsi"/>
          <w:szCs w:val="20"/>
        </w:rPr>
        <w:t xml:space="preserve">used only when other methods have been exhausted and failed. Third, the protection against arbitrary deprivations of life applies to the entire State structure—including federal, state, </w:t>
      </w:r>
      <w:r w:rsidRPr="00D920C9">
        <w:rPr>
          <w:rFonts w:asciiTheme="minorHAnsi" w:hAnsiTheme="minorHAnsi"/>
        </w:rPr>
        <w:t>and</w:t>
      </w:r>
      <w:r w:rsidRPr="00D920C9">
        <w:rPr>
          <w:rFonts w:asciiTheme="minorHAnsi" w:hAnsiTheme="minorHAnsi"/>
          <w:szCs w:val="20"/>
        </w:rPr>
        <w:t xml:space="preserve"> local government entities—and to all actions of police officers, both in situations </w:t>
      </w:r>
      <w:r w:rsidRPr="00D920C9">
        <w:rPr>
          <w:rFonts w:asciiTheme="minorHAnsi" w:hAnsiTheme="minorHAnsi"/>
          <w:szCs w:val="20"/>
        </w:rPr>
        <w:lastRenderedPageBreak/>
        <w:t>of normality and unrest. Fourth, the government—federal, state, and local—is responsible for establishing adequate and effective legal remedies, and a justice system that is independent and impartial in its investigations of police abuses, and that achieves convictions when appropriate. The Commission recalls that impunity fosters an environment in which police violence and abuses are tolerated, and serves to sustain disparate treatment towards groups subject to historic discrimination. Fifth, the Commission underscores the need to safeguard the basic human rights of protesters, including their rights to life and physical and psychological integrity.</w:t>
      </w:r>
    </w:p>
    <w:p w14:paraId="6665D997" w14:textId="1896D9C4" w:rsidR="005651D2" w:rsidRPr="00D920C9" w:rsidRDefault="005651D2" w:rsidP="002C64F8">
      <w:pPr>
        <w:pStyle w:val="ListParagraph"/>
        <w:numPr>
          <w:ilvl w:val="0"/>
          <w:numId w:val="9"/>
        </w:numPr>
        <w:spacing w:after="240" w:line="240" w:lineRule="auto"/>
        <w:ind w:left="547" w:hanging="547"/>
        <w:contextualSpacing w:val="0"/>
        <w:jc w:val="both"/>
        <w:rPr>
          <w:rFonts w:asciiTheme="minorHAnsi" w:hAnsiTheme="minorHAnsi"/>
          <w:szCs w:val="20"/>
        </w:rPr>
      </w:pPr>
      <w:r w:rsidRPr="00D920C9">
        <w:rPr>
          <w:rFonts w:asciiTheme="minorHAnsi" w:hAnsiTheme="minorHAnsi"/>
          <w:szCs w:val="20"/>
        </w:rPr>
        <w:t>Regarding non-discrimination</w:t>
      </w:r>
      <w:r w:rsidR="0014598D" w:rsidRPr="00D920C9">
        <w:rPr>
          <w:rFonts w:asciiTheme="minorHAnsi" w:hAnsiTheme="minorHAnsi"/>
          <w:szCs w:val="20"/>
        </w:rPr>
        <w:t xml:space="preserve"> and equality</w:t>
      </w:r>
      <w:r w:rsidRPr="00D920C9">
        <w:rPr>
          <w:rFonts w:asciiTheme="minorHAnsi" w:hAnsiTheme="minorHAnsi"/>
          <w:szCs w:val="20"/>
        </w:rPr>
        <w:t xml:space="preserve">, the Commission </w:t>
      </w:r>
      <w:r w:rsidR="009B2D97" w:rsidRPr="00D920C9">
        <w:rPr>
          <w:rFonts w:asciiTheme="minorHAnsi" w:hAnsiTheme="minorHAnsi"/>
          <w:szCs w:val="20"/>
        </w:rPr>
        <w:t xml:space="preserve">recalls that both direct and indirect racial discrimination are prohibited under international and inter-American law. In this report, it </w:t>
      </w:r>
      <w:r w:rsidRPr="00D920C9">
        <w:rPr>
          <w:rFonts w:asciiTheme="minorHAnsi" w:hAnsiTheme="minorHAnsi"/>
          <w:szCs w:val="20"/>
        </w:rPr>
        <w:t xml:space="preserve">underscores </w:t>
      </w:r>
      <w:r w:rsidR="00720B2F" w:rsidRPr="00D920C9">
        <w:rPr>
          <w:rFonts w:asciiTheme="minorHAnsi" w:hAnsiTheme="minorHAnsi"/>
          <w:szCs w:val="20"/>
        </w:rPr>
        <w:t>as an issue of particular concern</w:t>
      </w:r>
      <w:r w:rsidRPr="00D920C9">
        <w:rPr>
          <w:rFonts w:asciiTheme="minorHAnsi" w:hAnsiTheme="minorHAnsi"/>
          <w:szCs w:val="20"/>
        </w:rPr>
        <w:t xml:space="preserve"> that laws and practices that have a discriminatory effect</w:t>
      </w:r>
      <w:r w:rsidR="009B2D97" w:rsidRPr="00D920C9">
        <w:rPr>
          <w:rFonts w:asciiTheme="minorHAnsi" w:hAnsiTheme="minorHAnsi"/>
          <w:szCs w:val="20"/>
        </w:rPr>
        <w:t>—</w:t>
      </w:r>
      <w:r w:rsidR="00806E5C" w:rsidRPr="00D920C9">
        <w:rPr>
          <w:rFonts w:asciiTheme="minorHAnsi" w:hAnsiTheme="minorHAnsi"/>
          <w:szCs w:val="20"/>
        </w:rPr>
        <w:t>often described as “disparate impact” in domestic law</w:t>
      </w:r>
      <w:r w:rsidR="009B2D97" w:rsidRPr="00D920C9">
        <w:rPr>
          <w:rFonts w:asciiTheme="minorHAnsi" w:hAnsiTheme="minorHAnsi"/>
          <w:szCs w:val="20"/>
        </w:rPr>
        <w:t>—</w:t>
      </w:r>
      <w:r w:rsidRPr="00D920C9">
        <w:rPr>
          <w:rFonts w:asciiTheme="minorHAnsi" w:hAnsiTheme="minorHAnsi"/>
          <w:szCs w:val="20"/>
        </w:rPr>
        <w:t xml:space="preserve">are prohibited under </w:t>
      </w:r>
      <w:r w:rsidR="0011360B" w:rsidRPr="00D920C9">
        <w:rPr>
          <w:rFonts w:asciiTheme="minorHAnsi" w:hAnsiTheme="minorHAnsi"/>
          <w:szCs w:val="20"/>
        </w:rPr>
        <w:t>international</w:t>
      </w:r>
      <w:r w:rsidRPr="00D920C9">
        <w:rPr>
          <w:rFonts w:asciiTheme="minorHAnsi" w:hAnsiTheme="minorHAnsi"/>
          <w:szCs w:val="20"/>
        </w:rPr>
        <w:t xml:space="preserve"> law, even if they are not facially discriminatory. </w:t>
      </w:r>
      <w:r w:rsidR="009B2D97" w:rsidRPr="00D920C9">
        <w:rPr>
          <w:rFonts w:asciiTheme="minorHAnsi" w:hAnsiTheme="minorHAnsi"/>
          <w:szCs w:val="20"/>
        </w:rPr>
        <w:t>I</w:t>
      </w:r>
      <w:r w:rsidRPr="00D920C9">
        <w:rPr>
          <w:rFonts w:asciiTheme="minorHAnsi" w:hAnsiTheme="minorHAnsi"/>
          <w:szCs w:val="20"/>
        </w:rPr>
        <w:t>t is urgent that the U</w:t>
      </w:r>
      <w:r w:rsidR="00C45A79" w:rsidRPr="00D920C9">
        <w:rPr>
          <w:rFonts w:asciiTheme="minorHAnsi" w:hAnsiTheme="minorHAnsi"/>
          <w:szCs w:val="20"/>
        </w:rPr>
        <w:t>.</w:t>
      </w:r>
      <w:r w:rsidRPr="00D920C9">
        <w:rPr>
          <w:rFonts w:asciiTheme="minorHAnsi" w:hAnsiTheme="minorHAnsi"/>
          <w:szCs w:val="20"/>
        </w:rPr>
        <w:t>S</w:t>
      </w:r>
      <w:r w:rsidR="00C45A79" w:rsidRPr="00D920C9">
        <w:rPr>
          <w:rFonts w:asciiTheme="minorHAnsi" w:hAnsiTheme="minorHAnsi"/>
          <w:szCs w:val="20"/>
        </w:rPr>
        <w:t>.</w:t>
      </w:r>
      <w:r w:rsidRPr="00D920C9">
        <w:rPr>
          <w:rFonts w:asciiTheme="minorHAnsi" w:hAnsiTheme="minorHAnsi"/>
          <w:szCs w:val="20"/>
        </w:rPr>
        <w:t xml:space="preserve"> bring</w:t>
      </w:r>
      <w:r w:rsidR="00777FAE" w:rsidRPr="00D920C9">
        <w:rPr>
          <w:rFonts w:asciiTheme="minorHAnsi" w:hAnsiTheme="minorHAnsi"/>
          <w:szCs w:val="20"/>
        </w:rPr>
        <w:t>s</w:t>
      </w:r>
      <w:r w:rsidRPr="00D920C9">
        <w:rPr>
          <w:rFonts w:asciiTheme="minorHAnsi" w:hAnsiTheme="minorHAnsi"/>
          <w:szCs w:val="20"/>
        </w:rPr>
        <w:t xml:space="preserve"> its domestic law in line with international standards in order to effectively prevent and sanction cases of disparate impact. The Commission further highlights that racial profiling practices may amount to inhuman or degrading treatment under international law. </w:t>
      </w:r>
      <w:r w:rsidR="00720B2F" w:rsidRPr="00D920C9">
        <w:rPr>
          <w:rFonts w:asciiTheme="minorHAnsi" w:hAnsiTheme="minorHAnsi"/>
          <w:szCs w:val="20"/>
        </w:rPr>
        <w:t xml:space="preserve">In addition to the obligation to refrain from violating rights, the Commission </w:t>
      </w:r>
      <w:r w:rsidR="004704C3" w:rsidRPr="00D920C9">
        <w:rPr>
          <w:rFonts w:asciiTheme="minorHAnsi" w:hAnsiTheme="minorHAnsi"/>
          <w:szCs w:val="20"/>
        </w:rPr>
        <w:t>emphasizes</w:t>
      </w:r>
      <w:r w:rsidR="00720B2F" w:rsidRPr="00D920C9">
        <w:rPr>
          <w:rFonts w:asciiTheme="minorHAnsi" w:hAnsiTheme="minorHAnsi"/>
          <w:szCs w:val="20"/>
        </w:rPr>
        <w:t xml:space="preserve"> the State’s positive obligation to </w:t>
      </w:r>
      <w:r w:rsidR="00DB0288" w:rsidRPr="00D920C9">
        <w:rPr>
          <w:rFonts w:asciiTheme="minorHAnsi" w:hAnsiTheme="minorHAnsi"/>
          <w:szCs w:val="20"/>
        </w:rPr>
        <w:t>adopt measures to build</w:t>
      </w:r>
      <w:r w:rsidR="00720B2F" w:rsidRPr="00D920C9">
        <w:rPr>
          <w:rFonts w:asciiTheme="minorHAnsi" w:hAnsiTheme="minorHAnsi"/>
          <w:szCs w:val="20"/>
        </w:rPr>
        <w:t xml:space="preserve"> an inclusive society free from all forms of racial discrimination, and calls for</w:t>
      </w:r>
      <w:r w:rsidR="00DB0288" w:rsidRPr="00D920C9">
        <w:rPr>
          <w:rFonts w:asciiTheme="minorHAnsi" w:hAnsiTheme="minorHAnsi"/>
          <w:szCs w:val="20"/>
        </w:rPr>
        <w:t xml:space="preserve"> steps</w:t>
      </w:r>
      <w:r w:rsidR="00720B2F" w:rsidRPr="00D920C9">
        <w:rPr>
          <w:rFonts w:asciiTheme="minorHAnsi" w:hAnsiTheme="minorHAnsi"/>
          <w:szCs w:val="20"/>
        </w:rPr>
        <w:t xml:space="preserve"> to modify the culture of policing and dynamics between the police and African</w:t>
      </w:r>
      <w:r w:rsidR="004704C3" w:rsidRPr="00D920C9">
        <w:rPr>
          <w:rFonts w:asciiTheme="minorHAnsi" w:hAnsiTheme="minorHAnsi"/>
          <w:szCs w:val="20"/>
        </w:rPr>
        <w:t xml:space="preserve"> </w:t>
      </w:r>
      <w:r w:rsidR="00720B2F" w:rsidRPr="00D920C9">
        <w:rPr>
          <w:rFonts w:asciiTheme="minorHAnsi" w:hAnsiTheme="minorHAnsi"/>
          <w:szCs w:val="20"/>
        </w:rPr>
        <w:t>Americans in order to build trust and confidence.</w:t>
      </w:r>
    </w:p>
    <w:p w14:paraId="6C596D83" w14:textId="2EEDC0FB" w:rsidR="0011360B" w:rsidRPr="00D920C9" w:rsidRDefault="0011360B" w:rsidP="002C64F8">
      <w:pPr>
        <w:pStyle w:val="ListParagraph"/>
        <w:numPr>
          <w:ilvl w:val="0"/>
          <w:numId w:val="9"/>
        </w:numPr>
        <w:spacing w:after="240" w:line="240" w:lineRule="auto"/>
        <w:ind w:left="547" w:hanging="547"/>
        <w:contextualSpacing w:val="0"/>
        <w:jc w:val="both"/>
        <w:rPr>
          <w:rFonts w:asciiTheme="minorHAnsi" w:hAnsiTheme="minorHAnsi"/>
          <w:szCs w:val="20"/>
        </w:rPr>
      </w:pPr>
      <w:r w:rsidRPr="00D920C9">
        <w:rPr>
          <w:rFonts w:asciiTheme="minorHAnsi" w:hAnsiTheme="minorHAnsi"/>
          <w:szCs w:val="20"/>
        </w:rPr>
        <w:t>Regarding the use of force, the Commission reiterates in this report that the protection against arbitrary deprivations of life applies to the entire State structure—including federal, state, and local government entities—and to all actions of police officers. T</w:t>
      </w:r>
      <w:r w:rsidR="002F3E61" w:rsidRPr="00D920C9">
        <w:rPr>
          <w:rFonts w:asciiTheme="minorHAnsi" w:hAnsiTheme="minorHAnsi"/>
          <w:szCs w:val="20"/>
        </w:rPr>
        <w:t>herefore</w:t>
      </w:r>
      <w:r w:rsidRPr="00D920C9">
        <w:rPr>
          <w:rFonts w:asciiTheme="minorHAnsi" w:hAnsiTheme="minorHAnsi"/>
          <w:szCs w:val="20"/>
        </w:rPr>
        <w:t>, police use of force must be gui</w:t>
      </w:r>
      <w:r w:rsidR="001951ED" w:rsidRPr="00D920C9">
        <w:rPr>
          <w:rFonts w:asciiTheme="minorHAnsi" w:hAnsiTheme="minorHAnsi"/>
          <w:szCs w:val="20"/>
        </w:rPr>
        <w:t xml:space="preserve">ded by the principles of absolute </w:t>
      </w:r>
      <w:r w:rsidRPr="00D920C9">
        <w:rPr>
          <w:rFonts w:asciiTheme="minorHAnsi" w:hAnsiTheme="minorHAnsi"/>
          <w:szCs w:val="20"/>
        </w:rPr>
        <w:t>necessity, proportionality, and legality</w:t>
      </w:r>
      <w:r w:rsidR="00073AE6" w:rsidRPr="00D920C9">
        <w:rPr>
          <w:rFonts w:asciiTheme="minorHAnsi" w:hAnsiTheme="minorHAnsi"/>
          <w:szCs w:val="20"/>
        </w:rPr>
        <w:t>;</w:t>
      </w:r>
      <w:r w:rsidRPr="00D920C9">
        <w:rPr>
          <w:rFonts w:asciiTheme="minorHAnsi" w:hAnsiTheme="minorHAnsi"/>
          <w:szCs w:val="20"/>
        </w:rPr>
        <w:t xml:space="preserve"> lethal force m</w:t>
      </w:r>
      <w:r w:rsidR="00073AE6" w:rsidRPr="00D920C9">
        <w:rPr>
          <w:rFonts w:asciiTheme="minorHAnsi" w:hAnsiTheme="minorHAnsi"/>
          <w:szCs w:val="20"/>
        </w:rPr>
        <w:t>ay be permissible</w:t>
      </w:r>
      <w:r w:rsidRPr="00D920C9">
        <w:rPr>
          <w:rFonts w:asciiTheme="minorHAnsi" w:hAnsiTheme="minorHAnsi"/>
          <w:szCs w:val="20"/>
        </w:rPr>
        <w:t xml:space="preserve"> only when strictly necessary to protect life</w:t>
      </w:r>
      <w:r w:rsidR="001951ED" w:rsidRPr="00D920C9">
        <w:rPr>
          <w:rFonts w:asciiTheme="minorHAnsi" w:hAnsiTheme="minorHAnsi"/>
          <w:szCs w:val="20"/>
        </w:rPr>
        <w:t>.</w:t>
      </w:r>
      <w:r w:rsidR="004E5A9B" w:rsidRPr="00D920C9">
        <w:rPr>
          <w:rFonts w:asciiTheme="minorHAnsi" w:hAnsiTheme="minorHAnsi"/>
          <w:szCs w:val="20"/>
        </w:rPr>
        <w:t xml:space="preserve"> </w:t>
      </w:r>
      <w:r w:rsidRPr="00D920C9">
        <w:rPr>
          <w:rFonts w:asciiTheme="minorHAnsi" w:hAnsiTheme="minorHAnsi"/>
          <w:szCs w:val="20"/>
        </w:rPr>
        <w:t xml:space="preserve">The Commission calls on the United </w:t>
      </w:r>
      <w:r w:rsidRPr="00D920C9">
        <w:rPr>
          <w:rFonts w:asciiTheme="minorHAnsi" w:hAnsiTheme="minorHAnsi"/>
        </w:rPr>
        <w:t>States</w:t>
      </w:r>
      <w:r w:rsidRPr="00D920C9">
        <w:rPr>
          <w:rFonts w:asciiTheme="minorHAnsi" w:hAnsiTheme="minorHAnsi"/>
          <w:szCs w:val="20"/>
        </w:rPr>
        <w:t xml:space="preserve"> to bring its domestic law in line with international standards in this area. The Commission further highlights that excessive use of force by police may amount to cruel, inhuman, or degrading treatment (CIDT) or torture under certain circumstances, particularly where it is committed for any reason based on </w:t>
      </w:r>
      <w:r w:rsidR="0014598D" w:rsidRPr="00D920C9">
        <w:rPr>
          <w:rFonts w:asciiTheme="minorHAnsi" w:hAnsiTheme="minorHAnsi"/>
          <w:szCs w:val="20"/>
        </w:rPr>
        <w:t xml:space="preserve">arbitrary </w:t>
      </w:r>
      <w:r w:rsidRPr="00D920C9">
        <w:rPr>
          <w:rFonts w:asciiTheme="minorHAnsi" w:hAnsiTheme="minorHAnsi"/>
          <w:szCs w:val="20"/>
        </w:rPr>
        <w:t>discrimination of any kind</w:t>
      </w:r>
      <w:r w:rsidR="001951ED" w:rsidRPr="00D920C9">
        <w:rPr>
          <w:rFonts w:asciiTheme="minorHAnsi" w:hAnsiTheme="minorHAnsi"/>
          <w:szCs w:val="20"/>
        </w:rPr>
        <w:t xml:space="preserve">. </w:t>
      </w:r>
      <w:r w:rsidR="004E5A9B" w:rsidRPr="00D920C9">
        <w:rPr>
          <w:rFonts w:asciiTheme="minorHAnsi" w:hAnsiTheme="minorHAnsi"/>
          <w:szCs w:val="20"/>
        </w:rPr>
        <w:t xml:space="preserve"> </w:t>
      </w:r>
      <w:r w:rsidR="0014598D" w:rsidRPr="00D920C9">
        <w:rPr>
          <w:rFonts w:asciiTheme="minorHAnsi" w:hAnsiTheme="minorHAnsi"/>
          <w:szCs w:val="20"/>
        </w:rPr>
        <w:t xml:space="preserve">The Commission also underscores the </w:t>
      </w:r>
      <w:r w:rsidRPr="00D920C9">
        <w:rPr>
          <w:rFonts w:asciiTheme="minorHAnsi" w:hAnsiTheme="minorHAnsi"/>
          <w:szCs w:val="20"/>
        </w:rPr>
        <w:t>need to safeguard the basic human rights of protesters, as well as considerations related to the regulation of the use of lethal force and less lethal weapons in</w:t>
      </w:r>
      <w:r w:rsidR="004E5A9B" w:rsidRPr="00D920C9">
        <w:rPr>
          <w:rFonts w:asciiTheme="minorHAnsi" w:hAnsiTheme="minorHAnsi"/>
          <w:szCs w:val="20"/>
        </w:rPr>
        <w:t xml:space="preserve"> general and in</w:t>
      </w:r>
      <w:r w:rsidRPr="00D920C9">
        <w:rPr>
          <w:rFonts w:asciiTheme="minorHAnsi" w:hAnsiTheme="minorHAnsi"/>
          <w:szCs w:val="20"/>
        </w:rPr>
        <w:t xml:space="preserve"> protest situations</w:t>
      </w:r>
      <w:r w:rsidR="001951ED" w:rsidRPr="00D920C9">
        <w:rPr>
          <w:rFonts w:asciiTheme="minorHAnsi" w:hAnsiTheme="minorHAnsi"/>
          <w:szCs w:val="20"/>
        </w:rPr>
        <w:t>.</w:t>
      </w:r>
      <w:r w:rsidR="004E5A9B" w:rsidRPr="00D920C9">
        <w:rPr>
          <w:rFonts w:asciiTheme="minorHAnsi" w:hAnsiTheme="minorHAnsi"/>
          <w:szCs w:val="20"/>
        </w:rPr>
        <w:t xml:space="preserve"> </w:t>
      </w:r>
    </w:p>
    <w:p w14:paraId="3DCB3DDD" w14:textId="41AA4897" w:rsidR="0011360B" w:rsidRPr="00D920C9" w:rsidRDefault="0011360B" w:rsidP="002C64F8">
      <w:pPr>
        <w:pStyle w:val="ListParagraph"/>
        <w:numPr>
          <w:ilvl w:val="0"/>
          <w:numId w:val="9"/>
        </w:numPr>
        <w:spacing w:after="240" w:line="240" w:lineRule="auto"/>
        <w:ind w:left="547" w:hanging="547"/>
        <w:contextualSpacing w:val="0"/>
        <w:jc w:val="both"/>
        <w:rPr>
          <w:rFonts w:asciiTheme="minorHAnsi" w:hAnsiTheme="minorHAnsi"/>
          <w:szCs w:val="20"/>
        </w:rPr>
      </w:pPr>
      <w:r w:rsidRPr="00D920C9">
        <w:rPr>
          <w:rFonts w:asciiTheme="minorHAnsi" w:hAnsiTheme="minorHAnsi"/>
          <w:szCs w:val="20"/>
        </w:rPr>
        <w:lastRenderedPageBreak/>
        <w:t xml:space="preserve">Regarding access to justice, the Commission emphasizes in this report that the government—federal, state, and local—is responsible for </w:t>
      </w:r>
      <w:r w:rsidR="00806E5C" w:rsidRPr="00D920C9">
        <w:rPr>
          <w:rFonts w:asciiTheme="minorHAnsi" w:hAnsiTheme="minorHAnsi"/>
          <w:szCs w:val="20"/>
        </w:rPr>
        <w:t xml:space="preserve">ensuring </w:t>
      </w:r>
      <w:r w:rsidRPr="00D920C9">
        <w:rPr>
          <w:rFonts w:asciiTheme="minorHAnsi" w:hAnsiTheme="minorHAnsi"/>
          <w:szCs w:val="20"/>
        </w:rPr>
        <w:t xml:space="preserve">access to justice, including exercising due diligence </w:t>
      </w:r>
      <w:r w:rsidR="00073AE6" w:rsidRPr="00D920C9">
        <w:rPr>
          <w:rFonts w:asciiTheme="minorHAnsi" w:hAnsiTheme="minorHAnsi"/>
          <w:szCs w:val="20"/>
        </w:rPr>
        <w:t>to ensure</w:t>
      </w:r>
      <w:r w:rsidR="004A50B5" w:rsidRPr="00D920C9">
        <w:rPr>
          <w:rFonts w:asciiTheme="minorHAnsi" w:hAnsiTheme="minorHAnsi"/>
          <w:szCs w:val="20"/>
        </w:rPr>
        <w:t xml:space="preserve"> independent and impartial investigation and prosecution of police abuses</w:t>
      </w:r>
      <w:r w:rsidR="0020600C" w:rsidRPr="00D920C9">
        <w:rPr>
          <w:rFonts w:asciiTheme="minorHAnsi" w:hAnsiTheme="minorHAnsi"/>
          <w:szCs w:val="20"/>
        </w:rPr>
        <w:t xml:space="preserve">, </w:t>
      </w:r>
      <w:r w:rsidR="004A50B5" w:rsidRPr="00D920C9">
        <w:rPr>
          <w:rFonts w:asciiTheme="minorHAnsi" w:hAnsiTheme="minorHAnsi"/>
          <w:szCs w:val="20"/>
        </w:rPr>
        <w:t>and accountability and punishment for all those responsible for a violation; establishing</w:t>
      </w:r>
      <w:r w:rsidRPr="00D920C9">
        <w:rPr>
          <w:rFonts w:asciiTheme="minorHAnsi" w:hAnsiTheme="minorHAnsi"/>
          <w:szCs w:val="20"/>
        </w:rPr>
        <w:t xml:space="preserve"> </w:t>
      </w:r>
      <w:r w:rsidR="004A50B5" w:rsidRPr="00D920C9">
        <w:rPr>
          <w:rFonts w:asciiTheme="minorHAnsi" w:hAnsiTheme="minorHAnsi"/>
          <w:szCs w:val="20"/>
        </w:rPr>
        <w:t xml:space="preserve">adequate, </w:t>
      </w:r>
      <w:r w:rsidRPr="00D920C9">
        <w:rPr>
          <w:rFonts w:asciiTheme="minorHAnsi" w:hAnsiTheme="minorHAnsi"/>
          <w:szCs w:val="20"/>
        </w:rPr>
        <w:t>effective</w:t>
      </w:r>
      <w:r w:rsidR="004A50B5" w:rsidRPr="00D920C9">
        <w:rPr>
          <w:rFonts w:asciiTheme="minorHAnsi" w:hAnsiTheme="minorHAnsi"/>
          <w:szCs w:val="20"/>
        </w:rPr>
        <w:t>, and accessible</w:t>
      </w:r>
      <w:r w:rsidRPr="00D920C9">
        <w:rPr>
          <w:rFonts w:asciiTheme="minorHAnsi" w:hAnsiTheme="minorHAnsi"/>
          <w:szCs w:val="20"/>
        </w:rPr>
        <w:t xml:space="preserve"> legal remedies</w:t>
      </w:r>
      <w:r w:rsidR="004A50B5" w:rsidRPr="00D920C9">
        <w:rPr>
          <w:rFonts w:asciiTheme="minorHAnsi" w:hAnsiTheme="minorHAnsi"/>
          <w:szCs w:val="20"/>
        </w:rPr>
        <w:t xml:space="preserve"> for police violence</w:t>
      </w:r>
      <w:r w:rsidR="0020600C" w:rsidRPr="00D920C9">
        <w:rPr>
          <w:rFonts w:asciiTheme="minorHAnsi" w:hAnsiTheme="minorHAnsi"/>
          <w:szCs w:val="20"/>
        </w:rPr>
        <w:t xml:space="preserve"> against African Americans</w:t>
      </w:r>
      <w:r w:rsidR="004A50B5" w:rsidRPr="00D920C9">
        <w:rPr>
          <w:rFonts w:asciiTheme="minorHAnsi" w:hAnsiTheme="minorHAnsi"/>
          <w:szCs w:val="20"/>
        </w:rPr>
        <w:t>; and ensuring reparations for victims</w:t>
      </w:r>
      <w:r w:rsidR="001951ED" w:rsidRPr="00D920C9">
        <w:rPr>
          <w:rFonts w:asciiTheme="minorHAnsi" w:hAnsiTheme="minorHAnsi"/>
          <w:szCs w:val="20"/>
        </w:rPr>
        <w:t>.</w:t>
      </w:r>
      <w:r w:rsidR="004E5A9B" w:rsidRPr="00D920C9">
        <w:rPr>
          <w:rFonts w:asciiTheme="minorHAnsi" w:hAnsiTheme="minorHAnsi"/>
          <w:szCs w:val="20"/>
        </w:rPr>
        <w:t xml:space="preserve"> </w:t>
      </w:r>
      <w:r w:rsidR="001951ED" w:rsidRPr="00D920C9">
        <w:rPr>
          <w:rFonts w:asciiTheme="minorHAnsi" w:hAnsiTheme="minorHAnsi"/>
          <w:szCs w:val="20"/>
        </w:rPr>
        <w:t xml:space="preserve"> </w:t>
      </w:r>
      <w:r w:rsidR="004A50B5" w:rsidRPr="00D920C9">
        <w:rPr>
          <w:rFonts w:asciiTheme="minorHAnsi" w:hAnsiTheme="minorHAnsi"/>
          <w:szCs w:val="20"/>
        </w:rPr>
        <w:t>I</w:t>
      </w:r>
      <w:r w:rsidRPr="00D920C9">
        <w:rPr>
          <w:rFonts w:asciiTheme="minorHAnsi" w:hAnsiTheme="minorHAnsi"/>
          <w:szCs w:val="20"/>
        </w:rPr>
        <w:t>mpunity fosters an environme</w:t>
      </w:r>
      <w:r w:rsidR="00F97B50" w:rsidRPr="00D920C9">
        <w:rPr>
          <w:rFonts w:asciiTheme="minorHAnsi" w:hAnsiTheme="minorHAnsi"/>
          <w:szCs w:val="20"/>
        </w:rPr>
        <w:t xml:space="preserve">nt in which police violence, </w:t>
      </w:r>
      <w:r w:rsidRPr="00D920C9">
        <w:rPr>
          <w:rFonts w:asciiTheme="minorHAnsi" w:hAnsiTheme="minorHAnsi"/>
          <w:szCs w:val="20"/>
        </w:rPr>
        <w:t>abuses</w:t>
      </w:r>
      <w:r w:rsidR="00F97B50" w:rsidRPr="00D920C9">
        <w:rPr>
          <w:rFonts w:asciiTheme="minorHAnsi" w:hAnsiTheme="minorHAnsi"/>
          <w:szCs w:val="20"/>
        </w:rPr>
        <w:t xml:space="preserve">, and disparate treatment towards historically marginalized groups are tolerated. </w:t>
      </w:r>
      <w:r w:rsidR="0014598D" w:rsidRPr="00D920C9">
        <w:rPr>
          <w:rFonts w:asciiTheme="minorHAnsi" w:hAnsiTheme="minorHAnsi"/>
          <w:szCs w:val="20"/>
        </w:rPr>
        <w:t xml:space="preserve">The Commission is particularly concerned </w:t>
      </w:r>
      <w:r w:rsidR="00FB0D6D" w:rsidRPr="00D920C9">
        <w:rPr>
          <w:rFonts w:asciiTheme="minorHAnsi" w:hAnsiTheme="minorHAnsi"/>
          <w:szCs w:val="20"/>
        </w:rPr>
        <w:t>by</w:t>
      </w:r>
      <w:r w:rsidR="0014598D" w:rsidRPr="00D920C9">
        <w:rPr>
          <w:rFonts w:asciiTheme="minorHAnsi" w:hAnsiTheme="minorHAnsi"/>
          <w:szCs w:val="20"/>
        </w:rPr>
        <w:t xml:space="preserve"> the significant </w:t>
      </w:r>
      <w:r w:rsidR="0014598D" w:rsidRPr="00D920C9">
        <w:rPr>
          <w:rFonts w:asciiTheme="minorHAnsi" w:hAnsiTheme="minorHAnsi"/>
        </w:rPr>
        <w:t>number</w:t>
      </w:r>
      <w:r w:rsidR="0014598D" w:rsidRPr="00D920C9">
        <w:rPr>
          <w:rFonts w:asciiTheme="minorHAnsi" w:hAnsiTheme="minorHAnsi"/>
          <w:szCs w:val="20"/>
        </w:rPr>
        <w:t xml:space="preserve"> of incidents of police violence against African-Americans that end without convictions; </w:t>
      </w:r>
      <w:r w:rsidR="00073AE6" w:rsidRPr="00D920C9">
        <w:rPr>
          <w:rFonts w:asciiTheme="minorHAnsi" w:hAnsiTheme="minorHAnsi"/>
          <w:szCs w:val="20"/>
        </w:rPr>
        <w:t>including</w:t>
      </w:r>
      <w:r w:rsidR="0014598D" w:rsidRPr="00D920C9">
        <w:rPr>
          <w:rFonts w:asciiTheme="minorHAnsi" w:hAnsiTheme="minorHAnsi"/>
          <w:szCs w:val="20"/>
        </w:rPr>
        <w:t xml:space="preserve"> cases in which the person affected was unarmed. </w:t>
      </w:r>
      <w:r w:rsidR="004A50B5" w:rsidRPr="00D920C9">
        <w:rPr>
          <w:rFonts w:asciiTheme="minorHAnsi" w:hAnsiTheme="minorHAnsi"/>
          <w:szCs w:val="20"/>
        </w:rPr>
        <w:t xml:space="preserve">The Commission additionally notes the State’s duty to take measures to prevent and respond to violence on the part of State and non-State actors explicitly or implicitly motivated by racial bias. </w:t>
      </w:r>
    </w:p>
    <w:p w14:paraId="39112A1E" w14:textId="3CAF96A2" w:rsidR="004A50B5" w:rsidRPr="00D920C9" w:rsidRDefault="004A50B5" w:rsidP="002C64F8">
      <w:pPr>
        <w:pStyle w:val="ListParagraph"/>
        <w:numPr>
          <w:ilvl w:val="0"/>
          <w:numId w:val="9"/>
        </w:numPr>
        <w:spacing w:after="240" w:line="240" w:lineRule="auto"/>
        <w:ind w:left="547" w:hanging="547"/>
        <w:contextualSpacing w:val="0"/>
        <w:jc w:val="both"/>
        <w:rPr>
          <w:rFonts w:asciiTheme="minorHAnsi" w:hAnsiTheme="minorHAnsi"/>
          <w:szCs w:val="20"/>
        </w:rPr>
      </w:pPr>
      <w:r w:rsidRPr="00D920C9">
        <w:rPr>
          <w:rFonts w:asciiTheme="minorHAnsi" w:hAnsiTheme="minorHAnsi"/>
          <w:szCs w:val="20"/>
        </w:rPr>
        <w:t xml:space="preserve">Finally, the Commission emphasizes that </w:t>
      </w:r>
      <w:r w:rsidR="00165625" w:rsidRPr="00D920C9">
        <w:rPr>
          <w:rFonts w:asciiTheme="minorHAnsi" w:hAnsiTheme="minorHAnsi"/>
          <w:szCs w:val="20"/>
        </w:rPr>
        <w:t xml:space="preserve">due diligence in preventing </w:t>
      </w:r>
      <w:r w:rsidRPr="00D920C9">
        <w:rPr>
          <w:rFonts w:asciiTheme="minorHAnsi" w:hAnsiTheme="minorHAnsi"/>
          <w:szCs w:val="20"/>
        </w:rPr>
        <w:t xml:space="preserve">police violence </w:t>
      </w:r>
      <w:r w:rsidR="00165625" w:rsidRPr="00D920C9">
        <w:rPr>
          <w:rFonts w:asciiTheme="minorHAnsi" w:hAnsiTheme="minorHAnsi"/>
          <w:szCs w:val="20"/>
        </w:rPr>
        <w:t xml:space="preserve">against African Americans </w:t>
      </w:r>
      <w:r w:rsidRPr="00D920C9">
        <w:rPr>
          <w:rFonts w:asciiTheme="minorHAnsi" w:hAnsiTheme="minorHAnsi"/>
          <w:szCs w:val="20"/>
        </w:rPr>
        <w:t xml:space="preserve">must take a transformative approach. That is, </w:t>
      </w:r>
      <w:r w:rsidR="00165625" w:rsidRPr="00D920C9">
        <w:rPr>
          <w:rFonts w:asciiTheme="minorHAnsi" w:hAnsiTheme="minorHAnsi"/>
          <w:szCs w:val="20"/>
        </w:rPr>
        <w:t xml:space="preserve">actions to prevent police violence or </w:t>
      </w:r>
      <w:r w:rsidRPr="00D920C9">
        <w:rPr>
          <w:rFonts w:asciiTheme="minorHAnsi" w:hAnsiTheme="minorHAnsi"/>
          <w:szCs w:val="20"/>
        </w:rPr>
        <w:t>remedies or reparations</w:t>
      </w:r>
      <w:r w:rsidR="00165625" w:rsidRPr="00D920C9">
        <w:rPr>
          <w:rFonts w:asciiTheme="minorHAnsi" w:hAnsiTheme="minorHAnsi"/>
          <w:szCs w:val="20"/>
        </w:rPr>
        <w:t xml:space="preserve"> for police violence</w:t>
      </w:r>
      <w:r w:rsidRPr="00D920C9">
        <w:rPr>
          <w:rFonts w:asciiTheme="minorHAnsi" w:hAnsiTheme="minorHAnsi"/>
          <w:szCs w:val="20"/>
        </w:rPr>
        <w:t xml:space="preserve"> that have the effect</w:t>
      </w:r>
      <w:r w:rsidR="00165625" w:rsidRPr="00D920C9">
        <w:rPr>
          <w:rFonts w:asciiTheme="minorHAnsi" w:hAnsiTheme="minorHAnsi"/>
          <w:szCs w:val="20"/>
        </w:rPr>
        <w:t xml:space="preserve"> </w:t>
      </w:r>
      <w:r w:rsidRPr="00D920C9">
        <w:rPr>
          <w:rFonts w:asciiTheme="minorHAnsi" w:hAnsiTheme="minorHAnsi"/>
          <w:szCs w:val="20"/>
        </w:rPr>
        <w:t xml:space="preserve">of </w:t>
      </w:r>
      <w:r w:rsidR="00073AE6" w:rsidRPr="00D920C9">
        <w:rPr>
          <w:rFonts w:asciiTheme="minorHAnsi" w:hAnsiTheme="minorHAnsi"/>
          <w:szCs w:val="20"/>
        </w:rPr>
        <w:t>maintaining</w:t>
      </w:r>
      <w:r w:rsidR="00165625" w:rsidRPr="00D920C9">
        <w:rPr>
          <w:rFonts w:asciiTheme="minorHAnsi" w:hAnsiTheme="minorHAnsi"/>
          <w:szCs w:val="20"/>
        </w:rPr>
        <w:t xml:space="preserve"> or </w:t>
      </w:r>
      <w:r w:rsidRPr="00D920C9">
        <w:rPr>
          <w:rFonts w:asciiTheme="minorHAnsi" w:hAnsiTheme="minorHAnsi"/>
          <w:szCs w:val="20"/>
        </w:rPr>
        <w:t>reestablishing</w:t>
      </w:r>
      <w:r w:rsidR="00165625" w:rsidRPr="00D920C9">
        <w:rPr>
          <w:rFonts w:asciiTheme="minorHAnsi" w:hAnsiTheme="minorHAnsi"/>
          <w:szCs w:val="20"/>
        </w:rPr>
        <w:t xml:space="preserve"> </w:t>
      </w:r>
      <w:r w:rsidRPr="00D920C9">
        <w:rPr>
          <w:rFonts w:asciiTheme="minorHAnsi" w:hAnsiTheme="minorHAnsi"/>
          <w:szCs w:val="20"/>
        </w:rPr>
        <w:t xml:space="preserve">the </w:t>
      </w:r>
      <w:r w:rsidRPr="00D920C9">
        <w:rPr>
          <w:rFonts w:asciiTheme="minorHAnsi" w:hAnsiTheme="minorHAnsi"/>
        </w:rPr>
        <w:t>same</w:t>
      </w:r>
      <w:r w:rsidRPr="00D920C9">
        <w:rPr>
          <w:rFonts w:asciiTheme="minorHAnsi" w:hAnsiTheme="minorHAnsi"/>
          <w:szCs w:val="20"/>
        </w:rPr>
        <w:t xml:space="preserve"> structural context of violence and discrimination are not acceptable. Rather, reparations must </w:t>
      </w:r>
      <w:r w:rsidR="00073AE6" w:rsidRPr="00D920C9">
        <w:rPr>
          <w:rFonts w:asciiTheme="minorHAnsi" w:hAnsiTheme="minorHAnsi"/>
          <w:szCs w:val="20"/>
        </w:rPr>
        <w:t xml:space="preserve">aim to address and redress the </w:t>
      </w:r>
      <w:r w:rsidRPr="00D920C9">
        <w:rPr>
          <w:rFonts w:asciiTheme="minorHAnsi" w:hAnsiTheme="minorHAnsi"/>
          <w:szCs w:val="20"/>
        </w:rPr>
        <w:t>underlying situation of inequality</w:t>
      </w:r>
      <w:r w:rsidR="00AD1FC5" w:rsidRPr="00D920C9">
        <w:rPr>
          <w:rFonts w:asciiTheme="minorHAnsi" w:hAnsiTheme="minorHAnsi"/>
          <w:szCs w:val="20"/>
        </w:rPr>
        <w:t xml:space="preserve"> and the ongoing context of racial discrimination</w:t>
      </w:r>
      <w:r w:rsidRPr="00D920C9">
        <w:rPr>
          <w:rFonts w:asciiTheme="minorHAnsi" w:hAnsiTheme="minorHAnsi"/>
          <w:szCs w:val="20"/>
        </w:rPr>
        <w:t xml:space="preserve">. With </w:t>
      </w:r>
      <w:r w:rsidR="00AD1FC5" w:rsidRPr="00D920C9">
        <w:rPr>
          <w:rFonts w:asciiTheme="minorHAnsi" w:hAnsiTheme="minorHAnsi"/>
          <w:szCs w:val="20"/>
        </w:rPr>
        <w:t>these principles in mind</w:t>
      </w:r>
      <w:r w:rsidRPr="00D920C9">
        <w:rPr>
          <w:rFonts w:asciiTheme="minorHAnsi" w:hAnsiTheme="minorHAnsi"/>
          <w:szCs w:val="20"/>
        </w:rPr>
        <w:t xml:space="preserve">, key recommendations </w:t>
      </w:r>
      <w:r w:rsidR="00073AE6" w:rsidRPr="00D920C9">
        <w:rPr>
          <w:rFonts w:asciiTheme="minorHAnsi" w:hAnsiTheme="minorHAnsi"/>
          <w:szCs w:val="20"/>
        </w:rPr>
        <w:t xml:space="preserve">to the United States </w:t>
      </w:r>
      <w:r w:rsidRPr="00D920C9">
        <w:rPr>
          <w:rFonts w:asciiTheme="minorHAnsi" w:hAnsiTheme="minorHAnsi"/>
          <w:szCs w:val="20"/>
        </w:rPr>
        <w:t xml:space="preserve">include: </w:t>
      </w:r>
    </w:p>
    <w:p w14:paraId="62898AC7" w14:textId="2508B493" w:rsidR="004B2CE1" w:rsidRPr="00D920C9" w:rsidRDefault="004B2CE1" w:rsidP="002C64F8">
      <w:pPr>
        <w:pStyle w:val="ListParagraph"/>
        <w:numPr>
          <w:ilvl w:val="0"/>
          <w:numId w:val="29"/>
        </w:numPr>
        <w:spacing w:after="240" w:line="240" w:lineRule="auto"/>
        <w:ind w:left="1094" w:hanging="547"/>
        <w:contextualSpacing w:val="0"/>
        <w:jc w:val="both"/>
        <w:rPr>
          <w:rFonts w:asciiTheme="minorHAnsi" w:hAnsiTheme="minorHAnsi"/>
          <w:szCs w:val="20"/>
        </w:rPr>
      </w:pPr>
      <w:r w:rsidRPr="00D920C9">
        <w:rPr>
          <w:rFonts w:asciiTheme="minorHAnsi" w:hAnsiTheme="minorHAnsi"/>
          <w:szCs w:val="20"/>
        </w:rPr>
        <w:t>Undertake and ensure proper funding for official studies</w:t>
      </w:r>
      <w:r w:rsidR="006F5B02" w:rsidRPr="00D920C9">
        <w:rPr>
          <w:rFonts w:asciiTheme="minorHAnsi" w:hAnsiTheme="minorHAnsi"/>
          <w:szCs w:val="20"/>
        </w:rPr>
        <w:t xml:space="preserve"> on racial discrimination in the U.S.</w:t>
      </w:r>
      <w:r w:rsidRPr="00D920C9">
        <w:rPr>
          <w:rFonts w:asciiTheme="minorHAnsi" w:hAnsiTheme="minorHAnsi"/>
          <w:szCs w:val="20"/>
        </w:rPr>
        <w:t xml:space="preserve">—at the federal, state, </w:t>
      </w:r>
      <w:r w:rsidR="00B42D61" w:rsidRPr="00D920C9">
        <w:rPr>
          <w:rFonts w:asciiTheme="minorHAnsi" w:hAnsiTheme="minorHAnsi"/>
          <w:szCs w:val="20"/>
        </w:rPr>
        <w:t>and</w:t>
      </w:r>
      <w:r w:rsidRPr="00D920C9">
        <w:rPr>
          <w:rFonts w:asciiTheme="minorHAnsi" w:hAnsiTheme="minorHAnsi"/>
          <w:szCs w:val="20"/>
        </w:rPr>
        <w:t xml:space="preserve"> local level—with the goal of contributing to the establishment of the full and public trut</w:t>
      </w:r>
      <w:r w:rsidR="00073AE6" w:rsidRPr="00D920C9">
        <w:rPr>
          <w:rFonts w:asciiTheme="minorHAnsi" w:hAnsiTheme="minorHAnsi"/>
          <w:szCs w:val="20"/>
        </w:rPr>
        <w:t>h about violations, as well as</w:t>
      </w:r>
      <w:r w:rsidR="002B574C" w:rsidRPr="00D920C9">
        <w:rPr>
          <w:rFonts w:asciiTheme="minorHAnsi" w:hAnsiTheme="minorHAnsi"/>
          <w:szCs w:val="20"/>
        </w:rPr>
        <w:t xml:space="preserve"> </w:t>
      </w:r>
      <w:r w:rsidRPr="00D920C9">
        <w:rPr>
          <w:rFonts w:asciiTheme="minorHAnsi" w:hAnsiTheme="minorHAnsi"/>
          <w:szCs w:val="20"/>
        </w:rPr>
        <w:t>forward-looking public polic</w:t>
      </w:r>
      <w:r w:rsidR="00073AE6" w:rsidRPr="00D920C9">
        <w:rPr>
          <w:rFonts w:asciiTheme="minorHAnsi" w:hAnsiTheme="minorHAnsi"/>
          <w:szCs w:val="20"/>
        </w:rPr>
        <w:t>ies</w:t>
      </w:r>
      <w:r w:rsidRPr="00D920C9">
        <w:rPr>
          <w:rFonts w:asciiTheme="minorHAnsi" w:hAnsiTheme="minorHAnsi"/>
          <w:szCs w:val="20"/>
        </w:rPr>
        <w:t xml:space="preserve"> to contribute to</w:t>
      </w:r>
      <w:r w:rsidR="00073AE6" w:rsidRPr="00D920C9">
        <w:rPr>
          <w:rFonts w:asciiTheme="minorHAnsi" w:hAnsiTheme="minorHAnsi"/>
          <w:szCs w:val="20"/>
        </w:rPr>
        <w:t xml:space="preserve"> effective reparations for</w:t>
      </w:r>
      <w:r w:rsidRPr="00D920C9">
        <w:rPr>
          <w:rFonts w:asciiTheme="minorHAnsi" w:hAnsiTheme="minorHAnsi"/>
          <w:szCs w:val="20"/>
        </w:rPr>
        <w:t xml:space="preserve"> </w:t>
      </w:r>
      <w:r w:rsidR="00712727" w:rsidRPr="00D920C9">
        <w:rPr>
          <w:rFonts w:asciiTheme="minorHAnsi" w:hAnsiTheme="minorHAnsi"/>
          <w:szCs w:val="20"/>
        </w:rPr>
        <w:t>the victims, including</w:t>
      </w:r>
      <w:r w:rsidRPr="00D920C9">
        <w:rPr>
          <w:rFonts w:asciiTheme="minorHAnsi" w:hAnsiTheme="minorHAnsi"/>
          <w:szCs w:val="20"/>
        </w:rPr>
        <w:t xml:space="preserve"> satisfaction and guarantees of non-repetition</w:t>
      </w:r>
      <w:r w:rsidR="006F5B02" w:rsidRPr="00D920C9">
        <w:rPr>
          <w:rFonts w:asciiTheme="minorHAnsi" w:hAnsiTheme="minorHAnsi"/>
          <w:szCs w:val="20"/>
        </w:rPr>
        <w:t xml:space="preserve"> (Recommendation</w:t>
      </w:r>
      <w:r w:rsidR="001951ED" w:rsidRPr="00D920C9">
        <w:rPr>
          <w:rFonts w:asciiTheme="minorHAnsi" w:hAnsiTheme="minorHAnsi"/>
          <w:szCs w:val="20"/>
        </w:rPr>
        <w:t xml:space="preserve"> 1</w:t>
      </w:r>
      <w:r w:rsidR="006F5B02" w:rsidRPr="00D920C9">
        <w:rPr>
          <w:rFonts w:asciiTheme="minorHAnsi" w:hAnsiTheme="minorHAnsi"/>
          <w:szCs w:val="20"/>
        </w:rPr>
        <w:t>).</w:t>
      </w:r>
    </w:p>
    <w:p w14:paraId="519DD1E1" w14:textId="0DBAD001" w:rsidR="004B2CE1" w:rsidRPr="00D920C9" w:rsidRDefault="004B2CE1" w:rsidP="002C64F8">
      <w:pPr>
        <w:pStyle w:val="ListParagraph"/>
        <w:numPr>
          <w:ilvl w:val="0"/>
          <w:numId w:val="29"/>
        </w:numPr>
        <w:spacing w:after="240" w:line="240" w:lineRule="auto"/>
        <w:ind w:left="1080" w:hanging="540"/>
        <w:contextualSpacing w:val="0"/>
        <w:jc w:val="both"/>
        <w:rPr>
          <w:rFonts w:asciiTheme="minorHAnsi" w:hAnsiTheme="minorHAnsi"/>
          <w:szCs w:val="20"/>
        </w:rPr>
      </w:pPr>
      <w:r w:rsidRPr="00D920C9">
        <w:rPr>
          <w:rFonts w:asciiTheme="minorHAnsi" w:hAnsiTheme="minorHAnsi"/>
          <w:szCs w:val="20"/>
        </w:rPr>
        <w:t xml:space="preserve">Ensure that all federal, state, and local government entities fully comply with relevant domestic laws mandating the monitoring, oversight, and investigation of possible human </w:t>
      </w:r>
      <w:r w:rsidR="002B574C" w:rsidRPr="00D920C9">
        <w:rPr>
          <w:rFonts w:asciiTheme="minorHAnsi" w:hAnsiTheme="minorHAnsi"/>
          <w:szCs w:val="20"/>
        </w:rPr>
        <w:t xml:space="preserve">and </w:t>
      </w:r>
      <w:r w:rsidRPr="00D920C9">
        <w:rPr>
          <w:rFonts w:asciiTheme="minorHAnsi" w:hAnsiTheme="minorHAnsi"/>
          <w:szCs w:val="20"/>
        </w:rPr>
        <w:t>civil rights violations by State actors, such as police departments, as well as private individuals</w:t>
      </w:r>
      <w:r w:rsidR="001951ED" w:rsidRPr="00D920C9">
        <w:rPr>
          <w:rFonts w:asciiTheme="minorHAnsi" w:hAnsiTheme="minorHAnsi"/>
          <w:szCs w:val="20"/>
        </w:rPr>
        <w:t xml:space="preserve"> (Rec. 5</w:t>
      </w:r>
      <w:r w:rsidR="006F5B02" w:rsidRPr="00D920C9">
        <w:rPr>
          <w:rFonts w:asciiTheme="minorHAnsi" w:hAnsiTheme="minorHAnsi"/>
          <w:szCs w:val="20"/>
        </w:rPr>
        <w:t>)</w:t>
      </w:r>
      <w:r w:rsidRPr="00D920C9">
        <w:rPr>
          <w:rFonts w:asciiTheme="minorHAnsi" w:hAnsiTheme="minorHAnsi"/>
          <w:szCs w:val="20"/>
        </w:rPr>
        <w:t>.</w:t>
      </w:r>
    </w:p>
    <w:p w14:paraId="2E89798F" w14:textId="6F41C782" w:rsidR="0072065E" w:rsidRPr="00D920C9" w:rsidRDefault="0072065E" w:rsidP="002C64F8">
      <w:pPr>
        <w:pStyle w:val="ListParagraph"/>
        <w:numPr>
          <w:ilvl w:val="0"/>
          <w:numId w:val="29"/>
        </w:numPr>
        <w:spacing w:after="240" w:line="240" w:lineRule="auto"/>
        <w:ind w:left="1080" w:hanging="540"/>
        <w:contextualSpacing w:val="0"/>
        <w:jc w:val="both"/>
        <w:rPr>
          <w:rFonts w:asciiTheme="minorHAnsi" w:hAnsiTheme="minorHAnsi"/>
          <w:szCs w:val="20"/>
        </w:rPr>
      </w:pPr>
      <w:r w:rsidRPr="00D920C9">
        <w:rPr>
          <w:rFonts w:asciiTheme="minorHAnsi" w:hAnsiTheme="minorHAnsi"/>
          <w:szCs w:val="20"/>
        </w:rPr>
        <w:t>Create independent ombudsperson offices at the state and local levels to receive and take action regarding complaints about di</w:t>
      </w:r>
      <w:r w:rsidR="001951ED" w:rsidRPr="00D920C9">
        <w:rPr>
          <w:rFonts w:asciiTheme="minorHAnsi" w:hAnsiTheme="minorHAnsi"/>
          <w:szCs w:val="20"/>
        </w:rPr>
        <w:t>scriminatory treatment (Rec.  12</w:t>
      </w:r>
      <w:r w:rsidRPr="00D920C9">
        <w:rPr>
          <w:rFonts w:asciiTheme="minorHAnsi" w:hAnsiTheme="minorHAnsi"/>
          <w:szCs w:val="20"/>
        </w:rPr>
        <w:t>).</w:t>
      </w:r>
    </w:p>
    <w:p w14:paraId="6B092E1A" w14:textId="4FFAFC2F" w:rsidR="004F3CBE" w:rsidRPr="00D920C9" w:rsidRDefault="004704C3" w:rsidP="002C64F8">
      <w:pPr>
        <w:pStyle w:val="ListParagraph"/>
        <w:numPr>
          <w:ilvl w:val="0"/>
          <w:numId w:val="29"/>
        </w:numPr>
        <w:spacing w:after="240" w:line="240" w:lineRule="auto"/>
        <w:ind w:left="1080" w:hanging="540"/>
        <w:contextualSpacing w:val="0"/>
        <w:jc w:val="both"/>
        <w:rPr>
          <w:rFonts w:asciiTheme="minorHAnsi" w:hAnsiTheme="minorHAnsi"/>
          <w:szCs w:val="20"/>
        </w:rPr>
      </w:pPr>
      <w:r w:rsidRPr="00D920C9">
        <w:rPr>
          <w:rFonts w:asciiTheme="minorHAnsi" w:hAnsiTheme="minorHAnsi"/>
          <w:szCs w:val="20"/>
        </w:rPr>
        <w:t xml:space="preserve">Take the necessary steps to reform domestic law—both federal and state—to bring it in line with international law </w:t>
      </w:r>
      <w:r w:rsidR="00071962" w:rsidRPr="00D920C9">
        <w:rPr>
          <w:rFonts w:asciiTheme="minorHAnsi" w:hAnsiTheme="minorHAnsi"/>
          <w:szCs w:val="20"/>
        </w:rPr>
        <w:t>as regards</w:t>
      </w:r>
      <w:r w:rsidR="004B2CE1" w:rsidRPr="00D920C9">
        <w:rPr>
          <w:rFonts w:asciiTheme="minorHAnsi" w:hAnsiTheme="minorHAnsi"/>
          <w:szCs w:val="20"/>
        </w:rPr>
        <w:t xml:space="preserve"> </w:t>
      </w:r>
      <w:r w:rsidR="00071962" w:rsidRPr="00D920C9">
        <w:rPr>
          <w:rFonts w:asciiTheme="minorHAnsi" w:hAnsiTheme="minorHAnsi"/>
          <w:szCs w:val="20"/>
        </w:rPr>
        <w:t xml:space="preserve">the </w:t>
      </w:r>
      <w:r w:rsidR="004F3CBE" w:rsidRPr="00D920C9">
        <w:rPr>
          <w:rFonts w:asciiTheme="minorHAnsi" w:hAnsiTheme="minorHAnsi"/>
          <w:szCs w:val="20"/>
        </w:rPr>
        <w:t>use o</w:t>
      </w:r>
      <w:r w:rsidR="00221C3C" w:rsidRPr="00D920C9">
        <w:rPr>
          <w:rFonts w:asciiTheme="minorHAnsi" w:hAnsiTheme="minorHAnsi"/>
          <w:szCs w:val="20"/>
        </w:rPr>
        <w:t xml:space="preserve">f </w:t>
      </w:r>
      <w:r w:rsidR="00221C3C" w:rsidRPr="00D920C9">
        <w:rPr>
          <w:rFonts w:asciiTheme="minorHAnsi" w:hAnsiTheme="minorHAnsi"/>
          <w:szCs w:val="20"/>
        </w:rPr>
        <w:lastRenderedPageBreak/>
        <w:t>force and use of deadly force</w:t>
      </w:r>
      <w:r w:rsidRPr="00D920C9">
        <w:rPr>
          <w:rFonts w:asciiTheme="minorHAnsi" w:hAnsiTheme="minorHAnsi"/>
          <w:szCs w:val="20"/>
        </w:rPr>
        <w:t xml:space="preserve">, respecting the principles of </w:t>
      </w:r>
      <w:r w:rsidR="00B42D61" w:rsidRPr="00D920C9">
        <w:rPr>
          <w:rFonts w:asciiTheme="minorHAnsi" w:hAnsiTheme="minorHAnsi"/>
          <w:szCs w:val="20"/>
        </w:rPr>
        <w:t xml:space="preserve">legality, absolute necessity, and proportionality </w:t>
      </w:r>
      <w:r w:rsidR="001951ED" w:rsidRPr="00D920C9">
        <w:rPr>
          <w:rFonts w:asciiTheme="minorHAnsi" w:hAnsiTheme="minorHAnsi"/>
          <w:szCs w:val="20"/>
        </w:rPr>
        <w:t>(Rec.  13</w:t>
      </w:r>
      <w:r w:rsidR="004F3CBE" w:rsidRPr="00D920C9">
        <w:rPr>
          <w:rFonts w:asciiTheme="minorHAnsi" w:hAnsiTheme="minorHAnsi"/>
          <w:szCs w:val="20"/>
        </w:rPr>
        <w:t>).</w:t>
      </w:r>
    </w:p>
    <w:p w14:paraId="5A3A7C67" w14:textId="16C6A4E6" w:rsidR="00712727" w:rsidRPr="00D920C9" w:rsidRDefault="00712727" w:rsidP="002C64F8">
      <w:pPr>
        <w:pStyle w:val="ListParagraph"/>
        <w:numPr>
          <w:ilvl w:val="0"/>
          <w:numId w:val="29"/>
        </w:numPr>
        <w:spacing w:after="240" w:line="240" w:lineRule="auto"/>
        <w:ind w:left="1080" w:hanging="540"/>
        <w:contextualSpacing w:val="0"/>
        <w:jc w:val="both"/>
        <w:rPr>
          <w:rFonts w:asciiTheme="minorHAnsi" w:hAnsiTheme="minorHAnsi"/>
          <w:szCs w:val="20"/>
        </w:rPr>
      </w:pPr>
      <w:r w:rsidRPr="00D920C9">
        <w:rPr>
          <w:rFonts w:asciiTheme="minorHAnsi" w:hAnsiTheme="minorHAnsi"/>
          <w:szCs w:val="20"/>
        </w:rPr>
        <w:t>Create a federal database to track incidents involving police use of force by all law enforcement agencies in a transparent, uniform, and public manner, including disaggregated data on demographics of all victim</w:t>
      </w:r>
      <w:r w:rsidR="001951ED" w:rsidRPr="00D920C9">
        <w:rPr>
          <w:rFonts w:asciiTheme="minorHAnsi" w:hAnsiTheme="minorHAnsi"/>
          <w:szCs w:val="20"/>
        </w:rPr>
        <w:t>s and officers involved (Rec.  20</w:t>
      </w:r>
      <w:r w:rsidRPr="00D920C9">
        <w:rPr>
          <w:rFonts w:asciiTheme="minorHAnsi" w:hAnsiTheme="minorHAnsi"/>
          <w:szCs w:val="20"/>
        </w:rPr>
        <w:t>).</w:t>
      </w:r>
    </w:p>
    <w:p w14:paraId="10C3570F" w14:textId="2F68824B" w:rsidR="00712727" w:rsidRPr="00D920C9" w:rsidRDefault="00712727" w:rsidP="002C64F8">
      <w:pPr>
        <w:pStyle w:val="ListParagraph"/>
        <w:numPr>
          <w:ilvl w:val="0"/>
          <w:numId w:val="29"/>
        </w:numPr>
        <w:spacing w:after="240" w:line="240" w:lineRule="auto"/>
        <w:ind w:left="1080" w:hanging="540"/>
        <w:contextualSpacing w:val="0"/>
        <w:jc w:val="both"/>
        <w:rPr>
          <w:rFonts w:asciiTheme="minorHAnsi" w:hAnsiTheme="minorHAnsi"/>
          <w:szCs w:val="20"/>
        </w:rPr>
      </w:pPr>
      <w:r w:rsidRPr="00D920C9">
        <w:rPr>
          <w:rFonts w:asciiTheme="minorHAnsi" w:hAnsiTheme="minorHAnsi"/>
          <w:szCs w:val="20"/>
        </w:rPr>
        <w:t>Ensure the prompt, thorough, independent, impartial, and effective investigation of incidents of excessive use of force and police killings, ensuring the investigation of all potentially responsible parties and, as relevant, their appropriate prosecution and puni</w:t>
      </w:r>
      <w:r w:rsidR="001951ED" w:rsidRPr="00D920C9">
        <w:rPr>
          <w:rFonts w:asciiTheme="minorHAnsi" w:hAnsiTheme="minorHAnsi"/>
          <w:szCs w:val="20"/>
        </w:rPr>
        <w:t>shment (Rec.  21</w:t>
      </w:r>
      <w:r w:rsidRPr="00D920C9">
        <w:rPr>
          <w:rFonts w:asciiTheme="minorHAnsi" w:hAnsiTheme="minorHAnsi"/>
          <w:szCs w:val="20"/>
        </w:rPr>
        <w:t>).</w:t>
      </w:r>
    </w:p>
    <w:p w14:paraId="30EF938C" w14:textId="3865E3FD" w:rsidR="00712727" w:rsidRPr="00D920C9" w:rsidRDefault="00712727" w:rsidP="002C64F8">
      <w:pPr>
        <w:pStyle w:val="ListParagraph"/>
        <w:numPr>
          <w:ilvl w:val="0"/>
          <w:numId w:val="29"/>
        </w:numPr>
        <w:spacing w:after="240" w:line="240" w:lineRule="auto"/>
        <w:ind w:left="1080" w:hanging="540"/>
        <w:contextualSpacing w:val="0"/>
        <w:jc w:val="both"/>
        <w:rPr>
          <w:rFonts w:asciiTheme="minorHAnsi" w:hAnsiTheme="minorHAnsi"/>
          <w:szCs w:val="20"/>
        </w:rPr>
      </w:pPr>
      <w:r w:rsidRPr="00D920C9">
        <w:rPr>
          <w:rFonts w:asciiTheme="minorHAnsi" w:hAnsiTheme="minorHAnsi"/>
          <w:szCs w:val="20"/>
        </w:rPr>
        <w:t>Remove all de facto and legal obstacles in internal investigations, criminal proceedings, civil proceedings, and federal investigations that maintain impunity for cas</w:t>
      </w:r>
      <w:r w:rsidR="004437A7" w:rsidRPr="00D920C9">
        <w:rPr>
          <w:rFonts w:asciiTheme="minorHAnsi" w:hAnsiTheme="minorHAnsi"/>
          <w:szCs w:val="20"/>
        </w:rPr>
        <w:t>es of police killings (Rec. 22</w:t>
      </w:r>
      <w:r w:rsidRPr="00D920C9">
        <w:rPr>
          <w:rFonts w:asciiTheme="minorHAnsi" w:hAnsiTheme="minorHAnsi"/>
          <w:szCs w:val="20"/>
        </w:rPr>
        <w:t xml:space="preserve">), and ensure the effective and proportional punishment of police officers who commit </w:t>
      </w:r>
      <w:r w:rsidR="008F6EBF" w:rsidRPr="00D920C9">
        <w:rPr>
          <w:rFonts w:asciiTheme="minorHAnsi" w:hAnsiTheme="minorHAnsi"/>
          <w:szCs w:val="20"/>
        </w:rPr>
        <w:t>crimes</w:t>
      </w:r>
      <w:r w:rsidR="002B574C" w:rsidRPr="00D920C9">
        <w:rPr>
          <w:rFonts w:asciiTheme="minorHAnsi" w:hAnsiTheme="minorHAnsi"/>
          <w:szCs w:val="20"/>
        </w:rPr>
        <w:t xml:space="preserve"> or </w:t>
      </w:r>
      <w:r w:rsidR="004437A7" w:rsidRPr="00D920C9">
        <w:rPr>
          <w:rFonts w:asciiTheme="minorHAnsi" w:hAnsiTheme="minorHAnsi"/>
          <w:szCs w:val="20"/>
        </w:rPr>
        <w:t>misconduct (Rec. 22</w:t>
      </w:r>
      <w:r w:rsidRPr="00D920C9">
        <w:rPr>
          <w:rFonts w:asciiTheme="minorHAnsi" w:hAnsiTheme="minorHAnsi"/>
          <w:szCs w:val="20"/>
        </w:rPr>
        <w:t>).</w:t>
      </w:r>
    </w:p>
    <w:p w14:paraId="71FC2511" w14:textId="1201148F" w:rsidR="00712727" w:rsidRPr="00D920C9" w:rsidRDefault="00712727" w:rsidP="002C64F8">
      <w:pPr>
        <w:pStyle w:val="ListParagraph"/>
        <w:numPr>
          <w:ilvl w:val="0"/>
          <w:numId w:val="29"/>
        </w:numPr>
        <w:spacing w:after="240" w:line="240" w:lineRule="auto"/>
        <w:ind w:left="1080" w:hanging="540"/>
        <w:contextualSpacing w:val="0"/>
        <w:jc w:val="both"/>
        <w:rPr>
          <w:rFonts w:asciiTheme="minorHAnsi" w:hAnsiTheme="minorHAnsi"/>
          <w:szCs w:val="20"/>
        </w:rPr>
      </w:pPr>
      <w:r w:rsidRPr="00D920C9">
        <w:rPr>
          <w:rFonts w:asciiTheme="minorHAnsi" w:hAnsiTheme="minorHAnsi"/>
          <w:szCs w:val="20"/>
        </w:rPr>
        <w:t>Take effective measures to prevent and combat the stigmatization and criminalization of protesters, in particular where such stigmatization or criminalization may be racially discriminatory in nature, and fully guarantee the right to</w:t>
      </w:r>
      <w:r w:rsidR="004437A7" w:rsidRPr="00D920C9">
        <w:rPr>
          <w:rFonts w:asciiTheme="minorHAnsi" w:hAnsiTheme="minorHAnsi"/>
          <w:szCs w:val="20"/>
        </w:rPr>
        <w:t xml:space="preserve"> freedom of expression (Rec.  19</w:t>
      </w:r>
      <w:r w:rsidRPr="00D920C9">
        <w:rPr>
          <w:rFonts w:asciiTheme="minorHAnsi" w:hAnsiTheme="minorHAnsi"/>
          <w:szCs w:val="20"/>
        </w:rPr>
        <w:t>).</w:t>
      </w:r>
    </w:p>
    <w:p w14:paraId="7126FAC1" w14:textId="0869CEBD" w:rsidR="0072065E" w:rsidRPr="00D920C9" w:rsidRDefault="00712727" w:rsidP="002C64F8">
      <w:pPr>
        <w:pStyle w:val="ListParagraph"/>
        <w:numPr>
          <w:ilvl w:val="0"/>
          <w:numId w:val="29"/>
        </w:numPr>
        <w:spacing w:after="240" w:line="240" w:lineRule="auto"/>
        <w:ind w:left="1080" w:hanging="540"/>
        <w:contextualSpacing w:val="0"/>
        <w:jc w:val="both"/>
        <w:rPr>
          <w:rFonts w:asciiTheme="minorHAnsi" w:hAnsiTheme="minorHAnsi"/>
          <w:szCs w:val="20"/>
        </w:rPr>
      </w:pPr>
      <w:r w:rsidRPr="00D920C9">
        <w:rPr>
          <w:rFonts w:asciiTheme="minorHAnsi" w:hAnsiTheme="minorHAnsi"/>
          <w:szCs w:val="20"/>
        </w:rPr>
        <w:t>Take the necessary steps to reform domestic law—both federal and state—to bring it in line with international law as regards the obligation to prohibit and sanction both facial discrimination and the disparate impact of facially neu</w:t>
      </w:r>
      <w:r w:rsidR="004437A7" w:rsidRPr="00D920C9">
        <w:rPr>
          <w:rFonts w:asciiTheme="minorHAnsi" w:hAnsiTheme="minorHAnsi"/>
          <w:szCs w:val="20"/>
        </w:rPr>
        <w:t>tral laws and policies (Rec.  7</w:t>
      </w:r>
      <w:r w:rsidRPr="00D920C9">
        <w:rPr>
          <w:rFonts w:asciiTheme="minorHAnsi" w:hAnsiTheme="minorHAnsi"/>
          <w:szCs w:val="20"/>
        </w:rPr>
        <w:t xml:space="preserve">). </w:t>
      </w:r>
    </w:p>
    <w:p w14:paraId="7F6EA86F" w14:textId="77BB7794" w:rsidR="004B2CE1" w:rsidRPr="00D920C9" w:rsidRDefault="004437A7" w:rsidP="002C64F8">
      <w:pPr>
        <w:pStyle w:val="ListParagraph"/>
        <w:numPr>
          <w:ilvl w:val="0"/>
          <w:numId w:val="29"/>
        </w:numPr>
        <w:spacing w:after="240" w:line="240" w:lineRule="auto"/>
        <w:ind w:left="1080" w:hanging="540"/>
        <w:contextualSpacing w:val="0"/>
        <w:jc w:val="both"/>
        <w:rPr>
          <w:rFonts w:asciiTheme="minorHAnsi" w:hAnsiTheme="minorHAnsi"/>
          <w:szCs w:val="20"/>
        </w:rPr>
      </w:pPr>
      <w:r w:rsidRPr="00D920C9">
        <w:rPr>
          <w:rFonts w:asciiTheme="minorHAnsi" w:hAnsiTheme="minorHAnsi"/>
          <w:szCs w:val="20"/>
        </w:rPr>
        <w:t>Take steps to reverse the effect</w:t>
      </w:r>
      <w:r w:rsidR="004B2CE1" w:rsidRPr="00D920C9">
        <w:rPr>
          <w:rFonts w:asciiTheme="minorHAnsi" w:hAnsiTheme="minorHAnsi"/>
          <w:szCs w:val="20"/>
        </w:rPr>
        <w:t xml:space="preserve"> of policies with racially disparate impacts</w:t>
      </w:r>
      <w:r w:rsidR="0072065E" w:rsidRPr="00D920C9">
        <w:rPr>
          <w:rFonts w:asciiTheme="minorHAnsi" w:hAnsiTheme="minorHAnsi"/>
          <w:szCs w:val="20"/>
        </w:rPr>
        <w:t xml:space="preserve"> </w:t>
      </w:r>
      <w:r w:rsidRPr="00D920C9">
        <w:rPr>
          <w:rFonts w:asciiTheme="minorHAnsi" w:hAnsiTheme="minorHAnsi"/>
          <w:szCs w:val="20"/>
        </w:rPr>
        <w:t>(Rec.  11</w:t>
      </w:r>
      <w:r w:rsidR="006F5B02" w:rsidRPr="00D920C9">
        <w:rPr>
          <w:rFonts w:asciiTheme="minorHAnsi" w:hAnsiTheme="minorHAnsi"/>
          <w:szCs w:val="20"/>
        </w:rPr>
        <w:t>)</w:t>
      </w:r>
      <w:r w:rsidR="004B2CE1" w:rsidRPr="00D920C9">
        <w:rPr>
          <w:rFonts w:asciiTheme="minorHAnsi" w:hAnsiTheme="minorHAnsi"/>
          <w:szCs w:val="20"/>
        </w:rPr>
        <w:t>.</w:t>
      </w:r>
    </w:p>
    <w:p w14:paraId="5340A0EF" w14:textId="15916085" w:rsidR="00EF6ABA" w:rsidRPr="00D920C9" w:rsidRDefault="004704C3" w:rsidP="002C64F8">
      <w:pPr>
        <w:pStyle w:val="ListParagraph"/>
        <w:numPr>
          <w:ilvl w:val="0"/>
          <w:numId w:val="9"/>
        </w:numPr>
        <w:spacing w:after="240" w:line="240" w:lineRule="auto"/>
        <w:ind w:left="547" w:hanging="547"/>
        <w:contextualSpacing w:val="0"/>
        <w:jc w:val="both"/>
        <w:rPr>
          <w:rFonts w:asciiTheme="minorHAnsi" w:hAnsiTheme="minorHAnsi"/>
          <w:szCs w:val="20"/>
        </w:rPr>
      </w:pPr>
      <w:r w:rsidRPr="00D920C9">
        <w:rPr>
          <w:rFonts w:asciiTheme="minorHAnsi" w:hAnsiTheme="minorHAnsi"/>
          <w:szCs w:val="20"/>
        </w:rPr>
        <w:t xml:space="preserve">The </w:t>
      </w:r>
      <w:r w:rsidR="004905CF" w:rsidRPr="00D920C9">
        <w:rPr>
          <w:rFonts w:asciiTheme="minorHAnsi" w:hAnsiTheme="minorHAnsi"/>
          <w:szCs w:val="20"/>
        </w:rPr>
        <w:t>IACHR</w:t>
      </w:r>
      <w:r w:rsidRPr="00D920C9">
        <w:rPr>
          <w:rFonts w:asciiTheme="minorHAnsi" w:hAnsiTheme="minorHAnsi"/>
          <w:szCs w:val="20"/>
        </w:rPr>
        <w:t xml:space="preserve"> expresses its thanks to the State </w:t>
      </w:r>
      <w:r w:rsidR="004437A7" w:rsidRPr="00D920C9">
        <w:rPr>
          <w:rFonts w:asciiTheme="minorHAnsi" w:hAnsiTheme="minorHAnsi"/>
          <w:szCs w:val="20"/>
        </w:rPr>
        <w:t xml:space="preserve">for its engagement with the Commission on this issue and </w:t>
      </w:r>
      <w:r w:rsidRPr="00D920C9">
        <w:rPr>
          <w:rFonts w:asciiTheme="minorHAnsi" w:hAnsiTheme="minorHAnsi"/>
          <w:szCs w:val="20"/>
        </w:rPr>
        <w:t>for facili</w:t>
      </w:r>
      <w:r w:rsidR="004437A7" w:rsidRPr="00D920C9">
        <w:rPr>
          <w:rFonts w:asciiTheme="minorHAnsi" w:hAnsiTheme="minorHAnsi"/>
          <w:szCs w:val="20"/>
        </w:rPr>
        <w:t>tating its visit to the U.S.</w:t>
      </w:r>
      <w:r w:rsidRPr="00D920C9">
        <w:rPr>
          <w:rFonts w:asciiTheme="minorHAnsi" w:hAnsiTheme="minorHAnsi"/>
          <w:szCs w:val="20"/>
        </w:rPr>
        <w:t xml:space="preserve">, as well as to members of civil society, </w:t>
      </w:r>
      <w:r w:rsidR="004905CF" w:rsidRPr="00D920C9">
        <w:rPr>
          <w:rFonts w:asciiTheme="minorHAnsi" w:hAnsiTheme="minorHAnsi"/>
          <w:szCs w:val="20"/>
        </w:rPr>
        <w:t xml:space="preserve">the academic sector, </w:t>
      </w:r>
      <w:r w:rsidRPr="00D920C9">
        <w:rPr>
          <w:rFonts w:asciiTheme="minorHAnsi" w:hAnsiTheme="minorHAnsi"/>
          <w:szCs w:val="20"/>
        </w:rPr>
        <w:t>victims of police violence and racial discrimination, and their family members for their willingness to share information and collaborate in the search for solutions to this entrenched human rights issue.</w:t>
      </w:r>
    </w:p>
    <w:p w14:paraId="716ADF57" w14:textId="77777777" w:rsidR="001D6578" w:rsidRPr="00D920C9" w:rsidRDefault="001D6578" w:rsidP="00007A36">
      <w:pPr>
        <w:pStyle w:val="Heading1"/>
        <w:sectPr w:rsidR="001D6578" w:rsidRPr="00D920C9" w:rsidSect="003D7958">
          <w:headerReference w:type="even" r:id="rId16"/>
          <w:headerReference w:type="default" r:id="rId17"/>
          <w:footerReference w:type="even" r:id="rId18"/>
          <w:footerReference w:type="default" r:id="rId19"/>
          <w:type w:val="oddPage"/>
          <w:pgSz w:w="10080" w:h="14400" w:code="13"/>
          <w:pgMar w:top="1152" w:right="1152" w:bottom="1152" w:left="1296" w:header="720" w:footer="720" w:gutter="0"/>
          <w:cols w:space="708"/>
          <w:docGrid w:linePitch="360"/>
        </w:sectPr>
      </w:pPr>
      <w:bookmarkStart w:id="4" w:name="_Toc511837798"/>
    </w:p>
    <w:p w14:paraId="7479F7AE" w14:textId="7B4407F7" w:rsidR="00A0401B" w:rsidRPr="00A0401B" w:rsidRDefault="00A0401B" w:rsidP="00007A36">
      <w:pPr>
        <w:pStyle w:val="CAP1"/>
      </w:pPr>
      <w:bookmarkStart w:id="5" w:name="_Toc511902971"/>
      <w:bookmarkStart w:id="6" w:name="_Toc517687901"/>
      <w:r w:rsidRPr="00A0401B">
        <w:lastRenderedPageBreak/>
        <w:t>CHAPTER 1</w:t>
      </w:r>
    </w:p>
    <w:p w14:paraId="64E9E005" w14:textId="4DED0167" w:rsidR="00A0401B" w:rsidRPr="00A0401B" w:rsidRDefault="00A0401B" w:rsidP="00A0401B">
      <w:pPr>
        <w:pStyle w:val="CAP2"/>
        <w:sectPr w:rsidR="00A0401B" w:rsidRPr="00A0401B" w:rsidSect="00A0401B">
          <w:headerReference w:type="default" r:id="rId20"/>
          <w:footerReference w:type="default" r:id="rId21"/>
          <w:headerReference w:type="first" r:id="rId22"/>
          <w:type w:val="oddPage"/>
          <w:pgSz w:w="10080" w:h="14400" w:code="13"/>
          <w:pgMar w:top="1152" w:right="1152" w:bottom="1152" w:left="1296" w:header="720" w:footer="720" w:gutter="0"/>
          <w:cols w:space="708"/>
          <w:vAlign w:val="center"/>
          <w:docGrid w:linePitch="360"/>
        </w:sectPr>
      </w:pPr>
      <w:r w:rsidRPr="00A0401B">
        <w:t>INTRODUCTION</w:t>
      </w:r>
    </w:p>
    <w:p w14:paraId="2C0709BD" w14:textId="7E44A25C" w:rsidR="004B083B" w:rsidRPr="00D920C9" w:rsidRDefault="00EE32CD" w:rsidP="00007A36">
      <w:pPr>
        <w:pStyle w:val="Heading1"/>
      </w:pPr>
      <w:r w:rsidRPr="00D920C9">
        <w:lastRenderedPageBreak/>
        <w:t>INTRODUCTION</w:t>
      </w:r>
      <w:bookmarkEnd w:id="4"/>
      <w:bookmarkEnd w:id="5"/>
      <w:bookmarkEnd w:id="6"/>
    </w:p>
    <w:p w14:paraId="250D5853" w14:textId="77777777" w:rsidR="002B4344" w:rsidRPr="00D920C9" w:rsidRDefault="00CF5ABF" w:rsidP="002C64F8">
      <w:pPr>
        <w:pStyle w:val="ListParagraph"/>
        <w:numPr>
          <w:ilvl w:val="0"/>
          <w:numId w:val="9"/>
        </w:numPr>
        <w:spacing w:after="240" w:line="240" w:lineRule="auto"/>
        <w:ind w:left="547" w:hanging="547"/>
        <w:contextualSpacing w:val="0"/>
        <w:jc w:val="both"/>
        <w:rPr>
          <w:rFonts w:asciiTheme="minorHAnsi" w:hAnsiTheme="minorHAnsi"/>
          <w:szCs w:val="20"/>
        </w:rPr>
      </w:pPr>
      <w:r w:rsidRPr="00D920C9">
        <w:rPr>
          <w:rFonts w:asciiTheme="minorHAnsi" w:hAnsiTheme="minorHAnsi"/>
        </w:rPr>
        <w:t>Information received by the Inter-American Commission on Human Rights</w:t>
      </w:r>
      <w:r w:rsidR="005A142D" w:rsidRPr="00D920C9">
        <w:rPr>
          <w:rFonts w:asciiTheme="minorHAnsi" w:hAnsiTheme="minorHAnsi"/>
        </w:rPr>
        <w:t xml:space="preserve"> </w:t>
      </w:r>
      <w:r w:rsidRPr="00D920C9">
        <w:rPr>
          <w:rFonts w:asciiTheme="minorHAnsi" w:eastAsia="Calibri" w:hAnsiTheme="minorHAnsi"/>
        </w:rPr>
        <w:t xml:space="preserve">(hereinafter, the “Inter-American Commission,” or “IACHR”) </w:t>
      </w:r>
      <w:r w:rsidR="0077727D" w:rsidRPr="00D920C9">
        <w:rPr>
          <w:rFonts w:asciiTheme="minorHAnsi" w:hAnsiTheme="minorHAnsi"/>
        </w:rPr>
        <w:t>reveals an al</w:t>
      </w:r>
      <w:r w:rsidR="00EA5B81" w:rsidRPr="00D920C9">
        <w:rPr>
          <w:rFonts w:asciiTheme="minorHAnsi" w:hAnsiTheme="minorHAnsi"/>
        </w:rPr>
        <w:t xml:space="preserve">arming historical </w:t>
      </w:r>
      <w:r w:rsidR="005A142D" w:rsidRPr="00D920C9">
        <w:rPr>
          <w:rFonts w:asciiTheme="minorHAnsi" w:hAnsiTheme="minorHAnsi"/>
        </w:rPr>
        <w:t>s</w:t>
      </w:r>
      <w:r w:rsidRPr="00D920C9">
        <w:rPr>
          <w:rFonts w:asciiTheme="minorHAnsi" w:hAnsiTheme="minorHAnsi"/>
        </w:rPr>
        <w:t>cenario in the United States of discriminatory policing practices and racial disparit</w:t>
      </w:r>
      <w:r w:rsidR="00672C86" w:rsidRPr="00D920C9">
        <w:rPr>
          <w:rFonts w:asciiTheme="minorHAnsi" w:hAnsiTheme="minorHAnsi"/>
        </w:rPr>
        <w:t>ies</w:t>
      </w:r>
      <w:r w:rsidRPr="00D920C9">
        <w:rPr>
          <w:rFonts w:asciiTheme="minorHAnsi" w:hAnsiTheme="minorHAnsi"/>
        </w:rPr>
        <w:t xml:space="preserve"> in the criminal justice system</w:t>
      </w:r>
      <w:r w:rsidR="004D03E8" w:rsidRPr="00D920C9">
        <w:rPr>
          <w:rFonts w:asciiTheme="minorHAnsi" w:hAnsiTheme="minorHAnsi"/>
        </w:rPr>
        <w:t>. African</w:t>
      </w:r>
      <w:r w:rsidR="0030356C" w:rsidRPr="00D920C9">
        <w:rPr>
          <w:rFonts w:asciiTheme="minorHAnsi" w:hAnsiTheme="minorHAnsi"/>
        </w:rPr>
        <w:t xml:space="preserve"> </w:t>
      </w:r>
      <w:r w:rsidR="004D03E8" w:rsidRPr="00D920C9">
        <w:rPr>
          <w:rFonts w:asciiTheme="minorHAnsi" w:hAnsiTheme="minorHAnsi"/>
        </w:rPr>
        <w:t>Americans</w:t>
      </w:r>
      <w:r w:rsidR="008C7950" w:rsidRPr="00D920C9">
        <w:rPr>
          <w:rStyle w:val="FootnoteReference"/>
          <w:rFonts w:asciiTheme="minorHAnsi" w:hAnsiTheme="minorHAnsi"/>
        </w:rPr>
        <w:footnoteReference w:id="1"/>
      </w:r>
      <w:r w:rsidR="004D03E8" w:rsidRPr="00D920C9">
        <w:rPr>
          <w:rFonts w:asciiTheme="minorHAnsi" w:hAnsiTheme="minorHAnsi"/>
        </w:rPr>
        <w:t xml:space="preserve"> are </w:t>
      </w:r>
      <w:r w:rsidR="004D03E8" w:rsidRPr="00D920C9">
        <w:rPr>
          <w:rFonts w:asciiTheme="minorHAnsi" w:hAnsiTheme="minorHAnsi"/>
          <w:szCs w:val="20"/>
        </w:rPr>
        <w:t xml:space="preserve">consistently targeted </w:t>
      </w:r>
      <w:r w:rsidRPr="00D920C9">
        <w:rPr>
          <w:rFonts w:asciiTheme="minorHAnsi" w:hAnsiTheme="minorHAnsi"/>
          <w:szCs w:val="20"/>
        </w:rPr>
        <w:t>on the basis of race</w:t>
      </w:r>
      <w:r w:rsidR="004C3E1C" w:rsidRPr="00D920C9">
        <w:rPr>
          <w:rFonts w:asciiTheme="minorHAnsi" w:hAnsiTheme="minorHAnsi"/>
          <w:szCs w:val="20"/>
          <w:vertAlign w:val="superscript"/>
        </w:rPr>
        <w:footnoteReference w:id="2"/>
      </w:r>
      <w:r w:rsidR="006A4BA9" w:rsidRPr="00D920C9">
        <w:rPr>
          <w:rFonts w:asciiTheme="minorHAnsi" w:hAnsiTheme="minorHAnsi"/>
          <w:szCs w:val="20"/>
        </w:rPr>
        <w:t xml:space="preserve"> </w:t>
      </w:r>
      <w:r w:rsidR="003E5ACA" w:rsidRPr="00D920C9">
        <w:rPr>
          <w:rFonts w:asciiTheme="minorHAnsi" w:hAnsiTheme="minorHAnsi"/>
          <w:szCs w:val="20"/>
        </w:rPr>
        <w:t>for searches and arrests</w:t>
      </w:r>
      <w:r w:rsidR="008C7950" w:rsidRPr="00D920C9">
        <w:rPr>
          <w:rFonts w:asciiTheme="minorHAnsi" w:hAnsiTheme="minorHAnsi"/>
          <w:szCs w:val="20"/>
        </w:rPr>
        <w:t xml:space="preserve"> (racial profiling)</w:t>
      </w:r>
      <w:r w:rsidR="003E5ACA" w:rsidRPr="00D920C9">
        <w:rPr>
          <w:rFonts w:asciiTheme="minorHAnsi" w:hAnsiTheme="minorHAnsi"/>
          <w:szCs w:val="20"/>
        </w:rPr>
        <w:t>,</w:t>
      </w:r>
      <w:r w:rsidR="00FA721D" w:rsidRPr="00D920C9">
        <w:rPr>
          <w:rFonts w:asciiTheme="minorHAnsi" w:hAnsiTheme="minorHAnsi"/>
          <w:szCs w:val="20"/>
        </w:rPr>
        <w:t xml:space="preserve"> and are often</w:t>
      </w:r>
      <w:r w:rsidR="00730E6C" w:rsidRPr="00D920C9">
        <w:rPr>
          <w:rFonts w:asciiTheme="minorHAnsi" w:hAnsiTheme="minorHAnsi"/>
          <w:szCs w:val="20"/>
        </w:rPr>
        <w:t xml:space="preserve"> </w:t>
      </w:r>
      <w:r w:rsidR="00EA5B81" w:rsidRPr="00D920C9">
        <w:rPr>
          <w:rFonts w:asciiTheme="minorHAnsi" w:hAnsiTheme="minorHAnsi"/>
          <w:szCs w:val="20"/>
        </w:rPr>
        <w:t>the victims of excessive force</w:t>
      </w:r>
      <w:r w:rsidRPr="00D920C9">
        <w:rPr>
          <w:rFonts w:asciiTheme="minorHAnsi" w:hAnsiTheme="minorHAnsi"/>
          <w:szCs w:val="20"/>
        </w:rPr>
        <w:t xml:space="preserve"> by police</w:t>
      </w:r>
      <w:r w:rsidR="00027602" w:rsidRPr="00D920C9">
        <w:rPr>
          <w:rFonts w:asciiTheme="minorHAnsi" w:hAnsiTheme="minorHAnsi"/>
          <w:szCs w:val="20"/>
        </w:rPr>
        <w:t>, resulting in death in many cases</w:t>
      </w:r>
      <w:r w:rsidR="00C45637" w:rsidRPr="00D920C9">
        <w:rPr>
          <w:rFonts w:asciiTheme="minorHAnsi" w:hAnsiTheme="minorHAnsi"/>
          <w:szCs w:val="20"/>
        </w:rPr>
        <w:t xml:space="preserve">. </w:t>
      </w:r>
      <w:r w:rsidR="00672C86" w:rsidRPr="00D920C9">
        <w:rPr>
          <w:rFonts w:asciiTheme="minorHAnsi" w:hAnsiTheme="minorHAnsi"/>
          <w:szCs w:val="20"/>
        </w:rPr>
        <w:t>S</w:t>
      </w:r>
      <w:r w:rsidRPr="00D920C9">
        <w:rPr>
          <w:rFonts w:asciiTheme="minorHAnsi" w:hAnsiTheme="minorHAnsi"/>
          <w:szCs w:val="20"/>
        </w:rPr>
        <w:t>ignificant racial disparities in the criminal justice system</w:t>
      </w:r>
      <w:r w:rsidR="00672C86" w:rsidRPr="00D920C9">
        <w:rPr>
          <w:rFonts w:asciiTheme="minorHAnsi" w:hAnsiTheme="minorHAnsi"/>
          <w:szCs w:val="20"/>
        </w:rPr>
        <w:t>’s</w:t>
      </w:r>
      <w:r w:rsidRPr="00D920C9">
        <w:rPr>
          <w:rFonts w:asciiTheme="minorHAnsi" w:hAnsiTheme="minorHAnsi"/>
          <w:szCs w:val="20"/>
        </w:rPr>
        <w:t xml:space="preserve"> treatment of African</w:t>
      </w:r>
      <w:r w:rsidR="0030356C" w:rsidRPr="00D920C9">
        <w:rPr>
          <w:rFonts w:asciiTheme="minorHAnsi" w:hAnsiTheme="minorHAnsi"/>
          <w:szCs w:val="20"/>
        </w:rPr>
        <w:t xml:space="preserve"> </w:t>
      </w:r>
      <w:r w:rsidRPr="00D920C9">
        <w:rPr>
          <w:rFonts w:asciiTheme="minorHAnsi" w:hAnsiTheme="minorHAnsi"/>
          <w:szCs w:val="20"/>
        </w:rPr>
        <w:t xml:space="preserve">Americans result in unequal access to justice and their overrepresentation in the prison system. </w:t>
      </w:r>
      <w:r w:rsidR="008F5454" w:rsidRPr="00D920C9">
        <w:rPr>
          <w:rFonts w:asciiTheme="minorHAnsi" w:hAnsiTheme="minorHAnsi"/>
          <w:szCs w:val="20"/>
        </w:rPr>
        <w:t xml:space="preserve">These </w:t>
      </w:r>
      <w:r w:rsidRPr="00D920C9">
        <w:rPr>
          <w:rFonts w:asciiTheme="minorHAnsi" w:hAnsiTheme="minorHAnsi"/>
          <w:szCs w:val="20"/>
        </w:rPr>
        <w:t>amount to</w:t>
      </w:r>
      <w:r w:rsidR="00730E6C" w:rsidRPr="00D920C9">
        <w:rPr>
          <w:rFonts w:asciiTheme="minorHAnsi" w:hAnsiTheme="minorHAnsi"/>
          <w:szCs w:val="20"/>
        </w:rPr>
        <w:t xml:space="preserve"> a pattern of </w:t>
      </w:r>
      <w:r w:rsidR="008F5454" w:rsidRPr="00D920C9">
        <w:rPr>
          <w:rFonts w:asciiTheme="minorHAnsi" w:hAnsiTheme="minorHAnsi"/>
          <w:szCs w:val="20"/>
        </w:rPr>
        <w:t>s</w:t>
      </w:r>
      <w:r w:rsidR="004D03E8" w:rsidRPr="00D920C9">
        <w:rPr>
          <w:rFonts w:asciiTheme="minorHAnsi" w:hAnsiTheme="minorHAnsi"/>
          <w:szCs w:val="20"/>
        </w:rPr>
        <w:t xml:space="preserve">tructural discrimination </w:t>
      </w:r>
      <w:r w:rsidRPr="00D920C9">
        <w:rPr>
          <w:rFonts w:asciiTheme="minorHAnsi" w:hAnsiTheme="minorHAnsi"/>
          <w:szCs w:val="20"/>
        </w:rPr>
        <w:t>that</w:t>
      </w:r>
      <w:r w:rsidR="00730E6C" w:rsidRPr="00D920C9">
        <w:rPr>
          <w:rFonts w:asciiTheme="minorHAnsi" w:hAnsiTheme="minorHAnsi"/>
          <w:szCs w:val="20"/>
        </w:rPr>
        <w:t xml:space="preserve"> permeates</w:t>
      </w:r>
      <w:r w:rsidR="004D03E8" w:rsidRPr="00D920C9">
        <w:rPr>
          <w:rFonts w:asciiTheme="minorHAnsi" w:hAnsiTheme="minorHAnsi"/>
          <w:szCs w:val="20"/>
        </w:rPr>
        <w:t xml:space="preserve"> the actions of law enforcement</w:t>
      </w:r>
      <w:r w:rsidR="008C7950" w:rsidRPr="00D920C9">
        <w:rPr>
          <w:rFonts w:asciiTheme="minorHAnsi" w:hAnsiTheme="minorHAnsi"/>
          <w:szCs w:val="20"/>
        </w:rPr>
        <w:t xml:space="preserve"> and the criminal justice system, as well as many other aspects of political, social, and economic life in the U</w:t>
      </w:r>
      <w:r w:rsidR="00904A46" w:rsidRPr="00D920C9">
        <w:rPr>
          <w:rFonts w:asciiTheme="minorHAnsi" w:hAnsiTheme="minorHAnsi"/>
          <w:szCs w:val="20"/>
        </w:rPr>
        <w:t>.</w:t>
      </w:r>
      <w:r w:rsidR="008C7950" w:rsidRPr="00D920C9">
        <w:rPr>
          <w:rFonts w:asciiTheme="minorHAnsi" w:hAnsiTheme="minorHAnsi"/>
          <w:szCs w:val="20"/>
        </w:rPr>
        <w:t>S</w:t>
      </w:r>
      <w:r w:rsidR="00730E6C" w:rsidRPr="00D920C9">
        <w:rPr>
          <w:rFonts w:asciiTheme="minorHAnsi" w:hAnsiTheme="minorHAnsi"/>
          <w:szCs w:val="20"/>
        </w:rPr>
        <w:t>.</w:t>
      </w:r>
      <w:bookmarkStart w:id="7" w:name="_Ref507081627"/>
      <w:r w:rsidR="008C7950" w:rsidRPr="00D920C9">
        <w:rPr>
          <w:rFonts w:asciiTheme="minorHAnsi" w:hAnsiTheme="minorHAnsi"/>
          <w:szCs w:val="20"/>
          <w:vertAlign w:val="superscript"/>
        </w:rPr>
        <w:footnoteReference w:id="3"/>
      </w:r>
      <w:bookmarkEnd w:id="7"/>
      <w:r w:rsidR="00730E6C" w:rsidRPr="00D920C9">
        <w:rPr>
          <w:rFonts w:asciiTheme="minorHAnsi" w:hAnsiTheme="minorHAnsi"/>
          <w:szCs w:val="20"/>
        </w:rPr>
        <w:t xml:space="preserve"> </w:t>
      </w:r>
      <w:r w:rsidR="000D4082" w:rsidRPr="00D920C9">
        <w:rPr>
          <w:rFonts w:asciiTheme="minorHAnsi" w:hAnsiTheme="minorHAnsi"/>
          <w:szCs w:val="20"/>
        </w:rPr>
        <w:t>T</w:t>
      </w:r>
      <w:r w:rsidR="00B56CF5" w:rsidRPr="00D920C9">
        <w:rPr>
          <w:rFonts w:asciiTheme="minorHAnsi" w:hAnsiTheme="minorHAnsi"/>
          <w:szCs w:val="20"/>
        </w:rPr>
        <w:t>his</w:t>
      </w:r>
      <w:r w:rsidR="000D4082" w:rsidRPr="00D920C9">
        <w:rPr>
          <w:rFonts w:asciiTheme="minorHAnsi" w:hAnsiTheme="minorHAnsi"/>
          <w:szCs w:val="20"/>
        </w:rPr>
        <w:t xml:space="preserve"> report reviews social, political, and legal elements </w:t>
      </w:r>
      <w:r w:rsidR="00730E6C" w:rsidRPr="00D920C9">
        <w:rPr>
          <w:rFonts w:asciiTheme="minorHAnsi" w:hAnsiTheme="minorHAnsi"/>
          <w:szCs w:val="20"/>
        </w:rPr>
        <w:t>that</w:t>
      </w:r>
      <w:r w:rsidR="00A54B5C" w:rsidRPr="00D920C9">
        <w:rPr>
          <w:rFonts w:asciiTheme="minorHAnsi" w:hAnsiTheme="minorHAnsi"/>
          <w:szCs w:val="20"/>
        </w:rPr>
        <w:t xml:space="preserve"> have fueled this context</w:t>
      </w:r>
      <w:r w:rsidR="00B307B6" w:rsidRPr="00D920C9">
        <w:rPr>
          <w:rFonts w:asciiTheme="minorHAnsi" w:hAnsiTheme="minorHAnsi"/>
          <w:szCs w:val="20"/>
        </w:rPr>
        <w:t xml:space="preserve"> </w:t>
      </w:r>
      <w:r w:rsidRPr="00D920C9">
        <w:rPr>
          <w:rFonts w:asciiTheme="minorHAnsi" w:hAnsiTheme="minorHAnsi"/>
          <w:szCs w:val="20"/>
        </w:rPr>
        <w:t>historically and in recent years.</w:t>
      </w:r>
    </w:p>
    <w:p w14:paraId="0C0238A1" w14:textId="77777777" w:rsidR="002B4344" w:rsidRPr="00D920C9" w:rsidRDefault="00730E6C" w:rsidP="002C64F8">
      <w:pPr>
        <w:pStyle w:val="ListParagraph"/>
        <w:numPr>
          <w:ilvl w:val="0"/>
          <w:numId w:val="9"/>
        </w:numPr>
        <w:spacing w:after="240" w:line="240" w:lineRule="auto"/>
        <w:ind w:left="547" w:hanging="547"/>
        <w:contextualSpacing w:val="0"/>
        <w:jc w:val="both"/>
        <w:rPr>
          <w:rFonts w:asciiTheme="minorHAnsi" w:hAnsiTheme="minorHAnsi"/>
          <w:szCs w:val="20"/>
        </w:rPr>
      </w:pPr>
      <w:r w:rsidRPr="00D920C9">
        <w:rPr>
          <w:rFonts w:asciiTheme="minorHAnsi" w:hAnsiTheme="minorHAnsi"/>
          <w:szCs w:val="20"/>
        </w:rPr>
        <w:t xml:space="preserve">All </w:t>
      </w:r>
      <w:r w:rsidR="00CF5ABF" w:rsidRPr="00D920C9">
        <w:rPr>
          <w:rFonts w:asciiTheme="minorHAnsi" w:hAnsiTheme="minorHAnsi"/>
          <w:szCs w:val="20"/>
        </w:rPr>
        <w:t>of these</w:t>
      </w:r>
      <w:r w:rsidR="00C45637" w:rsidRPr="00D920C9">
        <w:rPr>
          <w:rFonts w:asciiTheme="minorHAnsi" w:hAnsiTheme="minorHAnsi"/>
          <w:szCs w:val="20"/>
        </w:rPr>
        <w:t xml:space="preserve"> </w:t>
      </w:r>
      <w:r w:rsidR="00CF5ABF" w:rsidRPr="00D920C9">
        <w:rPr>
          <w:rFonts w:asciiTheme="minorHAnsi" w:hAnsiTheme="minorHAnsi"/>
          <w:szCs w:val="20"/>
        </w:rPr>
        <w:t>issues</w:t>
      </w:r>
      <w:r w:rsidR="00B56CF5" w:rsidRPr="00D920C9">
        <w:rPr>
          <w:rFonts w:asciiTheme="minorHAnsi" w:hAnsiTheme="minorHAnsi"/>
          <w:szCs w:val="20"/>
        </w:rPr>
        <w:t xml:space="preserve"> are well-recognized </w:t>
      </w:r>
      <w:r w:rsidR="00CF5ABF" w:rsidRPr="00D920C9">
        <w:rPr>
          <w:rFonts w:asciiTheme="minorHAnsi" w:hAnsiTheme="minorHAnsi"/>
          <w:szCs w:val="20"/>
        </w:rPr>
        <w:t xml:space="preserve">as </w:t>
      </w:r>
      <w:r w:rsidR="00B56CF5" w:rsidRPr="00D920C9">
        <w:rPr>
          <w:rFonts w:asciiTheme="minorHAnsi" w:hAnsiTheme="minorHAnsi"/>
          <w:szCs w:val="20"/>
        </w:rPr>
        <w:t>civil rights</w:t>
      </w:r>
      <w:r w:rsidR="00CF5ABF" w:rsidRPr="00D920C9">
        <w:rPr>
          <w:rFonts w:asciiTheme="minorHAnsi" w:hAnsiTheme="minorHAnsi"/>
          <w:szCs w:val="20"/>
        </w:rPr>
        <w:t xml:space="preserve"> and social justice</w:t>
      </w:r>
      <w:r w:rsidR="00B56CF5" w:rsidRPr="00D920C9">
        <w:rPr>
          <w:rFonts w:asciiTheme="minorHAnsi" w:hAnsiTheme="minorHAnsi"/>
          <w:szCs w:val="20"/>
        </w:rPr>
        <w:t xml:space="preserve"> issues in the United States. They also, however,</w:t>
      </w:r>
      <w:r w:rsidR="00C45637" w:rsidRPr="00D920C9">
        <w:rPr>
          <w:rFonts w:asciiTheme="minorHAnsi" w:hAnsiTheme="minorHAnsi"/>
          <w:szCs w:val="20"/>
        </w:rPr>
        <w:t xml:space="preserve"> have international human rights implications for the </w:t>
      </w:r>
      <w:r w:rsidR="00904A46" w:rsidRPr="00D920C9">
        <w:rPr>
          <w:rFonts w:asciiTheme="minorHAnsi" w:hAnsiTheme="minorHAnsi"/>
          <w:szCs w:val="20"/>
        </w:rPr>
        <w:t>U.S.</w:t>
      </w:r>
      <w:r w:rsidR="00C45637" w:rsidRPr="00D920C9">
        <w:rPr>
          <w:rFonts w:asciiTheme="minorHAnsi" w:hAnsiTheme="minorHAnsi"/>
          <w:szCs w:val="20"/>
        </w:rPr>
        <w:t xml:space="preserve"> under the American Declaration </w:t>
      </w:r>
      <w:r w:rsidR="00CF5ABF" w:rsidRPr="00D920C9">
        <w:rPr>
          <w:rFonts w:asciiTheme="minorHAnsi" w:hAnsiTheme="minorHAnsi"/>
          <w:szCs w:val="20"/>
        </w:rPr>
        <w:t xml:space="preserve">on the Rights and Duties of Man (“American Declaration”) </w:t>
      </w:r>
      <w:r w:rsidR="00C45637" w:rsidRPr="00D920C9">
        <w:rPr>
          <w:rFonts w:asciiTheme="minorHAnsi" w:hAnsiTheme="minorHAnsi"/>
          <w:szCs w:val="20"/>
        </w:rPr>
        <w:t xml:space="preserve">and the </w:t>
      </w:r>
      <w:r w:rsidRPr="00D920C9">
        <w:rPr>
          <w:rFonts w:asciiTheme="minorHAnsi" w:hAnsiTheme="minorHAnsi"/>
          <w:szCs w:val="20"/>
        </w:rPr>
        <w:t xml:space="preserve">universal </w:t>
      </w:r>
      <w:r w:rsidR="00C45637" w:rsidRPr="00D920C9">
        <w:rPr>
          <w:rFonts w:asciiTheme="minorHAnsi" w:hAnsiTheme="minorHAnsi"/>
          <w:szCs w:val="20"/>
        </w:rPr>
        <w:t xml:space="preserve">human rights treaties ratified by the </w:t>
      </w:r>
      <w:r w:rsidR="00904A46" w:rsidRPr="00D920C9">
        <w:rPr>
          <w:rFonts w:asciiTheme="minorHAnsi" w:hAnsiTheme="minorHAnsi"/>
          <w:szCs w:val="20"/>
        </w:rPr>
        <w:t>U.S.</w:t>
      </w:r>
      <w:r w:rsidR="00C45637" w:rsidRPr="00D920C9">
        <w:rPr>
          <w:rFonts w:asciiTheme="minorHAnsi" w:hAnsiTheme="minorHAnsi"/>
          <w:szCs w:val="20"/>
        </w:rPr>
        <w:t>, including the</w:t>
      </w:r>
      <w:r w:rsidR="008F5454" w:rsidRPr="00D920C9">
        <w:rPr>
          <w:rFonts w:asciiTheme="minorHAnsi" w:hAnsiTheme="minorHAnsi"/>
          <w:szCs w:val="20"/>
        </w:rPr>
        <w:t xml:space="preserve"> International Covenant on Civil and Political Rights</w:t>
      </w:r>
      <w:r w:rsidR="00C45637" w:rsidRPr="00D920C9">
        <w:rPr>
          <w:rFonts w:asciiTheme="minorHAnsi" w:hAnsiTheme="minorHAnsi"/>
          <w:szCs w:val="20"/>
        </w:rPr>
        <w:t xml:space="preserve"> </w:t>
      </w:r>
      <w:r w:rsidR="008F5454" w:rsidRPr="00D920C9">
        <w:rPr>
          <w:rFonts w:asciiTheme="minorHAnsi" w:hAnsiTheme="minorHAnsi"/>
          <w:szCs w:val="20"/>
        </w:rPr>
        <w:t>(</w:t>
      </w:r>
      <w:r w:rsidR="00C45637" w:rsidRPr="00D920C9">
        <w:rPr>
          <w:rFonts w:asciiTheme="minorHAnsi" w:hAnsiTheme="minorHAnsi"/>
          <w:szCs w:val="20"/>
        </w:rPr>
        <w:t>ICCPR</w:t>
      </w:r>
      <w:r w:rsidR="008F5454" w:rsidRPr="00D920C9">
        <w:rPr>
          <w:rFonts w:asciiTheme="minorHAnsi" w:hAnsiTheme="minorHAnsi"/>
          <w:szCs w:val="20"/>
        </w:rPr>
        <w:t>)</w:t>
      </w:r>
      <w:r w:rsidR="00C45637" w:rsidRPr="00D920C9">
        <w:rPr>
          <w:rFonts w:asciiTheme="minorHAnsi" w:hAnsiTheme="minorHAnsi"/>
          <w:szCs w:val="20"/>
        </w:rPr>
        <w:t>,</w:t>
      </w:r>
      <w:r w:rsidR="001179EB" w:rsidRPr="00D920C9">
        <w:rPr>
          <w:rFonts w:asciiTheme="minorHAnsi" w:hAnsiTheme="minorHAnsi"/>
          <w:szCs w:val="20"/>
        </w:rPr>
        <w:t xml:space="preserve"> </w:t>
      </w:r>
      <w:r w:rsidRPr="00D920C9">
        <w:rPr>
          <w:rFonts w:asciiTheme="minorHAnsi" w:hAnsiTheme="minorHAnsi"/>
          <w:szCs w:val="20"/>
        </w:rPr>
        <w:t>the</w:t>
      </w:r>
      <w:r w:rsidR="00C45637" w:rsidRPr="00D920C9">
        <w:rPr>
          <w:rFonts w:asciiTheme="minorHAnsi" w:hAnsiTheme="minorHAnsi"/>
          <w:szCs w:val="20"/>
        </w:rPr>
        <w:t xml:space="preserve"> </w:t>
      </w:r>
      <w:r w:rsidR="008F5454" w:rsidRPr="00D920C9">
        <w:rPr>
          <w:rFonts w:asciiTheme="minorHAnsi" w:hAnsiTheme="minorHAnsi"/>
          <w:szCs w:val="20"/>
        </w:rPr>
        <w:t>Convention on the Elimination of All Forms of Racial Discrimination</w:t>
      </w:r>
      <w:r w:rsidRPr="00D920C9">
        <w:rPr>
          <w:rFonts w:asciiTheme="minorHAnsi" w:hAnsiTheme="minorHAnsi"/>
          <w:szCs w:val="20"/>
        </w:rPr>
        <w:t xml:space="preserve"> (CERD)</w:t>
      </w:r>
      <w:r w:rsidR="0077727D" w:rsidRPr="00D920C9">
        <w:rPr>
          <w:rFonts w:asciiTheme="minorHAnsi" w:hAnsiTheme="minorHAnsi"/>
          <w:szCs w:val="20"/>
        </w:rPr>
        <w:t>,</w:t>
      </w:r>
      <w:r w:rsidR="008F5454" w:rsidRPr="00D920C9">
        <w:rPr>
          <w:rFonts w:asciiTheme="minorHAnsi" w:hAnsiTheme="minorHAnsi"/>
          <w:szCs w:val="20"/>
        </w:rPr>
        <w:t xml:space="preserve"> </w:t>
      </w:r>
      <w:r w:rsidR="00C45637" w:rsidRPr="00D920C9">
        <w:rPr>
          <w:rFonts w:asciiTheme="minorHAnsi" w:hAnsiTheme="minorHAnsi"/>
          <w:szCs w:val="20"/>
        </w:rPr>
        <w:t xml:space="preserve">and </w:t>
      </w:r>
      <w:r w:rsidRPr="00D920C9">
        <w:rPr>
          <w:rFonts w:asciiTheme="minorHAnsi" w:hAnsiTheme="minorHAnsi"/>
          <w:szCs w:val="20"/>
        </w:rPr>
        <w:t xml:space="preserve">the </w:t>
      </w:r>
      <w:r w:rsidR="008F5454" w:rsidRPr="00D920C9">
        <w:rPr>
          <w:rFonts w:asciiTheme="minorHAnsi" w:hAnsiTheme="minorHAnsi"/>
          <w:szCs w:val="20"/>
        </w:rPr>
        <w:t xml:space="preserve">Convention against Torture and Other Cruel, Inhuman or Degrading </w:t>
      </w:r>
      <w:r w:rsidR="008F5454" w:rsidRPr="00D920C9">
        <w:rPr>
          <w:rFonts w:asciiTheme="minorHAnsi" w:hAnsiTheme="minorHAnsi"/>
          <w:szCs w:val="20"/>
        </w:rPr>
        <w:lastRenderedPageBreak/>
        <w:t>Treatment or Punishment</w:t>
      </w:r>
      <w:r w:rsidRPr="00D920C9">
        <w:rPr>
          <w:rFonts w:asciiTheme="minorHAnsi" w:hAnsiTheme="minorHAnsi"/>
          <w:szCs w:val="20"/>
        </w:rPr>
        <w:t xml:space="preserve"> (CAT)</w:t>
      </w:r>
      <w:r w:rsidR="008F5454" w:rsidRPr="00D920C9">
        <w:rPr>
          <w:rFonts w:asciiTheme="minorHAnsi" w:hAnsiTheme="minorHAnsi"/>
          <w:szCs w:val="20"/>
        </w:rPr>
        <w:t>.</w:t>
      </w:r>
      <w:r w:rsidR="00B56CF5" w:rsidRPr="00D920C9">
        <w:rPr>
          <w:rFonts w:asciiTheme="minorHAnsi" w:hAnsiTheme="minorHAnsi"/>
          <w:szCs w:val="20"/>
        </w:rPr>
        <w:t xml:space="preserve"> This report focuses on the international </w:t>
      </w:r>
      <w:r w:rsidR="00A54B5C" w:rsidRPr="00D920C9">
        <w:rPr>
          <w:rFonts w:asciiTheme="minorHAnsi" w:hAnsiTheme="minorHAnsi"/>
          <w:szCs w:val="20"/>
        </w:rPr>
        <w:t xml:space="preserve">human rights </w:t>
      </w:r>
      <w:r w:rsidR="00B56CF5" w:rsidRPr="00D920C9">
        <w:rPr>
          <w:rFonts w:asciiTheme="minorHAnsi" w:hAnsiTheme="minorHAnsi"/>
          <w:szCs w:val="20"/>
        </w:rPr>
        <w:t>law dimension of this</w:t>
      </w:r>
      <w:r w:rsidR="0077727D" w:rsidRPr="00D920C9">
        <w:rPr>
          <w:rFonts w:asciiTheme="minorHAnsi" w:hAnsiTheme="minorHAnsi"/>
          <w:szCs w:val="20"/>
        </w:rPr>
        <w:t xml:space="preserve"> civil rights</w:t>
      </w:r>
      <w:r w:rsidR="00B56CF5" w:rsidRPr="00D920C9">
        <w:rPr>
          <w:rFonts w:asciiTheme="minorHAnsi" w:hAnsiTheme="minorHAnsi"/>
          <w:szCs w:val="20"/>
        </w:rPr>
        <w:t xml:space="preserve"> history and </w:t>
      </w:r>
      <w:r w:rsidR="008E7922" w:rsidRPr="00D920C9">
        <w:rPr>
          <w:rFonts w:asciiTheme="minorHAnsi" w:hAnsiTheme="minorHAnsi"/>
          <w:szCs w:val="20"/>
        </w:rPr>
        <w:t>outlines</w:t>
      </w:r>
      <w:r w:rsidR="008F5454" w:rsidRPr="00D920C9">
        <w:rPr>
          <w:rFonts w:asciiTheme="minorHAnsi" w:hAnsiTheme="minorHAnsi"/>
          <w:szCs w:val="20"/>
        </w:rPr>
        <w:t xml:space="preserve"> </w:t>
      </w:r>
      <w:r w:rsidR="00B56CF5" w:rsidRPr="00D920C9">
        <w:rPr>
          <w:rFonts w:asciiTheme="minorHAnsi" w:hAnsiTheme="minorHAnsi"/>
          <w:szCs w:val="20"/>
        </w:rPr>
        <w:t xml:space="preserve">constructive steps that </w:t>
      </w:r>
      <w:r w:rsidR="00CF5ABF" w:rsidRPr="00D920C9">
        <w:rPr>
          <w:rFonts w:asciiTheme="minorHAnsi" w:hAnsiTheme="minorHAnsi"/>
          <w:szCs w:val="20"/>
        </w:rPr>
        <w:t xml:space="preserve">federal, </w:t>
      </w:r>
      <w:r w:rsidR="00B56CF5" w:rsidRPr="00D920C9">
        <w:rPr>
          <w:rFonts w:asciiTheme="minorHAnsi" w:hAnsiTheme="minorHAnsi"/>
          <w:szCs w:val="20"/>
        </w:rPr>
        <w:t>state</w:t>
      </w:r>
      <w:r w:rsidR="00CF5ABF" w:rsidRPr="00D920C9">
        <w:rPr>
          <w:rFonts w:asciiTheme="minorHAnsi" w:hAnsiTheme="minorHAnsi"/>
          <w:szCs w:val="20"/>
        </w:rPr>
        <w:t>, and local</w:t>
      </w:r>
      <w:r w:rsidR="00B56CF5" w:rsidRPr="00D920C9">
        <w:rPr>
          <w:rFonts w:asciiTheme="minorHAnsi" w:hAnsiTheme="minorHAnsi"/>
          <w:szCs w:val="20"/>
        </w:rPr>
        <w:t xml:space="preserve"> governments can adopt to respond to racial discrimination</w:t>
      </w:r>
      <w:r w:rsidR="00CC6F88" w:rsidRPr="00D920C9">
        <w:rPr>
          <w:rFonts w:asciiTheme="minorHAnsi" w:hAnsiTheme="minorHAnsi"/>
          <w:szCs w:val="20"/>
        </w:rPr>
        <w:t xml:space="preserve"> in policing and legal responses to police violence</w:t>
      </w:r>
      <w:r w:rsidR="00B56CF5" w:rsidRPr="00D920C9">
        <w:rPr>
          <w:rFonts w:asciiTheme="minorHAnsi" w:hAnsiTheme="minorHAnsi"/>
          <w:szCs w:val="20"/>
        </w:rPr>
        <w:t>.</w:t>
      </w:r>
      <w:r w:rsidR="00AD5FC0" w:rsidRPr="00D920C9">
        <w:rPr>
          <w:rFonts w:asciiTheme="minorHAnsi" w:hAnsiTheme="minorHAnsi"/>
          <w:szCs w:val="20"/>
        </w:rPr>
        <w:t xml:space="preserve"> The Commission notes that under</w:t>
      </w:r>
      <w:r w:rsidR="00CC6F88" w:rsidRPr="00D920C9">
        <w:rPr>
          <w:rFonts w:asciiTheme="minorHAnsi" w:hAnsiTheme="minorHAnsi"/>
          <w:szCs w:val="20"/>
        </w:rPr>
        <w:t xml:space="preserve"> international human rights law, all levels of government—federal, state, and local—are obligated </w:t>
      </w:r>
      <w:r w:rsidR="00AD5FC0" w:rsidRPr="00D920C9">
        <w:rPr>
          <w:rFonts w:asciiTheme="minorHAnsi" w:hAnsiTheme="minorHAnsi"/>
          <w:szCs w:val="20"/>
        </w:rPr>
        <w:t>to intervene to protect</w:t>
      </w:r>
      <w:r w:rsidR="00AD5FC0" w:rsidRPr="00D920C9">
        <w:rPr>
          <w:rFonts w:asciiTheme="minorHAnsi" w:eastAsia="Calibri" w:hAnsiTheme="minorHAnsi"/>
          <w:szCs w:val="20"/>
        </w:rPr>
        <w:t xml:space="preserve"> and guarantee human rights</w:t>
      </w:r>
      <w:r w:rsidR="00027602" w:rsidRPr="00D920C9">
        <w:rPr>
          <w:rFonts w:asciiTheme="minorHAnsi" w:eastAsia="Calibri" w:hAnsiTheme="minorHAnsi"/>
          <w:szCs w:val="20"/>
        </w:rPr>
        <w:t>, and this duty extends to policing.</w:t>
      </w:r>
    </w:p>
    <w:p w14:paraId="4C432F1C" w14:textId="77777777" w:rsidR="00AD5FC0" w:rsidRPr="00D920C9" w:rsidRDefault="00AD5FC0" w:rsidP="002C64F8">
      <w:pPr>
        <w:pStyle w:val="ListParagraph"/>
        <w:numPr>
          <w:ilvl w:val="0"/>
          <w:numId w:val="9"/>
        </w:numPr>
        <w:spacing w:after="240" w:line="240" w:lineRule="auto"/>
        <w:ind w:left="547" w:hanging="547"/>
        <w:contextualSpacing w:val="0"/>
        <w:jc w:val="both"/>
        <w:rPr>
          <w:rFonts w:asciiTheme="minorHAnsi" w:hAnsiTheme="minorHAnsi"/>
          <w:szCs w:val="20"/>
        </w:rPr>
      </w:pPr>
      <w:r w:rsidRPr="00D920C9">
        <w:rPr>
          <w:rFonts w:asciiTheme="minorHAnsi" w:hAnsiTheme="minorHAnsi"/>
          <w:szCs w:val="20"/>
        </w:rPr>
        <w:t xml:space="preserve">This report focuses on the international human rights law implications of </w:t>
      </w:r>
      <w:r w:rsidR="00CC6F88" w:rsidRPr="00D920C9">
        <w:rPr>
          <w:rFonts w:asciiTheme="minorHAnsi" w:hAnsiTheme="minorHAnsi"/>
          <w:szCs w:val="20"/>
        </w:rPr>
        <w:t>racial discrimination in the policing of</w:t>
      </w:r>
      <w:r w:rsidRPr="00D920C9">
        <w:rPr>
          <w:rFonts w:asciiTheme="minorHAnsi" w:hAnsiTheme="minorHAnsi"/>
          <w:szCs w:val="20"/>
        </w:rPr>
        <w:t xml:space="preserve"> African</w:t>
      </w:r>
      <w:r w:rsidR="0030356C" w:rsidRPr="00D920C9">
        <w:rPr>
          <w:rFonts w:asciiTheme="minorHAnsi" w:hAnsiTheme="minorHAnsi"/>
          <w:szCs w:val="20"/>
        </w:rPr>
        <w:t xml:space="preserve"> </w:t>
      </w:r>
      <w:r w:rsidRPr="00D920C9">
        <w:rPr>
          <w:rFonts w:asciiTheme="minorHAnsi" w:hAnsiTheme="minorHAnsi"/>
          <w:szCs w:val="20"/>
        </w:rPr>
        <w:t>Americans,</w:t>
      </w:r>
      <w:r w:rsidR="00CC6F88" w:rsidRPr="00D920C9">
        <w:rPr>
          <w:rFonts w:asciiTheme="minorHAnsi" w:hAnsiTheme="minorHAnsi"/>
          <w:szCs w:val="20"/>
        </w:rPr>
        <w:t xml:space="preserve"> in light of a </w:t>
      </w:r>
      <w:r w:rsidR="00037AC7" w:rsidRPr="00D920C9">
        <w:rPr>
          <w:rFonts w:asciiTheme="minorHAnsi" w:hAnsiTheme="minorHAnsi"/>
          <w:szCs w:val="20"/>
        </w:rPr>
        <w:t>concerning</w:t>
      </w:r>
      <w:r w:rsidR="00CC6F88" w:rsidRPr="00D920C9">
        <w:rPr>
          <w:rFonts w:asciiTheme="minorHAnsi" w:hAnsiTheme="minorHAnsi"/>
          <w:szCs w:val="20"/>
        </w:rPr>
        <w:t xml:space="preserve"> pattern of police </w:t>
      </w:r>
      <w:r w:rsidR="00530552" w:rsidRPr="00D920C9">
        <w:rPr>
          <w:rFonts w:asciiTheme="minorHAnsi" w:hAnsiTheme="minorHAnsi"/>
          <w:szCs w:val="20"/>
        </w:rPr>
        <w:t xml:space="preserve">excessive </w:t>
      </w:r>
      <w:r w:rsidR="00CC6F88" w:rsidRPr="00D920C9">
        <w:rPr>
          <w:rFonts w:asciiTheme="minorHAnsi" w:hAnsiTheme="minorHAnsi"/>
          <w:szCs w:val="20"/>
        </w:rPr>
        <w:t>use of force</w:t>
      </w:r>
      <w:r w:rsidR="00530552" w:rsidRPr="00D920C9">
        <w:rPr>
          <w:rFonts w:asciiTheme="minorHAnsi" w:hAnsiTheme="minorHAnsi"/>
          <w:szCs w:val="20"/>
        </w:rPr>
        <w:t>,</w:t>
      </w:r>
      <w:r w:rsidRPr="00D920C9">
        <w:rPr>
          <w:rFonts w:asciiTheme="minorHAnsi" w:hAnsiTheme="minorHAnsi"/>
          <w:szCs w:val="20"/>
        </w:rPr>
        <w:t xml:space="preserve"> as well as the State’s international obligations in the area of non-discrimination. </w:t>
      </w:r>
      <w:r w:rsidR="00A13770" w:rsidRPr="00D920C9">
        <w:rPr>
          <w:rFonts w:asciiTheme="minorHAnsi" w:hAnsiTheme="minorHAnsi"/>
          <w:szCs w:val="20"/>
        </w:rPr>
        <w:t>Furthermore, it explores the State’s obligations regarding access to justice and the fight against impunity in cases of police excessive use of force</w:t>
      </w:r>
      <w:r w:rsidRPr="00D920C9">
        <w:rPr>
          <w:rFonts w:asciiTheme="minorHAnsi" w:hAnsiTheme="minorHAnsi"/>
          <w:szCs w:val="20"/>
        </w:rPr>
        <w:t>.</w:t>
      </w:r>
    </w:p>
    <w:p w14:paraId="48732EF8" w14:textId="77777777" w:rsidR="002B4344" w:rsidRPr="00D920C9" w:rsidRDefault="0077727D" w:rsidP="002C64F8">
      <w:pPr>
        <w:pStyle w:val="ListParagraph"/>
        <w:numPr>
          <w:ilvl w:val="0"/>
          <w:numId w:val="9"/>
        </w:numPr>
        <w:spacing w:after="240" w:line="240" w:lineRule="auto"/>
        <w:ind w:left="547" w:hanging="547"/>
        <w:contextualSpacing w:val="0"/>
        <w:jc w:val="both"/>
        <w:rPr>
          <w:rFonts w:asciiTheme="minorHAnsi" w:hAnsiTheme="minorHAnsi"/>
          <w:szCs w:val="20"/>
        </w:rPr>
      </w:pPr>
      <w:r w:rsidRPr="00D920C9">
        <w:rPr>
          <w:rFonts w:asciiTheme="minorHAnsi" w:hAnsiTheme="minorHAnsi"/>
          <w:szCs w:val="20"/>
        </w:rPr>
        <w:t>This report is divided into four</w:t>
      </w:r>
      <w:r w:rsidR="00F96BB1" w:rsidRPr="00D920C9">
        <w:rPr>
          <w:rFonts w:asciiTheme="minorHAnsi" w:hAnsiTheme="minorHAnsi"/>
          <w:szCs w:val="20"/>
        </w:rPr>
        <w:t xml:space="preserve"> </w:t>
      </w:r>
      <w:r w:rsidR="000A2F64" w:rsidRPr="00D920C9">
        <w:rPr>
          <w:rFonts w:asciiTheme="minorHAnsi" w:hAnsiTheme="minorHAnsi"/>
          <w:szCs w:val="20"/>
        </w:rPr>
        <w:t xml:space="preserve">chapters. The first chapter </w:t>
      </w:r>
      <w:r w:rsidR="00BC4D94" w:rsidRPr="00D920C9">
        <w:rPr>
          <w:rFonts w:asciiTheme="minorHAnsi" w:hAnsiTheme="minorHAnsi"/>
          <w:szCs w:val="20"/>
        </w:rPr>
        <w:t>introduces the report’s</w:t>
      </w:r>
      <w:r w:rsidR="000A2F64" w:rsidRPr="00D920C9">
        <w:rPr>
          <w:rFonts w:asciiTheme="minorHAnsi" w:hAnsiTheme="minorHAnsi"/>
          <w:szCs w:val="20"/>
        </w:rPr>
        <w:t xml:space="preserve"> </w:t>
      </w:r>
      <w:r w:rsidRPr="00D920C9">
        <w:rPr>
          <w:rFonts w:asciiTheme="minorHAnsi" w:hAnsiTheme="minorHAnsi"/>
          <w:szCs w:val="20"/>
        </w:rPr>
        <w:t>context</w:t>
      </w:r>
      <w:r w:rsidR="00B56CF5" w:rsidRPr="00D920C9">
        <w:rPr>
          <w:rFonts w:asciiTheme="minorHAnsi" w:hAnsiTheme="minorHAnsi"/>
          <w:szCs w:val="20"/>
        </w:rPr>
        <w:t xml:space="preserve"> and</w:t>
      </w:r>
      <w:r w:rsidR="004B749F" w:rsidRPr="00D920C9">
        <w:rPr>
          <w:rFonts w:asciiTheme="minorHAnsi" w:hAnsiTheme="minorHAnsi"/>
          <w:szCs w:val="20"/>
        </w:rPr>
        <w:t xml:space="preserve"> </w:t>
      </w:r>
      <w:r w:rsidR="00530552" w:rsidRPr="00D920C9">
        <w:rPr>
          <w:rFonts w:asciiTheme="minorHAnsi" w:hAnsiTheme="minorHAnsi"/>
          <w:szCs w:val="20"/>
        </w:rPr>
        <w:t>sources</w:t>
      </w:r>
      <w:r w:rsidRPr="00D920C9">
        <w:rPr>
          <w:rFonts w:asciiTheme="minorHAnsi" w:hAnsiTheme="minorHAnsi"/>
          <w:szCs w:val="20"/>
        </w:rPr>
        <w:t>, as well as the Commission’s mandate to monitor human rights in the United States</w:t>
      </w:r>
      <w:r w:rsidR="00B56CF5" w:rsidRPr="00D920C9">
        <w:rPr>
          <w:rFonts w:asciiTheme="minorHAnsi" w:hAnsiTheme="minorHAnsi"/>
          <w:szCs w:val="20"/>
        </w:rPr>
        <w:t xml:space="preserve">. </w:t>
      </w:r>
      <w:r w:rsidRPr="00D920C9">
        <w:rPr>
          <w:rFonts w:asciiTheme="minorHAnsi" w:hAnsiTheme="minorHAnsi"/>
          <w:szCs w:val="20"/>
        </w:rPr>
        <w:t xml:space="preserve">The second chapter </w:t>
      </w:r>
      <w:r w:rsidR="00BC4D94" w:rsidRPr="00D920C9">
        <w:rPr>
          <w:rFonts w:asciiTheme="minorHAnsi" w:hAnsiTheme="minorHAnsi"/>
          <w:szCs w:val="20"/>
        </w:rPr>
        <w:t>uses the framework of structural discrimination to explore the history of discrimination and racism against African</w:t>
      </w:r>
      <w:r w:rsidR="0030356C" w:rsidRPr="00D920C9">
        <w:rPr>
          <w:rFonts w:asciiTheme="minorHAnsi" w:hAnsiTheme="minorHAnsi"/>
          <w:szCs w:val="20"/>
        </w:rPr>
        <w:t xml:space="preserve"> </w:t>
      </w:r>
      <w:r w:rsidR="00BC4D94" w:rsidRPr="00D920C9">
        <w:rPr>
          <w:rFonts w:asciiTheme="minorHAnsi" w:hAnsiTheme="minorHAnsi"/>
          <w:szCs w:val="20"/>
        </w:rPr>
        <w:t xml:space="preserve">Americans in the </w:t>
      </w:r>
      <w:r w:rsidR="00530552" w:rsidRPr="00D920C9">
        <w:rPr>
          <w:rFonts w:asciiTheme="minorHAnsi" w:hAnsiTheme="minorHAnsi"/>
          <w:szCs w:val="20"/>
        </w:rPr>
        <w:t>U</w:t>
      </w:r>
      <w:r w:rsidR="00904A46" w:rsidRPr="00D920C9">
        <w:rPr>
          <w:rFonts w:asciiTheme="minorHAnsi" w:hAnsiTheme="minorHAnsi"/>
          <w:szCs w:val="20"/>
        </w:rPr>
        <w:t>.</w:t>
      </w:r>
      <w:r w:rsidR="00530552" w:rsidRPr="00D920C9">
        <w:rPr>
          <w:rFonts w:asciiTheme="minorHAnsi" w:hAnsiTheme="minorHAnsi"/>
          <w:szCs w:val="20"/>
        </w:rPr>
        <w:t>S</w:t>
      </w:r>
      <w:r w:rsidR="00904A46" w:rsidRPr="00D920C9">
        <w:rPr>
          <w:rFonts w:asciiTheme="minorHAnsi" w:hAnsiTheme="minorHAnsi"/>
          <w:szCs w:val="20"/>
        </w:rPr>
        <w:t>.</w:t>
      </w:r>
      <w:r w:rsidR="00BC4D94" w:rsidRPr="00D920C9">
        <w:rPr>
          <w:rFonts w:asciiTheme="minorHAnsi" w:hAnsiTheme="minorHAnsi"/>
          <w:szCs w:val="20"/>
        </w:rPr>
        <w:t xml:space="preserve">, key contemporary issues identified via the Commission’s monitoring work, </w:t>
      </w:r>
      <w:r w:rsidR="003A6467" w:rsidRPr="00D920C9">
        <w:rPr>
          <w:rFonts w:asciiTheme="minorHAnsi" w:hAnsiTheme="minorHAnsi"/>
          <w:szCs w:val="20"/>
        </w:rPr>
        <w:t>and information on State measures to address these issues</w:t>
      </w:r>
      <w:r w:rsidR="00BC4D94" w:rsidRPr="00D920C9">
        <w:rPr>
          <w:rFonts w:asciiTheme="minorHAnsi" w:hAnsiTheme="minorHAnsi"/>
          <w:szCs w:val="20"/>
        </w:rPr>
        <w:t>.</w:t>
      </w:r>
      <w:r w:rsidRPr="00D920C9">
        <w:rPr>
          <w:rFonts w:asciiTheme="minorHAnsi" w:hAnsiTheme="minorHAnsi"/>
          <w:szCs w:val="20"/>
        </w:rPr>
        <w:t xml:space="preserve"> </w:t>
      </w:r>
      <w:r w:rsidR="00B56CF5" w:rsidRPr="00D920C9">
        <w:rPr>
          <w:rFonts w:asciiTheme="minorHAnsi" w:hAnsiTheme="minorHAnsi"/>
          <w:szCs w:val="20"/>
        </w:rPr>
        <w:t xml:space="preserve">The </w:t>
      </w:r>
      <w:r w:rsidR="00527890" w:rsidRPr="00D920C9">
        <w:rPr>
          <w:rFonts w:asciiTheme="minorHAnsi" w:hAnsiTheme="minorHAnsi"/>
          <w:szCs w:val="20"/>
        </w:rPr>
        <w:t>third</w:t>
      </w:r>
      <w:r w:rsidR="00F96BB1" w:rsidRPr="00D920C9">
        <w:rPr>
          <w:rFonts w:asciiTheme="minorHAnsi" w:hAnsiTheme="minorHAnsi"/>
          <w:szCs w:val="20"/>
        </w:rPr>
        <w:t xml:space="preserve"> </w:t>
      </w:r>
      <w:r w:rsidR="00B56CF5" w:rsidRPr="00D920C9">
        <w:rPr>
          <w:rFonts w:asciiTheme="minorHAnsi" w:hAnsiTheme="minorHAnsi"/>
          <w:szCs w:val="20"/>
        </w:rPr>
        <w:t xml:space="preserve">chapter reviews international legal standards applicable </w:t>
      </w:r>
      <w:r w:rsidR="00BC4D94" w:rsidRPr="00D920C9">
        <w:rPr>
          <w:rFonts w:asciiTheme="minorHAnsi" w:hAnsiTheme="minorHAnsi"/>
          <w:szCs w:val="20"/>
        </w:rPr>
        <w:t xml:space="preserve">in the areas of non-discrimination, </w:t>
      </w:r>
      <w:r w:rsidR="00B56CF5" w:rsidRPr="00D920C9">
        <w:rPr>
          <w:rFonts w:asciiTheme="minorHAnsi" w:hAnsiTheme="minorHAnsi"/>
          <w:szCs w:val="20"/>
        </w:rPr>
        <w:t>the use of force</w:t>
      </w:r>
      <w:r w:rsidR="00F96BB1" w:rsidRPr="00D920C9">
        <w:rPr>
          <w:rFonts w:asciiTheme="minorHAnsi" w:hAnsiTheme="minorHAnsi"/>
          <w:szCs w:val="20"/>
        </w:rPr>
        <w:t xml:space="preserve">, and access to justice. </w:t>
      </w:r>
      <w:r w:rsidR="00527890" w:rsidRPr="00D920C9">
        <w:rPr>
          <w:rFonts w:asciiTheme="minorHAnsi" w:hAnsiTheme="minorHAnsi"/>
          <w:szCs w:val="20"/>
        </w:rPr>
        <w:t xml:space="preserve">The Commission considers that </w:t>
      </w:r>
      <w:r w:rsidR="00F96BB1" w:rsidRPr="00D920C9">
        <w:rPr>
          <w:rFonts w:asciiTheme="minorHAnsi" w:hAnsiTheme="minorHAnsi"/>
          <w:szCs w:val="20"/>
        </w:rPr>
        <w:t xml:space="preserve">these standards </w:t>
      </w:r>
      <w:r w:rsidR="00B56CF5" w:rsidRPr="00D920C9">
        <w:rPr>
          <w:rFonts w:asciiTheme="minorHAnsi" w:hAnsiTheme="minorHAnsi"/>
          <w:szCs w:val="20"/>
        </w:rPr>
        <w:t>should guide the actions of the police</w:t>
      </w:r>
      <w:r w:rsidR="00F96BB1" w:rsidRPr="00D920C9">
        <w:rPr>
          <w:rFonts w:asciiTheme="minorHAnsi" w:hAnsiTheme="minorHAnsi"/>
          <w:szCs w:val="20"/>
        </w:rPr>
        <w:t xml:space="preserve"> </w:t>
      </w:r>
      <w:r w:rsidR="00B56CF5" w:rsidRPr="00D920C9">
        <w:rPr>
          <w:rFonts w:asciiTheme="minorHAnsi" w:hAnsiTheme="minorHAnsi"/>
          <w:szCs w:val="20"/>
        </w:rPr>
        <w:t xml:space="preserve">at </w:t>
      </w:r>
      <w:r w:rsidR="00527890" w:rsidRPr="00D920C9">
        <w:rPr>
          <w:rFonts w:asciiTheme="minorHAnsi" w:hAnsiTheme="minorHAnsi"/>
          <w:szCs w:val="20"/>
        </w:rPr>
        <w:t xml:space="preserve">the </w:t>
      </w:r>
      <w:r w:rsidR="00BC4D94" w:rsidRPr="00D920C9">
        <w:rPr>
          <w:rFonts w:asciiTheme="minorHAnsi" w:hAnsiTheme="minorHAnsi"/>
          <w:szCs w:val="20"/>
        </w:rPr>
        <w:t xml:space="preserve">federal, </w:t>
      </w:r>
      <w:r w:rsidR="00B56CF5" w:rsidRPr="00D920C9">
        <w:rPr>
          <w:rFonts w:asciiTheme="minorHAnsi" w:hAnsiTheme="minorHAnsi"/>
          <w:szCs w:val="20"/>
        </w:rPr>
        <w:t>state</w:t>
      </w:r>
      <w:r w:rsidR="00BC4D94" w:rsidRPr="00D920C9">
        <w:rPr>
          <w:rFonts w:asciiTheme="minorHAnsi" w:hAnsiTheme="minorHAnsi"/>
          <w:szCs w:val="20"/>
        </w:rPr>
        <w:t>, and local</w:t>
      </w:r>
      <w:r w:rsidR="00B56CF5" w:rsidRPr="00D920C9">
        <w:rPr>
          <w:rFonts w:asciiTheme="minorHAnsi" w:hAnsiTheme="minorHAnsi"/>
          <w:szCs w:val="20"/>
        </w:rPr>
        <w:t xml:space="preserve"> levels in the </w:t>
      </w:r>
      <w:r w:rsidR="00530552" w:rsidRPr="00D920C9">
        <w:rPr>
          <w:rFonts w:asciiTheme="minorHAnsi" w:hAnsiTheme="minorHAnsi"/>
          <w:szCs w:val="20"/>
        </w:rPr>
        <w:t>U</w:t>
      </w:r>
      <w:r w:rsidR="00904A46" w:rsidRPr="00D920C9">
        <w:rPr>
          <w:rFonts w:asciiTheme="minorHAnsi" w:hAnsiTheme="minorHAnsi"/>
          <w:szCs w:val="20"/>
        </w:rPr>
        <w:t>.</w:t>
      </w:r>
      <w:r w:rsidR="00530552" w:rsidRPr="00D920C9">
        <w:rPr>
          <w:rFonts w:asciiTheme="minorHAnsi" w:hAnsiTheme="minorHAnsi"/>
          <w:szCs w:val="20"/>
        </w:rPr>
        <w:t>S</w:t>
      </w:r>
      <w:r w:rsidR="00904A46" w:rsidRPr="00D920C9">
        <w:rPr>
          <w:rFonts w:asciiTheme="minorHAnsi" w:hAnsiTheme="minorHAnsi"/>
          <w:szCs w:val="20"/>
        </w:rPr>
        <w:t>.</w:t>
      </w:r>
      <w:r w:rsidR="00B56CF5" w:rsidRPr="00D920C9">
        <w:rPr>
          <w:rFonts w:asciiTheme="minorHAnsi" w:hAnsiTheme="minorHAnsi"/>
          <w:szCs w:val="20"/>
        </w:rPr>
        <w:t>, as well as the entire government structure.</w:t>
      </w:r>
      <w:r w:rsidR="002B4344" w:rsidRPr="00D920C9">
        <w:rPr>
          <w:rFonts w:asciiTheme="minorHAnsi" w:hAnsiTheme="minorHAnsi"/>
          <w:szCs w:val="20"/>
        </w:rPr>
        <w:t xml:space="preserve"> </w:t>
      </w:r>
      <w:r w:rsidR="00F96BB1" w:rsidRPr="00D920C9">
        <w:rPr>
          <w:rFonts w:asciiTheme="minorHAnsi" w:hAnsiTheme="minorHAnsi"/>
          <w:szCs w:val="20"/>
        </w:rPr>
        <w:t xml:space="preserve">The </w:t>
      </w:r>
      <w:r w:rsidR="00BC4D94" w:rsidRPr="00D920C9">
        <w:rPr>
          <w:rFonts w:asciiTheme="minorHAnsi" w:hAnsiTheme="minorHAnsi"/>
          <w:szCs w:val="20"/>
        </w:rPr>
        <w:t>final chapter</w:t>
      </w:r>
      <w:r w:rsidR="0037721D" w:rsidRPr="00D920C9">
        <w:rPr>
          <w:rFonts w:asciiTheme="minorHAnsi" w:hAnsiTheme="minorHAnsi"/>
          <w:szCs w:val="20"/>
        </w:rPr>
        <w:t xml:space="preserve"> advances a number of conclusions and recommendations designed to improve p</w:t>
      </w:r>
      <w:r w:rsidR="0030356C" w:rsidRPr="00D920C9">
        <w:rPr>
          <w:rFonts w:asciiTheme="minorHAnsi" w:hAnsiTheme="minorHAnsi"/>
          <w:szCs w:val="20"/>
        </w:rPr>
        <w:t xml:space="preserve">olice practices towards African </w:t>
      </w:r>
      <w:r w:rsidR="0037721D" w:rsidRPr="00D920C9">
        <w:rPr>
          <w:rFonts w:asciiTheme="minorHAnsi" w:hAnsiTheme="minorHAnsi"/>
          <w:szCs w:val="20"/>
        </w:rPr>
        <w:t>Americans in the United States.</w:t>
      </w:r>
    </w:p>
    <w:p w14:paraId="05DDCC38" w14:textId="77777777" w:rsidR="002B4344" w:rsidRPr="00D920C9" w:rsidRDefault="00684DFD" w:rsidP="002C64F8">
      <w:pPr>
        <w:pStyle w:val="ListParagraph"/>
        <w:numPr>
          <w:ilvl w:val="0"/>
          <w:numId w:val="9"/>
        </w:numPr>
        <w:spacing w:after="240" w:line="240" w:lineRule="auto"/>
        <w:ind w:left="547" w:hanging="547"/>
        <w:contextualSpacing w:val="0"/>
        <w:jc w:val="both"/>
        <w:rPr>
          <w:rFonts w:asciiTheme="minorHAnsi" w:hAnsiTheme="minorHAnsi"/>
          <w:szCs w:val="20"/>
        </w:rPr>
      </w:pPr>
      <w:r w:rsidRPr="00D920C9">
        <w:rPr>
          <w:rFonts w:asciiTheme="minorHAnsi" w:hAnsiTheme="minorHAnsi"/>
          <w:szCs w:val="20"/>
        </w:rPr>
        <w:t>The objectives of this</w:t>
      </w:r>
      <w:r w:rsidR="00A13770" w:rsidRPr="00D920C9">
        <w:rPr>
          <w:rFonts w:asciiTheme="minorHAnsi" w:hAnsiTheme="minorHAnsi"/>
          <w:szCs w:val="20"/>
        </w:rPr>
        <w:t xml:space="preserve"> report </w:t>
      </w:r>
      <w:r w:rsidRPr="00D920C9">
        <w:rPr>
          <w:rFonts w:asciiTheme="minorHAnsi" w:hAnsiTheme="minorHAnsi"/>
          <w:szCs w:val="20"/>
        </w:rPr>
        <w:t>are twofold: to</w:t>
      </w:r>
      <w:r w:rsidR="001229B1" w:rsidRPr="00D920C9">
        <w:rPr>
          <w:rFonts w:asciiTheme="minorHAnsi" w:hAnsiTheme="minorHAnsi"/>
          <w:szCs w:val="20"/>
        </w:rPr>
        <w:t xml:space="preserve"> serve as an important guideline </w:t>
      </w:r>
      <w:r w:rsidR="00A13770" w:rsidRPr="00D920C9">
        <w:rPr>
          <w:rFonts w:asciiTheme="minorHAnsi" w:hAnsiTheme="minorHAnsi"/>
          <w:szCs w:val="20"/>
        </w:rPr>
        <w:t>regarding</w:t>
      </w:r>
      <w:r w:rsidR="001229B1" w:rsidRPr="00D920C9">
        <w:rPr>
          <w:rFonts w:asciiTheme="minorHAnsi" w:hAnsiTheme="minorHAnsi"/>
          <w:szCs w:val="20"/>
        </w:rPr>
        <w:t xml:space="preserve"> key international human rights standards that the </w:t>
      </w:r>
      <w:r w:rsidR="00904A46" w:rsidRPr="00D920C9">
        <w:rPr>
          <w:rFonts w:asciiTheme="minorHAnsi" w:hAnsiTheme="minorHAnsi"/>
          <w:szCs w:val="20"/>
        </w:rPr>
        <w:t>U.S.</w:t>
      </w:r>
      <w:r w:rsidR="001229B1" w:rsidRPr="00D920C9">
        <w:rPr>
          <w:rFonts w:asciiTheme="minorHAnsi" w:hAnsiTheme="minorHAnsi"/>
          <w:szCs w:val="20"/>
        </w:rPr>
        <w:t xml:space="preserve"> </w:t>
      </w:r>
      <w:r w:rsidR="00A13770" w:rsidRPr="00D920C9">
        <w:rPr>
          <w:rFonts w:asciiTheme="minorHAnsi" w:hAnsiTheme="minorHAnsi"/>
          <w:szCs w:val="20"/>
        </w:rPr>
        <w:t>must</w:t>
      </w:r>
      <w:r w:rsidR="001229B1" w:rsidRPr="00D920C9">
        <w:rPr>
          <w:rFonts w:asciiTheme="minorHAnsi" w:hAnsiTheme="minorHAnsi"/>
          <w:szCs w:val="20"/>
        </w:rPr>
        <w:t xml:space="preserve"> consider</w:t>
      </w:r>
      <w:r w:rsidR="00A13770" w:rsidRPr="00D920C9">
        <w:rPr>
          <w:rFonts w:asciiTheme="minorHAnsi" w:hAnsiTheme="minorHAnsi"/>
          <w:szCs w:val="20"/>
        </w:rPr>
        <w:t xml:space="preserve"> at the federal, </w:t>
      </w:r>
      <w:r w:rsidR="001229B1" w:rsidRPr="00D920C9">
        <w:rPr>
          <w:rFonts w:asciiTheme="minorHAnsi" w:hAnsiTheme="minorHAnsi"/>
          <w:szCs w:val="20"/>
        </w:rPr>
        <w:t>state</w:t>
      </w:r>
      <w:r w:rsidR="00A13770" w:rsidRPr="00D920C9">
        <w:rPr>
          <w:rFonts w:asciiTheme="minorHAnsi" w:hAnsiTheme="minorHAnsi"/>
          <w:szCs w:val="20"/>
        </w:rPr>
        <w:t>, and local</w:t>
      </w:r>
      <w:r w:rsidR="001229B1" w:rsidRPr="00D920C9">
        <w:rPr>
          <w:rFonts w:asciiTheme="minorHAnsi" w:hAnsiTheme="minorHAnsi"/>
          <w:szCs w:val="20"/>
        </w:rPr>
        <w:t xml:space="preserve"> levels when address</w:t>
      </w:r>
      <w:r w:rsidRPr="00D920C9">
        <w:rPr>
          <w:rFonts w:asciiTheme="minorHAnsi" w:hAnsiTheme="minorHAnsi"/>
          <w:szCs w:val="20"/>
        </w:rPr>
        <w:t>ing</w:t>
      </w:r>
      <w:r w:rsidR="001229B1" w:rsidRPr="00D920C9">
        <w:rPr>
          <w:rFonts w:asciiTheme="minorHAnsi" w:hAnsiTheme="minorHAnsi"/>
          <w:szCs w:val="20"/>
        </w:rPr>
        <w:t xml:space="preserve"> </w:t>
      </w:r>
      <w:r w:rsidRPr="00D920C9">
        <w:rPr>
          <w:rFonts w:asciiTheme="minorHAnsi" w:hAnsiTheme="minorHAnsi"/>
          <w:szCs w:val="20"/>
        </w:rPr>
        <w:t>racial discrimination in policing of</w:t>
      </w:r>
      <w:r w:rsidR="001229B1" w:rsidRPr="00D920C9">
        <w:rPr>
          <w:rFonts w:asciiTheme="minorHAnsi" w:hAnsiTheme="minorHAnsi"/>
          <w:szCs w:val="20"/>
        </w:rPr>
        <w:t xml:space="preserve"> African</w:t>
      </w:r>
      <w:r w:rsidR="0030356C" w:rsidRPr="00D920C9">
        <w:rPr>
          <w:rFonts w:asciiTheme="minorHAnsi" w:hAnsiTheme="minorHAnsi"/>
          <w:szCs w:val="20"/>
        </w:rPr>
        <w:t xml:space="preserve"> </w:t>
      </w:r>
      <w:r w:rsidRPr="00D920C9">
        <w:rPr>
          <w:rFonts w:asciiTheme="minorHAnsi" w:hAnsiTheme="minorHAnsi"/>
          <w:szCs w:val="20"/>
        </w:rPr>
        <w:t xml:space="preserve">Americans, and to serve as </w:t>
      </w:r>
      <w:r w:rsidR="00A13770" w:rsidRPr="00D920C9">
        <w:rPr>
          <w:rFonts w:asciiTheme="minorHAnsi" w:hAnsiTheme="minorHAnsi"/>
          <w:szCs w:val="20"/>
        </w:rPr>
        <w:t>a key</w:t>
      </w:r>
      <w:r w:rsidRPr="00D920C9">
        <w:rPr>
          <w:rFonts w:asciiTheme="minorHAnsi" w:hAnsiTheme="minorHAnsi"/>
          <w:szCs w:val="20"/>
        </w:rPr>
        <w:t xml:space="preserve"> advocacy</w:t>
      </w:r>
      <w:r w:rsidR="001229B1" w:rsidRPr="00D920C9">
        <w:rPr>
          <w:rFonts w:asciiTheme="minorHAnsi" w:hAnsiTheme="minorHAnsi"/>
          <w:szCs w:val="20"/>
        </w:rPr>
        <w:t xml:space="preserve"> instrument for U</w:t>
      </w:r>
      <w:r w:rsidR="00C45A79" w:rsidRPr="00D920C9">
        <w:rPr>
          <w:rFonts w:asciiTheme="minorHAnsi" w:hAnsiTheme="minorHAnsi"/>
          <w:szCs w:val="20"/>
        </w:rPr>
        <w:t>.</w:t>
      </w:r>
      <w:r w:rsidR="001229B1" w:rsidRPr="00D920C9">
        <w:rPr>
          <w:rFonts w:asciiTheme="minorHAnsi" w:hAnsiTheme="minorHAnsi"/>
          <w:szCs w:val="20"/>
        </w:rPr>
        <w:t>S</w:t>
      </w:r>
      <w:r w:rsidR="00C45A79" w:rsidRPr="00D920C9">
        <w:rPr>
          <w:rFonts w:asciiTheme="minorHAnsi" w:hAnsiTheme="minorHAnsi"/>
          <w:szCs w:val="20"/>
        </w:rPr>
        <w:t>.</w:t>
      </w:r>
      <w:r w:rsidR="001229B1" w:rsidRPr="00D920C9">
        <w:rPr>
          <w:rFonts w:asciiTheme="minorHAnsi" w:hAnsiTheme="minorHAnsi"/>
          <w:szCs w:val="20"/>
        </w:rPr>
        <w:t xml:space="preserve"> civil society organizations</w:t>
      </w:r>
      <w:r w:rsidRPr="00D920C9">
        <w:rPr>
          <w:rFonts w:asciiTheme="minorHAnsi" w:hAnsiTheme="minorHAnsi"/>
          <w:szCs w:val="20"/>
        </w:rPr>
        <w:t xml:space="preserve"> to use</w:t>
      </w:r>
      <w:r w:rsidR="001229B1" w:rsidRPr="00D920C9">
        <w:rPr>
          <w:rFonts w:asciiTheme="minorHAnsi" w:hAnsiTheme="minorHAnsi"/>
          <w:szCs w:val="20"/>
        </w:rPr>
        <w:t xml:space="preserve"> with </w:t>
      </w:r>
      <w:r w:rsidR="00A13770" w:rsidRPr="00D920C9">
        <w:rPr>
          <w:rFonts w:asciiTheme="minorHAnsi" w:hAnsiTheme="minorHAnsi"/>
          <w:szCs w:val="20"/>
        </w:rPr>
        <w:t xml:space="preserve">federal, </w:t>
      </w:r>
      <w:r w:rsidR="001229B1" w:rsidRPr="00D920C9">
        <w:rPr>
          <w:rFonts w:asciiTheme="minorHAnsi" w:hAnsiTheme="minorHAnsi"/>
          <w:szCs w:val="20"/>
        </w:rPr>
        <w:t>state</w:t>
      </w:r>
      <w:r w:rsidR="00A13770" w:rsidRPr="00D920C9">
        <w:rPr>
          <w:rFonts w:asciiTheme="minorHAnsi" w:hAnsiTheme="minorHAnsi"/>
          <w:szCs w:val="20"/>
        </w:rPr>
        <w:t>, and local</w:t>
      </w:r>
      <w:r w:rsidR="001229B1" w:rsidRPr="00D920C9">
        <w:rPr>
          <w:rFonts w:asciiTheme="minorHAnsi" w:hAnsiTheme="minorHAnsi"/>
          <w:szCs w:val="20"/>
        </w:rPr>
        <w:t xml:space="preserve"> governments to better address racial discrimination in the actions of law enforcement authorities and throughout the criminal justice system.</w:t>
      </w:r>
    </w:p>
    <w:p w14:paraId="28F037F1" w14:textId="77777777" w:rsidR="001229B1" w:rsidRPr="00D920C9" w:rsidRDefault="00BF7CC5" w:rsidP="001167CB">
      <w:pPr>
        <w:pStyle w:val="Heading2"/>
        <w:ind w:left="540" w:hanging="540"/>
      </w:pPr>
      <w:bookmarkStart w:id="8" w:name="_Toc511837799"/>
      <w:bookmarkStart w:id="9" w:name="_Toc511902972"/>
      <w:bookmarkStart w:id="10" w:name="_Toc517687902"/>
      <w:r w:rsidRPr="00D920C9">
        <w:t xml:space="preserve">Sources of </w:t>
      </w:r>
      <w:r w:rsidR="00D86045" w:rsidRPr="00D920C9">
        <w:t>Information</w:t>
      </w:r>
      <w:bookmarkEnd w:id="8"/>
      <w:bookmarkEnd w:id="9"/>
      <w:bookmarkEnd w:id="10"/>
    </w:p>
    <w:p w14:paraId="229EE9DA" w14:textId="77777777" w:rsidR="00530552" w:rsidRPr="00D920C9" w:rsidRDefault="00530552" w:rsidP="002C64F8">
      <w:pPr>
        <w:pStyle w:val="ListParagraph"/>
        <w:numPr>
          <w:ilvl w:val="0"/>
          <w:numId w:val="9"/>
        </w:numPr>
        <w:spacing w:after="240" w:line="240" w:lineRule="auto"/>
        <w:ind w:left="547" w:hanging="547"/>
        <w:contextualSpacing w:val="0"/>
        <w:jc w:val="both"/>
        <w:rPr>
          <w:rFonts w:asciiTheme="minorHAnsi" w:hAnsiTheme="minorHAnsi"/>
          <w:szCs w:val="20"/>
        </w:rPr>
      </w:pPr>
      <w:r w:rsidRPr="00D920C9">
        <w:rPr>
          <w:rFonts w:asciiTheme="minorHAnsi" w:hAnsiTheme="minorHAnsi"/>
          <w:szCs w:val="20"/>
        </w:rPr>
        <w:t>The information analyzed in this report comes from a number of sources, including hearings held between 2014 and 2017</w:t>
      </w:r>
      <w:r w:rsidR="00AD2CAE" w:rsidRPr="00D920C9">
        <w:rPr>
          <w:rFonts w:asciiTheme="minorHAnsi" w:hAnsiTheme="minorHAnsi"/>
          <w:szCs w:val="20"/>
        </w:rPr>
        <w:t>;</w:t>
      </w:r>
      <w:r w:rsidRPr="00D920C9">
        <w:rPr>
          <w:rFonts w:asciiTheme="minorHAnsi" w:hAnsiTheme="minorHAnsi"/>
          <w:szCs w:val="20"/>
        </w:rPr>
        <w:t xml:space="preserve"> an on-site visit to Florida, </w:t>
      </w:r>
      <w:r w:rsidRPr="00D920C9">
        <w:rPr>
          <w:rFonts w:asciiTheme="minorHAnsi" w:hAnsiTheme="minorHAnsi"/>
          <w:szCs w:val="20"/>
        </w:rPr>
        <w:lastRenderedPageBreak/>
        <w:t>Louisiana, and Missouri</w:t>
      </w:r>
      <w:r w:rsidR="00AD2CAE" w:rsidRPr="00D920C9">
        <w:rPr>
          <w:rFonts w:asciiTheme="minorHAnsi" w:hAnsiTheme="minorHAnsi"/>
          <w:szCs w:val="20"/>
        </w:rPr>
        <w:t>;</w:t>
      </w:r>
      <w:r w:rsidRPr="00D920C9">
        <w:rPr>
          <w:rFonts w:asciiTheme="minorHAnsi" w:hAnsiTheme="minorHAnsi"/>
          <w:szCs w:val="20"/>
        </w:rPr>
        <w:t xml:space="preserve"> issues monitored via press releases</w:t>
      </w:r>
      <w:r w:rsidR="00AD2CAE" w:rsidRPr="00D920C9">
        <w:rPr>
          <w:rFonts w:asciiTheme="minorHAnsi" w:hAnsiTheme="minorHAnsi"/>
          <w:szCs w:val="20"/>
        </w:rPr>
        <w:t>;</w:t>
      </w:r>
      <w:r w:rsidRPr="00D920C9">
        <w:rPr>
          <w:rFonts w:asciiTheme="minorHAnsi" w:hAnsiTheme="minorHAnsi"/>
          <w:szCs w:val="20"/>
        </w:rPr>
        <w:t xml:space="preserve"> and additional</w:t>
      </w:r>
      <w:r w:rsidR="00AD2CAE" w:rsidRPr="00D920C9">
        <w:rPr>
          <w:rFonts w:asciiTheme="minorHAnsi" w:hAnsiTheme="minorHAnsi"/>
          <w:szCs w:val="20"/>
        </w:rPr>
        <w:t xml:space="preserve"> documents, reports, and statements issued by State and non-State actors</w:t>
      </w:r>
      <w:r w:rsidRPr="00D920C9">
        <w:rPr>
          <w:rFonts w:asciiTheme="minorHAnsi" w:hAnsiTheme="minorHAnsi"/>
          <w:szCs w:val="20"/>
        </w:rPr>
        <w:t>.</w:t>
      </w:r>
    </w:p>
    <w:p w14:paraId="457E06BE" w14:textId="77777777" w:rsidR="00B4412C" w:rsidRPr="00D920C9" w:rsidRDefault="00B4412C" w:rsidP="0004388D">
      <w:pPr>
        <w:pStyle w:val="Heading3"/>
        <w:ind w:left="547" w:hanging="547"/>
      </w:pPr>
      <w:bookmarkStart w:id="11" w:name="_Toc511837800"/>
      <w:bookmarkStart w:id="12" w:name="_Toc511902973"/>
      <w:bookmarkStart w:id="13" w:name="_Toc517687903"/>
      <w:r w:rsidRPr="00D920C9">
        <w:t>Hearings during Periods of Sessions</w:t>
      </w:r>
      <w:bookmarkEnd w:id="11"/>
      <w:bookmarkEnd w:id="12"/>
      <w:bookmarkEnd w:id="13"/>
    </w:p>
    <w:p w14:paraId="0ED589DB" w14:textId="77777777" w:rsidR="00B4412C" w:rsidRPr="00D920C9" w:rsidRDefault="00B4412C" w:rsidP="002C64F8">
      <w:pPr>
        <w:pStyle w:val="ListParagraph"/>
        <w:numPr>
          <w:ilvl w:val="0"/>
          <w:numId w:val="9"/>
        </w:numPr>
        <w:spacing w:after="240" w:line="240" w:lineRule="auto"/>
        <w:ind w:left="547" w:hanging="547"/>
        <w:contextualSpacing w:val="0"/>
        <w:jc w:val="both"/>
        <w:rPr>
          <w:rFonts w:asciiTheme="minorHAnsi" w:hAnsiTheme="minorHAnsi"/>
          <w:szCs w:val="20"/>
        </w:rPr>
      </w:pPr>
      <w:r w:rsidRPr="00D920C9">
        <w:rPr>
          <w:rFonts w:asciiTheme="minorHAnsi" w:hAnsiTheme="minorHAnsi"/>
          <w:szCs w:val="20"/>
        </w:rPr>
        <w:t xml:space="preserve">The Inter-American Commission has convened a number of thematic hearings on issues of systemic racism, policing and use of force, and racism in the criminal justice system in the </w:t>
      </w:r>
      <w:r w:rsidR="00904A46" w:rsidRPr="00D920C9">
        <w:rPr>
          <w:rFonts w:asciiTheme="minorHAnsi" w:hAnsiTheme="minorHAnsi"/>
          <w:szCs w:val="20"/>
        </w:rPr>
        <w:t>U.S.</w:t>
      </w:r>
      <w:r w:rsidRPr="00D920C9">
        <w:rPr>
          <w:rFonts w:asciiTheme="minorHAnsi" w:hAnsiTheme="minorHAnsi"/>
          <w:szCs w:val="20"/>
        </w:rPr>
        <w:t xml:space="preserve"> over the past five years, through which it has gathered substantial information about </w:t>
      </w:r>
      <w:r w:rsidR="00AD2CAE" w:rsidRPr="00D920C9">
        <w:rPr>
          <w:rFonts w:asciiTheme="minorHAnsi" w:hAnsiTheme="minorHAnsi"/>
          <w:szCs w:val="20"/>
        </w:rPr>
        <w:t>existing challenges</w:t>
      </w:r>
      <w:r w:rsidRPr="00D920C9">
        <w:rPr>
          <w:rFonts w:asciiTheme="minorHAnsi" w:hAnsiTheme="minorHAnsi"/>
          <w:szCs w:val="20"/>
        </w:rPr>
        <w:t>. These hearings have been convened on the Commission’s own motion (ex officio), at the request of the government of the United States, and at the request of civil society and academic organizations.</w:t>
      </w:r>
    </w:p>
    <w:p w14:paraId="31166070" w14:textId="57E40A23" w:rsidR="00B4412C" w:rsidRPr="00D920C9" w:rsidRDefault="00B4412C" w:rsidP="002C64F8">
      <w:pPr>
        <w:pStyle w:val="ListParagraph"/>
        <w:numPr>
          <w:ilvl w:val="0"/>
          <w:numId w:val="9"/>
        </w:numPr>
        <w:spacing w:after="240" w:line="240" w:lineRule="auto"/>
        <w:ind w:left="547" w:hanging="547"/>
        <w:contextualSpacing w:val="0"/>
        <w:jc w:val="both"/>
        <w:rPr>
          <w:rFonts w:asciiTheme="minorHAnsi" w:hAnsiTheme="minorHAnsi"/>
          <w:szCs w:val="20"/>
        </w:rPr>
      </w:pPr>
      <w:r w:rsidRPr="00D920C9">
        <w:rPr>
          <w:rFonts w:asciiTheme="minorHAnsi" w:hAnsiTheme="minorHAnsi"/>
          <w:szCs w:val="20"/>
        </w:rPr>
        <w:t>On March 25, 2014, the Commission held a</w:t>
      </w:r>
      <w:r w:rsidR="00653290" w:rsidRPr="00D920C9">
        <w:rPr>
          <w:rFonts w:asciiTheme="minorHAnsi" w:hAnsiTheme="minorHAnsi"/>
          <w:szCs w:val="20"/>
        </w:rPr>
        <w:t xml:space="preserve"> hearing on “Stand Your Ground</w:t>
      </w:r>
      <w:r w:rsidRPr="00D920C9">
        <w:rPr>
          <w:rFonts w:asciiTheme="minorHAnsi" w:hAnsiTheme="minorHAnsi"/>
          <w:szCs w:val="20"/>
        </w:rPr>
        <w:t xml:space="preserve"> Laws and their impact on</w:t>
      </w:r>
      <w:r w:rsidR="00516F61" w:rsidRPr="00D920C9">
        <w:rPr>
          <w:rFonts w:asciiTheme="minorHAnsi" w:hAnsiTheme="minorHAnsi"/>
          <w:szCs w:val="20"/>
        </w:rPr>
        <w:t xml:space="preserve"> groups historically subjected to discrimination and exclusion</w:t>
      </w:r>
      <w:r w:rsidRPr="00D920C9">
        <w:rPr>
          <w:rFonts w:asciiTheme="minorHAnsi" w:hAnsiTheme="minorHAnsi"/>
          <w:szCs w:val="20"/>
        </w:rPr>
        <w:t xml:space="preserve"> in the United States” at its headquarters in Washington, D.C.</w:t>
      </w:r>
      <w:r w:rsidR="00684DFD" w:rsidRPr="00D920C9">
        <w:rPr>
          <w:rFonts w:asciiTheme="minorHAnsi" w:hAnsiTheme="minorHAnsi"/>
          <w:szCs w:val="20"/>
        </w:rPr>
        <w:t>,</w:t>
      </w:r>
      <w:r w:rsidRPr="00D920C9">
        <w:rPr>
          <w:rFonts w:asciiTheme="minorHAnsi" w:hAnsiTheme="minorHAnsi"/>
          <w:vertAlign w:val="superscript"/>
        </w:rPr>
        <w:footnoteReference w:id="4"/>
      </w:r>
      <w:r w:rsidRPr="00D920C9">
        <w:rPr>
          <w:rFonts w:asciiTheme="minorHAnsi" w:hAnsiTheme="minorHAnsi"/>
          <w:szCs w:val="20"/>
        </w:rPr>
        <w:t xml:space="preserve"> </w:t>
      </w:r>
      <w:r w:rsidR="00684DFD" w:rsidRPr="00D920C9">
        <w:rPr>
          <w:rFonts w:asciiTheme="minorHAnsi" w:hAnsiTheme="minorHAnsi"/>
          <w:szCs w:val="20"/>
        </w:rPr>
        <w:t>where it received</w:t>
      </w:r>
      <w:r w:rsidRPr="00D920C9">
        <w:rPr>
          <w:rFonts w:asciiTheme="minorHAnsi" w:hAnsiTheme="minorHAnsi"/>
          <w:szCs w:val="20"/>
        </w:rPr>
        <w:t xml:space="preserve"> information on the human rights implications of “Stand Your Ground” laws currently in force in several states, and received testimony from the parents of </w:t>
      </w:r>
      <w:proofErr w:type="spellStart"/>
      <w:r w:rsidRPr="00D920C9">
        <w:rPr>
          <w:rFonts w:asciiTheme="minorHAnsi" w:hAnsiTheme="minorHAnsi"/>
          <w:szCs w:val="20"/>
        </w:rPr>
        <w:t>Travyon</w:t>
      </w:r>
      <w:proofErr w:type="spellEnd"/>
      <w:r w:rsidRPr="00D920C9">
        <w:rPr>
          <w:rFonts w:asciiTheme="minorHAnsi" w:hAnsiTheme="minorHAnsi"/>
          <w:szCs w:val="20"/>
        </w:rPr>
        <w:t xml:space="preserve"> Martin and Jordan Davis, two </w:t>
      </w:r>
      <w:r w:rsidR="00684DFD" w:rsidRPr="00D920C9">
        <w:rPr>
          <w:rFonts w:asciiTheme="minorHAnsi" w:hAnsiTheme="minorHAnsi"/>
          <w:szCs w:val="20"/>
        </w:rPr>
        <w:t>b</w:t>
      </w:r>
      <w:r w:rsidRPr="00D920C9">
        <w:rPr>
          <w:rFonts w:asciiTheme="minorHAnsi" w:hAnsiTheme="minorHAnsi"/>
          <w:szCs w:val="20"/>
        </w:rPr>
        <w:t xml:space="preserve">lack teenagers shot and killed by civilians who </w:t>
      </w:r>
      <w:r w:rsidR="00530552" w:rsidRPr="00D920C9">
        <w:rPr>
          <w:rFonts w:asciiTheme="minorHAnsi" w:hAnsiTheme="minorHAnsi"/>
          <w:szCs w:val="20"/>
        </w:rPr>
        <w:t>invoked</w:t>
      </w:r>
      <w:r w:rsidRPr="00D920C9">
        <w:rPr>
          <w:rFonts w:asciiTheme="minorHAnsi" w:hAnsiTheme="minorHAnsi"/>
          <w:szCs w:val="20"/>
        </w:rPr>
        <w:t xml:space="preserve"> Florida’s “Stand Your Ground” law</w:t>
      </w:r>
      <w:r w:rsidR="00530552" w:rsidRPr="00D920C9">
        <w:rPr>
          <w:rFonts w:asciiTheme="minorHAnsi" w:hAnsiTheme="minorHAnsi"/>
          <w:szCs w:val="20"/>
        </w:rPr>
        <w:t xml:space="preserve"> as a legal defense to the crime of homicide</w:t>
      </w:r>
      <w:r w:rsidRPr="00D920C9">
        <w:rPr>
          <w:rFonts w:asciiTheme="minorHAnsi" w:hAnsiTheme="minorHAnsi"/>
          <w:szCs w:val="20"/>
        </w:rPr>
        <w:t xml:space="preserve">. </w:t>
      </w:r>
    </w:p>
    <w:p w14:paraId="427E8646" w14:textId="77777777" w:rsidR="00B4412C" w:rsidRPr="00D920C9" w:rsidRDefault="00B4412C" w:rsidP="002C64F8">
      <w:pPr>
        <w:pStyle w:val="ListParagraph"/>
        <w:numPr>
          <w:ilvl w:val="0"/>
          <w:numId w:val="9"/>
        </w:numPr>
        <w:spacing w:after="240" w:line="240" w:lineRule="auto"/>
        <w:ind w:left="547" w:hanging="547"/>
        <w:contextualSpacing w:val="0"/>
        <w:jc w:val="both"/>
        <w:rPr>
          <w:rFonts w:asciiTheme="minorHAnsi" w:hAnsiTheme="minorHAnsi"/>
          <w:szCs w:val="20"/>
        </w:rPr>
      </w:pPr>
      <w:r w:rsidRPr="00D920C9">
        <w:rPr>
          <w:rFonts w:asciiTheme="minorHAnsi" w:hAnsiTheme="minorHAnsi"/>
          <w:szCs w:val="20"/>
        </w:rPr>
        <w:t>On October 27, 2014, the Commission held a hearing on “Reports of Racism in the Justice System of the United States.”</w:t>
      </w:r>
      <w:r w:rsidRPr="00D920C9">
        <w:rPr>
          <w:rStyle w:val="FootnoteReference"/>
          <w:rFonts w:asciiTheme="minorHAnsi" w:hAnsiTheme="minorHAnsi"/>
          <w:szCs w:val="20"/>
        </w:rPr>
        <w:footnoteReference w:id="5"/>
      </w:r>
      <w:r w:rsidRPr="00D920C9">
        <w:rPr>
          <w:rFonts w:asciiTheme="minorHAnsi" w:hAnsiTheme="minorHAnsi"/>
          <w:szCs w:val="20"/>
        </w:rPr>
        <w:t xml:space="preserve"> The hearing was convened </w:t>
      </w:r>
      <w:r w:rsidRPr="00D920C9">
        <w:rPr>
          <w:rFonts w:asciiTheme="minorHAnsi" w:hAnsiTheme="minorHAnsi"/>
          <w:i/>
          <w:szCs w:val="20"/>
        </w:rPr>
        <w:t>ex officio</w:t>
      </w:r>
      <w:r w:rsidRPr="00D920C9">
        <w:rPr>
          <w:rFonts w:asciiTheme="minorHAnsi" w:hAnsiTheme="minorHAnsi"/>
          <w:szCs w:val="20"/>
        </w:rPr>
        <w:t xml:space="preserve"> by the Commission. At the hearing, the Commission received information from attendees </w:t>
      </w:r>
      <w:r w:rsidR="00AD2CAE" w:rsidRPr="00D920C9">
        <w:rPr>
          <w:rFonts w:asciiTheme="minorHAnsi" w:hAnsiTheme="minorHAnsi"/>
          <w:szCs w:val="20"/>
        </w:rPr>
        <w:t>regarding</w:t>
      </w:r>
      <w:r w:rsidRPr="00D920C9">
        <w:rPr>
          <w:rFonts w:asciiTheme="minorHAnsi" w:hAnsiTheme="minorHAnsi"/>
          <w:szCs w:val="20"/>
        </w:rPr>
        <w:t xml:space="preserve"> issues of racial discrimination in the areas of: policing (racial profiling, over</w:t>
      </w:r>
      <w:r w:rsidR="00064585" w:rsidRPr="00D920C9">
        <w:rPr>
          <w:rFonts w:asciiTheme="minorHAnsi" w:hAnsiTheme="minorHAnsi"/>
          <w:szCs w:val="20"/>
        </w:rPr>
        <w:t>-</w:t>
      </w:r>
      <w:r w:rsidRPr="00D920C9">
        <w:rPr>
          <w:rFonts w:asciiTheme="minorHAnsi" w:hAnsiTheme="minorHAnsi"/>
          <w:szCs w:val="20"/>
        </w:rPr>
        <w:t xml:space="preserve">policing of </w:t>
      </w:r>
      <w:r w:rsidR="00B70D71" w:rsidRPr="00D920C9">
        <w:rPr>
          <w:rFonts w:asciiTheme="minorHAnsi" w:hAnsiTheme="minorHAnsi"/>
          <w:szCs w:val="20"/>
        </w:rPr>
        <w:t>historically marginalized groups</w:t>
      </w:r>
      <w:r w:rsidRPr="00D920C9">
        <w:rPr>
          <w:rFonts w:asciiTheme="minorHAnsi" w:hAnsiTheme="minorHAnsi"/>
          <w:szCs w:val="20"/>
        </w:rPr>
        <w:t xml:space="preserve">, </w:t>
      </w:r>
      <w:proofErr w:type="gramStart"/>
      <w:r w:rsidRPr="00D920C9">
        <w:rPr>
          <w:rFonts w:asciiTheme="minorHAnsi" w:hAnsiTheme="minorHAnsi"/>
          <w:szCs w:val="20"/>
        </w:rPr>
        <w:t>excessive</w:t>
      </w:r>
      <w:proofErr w:type="gramEnd"/>
      <w:r w:rsidRPr="00D920C9">
        <w:rPr>
          <w:rFonts w:asciiTheme="minorHAnsi" w:hAnsiTheme="minorHAnsi"/>
          <w:szCs w:val="20"/>
        </w:rPr>
        <w:t xml:space="preserve"> use of force), voting rights (felony disenfranchisement), mass incarceration, juvenile justice, and government initiatives to reduce the racially disparate impact of mass incarceration and racial profiling.</w:t>
      </w:r>
    </w:p>
    <w:p w14:paraId="0AF20041" w14:textId="64D25F00" w:rsidR="00B4412C" w:rsidRPr="00D920C9" w:rsidRDefault="00B4412C" w:rsidP="002C64F8">
      <w:pPr>
        <w:pStyle w:val="ListParagraph"/>
        <w:numPr>
          <w:ilvl w:val="0"/>
          <w:numId w:val="9"/>
        </w:numPr>
        <w:spacing w:after="240" w:line="240" w:lineRule="auto"/>
        <w:ind w:left="547" w:hanging="547"/>
        <w:contextualSpacing w:val="0"/>
        <w:jc w:val="both"/>
        <w:rPr>
          <w:rFonts w:asciiTheme="minorHAnsi" w:hAnsiTheme="minorHAnsi"/>
          <w:szCs w:val="20"/>
        </w:rPr>
      </w:pPr>
      <w:bookmarkStart w:id="14" w:name="_Ref511834451"/>
      <w:r w:rsidRPr="00D920C9">
        <w:rPr>
          <w:rFonts w:asciiTheme="minorHAnsi" w:hAnsiTheme="minorHAnsi"/>
          <w:szCs w:val="20"/>
        </w:rPr>
        <w:lastRenderedPageBreak/>
        <w:t>On March 16, 2015, the Commission held a hearing on “Criminal Justice and Race in the United States.”</w:t>
      </w:r>
      <w:r w:rsidRPr="00D920C9">
        <w:rPr>
          <w:rFonts w:asciiTheme="minorHAnsi" w:hAnsiTheme="minorHAnsi"/>
          <w:vertAlign w:val="superscript"/>
        </w:rPr>
        <w:footnoteReference w:id="6"/>
      </w:r>
      <w:r w:rsidRPr="00D920C9">
        <w:rPr>
          <w:rFonts w:asciiTheme="minorHAnsi" w:hAnsiTheme="minorHAnsi"/>
          <w:szCs w:val="20"/>
        </w:rPr>
        <w:t xml:space="preserve"> The hearing was requested by the State. At the hearing, the Commission received extensive information from the State about diverse initiatives including compliance with recommendations from the President</w:t>
      </w:r>
      <w:r w:rsidR="00CE6332" w:rsidRPr="00D920C9">
        <w:rPr>
          <w:rFonts w:asciiTheme="minorHAnsi" w:hAnsiTheme="minorHAnsi"/>
          <w:szCs w:val="20"/>
        </w:rPr>
        <w:t xml:space="preserve"> Obama’s</w:t>
      </w:r>
      <w:r w:rsidRPr="00D920C9">
        <w:rPr>
          <w:rFonts w:asciiTheme="minorHAnsi" w:hAnsiTheme="minorHAnsi"/>
          <w:szCs w:val="20"/>
        </w:rPr>
        <w:t xml:space="preserve"> Task Force on 21st Century Policing</w:t>
      </w:r>
      <w:r w:rsidR="00530552" w:rsidRPr="00D920C9">
        <w:rPr>
          <w:rFonts w:asciiTheme="minorHAnsi" w:hAnsiTheme="minorHAnsi"/>
          <w:szCs w:val="20"/>
        </w:rPr>
        <w:t>;</w:t>
      </w:r>
      <w:r w:rsidRPr="00D920C9">
        <w:rPr>
          <w:rFonts w:asciiTheme="minorHAnsi" w:hAnsiTheme="minorHAnsi"/>
          <w:szCs w:val="20"/>
        </w:rPr>
        <w:t xml:space="preserve"> investigations of municipal police departments by the Department of Justice</w:t>
      </w:r>
      <w:r w:rsidR="00530552" w:rsidRPr="00D920C9">
        <w:rPr>
          <w:rFonts w:asciiTheme="minorHAnsi" w:hAnsiTheme="minorHAnsi"/>
          <w:szCs w:val="20"/>
        </w:rPr>
        <w:t>;</w:t>
      </w:r>
      <w:r w:rsidRPr="00D920C9">
        <w:rPr>
          <w:rFonts w:asciiTheme="minorHAnsi" w:hAnsiTheme="minorHAnsi"/>
          <w:szCs w:val="20"/>
        </w:rPr>
        <w:t xml:space="preserve"> Department of Labor and EEOC anti-discriminat</w:t>
      </w:r>
      <w:r w:rsidR="00530552" w:rsidRPr="00D920C9">
        <w:rPr>
          <w:rFonts w:asciiTheme="minorHAnsi" w:hAnsiTheme="minorHAnsi"/>
          <w:szCs w:val="20"/>
        </w:rPr>
        <w:t>ion programs and policy changes;</w:t>
      </w:r>
      <w:r w:rsidRPr="00D920C9">
        <w:rPr>
          <w:rFonts w:asciiTheme="minorHAnsi" w:hAnsiTheme="minorHAnsi"/>
          <w:szCs w:val="20"/>
        </w:rPr>
        <w:t xml:space="preserve"> and regional cooperation initiatives, among others. The Commission additionally received information on discriminatory policing practices (including New York City’s “Stop and Frisk” program, surveillance of Muslim communities, and police practices in Ferguson, Missouri), the lifelong impact of felony convictions on access to </w:t>
      </w:r>
      <w:r w:rsidR="00530552" w:rsidRPr="00D920C9">
        <w:rPr>
          <w:rFonts w:asciiTheme="minorHAnsi" w:hAnsiTheme="minorHAnsi"/>
          <w:szCs w:val="20"/>
        </w:rPr>
        <w:t>political,</w:t>
      </w:r>
      <w:r w:rsidRPr="00D920C9">
        <w:rPr>
          <w:rFonts w:asciiTheme="minorHAnsi" w:hAnsiTheme="minorHAnsi"/>
          <w:szCs w:val="20"/>
        </w:rPr>
        <w:t xml:space="preserve"> economic and social rights, and the militarization of police departments.</w:t>
      </w:r>
      <w:bookmarkEnd w:id="14"/>
    </w:p>
    <w:p w14:paraId="01006268" w14:textId="77777777" w:rsidR="00B4412C" w:rsidRPr="00D920C9" w:rsidRDefault="00B4412C" w:rsidP="002C64F8">
      <w:pPr>
        <w:pStyle w:val="ListParagraph"/>
        <w:numPr>
          <w:ilvl w:val="0"/>
          <w:numId w:val="9"/>
        </w:numPr>
        <w:spacing w:after="240" w:line="240" w:lineRule="auto"/>
        <w:ind w:left="547" w:hanging="547"/>
        <w:contextualSpacing w:val="0"/>
        <w:jc w:val="both"/>
        <w:rPr>
          <w:rFonts w:asciiTheme="minorHAnsi" w:hAnsiTheme="minorHAnsi"/>
          <w:szCs w:val="20"/>
        </w:rPr>
      </w:pPr>
      <w:r w:rsidRPr="00D920C9">
        <w:rPr>
          <w:rFonts w:asciiTheme="minorHAnsi" w:hAnsiTheme="minorHAnsi"/>
          <w:szCs w:val="20"/>
        </w:rPr>
        <w:t>On October 23, 2015, the Commission held a hearing on “Reports of Excessive Use of Force by the Police against People of African Descent in the United States.”</w:t>
      </w:r>
      <w:r w:rsidRPr="00D920C9">
        <w:rPr>
          <w:rFonts w:asciiTheme="minorHAnsi" w:hAnsiTheme="minorHAnsi"/>
          <w:vertAlign w:val="superscript"/>
        </w:rPr>
        <w:footnoteReference w:id="7"/>
      </w:r>
      <w:r w:rsidRPr="00D920C9">
        <w:rPr>
          <w:rFonts w:asciiTheme="minorHAnsi" w:hAnsiTheme="minorHAnsi"/>
          <w:szCs w:val="20"/>
        </w:rPr>
        <w:t xml:space="preserve"> At the hearing, the Commission received information about racial disparities in the criminal justice system and in police use of force, and received testimony from family members of </w:t>
      </w:r>
      <w:proofErr w:type="spellStart"/>
      <w:r w:rsidRPr="00D920C9">
        <w:rPr>
          <w:rFonts w:asciiTheme="minorHAnsi" w:hAnsiTheme="minorHAnsi"/>
          <w:szCs w:val="20"/>
        </w:rPr>
        <w:t>Rekia</w:t>
      </w:r>
      <w:proofErr w:type="spellEnd"/>
      <w:r w:rsidRPr="00D920C9">
        <w:rPr>
          <w:rFonts w:asciiTheme="minorHAnsi" w:hAnsiTheme="minorHAnsi"/>
          <w:szCs w:val="20"/>
        </w:rPr>
        <w:t xml:space="preserve"> Boyd, Clinton Allen, and </w:t>
      </w:r>
      <w:proofErr w:type="spellStart"/>
      <w:r w:rsidRPr="00D920C9">
        <w:rPr>
          <w:rFonts w:asciiTheme="minorHAnsi" w:hAnsiTheme="minorHAnsi"/>
          <w:szCs w:val="20"/>
        </w:rPr>
        <w:t>Tesfaie</w:t>
      </w:r>
      <w:proofErr w:type="spellEnd"/>
      <w:r w:rsidRPr="00D920C9">
        <w:rPr>
          <w:rFonts w:asciiTheme="minorHAnsi" w:hAnsiTheme="minorHAnsi"/>
          <w:szCs w:val="20"/>
        </w:rPr>
        <w:t xml:space="preserve"> </w:t>
      </w:r>
      <w:proofErr w:type="spellStart"/>
      <w:r w:rsidRPr="00D920C9">
        <w:rPr>
          <w:rFonts w:asciiTheme="minorHAnsi" w:hAnsiTheme="minorHAnsi"/>
          <w:szCs w:val="20"/>
        </w:rPr>
        <w:t>Mokuria</w:t>
      </w:r>
      <w:proofErr w:type="spellEnd"/>
      <w:r w:rsidRPr="00D920C9">
        <w:rPr>
          <w:rFonts w:asciiTheme="minorHAnsi" w:hAnsiTheme="minorHAnsi"/>
          <w:szCs w:val="20"/>
        </w:rPr>
        <w:t xml:space="preserve">, Afro-descendants killed by police, about the impact of those killings on their families. The Commission additionally received updates on the status of several State reform initiatives first addressed at the October 27, 2014 hearing. </w:t>
      </w:r>
    </w:p>
    <w:p w14:paraId="06CBEA61" w14:textId="77777777" w:rsidR="00B4412C" w:rsidRPr="00D920C9" w:rsidRDefault="00B4412C" w:rsidP="002C64F8">
      <w:pPr>
        <w:pStyle w:val="ListParagraph"/>
        <w:numPr>
          <w:ilvl w:val="0"/>
          <w:numId w:val="9"/>
        </w:numPr>
        <w:spacing w:after="240" w:line="240" w:lineRule="auto"/>
        <w:ind w:left="547" w:hanging="547"/>
        <w:contextualSpacing w:val="0"/>
        <w:jc w:val="both"/>
        <w:rPr>
          <w:rFonts w:asciiTheme="minorHAnsi" w:eastAsia="Times New Roman" w:hAnsiTheme="minorHAnsi"/>
          <w:b/>
          <w:szCs w:val="20"/>
          <w:lang w:eastAsia="es-ES"/>
        </w:rPr>
      </w:pPr>
      <w:r w:rsidRPr="00D920C9">
        <w:rPr>
          <w:rFonts w:asciiTheme="minorHAnsi" w:hAnsiTheme="minorHAnsi"/>
          <w:szCs w:val="20"/>
        </w:rPr>
        <w:t xml:space="preserve">On December 7, 2017, the Commission held a hearing on “Reports of impunity for extrajudicial </w:t>
      </w:r>
      <w:r w:rsidR="008F2BF7" w:rsidRPr="00D920C9">
        <w:rPr>
          <w:rFonts w:asciiTheme="minorHAnsi" w:hAnsiTheme="minorHAnsi"/>
          <w:szCs w:val="20"/>
        </w:rPr>
        <w:t>killings</w:t>
      </w:r>
      <w:r w:rsidRPr="00D920C9">
        <w:rPr>
          <w:rFonts w:asciiTheme="minorHAnsi" w:hAnsiTheme="minorHAnsi"/>
          <w:szCs w:val="20"/>
        </w:rPr>
        <w:t xml:space="preserve"> in the United States.”</w:t>
      </w:r>
      <w:r w:rsidR="00647162" w:rsidRPr="00D920C9">
        <w:rPr>
          <w:rStyle w:val="FootnoteReference"/>
          <w:rFonts w:asciiTheme="minorHAnsi" w:hAnsiTheme="minorHAnsi"/>
          <w:szCs w:val="20"/>
        </w:rPr>
        <w:footnoteReference w:id="8"/>
      </w:r>
      <w:r w:rsidRPr="00D920C9">
        <w:rPr>
          <w:rFonts w:asciiTheme="minorHAnsi" w:hAnsiTheme="minorHAnsi"/>
          <w:szCs w:val="20"/>
        </w:rPr>
        <w:t xml:space="preserve"> </w:t>
      </w:r>
      <w:r w:rsidR="00F305E0" w:rsidRPr="00D920C9">
        <w:rPr>
          <w:rFonts w:asciiTheme="minorHAnsi" w:hAnsiTheme="minorHAnsi"/>
          <w:szCs w:val="20"/>
        </w:rPr>
        <w:t xml:space="preserve">At the hearing, the Commission received testimony from the families of </w:t>
      </w:r>
      <w:proofErr w:type="spellStart"/>
      <w:r w:rsidR="00F305E0" w:rsidRPr="00D920C9">
        <w:rPr>
          <w:rFonts w:asciiTheme="minorHAnsi" w:hAnsiTheme="minorHAnsi"/>
          <w:szCs w:val="20"/>
        </w:rPr>
        <w:t>Dontré</w:t>
      </w:r>
      <w:proofErr w:type="spellEnd"/>
      <w:r w:rsidR="00F305E0" w:rsidRPr="00D920C9">
        <w:rPr>
          <w:rFonts w:asciiTheme="minorHAnsi" w:hAnsiTheme="minorHAnsi"/>
          <w:szCs w:val="20"/>
        </w:rPr>
        <w:t xml:space="preserve"> Hamilton, a mentally ill African</w:t>
      </w:r>
      <w:r w:rsidR="0030356C" w:rsidRPr="00D920C9">
        <w:rPr>
          <w:rFonts w:asciiTheme="minorHAnsi" w:hAnsiTheme="minorHAnsi"/>
          <w:szCs w:val="20"/>
        </w:rPr>
        <w:t xml:space="preserve"> </w:t>
      </w:r>
      <w:r w:rsidR="00F305E0" w:rsidRPr="00D920C9">
        <w:rPr>
          <w:rFonts w:asciiTheme="minorHAnsi" w:hAnsiTheme="minorHAnsi"/>
          <w:szCs w:val="20"/>
        </w:rPr>
        <w:t xml:space="preserve">American man killed by police in Milwaukee, </w:t>
      </w:r>
      <w:r w:rsidR="00F305E0" w:rsidRPr="00D920C9">
        <w:rPr>
          <w:rFonts w:asciiTheme="minorHAnsi" w:hAnsiTheme="minorHAnsi"/>
          <w:szCs w:val="20"/>
        </w:rPr>
        <w:lastRenderedPageBreak/>
        <w:t xml:space="preserve">Wisconsin, and Luis </w:t>
      </w:r>
      <w:proofErr w:type="spellStart"/>
      <w:r w:rsidR="00F305E0" w:rsidRPr="00D920C9">
        <w:rPr>
          <w:rFonts w:asciiTheme="minorHAnsi" w:hAnsiTheme="minorHAnsi"/>
          <w:szCs w:val="20"/>
        </w:rPr>
        <w:t>Góngora</w:t>
      </w:r>
      <w:proofErr w:type="spellEnd"/>
      <w:r w:rsidR="00F305E0" w:rsidRPr="00D920C9">
        <w:rPr>
          <w:rFonts w:asciiTheme="minorHAnsi" w:hAnsiTheme="minorHAnsi"/>
          <w:szCs w:val="20"/>
        </w:rPr>
        <w:t xml:space="preserve"> Pat, an indigenous (Maya) Mexican migrant worker experiencing homelessness killed by police in San Francisco, California, as well as from the journalist Shaun King</w:t>
      </w:r>
      <w:r w:rsidR="00B81523" w:rsidRPr="00D920C9">
        <w:rPr>
          <w:rFonts w:asciiTheme="minorHAnsi" w:hAnsiTheme="minorHAnsi"/>
          <w:szCs w:val="20"/>
        </w:rPr>
        <w:t>,</w:t>
      </w:r>
      <w:r w:rsidR="00F305E0" w:rsidRPr="00D920C9">
        <w:rPr>
          <w:rFonts w:asciiTheme="minorHAnsi" w:hAnsiTheme="minorHAnsi"/>
          <w:szCs w:val="20"/>
        </w:rPr>
        <w:t xml:space="preserve"> about the problem of police killings. </w:t>
      </w:r>
    </w:p>
    <w:p w14:paraId="77110CCE" w14:textId="75937D81" w:rsidR="003A6467" w:rsidRPr="00D920C9" w:rsidRDefault="003A6467" w:rsidP="0004388D">
      <w:pPr>
        <w:pStyle w:val="Heading3"/>
        <w:ind w:left="547" w:hanging="547"/>
      </w:pPr>
      <w:bookmarkStart w:id="15" w:name="_Toc511837801"/>
      <w:bookmarkStart w:id="16" w:name="_Toc511902974"/>
      <w:bookmarkStart w:id="17" w:name="_Toc517687904"/>
      <w:r w:rsidRPr="00D920C9">
        <w:t>On-</w:t>
      </w:r>
      <w:r w:rsidR="00B2330B" w:rsidRPr="00D920C9">
        <w:t>S</w:t>
      </w:r>
      <w:r w:rsidRPr="00D920C9">
        <w:t xml:space="preserve">ite </w:t>
      </w:r>
      <w:r w:rsidR="00D86045" w:rsidRPr="00D920C9">
        <w:t>Visit</w:t>
      </w:r>
      <w:bookmarkEnd w:id="15"/>
      <w:bookmarkEnd w:id="16"/>
      <w:bookmarkEnd w:id="17"/>
      <w:r w:rsidR="00D86045" w:rsidRPr="00D920C9">
        <w:t xml:space="preserve"> </w:t>
      </w:r>
    </w:p>
    <w:p w14:paraId="64253B43" w14:textId="2C17A15B" w:rsidR="003A6467" w:rsidRPr="00D920C9" w:rsidRDefault="003A6467" w:rsidP="002C64F8">
      <w:pPr>
        <w:pStyle w:val="ListParagraph"/>
        <w:numPr>
          <w:ilvl w:val="0"/>
          <w:numId w:val="9"/>
        </w:numPr>
        <w:spacing w:after="240" w:line="240" w:lineRule="auto"/>
        <w:ind w:left="547" w:hanging="547"/>
        <w:contextualSpacing w:val="0"/>
        <w:jc w:val="both"/>
        <w:rPr>
          <w:rFonts w:asciiTheme="minorHAnsi" w:hAnsiTheme="minorHAnsi"/>
          <w:szCs w:val="20"/>
        </w:rPr>
      </w:pPr>
      <w:r w:rsidRPr="00D920C9">
        <w:rPr>
          <w:rFonts w:asciiTheme="minorHAnsi" w:hAnsiTheme="minorHAnsi"/>
          <w:szCs w:val="20"/>
        </w:rPr>
        <w:t>The Inter-American Commission conducted a visit to the United States from September 21-25, 2015, to receive information on racial discrimination</w:t>
      </w:r>
      <w:r w:rsidR="00942B78" w:rsidRPr="00D920C9">
        <w:rPr>
          <w:rFonts w:asciiTheme="minorHAnsi" w:hAnsiTheme="minorHAnsi"/>
          <w:szCs w:val="20"/>
        </w:rPr>
        <w:t xml:space="preserve">, policing in the </w:t>
      </w:r>
      <w:r w:rsidR="00684DFD" w:rsidRPr="00D920C9">
        <w:rPr>
          <w:rFonts w:asciiTheme="minorHAnsi" w:hAnsiTheme="minorHAnsi"/>
          <w:szCs w:val="20"/>
        </w:rPr>
        <w:t>U.S.</w:t>
      </w:r>
      <w:r w:rsidR="00942B78" w:rsidRPr="00D920C9">
        <w:rPr>
          <w:rFonts w:asciiTheme="minorHAnsi" w:hAnsiTheme="minorHAnsi"/>
          <w:szCs w:val="20"/>
        </w:rPr>
        <w:t>,</w:t>
      </w:r>
      <w:r w:rsidRPr="00D920C9">
        <w:rPr>
          <w:rFonts w:asciiTheme="minorHAnsi" w:hAnsiTheme="minorHAnsi"/>
          <w:szCs w:val="20"/>
        </w:rPr>
        <w:t xml:space="preserve"> and</w:t>
      </w:r>
      <w:r w:rsidR="00942B78" w:rsidRPr="00D920C9">
        <w:rPr>
          <w:rFonts w:asciiTheme="minorHAnsi" w:hAnsiTheme="minorHAnsi"/>
          <w:szCs w:val="20"/>
        </w:rPr>
        <w:t xml:space="preserve"> human rights issues related to</w:t>
      </w:r>
      <w:r w:rsidRPr="00D920C9">
        <w:rPr>
          <w:rFonts w:asciiTheme="minorHAnsi" w:hAnsiTheme="minorHAnsi"/>
          <w:szCs w:val="20"/>
        </w:rPr>
        <w:t xml:space="preserve"> poverty.</w:t>
      </w:r>
      <w:r w:rsidRPr="00D920C9">
        <w:rPr>
          <w:rFonts w:asciiTheme="minorHAnsi" w:hAnsiTheme="minorHAnsi"/>
          <w:vertAlign w:val="superscript"/>
        </w:rPr>
        <w:footnoteReference w:id="9"/>
      </w:r>
      <w:r w:rsidRPr="00D920C9">
        <w:rPr>
          <w:rFonts w:asciiTheme="minorHAnsi" w:hAnsiTheme="minorHAnsi"/>
          <w:szCs w:val="20"/>
        </w:rPr>
        <w:t xml:space="preserve"> </w:t>
      </w:r>
      <w:r w:rsidR="00684DFD" w:rsidRPr="00D920C9">
        <w:rPr>
          <w:rFonts w:asciiTheme="minorHAnsi" w:hAnsiTheme="minorHAnsi"/>
          <w:szCs w:val="20"/>
        </w:rPr>
        <w:t>T</w:t>
      </w:r>
      <w:r w:rsidRPr="00D920C9">
        <w:rPr>
          <w:rFonts w:asciiTheme="minorHAnsi" w:hAnsiTheme="minorHAnsi"/>
          <w:szCs w:val="20"/>
        </w:rPr>
        <w:t xml:space="preserve">he Commission </w:t>
      </w:r>
      <w:r w:rsidR="000B66CF" w:rsidRPr="00D920C9">
        <w:rPr>
          <w:rFonts w:asciiTheme="minorHAnsi" w:hAnsiTheme="minorHAnsi"/>
          <w:szCs w:val="20"/>
        </w:rPr>
        <w:t>traveled to the</w:t>
      </w:r>
      <w:r w:rsidRPr="00D920C9">
        <w:rPr>
          <w:rFonts w:asciiTheme="minorHAnsi" w:hAnsiTheme="minorHAnsi"/>
          <w:szCs w:val="20"/>
        </w:rPr>
        <w:t xml:space="preserve"> cities of Ferguson and St. Louis, Missouri; New Orleans, Louisiana; and Sanford, Orlando, and Miami, Florida. </w:t>
      </w:r>
      <w:r w:rsidR="000B66CF" w:rsidRPr="00D920C9">
        <w:rPr>
          <w:rFonts w:asciiTheme="minorHAnsi" w:hAnsiTheme="minorHAnsi"/>
          <w:szCs w:val="20"/>
        </w:rPr>
        <w:t xml:space="preserve"> The visit was led by </w:t>
      </w:r>
      <w:r w:rsidR="00CF7CFF" w:rsidRPr="00D920C9">
        <w:rPr>
          <w:rFonts w:asciiTheme="minorHAnsi" w:hAnsiTheme="minorHAnsi"/>
          <w:szCs w:val="20"/>
        </w:rPr>
        <w:t xml:space="preserve">former Commissioner </w:t>
      </w:r>
      <w:r w:rsidR="00942B78" w:rsidRPr="00D920C9">
        <w:rPr>
          <w:rFonts w:asciiTheme="minorHAnsi" w:hAnsiTheme="minorHAnsi"/>
          <w:szCs w:val="20"/>
        </w:rPr>
        <w:t>Rose Marie Belle-Antoine</w:t>
      </w:r>
      <w:r w:rsidR="00653290" w:rsidRPr="00D920C9">
        <w:rPr>
          <w:rFonts w:asciiTheme="minorHAnsi" w:hAnsiTheme="minorHAnsi"/>
          <w:szCs w:val="20"/>
        </w:rPr>
        <w:t xml:space="preserve">, </w:t>
      </w:r>
      <w:r w:rsidR="001C39D2" w:rsidRPr="00D920C9">
        <w:rPr>
          <w:rFonts w:asciiTheme="minorHAnsi" w:hAnsiTheme="minorHAnsi"/>
          <w:szCs w:val="20"/>
        </w:rPr>
        <w:t xml:space="preserve">consultant Nicole Lee, </w:t>
      </w:r>
      <w:r w:rsidR="00653290" w:rsidRPr="00D920C9">
        <w:rPr>
          <w:rFonts w:asciiTheme="minorHAnsi" w:hAnsiTheme="minorHAnsi"/>
          <w:szCs w:val="20"/>
        </w:rPr>
        <w:t xml:space="preserve">and </w:t>
      </w:r>
      <w:r w:rsidR="00942B78" w:rsidRPr="00D920C9">
        <w:rPr>
          <w:rFonts w:asciiTheme="minorHAnsi" w:hAnsiTheme="minorHAnsi"/>
          <w:szCs w:val="20"/>
        </w:rPr>
        <w:t>staff</w:t>
      </w:r>
      <w:r w:rsidR="00653290" w:rsidRPr="00D920C9">
        <w:rPr>
          <w:rFonts w:asciiTheme="minorHAnsi" w:hAnsiTheme="minorHAnsi"/>
          <w:szCs w:val="20"/>
        </w:rPr>
        <w:t xml:space="preserve"> </w:t>
      </w:r>
      <w:r w:rsidR="00942B78" w:rsidRPr="00D920C9">
        <w:rPr>
          <w:rFonts w:asciiTheme="minorHAnsi" w:hAnsiTheme="minorHAnsi"/>
          <w:szCs w:val="20"/>
        </w:rPr>
        <w:t xml:space="preserve">from the Executive Secretariat. </w:t>
      </w:r>
    </w:p>
    <w:p w14:paraId="035F6012" w14:textId="77777777" w:rsidR="003A6467" w:rsidRPr="00D920C9" w:rsidRDefault="003A6467" w:rsidP="002C64F8">
      <w:pPr>
        <w:pStyle w:val="ListParagraph"/>
        <w:numPr>
          <w:ilvl w:val="0"/>
          <w:numId w:val="9"/>
        </w:numPr>
        <w:spacing w:after="240" w:line="240" w:lineRule="auto"/>
        <w:ind w:left="547" w:hanging="547"/>
        <w:contextualSpacing w:val="0"/>
        <w:jc w:val="both"/>
        <w:rPr>
          <w:rFonts w:asciiTheme="minorHAnsi" w:hAnsiTheme="minorHAnsi"/>
          <w:szCs w:val="20"/>
        </w:rPr>
      </w:pPr>
      <w:r w:rsidRPr="00D920C9">
        <w:rPr>
          <w:rFonts w:asciiTheme="minorHAnsi" w:hAnsiTheme="minorHAnsi"/>
          <w:szCs w:val="20"/>
        </w:rPr>
        <w:t xml:space="preserve">On September 21, 2015, the Commission held meetings in Miami, Florida with Mayor Tomas Regalado, Chief of Police Rodolfo </w:t>
      </w:r>
      <w:proofErr w:type="spellStart"/>
      <w:r w:rsidRPr="00D920C9">
        <w:rPr>
          <w:rFonts w:asciiTheme="minorHAnsi" w:hAnsiTheme="minorHAnsi"/>
          <w:szCs w:val="20"/>
        </w:rPr>
        <w:t>Llanes</w:t>
      </w:r>
      <w:proofErr w:type="spellEnd"/>
      <w:r w:rsidRPr="00D920C9">
        <w:rPr>
          <w:rFonts w:asciiTheme="minorHAnsi" w:hAnsiTheme="minorHAnsi"/>
          <w:szCs w:val="20"/>
        </w:rPr>
        <w:t xml:space="preserve"> and several high-level police</w:t>
      </w:r>
      <w:r w:rsidR="00CF7CFF" w:rsidRPr="00D920C9">
        <w:rPr>
          <w:rFonts w:asciiTheme="minorHAnsi" w:hAnsiTheme="minorHAnsi"/>
          <w:szCs w:val="20"/>
        </w:rPr>
        <w:t xml:space="preserve"> officers</w:t>
      </w:r>
      <w:r w:rsidRPr="00D920C9">
        <w:rPr>
          <w:rFonts w:asciiTheme="minorHAnsi" w:hAnsiTheme="minorHAnsi"/>
          <w:szCs w:val="20"/>
        </w:rPr>
        <w:t>, and Carlos Martinez, Public Defender for Miami-Dade County. The Commission also held a general forum with civil society organizations, activists, victims</w:t>
      </w:r>
      <w:r w:rsidR="00B81523" w:rsidRPr="00D920C9">
        <w:rPr>
          <w:rFonts w:asciiTheme="minorHAnsi" w:hAnsiTheme="minorHAnsi"/>
          <w:szCs w:val="20"/>
        </w:rPr>
        <w:t xml:space="preserve"> of police violence</w:t>
      </w:r>
      <w:r w:rsidRPr="00D920C9">
        <w:rPr>
          <w:rFonts w:asciiTheme="minorHAnsi" w:hAnsiTheme="minorHAnsi"/>
          <w:szCs w:val="20"/>
        </w:rPr>
        <w:t xml:space="preserve">, and their family members at the St. </w:t>
      </w:r>
      <w:r w:rsidR="00CF7CFF" w:rsidRPr="00D920C9">
        <w:rPr>
          <w:rFonts w:asciiTheme="minorHAnsi" w:hAnsiTheme="minorHAnsi"/>
          <w:szCs w:val="20"/>
        </w:rPr>
        <w:t>Thomas University School of Law</w:t>
      </w:r>
      <w:r w:rsidR="00A528DB" w:rsidRPr="00D920C9">
        <w:rPr>
          <w:rFonts w:asciiTheme="minorHAnsi" w:hAnsiTheme="minorHAnsi"/>
          <w:szCs w:val="20"/>
        </w:rPr>
        <w:t>.</w:t>
      </w:r>
      <w:r w:rsidRPr="00D920C9">
        <w:rPr>
          <w:rFonts w:asciiTheme="minorHAnsi" w:hAnsiTheme="minorHAnsi"/>
          <w:szCs w:val="20"/>
        </w:rPr>
        <w:t xml:space="preserve"> </w:t>
      </w:r>
    </w:p>
    <w:p w14:paraId="7CF54723" w14:textId="77777777" w:rsidR="003A6467" w:rsidRPr="00D920C9" w:rsidRDefault="003A6467" w:rsidP="002C64F8">
      <w:pPr>
        <w:pStyle w:val="ListParagraph"/>
        <w:numPr>
          <w:ilvl w:val="0"/>
          <w:numId w:val="9"/>
        </w:numPr>
        <w:spacing w:after="240" w:line="240" w:lineRule="auto"/>
        <w:ind w:left="547" w:hanging="547"/>
        <w:contextualSpacing w:val="0"/>
        <w:jc w:val="both"/>
        <w:rPr>
          <w:rFonts w:asciiTheme="minorHAnsi" w:hAnsiTheme="minorHAnsi"/>
          <w:szCs w:val="20"/>
        </w:rPr>
      </w:pPr>
      <w:r w:rsidRPr="00D920C9">
        <w:rPr>
          <w:rFonts w:asciiTheme="minorHAnsi" w:hAnsiTheme="minorHAnsi"/>
          <w:szCs w:val="20"/>
        </w:rPr>
        <w:t xml:space="preserve">On September 22, the Commission traveled to the City of Orlando where it held meetings with Chief of Police John Mina, Chief Administrative Officer Byron Brooks, and Lieutenant Vincent </w:t>
      </w:r>
      <w:proofErr w:type="spellStart"/>
      <w:r w:rsidRPr="00D920C9">
        <w:rPr>
          <w:rFonts w:asciiTheme="minorHAnsi" w:hAnsiTheme="minorHAnsi"/>
          <w:szCs w:val="20"/>
        </w:rPr>
        <w:t>Ogburn</w:t>
      </w:r>
      <w:proofErr w:type="spellEnd"/>
      <w:r w:rsidRPr="00D920C9">
        <w:rPr>
          <w:rFonts w:asciiTheme="minorHAnsi" w:hAnsiTheme="minorHAnsi"/>
          <w:szCs w:val="20"/>
        </w:rPr>
        <w:t xml:space="preserve">. The Commission also held a general forum with civil society organizations, activists, victims, and academics in Florida A&amp;M College of Law. The delegation also traveled that day to the City of Sanford and met with Mayor Jeff Triplett, Chief of Police Cecil Smith, Senior Project Manager Andrew Thomas, and Norton N. Bonaparte Jr., Sanford City Manager. </w:t>
      </w:r>
      <w:r w:rsidR="00CF7CFF" w:rsidRPr="00D920C9">
        <w:rPr>
          <w:rFonts w:asciiTheme="minorHAnsi" w:hAnsiTheme="minorHAnsi"/>
          <w:szCs w:val="20"/>
        </w:rPr>
        <w:t>T</w:t>
      </w:r>
      <w:r w:rsidRPr="00D920C9">
        <w:rPr>
          <w:rFonts w:asciiTheme="minorHAnsi" w:hAnsiTheme="minorHAnsi"/>
          <w:szCs w:val="20"/>
        </w:rPr>
        <w:t xml:space="preserve">he delegation was informed by </w:t>
      </w:r>
      <w:r w:rsidR="00CF7CFF" w:rsidRPr="00D920C9">
        <w:rPr>
          <w:rFonts w:asciiTheme="minorHAnsi" w:hAnsiTheme="minorHAnsi"/>
          <w:szCs w:val="20"/>
        </w:rPr>
        <w:t xml:space="preserve">Sanford </w:t>
      </w:r>
      <w:r w:rsidRPr="00D920C9">
        <w:rPr>
          <w:rFonts w:asciiTheme="minorHAnsi" w:hAnsiTheme="minorHAnsi"/>
          <w:szCs w:val="20"/>
        </w:rPr>
        <w:t xml:space="preserve">public officials about steps taken to respond to the aftermath of the death of Trayvon Martin on February 26, 2012, and the acquittal of George Zimmerman. </w:t>
      </w:r>
    </w:p>
    <w:p w14:paraId="68B6F72F" w14:textId="4BE1A815" w:rsidR="003A6467" w:rsidRPr="00D920C9" w:rsidRDefault="003A6467" w:rsidP="002C64F8">
      <w:pPr>
        <w:pStyle w:val="ListParagraph"/>
        <w:numPr>
          <w:ilvl w:val="0"/>
          <w:numId w:val="9"/>
        </w:numPr>
        <w:spacing w:after="240" w:line="240" w:lineRule="auto"/>
        <w:ind w:left="547" w:hanging="547"/>
        <w:contextualSpacing w:val="0"/>
        <w:jc w:val="both"/>
        <w:rPr>
          <w:rFonts w:asciiTheme="minorHAnsi" w:hAnsiTheme="minorHAnsi"/>
          <w:szCs w:val="20"/>
        </w:rPr>
      </w:pPr>
      <w:r w:rsidRPr="00D920C9">
        <w:rPr>
          <w:rFonts w:asciiTheme="minorHAnsi" w:hAnsiTheme="minorHAnsi"/>
          <w:szCs w:val="20"/>
        </w:rPr>
        <w:t xml:space="preserve">On September 23, the delegation met with several officials in the City of New Orleans, including Ursula Price </w:t>
      </w:r>
      <w:r w:rsidR="00CF7CFF" w:rsidRPr="00D920C9">
        <w:rPr>
          <w:rFonts w:asciiTheme="minorHAnsi" w:hAnsiTheme="minorHAnsi"/>
          <w:szCs w:val="20"/>
        </w:rPr>
        <w:t>of</w:t>
      </w:r>
      <w:r w:rsidRPr="00D920C9">
        <w:rPr>
          <w:rFonts w:asciiTheme="minorHAnsi" w:hAnsiTheme="minorHAnsi"/>
          <w:szCs w:val="20"/>
        </w:rPr>
        <w:t xml:space="preserve"> the Office of the Inspector General; Daniel </w:t>
      </w:r>
      <w:proofErr w:type="spellStart"/>
      <w:r w:rsidRPr="00D920C9">
        <w:rPr>
          <w:rFonts w:asciiTheme="minorHAnsi" w:hAnsiTheme="minorHAnsi"/>
          <w:szCs w:val="20"/>
        </w:rPr>
        <w:t>Cazevana</w:t>
      </w:r>
      <w:proofErr w:type="spellEnd"/>
      <w:r w:rsidRPr="00D920C9">
        <w:rPr>
          <w:rFonts w:asciiTheme="minorHAnsi" w:hAnsiTheme="minorHAnsi"/>
          <w:szCs w:val="20"/>
        </w:rPr>
        <w:t xml:space="preserve">, Chief of Staff of the New Orleans Police Department; </w:t>
      </w:r>
      <w:proofErr w:type="spellStart"/>
      <w:r w:rsidRPr="00D920C9">
        <w:rPr>
          <w:rFonts w:asciiTheme="minorHAnsi" w:hAnsiTheme="minorHAnsi"/>
          <w:szCs w:val="20"/>
        </w:rPr>
        <w:t>Arlinda</w:t>
      </w:r>
      <w:proofErr w:type="spellEnd"/>
      <w:r w:rsidRPr="00D920C9">
        <w:rPr>
          <w:rFonts w:asciiTheme="minorHAnsi" w:hAnsiTheme="minorHAnsi"/>
          <w:szCs w:val="20"/>
        </w:rPr>
        <w:t xml:space="preserve"> Westbrook, Deputy Chief of the Public Integrity Bureau; Zach Butterworth, Director of Federal Relations from the Office of Ma</w:t>
      </w:r>
      <w:r w:rsidR="00653290" w:rsidRPr="00D920C9">
        <w:rPr>
          <w:rFonts w:asciiTheme="minorHAnsi" w:hAnsiTheme="minorHAnsi"/>
          <w:szCs w:val="20"/>
        </w:rPr>
        <w:t>yor</w:t>
      </w:r>
      <w:r w:rsidRPr="00D920C9">
        <w:rPr>
          <w:rFonts w:asciiTheme="minorHAnsi" w:hAnsiTheme="minorHAnsi"/>
          <w:szCs w:val="20"/>
        </w:rPr>
        <w:t xml:space="preserve"> Mitchell J. Landrieu; </w:t>
      </w:r>
      <w:proofErr w:type="spellStart"/>
      <w:r w:rsidRPr="00D920C9">
        <w:rPr>
          <w:rFonts w:asciiTheme="minorHAnsi" w:hAnsiTheme="minorHAnsi"/>
          <w:szCs w:val="20"/>
        </w:rPr>
        <w:t>Sharonda</w:t>
      </w:r>
      <w:proofErr w:type="spellEnd"/>
      <w:r w:rsidRPr="00D920C9">
        <w:rPr>
          <w:rFonts w:asciiTheme="minorHAnsi" w:hAnsiTheme="minorHAnsi"/>
          <w:szCs w:val="20"/>
        </w:rPr>
        <w:t xml:space="preserve"> Williams, City Attorney; and </w:t>
      </w:r>
      <w:proofErr w:type="spellStart"/>
      <w:r w:rsidRPr="00D920C9">
        <w:rPr>
          <w:rFonts w:asciiTheme="minorHAnsi" w:hAnsiTheme="minorHAnsi"/>
          <w:szCs w:val="20"/>
        </w:rPr>
        <w:t>Suchitra</w:t>
      </w:r>
      <w:proofErr w:type="spellEnd"/>
      <w:r w:rsidRPr="00D920C9">
        <w:rPr>
          <w:rFonts w:asciiTheme="minorHAnsi" w:hAnsiTheme="minorHAnsi"/>
          <w:szCs w:val="20"/>
        </w:rPr>
        <w:t xml:space="preserve"> </w:t>
      </w:r>
      <w:proofErr w:type="spellStart"/>
      <w:r w:rsidRPr="00D920C9">
        <w:rPr>
          <w:rFonts w:asciiTheme="minorHAnsi" w:hAnsiTheme="minorHAnsi"/>
          <w:szCs w:val="20"/>
        </w:rPr>
        <w:lastRenderedPageBreak/>
        <w:t>Satpahi</w:t>
      </w:r>
      <w:proofErr w:type="spellEnd"/>
      <w:r w:rsidRPr="00D920C9">
        <w:rPr>
          <w:rFonts w:asciiTheme="minorHAnsi" w:hAnsiTheme="minorHAnsi"/>
          <w:szCs w:val="20"/>
        </w:rPr>
        <w:t xml:space="preserve">, Director of State and International Relations. The Commission also met with victims and civil society organizations at the Gillis Long Poverty Law Center at </w:t>
      </w:r>
      <w:r w:rsidR="00B81523" w:rsidRPr="00D920C9">
        <w:rPr>
          <w:rFonts w:asciiTheme="minorHAnsi" w:hAnsiTheme="minorHAnsi"/>
          <w:szCs w:val="20"/>
        </w:rPr>
        <w:t>Loyola</w:t>
      </w:r>
      <w:r w:rsidRPr="00D920C9">
        <w:rPr>
          <w:rFonts w:asciiTheme="minorHAnsi" w:hAnsiTheme="minorHAnsi"/>
          <w:szCs w:val="20"/>
        </w:rPr>
        <w:t xml:space="preserve"> University</w:t>
      </w:r>
      <w:r w:rsidR="00B81523" w:rsidRPr="00D920C9">
        <w:rPr>
          <w:rFonts w:asciiTheme="minorHAnsi" w:hAnsiTheme="minorHAnsi"/>
          <w:szCs w:val="20"/>
        </w:rPr>
        <w:t xml:space="preserve"> New Orleans College of Law</w:t>
      </w:r>
      <w:r w:rsidRPr="00D920C9">
        <w:rPr>
          <w:rFonts w:asciiTheme="minorHAnsi" w:hAnsiTheme="minorHAnsi"/>
          <w:szCs w:val="20"/>
        </w:rPr>
        <w:t xml:space="preserve">. </w:t>
      </w:r>
    </w:p>
    <w:p w14:paraId="4E35AE73" w14:textId="77777777" w:rsidR="003A6467" w:rsidRPr="00D920C9" w:rsidRDefault="003A6467" w:rsidP="002C64F8">
      <w:pPr>
        <w:pStyle w:val="ListParagraph"/>
        <w:numPr>
          <w:ilvl w:val="0"/>
          <w:numId w:val="9"/>
        </w:numPr>
        <w:spacing w:after="240" w:line="240" w:lineRule="auto"/>
        <w:ind w:left="547" w:hanging="547"/>
        <w:contextualSpacing w:val="0"/>
        <w:jc w:val="both"/>
        <w:rPr>
          <w:rFonts w:asciiTheme="minorHAnsi" w:hAnsiTheme="minorHAnsi"/>
          <w:szCs w:val="20"/>
        </w:rPr>
      </w:pPr>
      <w:r w:rsidRPr="00D920C9">
        <w:rPr>
          <w:rFonts w:asciiTheme="minorHAnsi" w:hAnsiTheme="minorHAnsi"/>
          <w:szCs w:val="20"/>
        </w:rPr>
        <w:t xml:space="preserve">On September 24-25, the delegation visited Ferguson and St. Louis, Missouri. Before its visit, as its consistent practice, the Commission requested meetings with several government authorities in Ferguson including Mayor James Knowles III; the Ferguson City Council; Chief of Police John Belmar; and Prosecutor Robert McCullough. Regrettably, these meetings were not granted. The delegation did meet with several of the members of the Ferguson Commission, an independent committee created by Executive Order to study underlying social and economic causes underscored by the unrest in the wake of the death of Michael Brown, including Reverend </w:t>
      </w:r>
      <w:proofErr w:type="spellStart"/>
      <w:r w:rsidRPr="00D920C9">
        <w:rPr>
          <w:rFonts w:asciiTheme="minorHAnsi" w:hAnsiTheme="minorHAnsi"/>
          <w:szCs w:val="20"/>
        </w:rPr>
        <w:t>Starky</w:t>
      </w:r>
      <w:proofErr w:type="spellEnd"/>
      <w:r w:rsidRPr="00D920C9">
        <w:rPr>
          <w:rFonts w:asciiTheme="minorHAnsi" w:hAnsiTheme="minorHAnsi"/>
          <w:szCs w:val="20"/>
        </w:rPr>
        <w:t xml:space="preserve"> Wilson, Co-Chair, Felicia </w:t>
      </w:r>
      <w:proofErr w:type="spellStart"/>
      <w:r w:rsidRPr="00D920C9">
        <w:rPr>
          <w:rFonts w:asciiTheme="minorHAnsi" w:hAnsiTheme="minorHAnsi"/>
          <w:szCs w:val="20"/>
        </w:rPr>
        <w:t>Puliam</w:t>
      </w:r>
      <w:proofErr w:type="spellEnd"/>
      <w:r w:rsidRPr="00D920C9">
        <w:rPr>
          <w:rFonts w:asciiTheme="minorHAnsi" w:hAnsiTheme="minorHAnsi"/>
          <w:szCs w:val="20"/>
        </w:rPr>
        <w:t xml:space="preserve"> and Brittany Packnett; Senator Maria Nicole Chappelle-Nadal; and Professors Brendan </w:t>
      </w:r>
      <w:proofErr w:type="spellStart"/>
      <w:r w:rsidRPr="00D920C9">
        <w:rPr>
          <w:rFonts w:asciiTheme="minorHAnsi" w:hAnsiTheme="minorHAnsi"/>
          <w:szCs w:val="20"/>
        </w:rPr>
        <w:t>Roediger</w:t>
      </w:r>
      <w:proofErr w:type="spellEnd"/>
      <w:r w:rsidRPr="00D920C9">
        <w:rPr>
          <w:rFonts w:asciiTheme="minorHAnsi" w:hAnsiTheme="minorHAnsi"/>
          <w:szCs w:val="20"/>
        </w:rPr>
        <w:t xml:space="preserve">, Roger Goldman, and Anders Walker. The Commission also held a general forum and individual meetings with civil society organizations, activists, students, and </w:t>
      </w:r>
      <w:r w:rsidR="00CF7CFF" w:rsidRPr="00D920C9">
        <w:rPr>
          <w:rFonts w:asciiTheme="minorHAnsi" w:hAnsiTheme="minorHAnsi"/>
          <w:szCs w:val="20"/>
        </w:rPr>
        <w:t>academics</w:t>
      </w:r>
      <w:r w:rsidRPr="00D920C9">
        <w:rPr>
          <w:rFonts w:asciiTheme="minorHAnsi" w:hAnsiTheme="minorHAnsi"/>
          <w:szCs w:val="20"/>
        </w:rPr>
        <w:t xml:space="preserve"> at St. Louis University School of Law. </w:t>
      </w:r>
      <w:r w:rsidR="00CF7CFF" w:rsidRPr="00D920C9">
        <w:rPr>
          <w:rFonts w:asciiTheme="minorHAnsi" w:hAnsiTheme="minorHAnsi"/>
          <w:szCs w:val="20"/>
        </w:rPr>
        <w:t>T</w:t>
      </w:r>
      <w:r w:rsidRPr="00D920C9">
        <w:rPr>
          <w:rFonts w:asciiTheme="minorHAnsi" w:hAnsiTheme="minorHAnsi"/>
          <w:szCs w:val="20"/>
        </w:rPr>
        <w:t>he delegation</w:t>
      </w:r>
      <w:r w:rsidR="00CF7CFF" w:rsidRPr="00D920C9">
        <w:rPr>
          <w:rFonts w:asciiTheme="minorHAnsi" w:hAnsiTheme="minorHAnsi"/>
          <w:szCs w:val="20"/>
        </w:rPr>
        <w:t xml:space="preserve"> also</w:t>
      </w:r>
      <w:r w:rsidRPr="00D920C9">
        <w:rPr>
          <w:rFonts w:asciiTheme="minorHAnsi" w:hAnsiTheme="minorHAnsi"/>
          <w:szCs w:val="20"/>
        </w:rPr>
        <w:t xml:space="preserve"> visited the memorial created </w:t>
      </w:r>
      <w:r w:rsidR="00BC2D83" w:rsidRPr="00D920C9">
        <w:rPr>
          <w:rFonts w:asciiTheme="minorHAnsi" w:hAnsiTheme="minorHAnsi"/>
          <w:szCs w:val="20"/>
        </w:rPr>
        <w:t>for</w:t>
      </w:r>
      <w:r w:rsidRPr="00D920C9">
        <w:rPr>
          <w:rFonts w:asciiTheme="minorHAnsi" w:hAnsiTheme="minorHAnsi"/>
          <w:szCs w:val="20"/>
        </w:rPr>
        <w:t xml:space="preserve"> Michael Brown in Canfield, Ferguson.</w:t>
      </w:r>
      <w:r w:rsidRPr="00D920C9">
        <w:rPr>
          <w:rFonts w:asciiTheme="minorHAnsi" w:hAnsiTheme="minorHAnsi"/>
          <w:sz w:val="28"/>
          <w:szCs w:val="24"/>
        </w:rPr>
        <w:t xml:space="preserve"> </w:t>
      </w:r>
    </w:p>
    <w:p w14:paraId="47F11C64" w14:textId="77777777" w:rsidR="008F2BF7" w:rsidRPr="00D920C9" w:rsidRDefault="008F2BF7" w:rsidP="0004388D">
      <w:pPr>
        <w:pStyle w:val="Heading3"/>
        <w:ind w:left="547" w:hanging="547"/>
      </w:pPr>
      <w:bookmarkStart w:id="18" w:name="_Toc511837802"/>
      <w:bookmarkStart w:id="19" w:name="_Toc511902975"/>
      <w:bookmarkStart w:id="20" w:name="_Toc517687905"/>
      <w:r w:rsidRPr="00D920C9">
        <w:t xml:space="preserve">Press </w:t>
      </w:r>
      <w:r w:rsidR="00D86045" w:rsidRPr="00D920C9">
        <w:t>Releases</w:t>
      </w:r>
      <w:bookmarkEnd w:id="18"/>
      <w:bookmarkEnd w:id="19"/>
      <w:bookmarkEnd w:id="20"/>
    </w:p>
    <w:p w14:paraId="07DAF296" w14:textId="77777777" w:rsidR="00EF6ABA" w:rsidRPr="00D920C9" w:rsidRDefault="00F579F7" w:rsidP="002C64F8">
      <w:pPr>
        <w:pStyle w:val="ListParagraph"/>
        <w:numPr>
          <w:ilvl w:val="0"/>
          <w:numId w:val="9"/>
        </w:numPr>
        <w:spacing w:after="240" w:line="240" w:lineRule="auto"/>
        <w:ind w:left="547" w:hanging="547"/>
        <w:contextualSpacing w:val="0"/>
        <w:jc w:val="both"/>
        <w:rPr>
          <w:rFonts w:asciiTheme="minorHAnsi" w:hAnsiTheme="minorHAnsi"/>
          <w:szCs w:val="20"/>
        </w:rPr>
      </w:pPr>
      <w:r w:rsidRPr="00D920C9">
        <w:rPr>
          <w:rFonts w:asciiTheme="minorHAnsi" w:hAnsiTheme="minorHAnsi"/>
          <w:szCs w:val="20"/>
        </w:rPr>
        <w:t xml:space="preserve">The Commission has </w:t>
      </w:r>
      <w:r w:rsidR="00EF6ABA" w:rsidRPr="00D920C9">
        <w:rPr>
          <w:rFonts w:asciiTheme="minorHAnsi" w:hAnsiTheme="minorHAnsi"/>
          <w:szCs w:val="20"/>
        </w:rPr>
        <w:t>consistently monitored and</w:t>
      </w:r>
      <w:r w:rsidRPr="00D920C9">
        <w:rPr>
          <w:rFonts w:asciiTheme="minorHAnsi" w:hAnsiTheme="minorHAnsi"/>
          <w:szCs w:val="20"/>
        </w:rPr>
        <w:t xml:space="preserve"> highlighted concerns related to </w:t>
      </w:r>
      <w:r w:rsidR="00EF6ABA" w:rsidRPr="00D920C9">
        <w:rPr>
          <w:rFonts w:asciiTheme="minorHAnsi" w:hAnsiTheme="minorHAnsi"/>
          <w:szCs w:val="20"/>
        </w:rPr>
        <w:t xml:space="preserve">the situation of </w:t>
      </w:r>
      <w:r w:rsidR="00B81523" w:rsidRPr="00D920C9">
        <w:rPr>
          <w:rFonts w:asciiTheme="minorHAnsi" w:hAnsiTheme="minorHAnsi"/>
          <w:szCs w:val="20"/>
        </w:rPr>
        <w:t xml:space="preserve">discrimination against </w:t>
      </w:r>
      <w:r w:rsidR="00EF6ABA" w:rsidRPr="00D920C9">
        <w:rPr>
          <w:rFonts w:asciiTheme="minorHAnsi" w:hAnsiTheme="minorHAnsi"/>
          <w:szCs w:val="20"/>
        </w:rPr>
        <w:t>African Americans in the</w:t>
      </w:r>
      <w:r w:rsidRPr="00D920C9">
        <w:rPr>
          <w:rFonts w:asciiTheme="minorHAnsi" w:hAnsiTheme="minorHAnsi"/>
          <w:szCs w:val="20"/>
        </w:rPr>
        <w:t xml:space="preserve"> United States in press releases </w:t>
      </w:r>
      <w:r w:rsidR="00684DFD" w:rsidRPr="00D920C9">
        <w:rPr>
          <w:rFonts w:asciiTheme="minorHAnsi" w:hAnsiTheme="minorHAnsi"/>
          <w:szCs w:val="20"/>
        </w:rPr>
        <w:t>from</w:t>
      </w:r>
      <w:r w:rsidRPr="00D920C9">
        <w:rPr>
          <w:rFonts w:asciiTheme="minorHAnsi" w:hAnsiTheme="minorHAnsi"/>
          <w:szCs w:val="20"/>
        </w:rPr>
        <w:t xml:space="preserve"> 2014 </w:t>
      </w:r>
      <w:r w:rsidR="00684DFD" w:rsidRPr="00D920C9">
        <w:rPr>
          <w:rFonts w:asciiTheme="minorHAnsi" w:hAnsiTheme="minorHAnsi"/>
          <w:szCs w:val="20"/>
        </w:rPr>
        <w:t>to</w:t>
      </w:r>
      <w:r w:rsidRPr="00D920C9">
        <w:rPr>
          <w:rFonts w:asciiTheme="minorHAnsi" w:hAnsiTheme="minorHAnsi"/>
          <w:szCs w:val="20"/>
        </w:rPr>
        <w:t xml:space="preserve"> the present. </w:t>
      </w:r>
    </w:p>
    <w:p w14:paraId="75991831" w14:textId="77777777" w:rsidR="00F579F7" w:rsidRPr="00D920C9" w:rsidRDefault="00F579F7" w:rsidP="002C64F8">
      <w:pPr>
        <w:pStyle w:val="ListParagraph"/>
        <w:numPr>
          <w:ilvl w:val="0"/>
          <w:numId w:val="9"/>
        </w:numPr>
        <w:spacing w:after="240" w:line="240" w:lineRule="auto"/>
        <w:ind w:left="547" w:hanging="547"/>
        <w:contextualSpacing w:val="0"/>
        <w:jc w:val="both"/>
        <w:rPr>
          <w:rFonts w:asciiTheme="minorHAnsi" w:hAnsiTheme="minorHAnsi"/>
          <w:szCs w:val="20"/>
        </w:rPr>
      </w:pPr>
      <w:r w:rsidRPr="00D920C9">
        <w:rPr>
          <w:rFonts w:asciiTheme="minorHAnsi" w:hAnsiTheme="minorHAnsi"/>
          <w:szCs w:val="20"/>
        </w:rPr>
        <w:t xml:space="preserve">On August 22, 2014, the Commission expressed its concern over separate incidents that led to the deaths of Eric Garner and Michael Brown at the hands of police in New York City and Ferguson, Missouri, respectively. </w:t>
      </w:r>
      <w:r w:rsidR="00EF6ABA" w:rsidRPr="00D920C9">
        <w:rPr>
          <w:rFonts w:asciiTheme="minorHAnsi" w:hAnsiTheme="minorHAnsi"/>
          <w:szCs w:val="20"/>
        </w:rPr>
        <w:t>At that time, the Commission “</w:t>
      </w:r>
      <w:r w:rsidRPr="00D920C9">
        <w:rPr>
          <w:rFonts w:asciiTheme="minorHAnsi" w:hAnsiTheme="minorHAnsi"/>
          <w:szCs w:val="20"/>
        </w:rPr>
        <w:t>consider</w:t>
      </w:r>
      <w:r w:rsidR="00EF6ABA" w:rsidRPr="00D920C9">
        <w:rPr>
          <w:rFonts w:asciiTheme="minorHAnsi" w:hAnsiTheme="minorHAnsi"/>
          <w:szCs w:val="20"/>
        </w:rPr>
        <w:t>[</w:t>
      </w:r>
      <w:proofErr w:type="spellStart"/>
      <w:r w:rsidR="00EF6ABA" w:rsidRPr="00D920C9">
        <w:rPr>
          <w:rFonts w:asciiTheme="minorHAnsi" w:hAnsiTheme="minorHAnsi"/>
          <w:szCs w:val="20"/>
        </w:rPr>
        <w:t>ed</w:t>
      </w:r>
      <w:proofErr w:type="spellEnd"/>
      <w:r w:rsidR="00EF6ABA" w:rsidRPr="00D920C9">
        <w:rPr>
          <w:rFonts w:asciiTheme="minorHAnsi" w:hAnsiTheme="minorHAnsi"/>
          <w:szCs w:val="20"/>
        </w:rPr>
        <w:t>]</w:t>
      </w:r>
      <w:r w:rsidRPr="00D920C9">
        <w:rPr>
          <w:rFonts w:asciiTheme="minorHAnsi" w:hAnsiTheme="minorHAnsi"/>
          <w:szCs w:val="20"/>
        </w:rPr>
        <w:t xml:space="preserve"> that the killings of Garner and Brown represent the continuation of a disturbing pattern of excessive force on the part of police officers towards African</w:t>
      </w:r>
      <w:r w:rsidR="0030356C" w:rsidRPr="00D920C9">
        <w:rPr>
          <w:rFonts w:asciiTheme="minorHAnsi" w:hAnsiTheme="minorHAnsi"/>
          <w:szCs w:val="20"/>
        </w:rPr>
        <w:t xml:space="preserve"> </w:t>
      </w:r>
      <w:r w:rsidRPr="00D920C9">
        <w:rPr>
          <w:rFonts w:asciiTheme="minorHAnsi" w:hAnsiTheme="minorHAnsi"/>
          <w:szCs w:val="20"/>
        </w:rPr>
        <w:t>Americans and other persons of color</w:t>
      </w:r>
      <w:r w:rsidR="00EF6ABA" w:rsidRPr="00D920C9">
        <w:rPr>
          <w:rFonts w:asciiTheme="minorHAnsi" w:hAnsiTheme="minorHAnsi"/>
          <w:szCs w:val="20"/>
        </w:rPr>
        <w:t>,”</w:t>
      </w:r>
      <w:r w:rsidRPr="00D920C9">
        <w:rPr>
          <w:rFonts w:asciiTheme="minorHAnsi" w:hAnsiTheme="minorHAnsi"/>
          <w:szCs w:val="20"/>
        </w:rPr>
        <w:t xml:space="preserve"> and </w:t>
      </w:r>
      <w:r w:rsidR="00EF6ABA" w:rsidRPr="00D920C9">
        <w:rPr>
          <w:rFonts w:asciiTheme="minorHAnsi" w:hAnsiTheme="minorHAnsi"/>
          <w:szCs w:val="20"/>
        </w:rPr>
        <w:t>“</w:t>
      </w:r>
      <w:r w:rsidRPr="00D920C9">
        <w:rPr>
          <w:rFonts w:asciiTheme="minorHAnsi" w:hAnsiTheme="minorHAnsi"/>
          <w:szCs w:val="20"/>
        </w:rPr>
        <w:t>urge</w:t>
      </w:r>
      <w:r w:rsidR="00EF6ABA" w:rsidRPr="00D920C9">
        <w:rPr>
          <w:rFonts w:asciiTheme="minorHAnsi" w:hAnsiTheme="minorHAnsi"/>
          <w:szCs w:val="20"/>
        </w:rPr>
        <w:t>[d]</w:t>
      </w:r>
      <w:r w:rsidRPr="00D920C9">
        <w:rPr>
          <w:rFonts w:asciiTheme="minorHAnsi" w:hAnsiTheme="minorHAnsi"/>
          <w:szCs w:val="20"/>
        </w:rPr>
        <w:t xml:space="preserve"> the State to give renewed attention to the possible links between these cases and past cases that demonstrated a pattern of use of excessive force against persons of color.”</w:t>
      </w:r>
      <w:r w:rsidRPr="00D920C9">
        <w:rPr>
          <w:rFonts w:asciiTheme="minorHAnsi" w:hAnsiTheme="minorHAnsi"/>
          <w:vertAlign w:val="superscript"/>
        </w:rPr>
        <w:footnoteReference w:id="10"/>
      </w:r>
    </w:p>
    <w:p w14:paraId="0D41F662" w14:textId="77777777" w:rsidR="00F579F7" w:rsidRPr="00D920C9" w:rsidRDefault="00F579F7" w:rsidP="002C64F8">
      <w:pPr>
        <w:pStyle w:val="ListParagraph"/>
        <w:numPr>
          <w:ilvl w:val="0"/>
          <w:numId w:val="9"/>
        </w:numPr>
        <w:spacing w:after="240" w:line="240" w:lineRule="auto"/>
        <w:ind w:left="547" w:hanging="547"/>
        <w:contextualSpacing w:val="0"/>
        <w:jc w:val="both"/>
        <w:rPr>
          <w:rFonts w:asciiTheme="minorHAnsi" w:hAnsiTheme="minorHAnsi"/>
          <w:szCs w:val="20"/>
        </w:rPr>
      </w:pPr>
      <w:r w:rsidRPr="00D920C9">
        <w:rPr>
          <w:rFonts w:asciiTheme="minorHAnsi" w:hAnsiTheme="minorHAnsi"/>
          <w:szCs w:val="20"/>
        </w:rPr>
        <w:t>On March 20, 2015, the Commission called on all OAS Member States to bring an end to racial discrimination in the Americas, highlighting</w:t>
      </w:r>
      <w:r w:rsidR="00B81523" w:rsidRPr="00D920C9">
        <w:rPr>
          <w:rFonts w:asciiTheme="minorHAnsi" w:hAnsiTheme="minorHAnsi"/>
          <w:szCs w:val="20"/>
        </w:rPr>
        <w:t xml:space="preserve"> that</w:t>
      </w:r>
      <w:r w:rsidRPr="00D920C9">
        <w:rPr>
          <w:rFonts w:asciiTheme="minorHAnsi" w:hAnsiTheme="minorHAnsi"/>
          <w:szCs w:val="20"/>
        </w:rPr>
        <w:t xml:space="preserve"> </w:t>
      </w:r>
      <w:r w:rsidRPr="00D920C9">
        <w:rPr>
          <w:rFonts w:asciiTheme="minorHAnsi" w:hAnsiTheme="minorHAnsi"/>
          <w:szCs w:val="20"/>
        </w:rPr>
        <w:lastRenderedPageBreak/>
        <w:t xml:space="preserve">structural discrimination </w:t>
      </w:r>
      <w:r w:rsidR="00600C43" w:rsidRPr="00D920C9">
        <w:rPr>
          <w:rFonts w:asciiTheme="minorHAnsi" w:hAnsiTheme="minorHAnsi"/>
          <w:szCs w:val="20"/>
        </w:rPr>
        <w:t>impacts</w:t>
      </w:r>
      <w:r w:rsidRPr="00D920C9">
        <w:rPr>
          <w:rFonts w:asciiTheme="minorHAnsi" w:hAnsiTheme="minorHAnsi"/>
          <w:szCs w:val="20"/>
        </w:rPr>
        <w:t xml:space="preserve"> the enjoyment of all human rights.</w:t>
      </w:r>
      <w:r w:rsidRPr="00D920C9">
        <w:rPr>
          <w:rFonts w:asciiTheme="minorHAnsi" w:hAnsiTheme="minorHAnsi"/>
          <w:vertAlign w:val="superscript"/>
        </w:rPr>
        <w:footnoteReference w:id="11"/>
      </w:r>
      <w:r w:rsidRPr="00D920C9">
        <w:rPr>
          <w:rFonts w:asciiTheme="minorHAnsi" w:hAnsiTheme="minorHAnsi"/>
          <w:szCs w:val="20"/>
        </w:rPr>
        <w:t xml:space="preserve"> </w:t>
      </w:r>
      <w:r w:rsidR="00600C43" w:rsidRPr="00D920C9">
        <w:rPr>
          <w:rFonts w:asciiTheme="minorHAnsi" w:hAnsiTheme="minorHAnsi"/>
          <w:szCs w:val="20"/>
        </w:rPr>
        <w:t>On March 27, 2015, following its 154th Period of Sessions, the Commission highlighted information from across the region on racism permeating the actions of judicial systems and the use of force by the police, disproportionately impacting young people of African descent.</w:t>
      </w:r>
      <w:r w:rsidR="00600C43" w:rsidRPr="00D920C9">
        <w:rPr>
          <w:rFonts w:asciiTheme="minorHAnsi" w:hAnsiTheme="minorHAnsi"/>
          <w:vertAlign w:val="superscript"/>
        </w:rPr>
        <w:footnoteReference w:id="12"/>
      </w:r>
    </w:p>
    <w:p w14:paraId="3695B457" w14:textId="77777777" w:rsidR="00600C43" w:rsidRPr="00D920C9" w:rsidRDefault="00F579F7" w:rsidP="002C64F8">
      <w:pPr>
        <w:pStyle w:val="ListParagraph"/>
        <w:numPr>
          <w:ilvl w:val="0"/>
          <w:numId w:val="9"/>
        </w:numPr>
        <w:spacing w:after="240" w:line="240" w:lineRule="auto"/>
        <w:ind w:left="547" w:hanging="547"/>
        <w:contextualSpacing w:val="0"/>
        <w:jc w:val="both"/>
        <w:rPr>
          <w:rFonts w:asciiTheme="minorHAnsi" w:hAnsiTheme="minorHAnsi"/>
          <w:szCs w:val="20"/>
        </w:rPr>
      </w:pPr>
      <w:r w:rsidRPr="00D920C9">
        <w:rPr>
          <w:rFonts w:asciiTheme="minorHAnsi" w:hAnsiTheme="minorHAnsi"/>
          <w:szCs w:val="20"/>
        </w:rPr>
        <w:t xml:space="preserve">On April 17, 2015, in </w:t>
      </w:r>
      <w:r w:rsidR="00600C43" w:rsidRPr="00D920C9">
        <w:rPr>
          <w:rFonts w:asciiTheme="minorHAnsi" w:hAnsiTheme="minorHAnsi"/>
          <w:szCs w:val="20"/>
        </w:rPr>
        <w:t>light</w:t>
      </w:r>
      <w:r w:rsidRPr="00D920C9">
        <w:rPr>
          <w:rFonts w:asciiTheme="minorHAnsi" w:hAnsiTheme="minorHAnsi"/>
          <w:szCs w:val="20"/>
        </w:rPr>
        <w:t xml:space="preserve"> of th</w:t>
      </w:r>
      <w:r w:rsidR="00600C43" w:rsidRPr="00D920C9">
        <w:rPr>
          <w:rFonts w:asciiTheme="minorHAnsi" w:hAnsiTheme="minorHAnsi"/>
          <w:szCs w:val="20"/>
        </w:rPr>
        <w:t>e killing of Walter Lamar Scott</w:t>
      </w:r>
      <w:r w:rsidRPr="00D920C9">
        <w:rPr>
          <w:rFonts w:asciiTheme="minorHAnsi" w:hAnsiTheme="minorHAnsi"/>
          <w:szCs w:val="20"/>
        </w:rPr>
        <w:t xml:space="preserve"> at the hands of a police officer in South Carolina, the C</w:t>
      </w:r>
      <w:r w:rsidR="00600C43" w:rsidRPr="00D920C9">
        <w:rPr>
          <w:rFonts w:asciiTheme="minorHAnsi" w:hAnsiTheme="minorHAnsi"/>
          <w:szCs w:val="20"/>
        </w:rPr>
        <w:t>ommission reaffirmed the</w:t>
      </w:r>
      <w:r w:rsidR="00402C78" w:rsidRPr="00D920C9">
        <w:rPr>
          <w:rFonts w:asciiTheme="minorHAnsi" w:hAnsiTheme="minorHAnsi"/>
          <w:szCs w:val="20"/>
        </w:rPr>
        <w:t xml:space="preserve"> </w:t>
      </w:r>
      <w:r w:rsidR="00600C43" w:rsidRPr="00D920C9">
        <w:rPr>
          <w:rFonts w:asciiTheme="minorHAnsi" w:hAnsiTheme="minorHAnsi"/>
          <w:szCs w:val="20"/>
        </w:rPr>
        <w:t>State’s</w:t>
      </w:r>
      <w:r w:rsidRPr="00D920C9">
        <w:rPr>
          <w:rFonts w:asciiTheme="minorHAnsi" w:hAnsiTheme="minorHAnsi"/>
          <w:szCs w:val="20"/>
        </w:rPr>
        <w:t xml:space="preserve"> duty to</w:t>
      </w:r>
      <w:r w:rsidR="00B81523" w:rsidRPr="00D920C9">
        <w:rPr>
          <w:rFonts w:asciiTheme="minorHAnsi" w:hAnsiTheme="minorHAnsi"/>
          <w:szCs w:val="20"/>
        </w:rPr>
        <w:t xml:space="preserve"> fully</w:t>
      </w:r>
      <w:r w:rsidRPr="00D920C9">
        <w:rPr>
          <w:rFonts w:asciiTheme="minorHAnsi" w:hAnsiTheme="minorHAnsi"/>
          <w:szCs w:val="20"/>
        </w:rPr>
        <w:t xml:space="preserve"> investigate </w:t>
      </w:r>
      <w:r w:rsidR="00B81523" w:rsidRPr="00D920C9">
        <w:rPr>
          <w:rFonts w:asciiTheme="minorHAnsi" w:hAnsiTheme="minorHAnsi"/>
          <w:szCs w:val="20"/>
        </w:rPr>
        <w:t xml:space="preserve">this killing </w:t>
      </w:r>
      <w:r w:rsidRPr="00D920C9">
        <w:rPr>
          <w:rFonts w:asciiTheme="minorHAnsi" w:hAnsiTheme="minorHAnsi"/>
          <w:szCs w:val="20"/>
        </w:rPr>
        <w:t>and to adopt coordinated legislative, policy, and institutional measures designed to eliminate racial discrimination, including measures to protect and guarantee the right to non-discrimination.</w:t>
      </w:r>
      <w:r w:rsidRPr="00D920C9">
        <w:rPr>
          <w:rFonts w:asciiTheme="minorHAnsi" w:hAnsiTheme="minorHAnsi"/>
          <w:vertAlign w:val="superscript"/>
        </w:rPr>
        <w:footnoteReference w:id="13"/>
      </w:r>
      <w:r w:rsidRPr="00D920C9">
        <w:rPr>
          <w:rFonts w:asciiTheme="minorHAnsi" w:hAnsiTheme="minorHAnsi"/>
          <w:szCs w:val="20"/>
        </w:rPr>
        <w:t xml:space="preserve"> </w:t>
      </w:r>
    </w:p>
    <w:p w14:paraId="283443ED" w14:textId="77777777" w:rsidR="00F579F7" w:rsidRPr="00D920C9" w:rsidRDefault="00F579F7" w:rsidP="002C64F8">
      <w:pPr>
        <w:pStyle w:val="ListParagraph"/>
        <w:numPr>
          <w:ilvl w:val="0"/>
          <w:numId w:val="9"/>
        </w:numPr>
        <w:spacing w:after="240" w:line="240" w:lineRule="auto"/>
        <w:ind w:left="547" w:hanging="547"/>
        <w:contextualSpacing w:val="0"/>
        <w:jc w:val="both"/>
        <w:rPr>
          <w:rFonts w:asciiTheme="minorHAnsi" w:hAnsiTheme="minorHAnsi"/>
          <w:szCs w:val="20"/>
        </w:rPr>
      </w:pPr>
      <w:r w:rsidRPr="00D920C9">
        <w:rPr>
          <w:rFonts w:asciiTheme="minorHAnsi" w:hAnsiTheme="minorHAnsi"/>
          <w:szCs w:val="20"/>
        </w:rPr>
        <w:t>On August 23, 2016, the Commission</w:t>
      </w:r>
      <w:r w:rsidR="00600C43" w:rsidRPr="00D920C9">
        <w:rPr>
          <w:rFonts w:asciiTheme="minorHAnsi" w:hAnsiTheme="minorHAnsi"/>
          <w:szCs w:val="20"/>
        </w:rPr>
        <w:t xml:space="preserve"> again</w:t>
      </w:r>
      <w:r w:rsidRPr="00D920C9">
        <w:rPr>
          <w:rFonts w:asciiTheme="minorHAnsi" w:hAnsiTheme="minorHAnsi"/>
          <w:szCs w:val="20"/>
        </w:rPr>
        <w:t xml:space="preserve"> manifested its concern over def</w:t>
      </w:r>
      <w:r w:rsidR="00600C43" w:rsidRPr="00D920C9">
        <w:rPr>
          <w:rFonts w:asciiTheme="minorHAnsi" w:hAnsiTheme="minorHAnsi"/>
          <w:szCs w:val="20"/>
        </w:rPr>
        <w:t xml:space="preserve">iciencies in the investigation </w:t>
      </w:r>
      <w:r w:rsidRPr="00D920C9">
        <w:rPr>
          <w:rFonts w:asciiTheme="minorHAnsi" w:hAnsiTheme="minorHAnsi"/>
          <w:szCs w:val="20"/>
        </w:rPr>
        <w:t xml:space="preserve">in the killings of Alton Sterling and </w:t>
      </w:r>
      <w:proofErr w:type="spellStart"/>
      <w:r w:rsidRPr="00D920C9">
        <w:rPr>
          <w:rFonts w:asciiTheme="minorHAnsi" w:hAnsiTheme="minorHAnsi"/>
          <w:szCs w:val="20"/>
        </w:rPr>
        <w:t>Philando</w:t>
      </w:r>
      <w:proofErr w:type="spellEnd"/>
      <w:r w:rsidRPr="00D920C9">
        <w:rPr>
          <w:rFonts w:asciiTheme="minorHAnsi" w:hAnsiTheme="minorHAnsi"/>
          <w:szCs w:val="20"/>
        </w:rPr>
        <w:t xml:space="preserve"> Castile</w:t>
      </w:r>
      <w:r w:rsidR="00600C43" w:rsidRPr="00D920C9">
        <w:rPr>
          <w:rFonts w:asciiTheme="minorHAnsi" w:hAnsiTheme="minorHAnsi"/>
          <w:szCs w:val="20"/>
        </w:rPr>
        <w:t xml:space="preserve"> by police officers</w:t>
      </w:r>
      <w:r w:rsidRPr="00D920C9">
        <w:rPr>
          <w:rFonts w:asciiTheme="minorHAnsi" w:hAnsiTheme="minorHAnsi"/>
          <w:szCs w:val="20"/>
        </w:rPr>
        <w:t xml:space="preserve"> in Louisiana and Minnesota</w:t>
      </w:r>
      <w:r w:rsidR="00600C43" w:rsidRPr="00D920C9">
        <w:rPr>
          <w:rFonts w:asciiTheme="minorHAnsi" w:hAnsiTheme="minorHAnsi"/>
          <w:szCs w:val="20"/>
        </w:rPr>
        <w:t>,</w:t>
      </w:r>
      <w:r w:rsidRPr="00D920C9">
        <w:rPr>
          <w:rFonts w:asciiTheme="minorHAnsi" w:hAnsiTheme="minorHAnsi"/>
          <w:szCs w:val="20"/>
        </w:rPr>
        <w:t xml:space="preserve"> respectively</w:t>
      </w:r>
      <w:r w:rsidR="00600C43" w:rsidRPr="00D920C9">
        <w:rPr>
          <w:rFonts w:asciiTheme="minorHAnsi" w:hAnsiTheme="minorHAnsi"/>
          <w:szCs w:val="20"/>
        </w:rPr>
        <w:t>, as well as the lack of institutional responsibility for these deaths</w:t>
      </w:r>
      <w:r w:rsidRPr="00D920C9">
        <w:rPr>
          <w:rFonts w:asciiTheme="minorHAnsi" w:hAnsiTheme="minorHAnsi"/>
          <w:szCs w:val="20"/>
        </w:rPr>
        <w:t>.</w:t>
      </w:r>
      <w:r w:rsidRPr="00D920C9">
        <w:rPr>
          <w:rFonts w:asciiTheme="minorHAnsi" w:hAnsiTheme="minorHAnsi"/>
          <w:vertAlign w:val="superscript"/>
        </w:rPr>
        <w:footnoteReference w:id="14"/>
      </w:r>
      <w:r w:rsidRPr="00D920C9">
        <w:rPr>
          <w:rFonts w:asciiTheme="minorHAnsi" w:hAnsiTheme="minorHAnsi"/>
          <w:szCs w:val="20"/>
        </w:rPr>
        <w:t xml:space="preserve"> </w:t>
      </w:r>
    </w:p>
    <w:p w14:paraId="781E9829" w14:textId="4490E370" w:rsidR="00F579F7" w:rsidRPr="00D920C9" w:rsidRDefault="00F579F7" w:rsidP="002C64F8">
      <w:pPr>
        <w:pStyle w:val="ListParagraph"/>
        <w:numPr>
          <w:ilvl w:val="0"/>
          <w:numId w:val="9"/>
        </w:numPr>
        <w:spacing w:after="240" w:line="240" w:lineRule="auto"/>
        <w:ind w:left="547" w:hanging="547"/>
        <w:contextualSpacing w:val="0"/>
        <w:jc w:val="both"/>
        <w:rPr>
          <w:rFonts w:asciiTheme="minorHAnsi" w:hAnsiTheme="minorHAnsi"/>
          <w:szCs w:val="20"/>
        </w:rPr>
      </w:pPr>
      <w:r w:rsidRPr="00D920C9">
        <w:rPr>
          <w:rFonts w:asciiTheme="minorHAnsi" w:hAnsiTheme="minorHAnsi"/>
          <w:szCs w:val="20"/>
        </w:rPr>
        <w:t xml:space="preserve">On August </w:t>
      </w:r>
      <w:r w:rsidR="00600C43" w:rsidRPr="00D920C9">
        <w:rPr>
          <w:rFonts w:asciiTheme="minorHAnsi" w:hAnsiTheme="minorHAnsi"/>
          <w:szCs w:val="20"/>
        </w:rPr>
        <w:t xml:space="preserve">18, </w:t>
      </w:r>
      <w:r w:rsidRPr="00D920C9">
        <w:rPr>
          <w:rFonts w:asciiTheme="minorHAnsi" w:hAnsiTheme="minorHAnsi"/>
          <w:szCs w:val="20"/>
        </w:rPr>
        <w:t xml:space="preserve">2017, </w:t>
      </w:r>
      <w:r w:rsidR="00600C43" w:rsidRPr="00D920C9">
        <w:rPr>
          <w:rFonts w:asciiTheme="minorHAnsi" w:hAnsiTheme="minorHAnsi"/>
          <w:szCs w:val="20"/>
        </w:rPr>
        <w:t>the Commission repudiated the expressions of hate and bigotry expressed by “Unite the Right” protesters gathered in</w:t>
      </w:r>
      <w:r w:rsidRPr="00D920C9">
        <w:rPr>
          <w:rFonts w:asciiTheme="minorHAnsi" w:hAnsiTheme="minorHAnsi"/>
          <w:szCs w:val="20"/>
        </w:rPr>
        <w:t xml:space="preserve"> Charlottesville, Virginia</w:t>
      </w:r>
      <w:r w:rsidR="00600C43" w:rsidRPr="00D920C9">
        <w:rPr>
          <w:rFonts w:asciiTheme="minorHAnsi" w:hAnsiTheme="minorHAnsi"/>
          <w:szCs w:val="20"/>
        </w:rPr>
        <w:t>. At that time, the Commission “urge[d] public officials [. . .] to unequivocally condemn bigotry and racial hatred and recognize the role such discrimination plays in contributing to violence against African Americans, immigrants,</w:t>
      </w:r>
      <w:r w:rsidR="00CF7CFF" w:rsidRPr="00D920C9">
        <w:rPr>
          <w:rFonts w:asciiTheme="minorHAnsi" w:hAnsiTheme="minorHAnsi"/>
          <w:szCs w:val="20"/>
        </w:rPr>
        <w:t xml:space="preserve"> </w:t>
      </w:r>
      <w:r w:rsidR="00600C43" w:rsidRPr="00D920C9">
        <w:rPr>
          <w:rFonts w:asciiTheme="minorHAnsi" w:hAnsiTheme="minorHAnsi"/>
          <w:szCs w:val="20"/>
        </w:rPr>
        <w:t>indigenous peoples</w:t>
      </w:r>
      <w:r w:rsidR="00653290" w:rsidRPr="00D920C9">
        <w:rPr>
          <w:rFonts w:asciiTheme="minorHAnsi" w:hAnsiTheme="minorHAnsi"/>
          <w:szCs w:val="20"/>
        </w:rPr>
        <w:t>,</w:t>
      </w:r>
      <w:r w:rsidR="00600C43" w:rsidRPr="00D920C9">
        <w:rPr>
          <w:rFonts w:asciiTheme="minorHAnsi" w:hAnsiTheme="minorHAnsi"/>
          <w:szCs w:val="20"/>
        </w:rPr>
        <w:t> </w:t>
      </w:r>
      <w:r w:rsidR="000310BD" w:rsidRPr="00D920C9">
        <w:rPr>
          <w:rFonts w:asciiTheme="minorHAnsi" w:hAnsiTheme="minorHAnsi"/>
          <w:szCs w:val="20"/>
        </w:rPr>
        <w:t xml:space="preserve"> </w:t>
      </w:r>
      <w:r w:rsidR="00600C43" w:rsidRPr="00D920C9">
        <w:rPr>
          <w:rFonts w:asciiTheme="minorHAnsi" w:hAnsiTheme="minorHAnsi"/>
          <w:szCs w:val="20"/>
        </w:rPr>
        <w:t>and</w:t>
      </w:r>
      <w:r w:rsidR="000310BD" w:rsidRPr="00D920C9">
        <w:rPr>
          <w:rFonts w:asciiTheme="minorHAnsi" w:hAnsiTheme="minorHAnsi"/>
          <w:szCs w:val="20"/>
        </w:rPr>
        <w:t xml:space="preserve"> </w:t>
      </w:r>
      <w:r w:rsidR="00600C43" w:rsidRPr="00D920C9">
        <w:rPr>
          <w:rFonts w:asciiTheme="minorHAnsi" w:hAnsiTheme="minorHAnsi"/>
          <w:szCs w:val="20"/>
        </w:rPr>
        <w:t>minority communities around the country.”</w:t>
      </w:r>
      <w:r w:rsidRPr="00D920C9">
        <w:rPr>
          <w:rFonts w:asciiTheme="minorHAnsi" w:hAnsiTheme="minorHAnsi"/>
          <w:vertAlign w:val="superscript"/>
        </w:rPr>
        <w:footnoteReference w:id="15"/>
      </w:r>
    </w:p>
    <w:p w14:paraId="16F6F773" w14:textId="77777777" w:rsidR="00B4412C" w:rsidRPr="00D920C9" w:rsidRDefault="00B4412C" w:rsidP="001167CB">
      <w:pPr>
        <w:pStyle w:val="Heading3"/>
        <w:ind w:left="540" w:hanging="540"/>
      </w:pPr>
      <w:bookmarkStart w:id="21" w:name="_Toc511837803"/>
      <w:bookmarkStart w:id="22" w:name="_Toc511902976"/>
      <w:bookmarkStart w:id="23" w:name="_Toc517687906"/>
      <w:r w:rsidRPr="00D920C9">
        <w:t xml:space="preserve">Additional </w:t>
      </w:r>
      <w:r w:rsidR="00D86045" w:rsidRPr="00D920C9">
        <w:t>Sources</w:t>
      </w:r>
      <w:bookmarkEnd w:id="21"/>
      <w:bookmarkEnd w:id="22"/>
      <w:bookmarkEnd w:id="23"/>
    </w:p>
    <w:p w14:paraId="1B7FB62B" w14:textId="77777777" w:rsidR="00B4412C" w:rsidRPr="00D920C9" w:rsidRDefault="00B4412C" w:rsidP="002C64F8">
      <w:pPr>
        <w:pStyle w:val="ListParagraph"/>
        <w:numPr>
          <w:ilvl w:val="0"/>
          <w:numId w:val="9"/>
        </w:numPr>
        <w:spacing w:after="240" w:line="240" w:lineRule="auto"/>
        <w:ind w:left="547" w:hanging="547"/>
        <w:contextualSpacing w:val="0"/>
        <w:jc w:val="both"/>
        <w:rPr>
          <w:rFonts w:asciiTheme="minorHAnsi" w:hAnsiTheme="minorHAnsi"/>
          <w:szCs w:val="20"/>
        </w:rPr>
      </w:pPr>
      <w:r w:rsidRPr="00D920C9">
        <w:rPr>
          <w:rFonts w:asciiTheme="minorHAnsi" w:hAnsiTheme="minorHAnsi"/>
          <w:szCs w:val="20"/>
        </w:rPr>
        <w:t>In addition to</w:t>
      </w:r>
      <w:r w:rsidR="00B81523" w:rsidRPr="00D920C9">
        <w:rPr>
          <w:rFonts w:asciiTheme="minorHAnsi" w:hAnsiTheme="minorHAnsi"/>
          <w:szCs w:val="20"/>
        </w:rPr>
        <w:t xml:space="preserve"> the</w:t>
      </w:r>
      <w:r w:rsidRPr="00D920C9">
        <w:rPr>
          <w:rFonts w:asciiTheme="minorHAnsi" w:hAnsiTheme="minorHAnsi"/>
          <w:szCs w:val="20"/>
        </w:rPr>
        <w:t xml:space="preserve"> information </w:t>
      </w:r>
      <w:r w:rsidR="00B81523" w:rsidRPr="00D920C9">
        <w:rPr>
          <w:rFonts w:asciiTheme="minorHAnsi" w:hAnsiTheme="minorHAnsi"/>
          <w:szCs w:val="20"/>
        </w:rPr>
        <w:t>described above</w:t>
      </w:r>
      <w:r w:rsidRPr="00D920C9">
        <w:rPr>
          <w:rFonts w:asciiTheme="minorHAnsi" w:hAnsiTheme="minorHAnsi"/>
          <w:szCs w:val="20"/>
        </w:rPr>
        <w:t>, this report relies on official public information obtained from government sources</w:t>
      </w:r>
      <w:r w:rsidR="00B81523" w:rsidRPr="00D920C9">
        <w:rPr>
          <w:rFonts w:asciiTheme="minorHAnsi" w:hAnsiTheme="minorHAnsi"/>
          <w:szCs w:val="20"/>
        </w:rPr>
        <w:t>;</w:t>
      </w:r>
      <w:r w:rsidRPr="00D920C9">
        <w:rPr>
          <w:rFonts w:asciiTheme="minorHAnsi" w:hAnsiTheme="minorHAnsi"/>
          <w:szCs w:val="20"/>
        </w:rPr>
        <w:t xml:space="preserve"> reports and studies by United Nations bodies and academic institutions</w:t>
      </w:r>
      <w:r w:rsidR="00B81523" w:rsidRPr="00D920C9">
        <w:rPr>
          <w:rFonts w:asciiTheme="minorHAnsi" w:hAnsiTheme="minorHAnsi"/>
          <w:szCs w:val="20"/>
        </w:rPr>
        <w:t>;</w:t>
      </w:r>
      <w:r w:rsidRPr="00D920C9">
        <w:rPr>
          <w:rFonts w:asciiTheme="minorHAnsi" w:hAnsiTheme="minorHAnsi"/>
          <w:szCs w:val="20"/>
        </w:rPr>
        <w:t xml:space="preserve"> a</w:t>
      </w:r>
      <w:r w:rsidR="00B81523" w:rsidRPr="00D920C9">
        <w:rPr>
          <w:rFonts w:asciiTheme="minorHAnsi" w:hAnsiTheme="minorHAnsi"/>
          <w:szCs w:val="20"/>
        </w:rPr>
        <w:t>n</w:t>
      </w:r>
      <w:r w:rsidRPr="00D920C9">
        <w:rPr>
          <w:rFonts w:asciiTheme="minorHAnsi" w:hAnsiTheme="minorHAnsi"/>
          <w:szCs w:val="20"/>
        </w:rPr>
        <w:t xml:space="preserve">d information published by non-governmental organizations and media outlets. The Commission notes the importance of considering the perspectives of multiple actors on the complex and multifaceted issue of racial </w:t>
      </w:r>
      <w:r w:rsidRPr="00D920C9">
        <w:rPr>
          <w:rFonts w:asciiTheme="minorHAnsi" w:hAnsiTheme="minorHAnsi"/>
          <w:szCs w:val="20"/>
        </w:rPr>
        <w:lastRenderedPageBreak/>
        <w:t xml:space="preserve">discrimination, and further notes the lack of complete, reliable, and up-to-date </w:t>
      </w:r>
      <w:r w:rsidR="00CF7CFF" w:rsidRPr="00D920C9">
        <w:rPr>
          <w:rFonts w:asciiTheme="minorHAnsi" w:hAnsiTheme="minorHAnsi"/>
          <w:szCs w:val="20"/>
        </w:rPr>
        <w:t>official</w:t>
      </w:r>
      <w:r w:rsidRPr="00D920C9">
        <w:rPr>
          <w:rFonts w:asciiTheme="minorHAnsi" w:hAnsiTheme="minorHAnsi"/>
          <w:szCs w:val="20"/>
        </w:rPr>
        <w:t xml:space="preserve"> statistical data on many of the issues discussed in this report, including incidents of police excessive use of force and police killings.</w:t>
      </w:r>
    </w:p>
    <w:p w14:paraId="0D7C5CBA" w14:textId="77777777" w:rsidR="00B4412C" w:rsidRPr="00D920C9" w:rsidRDefault="00B4412C" w:rsidP="000A1E39">
      <w:pPr>
        <w:pStyle w:val="Heading2"/>
        <w:ind w:left="547" w:hanging="547"/>
        <w:rPr>
          <w:sz w:val="20"/>
          <w:szCs w:val="20"/>
        </w:rPr>
      </w:pPr>
      <w:bookmarkStart w:id="24" w:name="_Toc511837804"/>
      <w:bookmarkStart w:id="25" w:name="_Toc511902977"/>
      <w:bookmarkStart w:id="26" w:name="_Toc517687907"/>
      <w:r w:rsidRPr="00D920C9">
        <w:t xml:space="preserve">The Inter-American Commission’s </w:t>
      </w:r>
      <w:r w:rsidR="00B23A0B" w:rsidRPr="00D920C9">
        <w:t xml:space="preserve">Jurisdiction </w:t>
      </w:r>
      <w:r w:rsidRPr="00D920C9">
        <w:t>with regard to the United States</w:t>
      </w:r>
      <w:bookmarkEnd w:id="24"/>
      <w:bookmarkEnd w:id="25"/>
      <w:bookmarkEnd w:id="26"/>
      <w:r w:rsidRPr="00D920C9">
        <w:t xml:space="preserve"> </w:t>
      </w:r>
    </w:p>
    <w:p w14:paraId="76FDFB85" w14:textId="720AD85E" w:rsidR="00B4412C" w:rsidRPr="00D920C9" w:rsidRDefault="00B4412C" w:rsidP="002C64F8">
      <w:pPr>
        <w:pStyle w:val="ListParagraph"/>
        <w:numPr>
          <w:ilvl w:val="0"/>
          <w:numId w:val="9"/>
        </w:numPr>
        <w:spacing w:after="240" w:line="240" w:lineRule="auto"/>
        <w:ind w:left="547" w:hanging="547"/>
        <w:contextualSpacing w:val="0"/>
        <w:jc w:val="both"/>
        <w:rPr>
          <w:rFonts w:asciiTheme="minorHAnsi" w:hAnsiTheme="minorHAnsi"/>
          <w:szCs w:val="20"/>
        </w:rPr>
      </w:pPr>
      <w:r w:rsidRPr="00D920C9">
        <w:rPr>
          <w:rFonts w:asciiTheme="minorHAnsi" w:hAnsiTheme="minorHAnsi"/>
        </w:rPr>
        <w:t xml:space="preserve">The American Declaration on the Rights and Duties </w:t>
      </w:r>
      <w:r w:rsidR="00CF7CFF" w:rsidRPr="00D920C9">
        <w:rPr>
          <w:rFonts w:asciiTheme="minorHAnsi" w:hAnsiTheme="minorHAnsi"/>
        </w:rPr>
        <w:t xml:space="preserve">of Man (“American Declaration,” </w:t>
      </w:r>
      <w:r w:rsidRPr="00D920C9">
        <w:rPr>
          <w:rFonts w:asciiTheme="minorHAnsi" w:hAnsiTheme="minorHAnsi"/>
        </w:rPr>
        <w:t xml:space="preserve">1948), along with the Charter of the Organization of American States (“OAS Charter”); the Statute of the Inter-American </w:t>
      </w:r>
      <w:r w:rsidRPr="00D920C9">
        <w:rPr>
          <w:rFonts w:asciiTheme="minorHAnsi" w:hAnsiTheme="minorHAnsi"/>
          <w:szCs w:val="20"/>
        </w:rPr>
        <w:t>Commission on Human Rights; and the Rules of Procedure of the IACHR</w:t>
      </w:r>
      <w:r w:rsidR="00731FA0" w:rsidRPr="00D920C9">
        <w:rPr>
          <w:rFonts w:asciiTheme="minorHAnsi" w:hAnsiTheme="minorHAnsi"/>
          <w:szCs w:val="20"/>
        </w:rPr>
        <w:t xml:space="preserve"> </w:t>
      </w:r>
      <w:r w:rsidRPr="00D920C9">
        <w:rPr>
          <w:rFonts w:asciiTheme="minorHAnsi" w:hAnsiTheme="minorHAnsi"/>
          <w:szCs w:val="20"/>
        </w:rPr>
        <w:t>form the basis of the Inter-American Commission’s jurisdiction over States that have</w:t>
      </w:r>
      <w:r w:rsidR="00BC2D83" w:rsidRPr="00D920C9">
        <w:rPr>
          <w:rFonts w:asciiTheme="minorHAnsi" w:hAnsiTheme="minorHAnsi"/>
          <w:szCs w:val="20"/>
        </w:rPr>
        <w:t xml:space="preserve"> yet to</w:t>
      </w:r>
      <w:r w:rsidRPr="00D920C9">
        <w:rPr>
          <w:rFonts w:asciiTheme="minorHAnsi" w:hAnsiTheme="minorHAnsi"/>
          <w:szCs w:val="20"/>
        </w:rPr>
        <w:t xml:space="preserve"> ratif</w:t>
      </w:r>
      <w:r w:rsidR="00BC2D83" w:rsidRPr="00D920C9">
        <w:rPr>
          <w:rFonts w:asciiTheme="minorHAnsi" w:hAnsiTheme="minorHAnsi"/>
          <w:szCs w:val="20"/>
        </w:rPr>
        <w:t>y</w:t>
      </w:r>
      <w:r w:rsidRPr="00D920C9">
        <w:rPr>
          <w:rFonts w:asciiTheme="minorHAnsi" w:hAnsiTheme="minorHAnsi"/>
          <w:szCs w:val="20"/>
        </w:rPr>
        <w:t xml:space="preserve"> the American Convention on Human Rights (“American Convention” or ACHR).</w:t>
      </w:r>
      <w:r w:rsidRPr="00D920C9">
        <w:rPr>
          <w:rFonts w:asciiTheme="minorHAnsi" w:hAnsiTheme="minorHAnsi"/>
          <w:szCs w:val="20"/>
          <w:vertAlign w:val="superscript"/>
        </w:rPr>
        <w:footnoteReference w:id="16"/>
      </w:r>
      <w:r w:rsidRPr="00D920C9">
        <w:rPr>
          <w:rFonts w:asciiTheme="minorHAnsi" w:hAnsiTheme="minorHAnsi"/>
          <w:szCs w:val="20"/>
        </w:rPr>
        <w:t xml:space="preserve"> In particular, it is well-established that the content of the general principles of the</w:t>
      </w:r>
      <w:r w:rsidR="00590B58" w:rsidRPr="00D920C9">
        <w:rPr>
          <w:rFonts w:asciiTheme="minorHAnsi" w:hAnsiTheme="minorHAnsi"/>
          <w:szCs w:val="20"/>
        </w:rPr>
        <w:t xml:space="preserve"> OAS Charter—to which all State Parties</w:t>
      </w:r>
      <w:r w:rsidRPr="00D920C9">
        <w:rPr>
          <w:rFonts w:asciiTheme="minorHAnsi" w:hAnsiTheme="minorHAnsi"/>
          <w:szCs w:val="20"/>
        </w:rPr>
        <w:t xml:space="preserve"> to the Charter are bound—are contained in and defined by the American Declaration.</w:t>
      </w:r>
      <w:r w:rsidRPr="00D920C9">
        <w:rPr>
          <w:rFonts w:asciiTheme="minorHAnsi" w:hAnsiTheme="minorHAnsi"/>
          <w:szCs w:val="20"/>
          <w:vertAlign w:val="superscript"/>
        </w:rPr>
        <w:footnoteReference w:id="17"/>
      </w:r>
      <w:r w:rsidRPr="00D920C9">
        <w:rPr>
          <w:rFonts w:asciiTheme="minorHAnsi" w:hAnsiTheme="minorHAnsi"/>
          <w:szCs w:val="20"/>
        </w:rPr>
        <w:t xml:space="preserve"> The Declaration recognizes a range of fundamental human rights—</w:t>
      </w:r>
      <w:r w:rsidR="00280E83" w:rsidRPr="00D920C9">
        <w:rPr>
          <w:rFonts w:asciiTheme="minorHAnsi" w:hAnsiTheme="minorHAnsi"/>
          <w:szCs w:val="20"/>
        </w:rPr>
        <w:t>many</w:t>
      </w:r>
      <w:r w:rsidRPr="00D920C9">
        <w:rPr>
          <w:rFonts w:asciiTheme="minorHAnsi" w:hAnsiTheme="minorHAnsi"/>
          <w:szCs w:val="20"/>
        </w:rPr>
        <w:t xml:space="preserve"> of which, like the prohibition o</w:t>
      </w:r>
      <w:r w:rsidR="0004447D" w:rsidRPr="00D920C9">
        <w:rPr>
          <w:rFonts w:asciiTheme="minorHAnsi" w:hAnsiTheme="minorHAnsi"/>
          <w:szCs w:val="20"/>
        </w:rPr>
        <w:t>f</w:t>
      </w:r>
      <w:r w:rsidRPr="00D920C9">
        <w:rPr>
          <w:rFonts w:asciiTheme="minorHAnsi" w:hAnsiTheme="minorHAnsi"/>
          <w:szCs w:val="20"/>
        </w:rPr>
        <w:t xml:space="preserve"> torture, additionally enjoy customary legal status—including </w:t>
      </w:r>
      <w:r w:rsidR="00280E83" w:rsidRPr="00D920C9">
        <w:rPr>
          <w:rFonts w:asciiTheme="minorHAnsi" w:hAnsiTheme="minorHAnsi"/>
          <w:szCs w:val="20"/>
        </w:rPr>
        <w:t>a number</w:t>
      </w:r>
      <w:r w:rsidRPr="00D920C9">
        <w:rPr>
          <w:rFonts w:asciiTheme="minorHAnsi" w:hAnsiTheme="minorHAnsi"/>
          <w:szCs w:val="20"/>
        </w:rPr>
        <w:t xml:space="preserve"> that are</w:t>
      </w:r>
      <w:r w:rsidR="00DE49F4" w:rsidRPr="00D920C9">
        <w:rPr>
          <w:rFonts w:asciiTheme="minorHAnsi" w:hAnsiTheme="minorHAnsi"/>
          <w:szCs w:val="20"/>
        </w:rPr>
        <w:t xml:space="preserve"> highly</w:t>
      </w:r>
      <w:r w:rsidRPr="00D920C9">
        <w:rPr>
          <w:rFonts w:asciiTheme="minorHAnsi" w:hAnsiTheme="minorHAnsi"/>
          <w:szCs w:val="20"/>
        </w:rPr>
        <w:t xml:space="preserve"> relevant to the issues of use of force, discrimination, and access to justice addressed in this report. </w:t>
      </w:r>
    </w:p>
    <w:p w14:paraId="08A7271D" w14:textId="2CA8684E" w:rsidR="00B4412C" w:rsidRPr="00D920C9" w:rsidRDefault="00B4412C" w:rsidP="002C64F8">
      <w:pPr>
        <w:pStyle w:val="ListParagraph"/>
        <w:numPr>
          <w:ilvl w:val="0"/>
          <w:numId w:val="9"/>
        </w:numPr>
        <w:spacing w:after="240" w:line="240" w:lineRule="auto"/>
        <w:ind w:left="547" w:hanging="547"/>
        <w:contextualSpacing w:val="0"/>
        <w:jc w:val="both"/>
        <w:rPr>
          <w:rFonts w:asciiTheme="minorHAnsi" w:hAnsiTheme="minorHAnsi"/>
          <w:szCs w:val="20"/>
        </w:rPr>
      </w:pPr>
      <w:r w:rsidRPr="00D920C9">
        <w:rPr>
          <w:rFonts w:asciiTheme="minorHAnsi" w:hAnsiTheme="minorHAnsi"/>
          <w:szCs w:val="20"/>
        </w:rPr>
        <w:t>The United States has thus been subject to the jurisdiction of the Inter-American Commission since it deposited its instrument of ratification of the OAS Charter on June 19, 1951.</w:t>
      </w:r>
      <w:r w:rsidRPr="00D920C9">
        <w:rPr>
          <w:rFonts w:asciiTheme="minorHAnsi" w:hAnsiTheme="minorHAnsi"/>
          <w:szCs w:val="20"/>
          <w:vertAlign w:val="superscript"/>
        </w:rPr>
        <w:footnoteReference w:id="18"/>
      </w:r>
      <w:r w:rsidRPr="00D920C9">
        <w:rPr>
          <w:rFonts w:asciiTheme="minorHAnsi" w:hAnsiTheme="minorHAnsi"/>
          <w:szCs w:val="20"/>
        </w:rPr>
        <w:t xml:space="preserve"> </w:t>
      </w:r>
      <w:r w:rsidR="00280E83" w:rsidRPr="00D920C9">
        <w:rPr>
          <w:rFonts w:asciiTheme="minorHAnsi" w:hAnsiTheme="minorHAnsi"/>
          <w:szCs w:val="20"/>
        </w:rPr>
        <w:t xml:space="preserve">The </w:t>
      </w:r>
      <w:r w:rsidRPr="00D920C9">
        <w:rPr>
          <w:rFonts w:asciiTheme="minorHAnsi" w:hAnsiTheme="minorHAnsi"/>
          <w:szCs w:val="20"/>
        </w:rPr>
        <w:t xml:space="preserve">IACHR, pursuant to its mandate, </w:t>
      </w:r>
      <w:r w:rsidRPr="00D920C9">
        <w:rPr>
          <w:rFonts w:asciiTheme="minorHAnsi" w:hAnsiTheme="minorHAnsi"/>
          <w:szCs w:val="20"/>
        </w:rPr>
        <w:lastRenderedPageBreak/>
        <w:t xml:space="preserve">has monitored the human rights situation in the </w:t>
      </w:r>
      <w:r w:rsidR="00904A46" w:rsidRPr="00D920C9">
        <w:rPr>
          <w:rFonts w:asciiTheme="minorHAnsi" w:hAnsiTheme="minorHAnsi"/>
          <w:szCs w:val="20"/>
        </w:rPr>
        <w:t>U.S.</w:t>
      </w:r>
      <w:r w:rsidRPr="00D920C9">
        <w:rPr>
          <w:rFonts w:asciiTheme="minorHAnsi" w:hAnsiTheme="minorHAnsi"/>
          <w:szCs w:val="20"/>
        </w:rPr>
        <w:t xml:space="preserve"> via the adoption of case decisions, precautionary measures, and thematic and country-based reports.</w:t>
      </w:r>
      <w:r w:rsidRPr="00D920C9">
        <w:rPr>
          <w:rFonts w:asciiTheme="minorHAnsi" w:hAnsiTheme="minorHAnsi"/>
          <w:szCs w:val="20"/>
          <w:vertAlign w:val="superscript"/>
        </w:rPr>
        <w:footnoteReference w:id="19"/>
      </w:r>
      <w:r w:rsidRPr="00D920C9">
        <w:rPr>
          <w:rFonts w:asciiTheme="minorHAnsi" w:hAnsiTheme="minorHAnsi"/>
          <w:szCs w:val="20"/>
        </w:rPr>
        <w:t xml:space="preserve"> </w:t>
      </w:r>
    </w:p>
    <w:p w14:paraId="0F943883" w14:textId="105081DE" w:rsidR="00B4412C" w:rsidRPr="00D920C9" w:rsidRDefault="00B4412C" w:rsidP="002C64F8">
      <w:pPr>
        <w:pStyle w:val="ListParagraph"/>
        <w:numPr>
          <w:ilvl w:val="0"/>
          <w:numId w:val="9"/>
        </w:numPr>
        <w:spacing w:after="240" w:line="240" w:lineRule="auto"/>
        <w:ind w:left="547" w:hanging="547"/>
        <w:contextualSpacing w:val="0"/>
        <w:jc w:val="both"/>
        <w:rPr>
          <w:rFonts w:asciiTheme="minorHAnsi" w:hAnsiTheme="minorHAnsi"/>
          <w:szCs w:val="20"/>
        </w:rPr>
      </w:pPr>
      <w:r w:rsidRPr="00D920C9">
        <w:rPr>
          <w:rFonts w:asciiTheme="minorHAnsi" w:hAnsiTheme="minorHAnsi"/>
          <w:szCs w:val="20"/>
        </w:rPr>
        <w:t>As the Commission has repeatedly sta</w:t>
      </w:r>
      <w:r w:rsidR="000604D9" w:rsidRPr="00D920C9">
        <w:rPr>
          <w:rFonts w:asciiTheme="minorHAnsi" w:hAnsiTheme="minorHAnsi"/>
          <w:szCs w:val="20"/>
        </w:rPr>
        <w:t xml:space="preserve">ted, universal ratification of </w:t>
      </w:r>
      <w:r w:rsidR="004220B5" w:rsidRPr="00D920C9">
        <w:rPr>
          <w:rFonts w:asciiTheme="minorHAnsi" w:hAnsiTheme="minorHAnsi"/>
          <w:szCs w:val="20"/>
        </w:rPr>
        <w:t>i</w:t>
      </w:r>
      <w:r w:rsidRPr="00D920C9">
        <w:rPr>
          <w:rFonts w:asciiTheme="minorHAnsi" w:hAnsiTheme="minorHAnsi"/>
          <w:szCs w:val="20"/>
        </w:rPr>
        <w:t>nter-American human rights instruments is essential to achieving full protection of the human rights of all persons in the hemisphere.</w:t>
      </w:r>
      <w:r w:rsidRPr="00D920C9">
        <w:rPr>
          <w:rFonts w:asciiTheme="minorHAnsi" w:hAnsiTheme="minorHAnsi"/>
          <w:szCs w:val="20"/>
          <w:vertAlign w:val="superscript"/>
        </w:rPr>
        <w:footnoteReference w:id="20"/>
      </w:r>
      <w:r w:rsidRPr="00D920C9">
        <w:rPr>
          <w:rFonts w:asciiTheme="minorHAnsi" w:hAnsiTheme="minorHAnsi"/>
          <w:szCs w:val="20"/>
        </w:rPr>
        <w:t xml:space="preserve"> In particular, the Commission </w:t>
      </w:r>
      <w:r w:rsidR="00AC33D7" w:rsidRPr="00D920C9">
        <w:rPr>
          <w:rFonts w:asciiTheme="minorHAnsi" w:hAnsiTheme="minorHAnsi"/>
          <w:szCs w:val="20"/>
        </w:rPr>
        <w:t>considers</w:t>
      </w:r>
      <w:r w:rsidRPr="00D920C9">
        <w:rPr>
          <w:rFonts w:asciiTheme="minorHAnsi" w:hAnsiTheme="minorHAnsi"/>
          <w:szCs w:val="20"/>
        </w:rPr>
        <w:t xml:space="preserve"> that the ratification of these instruments is highly relevant to combat racial discrimination</w:t>
      </w:r>
      <w:r w:rsidR="0038546C" w:rsidRPr="00D920C9">
        <w:rPr>
          <w:rFonts w:asciiTheme="minorHAnsi" w:hAnsiTheme="minorHAnsi"/>
          <w:szCs w:val="20"/>
        </w:rPr>
        <w:t>,</w:t>
      </w:r>
      <w:r w:rsidRPr="00D920C9">
        <w:rPr>
          <w:rFonts w:asciiTheme="minorHAnsi" w:hAnsiTheme="minorHAnsi"/>
          <w:szCs w:val="20"/>
        </w:rPr>
        <w:t xml:space="preserve"> to promote the use of force by law enforcement authorities</w:t>
      </w:r>
      <w:r w:rsidR="00280E83" w:rsidRPr="00D920C9">
        <w:rPr>
          <w:rFonts w:asciiTheme="minorHAnsi" w:hAnsiTheme="minorHAnsi"/>
          <w:szCs w:val="20"/>
        </w:rPr>
        <w:t xml:space="preserve"> only when absolutely necessary</w:t>
      </w:r>
      <w:r w:rsidR="00590B58" w:rsidRPr="00D920C9">
        <w:rPr>
          <w:rFonts w:asciiTheme="minorHAnsi" w:hAnsiTheme="minorHAnsi"/>
          <w:szCs w:val="20"/>
        </w:rPr>
        <w:t>, and to facilitate</w:t>
      </w:r>
      <w:r w:rsidR="0038546C" w:rsidRPr="00D920C9">
        <w:rPr>
          <w:rFonts w:asciiTheme="minorHAnsi" w:hAnsiTheme="minorHAnsi"/>
          <w:szCs w:val="20"/>
        </w:rPr>
        <w:t xml:space="preserve"> access to justice and combat impunity</w:t>
      </w:r>
      <w:r w:rsidRPr="00D920C9">
        <w:rPr>
          <w:rFonts w:asciiTheme="minorHAnsi" w:hAnsiTheme="minorHAnsi"/>
          <w:szCs w:val="20"/>
        </w:rPr>
        <w:t xml:space="preserve"> in the countries of the region, including the </w:t>
      </w:r>
      <w:r w:rsidR="00904A46" w:rsidRPr="00D920C9">
        <w:rPr>
          <w:rFonts w:asciiTheme="minorHAnsi" w:hAnsiTheme="minorHAnsi"/>
          <w:szCs w:val="20"/>
        </w:rPr>
        <w:t>U.S</w:t>
      </w:r>
      <w:r w:rsidRPr="00D920C9">
        <w:rPr>
          <w:rFonts w:asciiTheme="minorHAnsi" w:hAnsiTheme="minorHAnsi"/>
          <w:szCs w:val="20"/>
        </w:rPr>
        <w:t>.</w:t>
      </w:r>
      <w:r w:rsidR="00AC33D7" w:rsidRPr="00D920C9">
        <w:rPr>
          <w:rFonts w:asciiTheme="minorHAnsi" w:hAnsiTheme="minorHAnsi"/>
          <w:vertAlign w:val="superscript"/>
        </w:rPr>
        <w:footnoteReference w:id="21"/>
      </w:r>
      <w:r w:rsidRPr="00D920C9">
        <w:rPr>
          <w:rFonts w:asciiTheme="minorHAnsi" w:hAnsiTheme="minorHAnsi"/>
          <w:szCs w:val="20"/>
        </w:rPr>
        <w:t xml:space="preserve"> Accordingly, the Commission encourages the United States to ratify all relevant regional treaties, including the American Convention on Human Rights; the Inter-American Convention against Racism, Racial Discrimination, and Related Forms of Intolerance; and the Inter-American Convention on the Prevention, Punishment and Eradication of Violence against Women (“Convention o</w:t>
      </w:r>
      <w:r w:rsidR="0038546C" w:rsidRPr="00D920C9">
        <w:rPr>
          <w:rFonts w:asciiTheme="minorHAnsi" w:hAnsiTheme="minorHAnsi"/>
          <w:szCs w:val="20"/>
        </w:rPr>
        <w:t xml:space="preserve">f </w:t>
      </w:r>
      <w:proofErr w:type="spellStart"/>
      <w:r w:rsidR="0038546C" w:rsidRPr="00D920C9">
        <w:rPr>
          <w:rFonts w:asciiTheme="minorHAnsi" w:hAnsiTheme="minorHAnsi"/>
          <w:szCs w:val="20"/>
        </w:rPr>
        <w:t>Belém</w:t>
      </w:r>
      <w:proofErr w:type="spellEnd"/>
      <w:r w:rsidR="0038546C" w:rsidRPr="00D920C9">
        <w:rPr>
          <w:rFonts w:asciiTheme="minorHAnsi" w:hAnsiTheme="minorHAnsi"/>
          <w:szCs w:val="20"/>
        </w:rPr>
        <w:t xml:space="preserve"> do </w:t>
      </w:r>
      <w:proofErr w:type="spellStart"/>
      <w:r w:rsidR="0038546C" w:rsidRPr="00D920C9">
        <w:rPr>
          <w:rFonts w:asciiTheme="minorHAnsi" w:hAnsiTheme="minorHAnsi"/>
          <w:szCs w:val="20"/>
        </w:rPr>
        <w:t>Pará</w:t>
      </w:r>
      <w:proofErr w:type="spellEnd"/>
      <w:r w:rsidR="0038546C" w:rsidRPr="00D920C9">
        <w:rPr>
          <w:rFonts w:asciiTheme="minorHAnsi" w:hAnsiTheme="minorHAnsi"/>
          <w:szCs w:val="20"/>
        </w:rPr>
        <w:t>”); among others.</w:t>
      </w:r>
    </w:p>
    <w:p w14:paraId="4448BD2D" w14:textId="14720FE1" w:rsidR="00B4412C" w:rsidRPr="00D920C9" w:rsidRDefault="00B4412C" w:rsidP="002C64F8">
      <w:pPr>
        <w:pStyle w:val="ListParagraph"/>
        <w:numPr>
          <w:ilvl w:val="0"/>
          <w:numId w:val="9"/>
        </w:numPr>
        <w:spacing w:after="240" w:line="240" w:lineRule="auto"/>
        <w:ind w:left="547" w:hanging="547"/>
        <w:contextualSpacing w:val="0"/>
        <w:jc w:val="both"/>
        <w:rPr>
          <w:rFonts w:asciiTheme="minorHAnsi" w:hAnsiTheme="minorHAnsi"/>
          <w:szCs w:val="20"/>
        </w:rPr>
      </w:pPr>
      <w:r w:rsidRPr="00D920C9">
        <w:rPr>
          <w:rFonts w:asciiTheme="minorHAnsi" w:hAnsiTheme="minorHAnsi"/>
          <w:szCs w:val="20"/>
        </w:rPr>
        <w:t>The Commission has consistently interpreted the American Declaration as requiring States to adopt measures to give legal effect to the rights contained in the American Declaration.</w:t>
      </w:r>
      <w:r w:rsidRPr="00D920C9">
        <w:rPr>
          <w:rFonts w:asciiTheme="minorHAnsi" w:hAnsiTheme="minorHAnsi"/>
          <w:szCs w:val="20"/>
          <w:vertAlign w:val="superscript"/>
        </w:rPr>
        <w:footnoteReference w:id="22"/>
      </w:r>
      <w:r w:rsidRPr="00D920C9">
        <w:rPr>
          <w:rFonts w:asciiTheme="minorHAnsi" w:hAnsiTheme="minorHAnsi"/>
          <w:szCs w:val="20"/>
        </w:rPr>
        <w:t xml:space="preserve"> The Commission has not only required States to refrain from committing human rights violations contrary to the provisions of the American Declaration,</w:t>
      </w:r>
      <w:r w:rsidRPr="00D920C9">
        <w:rPr>
          <w:rFonts w:asciiTheme="minorHAnsi" w:hAnsiTheme="minorHAnsi"/>
          <w:szCs w:val="20"/>
          <w:vertAlign w:val="superscript"/>
        </w:rPr>
        <w:footnoteReference w:id="23"/>
      </w:r>
      <w:r w:rsidRPr="00D920C9">
        <w:rPr>
          <w:rFonts w:asciiTheme="minorHAnsi" w:hAnsiTheme="minorHAnsi"/>
          <w:szCs w:val="20"/>
        </w:rPr>
        <w:t xml:space="preserve"> but also to adopt affirmative measures to guarantee that the individuals subject to their </w:t>
      </w:r>
      <w:r w:rsidRPr="00D920C9">
        <w:rPr>
          <w:rFonts w:asciiTheme="minorHAnsi" w:hAnsiTheme="minorHAnsi"/>
          <w:szCs w:val="20"/>
        </w:rPr>
        <w:lastRenderedPageBreak/>
        <w:t>jurisdiction can exercise and enjoy the rights contained in the American Declaration.</w:t>
      </w:r>
      <w:r w:rsidRPr="00D920C9">
        <w:rPr>
          <w:rFonts w:asciiTheme="minorHAnsi" w:hAnsiTheme="minorHAnsi"/>
          <w:szCs w:val="20"/>
          <w:vertAlign w:val="superscript"/>
        </w:rPr>
        <w:footnoteReference w:id="24"/>
      </w:r>
      <w:r w:rsidRPr="00D920C9">
        <w:rPr>
          <w:rFonts w:asciiTheme="minorHAnsi" w:hAnsiTheme="minorHAnsi"/>
          <w:szCs w:val="20"/>
        </w:rPr>
        <w:t xml:space="preserve"> </w:t>
      </w:r>
      <w:r w:rsidR="00280E83" w:rsidRPr="00D920C9">
        <w:rPr>
          <w:rFonts w:asciiTheme="minorHAnsi" w:hAnsiTheme="minorHAnsi"/>
          <w:szCs w:val="20"/>
        </w:rPr>
        <w:t>Under international law</w:t>
      </w:r>
      <w:r w:rsidRPr="00D920C9">
        <w:rPr>
          <w:rFonts w:asciiTheme="minorHAnsi" w:hAnsiTheme="minorHAnsi"/>
          <w:szCs w:val="20"/>
        </w:rPr>
        <w:t xml:space="preserve"> the United States is </w:t>
      </w:r>
      <w:r w:rsidR="00280E83" w:rsidRPr="00D920C9">
        <w:rPr>
          <w:rFonts w:asciiTheme="minorHAnsi" w:hAnsiTheme="minorHAnsi"/>
          <w:szCs w:val="20"/>
        </w:rPr>
        <w:t>required</w:t>
      </w:r>
      <w:r w:rsidRPr="00D920C9">
        <w:rPr>
          <w:rFonts w:asciiTheme="minorHAnsi" w:hAnsiTheme="minorHAnsi"/>
          <w:szCs w:val="20"/>
        </w:rPr>
        <w:t xml:space="preserve"> to harmonize, interpret, and apply its Constitution, domestic legislation, and policies in line with its international obligations at the federal, state, and local levels.</w:t>
      </w:r>
    </w:p>
    <w:p w14:paraId="358E3B0B" w14:textId="77777777" w:rsidR="005274F9" w:rsidRPr="00D920C9" w:rsidRDefault="005274F9" w:rsidP="002C64F8">
      <w:pPr>
        <w:pStyle w:val="ListParagraph"/>
        <w:numPr>
          <w:ilvl w:val="0"/>
          <w:numId w:val="9"/>
        </w:numPr>
        <w:spacing w:after="240" w:line="240" w:lineRule="auto"/>
        <w:ind w:left="547" w:hanging="547"/>
        <w:contextualSpacing w:val="0"/>
        <w:jc w:val="both"/>
        <w:rPr>
          <w:rFonts w:asciiTheme="minorHAnsi" w:hAnsiTheme="minorHAnsi"/>
          <w:szCs w:val="20"/>
        </w:rPr>
      </w:pPr>
      <w:r w:rsidRPr="00D920C9">
        <w:rPr>
          <w:rFonts w:asciiTheme="minorHAnsi" w:hAnsiTheme="minorHAnsi"/>
          <w:szCs w:val="20"/>
        </w:rPr>
        <w:t xml:space="preserve">The Commission recalls that under international law, the federal government, which commits to international obligations, has a duty to take measures in accordance with internal law to ensure that the entities within the federation are in compliance with the State’s overall duties. In this regard, the federal government </w:t>
      </w:r>
      <w:r w:rsidR="00B5334C" w:rsidRPr="00D920C9">
        <w:rPr>
          <w:rFonts w:asciiTheme="minorHAnsi" w:hAnsiTheme="minorHAnsi"/>
          <w:szCs w:val="20"/>
        </w:rPr>
        <w:t>is responsible</w:t>
      </w:r>
      <w:r w:rsidRPr="00D920C9">
        <w:rPr>
          <w:rFonts w:asciiTheme="minorHAnsi" w:hAnsiTheme="minorHAnsi"/>
          <w:szCs w:val="20"/>
        </w:rPr>
        <w:t xml:space="preserve"> to ensure that entities within it observe required standards. </w:t>
      </w:r>
    </w:p>
    <w:p w14:paraId="2C7BEAB7" w14:textId="76D7E21B" w:rsidR="00B4412C" w:rsidRPr="00D920C9" w:rsidRDefault="00B4412C" w:rsidP="002C64F8">
      <w:pPr>
        <w:pStyle w:val="ListParagraph"/>
        <w:numPr>
          <w:ilvl w:val="0"/>
          <w:numId w:val="9"/>
        </w:numPr>
        <w:spacing w:after="240" w:line="240" w:lineRule="auto"/>
        <w:ind w:left="547" w:hanging="547"/>
        <w:contextualSpacing w:val="0"/>
        <w:jc w:val="both"/>
        <w:rPr>
          <w:rFonts w:asciiTheme="minorHAnsi" w:hAnsiTheme="minorHAnsi"/>
          <w:szCs w:val="20"/>
        </w:rPr>
      </w:pPr>
      <w:r w:rsidRPr="00D920C9">
        <w:rPr>
          <w:rFonts w:asciiTheme="minorHAnsi" w:hAnsiTheme="minorHAnsi"/>
          <w:szCs w:val="20"/>
        </w:rPr>
        <w:t xml:space="preserve">The American Declaration recognizes a number of fundamental human rights relevant in the contexts of non-discrimination, the use of force, and access to justice guarantees. Provisions </w:t>
      </w:r>
      <w:r w:rsidR="000556A7" w:rsidRPr="00D920C9">
        <w:rPr>
          <w:rFonts w:asciiTheme="minorHAnsi" w:hAnsiTheme="minorHAnsi"/>
          <w:szCs w:val="20"/>
        </w:rPr>
        <w:t>that</w:t>
      </w:r>
      <w:r w:rsidR="00F64E0D" w:rsidRPr="00D920C9">
        <w:rPr>
          <w:rFonts w:asciiTheme="minorHAnsi" w:hAnsiTheme="minorHAnsi"/>
          <w:szCs w:val="20"/>
        </w:rPr>
        <w:t xml:space="preserve"> are pertinent</w:t>
      </w:r>
      <w:r w:rsidRPr="00D920C9">
        <w:rPr>
          <w:rFonts w:asciiTheme="minorHAnsi" w:hAnsiTheme="minorHAnsi"/>
          <w:szCs w:val="20"/>
        </w:rPr>
        <w:t xml:space="preserve"> to the right to non-discrimination include the right to equality before law (Article II) and the right to special protections for mothers and children (Article VII). Regarding the use of force, the American Declaration </w:t>
      </w:r>
      <w:r w:rsidR="00280E83" w:rsidRPr="00D920C9">
        <w:rPr>
          <w:rFonts w:asciiTheme="minorHAnsi" w:hAnsiTheme="minorHAnsi"/>
          <w:szCs w:val="20"/>
        </w:rPr>
        <w:t>recognizes</w:t>
      </w:r>
      <w:r w:rsidRPr="00D920C9">
        <w:rPr>
          <w:rFonts w:asciiTheme="minorHAnsi" w:hAnsiTheme="minorHAnsi"/>
          <w:szCs w:val="20"/>
        </w:rPr>
        <w:t xml:space="preserve"> the right to life, liberty and personal security (Article I) and the right of protection from arbitrary arrest (Article XXV). Regarding the right to access to justice, the Declaration includes the right to a fair trial (Article XXIII), the right of petition (Article XXIV)</w:t>
      </w:r>
      <w:r w:rsidR="00F64E0D" w:rsidRPr="00D920C9">
        <w:rPr>
          <w:rFonts w:asciiTheme="minorHAnsi" w:hAnsiTheme="minorHAnsi"/>
          <w:szCs w:val="20"/>
        </w:rPr>
        <w:t>,</w:t>
      </w:r>
      <w:r w:rsidRPr="00D920C9">
        <w:rPr>
          <w:rFonts w:asciiTheme="minorHAnsi" w:hAnsiTheme="minorHAnsi"/>
          <w:szCs w:val="20"/>
        </w:rPr>
        <w:t xml:space="preserve"> and the right to due process of law (Article XXVI). Other rights pertinent to issues of excessive use of force against African</w:t>
      </w:r>
      <w:r w:rsidR="0030356C" w:rsidRPr="00D920C9">
        <w:rPr>
          <w:rFonts w:asciiTheme="minorHAnsi" w:hAnsiTheme="minorHAnsi"/>
          <w:szCs w:val="20"/>
        </w:rPr>
        <w:t xml:space="preserve"> </w:t>
      </w:r>
      <w:r w:rsidRPr="00D920C9">
        <w:rPr>
          <w:rFonts w:asciiTheme="minorHAnsi" w:hAnsiTheme="minorHAnsi"/>
          <w:szCs w:val="20"/>
        </w:rPr>
        <w:t>Americans include the right to recognition of juridical personality and civil rights (Article XVII)</w:t>
      </w:r>
      <w:r w:rsidR="00F64E0D" w:rsidRPr="00D920C9">
        <w:rPr>
          <w:rFonts w:asciiTheme="minorHAnsi" w:hAnsiTheme="minorHAnsi"/>
          <w:szCs w:val="20"/>
        </w:rPr>
        <w:t>,</w:t>
      </w:r>
      <w:r w:rsidRPr="00D920C9">
        <w:rPr>
          <w:rFonts w:asciiTheme="minorHAnsi" w:hAnsiTheme="minorHAnsi"/>
          <w:szCs w:val="20"/>
        </w:rPr>
        <w:t xml:space="preserve"> and the right to freedom of assembly (Article XXI).</w:t>
      </w:r>
    </w:p>
    <w:p w14:paraId="28E84087" w14:textId="77777777" w:rsidR="005274F9" w:rsidRPr="00D920C9" w:rsidRDefault="00B4412C" w:rsidP="002C64F8">
      <w:pPr>
        <w:pStyle w:val="ListParagraph"/>
        <w:numPr>
          <w:ilvl w:val="0"/>
          <w:numId w:val="9"/>
        </w:numPr>
        <w:spacing w:after="240" w:line="240" w:lineRule="auto"/>
        <w:ind w:left="547" w:hanging="547"/>
        <w:contextualSpacing w:val="0"/>
        <w:jc w:val="both"/>
        <w:rPr>
          <w:rFonts w:asciiTheme="minorHAnsi" w:hAnsiTheme="minorHAnsi"/>
          <w:szCs w:val="20"/>
        </w:rPr>
      </w:pPr>
      <w:r w:rsidRPr="00D920C9">
        <w:rPr>
          <w:rFonts w:asciiTheme="minorHAnsi" w:hAnsiTheme="minorHAnsi"/>
          <w:szCs w:val="20"/>
        </w:rPr>
        <w:t>The Commission has stated that implement</w:t>
      </w:r>
      <w:r w:rsidR="0070555B" w:rsidRPr="00D920C9">
        <w:rPr>
          <w:rFonts w:asciiTheme="minorHAnsi" w:hAnsiTheme="minorHAnsi"/>
          <w:szCs w:val="20"/>
        </w:rPr>
        <w:t>ing</w:t>
      </w:r>
      <w:r w:rsidRPr="00D920C9">
        <w:rPr>
          <w:rFonts w:asciiTheme="minorHAnsi" w:hAnsiTheme="minorHAnsi"/>
          <w:szCs w:val="20"/>
        </w:rPr>
        <w:t xml:space="preserve"> these provisions </w:t>
      </w:r>
      <w:r w:rsidR="0042488F" w:rsidRPr="00D920C9">
        <w:rPr>
          <w:rFonts w:asciiTheme="minorHAnsi" w:hAnsiTheme="minorHAnsi"/>
          <w:szCs w:val="20"/>
        </w:rPr>
        <w:t>of</w:t>
      </w:r>
      <w:r w:rsidRPr="00D920C9">
        <w:rPr>
          <w:rFonts w:asciiTheme="minorHAnsi" w:hAnsiTheme="minorHAnsi"/>
          <w:szCs w:val="20"/>
        </w:rPr>
        <w:t xml:space="preserve"> the American Declaration include</w:t>
      </w:r>
      <w:r w:rsidR="00F64E0D" w:rsidRPr="00D920C9">
        <w:rPr>
          <w:rFonts w:asciiTheme="minorHAnsi" w:hAnsiTheme="minorHAnsi"/>
          <w:szCs w:val="20"/>
        </w:rPr>
        <w:t>s</w:t>
      </w:r>
      <w:r w:rsidRPr="00D920C9">
        <w:rPr>
          <w:rFonts w:asciiTheme="minorHAnsi" w:hAnsiTheme="minorHAnsi"/>
          <w:szCs w:val="20"/>
        </w:rPr>
        <w:t xml:space="preserve"> the obligation to act with due diligence to prevent, investigate, and punish human rights violations, and the obligation to organize the entire State administrative and legal structure to enable the full exercise of human rights.</w:t>
      </w:r>
      <w:r w:rsidR="0038546C" w:rsidRPr="00D920C9">
        <w:rPr>
          <w:rFonts w:asciiTheme="minorHAnsi" w:hAnsiTheme="minorHAnsi"/>
          <w:szCs w:val="20"/>
        </w:rPr>
        <w:t xml:space="preserve"> Such a</w:t>
      </w:r>
      <w:r w:rsidRPr="00D920C9">
        <w:rPr>
          <w:rFonts w:asciiTheme="minorHAnsi" w:hAnsiTheme="minorHAnsi"/>
          <w:szCs w:val="20"/>
        </w:rPr>
        <w:t>ctions may include reforms and reparations intended to transform the existing situation, as well as the adoption of special measures and affirmative actions aimed at effectively promoting rights.</w:t>
      </w:r>
      <w:r w:rsidRPr="00D920C9">
        <w:rPr>
          <w:rFonts w:asciiTheme="minorHAnsi" w:hAnsiTheme="minorHAnsi"/>
          <w:szCs w:val="20"/>
          <w:vertAlign w:val="superscript"/>
        </w:rPr>
        <w:footnoteReference w:id="25"/>
      </w:r>
      <w:r w:rsidR="00750708" w:rsidRPr="00D920C9">
        <w:rPr>
          <w:rFonts w:asciiTheme="minorHAnsi" w:hAnsiTheme="minorHAnsi"/>
          <w:szCs w:val="20"/>
        </w:rPr>
        <w:t xml:space="preserve"> </w:t>
      </w:r>
    </w:p>
    <w:p w14:paraId="710050E8" w14:textId="51AEB4F1" w:rsidR="001E0695" w:rsidRDefault="00B4412C" w:rsidP="002C64F8">
      <w:pPr>
        <w:pStyle w:val="ListParagraph"/>
        <w:numPr>
          <w:ilvl w:val="0"/>
          <w:numId w:val="9"/>
        </w:numPr>
        <w:spacing w:after="240" w:line="240" w:lineRule="auto"/>
        <w:ind w:left="547" w:hanging="547"/>
        <w:contextualSpacing w:val="0"/>
        <w:jc w:val="both"/>
        <w:rPr>
          <w:rFonts w:asciiTheme="minorHAnsi" w:hAnsiTheme="minorHAnsi"/>
          <w:szCs w:val="20"/>
        </w:rPr>
      </w:pPr>
      <w:r w:rsidRPr="00D920C9">
        <w:rPr>
          <w:rFonts w:asciiTheme="minorHAnsi" w:hAnsiTheme="minorHAnsi"/>
          <w:szCs w:val="20"/>
        </w:rPr>
        <w:t xml:space="preserve">The Commission has traditionally interpreted the scope of the obligations established </w:t>
      </w:r>
      <w:r w:rsidR="0070555B" w:rsidRPr="00D920C9">
        <w:rPr>
          <w:rFonts w:asciiTheme="minorHAnsi" w:hAnsiTheme="minorHAnsi"/>
          <w:szCs w:val="20"/>
        </w:rPr>
        <w:t>by</w:t>
      </w:r>
      <w:r w:rsidRPr="00D920C9">
        <w:rPr>
          <w:rFonts w:asciiTheme="minorHAnsi" w:hAnsiTheme="minorHAnsi"/>
          <w:szCs w:val="20"/>
        </w:rPr>
        <w:t xml:space="preserve"> the American Declaration in the context of the broader jurisprudence of the universal and inter-American human rights systems, </w:t>
      </w:r>
      <w:r w:rsidRPr="00D920C9">
        <w:rPr>
          <w:rFonts w:asciiTheme="minorHAnsi" w:hAnsiTheme="minorHAnsi"/>
          <w:szCs w:val="20"/>
        </w:rPr>
        <w:lastRenderedPageBreak/>
        <w:t>in light of developments in the field of international human rights law since the Declaration was first adopted, and with due regard to other rules of international law applicable to Member States.</w:t>
      </w:r>
      <w:r w:rsidRPr="00D920C9">
        <w:rPr>
          <w:rFonts w:asciiTheme="minorHAnsi" w:hAnsiTheme="minorHAnsi"/>
          <w:szCs w:val="20"/>
          <w:vertAlign w:val="superscript"/>
        </w:rPr>
        <w:footnoteReference w:id="26"/>
      </w:r>
      <w:bookmarkStart w:id="27" w:name="_Toc511837805"/>
      <w:r w:rsidR="001E0695" w:rsidRPr="00D920C9">
        <w:rPr>
          <w:rFonts w:asciiTheme="minorHAnsi" w:hAnsiTheme="minorHAnsi"/>
          <w:szCs w:val="20"/>
        </w:rPr>
        <w:t xml:space="preserve">  In its legal analysis, the IACHR takes into consideration the United States’ obligations as a party to certain UN human rights treaties, including the </w:t>
      </w:r>
      <w:r w:rsidR="005274F9" w:rsidRPr="00D920C9">
        <w:rPr>
          <w:rFonts w:asciiTheme="minorHAnsi" w:hAnsiTheme="minorHAnsi"/>
          <w:szCs w:val="20"/>
        </w:rPr>
        <w:t>International Covenant on Civil and Political Rights (</w:t>
      </w:r>
      <w:r w:rsidR="001E0695" w:rsidRPr="00D920C9">
        <w:rPr>
          <w:rFonts w:asciiTheme="minorHAnsi" w:hAnsiTheme="minorHAnsi"/>
          <w:szCs w:val="20"/>
        </w:rPr>
        <w:t>ICCPR</w:t>
      </w:r>
      <w:r w:rsidR="005274F9" w:rsidRPr="00D920C9">
        <w:rPr>
          <w:rFonts w:asciiTheme="minorHAnsi" w:hAnsiTheme="minorHAnsi"/>
          <w:szCs w:val="20"/>
        </w:rPr>
        <w:t>)</w:t>
      </w:r>
      <w:r w:rsidR="001E0695" w:rsidRPr="00D920C9">
        <w:rPr>
          <w:rFonts w:asciiTheme="minorHAnsi" w:hAnsiTheme="minorHAnsi"/>
          <w:szCs w:val="20"/>
        </w:rPr>
        <w:t>, the</w:t>
      </w:r>
      <w:r w:rsidR="005274F9" w:rsidRPr="00D920C9">
        <w:rPr>
          <w:rFonts w:asciiTheme="minorHAnsi" w:hAnsiTheme="minorHAnsi"/>
          <w:szCs w:val="20"/>
        </w:rPr>
        <w:t xml:space="preserve"> International Convention on the Elimination of All Forms of Racial Discrimination</w:t>
      </w:r>
      <w:r w:rsidR="001E0695" w:rsidRPr="00D920C9">
        <w:rPr>
          <w:rFonts w:asciiTheme="minorHAnsi" w:hAnsiTheme="minorHAnsi"/>
          <w:szCs w:val="20"/>
        </w:rPr>
        <w:t xml:space="preserve"> </w:t>
      </w:r>
      <w:r w:rsidR="005274F9" w:rsidRPr="00D920C9">
        <w:rPr>
          <w:rFonts w:asciiTheme="minorHAnsi" w:hAnsiTheme="minorHAnsi"/>
          <w:szCs w:val="20"/>
        </w:rPr>
        <w:t>(I</w:t>
      </w:r>
      <w:r w:rsidR="001E0695" w:rsidRPr="00D920C9">
        <w:rPr>
          <w:rFonts w:asciiTheme="minorHAnsi" w:hAnsiTheme="minorHAnsi"/>
          <w:szCs w:val="20"/>
        </w:rPr>
        <w:t>CERD</w:t>
      </w:r>
      <w:r w:rsidR="005274F9" w:rsidRPr="00D920C9">
        <w:rPr>
          <w:rFonts w:asciiTheme="minorHAnsi" w:hAnsiTheme="minorHAnsi"/>
          <w:szCs w:val="20"/>
        </w:rPr>
        <w:t>)</w:t>
      </w:r>
      <w:r w:rsidR="001E0695" w:rsidRPr="00D920C9">
        <w:rPr>
          <w:rFonts w:asciiTheme="minorHAnsi" w:hAnsiTheme="minorHAnsi"/>
          <w:szCs w:val="20"/>
        </w:rPr>
        <w:t xml:space="preserve">, and the </w:t>
      </w:r>
      <w:r w:rsidR="00F97B50" w:rsidRPr="00D920C9">
        <w:rPr>
          <w:rFonts w:asciiTheme="minorHAnsi" w:hAnsiTheme="minorHAnsi"/>
          <w:szCs w:val="20"/>
        </w:rPr>
        <w:t>Convention a</w:t>
      </w:r>
      <w:r w:rsidR="005274F9" w:rsidRPr="00D920C9">
        <w:rPr>
          <w:rFonts w:asciiTheme="minorHAnsi" w:hAnsiTheme="minorHAnsi"/>
          <w:szCs w:val="20"/>
        </w:rPr>
        <w:t>gainst Torture and Other Cruel, Inhuman or Degrading Treatment or Punishment (</w:t>
      </w:r>
      <w:r w:rsidR="001E0695" w:rsidRPr="00D920C9">
        <w:rPr>
          <w:rFonts w:asciiTheme="minorHAnsi" w:hAnsiTheme="minorHAnsi"/>
          <w:szCs w:val="20"/>
        </w:rPr>
        <w:t>CAT</w:t>
      </w:r>
      <w:r w:rsidR="005274F9" w:rsidRPr="00D920C9">
        <w:rPr>
          <w:rFonts w:asciiTheme="minorHAnsi" w:hAnsiTheme="minorHAnsi"/>
          <w:szCs w:val="20"/>
        </w:rPr>
        <w:t>)</w:t>
      </w:r>
      <w:r w:rsidR="001E0695" w:rsidRPr="00D920C9">
        <w:rPr>
          <w:rFonts w:asciiTheme="minorHAnsi" w:hAnsiTheme="minorHAnsi"/>
          <w:szCs w:val="20"/>
        </w:rPr>
        <w:t>.</w:t>
      </w:r>
    </w:p>
    <w:p w14:paraId="5047E05C" w14:textId="55A670E2" w:rsidR="00B33A47" w:rsidRPr="003443D5" w:rsidRDefault="00B33A47" w:rsidP="003443D5">
      <w:pPr>
        <w:pStyle w:val="ListParagraph"/>
        <w:numPr>
          <w:ilvl w:val="0"/>
          <w:numId w:val="9"/>
        </w:numPr>
        <w:spacing w:after="240" w:line="240" w:lineRule="auto"/>
        <w:ind w:left="547" w:hanging="547"/>
        <w:contextualSpacing w:val="0"/>
        <w:jc w:val="both"/>
        <w:rPr>
          <w:rFonts w:asciiTheme="minorHAnsi" w:hAnsiTheme="minorHAnsi"/>
          <w:szCs w:val="20"/>
        </w:rPr>
      </w:pPr>
      <w:r w:rsidRPr="003443D5">
        <w:rPr>
          <w:rFonts w:asciiTheme="minorHAnsi" w:hAnsiTheme="minorHAnsi"/>
          <w:szCs w:val="20"/>
        </w:rPr>
        <w:t xml:space="preserve">The IACHR considered and approved the draft version of this report on July 24, 2018.  Pursuant to Article 60(a) of its Rules of Procedure, the Commission forwarded the draft report to the Government of the United States on July 30, 2018, and requested it to present its observations within 30 days. On August 30, 2018, the term granted to the State was exhausted without any manifestation on its part. The Commission approved the final version on </w:t>
      </w:r>
      <w:r w:rsidR="003443D5" w:rsidRPr="003443D5">
        <w:rPr>
          <w:rFonts w:asciiTheme="minorHAnsi" w:hAnsiTheme="minorHAnsi"/>
          <w:szCs w:val="20"/>
        </w:rPr>
        <w:t xml:space="preserve">November 26, </w:t>
      </w:r>
      <w:r w:rsidRPr="003443D5">
        <w:rPr>
          <w:rFonts w:asciiTheme="minorHAnsi" w:hAnsiTheme="minorHAnsi"/>
          <w:szCs w:val="20"/>
        </w:rPr>
        <w:t>2018</w:t>
      </w:r>
    </w:p>
    <w:p w14:paraId="37CC2031" w14:textId="77777777" w:rsidR="00827630" w:rsidRDefault="00827630" w:rsidP="002D7BB4">
      <w:pPr>
        <w:rPr>
          <w:rFonts w:asciiTheme="minorHAnsi" w:hAnsiTheme="minorHAnsi"/>
        </w:rPr>
      </w:pPr>
    </w:p>
    <w:p w14:paraId="307711B2" w14:textId="77777777" w:rsidR="00B33A47" w:rsidRPr="00D920C9" w:rsidRDefault="00B33A47" w:rsidP="002D7BB4">
      <w:pPr>
        <w:rPr>
          <w:rFonts w:asciiTheme="minorHAnsi" w:hAnsiTheme="minorHAnsi"/>
        </w:rPr>
        <w:sectPr w:rsidR="00B33A47" w:rsidRPr="00D920C9" w:rsidSect="001E4747">
          <w:headerReference w:type="default" r:id="rId23"/>
          <w:footerReference w:type="default" r:id="rId24"/>
          <w:type w:val="oddPage"/>
          <w:pgSz w:w="10080" w:h="14400" w:code="1"/>
          <w:pgMar w:top="1152" w:right="1152" w:bottom="1152" w:left="1296" w:header="720" w:footer="720" w:gutter="0"/>
          <w:cols w:space="708"/>
          <w:docGrid w:linePitch="360"/>
        </w:sectPr>
      </w:pPr>
    </w:p>
    <w:p w14:paraId="075A444B" w14:textId="1FDB3600" w:rsidR="00A0401B" w:rsidRPr="00A0401B" w:rsidRDefault="00A0401B" w:rsidP="00007A36">
      <w:pPr>
        <w:pStyle w:val="CAP1"/>
      </w:pPr>
      <w:bookmarkStart w:id="28" w:name="_Toc511902978"/>
      <w:bookmarkStart w:id="29" w:name="_Toc517687908"/>
      <w:r w:rsidRPr="00A0401B">
        <w:lastRenderedPageBreak/>
        <w:t xml:space="preserve">CHAPTER </w:t>
      </w:r>
      <w:r>
        <w:t>2</w:t>
      </w:r>
    </w:p>
    <w:p w14:paraId="6C872DA1" w14:textId="64824651" w:rsidR="00A0401B" w:rsidRDefault="005340FA" w:rsidP="003F5BAC">
      <w:pPr>
        <w:pStyle w:val="CAP2"/>
        <w:spacing w:after="0" w:line="240" w:lineRule="auto"/>
        <w:sectPr w:rsidR="00A0401B" w:rsidSect="005340FA">
          <w:headerReference w:type="default" r:id="rId25"/>
          <w:footerReference w:type="default" r:id="rId26"/>
          <w:headerReference w:type="first" r:id="rId27"/>
          <w:type w:val="oddPage"/>
          <w:pgSz w:w="10080" w:h="14400" w:code="13"/>
          <w:pgMar w:top="1152" w:right="1152" w:bottom="1152" w:left="1296" w:header="720" w:footer="720" w:gutter="0"/>
          <w:cols w:space="708"/>
          <w:vAlign w:val="center"/>
          <w:docGrid w:linePitch="360"/>
        </w:sectPr>
      </w:pPr>
      <w:r>
        <w:t>STRUCTURAL DISCRIMINATION</w:t>
      </w:r>
      <w:r w:rsidR="00A0401B">
        <w:t xml:space="preserve"> AND EXCESSIVE USE OF FORCE IN THE U.S.</w:t>
      </w:r>
    </w:p>
    <w:p w14:paraId="2CFBB924" w14:textId="7007F929" w:rsidR="00B4412C" w:rsidRPr="00D920C9" w:rsidRDefault="001D6578" w:rsidP="00007A36">
      <w:pPr>
        <w:pStyle w:val="Heading1"/>
      </w:pPr>
      <w:r w:rsidRPr="00D920C9">
        <w:lastRenderedPageBreak/>
        <w:t>STRUCTURAL DISCRIMINATION AND EXCESSIVE USE OF FORCE IN THE U.S.</w:t>
      </w:r>
      <w:bookmarkEnd w:id="27"/>
      <w:bookmarkEnd w:id="28"/>
      <w:bookmarkEnd w:id="29"/>
    </w:p>
    <w:p w14:paraId="4FFA5C8A" w14:textId="77777777" w:rsidR="001A4153" w:rsidRPr="00D920C9" w:rsidRDefault="00B4412C" w:rsidP="002C64F8">
      <w:pPr>
        <w:pStyle w:val="ListParagraph"/>
        <w:numPr>
          <w:ilvl w:val="0"/>
          <w:numId w:val="9"/>
        </w:numPr>
        <w:spacing w:after="240" w:line="240" w:lineRule="auto"/>
        <w:ind w:left="547" w:hanging="547"/>
        <w:contextualSpacing w:val="0"/>
        <w:jc w:val="both"/>
        <w:rPr>
          <w:rFonts w:asciiTheme="minorHAnsi" w:hAnsiTheme="minorHAnsi"/>
          <w:szCs w:val="20"/>
        </w:rPr>
      </w:pPr>
      <w:r w:rsidRPr="00D920C9">
        <w:rPr>
          <w:rFonts w:asciiTheme="minorHAnsi" w:hAnsiTheme="minorHAnsi"/>
          <w:szCs w:val="20"/>
        </w:rPr>
        <w:t xml:space="preserve">In this section, the Commission </w:t>
      </w:r>
      <w:r w:rsidR="00BC2D83" w:rsidRPr="00D920C9">
        <w:rPr>
          <w:rFonts w:asciiTheme="minorHAnsi" w:hAnsiTheme="minorHAnsi"/>
          <w:szCs w:val="20"/>
        </w:rPr>
        <w:t xml:space="preserve">analyzes </w:t>
      </w:r>
      <w:r w:rsidRPr="00D920C9">
        <w:rPr>
          <w:rFonts w:asciiTheme="minorHAnsi" w:hAnsiTheme="minorHAnsi"/>
          <w:szCs w:val="20"/>
        </w:rPr>
        <w:t>the historical and contemporary situation of discrimination against Afro-descendants in the U</w:t>
      </w:r>
      <w:r w:rsidR="00904A46" w:rsidRPr="00D920C9">
        <w:rPr>
          <w:rFonts w:asciiTheme="minorHAnsi" w:hAnsiTheme="minorHAnsi"/>
          <w:szCs w:val="20"/>
        </w:rPr>
        <w:t>.</w:t>
      </w:r>
      <w:r w:rsidRPr="00D920C9">
        <w:rPr>
          <w:rFonts w:asciiTheme="minorHAnsi" w:hAnsiTheme="minorHAnsi"/>
          <w:szCs w:val="20"/>
        </w:rPr>
        <w:t>S</w:t>
      </w:r>
      <w:r w:rsidR="00904A46" w:rsidRPr="00D920C9">
        <w:rPr>
          <w:rFonts w:asciiTheme="minorHAnsi" w:hAnsiTheme="minorHAnsi"/>
          <w:szCs w:val="20"/>
        </w:rPr>
        <w:t>.</w:t>
      </w:r>
      <w:r w:rsidRPr="00D920C9">
        <w:rPr>
          <w:rFonts w:asciiTheme="minorHAnsi" w:hAnsiTheme="minorHAnsi"/>
          <w:szCs w:val="20"/>
        </w:rPr>
        <w:t xml:space="preserve">, highlighting the structural and pervasive nature of the discrimination </w:t>
      </w:r>
      <w:r w:rsidR="0063653F" w:rsidRPr="00D920C9">
        <w:rPr>
          <w:rFonts w:asciiTheme="minorHAnsi" w:hAnsiTheme="minorHAnsi"/>
          <w:szCs w:val="20"/>
        </w:rPr>
        <w:t>against</w:t>
      </w:r>
      <w:r w:rsidRPr="00D920C9">
        <w:rPr>
          <w:rFonts w:asciiTheme="minorHAnsi" w:hAnsiTheme="minorHAnsi"/>
          <w:szCs w:val="20"/>
        </w:rPr>
        <w:t xml:space="preserve"> this group, as well as links between historical forms of discrimination and current discriminatory situations and practices in the </w:t>
      </w:r>
      <w:r w:rsidR="0063653F" w:rsidRPr="00D920C9">
        <w:rPr>
          <w:rFonts w:asciiTheme="minorHAnsi" w:hAnsiTheme="minorHAnsi"/>
          <w:szCs w:val="20"/>
        </w:rPr>
        <w:t>areas of policing and criminal justice</w:t>
      </w:r>
      <w:r w:rsidRPr="00D920C9">
        <w:rPr>
          <w:rFonts w:asciiTheme="minorHAnsi" w:hAnsiTheme="minorHAnsi"/>
          <w:szCs w:val="20"/>
        </w:rPr>
        <w:t xml:space="preserve">. The Commission considers that a reckoning with the legacy of </w:t>
      </w:r>
      <w:r w:rsidR="00BC2D83" w:rsidRPr="00D920C9">
        <w:rPr>
          <w:rFonts w:asciiTheme="minorHAnsi" w:hAnsiTheme="minorHAnsi"/>
          <w:szCs w:val="20"/>
        </w:rPr>
        <w:t xml:space="preserve">enslavement, segregation, </w:t>
      </w:r>
      <w:r w:rsidRPr="00D920C9">
        <w:rPr>
          <w:rFonts w:asciiTheme="minorHAnsi" w:hAnsiTheme="minorHAnsi"/>
          <w:szCs w:val="20"/>
        </w:rPr>
        <w:t xml:space="preserve">and discrimination in the </w:t>
      </w:r>
      <w:r w:rsidR="00904A46" w:rsidRPr="00D920C9">
        <w:rPr>
          <w:rFonts w:asciiTheme="minorHAnsi" w:hAnsiTheme="minorHAnsi"/>
          <w:szCs w:val="20"/>
        </w:rPr>
        <w:t>U.S.</w:t>
      </w:r>
      <w:r w:rsidRPr="00D920C9">
        <w:rPr>
          <w:rFonts w:asciiTheme="minorHAnsi" w:hAnsiTheme="minorHAnsi"/>
          <w:szCs w:val="20"/>
        </w:rPr>
        <w:t xml:space="preserve"> is necessary to effectively transform the situation in the future.</w:t>
      </w:r>
      <w:r w:rsidRPr="00D920C9">
        <w:rPr>
          <w:rFonts w:asciiTheme="minorHAnsi" w:hAnsiTheme="minorHAnsi"/>
          <w:vertAlign w:val="superscript"/>
        </w:rPr>
        <w:footnoteReference w:id="27"/>
      </w:r>
      <w:r w:rsidRPr="00D920C9">
        <w:rPr>
          <w:rFonts w:asciiTheme="minorHAnsi" w:hAnsiTheme="minorHAnsi"/>
          <w:szCs w:val="20"/>
        </w:rPr>
        <w:t xml:space="preserve"> While </w:t>
      </w:r>
      <w:r w:rsidR="00AC33D7" w:rsidRPr="00D920C9">
        <w:rPr>
          <w:rFonts w:asciiTheme="minorHAnsi" w:hAnsiTheme="minorHAnsi"/>
          <w:szCs w:val="20"/>
        </w:rPr>
        <w:t>special emphasis is placed</w:t>
      </w:r>
      <w:r w:rsidRPr="00D920C9">
        <w:rPr>
          <w:rFonts w:asciiTheme="minorHAnsi" w:hAnsiTheme="minorHAnsi"/>
          <w:szCs w:val="20"/>
        </w:rPr>
        <w:t xml:space="preserve"> on discrimination in policing, </w:t>
      </w:r>
      <w:r w:rsidR="0089510B" w:rsidRPr="00D920C9">
        <w:rPr>
          <w:rFonts w:asciiTheme="minorHAnsi" w:hAnsiTheme="minorHAnsi"/>
          <w:szCs w:val="20"/>
        </w:rPr>
        <w:t xml:space="preserve">the Commission notes that </w:t>
      </w:r>
      <w:r w:rsidR="00AC33D7" w:rsidRPr="00D920C9">
        <w:rPr>
          <w:rFonts w:asciiTheme="minorHAnsi" w:hAnsiTheme="minorHAnsi"/>
          <w:szCs w:val="20"/>
        </w:rPr>
        <w:t xml:space="preserve">this issue is indivisible from the larger structural situation of </w:t>
      </w:r>
      <w:r w:rsidR="0089510B" w:rsidRPr="00D920C9">
        <w:rPr>
          <w:rFonts w:asciiTheme="minorHAnsi" w:hAnsiTheme="minorHAnsi"/>
          <w:szCs w:val="20"/>
        </w:rPr>
        <w:t>discrimination against</w:t>
      </w:r>
      <w:r w:rsidRPr="00D920C9">
        <w:rPr>
          <w:rFonts w:asciiTheme="minorHAnsi" w:hAnsiTheme="minorHAnsi"/>
          <w:szCs w:val="20"/>
        </w:rPr>
        <w:t xml:space="preserve"> </w:t>
      </w:r>
      <w:r w:rsidR="0089510B" w:rsidRPr="00D920C9">
        <w:rPr>
          <w:rFonts w:asciiTheme="minorHAnsi" w:hAnsiTheme="minorHAnsi"/>
          <w:szCs w:val="20"/>
        </w:rPr>
        <w:t>African Americans</w:t>
      </w:r>
      <w:r w:rsidRPr="00D920C9">
        <w:rPr>
          <w:rFonts w:asciiTheme="minorHAnsi" w:hAnsiTheme="minorHAnsi"/>
          <w:szCs w:val="20"/>
        </w:rPr>
        <w:t xml:space="preserve"> in the </w:t>
      </w:r>
      <w:r w:rsidR="00904A46" w:rsidRPr="00D920C9">
        <w:rPr>
          <w:rFonts w:asciiTheme="minorHAnsi" w:hAnsiTheme="minorHAnsi"/>
          <w:szCs w:val="20"/>
        </w:rPr>
        <w:t>U.S</w:t>
      </w:r>
      <w:r w:rsidRPr="00D920C9">
        <w:rPr>
          <w:rFonts w:asciiTheme="minorHAnsi" w:hAnsiTheme="minorHAnsi"/>
          <w:szCs w:val="20"/>
        </w:rPr>
        <w:t xml:space="preserve">. </w:t>
      </w:r>
    </w:p>
    <w:p w14:paraId="52BCF864" w14:textId="77777777" w:rsidR="001A4153" w:rsidRPr="00D920C9" w:rsidRDefault="00B4412C" w:rsidP="002C64F8">
      <w:pPr>
        <w:pStyle w:val="ListParagraph"/>
        <w:numPr>
          <w:ilvl w:val="0"/>
          <w:numId w:val="9"/>
        </w:numPr>
        <w:spacing w:after="240" w:line="240" w:lineRule="auto"/>
        <w:ind w:left="547" w:hanging="547"/>
        <w:contextualSpacing w:val="0"/>
        <w:jc w:val="both"/>
        <w:rPr>
          <w:rFonts w:asciiTheme="minorHAnsi" w:hAnsiTheme="minorHAnsi"/>
          <w:szCs w:val="20"/>
        </w:rPr>
      </w:pPr>
      <w:r w:rsidRPr="00D920C9">
        <w:rPr>
          <w:rFonts w:asciiTheme="minorHAnsi" w:hAnsiTheme="minorHAnsi"/>
          <w:szCs w:val="20"/>
        </w:rPr>
        <w:t xml:space="preserve">Most obviously, discrimination in policing is closely linked to discrimination in the criminal justice system as a whole (including racial disparities in arrests and incarceration rates), as well as to other disparities in access to and the full enjoyment of other civil and political rights (including access to justice for victims of police violence and families, and lasting consequences of incarceration, including enjoyment of the right to vote). </w:t>
      </w:r>
      <w:r w:rsidR="0089510B" w:rsidRPr="00D920C9">
        <w:rPr>
          <w:rFonts w:asciiTheme="minorHAnsi" w:hAnsiTheme="minorHAnsi"/>
          <w:szCs w:val="20"/>
        </w:rPr>
        <w:t xml:space="preserve">Indeed, disparities in the nature and intensity of policing of </w:t>
      </w:r>
      <w:r w:rsidR="00F64E0D" w:rsidRPr="00D920C9">
        <w:rPr>
          <w:rFonts w:asciiTheme="minorHAnsi" w:hAnsiTheme="minorHAnsi"/>
          <w:szCs w:val="20"/>
        </w:rPr>
        <w:t xml:space="preserve">Afro-descendant communities and </w:t>
      </w:r>
      <w:r w:rsidR="001A4153" w:rsidRPr="00D920C9">
        <w:rPr>
          <w:rFonts w:asciiTheme="minorHAnsi" w:hAnsiTheme="minorHAnsi"/>
          <w:szCs w:val="20"/>
        </w:rPr>
        <w:t xml:space="preserve">other historically marginalized groups </w:t>
      </w:r>
      <w:r w:rsidR="006546CE" w:rsidRPr="00D920C9">
        <w:rPr>
          <w:rFonts w:asciiTheme="minorHAnsi" w:hAnsiTheme="minorHAnsi"/>
          <w:szCs w:val="20"/>
        </w:rPr>
        <w:t>(racial profiling)</w:t>
      </w:r>
      <w:r w:rsidR="007C446D" w:rsidRPr="00D920C9">
        <w:rPr>
          <w:rFonts w:asciiTheme="minorHAnsi" w:hAnsiTheme="minorHAnsi"/>
          <w:szCs w:val="20"/>
        </w:rPr>
        <w:t>, including Native Americans and Hispanics,</w:t>
      </w:r>
      <w:r w:rsidR="006546CE" w:rsidRPr="00D920C9">
        <w:rPr>
          <w:rFonts w:asciiTheme="minorHAnsi" w:hAnsiTheme="minorHAnsi"/>
          <w:szCs w:val="20"/>
        </w:rPr>
        <w:t xml:space="preserve"> </w:t>
      </w:r>
      <w:r w:rsidR="007C446D" w:rsidRPr="00D920C9">
        <w:rPr>
          <w:rFonts w:asciiTheme="minorHAnsi" w:hAnsiTheme="minorHAnsi"/>
          <w:szCs w:val="20"/>
        </w:rPr>
        <w:t xml:space="preserve">among others, </w:t>
      </w:r>
      <w:r w:rsidR="0089510B" w:rsidRPr="00D920C9">
        <w:rPr>
          <w:rFonts w:asciiTheme="minorHAnsi" w:hAnsiTheme="minorHAnsi"/>
          <w:szCs w:val="20"/>
        </w:rPr>
        <w:t>has profoundly influenced what kinds of behavior and which individuals are considered criminal, which necessarily influences rates of criminalization and treatment by the criminal justice system.</w:t>
      </w:r>
      <w:r w:rsidR="0089510B" w:rsidRPr="00D920C9">
        <w:rPr>
          <w:rFonts w:asciiTheme="minorHAnsi" w:hAnsiTheme="minorHAnsi"/>
          <w:vertAlign w:val="superscript"/>
        </w:rPr>
        <w:footnoteReference w:id="28"/>
      </w:r>
      <w:r w:rsidR="0089510B" w:rsidRPr="00D920C9">
        <w:rPr>
          <w:rFonts w:asciiTheme="minorHAnsi" w:hAnsiTheme="minorHAnsi"/>
          <w:szCs w:val="20"/>
        </w:rPr>
        <w:t xml:space="preserve"> </w:t>
      </w:r>
      <w:r w:rsidRPr="00D920C9">
        <w:rPr>
          <w:rFonts w:asciiTheme="minorHAnsi" w:hAnsiTheme="minorHAnsi"/>
          <w:szCs w:val="20"/>
        </w:rPr>
        <w:t xml:space="preserve">But discrimination in policing is also encouraged </w:t>
      </w:r>
      <w:r w:rsidR="00E4513C" w:rsidRPr="00D920C9">
        <w:rPr>
          <w:rFonts w:asciiTheme="minorHAnsi" w:hAnsiTheme="minorHAnsi"/>
          <w:szCs w:val="20"/>
        </w:rPr>
        <w:t>by</w:t>
      </w:r>
      <w:r w:rsidRPr="00D920C9">
        <w:rPr>
          <w:rFonts w:asciiTheme="minorHAnsi" w:hAnsiTheme="minorHAnsi"/>
          <w:szCs w:val="20"/>
        </w:rPr>
        <w:t xml:space="preserve"> structural discrimination in access to and the full enjoyment of social, economic, cultural, and environmental rights.</w:t>
      </w:r>
      <w:r w:rsidR="006546CE" w:rsidRPr="00D920C9">
        <w:rPr>
          <w:rFonts w:asciiTheme="minorHAnsi" w:hAnsiTheme="minorHAnsi"/>
          <w:vertAlign w:val="superscript"/>
        </w:rPr>
        <w:footnoteReference w:id="29"/>
      </w:r>
      <w:r w:rsidRPr="00D920C9">
        <w:rPr>
          <w:rFonts w:asciiTheme="minorHAnsi" w:hAnsiTheme="minorHAnsi"/>
          <w:szCs w:val="20"/>
        </w:rPr>
        <w:t xml:space="preserve"> In this sense, the Commission considers that </w:t>
      </w:r>
      <w:r w:rsidR="006546CE" w:rsidRPr="00D920C9">
        <w:rPr>
          <w:rFonts w:asciiTheme="minorHAnsi" w:hAnsiTheme="minorHAnsi"/>
          <w:szCs w:val="20"/>
        </w:rPr>
        <w:t>a fuller consideration of the history of racial discrimination</w:t>
      </w:r>
      <w:r w:rsidRPr="00D920C9">
        <w:rPr>
          <w:rFonts w:asciiTheme="minorHAnsi" w:hAnsiTheme="minorHAnsi"/>
          <w:szCs w:val="20"/>
        </w:rPr>
        <w:t xml:space="preserve"> against Afro-descendants in the United States</w:t>
      </w:r>
      <w:r w:rsidR="006546CE" w:rsidRPr="00D920C9">
        <w:rPr>
          <w:rFonts w:asciiTheme="minorHAnsi" w:hAnsiTheme="minorHAnsi"/>
          <w:szCs w:val="20"/>
        </w:rPr>
        <w:t xml:space="preserve"> is necessary</w:t>
      </w:r>
      <w:r w:rsidR="00F64E0D" w:rsidRPr="00D920C9">
        <w:rPr>
          <w:rFonts w:asciiTheme="minorHAnsi" w:hAnsiTheme="minorHAnsi"/>
          <w:szCs w:val="20"/>
        </w:rPr>
        <w:t xml:space="preserve"> to </w:t>
      </w:r>
      <w:r w:rsidR="001A4153" w:rsidRPr="00D920C9">
        <w:rPr>
          <w:rFonts w:asciiTheme="minorHAnsi" w:hAnsiTheme="minorHAnsi"/>
          <w:szCs w:val="20"/>
        </w:rPr>
        <w:t>fully address discrimination in the policing and criminal justice systems</w:t>
      </w:r>
      <w:r w:rsidR="008C2DB5" w:rsidRPr="00D920C9">
        <w:rPr>
          <w:rFonts w:asciiTheme="minorHAnsi" w:hAnsiTheme="minorHAnsi"/>
          <w:szCs w:val="20"/>
        </w:rPr>
        <w:t xml:space="preserve"> today</w:t>
      </w:r>
      <w:r w:rsidR="00F64E0D" w:rsidRPr="00D920C9">
        <w:rPr>
          <w:rFonts w:asciiTheme="minorHAnsi" w:hAnsiTheme="minorHAnsi"/>
          <w:szCs w:val="20"/>
        </w:rPr>
        <w:t>.</w:t>
      </w:r>
    </w:p>
    <w:p w14:paraId="36920180" w14:textId="77777777" w:rsidR="00B4412C" w:rsidRPr="00D920C9" w:rsidRDefault="00B4412C" w:rsidP="001167CB">
      <w:pPr>
        <w:pStyle w:val="Heading2"/>
        <w:numPr>
          <w:ilvl w:val="0"/>
          <w:numId w:val="31"/>
        </w:numPr>
        <w:ind w:left="540" w:hanging="540"/>
      </w:pPr>
      <w:bookmarkStart w:id="30" w:name="_Toc511837806"/>
      <w:bookmarkStart w:id="31" w:name="_Toc511902979"/>
      <w:bookmarkStart w:id="32" w:name="_Toc517687909"/>
      <w:r w:rsidRPr="00D920C9">
        <w:lastRenderedPageBreak/>
        <w:t xml:space="preserve">Initial </w:t>
      </w:r>
      <w:r w:rsidR="005E5723" w:rsidRPr="00D920C9">
        <w:t xml:space="preserve">Considerations </w:t>
      </w:r>
      <w:r w:rsidRPr="00D920C9">
        <w:t xml:space="preserve">on </w:t>
      </w:r>
      <w:r w:rsidR="005E5723" w:rsidRPr="00D920C9">
        <w:t>Structural Discrimination</w:t>
      </w:r>
      <w:bookmarkEnd w:id="30"/>
      <w:bookmarkEnd w:id="31"/>
      <w:bookmarkEnd w:id="32"/>
    </w:p>
    <w:p w14:paraId="1A5057EE" w14:textId="77777777" w:rsidR="002A5304" w:rsidRPr="00D920C9" w:rsidRDefault="002A5304" w:rsidP="002C64F8">
      <w:pPr>
        <w:pStyle w:val="ListParagraph"/>
        <w:numPr>
          <w:ilvl w:val="0"/>
          <w:numId w:val="9"/>
        </w:numPr>
        <w:spacing w:after="240" w:line="240" w:lineRule="auto"/>
        <w:ind w:left="547" w:hanging="547"/>
        <w:contextualSpacing w:val="0"/>
        <w:jc w:val="both"/>
        <w:rPr>
          <w:rFonts w:asciiTheme="minorHAnsi" w:hAnsiTheme="minorHAnsi"/>
          <w:szCs w:val="20"/>
        </w:rPr>
      </w:pPr>
      <w:r w:rsidRPr="00D920C9">
        <w:rPr>
          <w:rFonts w:asciiTheme="minorHAnsi" w:eastAsia="Times New Roman" w:hAnsiTheme="minorHAnsi"/>
          <w:szCs w:val="20"/>
          <w:lang w:eastAsia="es-ES"/>
        </w:rPr>
        <w:t>The</w:t>
      </w:r>
      <w:r w:rsidR="00934E4D" w:rsidRPr="00D920C9">
        <w:rPr>
          <w:rFonts w:asciiTheme="minorHAnsi" w:eastAsia="Times New Roman" w:hAnsiTheme="minorHAnsi"/>
          <w:szCs w:val="20"/>
          <w:lang w:eastAsia="es-ES"/>
        </w:rPr>
        <w:t xml:space="preserve"> Inter-American</w:t>
      </w:r>
      <w:r w:rsidRPr="00D920C9">
        <w:rPr>
          <w:rFonts w:asciiTheme="minorHAnsi" w:eastAsia="Times New Roman" w:hAnsiTheme="minorHAnsi"/>
          <w:szCs w:val="20"/>
          <w:lang w:eastAsia="es-ES"/>
        </w:rPr>
        <w:t xml:space="preserve"> Commission has previously found that Afro-descendants in the Americas suffer from a situation of </w:t>
      </w:r>
      <w:r w:rsidRPr="00D920C9">
        <w:rPr>
          <w:rFonts w:asciiTheme="minorHAnsi" w:hAnsiTheme="minorHAnsi"/>
          <w:szCs w:val="20"/>
        </w:rPr>
        <w:t>structural discrimination, evidenced in indicators relating to poverty, political participation, contact with the criminal justice system, and access to quality housing, health care, and education, among others. Structural discrimination is also reflected in the cont</w:t>
      </w:r>
      <w:r w:rsidR="000723AE" w:rsidRPr="00D920C9">
        <w:rPr>
          <w:rFonts w:asciiTheme="minorHAnsi" w:hAnsiTheme="minorHAnsi"/>
          <w:szCs w:val="20"/>
        </w:rPr>
        <w:t>inued</w:t>
      </w:r>
      <w:r w:rsidRPr="00D920C9">
        <w:rPr>
          <w:rFonts w:asciiTheme="minorHAnsi" w:hAnsiTheme="minorHAnsi"/>
          <w:szCs w:val="20"/>
        </w:rPr>
        <w:t xml:space="preserve"> stereotyping of and prejudice against persons of African descent.</w:t>
      </w:r>
      <w:r w:rsidRPr="00D920C9">
        <w:rPr>
          <w:rFonts w:asciiTheme="minorHAnsi" w:hAnsiTheme="minorHAnsi"/>
          <w:vertAlign w:val="superscript"/>
        </w:rPr>
        <w:footnoteReference w:id="30"/>
      </w:r>
      <w:r w:rsidRPr="00D920C9">
        <w:rPr>
          <w:rFonts w:asciiTheme="minorHAnsi" w:hAnsiTheme="minorHAnsi"/>
          <w:szCs w:val="20"/>
        </w:rPr>
        <w:t xml:space="preserve"> </w:t>
      </w:r>
      <w:r w:rsidR="00934E4D" w:rsidRPr="00D920C9">
        <w:rPr>
          <w:rFonts w:asciiTheme="minorHAnsi" w:hAnsiTheme="minorHAnsi"/>
          <w:szCs w:val="20"/>
        </w:rPr>
        <w:t>Similarly, the Committee on the Elimination of Racial Discrimination (CERD) has recognized that “[r]</w:t>
      </w:r>
      <w:proofErr w:type="spellStart"/>
      <w:r w:rsidR="00934E4D" w:rsidRPr="00D920C9">
        <w:rPr>
          <w:rFonts w:asciiTheme="minorHAnsi" w:hAnsiTheme="minorHAnsi"/>
          <w:szCs w:val="20"/>
        </w:rPr>
        <w:t>acism</w:t>
      </w:r>
      <w:proofErr w:type="spellEnd"/>
      <w:r w:rsidR="00934E4D" w:rsidRPr="00D920C9">
        <w:rPr>
          <w:rFonts w:asciiTheme="minorHAnsi" w:hAnsiTheme="minorHAnsi"/>
          <w:szCs w:val="20"/>
        </w:rPr>
        <w:t xml:space="preserve"> and structural discrimination against people of African descent, rooted in the infamous regime of slavery, are evident in the situations of inequality affecting them.”</w:t>
      </w:r>
      <w:r w:rsidR="00934E4D" w:rsidRPr="00D920C9">
        <w:rPr>
          <w:rFonts w:asciiTheme="minorHAnsi" w:hAnsiTheme="minorHAnsi"/>
          <w:vertAlign w:val="superscript"/>
        </w:rPr>
        <w:footnoteReference w:id="31"/>
      </w:r>
    </w:p>
    <w:p w14:paraId="174A036E" w14:textId="77777777" w:rsidR="002A5304" w:rsidRPr="00D920C9" w:rsidRDefault="002A5304" w:rsidP="002C64F8">
      <w:pPr>
        <w:pStyle w:val="ListParagraph"/>
        <w:numPr>
          <w:ilvl w:val="0"/>
          <w:numId w:val="9"/>
        </w:numPr>
        <w:spacing w:after="240" w:line="240" w:lineRule="auto"/>
        <w:ind w:left="547" w:hanging="547"/>
        <w:contextualSpacing w:val="0"/>
        <w:jc w:val="both"/>
        <w:rPr>
          <w:rFonts w:asciiTheme="minorHAnsi" w:hAnsiTheme="minorHAnsi"/>
          <w:szCs w:val="20"/>
        </w:rPr>
      </w:pPr>
      <w:r w:rsidRPr="00D920C9">
        <w:rPr>
          <w:rFonts w:asciiTheme="minorHAnsi" w:hAnsiTheme="minorHAnsi"/>
          <w:szCs w:val="20"/>
        </w:rPr>
        <w:t xml:space="preserve">The Commission has previously stated that structural or systemic discrimination refers to the set of norms, rules, routines, patterns, attitudes, and standards of behavior, de jure and de facto, that give rise to a situation of inferiority and exclusion </w:t>
      </w:r>
      <w:r w:rsidR="00557A16" w:rsidRPr="00D920C9">
        <w:rPr>
          <w:rFonts w:asciiTheme="minorHAnsi" w:hAnsiTheme="minorHAnsi"/>
          <w:szCs w:val="20"/>
        </w:rPr>
        <w:t>of</w:t>
      </w:r>
      <w:r w:rsidRPr="00D920C9">
        <w:rPr>
          <w:rFonts w:asciiTheme="minorHAnsi" w:hAnsiTheme="minorHAnsi"/>
          <w:szCs w:val="20"/>
        </w:rPr>
        <w:t xml:space="preserve"> a group of persons in a generalized sense</w:t>
      </w:r>
      <w:r w:rsidR="00F76EA0" w:rsidRPr="00D920C9">
        <w:rPr>
          <w:rFonts w:asciiTheme="minorHAnsi" w:hAnsiTheme="minorHAnsi"/>
          <w:szCs w:val="20"/>
        </w:rPr>
        <w:t xml:space="preserve">; </w:t>
      </w:r>
      <w:r w:rsidRPr="00D920C9">
        <w:rPr>
          <w:rFonts w:asciiTheme="minorHAnsi" w:hAnsiTheme="minorHAnsi"/>
          <w:szCs w:val="20"/>
        </w:rPr>
        <w:t xml:space="preserve">these traits </w:t>
      </w:r>
      <w:r w:rsidR="00F76EA0" w:rsidRPr="00D920C9">
        <w:rPr>
          <w:rFonts w:asciiTheme="minorHAnsi" w:hAnsiTheme="minorHAnsi"/>
          <w:szCs w:val="20"/>
        </w:rPr>
        <w:t xml:space="preserve">are </w:t>
      </w:r>
      <w:r w:rsidRPr="00D920C9">
        <w:rPr>
          <w:rFonts w:asciiTheme="minorHAnsi" w:hAnsiTheme="minorHAnsi"/>
          <w:szCs w:val="20"/>
        </w:rPr>
        <w:t xml:space="preserve">perpetuated over time and even generations. </w:t>
      </w:r>
      <w:r w:rsidR="00557A16" w:rsidRPr="00D920C9">
        <w:rPr>
          <w:rFonts w:asciiTheme="minorHAnsi" w:hAnsiTheme="minorHAnsi"/>
          <w:szCs w:val="20"/>
        </w:rPr>
        <w:t>Thus</w:t>
      </w:r>
      <w:r w:rsidRPr="00D920C9">
        <w:rPr>
          <w:rFonts w:asciiTheme="minorHAnsi" w:hAnsiTheme="minorHAnsi"/>
          <w:szCs w:val="20"/>
        </w:rPr>
        <w:t xml:space="preserve">, </w:t>
      </w:r>
      <w:r w:rsidR="00F76EA0" w:rsidRPr="00D920C9">
        <w:rPr>
          <w:rFonts w:asciiTheme="minorHAnsi" w:hAnsiTheme="minorHAnsi"/>
          <w:szCs w:val="20"/>
        </w:rPr>
        <w:t xml:space="preserve">structural discrimination </w:t>
      </w:r>
      <w:r w:rsidR="00557A16" w:rsidRPr="00D920C9">
        <w:rPr>
          <w:rFonts w:asciiTheme="minorHAnsi" w:hAnsiTheme="minorHAnsi"/>
          <w:szCs w:val="20"/>
        </w:rPr>
        <w:t>is</w:t>
      </w:r>
      <w:r w:rsidRPr="00D920C9">
        <w:rPr>
          <w:rFonts w:asciiTheme="minorHAnsi" w:hAnsiTheme="minorHAnsi"/>
          <w:szCs w:val="20"/>
        </w:rPr>
        <w:t xml:space="preserve"> not isolated, sporadic, or episodic; rather</w:t>
      </w:r>
      <w:r w:rsidR="00557A16" w:rsidRPr="00D920C9">
        <w:rPr>
          <w:rFonts w:asciiTheme="minorHAnsi" w:hAnsiTheme="minorHAnsi"/>
          <w:szCs w:val="20"/>
        </w:rPr>
        <w:t>,</w:t>
      </w:r>
      <w:r w:rsidRPr="00D920C9">
        <w:rPr>
          <w:rFonts w:asciiTheme="minorHAnsi" w:hAnsiTheme="minorHAnsi"/>
          <w:szCs w:val="20"/>
        </w:rPr>
        <w:t xml:space="preserve"> it emerges from a historical, socioeconomic, and cultural context.</w:t>
      </w:r>
      <w:r w:rsidRPr="00D920C9">
        <w:rPr>
          <w:rFonts w:asciiTheme="minorHAnsi" w:hAnsiTheme="minorHAnsi"/>
          <w:vertAlign w:val="superscript"/>
        </w:rPr>
        <w:footnoteReference w:id="32"/>
      </w:r>
      <w:r w:rsidRPr="00D920C9">
        <w:rPr>
          <w:rFonts w:asciiTheme="minorHAnsi" w:hAnsiTheme="minorHAnsi"/>
          <w:szCs w:val="20"/>
        </w:rPr>
        <w:t xml:space="preserve"> It</w:t>
      </w:r>
      <w:r w:rsidR="00F76EA0" w:rsidRPr="00D920C9">
        <w:rPr>
          <w:rFonts w:asciiTheme="minorHAnsi" w:hAnsiTheme="minorHAnsi"/>
          <w:szCs w:val="20"/>
        </w:rPr>
        <w:t xml:space="preserve"> is</w:t>
      </w:r>
      <w:r w:rsidRPr="00D920C9">
        <w:rPr>
          <w:rFonts w:asciiTheme="minorHAnsi" w:hAnsiTheme="minorHAnsi"/>
          <w:szCs w:val="20"/>
        </w:rPr>
        <w:t xml:space="preserve"> generalized </w:t>
      </w:r>
      <w:r w:rsidR="00F76EA0" w:rsidRPr="00D920C9">
        <w:rPr>
          <w:rFonts w:asciiTheme="minorHAnsi" w:hAnsiTheme="minorHAnsi"/>
          <w:szCs w:val="20"/>
        </w:rPr>
        <w:t>in that it is a</w:t>
      </w:r>
      <w:r w:rsidRPr="00D920C9">
        <w:rPr>
          <w:rFonts w:asciiTheme="minorHAnsi" w:hAnsiTheme="minorHAnsi"/>
          <w:szCs w:val="20"/>
        </w:rPr>
        <w:t xml:space="preserve"> large-scale problem, </w:t>
      </w:r>
      <w:r w:rsidR="00F76EA0" w:rsidRPr="00D920C9">
        <w:rPr>
          <w:rFonts w:asciiTheme="minorHAnsi" w:hAnsiTheme="minorHAnsi"/>
          <w:szCs w:val="20"/>
        </w:rPr>
        <w:t>and</w:t>
      </w:r>
      <w:r w:rsidRPr="00D920C9">
        <w:rPr>
          <w:rFonts w:asciiTheme="minorHAnsi" w:hAnsiTheme="minorHAnsi"/>
          <w:szCs w:val="20"/>
        </w:rPr>
        <w:t xml:space="preserve"> systemic </w:t>
      </w:r>
      <w:r w:rsidR="00F76EA0" w:rsidRPr="00D920C9">
        <w:rPr>
          <w:rFonts w:asciiTheme="minorHAnsi" w:hAnsiTheme="minorHAnsi"/>
          <w:szCs w:val="20"/>
        </w:rPr>
        <w:t xml:space="preserve">in that it encompasses </w:t>
      </w:r>
      <w:r w:rsidRPr="00D920C9">
        <w:rPr>
          <w:rFonts w:asciiTheme="minorHAnsi" w:hAnsiTheme="minorHAnsi"/>
          <w:szCs w:val="20"/>
        </w:rPr>
        <w:t xml:space="preserve">the way decisions, practices, policies, and the culture of a society are adopted. From this viewpoint, structural discrimination </w:t>
      </w:r>
      <w:r w:rsidR="00F76EA0" w:rsidRPr="00D920C9">
        <w:rPr>
          <w:rFonts w:asciiTheme="minorHAnsi" w:hAnsiTheme="minorHAnsi"/>
          <w:szCs w:val="20"/>
        </w:rPr>
        <w:t xml:space="preserve">is not </w:t>
      </w:r>
      <w:r w:rsidRPr="00D920C9">
        <w:rPr>
          <w:rFonts w:asciiTheme="minorHAnsi" w:hAnsiTheme="minorHAnsi"/>
          <w:szCs w:val="20"/>
        </w:rPr>
        <w:t>strict</w:t>
      </w:r>
      <w:r w:rsidR="00F76EA0" w:rsidRPr="00D920C9">
        <w:rPr>
          <w:rFonts w:asciiTheme="minorHAnsi" w:hAnsiTheme="minorHAnsi"/>
          <w:szCs w:val="20"/>
        </w:rPr>
        <w:t>ly</w:t>
      </w:r>
      <w:r w:rsidRPr="00D920C9">
        <w:rPr>
          <w:rFonts w:asciiTheme="minorHAnsi" w:hAnsiTheme="minorHAnsi"/>
          <w:szCs w:val="20"/>
        </w:rPr>
        <w:t xml:space="preserve"> or narrow</w:t>
      </w:r>
      <w:r w:rsidR="00F76EA0" w:rsidRPr="00D920C9">
        <w:rPr>
          <w:rFonts w:asciiTheme="minorHAnsi" w:hAnsiTheme="minorHAnsi"/>
          <w:szCs w:val="20"/>
        </w:rPr>
        <w:t>ly</w:t>
      </w:r>
      <w:r w:rsidRPr="00D920C9">
        <w:rPr>
          <w:rFonts w:asciiTheme="minorHAnsi" w:hAnsiTheme="minorHAnsi"/>
          <w:szCs w:val="20"/>
        </w:rPr>
        <w:t xml:space="preserve"> defin</w:t>
      </w:r>
      <w:r w:rsidR="00F76EA0" w:rsidRPr="00D920C9">
        <w:rPr>
          <w:rFonts w:asciiTheme="minorHAnsi" w:hAnsiTheme="minorHAnsi"/>
          <w:szCs w:val="20"/>
        </w:rPr>
        <w:t>ed</w:t>
      </w:r>
      <w:r w:rsidRPr="00D920C9">
        <w:rPr>
          <w:rFonts w:asciiTheme="minorHAnsi" w:hAnsiTheme="minorHAnsi"/>
          <w:szCs w:val="20"/>
        </w:rPr>
        <w:t xml:space="preserve">. </w:t>
      </w:r>
      <w:r w:rsidR="007E67C4" w:rsidRPr="00D920C9">
        <w:rPr>
          <w:rFonts w:asciiTheme="minorHAnsi" w:hAnsiTheme="minorHAnsi"/>
          <w:szCs w:val="20"/>
        </w:rPr>
        <w:t>Thus</w:t>
      </w:r>
      <w:r w:rsidRPr="00D920C9">
        <w:rPr>
          <w:rFonts w:asciiTheme="minorHAnsi" w:hAnsiTheme="minorHAnsi"/>
          <w:szCs w:val="20"/>
        </w:rPr>
        <w:t xml:space="preserve">, the Commission considers that </w:t>
      </w:r>
      <w:r w:rsidR="00E4513C" w:rsidRPr="00D920C9">
        <w:rPr>
          <w:rFonts w:asciiTheme="minorHAnsi" w:hAnsiTheme="minorHAnsi"/>
          <w:szCs w:val="20"/>
        </w:rPr>
        <w:t>issues</w:t>
      </w:r>
      <w:r w:rsidRPr="00D920C9">
        <w:rPr>
          <w:rFonts w:asciiTheme="minorHAnsi" w:hAnsiTheme="minorHAnsi"/>
          <w:szCs w:val="20"/>
        </w:rPr>
        <w:t xml:space="preserve"> involving structural patterns or practices</w:t>
      </w:r>
      <w:r w:rsidR="00F76EA0" w:rsidRPr="00D920C9">
        <w:rPr>
          <w:rFonts w:asciiTheme="minorHAnsi" w:hAnsiTheme="minorHAnsi"/>
          <w:szCs w:val="20"/>
        </w:rPr>
        <w:t xml:space="preserve"> demand</w:t>
      </w:r>
      <w:r w:rsidRPr="00D920C9">
        <w:rPr>
          <w:rFonts w:asciiTheme="minorHAnsi" w:hAnsiTheme="minorHAnsi"/>
          <w:szCs w:val="20"/>
        </w:rPr>
        <w:t xml:space="preserve"> an overall assessment of the historical, material, temporal, and spatial circumstances surrounding </w:t>
      </w:r>
      <w:r w:rsidR="00F76EA0" w:rsidRPr="00D920C9">
        <w:rPr>
          <w:rFonts w:asciiTheme="minorHAnsi" w:hAnsiTheme="minorHAnsi"/>
          <w:szCs w:val="20"/>
        </w:rPr>
        <w:t>the situation</w:t>
      </w:r>
      <w:r w:rsidRPr="00D920C9">
        <w:rPr>
          <w:rFonts w:asciiTheme="minorHAnsi" w:hAnsiTheme="minorHAnsi"/>
          <w:szCs w:val="20"/>
        </w:rPr>
        <w:t>.</w:t>
      </w:r>
      <w:r w:rsidR="000723AE" w:rsidRPr="00D920C9">
        <w:rPr>
          <w:rFonts w:asciiTheme="minorHAnsi" w:hAnsiTheme="minorHAnsi"/>
          <w:vertAlign w:val="superscript"/>
        </w:rPr>
        <w:footnoteReference w:id="33"/>
      </w:r>
    </w:p>
    <w:p w14:paraId="0D724EC2" w14:textId="77777777" w:rsidR="00B4412C" w:rsidRPr="00D920C9" w:rsidRDefault="00B4412C" w:rsidP="002C64F8">
      <w:pPr>
        <w:pStyle w:val="ListParagraph"/>
        <w:numPr>
          <w:ilvl w:val="0"/>
          <w:numId w:val="9"/>
        </w:numPr>
        <w:spacing w:after="240" w:line="240" w:lineRule="auto"/>
        <w:ind w:left="547" w:hanging="547"/>
        <w:contextualSpacing w:val="0"/>
        <w:jc w:val="both"/>
        <w:rPr>
          <w:rFonts w:asciiTheme="minorHAnsi" w:hAnsiTheme="minorHAnsi"/>
          <w:szCs w:val="20"/>
        </w:rPr>
      </w:pPr>
      <w:bookmarkStart w:id="33" w:name="_Ref507079616"/>
      <w:r w:rsidRPr="00D920C9">
        <w:rPr>
          <w:rFonts w:asciiTheme="minorHAnsi" w:hAnsiTheme="minorHAnsi"/>
          <w:szCs w:val="20"/>
        </w:rPr>
        <w:t xml:space="preserve">The Commission considers that the historical legacy of subjugation, enslavement, terror, marginalization, segregation, and exclusion from enjoying the rights of citizens in the </w:t>
      </w:r>
      <w:r w:rsidR="00904A46" w:rsidRPr="00D920C9">
        <w:rPr>
          <w:rFonts w:asciiTheme="minorHAnsi" w:hAnsiTheme="minorHAnsi"/>
          <w:szCs w:val="20"/>
        </w:rPr>
        <w:t>U.S.</w:t>
      </w:r>
      <w:r w:rsidRPr="00D920C9">
        <w:rPr>
          <w:rFonts w:asciiTheme="minorHAnsi" w:hAnsiTheme="minorHAnsi"/>
          <w:szCs w:val="20"/>
        </w:rPr>
        <w:t xml:space="preserve">, de jure and de facto, has continuing repercussions for </w:t>
      </w:r>
      <w:r w:rsidR="00934E4D" w:rsidRPr="00D920C9">
        <w:rPr>
          <w:rFonts w:asciiTheme="minorHAnsi" w:hAnsiTheme="minorHAnsi"/>
          <w:szCs w:val="20"/>
        </w:rPr>
        <w:t>African Americans’</w:t>
      </w:r>
      <w:r w:rsidRPr="00D920C9">
        <w:rPr>
          <w:rFonts w:asciiTheme="minorHAnsi" w:hAnsiTheme="minorHAnsi"/>
          <w:szCs w:val="20"/>
        </w:rPr>
        <w:t xml:space="preserve"> full enjoyment of human </w:t>
      </w:r>
      <w:r w:rsidRPr="00D920C9">
        <w:rPr>
          <w:rFonts w:asciiTheme="minorHAnsi" w:hAnsiTheme="minorHAnsi"/>
          <w:szCs w:val="20"/>
        </w:rPr>
        <w:lastRenderedPageBreak/>
        <w:t>rights today in virtually every sphere.</w:t>
      </w:r>
      <w:r w:rsidRPr="00D920C9">
        <w:rPr>
          <w:rFonts w:asciiTheme="minorHAnsi" w:hAnsiTheme="minorHAnsi"/>
          <w:szCs w:val="20"/>
          <w:vertAlign w:val="superscript"/>
        </w:rPr>
        <w:footnoteReference w:id="34"/>
      </w:r>
      <w:r w:rsidR="00934E4D" w:rsidRPr="00D920C9">
        <w:rPr>
          <w:rFonts w:asciiTheme="minorHAnsi" w:hAnsiTheme="minorHAnsi"/>
          <w:szCs w:val="20"/>
        </w:rPr>
        <w:t xml:space="preserve"> </w:t>
      </w:r>
      <w:r w:rsidR="0004447D" w:rsidRPr="00D920C9">
        <w:rPr>
          <w:rFonts w:asciiTheme="minorHAnsi" w:hAnsiTheme="minorHAnsi"/>
          <w:szCs w:val="20"/>
        </w:rPr>
        <w:t>T</w:t>
      </w:r>
      <w:r w:rsidRPr="00D920C9">
        <w:rPr>
          <w:rFonts w:asciiTheme="minorHAnsi" w:hAnsiTheme="minorHAnsi"/>
          <w:szCs w:val="20"/>
        </w:rPr>
        <w:t xml:space="preserve">he Commission </w:t>
      </w:r>
      <w:r w:rsidR="00934E4D" w:rsidRPr="00D920C9">
        <w:rPr>
          <w:rFonts w:asciiTheme="minorHAnsi" w:hAnsiTheme="minorHAnsi"/>
          <w:szCs w:val="20"/>
        </w:rPr>
        <w:t>points to</w:t>
      </w:r>
      <w:r w:rsidRPr="00D920C9">
        <w:rPr>
          <w:rFonts w:asciiTheme="minorHAnsi" w:hAnsiTheme="minorHAnsi"/>
          <w:szCs w:val="20"/>
        </w:rPr>
        <w:t xml:space="preserve"> continuing disparities in access to employment</w:t>
      </w:r>
      <w:r w:rsidRPr="00D920C9">
        <w:rPr>
          <w:rFonts w:asciiTheme="minorHAnsi" w:hAnsiTheme="minorHAnsi"/>
          <w:szCs w:val="20"/>
          <w:vertAlign w:val="superscript"/>
        </w:rPr>
        <w:footnoteReference w:id="35"/>
      </w:r>
      <w:r w:rsidRPr="00D920C9">
        <w:rPr>
          <w:rFonts w:asciiTheme="minorHAnsi" w:hAnsiTheme="minorHAnsi"/>
          <w:szCs w:val="20"/>
        </w:rPr>
        <w:t xml:space="preserve"> and equal pay,</w:t>
      </w:r>
      <w:r w:rsidRPr="00D920C9">
        <w:rPr>
          <w:rFonts w:asciiTheme="minorHAnsi" w:hAnsiTheme="minorHAnsi"/>
          <w:szCs w:val="20"/>
          <w:vertAlign w:val="superscript"/>
        </w:rPr>
        <w:footnoteReference w:id="36"/>
      </w:r>
      <w:r w:rsidRPr="00D920C9">
        <w:rPr>
          <w:rFonts w:asciiTheme="minorHAnsi" w:hAnsiTheme="minorHAnsi"/>
          <w:szCs w:val="20"/>
        </w:rPr>
        <w:t xml:space="preserve"> housing (both home ownership</w:t>
      </w:r>
      <w:r w:rsidRPr="00D920C9">
        <w:rPr>
          <w:rFonts w:asciiTheme="minorHAnsi" w:hAnsiTheme="minorHAnsi"/>
          <w:szCs w:val="20"/>
          <w:vertAlign w:val="superscript"/>
        </w:rPr>
        <w:footnoteReference w:id="37"/>
      </w:r>
      <w:r w:rsidRPr="00D920C9">
        <w:rPr>
          <w:rFonts w:asciiTheme="minorHAnsi" w:hAnsiTheme="minorHAnsi"/>
          <w:szCs w:val="20"/>
        </w:rPr>
        <w:t xml:space="preserve"> and access to affordable housing</w:t>
      </w:r>
      <w:r w:rsidRPr="00D920C9">
        <w:rPr>
          <w:rFonts w:asciiTheme="minorHAnsi" w:hAnsiTheme="minorHAnsi"/>
          <w:szCs w:val="20"/>
          <w:vertAlign w:val="superscript"/>
        </w:rPr>
        <w:footnoteReference w:id="38"/>
      </w:r>
      <w:r w:rsidRPr="00D920C9">
        <w:rPr>
          <w:rFonts w:asciiTheme="minorHAnsi" w:hAnsiTheme="minorHAnsi"/>
          <w:szCs w:val="20"/>
        </w:rPr>
        <w:t>), food,</w:t>
      </w:r>
      <w:r w:rsidRPr="00D920C9">
        <w:rPr>
          <w:rFonts w:asciiTheme="minorHAnsi" w:hAnsiTheme="minorHAnsi"/>
          <w:szCs w:val="20"/>
          <w:vertAlign w:val="superscript"/>
        </w:rPr>
        <w:footnoteReference w:id="39"/>
      </w:r>
      <w:r w:rsidRPr="00D920C9">
        <w:rPr>
          <w:rFonts w:asciiTheme="minorHAnsi" w:hAnsiTheme="minorHAnsi"/>
          <w:szCs w:val="20"/>
        </w:rPr>
        <w:t xml:space="preserve"> potable water,</w:t>
      </w:r>
      <w:r w:rsidRPr="00D920C9">
        <w:rPr>
          <w:rFonts w:asciiTheme="minorHAnsi" w:hAnsiTheme="minorHAnsi"/>
          <w:szCs w:val="20"/>
          <w:vertAlign w:val="superscript"/>
        </w:rPr>
        <w:footnoteReference w:id="40"/>
      </w:r>
      <w:r w:rsidRPr="00D920C9">
        <w:rPr>
          <w:rFonts w:asciiTheme="minorHAnsi" w:hAnsiTheme="minorHAnsi"/>
          <w:szCs w:val="20"/>
        </w:rPr>
        <w:t xml:space="preserve"> a clean and healthy environment,</w:t>
      </w:r>
      <w:r w:rsidRPr="00D920C9">
        <w:rPr>
          <w:rFonts w:asciiTheme="minorHAnsi" w:hAnsiTheme="minorHAnsi"/>
          <w:szCs w:val="20"/>
          <w:vertAlign w:val="superscript"/>
        </w:rPr>
        <w:footnoteReference w:id="41"/>
      </w:r>
      <w:r w:rsidRPr="00D920C9">
        <w:rPr>
          <w:rFonts w:asciiTheme="minorHAnsi" w:hAnsiTheme="minorHAnsi"/>
          <w:szCs w:val="20"/>
        </w:rPr>
        <w:t xml:space="preserve"> health care</w:t>
      </w:r>
      <w:r w:rsidRPr="00D920C9">
        <w:rPr>
          <w:rFonts w:asciiTheme="minorHAnsi" w:hAnsiTheme="minorHAnsi"/>
          <w:szCs w:val="20"/>
          <w:vertAlign w:val="superscript"/>
        </w:rPr>
        <w:footnoteReference w:id="42"/>
      </w:r>
      <w:r w:rsidRPr="00D920C9">
        <w:rPr>
          <w:rFonts w:asciiTheme="minorHAnsi" w:hAnsiTheme="minorHAnsi"/>
          <w:szCs w:val="20"/>
        </w:rPr>
        <w:t xml:space="preserve"> (including maternity and reproductive care,</w:t>
      </w:r>
      <w:r w:rsidRPr="00D920C9">
        <w:rPr>
          <w:rFonts w:asciiTheme="minorHAnsi" w:hAnsiTheme="minorHAnsi"/>
          <w:szCs w:val="20"/>
          <w:vertAlign w:val="superscript"/>
        </w:rPr>
        <w:footnoteReference w:id="43"/>
      </w:r>
      <w:r w:rsidRPr="00D920C9">
        <w:rPr>
          <w:rFonts w:asciiTheme="minorHAnsi" w:hAnsiTheme="minorHAnsi"/>
          <w:szCs w:val="20"/>
        </w:rPr>
        <w:t xml:space="preserve"> and racial discrimination in the provision of health care</w:t>
      </w:r>
      <w:r w:rsidRPr="00D920C9">
        <w:rPr>
          <w:rFonts w:asciiTheme="minorHAnsi" w:hAnsiTheme="minorHAnsi"/>
          <w:szCs w:val="20"/>
          <w:vertAlign w:val="superscript"/>
        </w:rPr>
        <w:footnoteReference w:id="44"/>
      </w:r>
      <w:r w:rsidRPr="00D920C9">
        <w:rPr>
          <w:rFonts w:asciiTheme="minorHAnsi" w:hAnsiTheme="minorHAnsi"/>
          <w:szCs w:val="20"/>
        </w:rPr>
        <w:t>), primary education</w:t>
      </w:r>
      <w:r w:rsidRPr="00D920C9">
        <w:rPr>
          <w:rFonts w:asciiTheme="minorHAnsi" w:hAnsiTheme="minorHAnsi"/>
          <w:szCs w:val="20"/>
          <w:vertAlign w:val="superscript"/>
        </w:rPr>
        <w:footnoteReference w:id="45"/>
      </w:r>
      <w:r w:rsidRPr="00D920C9">
        <w:rPr>
          <w:rFonts w:asciiTheme="minorHAnsi" w:hAnsiTheme="minorHAnsi"/>
          <w:szCs w:val="20"/>
        </w:rPr>
        <w:t xml:space="preserve"> and higher education,</w:t>
      </w:r>
      <w:r w:rsidRPr="00D920C9">
        <w:rPr>
          <w:rFonts w:asciiTheme="minorHAnsi" w:hAnsiTheme="minorHAnsi"/>
          <w:szCs w:val="20"/>
          <w:vertAlign w:val="superscript"/>
        </w:rPr>
        <w:footnoteReference w:id="46"/>
      </w:r>
      <w:r w:rsidRPr="00D920C9">
        <w:rPr>
          <w:rFonts w:asciiTheme="minorHAnsi" w:hAnsiTheme="minorHAnsi"/>
          <w:szCs w:val="20"/>
        </w:rPr>
        <w:t xml:space="preserve"> </w:t>
      </w:r>
      <w:r w:rsidRPr="00D920C9">
        <w:rPr>
          <w:rFonts w:asciiTheme="minorHAnsi" w:hAnsiTheme="minorHAnsi"/>
          <w:szCs w:val="20"/>
        </w:rPr>
        <w:lastRenderedPageBreak/>
        <w:t>access to voting rights</w:t>
      </w:r>
      <w:r w:rsidRPr="00D920C9">
        <w:rPr>
          <w:rFonts w:asciiTheme="minorHAnsi" w:hAnsiTheme="minorHAnsi"/>
          <w:szCs w:val="20"/>
          <w:vertAlign w:val="superscript"/>
        </w:rPr>
        <w:footnoteReference w:id="47"/>
      </w:r>
      <w:r w:rsidRPr="00D920C9">
        <w:rPr>
          <w:rFonts w:asciiTheme="minorHAnsi" w:hAnsiTheme="minorHAnsi"/>
          <w:szCs w:val="20"/>
        </w:rPr>
        <w:t xml:space="preserve"> and overall political participation,</w:t>
      </w:r>
      <w:r w:rsidRPr="00D920C9">
        <w:rPr>
          <w:rFonts w:asciiTheme="minorHAnsi" w:hAnsiTheme="minorHAnsi"/>
          <w:szCs w:val="20"/>
          <w:vertAlign w:val="superscript"/>
        </w:rPr>
        <w:footnoteReference w:id="48"/>
      </w:r>
      <w:r w:rsidRPr="00D920C9">
        <w:rPr>
          <w:rFonts w:asciiTheme="minorHAnsi" w:hAnsiTheme="minorHAnsi"/>
          <w:szCs w:val="20"/>
        </w:rPr>
        <w:t xml:space="preserve"> de facto (re)segregation of neighborhoods</w:t>
      </w:r>
      <w:r w:rsidRPr="00D920C9">
        <w:rPr>
          <w:rFonts w:asciiTheme="minorHAnsi" w:hAnsiTheme="minorHAnsi"/>
          <w:szCs w:val="20"/>
          <w:vertAlign w:val="superscript"/>
        </w:rPr>
        <w:footnoteReference w:id="49"/>
      </w:r>
      <w:r w:rsidRPr="00D920C9">
        <w:rPr>
          <w:rFonts w:asciiTheme="minorHAnsi" w:hAnsiTheme="minorHAnsi"/>
          <w:szCs w:val="20"/>
        </w:rPr>
        <w:t xml:space="preserve"> and schools,</w:t>
      </w:r>
      <w:r w:rsidRPr="00D920C9">
        <w:rPr>
          <w:rFonts w:asciiTheme="minorHAnsi" w:hAnsiTheme="minorHAnsi"/>
          <w:szCs w:val="20"/>
          <w:vertAlign w:val="superscript"/>
        </w:rPr>
        <w:footnoteReference w:id="50"/>
      </w:r>
      <w:r w:rsidRPr="00D920C9">
        <w:rPr>
          <w:rFonts w:asciiTheme="minorHAnsi" w:hAnsiTheme="minorHAnsi"/>
          <w:szCs w:val="20"/>
        </w:rPr>
        <w:t xml:space="preserve"> in addition to racial disparities in policing and criminal justice, addressed in the following sections.</w:t>
      </w:r>
      <w:bookmarkEnd w:id="33"/>
      <w:r w:rsidRPr="00D920C9">
        <w:rPr>
          <w:rFonts w:asciiTheme="minorHAnsi" w:hAnsiTheme="minorHAnsi"/>
          <w:szCs w:val="20"/>
        </w:rPr>
        <w:t xml:space="preserve"> </w:t>
      </w:r>
    </w:p>
    <w:p w14:paraId="75441A00" w14:textId="5C3122E7" w:rsidR="00B4412C" w:rsidRPr="00D920C9" w:rsidRDefault="00B4412C" w:rsidP="002C64F8">
      <w:pPr>
        <w:pStyle w:val="ListParagraph"/>
        <w:numPr>
          <w:ilvl w:val="0"/>
          <w:numId w:val="9"/>
        </w:numPr>
        <w:spacing w:after="240" w:line="240" w:lineRule="auto"/>
        <w:ind w:left="547" w:hanging="547"/>
        <w:contextualSpacing w:val="0"/>
        <w:jc w:val="both"/>
        <w:rPr>
          <w:rFonts w:asciiTheme="minorHAnsi" w:hAnsiTheme="minorHAnsi"/>
          <w:color w:val="FF0000"/>
          <w:szCs w:val="20"/>
        </w:rPr>
      </w:pPr>
      <w:bookmarkStart w:id="34" w:name="_Ref507409426"/>
      <w:r w:rsidRPr="00D920C9">
        <w:rPr>
          <w:rFonts w:asciiTheme="minorHAnsi" w:hAnsiTheme="minorHAnsi"/>
          <w:szCs w:val="20"/>
        </w:rPr>
        <w:t>The Commission recognizes that, in addition to discrimination on the basis of race, Afro-descendants may face multiple other kinds of discrimination on the basis of other aspects of their identity. This concept, known as “intersectionality,”</w:t>
      </w:r>
      <w:r w:rsidR="00F76EA0" w:rsidRPr="00D920C9">
        <w:rPr>
          <w:rFonts w:asciiTheme="minorHAnsi" w:hAnsiTheme="minorHAnsi"/>
          <w:vertAlign w:val="superscript"/>
        </w:rPr>
        <w:footnoteReference w:id="51"/>
      </w:r>
      <w:r w:rsidRPr="00D920C9">
        <w:rPr>
          <w:rFonts w:asciiTheme="minorHAnsi" w:hAnsiTheme="minorHAnsi"/>
          <w:szCs w:val="20"/>
        </w:rPr>
        <w:t xml:space="preserve"> highlights that discrimination on the basis of race </w:t>
      </w:r>
      <w:r w:rsidR="00D26E79" w:rsidRPr="00D920C9">
        <w:rPr>
          <w:rFonts w:asciiTheme="minorHAnsi" w:hAnsiTheme="minorHAnsi"/>
          <w:szCs w:val="20"/>
        </w:rPr>
        <w:t>is</w:t>
      </w:r>
      <w:r w:rsidRPr="00D920C9">
        <w:rPr>
          <w:rFonts w:asciiTheme="minorHAnsi" w:hAnsiTheme="minorHAnsi"/>
          <w:szCs w:val="20"/>
        </w:rPr>
        <w:t xml:space="preserve"> inextricably linked with other factors including </w:t>
      </w:r>
      <w:r w:rsidR="00690095" w:rsidRPr="00D920C9">
        <w:rPr>
          <w:rFonts w:asciiTheme="minorHAnsi" w:hAnsiTheme="minorHAnsi"/>
          <w:szCs w:val="20"/>
        </w:rPr>
        <w:t xml:space="preserve">sex, </w:t>
      </w:r>
      <w:r w:rsidRPr="00D920C9">
        <w:rPr>
          <w:rFonts w:asciiTheme="minorHAnsi" w:hAnsiTheme="minorHAnsi"/>
          <w:szCs w:val="20"/>
        </w:rPr>
        <w:t>ethnicity, national origin, religion or belief, gender identity</w:t>
      </w:r>
      <w:r w:rsidR="009D305C" w:rsidRPr="00D920C9">
        <w:rPr>
          <w:rFonts w:asciiTheme="minorHAnsi" w:hAnsiTheme="minorHAnsi"/>
          <w:szCs w:val="20"/>
        </w:rPr>
        <w:t xml:space="preserve"> and expression</w:t>
      </w:r>
      <w:r w:rsidRPr="00D920C9">
        <w:rPr>
          <w:rFonts w:asciiTheme="minorHAnsi" w:hAnsiTheme="minorHAnsi"/>
          <w:szCs w:val="20"/>
        </w:rPr>
        <w:t xml:space="preserve">, sexual orientation, health, age, </w:t>
      </w:r>
      <w:r w:rsidR="009D305C" w:rsidRPr="00D920C9">
        <w:rPr>
          <w:rFonts w:asciiTheme="minorHAnsi" w:hAnsiTheme="minorHAnsi"/>
          <w:szCs w:val="20"/>
        </w:rPr>
        <w:t xml:space="preserve">disability, </w:t>
      </w:r>
      <w:r w:rsidRPr="00D920C9">
        <w:rPr>
          <w:rFonts w:asciiTheme="minorHAnsi" w:hAnsiTheme="minorHAnsi"/>
          <w:szCs w:val="20"/>
        </w:rPr>
        <w:t>and class, among others.</w:t>
      </w:r>
      <w:r w:rsidRPr="00D920C9">
        <w:rPr>
          <w:rFonts w:asciiTheme="minorHAnsi" w:hAnsiTheme="minorHAnsi"/>
          <w:vertAlign w:val="superscript"/>
        </w:rPr>
        <w:footnoteReference w:id="52"/>
      </w:r>
      <w:r w:rsidRPr="00D920C9">
        <w:rPr>
          <w:rFonts w:asciiTheme="minorHAnsi" w:hAnsiTheme="minorHAnsi"/>
          <w:szCs w:val="20"/>
        </w:rPr>
        <w:t xml:space="preserve"> </w:t>
      </w:r>
      <w:r w:rsidR="004D0A7C" w:rsidRPr="00D920C9">
        <w:rPr>
          <w:rFonts w:asciiTheme="minorHAnsi" w:hAnsiTheme="minorHAnsi"/>
          <w:szCs w:val="20"/>
        </w:rPr>
        <w:t>In this sense, t</w:t>
      </w:r>
      <w:r w:rsidR="00455BB4" w:rsidRPr="00D920C9">
        <w:rPr>
          <w:rFonts w:asciiTheme="minorHAnsi" w:hAnsiTheme="minorHAnsi"/>
          <w:szCs w:val="20"/>
        </w:rPr>
        <w:t xml:space="preserve">he Commission has </w:t>
      </w:r>
      <w:r w:rsidR="004D0A7C" w:rsidRPr="00D920C9">
        <w:rPr>
          <w:rFonts w:asciiTheme="minorHAnsi" w:hAnsiTheme="minorHAnsi"/>
          <w:szCs w:val="20"/>
        </w:rPr>
        <w:t>re</w:t>
      </w:r>
      <w:r w:rsidR="00455BB4" w:rsidRPr="00D920C9">
        <w:rPr>
          <w:rFonts w:asciiTheme="minorHAnsi" w:hAnsiTheme="minorHAnsi"/>
          <w:szCs w:val="20"/>
        </w:rPr>
        <w:t>affirmed that “intersectionality is a basic concept for understanding the scope of the gener</w:t>
      </w:r>
      <w:r w:rsidR="004D0A7C" w:rsidRPr="00D920C9">
        <w:rPr>
          <w:rFonts w:asciiTheme="minorHAnsi" w:hAnsiTheme="minorHAnsi"/>
          <w:szCs w:val="20"/>
        </w:rPr>
        <w:t>al obligations of State parties</w:t>
      </w:r>
      <w:r w:rsidR="00455BB4" w:rsidRPr="00D920C9">
        <w:rPr>
          <w:rFonts w:asciiTheme="minorHAnsi" w:hAnsiTheme="minorHAnsi"/>
          <w:color w:val="FF0000"/>
          <w:szCs w:val="20"/>
        </w:rPr>
        <w:t>.”</w:t>
      </w:r>
      <w:r w:rsidR="004D0A7C" w:rsidRPr="00D920C9">
        <w:rPr>
          <w:rFonts w:asciiTheme="minorHAnsi" w:hAnsiTheme="minorHAnsi"/>
          <w:color w:val="FF0000"/>
          <w:vertAlign w:val="superscript"/>
        </w:rPr>
        <w:footnoteReference w:id="53"/>
      </w:r>
      <w:bookmarkEnd w:id="34"/>
    </w:p>
    <w:p w14:paraId="50A674AD" w14:textId="77777777" w:rsidR="00B4412C" w:rsidRPr="00D920C9" w:rsidRDefault="00B4412C" w:rsidP="002C64F8">
      <w:pPr>
        <w:pStyle w:val="ListParagraph"/>
        <w:numPr>
          <w:ilvl w:val="0"/>
          <w:numId w:val="9"/>
        </w:numPr>
        <w:spacing w:after="240" w:line="240" w:lineRule="auto"/>
        <w:ind w:left="547" w:hanging="547"/>
        <w:contextualSpacing w:val="0"/>
        <w:jc w:val="both"/>
        <w:rPr>
          <w:rFonts w:asciiTheme="minorHAnsi" w:hAnsiTheme="minorHAnsi"/>
          <w:szCs w:val="20"/>
        </w:rPr>
      </w:pPr>
      <w:r w:rsidRPr="00D920C9">
        <w:rPr>
          <w:rFonts w:asciiTheme="minorHAnsi" w:hAnsiTheme="minorHAnsi"/>
          <w:szCs w:val="20"/>
        </w:rPr>
        <w:t>Given this panorama, the Commission briefly review</w:t>
      </w:r>
      <w:r w:rsidR="00D3133D" w:rsidRPr="00D920C9">
        <w:rPr>
          <w:rFonts w:asciiTheme="minorHAnsi" w:hAnsiTheme="minorHAnsi"/>
          <w:szCs w:val="20"/>
        </w:rPr>
        <w:t>s here</w:t>
      </w:r>
      <w:r w:rsidRPr="00D920C9">
        <w:rPr>
          <w:rFonts w:asciiTheme="minorHAnsi" w:hAnsiTheme="minorHAnsi"/>
          <w:szCs w:val="20"/>
        </w:rPr>
        <w:t xml:space="preserve"> the history of racial discrimination in the U</w:t>
      </w:r>
      <w:r w:rsidR="00DE49F4" w:rsidRPr="00D920C9">
        <w:rPr>
          <w:rFonts w:asciiTheme="minorHAnsi" w:hAnsiTheme="minorHAnsi"/>
          <w:szCs w:val="20"/>
        </w:rPr>
        <w:t>.S.</w:t>
      </w:r>
      <w:r w:rsidR="00455BB4" w:rsidRPr="00D920C9">
        <w:rPr>
          <w:rFonts w:asciiTheme="minorHAnsi" w:hAnsiTheme="minorHAnsi"/>
          <w:szCs w:val="20"/>
        </w:rPr>
        <w:t>,</w:t>
      </w:r>
      <w:r w:rsidRPr="00D920C9">
        <w:rPr>
          <w:rFonts w:asciiTheme="minorHAnsi" w:hAnsiTheme="minorHAnsi"/>
          <w:szCs w:val="20"/>
        </w:rPr>
        <w:t xml:space="preserve"> with the goal of highlighting the dimensions of structural discrimination relevant to current </w:t>
      </w:r>
      <w:r w:rsidR="00455BB4" w:rsidRPr="00D920C9">
        <w:rPr>
          <w:rFonts w:asciiTheme="minorHAnsi" w:hAnsiTheme="minorHAnsi"/>
          <w:szCs w:val="20"/>
        </w:rPr>
        <w:t>issues</w:t>
      </w:r>
      <w:r w:rsidRPr="00D920C9">
        <w:rPr>
          <w:rFonts w:asciiTheme="minorHAnsi" w:hAnsiTheme="minorHAnsi"/>
          <w:szCs w:val="20"/>
        </w:rPr>
        <w:t xml:space="preserve"> of discrimination, particularly in the areas of policing and criminal justice.</w:t>
      </w:r>
    </w:p>
    <w:p w14:paraId="1CD6E24C" w14:textId="77777777" w:rsidR="00B4412C" w:rsidRPr="00D920C9" w:rsidRDefault="00B4412C" w:rsidP="000A1E39">
      <w:pPr>
        <w:pStyle w:val="Heading2"/>
        <w:ind w:left="540" w:hanging="540"/>
      </w:pPr>
      <w:bookmarkStart w:id="35" w:name="_Toc511837807"/>
      <w:bookmarkStart w:id="36" w:name="_Toc511902980"/>
      <w:bookmarkStart w:id="37" w:name="_Toc517687910"/>
      <w:r w:rsidRPr="00D920C9">
        <w:lastRenderedPageBreak/>
        <w:t xml:space="preserve">Historical </w:t>
      </w:r>
      <w:r w:rsidR="005E5723" w:rsidRPr="00D920C9">
        <w:t xml:space="preserve">Overview </w:t>
      </w:r>
      <w:r w:rsidRPr="00D920C9">
        <w:t xml:space="preserve">of </w:t>
      </w:r>
      <w:r w:rsidR="005E5723" w:rsidRPr="00D920C9">
        <w:t xml:space="preserve">Discrimination </w:t>
      </w:r>
      <w:r w:rsidRPr="00D920C9">
        <w:t xml:space="preserve">and </w:t>
      </w:r>
      <w:r w:rsidR="005E5723" w:rsidRPr="00D920C9">
        <w:t xml:space="preserve">Racism </w:t>
      </w:r>
      <w:r w:rsidRPr="00D920C9">
        <w:t>in the United States</w:t>
      </w:r>
      <w:bookmarkEnd w:id="35"/>
      <w:bookmarkEnd w:id="36"/>
      <w:bookmarkEnd w:id="37"/>
    </w:p>
    <w:p w14:paraId="7AB44217" w14:textId="41A13451" w:rsidR="00B03F5E" w:rsidRPr="00D920C9" w:rsidRDefault="00B4412C" w:rsidP="002C64F8">
      <w:pPr>
        <w:pStyle w:val="ListParagraph"/>
        <w:numPr>
          <w:ilvl w:val="0"/>
          <w:numId w:val="9"/>
        </w:numPr>
        <w:spacing w:after="240" w:line="240" w:lineRule="auto"/>
        <w:ind w:left="547" w:hanging="547"/>
        <w:contextualSpacing w:val="0"/>
        <w:jc w:val="both"/>
        <w:rPr>
          <w:rFonts w:asciiTheme="minorHAnsi" w:hAnsiTheme="minorHAnsi" w:cs="Cambria"/>
          <w:szCs w:val="20"/>
        </w:rPr>
      </w:pPr>
      <w:r w:rsidRPr="00D920C9">
        <w:rPr>
          <w:rFonts w:asciiTheme="minorHAnsi" w:hAnsiTheme="minorHAnsi" w:cs="Cambria"/>
          <w:szCs w:val="20"/>
        </w:rPr>
        <w:t xml:space="preserve">The Commission recalls that one of the </w:t>
      </w:r>
      <w:r w:rsidR="004D0A7C" w:rsidRPr="00D920C9">
        <w:rPr>
          <w:rFonts w:asciiTheme="minorHAnsi" w:hAnsiTheme="minorHAnsi" w:cs="Cambria"/>
          <w:szCs w:val="20"/>
        </w:rPr>
        <w:t>principal</w:t>
      </w:r>
      <w:r w:rsidRPr="00D920C9">
        <w:rPr>
          <w:rFonts w:asciiTheme="minorHAnsi" w:hAnsiTheme="minorHAnsi" w:cs="Cambria"/>
          <w:szCs w:val="20"/>
        </w:rPr>
        <w:t xml:space="preserve"> consequences of the history of colonialism and </w:t>
      </w:r>
      <w:r w:rsidR="00BC2D83" w:rsidRPr="00D920C9">
        <w:rPr>
          <w:rFonts w:asciiTheme="minorHAnsi" w:hAnsiTheme="minorHAnsi" w:cs="Cambria"/>
          <w:szCs w:val="20"/>
        </w:rPr>
        <w:t>enslavement</w:t>
      </w:r>
      <w:r w:rsidRPr="00D920C9">
        <w:rPr>
          <w:rFonts w:asciiTheme="minorHAnsi" w:hAnsiTheme="minorHAnsi" w:cs="Cambria"/>
          <w:szCs w:val="20"/>
        </w:rPr>
        <w:t xml:space="preserve"> is the multiple forms of discrimination and racism to which Afro-descendants</w:t>
      </w:r>
      <w:r w:rsidR="004D0A7C" w:rsidRPr="00D920C9">
        <w:rPr>
          <w:rFonts w:asciiTheme="minorHAnsi" w:hAnsiTheme="minorHAnsi" w:cs="Cambria"/>
          <w:szCs w:val="20"/>
        </w:rPr>
        <w:t xml:space="preserve"> </w:t>
      </w:r>
      <w:r w:rsidRPr="00D920C9">
        <w:rPr>
          <w:rFonts w:asciiTheme="minorHAnsi" w:hAnsiTheme="minorHAnsi" w:cs="Cambria"/>
          <w:szCs w:val="20"/>
        </w:rPr>
        <w:t>have been subjected across the length and breadth of the American hemisphere.</w:t>
      </w:r>
      <w:r w:rsidRPr="00D920C9">
        <w:rPr>
          <w:rStyle w:val="FootnoteReference"/>
          <w:rFonts w:asciiTheme="minorHAnsi" w:hAnsiTheme="minorHAnsi" w:cs="Cambria"/>
          <w:szCs w:val="20"/>
        </w:rPr>
        <w:footnoteReference w:id="54"/>
      </w:r>
      <w:r w:rsidRPr="00D920C9">
        <w:rPr>
          <w:rFonts w:asciiTheme="minorHAnsi" w:hAnsiTheme="minorHAnsi" w:cs="Cambria"/>
          <w:szCs w:val="20"/>
        </w:rPr>
        <w:t xml:space="preserve"> </w:t>
      </w:r>
      <w:r w:rsidR="007C0B00" w:rsidRPr="00D920C9">
        <w:rPr>
          <w:rFonts w:asciiTheme="minorHAnsi" w:hAnsiTheme="minorHAnsi" w:cs="Cambria"/>
          <w:szCs w:val="20"/>
        </w:rPr>
        <w:t>In this respect, the Commission has previously observed that</w:t>
      </w:r>
      <w:r w:rsidR="000A1E39" w:rsidRPr="00D920C9">
        <w:rPr>
          <w:rFonts w:asciiTheme="minorHAnsi" w:hAnsiTheme="minorHAnsi" w:cs="Cambria"/>
          <w:szCs w:val="20"/>
        </w:rPr>
        <w:t>:</w:t>
      </w:r>
    </w:p>
    <w:p w14:paraId="70586D4E" w14:textId="77777777" w:rsidR="00B4412C" w:rsidRPr="00D920C9" w:rsidRDefault="00B4412C" w:rsidP="000A1E39">
      <w:pPr>
        <w:pStyle w:val="ListParagraph"/>
        <w:spacing w:after="240" w:line="240" w:lineRule="auto"/>
        <w:ind w:left="1166" w:right="619"/>
        <w:contextualSpacing w:val="0"/>
        <w:jc w:val="both"/>
        <w:rPr>
          <w:rFonts w:asciiTheme="minorHAnsi" w:hAnsiTheme="minorHAnsi" w:cs="Cambria"/>
          <w:szCs w:val="18"/>
        </w:rPr>
      </w:pPr>
      <w:r w:rsidRPr="00D920C9">
        <w:rPr>
          <w:rFonts w:asciiTheme="minorHAnsi" w:hAnsiTheme="minorHAnsi" w:cs="Cambria"/>
          <w:szCs w:val="18"/>
        </w:rPr>
        <w:t xml:space="preserve">Despite the deep historical roots of discrimination and racism against Afro-descendants and indigenous people in the Americas, these problems and their consequences and causes have been largely ignored, buried, and even denied in the majority of the States of the Americas. </w:t>
      </w:r>
      <w:r w:rsidR="00B03F5E" w:rsidRPr="00D920C9">
        <w:rPr>
          <w:rFonts w:asciiTheme="minorHAnsi" w:hAnsiTheme="minorHAnsi" w:cs="Cambria"/>
          <w:szCs w:val="18"/>
        </w:rPr>
        <w:t xml:space="preserve">A number of factors have conspired to make discrimination and racism an invisible phenomenon in the Americas, one being the way in which racism became engrained, both historically and culturally, from the time of slavery and colonialism up to the present day. </w:t>
      </w:r>
      <w:r w:rsidRPr="00D920C9">
        <w:rPr>
          <w:rFonts w:asciiTheme="minorHAnsi" w:hAnsiTheme="minorHAnsi" w:cs="Cambria"/>
          <w:szCs w:val="18"/>
        </w:rPr>
        <w:t>In the Commission’s view, while many of the manifestations of discrimination and racism that Afro-descendants and indigenous peoples still encounter in the American hemisphere can be traced to</w:t>
      </w:r>
      <w:r w:rsidR="007C0B00" w:rsidRPr="00D920C9">
        <w:rPr>
          <w:rFonts w:asciiTheme="minorHAnsi" w:hAnsiTheme="minorHAnsi" w:cs="Cambria"/>
          <w:szCs w:val="18"/>
        </w:rPr>
        <w:t xml:space="preserve"> […]</w:t>
      </w:r>
      <w:r w:rsidRPr="00D920C9">
        <w:rPr>
          <w:rFonts w:asciiTheme="minorHAnsi" w:hAnsiTheme="minorHAnsi" w:cs="Cambria"/>
          <w:szCs w:val="18"/>
        </w:rPr>
        <w:t xml:space="preserve"> historical facts, they are also attributable to the fact that they have not been fully recognized or addressed by </w:t>
      </w:r>
      <w:r w:rsidR="007C0B00" w:rsidRPr="00D920C9">
        <w:rPr>
          <w:rFonts w:asciiTheme="minorHAnsi" w:hAnsiTheme="minorHAnsi" w:cs="Cambria"/>
          <w:szCs w:val="18"/>
        </w:rPr>
        <w:t>[…]</w:t>
      </w:r>
      <w:r w:rsidRPr="00D920C9">
        <w:rPr>
          <w:rFonts w:asciiTheme="minorHAnsi" w:hAnsiTheme="minorHAnsi" w:cs="Cambria"/>
          <w:szCs w:val="18"/>
        </w:rPr>
        <w:t xml:space="preserve"> States </w:t>
      </w:r>
      <w:r w:rsidR="007C0B00" w:rsidRPr="00D920C9">
        <w:rPr>
          <w:rFonts w:asciiTheme="minorHAnsi" w:hAnsiTheme="minorHAnsi" w:cs="Cambria"/>
          <w:szCs w:val="18"/>
        </w:rPr>
        <w:t>[…] and have to a large extent been rendered invisible until recent years</w:t>
      </w:r>
      <w:r w:rsidRPr="00D920C9">
        <w:rPr>
          <w:rFonts w:asciiTheme="minorHAnsi" w:hAnsiTheme="minorHAnsi" w:cs="Cambria"/>
          <w:szCs w:val="18"/>
        </w:rPr>
        <w:t>. As the Commission has observed, the Afro-descendant population in the Americas has endured a history of neglect, exclusion, and social and economic disadvantage that impairs the enjoyment of their fundamental rights.</w:t>
      </w:r>
      <w:r w:rsidRPr="00D920C9">
        <w:rPr>
          <w:rStyle w:val="FootnoteReference"/>
          <w:rFonts w:asciiTheme="minorHAnsi" w:hAnsiTheme="minorHAnsi" w:cs="Cambria"/>
          <w:szCs w:val="18"/>
        </w:rPr>
        <w:footnoteReference w:id="55"/>
      </w:r>
    </w:p>
    <w:p w14:paraId="0B663A68" w14:textId="77777777" w:rsidR="00B4412C" w:rsidRPr="00D920C9" w:rsidRDefault="00B4412C" w:rsidP="002C64F8">
      <w:pPr>
        <w:pStyle w:val="ListParagraph"/>
        <w:numPr>
          <w:ilvl w:val="0"/>
          <w:numId w:val="9"/>
        </w:numPr>
        <w:spacing w:after="240" w:line="240" w:lineRule="auto"/>
        <w:ind w:left="547" w:hanging="547"/>
        <w:contextualSpacing w:val="0"/>
        <w:jc w:val="both"/>
        <w:rPr>
          <w:rFonts w:asciiTheme="minorHAnsi" w:hAnsiTheme="minorHAnsi" w:cs="Cambria"/>
          <w:szCs w:val="20"/>
        </w:rPr>
      </w:pPr>
      <w:r w:rsidRPr="00D920C9">
        <w:rPr>
          <w:rFonts w:asciiTheme="minorHAnsi" w:hAnsiTheme="minorHAnsi" w:cs="Cambria"/>
          <w:szCs w:val="20"/>
        </w:rPr>
        <w:t xml:space="preserve">The history of racism against Afro-descendants in the United States, as in the Americas generally, is deeply linked to the history of chattel slavery </w:t>
      </w:r>
      <w:r w:rsidR="00D3133D" w:rsidRPr="00D920C9">
        <w:rPr>
          <w:rFonts w:asciiTheme="minorHAnsi" w:hAnsiTheme="minorHAnsi" w:cs="Cambria"/>
          <w:szCs w:val="20"/>
        </w:rPr>
        <w:t>beginning in</w:t>
      </w:r>
      <w:r w:rsidRPr="00D920C9">
        <w:rPr>
          <w:rFonts w:asciiTheme="minorHAnsi" w:hAnsiTheme="minorHAnsi" w:cs="Cambria"/>
          <w:szCs w:val="20"/>
        </w:rPr>
        <w:t xml:space="preserve"> the colonial period. The origins of slavery in the United States date to the early 1600s, when Africans were first brought to the present-day </w:t>
      </w:r>
      <w:r w:rsidR="00904A46" w:rsidRPr="00D920C9">
        <w:rPr>
          <w:rFonts w:asciiTheme="minorHAnsi" w:hAnsiTheme="minorHAnsi" w:cs="Cambria"/>
          <w:szCs w:val="20"/>
        </w:rPr>
        <w:t xml:space="preserve">U.S. </w:t>
      </w:r>
      <w:r w:rsidRPr="00D920C9">
        <w:rPr>
          <w:rFonts w:asciiTheme="minorHAnsi" w:hAnsiTheme="minorHAnsi" w:cs="Cambria"/>
          <w:szCs w:val="20"/>
        </w:rPr>
        <w:t>both directly from Africa and from Caribbean islands like Barbados, to work on farms and plantations in the colonies.</w:t>
      </w:r>
      <w:r w:rsidRPr="00D920C9">
        <w:rPr>
          <w:rFonts w:asciiTheme="minorHAnsi" w:hAnsiTheme="minorHAnsi" w:cs="Cambria"/>
          <w:szCs w:val="20"/>
          <w:vertAlign w:val="superscript"/>
        </w:rPr>
        <w:footnoteReference w:id="56"/>
      </w:r>
      <w:r w:rsidRPr="00D920C9">
        <w:rPr>
          <w:rFonts w:asciiTheme="minorHAnsi" w:hAnsiTheme="minorHAnsi" w:cs="Cambria"/>
          <w:szCs w:val="20"/>
        </w:rPr>
        <w:t xml:space="preserve"> Over the course of that century, the incipient racial hierarchy transformed into a permanent, hereditary condition of slavery on the basis of skin color.</w:t>
      </w:r>
      <w:r w:rsidRPr="00D920C9">
        <w:rPr>
          <w:rFonts w:asciiTheme="minorHAnsi" w:hAnsiTheme="minorHAnsi" w:cs="Cambria"/>
          <w:szCs w:val="20"/>
          <w:vertAlign w:val="superscript"/>
        </w:rPr>
        <w:footnoteReference w:id="57"/>
      </w:r>
      <w:r w:rsidRPr="00D920C9">
        <w:rPr>
          <w:rFonts w:asciiTheme="minorHAnsi" w:hAnsiTheme="minorHAnsi" w:cs="Cambria"/>
          <w:szCs w:val="20"/>
        </w:rPr>
        <w:t xml:space="preserve"> As </w:t>
      </w:r>
      <w:r w:rsidRPr="00D920C9">
        <w:rPr>
          <w:rFonts w:asciiTheme="minorHAnsi" w:hAnsiTheme="minorHAnsi" w:cs="Cambria"/>
          <w:szCs w:val="20"/>
        </w:rPr>
        <w:lastRenderedPageBreak/>
        <w:t xml:space="preserve">the institution </w:t>
      </w:r>
      <w:r w:rsidRPr="00D920C9">
        <w:rPr>
          <w:rFonts w:asciiTheme="minorHAnsi" w:hAnsiTheme="minorHAnsi"/>
          <w:szCs w:val="20"/>
        </w:rPr>
        <w:t>of slavery became more entrenched, so did the need to maintain this economic order by assisting plantation owners in recovering and punishing slaves who attempted to escape; in 1704, the colony of South Carolina developed the nation's first slave patrol to catch and return escaped slaves,</w:t>
      </w:r>
      <w:r w:rsidRPr="00D920C9">
        <w:rPr>
          <w:rFonts w:asciiTheme="minorHAnsi" w:hAnsiTheme="minorHAnsi" w:cs="Cambria"/>
          <w:szCs w:val="20"/>
        </w:rPr>
        <w:t xml:space="preserve"> deter slave revolts, and carry out beatings and whippings, seeking to thwart any activity that might threaten the continued existence of the institution of slavery.</w:t>
      </w:r>
      <w:r w:rsidRPr="00D920C9">
        <w:rPr>
          <w:rFonts w:asciiTheme="minorHAnsi" w:hAnsiTheme="minorHAnsi" w:cs="Cambria"/>
          <w:szCs w:val="20"/>
          <w:vertAlign w:val="superscript"/>
        </w:rPr>
        <w:footnoteReference w:id="58"/>
      </w:r>
      <w:r w:rsidRPr="00D920C9">
        <w:rPr>
          <w:rFonts w:asciiTheme="minorHAnsi" w:hAnsiTheme="minorHAnsi" w:cs="Cambria"/>
          <w:szCs w:val="20"/>
        </w:rPr>
        <w:t xml:space="preserve"> </w:t>
      </w:r>
      <w:r w:rsidR="00D3133D" w:rsidRPr="00D920C9">
        <w:rPr>
          <w:rFonts w:asciiTheme="minorHAnsi" w:hAnsiTheme="minorHAnsi" w:cs="Cambria"/>
          <w:szCs w:val="20"/>
        </w:rPr>
        <w:t>S</w:t>
      </w:r>
      <w:r w:rsidRPr="00D920C9">
        <w:rPr>
          <w:rFonts w:asciiTheme="minorHAnsi" w:hAnsiTheme="minorHAnsi" w:cs="Cambria"/>
          <w:szCs w:val="20"/>
        </w:rPr>
        <w:t>lave patrols were thus “the first uniquely American form of policing.”</w:t>
      </w:r>
      <w:r w:rsidRPr="00D920C9">
        <w:rPr>
          <w:rStyle w:val="FootnoteReference"/>
          <w:rFonts w:asciiTheme="minorHAnsi" w:hAnsiTheme="minorHAnsi" w:cs="Cambria"/>
          <w:szCs w:val="20"/>
        </w:rPr>
        <w:footnoteReference w:id="59"/>
      </w:r>
    </w:p>
    <w:p w14:paraId="6BDB5F00" w14:textId="77777777" w:rsidR="00B4412C" w:rsidRPr="00D920C9" w:rsidRDefault="00B4412C" w:rsidP="002C64F8">
      <w:pPr>
        <w:pStyle w:val="ListParagraph"/>
        <w:numPr>
          <w:ilvl w:val="0"/>
          <w:numId w:val="9"/>
        </w:numPr>
        <w:spacing w:after="240" w:line="240" w:lineRule="auto"/>
        <w:ind w:left="547" w:hanging="547"/>
        <w:contextualSpacing w:val="0"/>
        <w:jc w:val="both"/>
        <w:rPr>
          <w:rFonts w:asciiTheme="minorHAnsi" w:hAnsiTheme="minorHAnsi"/>
          <w:szCs w:val="20"/>
        </w:rPr>
      </w:pPr>
      <w:r w:rsidRPr="00D920C9">
        <w:rPr>
          <w:rFonts w:asciiTheme="minorHAnsi" w:hAnsiTheme="minorHAnsi" w:cs="Cambria"/>
          <w:szCs w:val="20"/>
        </w:rPr>
        <w:t>The transatlantic slave trade continued to grow over the following centuries, and by the time of the Revolutionary War (1775-83) and subsequent drafting of the U</w:t>
      </w:r>
      <w:r w:rsidR="00C45A79" w:rsidRPr="00D920C9">
        <w:rPr>
          <w:rFonts w:asciiTheme="minorHAnsi" w:hAnsiTheme="minorHAnsi" w:cs="Cambria"/>
          <w:szCs w:val="20"/>
        </w:rPr>
        <w:t>.</w:t>
      </w:r>
      <w:r w:rsidRPr="00D920C9">
        <w:rPr>
          <w:rFonts w:asciiTheme="minorHAnsi" w:hAnsiTheme="minorHAnsi" w:cs="Cambria"/>
          <w:szCs w:val="20"/>
        </w:rPr>
        <w:t>S</w:t>
      </w:r>
      <w:r w:rsidR="00C45A79" w:rsidRPr="00D920C9">
        <w:rPr>
          <w:rFonts w:asciiTheme="minorHAnsi" w:hAnsiTheme="minorHAnsi" w:cs="Cambria"/>
          <w:szCs w:val="20"/>
        </w:rPr>
        <w:t>.</w:t>
      </w:r>
      <w:r w:rsidRPr="00D920C9">
        <w:rPr>
          <w:rFonts w:asciiTheme="minorHAnsi" w:hAnsiTheme="minorHAnsi" w:cs="Cambria"/>
          <w:szCs w:val="20"/>
        </w:rPr>
        <w:t xml:space="preserve"> Constitution (1787), the system of race-based slavery was well entrenched in many of the colonies. While the economies of southern colonies like Virginia, Maryland, and the Carolinas largely depended on the exploitation of slave labor on agricultural plantations, the industrialists, banks, and financiers of northern New England and Mid-</w:t>
      </w:r>
      <w:r w:rsidRPr="00D920C9">
        <w:rPr>
          <w:rFonts w:asciiTheme="minorHAnsi" w:hAnsiTheme="minorHAnsi"/>
          <w:szCs w:val="20"/>
        </w:rPr>
        <w:t>Atlantic colonies profited enormously from their investments in and trade relationships with slaveholding colonies, both in the south and in the Caribbean.</w:t>
      </w:r>
      <w:r w:rsidRPr="00D920C9">
        <w:rPr>
          <w:rFonts w:asciiTheme="minorHAnsi" w:hAnsiTheme="minorHAnsi"/>
          <w:szCs w:val="20"/>
          <w:vertAlign w:val="superscript"/>
        </w:rPr>
        <w:footnoteReference w:id="60"/>
      </w:r>
      <w:r w:rsidRPr="00D920C9">
        <w:rPr>
          <w:rFonts w:asciiTheme="minorHAnsi" w:hAnsiTheme="minorHAnsi"/>
          <w:szCs w:val="20"/>
        </w:rPr>
        <w:t xml:space="preserve"> While the word “slavery” was consciously excluded from the Constitution, it is widely seen as being tacitly recognized in the infamous “Three-Fifths Compromise.”</w:t>
      </w:r>
      <w:r w:rsidRPr="00D920C9">
        <w:rPr>
          <w:rFonts w:asciiTheme="minorHAnsi" w:hAnsiTheme="minorHAnsi"/>
          <w:szCs w:val="20"/>
          <w:vertAlign w:val="superscript"/>
        </w:rPr>
        <w:footnoteReference w:id="61"/>
      </w:r>
      <w:r w:rsidRPr="00D920C9">
        <w:rPr>
          <w:rFonts w:asciiTheme="minorHAnsi" w:hAnsiTheme="minorHAnsi"/>
          <w:szCs w:val="20"/>
        </w:rPr>
        <w:t xml:space="preserve"> In this way, racialized hierarchy was included as a part of the founding legal and economic order of the </w:t>
      </w:r>
      <w:r w:rsidR="00904A46" w:rsidRPr="00D920C9">
        <w:rPr>
          <w:rFonts w:asciiTheme="minorHAnsi" w:hAnsiTheme="minorHAnsi"/>
          <w:szCs w:val="20"/>
        </w:rPr>
        <w:t>U.S</w:t>
      </w:r>
      <w:r w:rsidRPr="00D920C9">
        <w:rPr>
          <w:rFonts w:asciiTheme="minorHAnsi" w:hAnsiTheme="minorHAnsi"/>
          <w:szCs w:val="20"/>
        </w:rPr>
        <w:t>.</w:t>
      </w:r>
    </w:p>
    <w:p w14:paraId="59D87E2E" w14:textId="77777777" w:rsidR="00B4412C" w:rsidRPr="00D920C9" w:rsidRDefault="00B4412C" w:rsidP="002C64F8">
      <w:pPr>
        <w:pStyle w:val="ListParagraph"/>
        <w:numPr>
          <w:ilvl w:val="0"/>
          <w:numId w:val="9"/>
        </w:numPr>
        <w:spacing w:after="240" w:line="240" w:lineRule="auto"/>
        <w:ind w:left="547" w:hanging="547"/>
        <w:contextualSpacing w:val="0"/>
        <w:jc w:val="both"/>
        <w:rPr>
          <w:rFonts w:asciiTheme="minorHAnsi" w:hAnsiTheme="minorHAnsi"/>
          <w:szCs w:val="20"/>
        </w:rPr>
      </w:pPr>
      <w:r w:rsidRPr="00D920C9">
        <w:rPr>
          <w:rFonts w:asciiTheme="minorHAnsi" w:hAnsiTheme="minorHAnsi"/>
          <w:szCs w:val="20"/>
        </w:rPr>
        <w:t>During the early 19th century, debate</w:t>
      </w:r>
      <w:r w:rsidR="00C950E0" w:rsidRPr="00D920C9">
        <w:rPr>
          <w:rFonts w:asciiTheme="minorHAnsi" w:hAnsiTheme="minorHAnsi"/>
          <w:szCs w:val="20"/>
        </w:rPr>
        <w:t>s</w:t>
      </w:r>
      <w:r w:rsidRPr="00D920C9">
        <w:rPr>
          <w:rFonts w:asciiTheme="minorHAnsi" w:hAnsiTheme="minorHAnsi"/>
          <w:szCs w:val="20"/>
        </w:rPr>
        <w:t xml:space="preserve"> over the continued existence of slavery between northern and southern states intensified as conflicts </w:t>
      </w:r>
      <w:r w:rsidRPr="00D920C9">
        <w:rPr>
          <w:rFonts w:asciiTheme="minorHAnsi" w:hAnsiTheme="minorHAnsi"/>
          <w:szCs w:val="20"/>
        </w:rPr>
        <w:lastRenderedPageBreak/>
        <w:t>developed on a number of fronts: key flash points included the continuing debate over the expansion of slavery westward into the territories,</w:t>
      </w:r>
      <w:r w:rsidRPr="00D920C9">
        <w:rPr>
          <w:rFonts w:asciiTheme="minorHAnsi" w:hAnsiTheme="minorHAnsi"/>
          <w:szCs w:val="20"/>
          <w:vertAlign w:val="superscript"/>
        </w:rPr>
        <w:footnoteReference w:id="62"/>
      </w:r>
      <w:r w:rsidRPr="00D920C9">
        <w:rPr>
          <w:rFonts w:asciiTheme="minorHAnsi" w:hAnsiTheme="minorHAnsi"/>
          <w:szCs w:val="20"/>
        </w:rPr>
        <w:t xml:space="preserve"> legal challenges to the enforcement of fugitive slave laws, including the Fugitive Slave Act of 1850,</w:t>
      </w:r>
      <w:r w:rsidRPr="00D920C9">
        <w:rPr>
          <w:rFonts w:asciiTheme="minorHAnsi" w:hAnsiTheme="minorHAnsi"/>
          <w:szCs w:val="20"/>
          <w:vertAlign w:val="superscript"/>
        </w:rPr>
        <w:footnoteReference w:id="63"/>
      </w:r>
      <w:r w:rsidRPr="00D920C9">
        <w:rPr>
          <w:rFonts w:asciiTheme="minorHAnsi" w:hAnsiTheme="minorHAnsi"/>
          <w:szCs w:val="20"/>
        </w:rPr>
        <w:t xml:space="preserve"> and the Supreme Court’s infamous Dred Scott decision of 1857—widely seen as a failed attempt to placate slave states to avoid civil war—which held that any descendant of slaves in the </w:t>
      </w:r>
      <w:r w:rsidR="00904A46" w:rsidRPr="00D920C9">
        <w:rPr>
          <w:rFonts w:asciiTheme="minorHAnsi" w:hAnsiTheme="minorHAnsi"/>
          <w:szCs w:val="20"/>
        </w:rPr>
        <w:t>U.S.</w:t>
      </w:r>
      <w:r w:rsidRPr="00D920C9">
        <w:rPr>
          <w:rFonts w:asciiTheme="minorHAnsi" w:hAnsiTheme="minorHAnsi"/>
          <w:szCs w:val="20"/>
        </w:rPr>
        <w:t xml:space="preserve"> </w:t>
      </w:r>
      <w:r w:rsidR="00445DD2" w:rsidRPr="00D920C9">
        <w:rPr>
          <w:rFonts w:asciiTheme="minorHAnsi" w:hAnsiTheme="minorHAnsi"/>
          <w:szCs w:val="20"/>
        </w:rPr>
        <w:t>“are not included, and were not intended to be included, under the word ‘citizens’ in the Constitution</w:t>
      </w:r>
      <w:r w:rsidRPr="00D920C9">
        <w:rPr>
          <w:rFonts w:asciiTheme="minorHAnsi" w:hAnsiTheme="minorHAnsi"/>
          <w:szCs w:val="20"/>
        </w:rPr>
        <w:t>,</w:t>
      </w:r>
      <w:r w:rsidR="00445DD2" w:rsidRPr="00D920C9">
        <w:rPr>
          <w:rFonts w:asciiTheme="minorHAnsi" w:hAnsiTheme="minorHAnsi"/>
          <w:szCs w:val="20"/>
        </w:rPr>
        <w:t>”</w:t>
      </w:r>
      <w:r w:rsidRPr="00D920C9">
        <w:rPr>
          <w:rFonts w:asciiTheme="minorHAnsi" w:hAnsiTheme="minorHAnsi"/>
          <w:szCs w:val="20"/>
        </w:rPr>
        <w:t xml:space="preserve"> and had “no rights which the white man was bound to respect.”</w:t>
      </w:r>
      <w:r w:rsidRPr="00D920C9">
        <w:rPr>
          <w:rFonts w:asciiTheme="minorHAnsi" w:hAnsiTheme="minorHAnsi"/>
          <w:szCs w:val="20"/>
          <w:vertAlign w:val="superscript"/>
        </w:rPr>
        <w:footnoteReference w:id="64"/>
      </w:r>
      <w:r w:rsidRPr="00D920C9">
        <w:rPr>
          <w:rFonts w:asciiTheme="minorHAnsi" w:hAnsiTheme="minorHAnsi"/>
          <w:szCs w:val="20"/>
        </w:rPr>
        <w:t xml:space="preserve"> </w:t>
      </w:r>
      <w:r w:rsidR="008250DC" w:rsidRPr="00D920C9">
        <w:rPr>
          <w:rFonts w:asciiTheme="minorHAnsi" w:hAnsiTheme="minorHAnsi"/>
          <w:szCs w:val="20"/>
        </w:rPr>
        <w:t>The failure of these compromises and other legal and political measures to resolve the continuing conflict between northern and southern states over slavery led the country closer and closer to Civil War.</w:t>
      </w:r>
    </w:p>
    <w:p w14:paraId="616D9C3A" w14:textId="77777777" w:rsidR="00B4412C" w:rsidRPr="00D920C9" w:rsidRDefault="00B4412C" w:rsidP="002C64F8">
      <w:pPr>
        <w:pStyle w:val="ListParagraph"/>
        <w:numPr>
          <w:ilvl w:val="0"/>
          <w:numId w:val="9"/>
        </w:numPr>
        <w:spacing w:after="240" w:line="240" w:lineRule="auto"/>
        <w:ind w:left="547" w:hanging="547"/>
        <w:contextualSpacing w:val="0"/>
        <w:jc w:val="both"/>
        <w:rPr>
          <w:rFonts w:asciiTheme="minorHAnsi" w:hAnsiTheme="minorHAnsi" w:cs="Cambria"/>
          <w:szCs w:val="20"/>
        </w:rPr>
      </w:pPr>
      <w:r w:rsidRPr="00D920C9">
        <w:rPr>
          <w:rFonts w:asciiTheme="minorHAnsi" w:hAnsiTheme="minorHAnsi"/>
          <w:szCs w:val="20"/>
        </w:rPr>
        <w:t>By the eve of the Civil War, slavery was fully institutionalized in the U</w:t>
      </w:r>
      <w:r w:rsidR="00C45A79" w:rsidRPr="00D920C9">
        <w:rPr>
          <w:rFonts w:asciiTheme="minorHAnsi" w:hAnsiTheme="minorHAnsi"/>
          <w:szCs w:val="20"/>
        </w:rPr>
        <w:t>.</w:t>
      </w:r>
      <w:r w:rsidRPr="00D920C9">
        <w:rPr>
          <w:rFonts w:asciiTheme="minorHAnsi" w:hAnsiTheme="minorHAnsi"/>
          <w:szCs w:val="20"/>
        </w:rPr>
        <w:t>S</w:t>
      </w:r>
      <w:r w:rsidR="00C45A79" w:rsidRPr="00D920C9">
        <w:rPr>
          <w:rFonts w:asciiTheme="minorHAnsi" w:hAnsiTheme="minorHAnsi"/>
          <w:szCs w:val="20"/>
        </w:rPr>
        <w:t>.</w:t>
      </w:r>
      <w:r w:rsidRPr="00D920C9">
        <w:rPr>
          <w:rFonts w:asciiTheme="minorHAnsi" w:hAnsiTheme="minorHAnsi"/>
          <w:szCs w:val="20"/>
        </w:rPr>
        <w:t xml:space="preserve"> economic and legal order, wi</w:t>
      </w:r>
      <w:r w:rsidR="00542BB7" w:rsidRPr="00D920C9">
        <w:rPr>
          <w:rFonts w:asciiTheme="minorHAnsi" w:hAnsiTheme="minorHAnsi"/>
          <w:szCs w:val="20"/>
        </w:rPr>
        <w:t>th an extensive system of state</w:t>
      </w:r>
      <w:r w:rsidRPr="00D920C9">
        <w:rPr>
          <w:rFonts w:asciiTheme="minorHAnsi" w:hAnsiTheme="minorHAnsi"/>
          <w:szCs w:val="20"/>
        </w:rPr>
        <w:t xml:space="preserve"> Slave Codes that criminalized most aspects of Black existence, as well as federal</w:t>
      </w:r>
      <w:r w:rsidRPr="00D920C9">
        <w:rPr>
          <w:rFonts w:asciiTheme="minorHAnsi" w:hAnsiTheme="minorHAnsi" w:cs="Cambria"/>
          <w:szCs w:val="20"/>
        </w:rPr>
        <w:t xml:space="preserve"> enforcement mechanisms.</w:t>
      </w:r>
      <w:bookmarkStart w:id="38" w:name="_Ref507165488"/>
      <w:r w:rsidRPr="00D920C9">
        <w:rPr>
          <w:rFonts w:asciiTheme="minorHAnsi" w:hAnsiTheme="minorHAnsi" w:cs="Cambria"/>
          <w:szCs w:val="20"/>
          <w:vertAlign w:val="superscript"/>
        </w:rPr>
        <w:footnoteReference w:id="65"/>
      </w:r>
      <w:bookmarkEnd w:id="38"/>
      <w:r w:rsidRPr="00D920C9">
        <w:rPr>
          <w:rFonts w:asciiTheme="minorHAnsi" w:hAnsiTheme="minorHAnsi" w:cs="Cambria"/>
          <w:szCs w:val="20"/>
        </w:rPr>
        <w:t xml:space="preserve"> </w:t>
      </w:r>
      <w:r w:rsidR="008250DC" w:rsidRPr="00D920C9">
        <w:rPr>
          <w:rFonts w:asciiTheme="minorHAnsi" w:hAnsiTheme="minorHAnsi" w:cs="Cambria"/>
          <w:szCs w:val="20"/>
        </w:rPr>
        <w:t xml:space="preserve">Slavery as a social and economic system depended on the total and brutal control </w:t>
      </w:r>
      <w:r w:rsidR="0046403F" w:rsidRPr="00D920C9">
        <w:rPr>
          <w:rFonts w:asciiTheme="minorHAnsi" w:hAnsiTheme="minorHAnsi" w:cs="Cambria"/>
          <w:szCs w:val="20"/>
        </w:rPr>
        <w:t>of</w:t>
      </w:r>
      <w:r w:rsidR="008250DC" w:rsidRPr="00D920C9">
        <w:rPr>
          <w:rFonts w:asciiTheme="minorHAnsi" w:hAnsiTheme="minorHAnsi" w:cs="Cambria"/>
          <w:szCs w:val="20"/>
        </w:rPr>
        <w:t xml:space="preserve"> </w:t>
      </w:r>
      <w:r w:rsidR="00445DD2" w:rsidRPr="00D920C9">
        <w:rPr>
          <w:rFonts w:asciiTheme="minorHAnsi" w:hAnsiTheme="minorHAnsi" w:cs="Cambria"/>
          <w:szCs w:val="20"/>
        </w:rPr>
        <w:t>black bodies and b</w:t>
      </w:r>
      <w:r w:rsidR="008250DC" w:rsidRPr="00D920C9">
        <w:rPr>
          <w:rFonts w:asciiTheme="minorHAnsi" w:hAnsiTheme="minorHAnsi" w:cs="Cambria"/>
          <w:szCs w:val="20"/>
        </w:rPr>
        <w:t>lack lives.</w:t>
      </w:r>
      <w:r w:rsidR="008250DC" w:rsidRPr="00D920C9">
        <w:rPr>
          <w:rStyle w:val="FootnoteReference"/>
          <w:rFonts w:asciiTheme="minorHAnsi" w:hAnsiTheme="minorHAnsi" w:cs="Cambria"/>
          <w:szCs w:val="20"/>
        </w:rPr>
        <w:footnoteReference w:id="66"/>
      </w:r>
      <w:r w:rsidR="008250DC" w:rsidRPr="00D920C9">
        <w:rPr>
          <w:rFonts w:asciiTheme="minorHAnsi" w:hAnsiTheme="minorHAnsi" w:cs="Cambria"/>
          <w:szCs w:val="20"/>
        </w:rPr>
        <w:t xml:space="preserve"> </w:t>
      </w:r>
      <w:r w:rsidRPr="00D920C9">
        <w:rPr>
          <w:rFonts w:asciiTheme="minorHAnsi" w:hAnsiTheme="minorHAnsi" w:cs="Cambria"/>
          <w:szCs w:val="20"/>
        </w:rPr>
        <w:t xml:space="preserve">Virginia, for example, enacted more than 130 slave statutes between 1689 </w:t>
      </w:r>
      <w:r w:rsidRPr="00D920C9">
        <w:rPr>
          <w:rFonts w:asciiTheme="minorHAnsi" w:hAnsiTheme="minorHAnsi" w:cs="Cambria"/>
          <w:szCs w:val="20"/>
        </w:rPr>
        <w:lastRenderedPageBreak/>
        <w:t>and 1865.</w:t>
      </w:r>
      <w:r w:rsidRPr="00D920C9">
        <w:rPr>
          <w:rFonts w:asciiTheme="minorHAnsi" w:hAnsiTheme="minorHAnsi" w:cs="Cambria"/>
          <w:szCs w:val="20"/>
          <w:vertAlign w:val="superscript"/>
        </w:rPr>
        <w:footnoteReference w:id="67"/>
      </w:r>
      <w:r w:rsidRPr="00D920C9">
        <w:rPr>
          <w:rFonts w:asciiTheme="minorHAnsi" w:hAnsiTheme="minorHAnsi" w:cs="Cambria"/>
          <w:szCs w:val="20"/>
        </w:rPr>
        <w:t xml:space="preserve"> This architecture amounted to “a legally sanctioned law enforcement system [...] for the express purpose of controlling the slave population and protecting the interests of slave owners.”</w:t>
      </w:r>
      <w:r w:rsidRPr="00D920C9">
        <w:rPr>
          <w:rFonts w:asciiTheme="minorHAnsi" w:hAnsiTheme="minorHAnsi" w:cs="Cambria"/>
          <w:szCs w:val="20"/>
          <w:vertAlign w:val="superscript"/>
        </w:rPr>
        <w:footnoteReference w:id="68"/>
      </w:r>
      <w:r w:rsidRPr="00D920C9">
        <w:rPr>
          <w:rFonts w:asciiTheme="minorHAnsi" w:hAnsiTheme="minorHAnsi" w:cs="Cambria"/>
          <w:szCs w:val="20"/>
        </w:rPr>
        <w:t xml:space="preserve"> The </w:t>
      </w:r>
      <w:r w:rsidR="00542BB7" w:rsidRPr="00D920C9">
        <w:rPr>
          <w:rFonts w:asciiTheme="minorHAnsi" w:hAnsiTheme="minorHAnsi" w:cs="Cambria"/>
          <w:szCs w:val="20"/>
        </w:rPr>
        <w:t>existence of such an extensive</w:t>
      </w:r>
      <w:r w:rsidRPr="00D920C9">
        <w:rPr>
          <w:rFonts w:asciiTheme="minorHAnsi" w:hAnsiTheme="minorHAnsi" w:cs="Cambria"/>
          <w:szCs w:val="20"/>
        </w:rPr>
        <w:t xml:space="preserve"> </w:t>
      </w:r>
      <w:r w:rsidR="00542BB7" w:rsidRPr="00D920C9">
        <w:rPr>
          <w:rFonts w:asciiTheme="minorHAnsi" w:hAnsiTheme="minorHAnsi" w:cs="Cambria"/>
          <w:szCs w:val="20"/>
        </w:rPr>
        <w:t>system</w:t>
      </w:r>
      <w:r w:rsidRPr="00D920C9">
        <w:rPr>
          <w:rFonts w:asciiTheme="minorHAnsi" w:hAnsiTheme="minorHAnsi" w:cs="Cambria"/>
          <w:szCs w:val="20"/>
        </w:rPr>
        <w:t xml:space="preserve"> is </w:t>
      </w:r>
      <w:r w:rsidR="00542BB7" w:rsidRPr="00D920C9">
        <w:rPr>
          <w:rFonts w:asciiTheme="minorHAnsi" w:hAnsiTheme="minorHAnsi" w:cs="Cambria"/>
          <w:szCs w:val="20"/>
        </w:rPr>
        <w:t>explained by the fact that</w:t>
      </w:r>
      <w:r w:rsidRPr="00D920C9">
        <w:rPr>
          <w:rFonts w:asciiTheme="minorHAnsi" w:hAnsiTheme="minorHAnsi" w:cs="Cambria"/>
          <w:szCs w:val="20"/>
        </w:rPr>
        <w:t xml:space="preserve"> </w:t>
      </w:r>
      <w:r w:rsidR="0046403F" w:rsidRPr="00D920C9">
        <w:rPr>
          <w:rFonts w:asciiTheme="minorHAnsi" w:hAnsiTheme="minorHAnsi" w:cs="Cambria"/>
          <w:szCs w:val="20"/>
        </w:rPr>
        <w:t>that s</w:t>
      </w:r>
      <w:r w:rsidRPr="00D920C9">
        <w:rPr>
          <w:rFonts w:asciiTheme="minorHAnsi" w:hAnsiTheme="minorHAnsi" w:cs="Cambria"/>
          <w:szCs w:val="20"/>
        </w:rPr>
        <w:t xml:space="preserve">lavery was </w:t>
      </w:r>
      <w:r w:rsidR="0046403F" w:rsidRPr="00D920C9">
        <w:rPr>
          <w:rFonts w:asciiTheme="minorHAnsi" w:hAnsiTheme="minorHAnsi" w:cs="Cambria"/>
          <w:szCs w:val="20"/>
        </w:rPr>
        <w:t xml:space="preserve">central </w:t>
      </w:r>
      <w:r w:rsidRPr="00D920C9">
        <w:rPr>
          <w:rFonts w:asciiTheme="minorHAnsi" w:hAnsiTheme="minorHAnsi" w:cs="Cambria"/>
          <w:szCs w:val="20"/>
        </w:rPr>
        <w:t>to U</w:t>
      </w:r>
      <w:r w:rsidR="00C45A79" w:rsidRPr="00D920C9">
        <w:rPr>
          <w:rFonts w:asciiTheme="minorHAnsi" w:hAnsiTheme="minorHAnsi" w:cs="Cambria"/>
          <w:szCs w:val="20"/>
        </w:rPr>
        <w:t>.</w:t>
      </w:r>
      <w:r w:rsidRPr="00D920C9">
        <w:rPr>
          <w:rFonts w:asciiTheme="minorHAnsi" w:hAnsiTheme="minorHAnsi" w:cs="Cambria"/>
          <w:szCs w:val="20"/>
        </w:rPr>
        <w:t>S</w:t>
      </w:r>
      <w:r w:rsidR="00C45A79" w:rsidRPr="00D920C9">
        <w:rPr>
          <w:rFonts w:asciiTheme="minorHAnsi" w:hAnsiTheme="minorHAnsi" w:cs="Cambria"/>
          <w:szCs w:val="20"/>
        </w:rPr>
        <w:t>.</w:t>
      </w:r>
      <w:r w:rsidRPr="00D920C9">
        <w:rPr>
          <w:rFonts w:asciiTheme="minorHAnsi" w:hAnsiTheme="minorHAnsi" w:cs="Cambria"/>
          <w:szCs w:val="20"/>
        </w:rPr>
        <w:t xml:space="preserve"> prosperity; by 1860, the four million slaves in the </w:t>
      </w:r>
      <w:r w:rsidR="00904A46" w:rsidRPr="00D920C9">
        <w:rPr>
          <w:rFonts w:asciiTheme="minorHAnsi" w:hAnsiTheme="minorHAnsi" w:cs="Cambria"/>
          <w:szCs w:val="20"/>
        </w:rPr>
        <w:t>U.S.</w:t>
      </w:r>
      <w:r w:rsidRPr="00D920C9">
        <w:rPr>
          <w:rFonts w:asciiTheme="minorHAnsi" w:hAnsiTheme="minorHAnsi" w:cs="Cambria"/>
          <w:szCs w:val="20"/>
        </w:rPr>
        <w:t xml:space="preserve"> were worth some US $3.5 billion, “making them the largest single financial asset in the entire U</w:t>
      </w:r>
      <w:r w:rsidR="00C45A79" w:rsidRPr="00D920C9">
        <w:rPr>
          <w:rFonts w:asciiTheme="minorHAnsi" w:hAnsiTheme="minorHAnsi" w:cs="Cambria"/>
          <w:szCs w:val="20"/>
        </w:rPr>
        <w:t>.</w:t>
      </w:r>
      <w:r w:rsidRPr="00D920C9">
        <w:rPr>
          <w:rFonts w:asciiTheme="minorHAnsi" w:hAnsiTheme="minorHAnsi" w:cs="Cambria"/>
          <w:szCs w:val="20"/>
        </w:rPr>
        <w:t>S</w:t>
      </w:r>
      <w:r w:rsidR="00C45A79" w:rsidRPr="00D920C9">
        <w:rPr>
          <w:rFonts w:asciiTheme="minorHAnsi" w:hAnsiTheme="minorHAnsi" w:cs="Cambria"/>
          <w:szCs w:val="20"/>
        </w:rPr>
        <w:t>.</w:t>
      </w:r>
      <w:r w:rsidRPr="00D920C9">
        <w:rPr>
          <w:rFonts w:asciiTheme="minorHAnsi" w:hAnsiTheme="minorHAnsi" w:cs="Cambria"/>
          <w:szCs w:val="20"/>
        </w:rPr>
        <w:t xml:space="preserve"> economy, worth more than all manufacturing and railroads combined.”</w:t>
      </w:r>
      <w:r w:rsidRPr="00D920C9">
        <w:rPr>
          <w:rStyle w:val="FootnoteReference"/>
          <w:rFonts w:asciiTheme="minorHAnsi" w:hAnsiTheme="minorHAnsi" w:cs="Cambria"/>
          <w:szCs w:val="20"/>
        </w:rPr>
        <w:footnoteReference w:id="69"/>
      </w:r>
    </w:p>
    <w:p w14:paraId="450F3E07" w14:textId="77777777" w:rsidR="00B4412C" w:rsidRPr="00D920C9" w:rsidRDefault="00CA5892" w:rsidP="002C64F8">
      <w:pPr>
        <w:pStyle w:val="ListParagraph"/>
        <w:numPr>
          <w:ilvl w:val="0"/>
          <w:numId w:val="9"/>
        </w:numPr>
        <w:spacing w:after="240" w:line="240" w:lineRule="auto"/>
        <w:ind w:left="547" w:hanging="547"/>
        <w:contextualSpacing w:val="0"/>
        <w:jc w:val="both"/>
        <w:rPr>
          <w:rFonts w:asciiTheme="minorHAnsi" w:hAnsiTheme="minorHAnsi"/>
          <w:szCs w:val="20"/>
        </w:rPr>
      </w:pPr>
      <w:r w:rsidRPr="00D920C9">
        <w:rPr>
          <w:rFonts w:asciiTheme="minorHAnsi" w:hAnsiTheme="minorHAnsi" w:cs="Cambria"/>
          <w:szCs w:val="20"/>
        </w:rPr>
        <w:t xml:space="preserve">The Civil War (1861-1865) claimed at least 600,000 lives and resulted in the end of the legal institution of slavery in the </w:t>
      </w:r>
      <w:r w:rsidR="00542BB7" w:rsidRPr="00D920C9">
        <w:rPr>
          <w:rFonts w:asciiTheme="minorHAnsi" w:hAnsiTheme="minorHAnsi" w:cs="Cambria"/>
          <w:szCs w:val="20"/>
        </w:rPr>
        <w:t>U.S</w:t>
      </w:r>
      <w:r w:rsidRPr="00D920C9">
        <w:rPr>
          <w:rFonts w:asciiTheme="minorHAnsi" w:hAnsiTheme="minorHAnsi" w:cs="Cambria"/>
          <w:szCs w:val="20"/>
        </w:rPr>
        <w:t>.</w:t>
      </w:r>
      <w:r w:rsidRPr="00D920C9">
        <w:rPr>
          <w:rStyle w:val="FootnoteReference"/>
          <w:rFonts w:asciiTheme="minorHAnsi" w:hAnsiTheme="minorHAnsi" w:cs="Cambria"/>
          <w:szCs w:val="20"/>
        </w:rPr>
        <w:footnoteReference w:id="70"/>
      </w:r>
      <w:r w:rsidRPr="00D920C9">
        <w:rPr>
          <w:rFonts w:asciiTheme="minorHAnsi" w:hAnsiTheme="minorHAnsi" w:cs="Cambria"/>
          <w:szCs w:val="20"/>
        </w:rPr>
        <w:t xml:space="preserve"> </w:t>
      </w:r>
      <w:r w:rsidR="00B4412C" w:rsidRPr="00D920C9">
        <w:rPr>
          <w:rFonts w:asciiTheme="minorHAnsi" w:hAnsiTheme="minorHAnsi" w:cs="Cambria"/>
          <w:szCs w:val="20"/>
        </w:rPr>
        <w:t xml:space="preserve">At the conclusion of the Civil War, the </w:t>
      </w:r>
      <w:r w:rsidR="00904A46" w:rsidRPr="00D920C9">
        <w:rPr>
          <w:rFonts w:asciiTheme="minorHAnsi" w:hAnsiTheme="minorHAnsi" w:cs="Cambria"/>
          <w:szCs w:val="20"/>
        </w:rPr>
        <w:t>U.S.</w:t>
      </w:r>
      <w:r w:rsidR="00B4412C" w:rsidRPr="00D920C9">
        <w:rPr>
          <w:rFonts w:asciiTheme="minorHAnsi" w:hAnsiTheme="minorHAnsi" w:cs="Cambria"/>
          <w:szCs w:val="20"/>
        </w:rPr>
        <w:t xml:space="preserve"> took steps to affirm and expand the Emancipation Proclamation of 1863, which had declared the emancipation of slaves in the Confederate states, by </w:t>
      </w:r>
      <w:r w:rsidR="00B4412C" w:rsidRPr="00D920C9">
        <w:rPr>
          <w:rFonts w:asciiTheme="minorHAnsi" w:hAnsiTheme="minorHAnsi"/>
          <w:szCs w:val="20"/>
        </w:rPr>
        <w:t xml:space="preserve">ending slavery throughout the </w:t>
      </w:r>
      <w:r w:rsidR="00904A46" w:rsidRPr="00D920C9">
        <w:rPr>
          <w:rFonts w:asciiTheme="minorHAnsi" w:hAnsiTheme="minorHAnsi"/>
          <w:szCs w:val="20"/>
        </w:rPr>
        <w:t>U.S.</w:t>
      </w:r>
      <w:r w:rsidR="00B4412C" w:rsidRPr="00D920C9">
        <w:rPr>
          <w:rFonts w:asciiTheme="minorHAnsi" w:hAnsiTheme="minorHAnsi"/>
          <w:szCs w:val="20"/>
        </w:rPr>
        <w:t xml:space="preserve"> and extending formal legal equality to African</w:t>
      </w:r>
      <w:r w:rsidR="0030356C" w:rsidRPr="00D920C9">
        <w:rPr>
          <w:rFonts w:asciiTheme="minorHAnsi" w:hAnsiTheme="minorHAnsi"/>
          <w:szCs w:val="20"/>
        </w:rPr>
        <w:t xml:space="preserve"> </w:t>
      </w:r>
      <w:r w:rsidR="00B4412C" w:rsidRPr="00D920C9">
        <w:rPr>
          <w:rFonts w:asciiTheme="minorHAnsi" w:hAnsiTheme="minorHAnsi"/>
          <w:szCs w:val="20"/>
        </w:rPr>
        <w:t>Americans through the passage and ratification of the Thirteenth, Fourteenth, and Fifteenth Amendments to the Constitution (the “Reconstruction amendments”).</w:t>
      </w:r>
      <w:r w:rsidR="00B4412C" w:rsidRPr="00D920C9">
        <w:rPr>
          <w:rFonts w:asciiTheme="minorHAnsi" w:hAnsiTheme="minorHAnsi"/>
          <w:vertAlign w:val="superscript"/>
        </w:rPr>
        <w:footnoteReference w:id="71"/>
      </w:r>
      <w:r w:rsidR="00B4412C" w:rsidRPr="00D920C9">
        <w:rPr>
          <w:rFonts w:asciiTheme="minorHAnsi" w:hAnsiTheme="minorHAnsi"/>
          <w:szCs w:val="20"/>
        </w:rPr>
        <w:t xml:space="preserve"> The Thirteenth Amendment prohibits slavery and involuntary servitude, except for those duly convicted of a crime. The Fourteenth Amendment granted citizenship to all persons born or naturalized in th</w:t>
      </w:r>
      <w:r w:rsidR="0046403F" w:rsidRPr="00D920C9">
        <w:rPr>
          <w:rFonts w:asciiTheme="minorHAnsi" w:hAnsiTheme="minorHAnsi"/>
          <w:szCs w:val="20"/>
        </w:rPr>
        <w:t xml:space="preserve">e </w:t>
      </w:r>
      <w:r w:rsidR="00C950E0" w:rsidRPr="00D920C9">
        <w:rPr>
          <w:rFonts w:asciiTheme="minorHAnsi" w:hAnsiTheme="minorHAnsi"/>
          <w:szCs w:val="20"/>
        </w:rPr>
        <w:t>U.S.</w:t>
      </w:r>
      <w:r w:rsidR="0046403F" w:rsidRPr="00D920C9">
        <w:rPr>
          <w:rFonts w:asciiTheme="minorHAnsi" w:hAnsiTheme="minorHAnsi"/>
          <w:szCs w:val="20"/>
        </w:rPr>
        <w:t xml:space="preserve">, </w:t>
      </w:r>
      <w:r w:rsidR="00B4412C" w:rsidRPr="00D920C9">
        <w:rPr>
          <w:rFonts w:asciiTheme="minorHAnsi" w:hAnsiTheme="minorHAnsi"/>
          <w:szCs w:val="20"/>
        </w:rPr>
        <w:t>proclaim</w:t>
      </w:r>
      <w:r w:rsidR="0046403F" w:rsidRPr="00D920C9">
        <w:rPr>
          <w:rFonts w:asciiTheme="minorHAnsi" w:hAnsiTheme="minorHAnsi"/>
          <w:szCs w:val="20"/>
        </w:rPr>
        <w:t>s</w:t>
      </w:r>
      <w:r w:rsidR="00B4412C" w:rsidRPr="00D920C9">
        <w:rPr>
          <w:rFonts w:asciiTheme="minorHAnsi" w:hAnsiTheme="minorHAnsi"/>
          <w:szCs w:val="20"/>
        </w:rPr>
        <w:t xml:space="preserve"> the right of all citizens to equal protection and due process of law, and </w:t>
      </w:r>
      <w:r w:rsidR="0046403F" w:rsidRPr="00D920C9">
        <w:rPr>
          <w:rFonts w:asciiTheme="minorHAnsi" w:hAnsiTheme="minorHAnsi"/>
          <w:szCs w:val="20"/>
        </w:rPr>
        <w:t>gives</w:t>
      </w:r>
      <w:r w:rsidR="00B4412C" w:rsidRPr="00D920C9">
        <w:rPr>
          <w:rFonts w:asciiTheme="minorHAnsi" w:hAnsiTheme="minorHAnsi"/>
          <w:szCs w:val="20"/>
        </w:rPr>
        <w:t xml:space="preserve"> the federal government certain enforcement powers vis a vis the states in this area.</w:t>
      </w:r>
      <w:r w:rsidR="00B4412C" w:rsidRPr="00D920C9">
        <w:rPr>
          <w:rFonts w:asciiTheme="minorHAnsi" w:hAnsiTheme="minorHAnsi"/>
          <w:szCs w:val="20"/>
          <w:vertAlign w:val="superscript"/>
        </w:rPr>
        <w:footnoteReference w:id="72"/>
      </w:r>
      <w:r w:rsidR="00B4412C" w:rsidRPr="00D920C9">
        <w:rPr>
          <w:rFonts w:asciiTheme="minorHAnsi" w:hAnsiTheme="minorHAnsi"/>
          <w:szCs w:val="20"/>
        </w:rPr>
        <w:t xml:space="preserve"> The Fifteenth Amendment prohibits denial of the right to vote on the basis of race or former condition of servitude. </w:t>
      </w:r>
    </w:p>
    <w:p w14:paraId="74CB6E07" w14:textId="77777777" w:rsidR="00B4412C" w:rsidRPr="00D920C9" w:rsidRDefault="00B4412C" w:rsidP="002C64F8">
      <w:pPr>
        <w:pStyle w:val="ListParagraph"/>
        <w:numPr>
          <w:ilvl w:val="0"/>
          <w:numId w:val="9"/>
        </w:numPr>
        <w:spacing w:after="240" w:line="240" w:lineRule="auto"/>
        <w:ind w:left="547" w:hanging="547"/>
        <w:contextualSpacing w:val="0"/>
        <w:jc w:val="both"/>
        <w:rPr>
          <w:rFonts w:asciiTheme="minorHAnsi" w:hAnsiTheme="minorHAnsi" w:cs="Cambria"/>
          <w:szCs w:val="20"/>
        </w:rPr>
      </w:pPr>
      <w:r w:rsidRPr="00D920C9">
        <w:rPr>
          <w:rFonts w:asciiTheme="minorHAnsi" w:hAnsiTheme="minorHAnsi"/>
          <w:szCs w:val="20"/>
        </w:rPr>
        <w:t>These amendments, along with early civil rights legislation during the Reconstruction period (1865-1877)</w:t>
      </w:r>
      <w:r w:rsidR="00416B45" w:rsidRPr="00D920C9">
        <w:rPr>
          <w:rFonts w:asciiTheme="minorHAnsi" w:hAnsiTheme="minorHAnsi"/>
          <w:szCs w:val="20"/>
        </w:rPr>
        <w:t>, including the Civil Rights Act of 1866 and the Freedmen’s Bureau Act,</w:t>
      </w:r>
      <w:r w:rsidRPr="00D920C9">
        <w:rPr>
          <w:rFonts w:asciiTheme="minorHAnsi" w:hAnsiTheme="minorHAnsi"/>
          <w:szCs w:val="20"/>
        </w:rPr>
        <w:t xml:space="preserve"> promised citizenship, liberty, and</w:t>
      </w:r>
      <w:r w:rsidRPr="00D920C9">
        <w:rPr>
          <w:rFonts w:asciiTheme="minorHAnsi" w:hAnsiTheme="minorHAnsi" w:cs="Cambria"/>
          <w:szCs w:val="20"/>
        </w:rPr>
        <w:t xml:space="preserve"> formal legal equality to African</w:t>
      </w:r>
      <w:r w:rsidR="0030356C" w:rsidRPr="00D920C9">
        <w:rPr>
          <w:rFonts w:asciiTheme="minorHAnsi" w:hAnsiTheme="minorHAnsi" w:cs="Cambria"/>
          <w:szCs w:val="20"/>
        </w:rPr>
        <w:t xml:space="preserve"> </w:t>
      </w:r>
      <w:r w:rsidRPr="00D920C9">
        <w:rPr>
          <w:rFonts w:asciiTheme="minorHAnsi" w:hAnsiTheme="minorHAnsi" w:cs="Cambria"/>
          <w:szCs w:val="20"/>
        </w:rPr>
        <w:t xml:space="preserve">Americans, and the early Reconstruction period in </w:t>
      </w:r>
      <w:r w:rsidRPr="00D920C9">
        <w:rPr>
          <w:rFonts w:asciiTheme="minorHAnsi" w:hAnsiTheme="minorHAnsi" w:cs="Cambria"/>
          <w:szCs w:val="20"/>
        </w:rPr>
        <w:lastRenderedPageBreak/>
        <w:t>fact saw significant advances in African</w:t>
      </w:r>
      <w:r w:rsidR="0030356C" w:rsidRPr="00D920C9">
        <w:rPr>
          <w:rFonts w:asciiTheme="minorHAnsi" w:hAnsiTheme="minorHAnsi" w:cs="Cambria"/>
          <w:szCs w:val="20"/>
        </w:rPr>
        <w:t xml:space="preserve"> </w:t>
      </w:r>
      <w:r w:rsidRPr="00D920C9">
        <w:rPr>
          <w:rFonts w:asciiTheme="minorHAnsi" w:hAnsiTheme="minorHAnsi" w:cs="Cambria"/>
          <w:szCs w:val="20"/>
        </w:rPr>
        <w:t>American political participation.</w:t>
      </w:r>
      <w:r w:rsidRPr="00D920C9">
        <w:rPr>
          <w:rFonts w:asciiTheme="minorHAnsi" w:hAnsiTheme="minorHAnsi" w:cs="Cambria"/>
          <w:szCs w:val="20"/>
          <w:vertAlign w:val="superscript"/>
        </w:rPr>
        <w:footnoteReference w:id="73"/>
      </w:r>
      <w:r w:rsidRPr="00D920C9">
        <w:rPr>
          <w:rFonts w:asciiTheme="minorHAnsi" w:hAnsiTheme="minorHAnsi" w:cs="Cambria"/>
          <w:szCs w:val="20"/>
        </w:rPr>
        <w:t xml:space="preserve"> </w:t>
      </w:r>
      <w:r w:rsidRPr="00D920C9">
        <w:rPr>
          <w:rFonts w:asciiTheme="minorHAnsi" w:hAnsiTheme="minorHAnsi"/>
          <w:szCs w:val="20"/>
        </w:rPr>
        <w:t xml:space="preserve">In the South, Black men for the first time </w:t>
      </w:r>
      <w:r w:rsidR="00B83842" w:rsidRPr="00D920C9">
        <w:rPr>
          <w:rFonts w:asciiTheme="minorHAnsi" w:hAnsiTheme="minorHAnsi"/>
          <w:szCs w:val="20"/>
        </w:rPr>
        <w:t>enjoyed</w:t>
      </w:r>
      <w:r w:rsidRPr="00D920C9">
        <w:rPr>
          <w:rFonts w:asciiTheme="minorHAnsi" w:hAnsiTheme="minorHAnsi"/>
          <w:szCs w:val="20"/>
        </w:rPr>
        <w:t xml:space="preserve"> the right to vote and hold office.</w:t>
      </w:r>
      <w:r w:rsidRPr="00D920C9">
        <w:rPr>
          <w:rFonts w:asciiTheme="minorHAnsi" w:hAnsiTheme="minorHAnsi"/>
          <w:szCs w:val="20"/>
          <w:vertAlign w:val="superscript"/>
        </w:rPr>
        <w:footnoteReference w:id="74"/>
      </w:r>
      <w:r w:rsidRPr="00D920C9">
        <w:rPr>
          <w:rFonts w:asciiTheme="minorHAnsi" w:hAnsiTheme="minorHAnsi"/>
          <w:szCs w:val="20"/>
        </w:rPr>
        <w:t xml:space="preserve"> The Reconstruction governments of the Sou</w:t>
      </w:r>
      <w:r w:rsidR="00B83842" w:rsidRPr="00D920C9">
        <w:rPr>
          <w:rFonts w:asciiTheme="minorHAnsi" w:hAnsiTheme="minorHAnsi"/>
          <w:szCs w:val="20"/>
        </w:rPr>
        <w:t>th made important state-level changes</w:t>
      </w:r>
      <w:r w:rsidRPr="00D920C9">
        <w:rPr>
          <w:rFonts w:asciiTheme="minorHAnsi" w:hAnsiTheme="minorHAnsi"/>
          <w:szCs w:val="20"/>
        </w:rPr>
        <w:t>, repealing discriminatory laws, rewriting vagrancy statutes, outlawing corporal punishment, and reducing the number of capital offenses.</w:t>
      </w:r>
      <w:r w:rsidRPr="00D920C9">
        <w:rPr>
          <w:rStyle w:val="FootnoteReference"/>
          <w:rFonts w:asciiTheme="minorHAnsi" w:hAnsiTheme="minorHAnsi"/>
          <w:szCs w:val="20"/>
        </w:rPr>
        <w:footnoteReference w:id="75"/>
      </w:r>
      <w:r w:rsidRPr="00D920C9">
        <w:rPr>
          <w:rFonts w:asciiTheme="minorHAnsi" w:hAnsiTheme="minorHAnsi"/>
          <w:szCs w:val="20"/>
        </w:rPr>
        <w:t xml:space="preserve"> However, these sea changes quickly provoked white supremacist backlash</w:t>
      </w:r>
      <w:r w:rsidR="00DE49F4" w:rsidRPr="00D920C9">
        <w:rPr>
          <w:rFonts w:asciiTheme="minorHAnsi" w:hAnsiTheme="minorHAnsi"/>
          <w:szCs w:val="20"/>
        </w:rPr>
        <w:t>, with a</w:t>
      </w:r>
      <w:r w:rsidRPr="00D920C9">
        <w:rPr>
          <w:rFonts w:asciiTheme="minorHAnsi" w:hAnsiTheme="minorHAnsi"/>
          <w:szCs w:val="20"/>
        </w:rPr>
        <w:t xml:space="preserve"> “wave of counter</w:t>
      </w:r>
      <w:r w:rsidR="00DE49F4" w:rsidRPr="00D920C9">
        <w:rPr>
          <w:rFonts w:asciiTheme="minorHAnsi" w:hAnsiTheme="minorHAnsi"/>
          <w:szCs w:val="20"/>
        </w:rPr>
        <w:t>-</w:t>
      </w:r>
      <w:r w:rsidRPr="00D920C9">
        <w:rPr>
          <w:rFonts w:asciiTheme="minorHAnsi" w:hAnsiTheme="minorHAnsi"/>
          <w:szCs w:val="20"/>
        </w:rPr>
        <w:t xml:space="preserve">revolutionary terror that swept over large parts of </w:t>
      </w:r>
      <w:r w:rsidR="00542BB7" w:rsidRPr="00D920C9">
        <w:rPr>
          <w:rFonts w:asciiTheme="minorHAnsi" w:hAnsiTheme="minorHAnsi"/>
          <w:szCs w:val="20"/>
        </w:rPr>
        <w:t>the South between 1868 and 1871</w:t>
      </w:r>
      <w:r w:rsidR="00DE49F4" w:rsidRPr="00D920C9">
        <w:rPr>
          <w:rFonts w:asciiTheme="minorHAnsi" w:hAnsiTheme="minorHAnsi"/>
          <w:szCs w:val="20"/>
        </w:rPr>
        <w:t xml:space="preserve"> </w:t>
      </w:r>
      <w:r w:rsidRPr="00D920C9">
        <w:rPr>
          <w:rFonts w:asciiTheme="minorHAnsi" w:hAnsiTheme="minorHAnsi"/>
          <w:szCs w:val="20"/>
        </w:rPr>
        <w:t>lack</w:t>
      </w:r>
      <w:r w:rsidR="00542BB7" w:rsidRPr="00D920C9">
        <w:rPr>
          <w:rFonts w:asciiTheme="minorHAnsi" w:hAnsiTheme="minorHAnsi"/>
          <w:szCs w:val="20"/>
        </w:rPr>
        <w:t>[</w:t>
      </w:r>
      <w:proofErr w:type="spellStart"/>
      <w:r w:rsidR="00542BB7" w:rsidRPr="00D920C9">
        <w:rPr>
          <w:rFonts w:asciiTheme="minorHAnsi" w:hAnsiTheme="minorHAnsi"/>
          <w:szCs w:val="20"/>
        </w:rPr>
        <w:t>ing</w:t>
      </w:r>
      <w:proofErr w:type="spellEnd"/>
      <w:r w:rsidR="00542BB7" w:rsidRPr="00D920C9">
        <w:rPr>
          <w:rFonts w:asciiTheme="minorHAnsi" w:hAnsiTheme="minorHAnsi"/>
          <w:szCs w:val="20"/>
        </w:rPr>
        <w:t>]</w:t>
      </w:r>
      <w:r w:rsidRPr="00D920C9">
        <w:rPr>
          <w:rFonts w:asciiTheme="minorHAnsi" w:hAnsiTheme="minorHAnsi"/>
          <w:szCs w:val="20"/>
        </w:rPr>
        <w:t xml:space="preserve"> a counterpart either in the American experience or in that of the other Western Hemisphere societies that abolished slavery in the nineteenth century.”</w:t>
      </w:r>
      <w:r w:rsidRPr="00D920C9">
        <w:rPr>
          <w:rStyle w:val="FootnoteReference"/>
          <w:rFonts w:asciiTheme="minorHAnsi" w:hAnsiTheme="minorHAnsi"/>
          <w:szCs w:val="20"/>
        </w:rPr>
        <w:footnoteReference w:id="76"/>
      </w:r>
      <w:r w:rsidR="00CA5892" w:rsidRPr="00D920C9">
        <w:rPr>
          <w:rFonts w:asciiTheme="minorHAnsi" w:hAnsiTheme="minorHAnsi"/>
          <w:szCs w:val="20"/>
        </w:rPr>
        <w:t xml:space="preserve"> </w:t>
      </w:r>
      <w:r w:rsidR="00AA7C27" w:rsidRPr="00D920C9">
        <w:rPr>
          <w:rFonts w:asciiTheme="minorHAnsi" w:hAnsiTheme="minorHAnsi" w:cs="Cambria"/>
          <w:szCs w:val="20"/>
        </w:rPr>
        <w:t xml:space="preserve">The political will to </w:t>
      </w:r>
      <w:r w:rsidR="00DE49F4" w:rsidRPr="00D920C9">
        <w:rPr>
          <w:rFonts w:asciiTheme="minorHAnsi" w:hAnsiTheme="minorHAnsi" w:cs="Cambria"/>
          <w:szCs w:val="20"/>
        </w:rPr>
        <w:t>continue</w:t>
      </w:r>
      <w:r w:rsidR="00AA7C27" w:rsidRPr="00D920C9">
        <w:rPr>
          <w:rFonts w:asciiTheme="minorHAnsi" w:hAnsiTheme="minorHAnsi" w:cs="Cambria"/>
          <w:szCs w:val="20"/>
        </w:rPr>
        <w:t xml:space="preserve"> Reconstruction </w:t>
      </w:r>
      <w:r w:rsidR="0046403F" w:rsidRPr="00D920C9">
        <w:rPr>
          <w:rFonts w:asciiTheme="minorHAnsi" w:hAnsiTheme="minorHAnsi" w:cs="Cambria"/>
          <w:szCs w:val="20"/>
        </w:rPr>
        <w:t xml:space="preserve">and defend the civil and political rights of African Americans </w:t>
      </w:r>
      <w:r w:rsidR="00AA7C27" w:rsidRPr="00D920C9">
        <w:rPr>
          <w:rFonts w:asciiTheme="minorHAnsi" w:hAnsiTheme="minorHAnsi" w:cs="Cambria"/>
          <w:szCs w:val="20"/>
        </w:rPr>
        <w:t>faltered in the face of continuing violence and resistance to Republican governments in the South</w:t>
      </w:r>
      <w:r w:rsidR="00CA5892" w:rsidRPr="00D920C9">
        <w:rPr>
          <w:rFonts w:asciiTheme="minorHAnsi" w:hAnsiTheme="minorHAnsi"/>
          <w:szCs w:val="20"/>
        </w:rPr>
        <w:t>, exemplified by the Colfax Massacre of 1873</w:t>
      </w:r>
      <w:r w:rsidR="00AA7C27" w:rsidRPr="00D920C9">
        <w:rPr>
          <w:rFonts w:asciiTheme="minorHAnsi" w:hAnsiTheme="minorHAnsi"/>
          <w:szCs w:val="20"/>
        </w:rPr>
        <w:t>.</w:t>
      </w:r>
      <w:r w:rsidR="00AA7C27" w:rsidRPr="00D920C9">
        <w:rPr>
          <w:rStyle w:val="FootnoteReference"/>
          <w:rFonts w:asciiTheme="minorHAnsi" w:hAnsiTheme="minorHAnsi"/>
          <w:szCs w:val="20"/>
        </w:rPr>
        <w:footnoteReference w:id="77"/>
      </w:r>
      <w:r w:rsidR="00CA5892" w:rsidRPr="00D920C9">
        <w:rPr>
          <w:rFonts w:asciiTheme="minorHAnsi" w:hAnsiTheme="minorHAnsi"/>
          <w:szCs w:val="20"/>
        </w:rPr>
        <w:t xml:space="preserve"> </w:t>
      </w:r>
    </w:p>
    <w:p w14:paraId="3B48FA6E" w14:textId="77777777" w:rsidR="00B4412C" w:rsidRPr="00D920C9" w:rsidRDefault="00B4412C" w:rsidP="002C64F8">
      <w:pPr>
        <w:pStyle w:val="ListParagraph"/>
        <w:numPr>
          <w:ilvl w:val="0"/>
          <w:numId w:val="9"/>
        </w:numPr>
        <w:spacing w:after="240" w:line="240" w:lineRule="auto"/>
        <w:ind w:left="547" w:hanging="547"/>
        <w:contextualSpacing w:val="0"/>
        <w:jc w:val="both"/>
        <w:rPr>
          <w:rFonts w:asciiTheme="minorHAnsi" w:hAnsiTheme="minorHAnsi"/>
          <w:szCs w:val="20"/>
        </w:rPr>
      </w:pPr>
      <w:bookmarkStart w:id="39" w:name="_Ref507082453"/>
      <w:r w:rsidRPr="00D920C9">
        <w:rPr>
          <w:rFonts w:asciiTheme="minorHAnsi" w:hAnsiTheme="minorHAnsi" w:cs="Cambria"/>
          <w:szCs w:val="20"/>
        </w:rPr>
        <w:t xml:space="preserve">Reconstruction ended in 1877 with a political compromise to ensure a Republican presidency in exchange for the withdrawal of federal troops from the South. </w:t>
      </w:r>
      <w:r w:rsidR="00AA7C27" w:rsidRPr="00D920C9">
        <w:rPr>
          <w:rFonts w:asciiTheme="minorHAnsi" w:hAnsiTheme="minorHAnsi" w:cs="Cambria"/>
          <w:szCs w:val="20"/>
        </w:rPr>
        <w:t>During this period and s</w:t>
      </w:r>
      <w:r w:rsidRPr="00D920C9">
        <w:rPr>
          <w:rFonts w:asciiTheme="minorHAnsi" w:hAnsiTheme="minorHAnsi" w:cs="Cambria"/>
          <w:szCs w:val="20"/>
        </w:rPr>
        <w:t xml:space="preserve">oon thereafter, a series of Supreme </w:t>
      </w:r>
      <w:r w:rsidRPr="00D920C9">
        <w:rPr>
          <w:rFonts w:asciiTheme="minorHAnsi" w:hAnsiTheme="minorHAnsi"/>
          <w:szCs w:val="20"/>
        </w:rPr>
        <w:t>Court decisions effectively undid or left toothless key guarantees contained in the Reconstruction amendments. These included Plessy v. Ferguson</w:t>
      </w:r>
      <w:r w:rsidRPr="00D920C9">
        <w:rPr>
          <w:rFonts w:asciiTheme="minorHAnsi" w:hAnsiTheme="minorHAnsi"/>
          <w:szCs w:val="20"/>
          <w:vertAlign w:val="superscript"/>
        </w:rPr>
        <w:footnoteReference w:id="78"/>
      </w:r>
      <w:r w:rsidRPr="00D920C9">
        <w:rPr>
          <w:rFonts w:asciiTheme="minorHAnsi" w:hAnsiTheme="minorHAnsi"/>
          <w:szCs w:val="20"/>
        </w:rPr>
        <w:t xml:space="preserve"> (which blessed the “separate but equal” doctrine and permitted states to mandate the racial segregation of public spaces), Giles v. Harris</w:t>
      </w:r>
      <w:r w:rsidRPr="00D920C9">
        <w:rPr>
          <w:rFonts w:asciiTheme="minorHAnsi" w:hAnsiTheme="minorHAnsi"/>
          <w:vertAlign w:val="superscript"/>
        </w:rPr>
        <w:footnoteReference w:id="79"/>
      </w:r>
      <w:r w:rsidRPr="00D920C9">
        <w:rPr>
          <w:rFonts w:asciiTheme="minorHAnsi" w:hAnsiTheme="minorHAnsi"/>
          <w:szCs w:val="20"/>
        </w:rPr>
        <w:t xml:space="preserve"> (which led to the mass disenfranchisement of Black voters across the south), and </w:t>
      </w:r>
      <w:r w:rsidRPr="00D920C9">
        <w:rPr>
          <w:rFonts w:asciiTheme="minorHAnsi" w:hAnsiTheme="minorHAnsi"/>
          <w:szCs w:val="20"/>
        </w:rPr>
        <w:lastRenderedPageBreak/>
        <w:t>the Slaughter-house Cases, U</w:t>
      </w:r>
      <w:r w:rsidR="00C45A79" w:rsidRPr="00D920C9">
        <w:rPr>
          <w:rFonts w:asciiTheme="minorHAnsi" w:hAnsiTheme="minorHAnsi"/>
          <w:szCs w:val="20"/>
        </w:rPr>
        <w:t>.</w:t>
      </w:r>
      <w:r w:rsidRPr="00D920C9">
        <w:rPr>
          <w:rFonts w:asciiTheme="minorHAnsi" w:hAnsiTheme="minorHAnsi"/>
          <w:szCs w:val="20"/>
        </w:rPr>
        <w:t>S</w:t>
      </w:r>
      <w:r w:rsidR="00C45A79" w:rsidRPr="00D920C9">
        <w:rPr>
          <w:rFonts w:asciiTheme="minorHAnsi" w:hAnsiTheme="minorHAnsi"/>
          <w:szCs w:val="20"/>
        </w:rPr>
        <w:t>.</w:t>
      </w:r>
      <w:r w:rsidRPr="00D920C9">
        <w:rPr>
          <w:rFonts w:asciiTheme="minorHAnsi" w:hAnsiTheme="minorHAnsi"/>
          <w:szCs w:val="20"/>
        </w:rPr>
        <w:t xml:space="preserve"> v. Cruikshank, and the Civil Rights Cases</w:t>
      </w:r>
      <w:r w:rsidRPr="00D920C9">
        <w:rPr>
          <w:rFonts w:asciiTheme="minorHAnsi" w:hAnsiTheme="minorHAnsi"/>
          <w:vertAlign w:val="superscript"/>
        </w:rPr>
        <w:footnoteReference w:id="80"/>
      </w:r>
      <w:r w:rsidRPr="00D920C9">
        <w:rPr>
          <w:rFonts w:asciiTheme="minorHAnsi" w:hAnsiTheme="minorHAnsi"/>
          <w:szCs w:val="20"/>
        </w:rPr>
        <w:t xml:space="preserve"> (which </w:t>
      </w:r>
      <w:r w:rsidR="0046403F" w:rsidRPr="00D920C9">
        <w:rPr>
          <w:rFonts w:asciiTheme="minorHAnsi" w:hAnsiTheme="minorHAnsi"/>
          <w:szCs w:val="20"/>
        </w:rPr>
        <w:t xml:space="preserve">together </w:t>
      </w:r>
      <w:r w:rsidRPr="00D920C9">
        <w:rPr>
          <w:rFonts w:asciiTheme="minorHAnsi" w:hAnsiTheme="minorHAnsi"/>
          <w:szCs w:val="20"/>
        </w:rPr>
        <w:t>gave an extremely restrictive reading to the “Privileges and Immunities” clause of the Fourteenth Amendment and established the “state action” doctrine, which holds that the federal government cannot intervene to redress violations of rights by private actors).</w:t>
      </w:r>
      <w:r w:rsidRPr="00D920C9">
        <w:rPr>
          <w:rFonts w:asciiTheme="minorHAnsi" w:hAnsiTheme="minorHAnsi"/>
          <w:vertAlign w:val="superscript"/>
        </w:rPr>
        <w:footnoteReference w:id="81"/>
      </w:r>
      <w:r w:rsidRPr="00D920C9">
        <w:rPr>
          <w:rFonts w:asciiTheme="minorHAnsi" w:hAnsiTheme="minorHAnsi"/>
          <w:szCs w:val="20"/>
        </w:rPr>
        <w:t xml:space="preserve"> Thus stripped of federal protections of their civil rights, Mississippi Governor </w:t>
      </w:r>
      <w:proofErr w:type="spellStart"/>
      <w:r w:rsidRPr="00D920C9">
        <w:rPr>
          <w:rFonts w:asciiTheme="minorHAnsi" w:hAnsiTheme="minorHAnsi"/>
          <w:szCs w:val="20"/>
        </w:rPr>
        <w:t>Adelbert</w:t>
      </w:r>
      <w:proofErr w:type="spellEnd"/>
      <w:r w:rsidRPr="00D920C9">
        <w:rPr>
          <w:rFonts w:asciiTheme="minorHAnsi" w:hAnsiTheme="minorHAnsi"/>
          <w:szCs w:val="20"/>
        </w:rPr>
        <w:t xml:space="preserve"> Ames predicted, “[Blacks] are to be returned t</w:t>
      </w:r>
      <w:r w:rsidR="00416B45" w:rsidRPr="00D920C9">
        <w:rPr>
          <w:rFonts w:asciiTheme="minorHAnsi" w:hAnsiTheme="minorHAnsi"/>
          <w:szCs w:val="20"/>
        </w:rPr>
        <w:t>o a condition of serfdom [...</w:t>
      </w:r>
      <w:r w:rsidRPr="00D920C9">
        <w:rPr>
          <w:rFonts w:asciiTheme="minorHAnsi" w:hAnsiTheme="minorHAnsi"/>
          <w:szCs w:val="20"/>
        </w:rPr>
        <w:t xml:space="preserve">] </w:t>
      </w:r>
      <w:proofErr w:type="gramStart"/>
      <w:r w:rsidRPr="00D920C9">
        <w:rPr>
          <w:rFonts w:asciiTheme="minorHAnsi" w:hAnsiTheme="minorHAnsi"/>
          <w:szCs w:val="20"/>
        </w:rPr>
        <w:t>An</w:t>
      </w:r>
      <w:proofErr w:type="gramEnd"/>
      <w:r w:rsidRPr="00D920C9">
        <w:rPr>
          <w:rFonts w:asciiTheme="minorHAnsi" w:hAnsiTheme="minorHAnsi"/>
          <w:szCs w:val="20"/>
        </w:rPr>
        <w:t xml:space="preserve"> era of second slavery.”</w:t>
      </w:r>
      <w:r w:rsidRPr="00D920C9">
        <w:rPr>
          <w:rFonts w:asciiTheme="minorHAnsi" w:hAnsiTheme="minorHAnsi"/>
          <w:vertAlign w:val="superscript"/>
        </w:rPr>
        <w:footnoteReference w:id="82"/>
      </w:r>
      <w:bookmarkEnd w:id="39"/>
    </w:p>
    <w:p w14:paraId="79BC1969" w14:textId="77777777" w:rsidR="00AA7C27" w:rsidRPr="00D920C9" w:rsidRDefault="00040379" w:rsidP="002C64F8">
      <w:pPr>
        <w:pStyle w:val="ListParagraph"/>
        <w:numPr>
          <w:ilvl w:val="0"/>
          <w:numId w:val="9"/>
        </w:numPr>
        <w:spacing w:after="240" w:line="240" w:lineRule="auto"/>
        <w:ind w:left="547" w:hanging="547"/>
        <w:contextualSpacing w:val="0"/>
        <w:jc w:val="both"/>
        <w:rPr>
          <w:rFonts w:asciiTheme="minorHAnsi" w:hAnsiTheme="minorHAnsi"/>
          <w:szCs w:val="20"/>
        </w:rPr>
      </w:pPr>
      <w:r w:rsidRPr="00D920C9">
        <w:rPr>
          <w:rFonts w:asciiTheme="minorHAnsi" w:hAnsiTheme="minorHAnsi"/>
          <w:szCs w:val="20"/>
        </w:rPr>
        <w:t>A</w:t>
      </w:r>
      <w:r w:rsidR="00AA7C27" w:rsidRPr="00D920C9">
        <w:rPr>
          <w:rFonts w:asciiTheme="minorHAnsi" w:hAnsiTheme="minorHAnsi"/>
          <w:szCs w:val="20"/>
        </w:rPr>
        <w:t>s early as 1866, Southern states began passing discriminatory criminal laws or “black codes,” which created new</w:t>
      </w:r>
      <w:r w:rsidR="00416B45" w:rsidRPr="00D920C9">
        <w:rPr>
          <w:rFonts w:asciiTheme="minorHAnsi" w:hAnsiTheme="minorHAnsi"/>
          <w:szCs w:val="20"/>
        </w:rPr>
        <w:t>, vague, and unequally applied</w:t>
      </w:r>
      <w:r w:rsidR="00AA7C27" w:rsidRPr="00D920C9">
        <w:rPr>
          <w:rFonts w:asciiTheme="minorHAnsi" w:hAnsiTheme="minorHAnsi"/>
          <w:szCs w:val="20"/>
        </w:rPr>
        <w:t xml:space="preserve"> criminal offenses like “vagrancy” and “loitering.” These laws </w:t>
      </w:r>
      <w:r w:rsidR="001F753A" w:rsidRPr="00D920C9">
        <w:rPr>
          <w:rFonts w:asciiTheme="minorHAnsi" w:hAnsiTheme="minorHAnsi"/>
          <w:szCs w:val="20"/>
        </w:rPr>
        <w:t>enabled</w:t>
      </w:r>
      <w:r w:rsidR="00AA7C27" w:rsidRPr="00D920C9">
        <w:rPr>
          <w:rFonts w:asciiTheme="minorHAnsi" w:hAnsiTheme="minorHAnsi"/>
          <w:szCs w:val="20"/>
        </w:rPr>
        <w:t xml:space="preserve"> the mass arrest and incarceration of African</w:t>
      </w:r>
      <w:r w:rsidR="0030356C" w:rsidRPr="00D920C9">
        <w:rPr>
          <w:rFonts w:asciiTheme="minorHAnsi" w:hAnsiTheme="minorHAnsi"/>
          <w:szCs w:val="20"/>
        </w:rPr>
        <w:t xml:space="preserve"> </w:t>
      </w:r>
      <w:r w:rsidR="00AA7C27" w:rsidRPr="00D920C9">
        <w:rPr>
          <w:rFonts w:asciiTheme="minorHAnsi" w:hAnsiTheme="minorHAnsi"/>
          <w:szCs w:val="20"/>
        </w:rPr>
        <w:t xml:space="preserve">Americans; then, relying on the language of the Thirteenth Amendment that prohibits slavery and involuntary servitude “except for those duly convicted of a crime,” legislators </w:t>
      </w:r>
      <w:r w:rsidR="00916775" w:rsidRPr="00D920C9">
        <w:rPr>
          <w:rFonts w:asciiTheme="minorHAnsi" w:hAnsiTheme="minorHAnsi"/>
          <w:szCs w:val="20"/>
        </w:rPr>
        <w:t>created</w:t>
      </w:r>
      <w:r w:rsidR="00AA7C27" w:rsidRPr="00D920C9">
        <w:rPr>
          <w:rFonts w:asciiTheme="minorHAnsi" w:hAnsiTheme="minorHAnsi"/>
          <w:szCs w:val="20"/>
        </w:rPr>
        <w:t xml:space="preserve"> system</w:t>
      </w:r>
      <w:r w:rsidR="00916775" w:rsidRPr="00D920C9">
        <w:rPr>
          <w:rFonts w:asciiTheme="minorHAnsi" w:hAnsiTheme="minorHAnsi"/>
          <w:szCs w:val="20"/>
        </w:rPr>
        <w:t>s</w:t>
      </w:r>
      <w:r w:rsidR="00AA7C27" w:rsidRPr="00D920C9">
        <w:rPr>
          <w:rFonts w:asciiTheme="minorHAnsi" w:hAnsiTheme="minorHAnsi"/>
          <w:szCs w:val="20"/>
        </w:rPr>
        <w:t xml:space="preserve"> of “convict leasing”</w:t>
      </w:r>
      <w:r w:rsidR="0046403F" w:rsidRPr="00D920C9">
        <w:rPr>
          <w:rFonts w:asciiTheme="minorHAnsi" w:hAnsiTheme="minorHAnsi"/>
          <w:szCs w:val="20"/>
        </w:rPr>
        <w:t xml:space="preserve"> to “lease” prisoners to private companies to labor for them,</w:t>
      </w:r>
      <w:r w:rsidR="00AA7C27" w:rsidRPr="00D920C9">
        <w:rPr>
          <w:rFonts w:asciiTheme="minorHAnsi" w:hAnsiTheme="minorHAnsi"/>
          <w:szCs w:val="20"/>
        </w:rPr>
        <w:t xml:space="preserve"> or </w:t>
      </w:r>
      <w:r w:rsidR="00916775" w:rsidRPr="00D920C9">
        <w:rPr>
          <w:rFonts w:asciiTheme="minorHAnsi" w:hAnsiTheme="minorHAnsi"/>
          <w:szCs w:val="20"/>
        </w:rPr>
        <w:t>required prisoners to work on</w:t>
      </w:r>
      <w:r w:rsidR="00AA7C27" w:rsidRPr="00D920C9">
        <w:rPr>
          <w:rFonts w:asciiTheme="minorHAnsi" w:hAnsiTheme="minorHAnsi"/>
          <w:szCs w:val="20"/>
        </w:rPr>
        <w:t xml:space="preserve"> state-owned farms.</w:t>
      </w:r>
      <w:r w:rsidR="00AA7C27" w:rsidRPr="00D920C9">
        <w:rPr>
          <w:rFonts w:asciiTheme="minorHAnsi" w:hAnsiTheme="minorHAnsi"/>
          <w:vertAlign w:val="superscript"/>
        </w:rPr>
        <w:footnoteReference w:id="83"/>
      </w:r>
      <w:r w:rsidR="00AA7C27" w:rsidRPr="00D920C9">
        <w:rPr>
          <w:rFonts w:asciiTheme="minorHAnsi" w:hAnsiTheme="minorHAnsi"/>
          <w:szCs w:val="20"/>
        </w:rPr>
        <w:t xml:space="preserve"> Thus, “[w]</w:t>
      </w:r>
      <w:proofErr w:type="spellStart"/>
      <w:r w:rsidR="00AA7C27" w:rsidRPr="00D920C9">
        <w:rPr>
          <w:rFonts w:asciiTheme="minorHAnsi" w:hAnsiTheme="minorHAnsi"/>
          <w:szCs w:val="20"/>
        </w:rPr>
        <w:t>hile</w:t>
      </w:r>
      <w:proofErr w:type="spellEnd"/>
      <w:r w:rsidR="00AA7C27" w:rsidRPr="00D920C9">
        <w:rPr>
          <w:rFonts w:asciiTheme="minorHAnsi" w:hAnsiTheme="minorHAnsi"/>
          <w:szCs w:val="20"/>
        </w:rPr>
        <w:t xml:space="preserve"> a Black prisoner was a rarity during the slavery era </w:t>
      </w:r>
      <w:r w:rsidR="001F753A" w:rsidRPr="00D920C9">
        <w:rPr>
          <w:rFonts w:asciiTheme="minorHAnsi" w:hAnsiTheme="minorHAnsi"/>
          <w:szCs w:val="20"/>
        </w:rPr>
        <w:t>[…]</w:t>
      </w:r>
      <w:r w:rsidR="00AA7C27" w:rsidRPr="00D920C9">
        <w:rPr>
          <w:rFonts w:asciiTheme="minorHAnsi" w:hAnsiTheme="minorHAnsi"/>
          <w:szCs w:val="20"/>
        </w:rPr>
        <w:t xml:space="preserve"> the solution to the free black population had become criminalization. In turn, the most common fate facing black convicts was to be sold into forced labor for the profit of the state.”</w:t>
      </w:r>
      <w:r w:rsidR="00AA7C27" w:rsidRPr="00D920C9">
        <w:rPr>
          <w:rFonts w:asciiTheme="minorHAnsi" w:hAnsiTheme="minorHAnsi"/>
          <w:vertAlign w:val="superscript"/>
        </w:rPr>
        <w:footnoteReference w:id="84"/>
      </w:r>
      <w:r w:rsidR="00AA7C27" w:rsidRPr="00D920C9">
        <w:rPr>
          <w:rFonts w:asciiTheme="minorHAnsi" w:hAnsiTheme="minorHAnsi"/>
          <w:szCs w:val="20"/>
        </w:rPr>
        <w:t xml:space="preserve"> </w:t>
      </w:r>
    </w:p>
    <w:p w14:paraId="4027CDFA" w14:textId="1B7C2CFD" w:rsidR="00416B45" w:rsidRPr="00D920C9" w:rsidRDefault="00B4412C" w:rsidP="002C64F8">
      <w:pPr>
        <w:pStyle w:val="ListParagraph"/>
        <w:numPr>
          <w:ilvl w:val="0"/>
          <w:numId w:val="9"/>
        </w:numPr>
        <w:spacing w:after="240" w:line="240" w:lineRule="auto"/>
        <w:ind w:left="547" w:hanging="547"/>
        <w:contextualSpacing w:val="0"/>
        <w:jc w:val="both"/>
        <w:rPr>
          <w:rFonts w:asciiTheme="minorHAnsi" w:hAnsiTheme="minorHAnsi"/>
          <w:szCs w:val="20"/>
        </w:rPr>
      </w:pPr>
      <w:r w:rsidRPr="00D920C9">
        <w:rPr>
          <w:rFonts w:asciiTheme="minorHAnsi" w:hAnsiTheme="minorHAnsi"/>
          <w:szCs w:val="20"/>
        </w:rPr>
        <w:t xml:space="preserve">Following the end of Reconstruction, states and municipalities acted to reinstate or reinforce legal racial hierarchy </w:t>
      </w:r>
      <w:r w:rsidR="001F753A" w:rsidRPr="00D920C9">
        <w:rPr>
          <w:rFonts w:asciiTheme="minorHAnsi" w:hAnsiTheme="minorHAnsi"/>
          <w:szCs w:val="20"/>
        </w:rPr>
        <w:t>by passing</w:t>
      </w:r>
      <w:r w:rsidRPr="00D920C9">
        <w:rPr>
          <w:rFonts w:asciiTheme="minorHAnsi" w:hAnsiTheme="minorHAnsi"/>
          <w:szCs w:val="20"/>
        </w:rPr>
        <w:t xml:space="preserve"> “Jim Crow” laws, </w:t>
      </w:r>
      <w:r w:rsidRPr="00D920C9">
        <w:rPr>
          <w:rFonts w:asciiTheme="minorHAnsi" w:hAnsiTheme="minorHAnsi"/>
          <w:szCs w:val="20"/>
        </w:rPr>
        <w:lastRenderedPageBreak/>
        <w:t>which enforced “racial segregation and persec</w:t>
      </w:r>
      <w:r w:rsidR="00416B45" w:rsidRPr="00D920C9">
        <w:rPr>
          <w:rFonts w:asciiTheme="minorHAnsi" w:hAnsiTheme="minorHAnsi"/>
          <w:szCs w:val="20"/>
        </w:rPr>
        <w:t>ution [...</w:t>
      </w:r>
      <w:r w:rsidRPr="00D920C9">
        <w:rPr>
          <w:rFonts w:asciiTheme="minorHAnsi" w:hAnsiTheme="minorHAnsi"/>
          <w:szCs w:val="20"/>
        </w:rPr>
        <w:t>] political disenfranchisement, social and economic exploitation, violence and the overall subjugation of people of African descent until the 1960s.”</w:t>
      </w:r>
      <w:r w:rsidRPr="00D920C9">
        <w:rPr>
          <w:rFonts w:asciiTheme="minorHAnsi" w:hAnsiTheme="minorHAnsi"/>
          <w:vertAlign w:val="superscript"/>
        </w:rPr>
        <w:footnoteReference w:id="85"/>
      </w:r>
      <w:r w:rsidRPr="00D920C9">
        <w:rPr>
          <w:rFonts w:asciiTheme="minorHAnsi" w:hAnsiTheme="minorHAnsi"/>
          <w:szCs w:val="20"/>
        </w:rPr>
        <w:t xml:space="preserve"> During this time, states introduced n</w:t>
      </w:r>
      <w:r w:rsidR="00EB52C8" w:rsidRPr="00D920C9">
        <w:rPr>
          <w:rFonts w:asciiTheme="minorHAnsi" w:hAnsiTheme="minorHAnsi"/>
          <w:szCs w:val="20"/>
        </w:rPr>
        <w:t xml:space="preserve">ew </w:t>
      </w:r>
      <w:r w:rsidR="00416B45" w:rsidRPr="00D920C9">
        <w:rPr>
          <w:rFonts w:asciiTheme="minorHAnsi" w:hAnsiTheme="minorHAnsi"/>
          <w:szCs w:val="20"/>
        </w:rPr>
        <w:t xml:space="preserve">voting restrictions, </w:t>
      </w:r>
      <w:r w:rsidRPr="00D920C9">
        <w:rPr>
          <w:rFonts w:asciiTheme="minorHAnsi" w:hAnsiTheme="minorHAnsi"/>
          <w:szCs w:val="20"/>
        </w:rPr>
        <w:t>including poll ta</w:t>
      </w:r>
      <w:r w:rsidR="00416B45" w:rsidRPr="00D920C9">
        <w:rPr>
          <w:rFonts w:asciiTheme="minorHAnsi" w:hAnsiTheme="minorHAnsi"/>
          <w:szCs w:val="20"/>
        </w:rPr>
        <w:t>xes and literacy tests,</w:t>
      </w:r>
      <w:r w:rsidRPr="00D920C9">
        <w:rPr>
          <w:rFonts w:asciiTheme="minorHAnsi" w:hAnsiTheme="minorHAnsi"/>
          <w:szCs w:val="20"/>
        </w:rPr>
        <w:t xml:space="preserve"> effectively undoing in practice the pro</w:t>
      </w:r>
      <w:r w:rsidR="00416B45" w:rsidRPr="00D920C9">
        <w:rPr>
          <w:rFonts w:asciiTheme="minorHAnsi" w:hAnsiTheme="minorHAnsi"/>
          <w:szCs w:val="20"/>
        </w:rPr>
        <w:t>mise of the Fifteenth Amendment;</w:t>
      </w:r>
      <w:r w:rsidRPr="00D920C9">
        <w:rPr>
          <w:rFonts w:asciiTheme="minorHAnsi" w:hAnsiTheme="minorHAnsi"/>
          <w:vertAlign w:val="superscript"/>
        </w:rPr>
        <w:footnoteReference w:id="86"/>
      </w:r>
      <w:r w:rsidRPr="00D920C9">
        <w:rPr>
          <w:rFonts w:asciiTheme="minorHAnsi" w:hAnsiTheme="minorHAnsi"/>
          <w:szCs w:val="20"/>
        </w:rPr>
        <w:t xml:space="preserve"> the modern Ku Klu</w:t>
      </w:r>
      <w:r w:rsidR="00416B45" w:rsidRPr="00D920C9">
        <w:rPr>
          <w:rFonts w:asciiTheme="minorHAnsi" w:hAnsiTheme="minorHAnsi"/>
          <w:szCs w:val="20"/>
        </w:rPr>
        <w:t>x Klan (KKK) came to prominence;</w:t>
      </w:r>
      <w:r w:rsidRPr="00D920C9">
        <w:rPr>
          <w:rFonts w:asciiTheme="minorHAnsi" w:hAnsiTheme="minorHAnsi"/>
          <w:vertAlign w:val="superscript"/>
        </w:rPr>
        <w:footnoteReference w:id="87"/>
      </w:r>
      <w:r w:rsidRPr="00D920C9">
        <w:rPr>
          <w:rFonts w:asciiTheme="minorHAnsi" w:hAnsiTheme="minorHAnsi"/>
          <w:szCs w:val="20"/>
        </w:rPr>
        <w:t xml:space="preserve"> and </w:t>
      </w:r>
      <w:proofErr w:type="spellStart"/>
      <w:r w:rsidRPr="00D920C9">
        <w:rPr>
          <w:rFonts w:asciiTheme="minorHAnsi" w:hAnsiTheme="minorHAnsi"/>
          <w:szCs w:val="20"/>
        </w:rPr>
        <w:t>lynchings</w:t>
      </w:r>
      <w:proofErr w:type="spellEnd"/>
      <w:r w:rsidRPr="00D920C9">
        <w:rPr>
          <w:rFonts w:asciiTheme="minorHAnsi" w:hAnsiTheme="minorHAnsi"/>
          <w:szCs w:val="20"/>
        </w:rPr>
        <w:t xml:space="preserve"> and other forms of violent racial terrorism,</w:t>
      </w:r>
      <w:bookmarkStart w:id="40" w:name="_Ref500752134"/>
      <w:r w:rsidRPr="00D920C9">
        <w:rPr>
          <w:rFonts w:asciiTheme="minorHAnsi" w:hAnsiTheme="minorHAnsi"/>
          <w:vertAlign w:val="superscript"/>
        </w:rPr>
        <w:footnoteReference w:id="88"/>
      </w:r>
      <w:bookmarkEnd w:id="40"/>
      <w:r w:rsidRPr="00D920C9">
        <w:rPr>
          <w:rFonts w:asciiTheme="minorHAnsi" w:hAnsiTheme="minorHAnsi"/>
          <w:szCs w:val="20"/>
        </w:rPr>
        <w:t xml:space="preserve"> as well as theft of land and other property from Black landowners</w:t>
      </w:r>
      <w:r w:rsidR="00916775" w:rsidRPr="00D920C9">
        <w:rPr>
          <w:rFonts w:asciiTheme="minorHAnsi" w:hAnsiTheme="minorHAnsi"/>
          <w:szCs w:val="20"/>
        </w:rPr>
        <w:t>,</w:t>
      </w:r>
      <w:r w:rsidRPr="00D920C9">
        <w:rPr>
          <w:rFonts w:asciiTheme="minorHAnsi" w:hAnsiTheme="minorHAnsi"/>
          <w:szCs w:val="20"/>
        </w:rPr>
        <w:t xml:space="preserve"> became increasingly common.</w:t>
      </w:r>
      <w:r w:rsidRPr="00D920C9">
        <w:rPr>
          <w:rFonts w:asciiTheme="minorHAnsi" w:hAnsiTheme="minorHAnsi"/>
          <w:vertAlign w:val="superscript"/>
        </w:rPr>
        <w:footnoteReference w:id="89"/>
      </w:r>
      <w:r w:rsidRPr="00D920C9">
        <w:rPr>
          <w:rFonts w:asciiTheme="minorHAnsi" w:hAnsiTheme="minorHAnsi"/>
          <w:szCs w:val="20"/>
        </w:rPr>
        <w:t xml:space="preserve"> This system reigned until the Civil Rights Movement of the 1950s and 1960s.</w:t>
      </w:r>
    </w:p>
    <w:p w14:paraId="5215BAF9" w14:textId="77777777" w:rsidR="0038546C" w:rsidRPr="00D920C9" w:rsidRDefault="007E2092" w:rsidP="002C64F8">
      <w:pPr>
        <w:pStyle w:val="ListParagraph"/>
        <w:numPr>
          <w:ilvl w:val="0"/>
          <w:numId w:val="9"/>
        </w:numPr>
        <w:spacing w:after="240" w:line="240" w:lineRule="auto"/>
        <w:ind w:left="547" w:hanging="547"/>
        <w:contextualSpacing w:val="0"/>
        <w:jc w:val="both"/>
        <w:rPr>
          <w:rFonts w:asciiTheme="minorHAnsi" w:hAnsiTheme="minorHAnsi" w:cs="Cambria"/>
          <w:szCs w:val="20"/>
        </w:rPr>
      </w:pPr>
      <w:bookmarkStart w:id="41" w:name="_Ref511745913"/>
      <w:r w:rsidRPr="00D920C9">
        <w:rPr>
          <w:rFonts w:asciiTheme="minorHAnsi" w:hAnsiTheme="minorHAnsi"/>
          <w:szCs w:val="20"/>
        </w:rPr>
        <w:t>In</w:t>
      </w:r>
      <w:r w:rsidR="0038546C" w:rsidRPr="00D920C9">
        <w:rPr>
          <w:rFonts w:asciiTheme="minorHAnsi" w:hAnsiTheme="minorHAnsi"/>
          <w:szCs w:val="20"/>
        </w:rPr>
        <w:t xml:space="preserve"> the early and mid-20th century, de facto and government-sponsored housing segregation also reigned throughout the country</w:t>
      </w:r>
      <w:r w:rsidR="0038546C" w:rsidRPr="00D920C9">
        <w:rPr>
          <w:rFonts w:asciiTheme="minorHAnsi" w:hAnsiTheme="minorHAnsi" w:cs="Cambria"/>
          <w:szCs w:val="20"/>
        </w:rPr>
        <w:t>, undergirded by a regime of government-backed low-interest</w:t>
      </w:r>
      <w:r w:rsidR="00904A46" w:rsidRPr="00D920C9">
        <w:rPr>
          <w:rFonts w:asciiTheme="minorHAnsi" w:hAnsiTheme="minorHAnsi" w:cs="Cambria"/>
          <w:szCs w:val="20"/>
        </w:rPr>
        <w:t xml:space="preserve"> home</w:t>
      </w:r>
      <w:r w:rsidRPr="00D920C9">
        <w:rPr>
          <w:rFonts w:asciiTheme="minorHAnsi" w:hAnsiTheme="minorHAnsi" w:cs="Cambria"/>
          <w:szCs w:val="20"/>
        </w:rPr>
        <w:t xml:space="preserve"> loans, </w:t>
      </w:r>
      <w:r w:rsidR="0038546C" w:rsidRPr="00D920C9">
        <w:rPr>
          <w:rFonts w:asciiTheme="minorHAnsi" w:hAnsiTheme="minorHAnsi" w:cs="Cambria"/>
          <w:szCs w:val="20"/>
        </w:rPr>
        <w:t xml:space="preserve">mortgages, </w:t>
      </w:r>
      <w:r w:rsidRPr="00D920C9">
        <w:rPr>
          <w:rFonts w:asciiTheme="minorHAnsi" w:hAnsiTheme="minorHAnsi" w:cs="Cambria"/>
          <w:szCs w:val="20"/>
        </w:rPr>
        <w:t>and</w:t>
      </w:r>
      <w:r w:rsidR="0038546C" w:rsidRPr="00D920C9">
        <w:rPr>
          <w:rFonts w:asciiTheme="minorHAnsi" w:hAnsiTheme="minorHAnsi" w:cs="Cambria"/>
          <w:szCs w:val="20"/>
        </w:rPr>
        <w:t xml:space="preserve"> housing insurance, and programs to construct segregated housing projects and neighborhoods. These government programs explicitly or de facto (through practices like “red-lining”) excluded black families from benefitting.</w:t>
      </w:r>
      <w:r w:rsidR="0038546C" w:rsidRPr="00D920C9">
        <w:rPr>
          <w:rStyle w:val="FootnoteReference"/>
          <w:rFonts w:asciiTheme="minorHAnsi" w:hAnsiTheme="minorHAnsi" w:cs="Cambria"/>
          <w:szCs w:val="20"/>
        </w:rPr>
        <w:footnoteReference w:id="90"/>
      </w:r>
      <w:r w:rsidR="0038546C" w:rsidRPr="00D920C9">
        <w:rPr>
          <w:rFonts w:asciiTheme="minorHAnsi" w:hAnsiTheme="minorHAnsi" w:cs="Cambria"/>
          <w:szCs w:val="20"/>
        </w:rPr>
        <w:t xml:space="preserve"> </w:t>
      </w:r>
      <w:r w:rsidR="008F5279" w:rsidRPr="00D920C9">
        <w:rPr>
          <w:rFonts w:asciiTheme="minorHAnsi" w:hAnsiTheme="minorHAnsi" w:cs="Cambria"/>
          <w:szCs w:val="20"/>
        </w:rPr>
        <w:t>As</w:t>
      </w:r>
      <w:r w:rsidR="0038546C" w:rsidRPr="00D920C9">
        <w:rPr>
          <w:rFonts w:asciiTheme="minorHAnsi" w:hAnsiTheme="minorHAnsi" w:cs="Cambria"/>
          <w:szCs w:val="20"/>
        </w:rPr>
        <w:t xml:space="preserve"> home equity makes up the majority of household wealth for the median family in the </w:t>
      </w:r>
      <w:r w:rsidR="00904A46" w:rsidRPr="00D920C9">
        <w:rPr>
          <w:rFonts w:asciiTheme="minorHAnsi" w:hAnsiTheme="minorHAnsi" w:cs="Cambria"/>
          <w:szCs w:val="20"/>
        </w:rPr>
        <w:t>U.S.</w:t>
      </w:r>
      <w:r w:rsidR="0038546C" w:rsidRPr="00D920C9">
        <w:rPr>
          <w:rFonts w:asciiTheme="minorHAnsi" w:hAnsiTheme="minorHAnsi" w:cs="Cambria"/>
          <w:szCs w:val="20"/>
        </w:rPr>
        <w:t xml:space="preserve">, these practices prevented </w:t>
      </w:r>
      <w:r w:rsidR="0030356C" w:rsidRPr="00D920C9">
        <w:rPr>
          <w:rFonts w:asciiTheme="minorHAnsi" w:hAnsiTheme="minorHAnsi" w:cs="Cambria"/>
          <w:szCs w:val="20"/>
        </w:rPr>
        <w:t xml:space="preserve">a generation or more of African </w:t>
      </w:r>
      <w:r w:rsidR="0038546C" w:rsidRPr="00D920C9">
        <w:rPr>
          <w:rFonts w:asciiTheme="minorHAnsi" w:hAnsiTheme="minorHAnsi" w:cs="Cambria"/>
          <w:szCs w:val="20"/>
        </w:rPr>
        <w:t xml:space="preserve">American families from building household wealth; this </w:t>
      </w:r>
      <w:r w:rsidR="0038546C" w:rsidRPr="00D920C9">
        <w:rPr>
          <w:rFonts w:asciiTheme="minorHAnsi" w:hAnsiTheme="minorHAnsi" w:cs="Cambria"/>
          <w:szCs w:val="20"/>
        </w:rPr>
        <w:lastRenderedPageBreak/>
        <w:t>wealth gap remains evident today and has not been remedied to date by the federal government.</w:t>
      </w:r>
      <w:r w:rsidR="0038546C" w:rsidRPr="00D920C9">
        <w:rPr>
          <w:rStyle w:val="FootnoteReference"/>
          <w:rFonts w:asciiTheme="minorHAnsi" w:hAnsiTheme="minorHAnsi" w:cs="Cambria"/>
          <w:szCs w:val="20"/>
        </w:rPr>
        <w:footnoteReference w:id="91"/>
      </w:r>
      <w:bookmarkEnd w:id="41"/>
    </w:p>
    <w:p w14:paraId="26B2C36B" w14:textId="77777777" w:rsidR="00B4412C" w:rsidRPr="00D920C9" w:rsidRDefault="00B4412C" w:rsidP="002C64F8">
      <w:pPr>
        <w:pStyle w:val="ListParagraph"/>
        <w:numPr>
          <w:ilvl w:val="0"/>
          <w:numId w:val="9"/>
        </w:numPr>
        <w:spacing w:after="240" w:line="240" w:lineRule="auto"/>
        <w:ind w:left="547" w:hanging="547"/>
        <w:contextualSpacing w:val="0"/>
        <w:jc w:val="both"/>
        <w:rPr>
          <w:rFonts w:asciiTheme="minorHAnsi" w:hAnsiTheme="minorHAnsi"/>
          <w:szCs w:val="20"/>
        </w:rPr>
      </w:pPr>
      <w:r w:rsidRPr="00D920C9">
        <w:rPr>
          <w:rFonts w:asciiTheme="minorHAnsi" w:hAnsiTheme="minorHAnsi" w:cs="Cambria"/>
          <w:szCs w:val="20"/>
        </w:rPr>
        <w:t xml:space="preserve">As organized resistance to </w:t>
      </w:r>
      <w:r w:rsidR="007E2092" w:rsidRPr="00D920C9">
        <w:rPr>
          <w:rFonts w:asciiTheme="minorHAnsi" w:hAnsiTheme="minorHAnsi" w:cs="Cambria"/>
          <w:szCs w:val="20"/>
        </w:rPr>
        <w:t>Jim Crow</w:t>
      </w:r>
      <w:r w:rsidRPr="00D920C9">
        <w:rPr>
          <w:rFonts w:asciiTheme="minorHAnsi" w:hAnsiTheme="minorHAnsi" w:cs="Cambria"/>
          <w:szCs w:val="20"/>
        </w:rPr>
        <w:t xml:space="preserve"> racial apartheid began to swell in the early 1950s, black demonstrators were met with violent opposition </w:t>
      </w:r>
      <w:r w:rsidR="007E2092" w:rsidRPr="00D920C9">
        <w:rPr>
          <w:rFonts w:asciiTheme="minorHAnsi" w:hAnsiTheme="minorHAnsi" w:cs="Cambria"/>
          <w:szCs w:val="20"/>
        </w:rPr>
        <w:t>by</w:t>
      </w:r>
      <w:r w:rsidRPr="00D920C9">
        <w:rPr>
          <w:rFonts w:asciiTheme="minorHAnsi" w:hAnsiTheme="minorHAnsi" w:cs="Cambria"/>
          <w:szCs w:val="20"/>
        </w:rPr>
        <w:t xml:space="preserve"> white police officers and co</w:t>
      </w:r>
      <w:r w:rsidR="00756574" w:rsidRPr="00D920C9">
        <w:rPr>
          <w:rFonts w:asciiTheme="minorHAnsi" w:hAnsiTheme="minorHAnsi" w:cs="Cambria"/>
          <w:szCs w:val="20"/>
        </w:rPr>
        <w:t>mmunity members. Black activist groups</w:t>
      </w:r>
      <w:r w:rsidRPr="00D920C9">
        <w:rPr>
          <w:rFonts w:asciiTheme="minorHAnsi" w:hAnsiTheme="minorHAnsi" w:cs="Cambria"/>
          <w:szCs w:val="20"/>
        </w:rPr>
        <w:t xml:space="preserve"> </w:t>
      </w:r>
      <w:r w:rsidR="007E2092" w:rsidRPr="00D920C9">
        <w:rPr>
          <w:rFonts w:asciiTheme="minorHAnsi" w:hAnsiTheme="minorHAnsi"/>
          <w:szCs w:val="20"/>
        </w:rPr>
        <w:t>like</w:t>
      </w:r>
      <w:r w:rsidRPr="00D920C9">
        <w:rPr>
          <w:rFonts w:asciiTheme="minorHAnsi" w:hAnsiTheme="minorHAnsi"/>
          <w:szCs w:val="20"/>
        </w:rPr>
        <w:t xml:space="preserve"> the Southern Christian Leadership Conference (SCLC), the Student Nonviolent Coordinating Committ</w:t>
      </w:r>
      <w:r w:rsidR="00756574" w:rsidRPr="00D920C9">
        <w:rPr>
          <w:rFonts w:asciiTheme="minorHAnsi" w:hAnsiTheme="minorHAnsi"/>
          <w:szCs w:val="20"/>
        </w:rPr>
        <w:t>ee (SNCC), and other coalitions</w:t>
      </w:r>
      <w:r w:rsidRPr="00D920C9">
        <w:rPr>
          <w:rFonts w:asciiTheme="minorHAnsi" w:hAnsiTheme="minorHAnsi"/>
          <w:szCs w:val="20"/>
        </w:rPr>
        <w:t xml:space="preserve"> protested racial segregation and disenfranchisement through boycotts, sit-ins, voter registration drives, and mass marches </w:t>
      </w:r>
      <w:r w:rsidR="008F5279" w:rsidRPr="00D920C9">
        <w:rPr>
          <w:rFonts w:asciiTheme="minorHAnsi" w:hAnsiTheme="minorHAnsi"/>
          <w:szCs w:val="20"/>
        </w:rPr>
        <w:t xml:space="preserve">like </w:t>
      </w:r>
      <w:r w:rsidRPr="00D920C9">
        <w:rPr>
          <w:rFonts w:asciiTheme="minorHAnsi" w:hAnsiTheme="minorHAnsi"/>
          <w:szCs w:val="20"/>
        </w:rPr>
        <w:t>the March on Washington and the Selma to Montgomery March</w:t>
      </w:r>
      <w:r w:rsidR="008F5279" w:rsidRPr="00D920C9">
        <w:rPr>
          <w:rFonts w:asciiTheme="minorHAnsi" w:hAnsiTheme="minorHAnsi"/>
          <w:szCs w:val="20"/>
        </w:rPr>
        <w:t xml:space="preserve"> (</w:t>
      </w:r>
      <w:r w:rsidR="00916775" w:rsidRPr="00D920C9">
        <w:rPr>
          <w:rFonts w:asciiTheme="minorHAnsi" w:hAnsiTheme="minorHAnsi"/>
          <w:szCs w:val="20"/>
        </w:rPr>
        <w:t>“Bloody Sunday”)</w:t>
      </w:r>
      <w:r w:rsidRPr="00D920C9">
        <w:rPr>
          <w:rFonts w:asciiTheme="minorHAnsi" w:hAnsiTheme="minorHAnsi"/>
          <w:szCs w:val="20"/>
        </w:rPr>
        <w:t>, consistently facing physical attacks, riots, and bombings from whites.</w:t>
      </w:r>
      <w:r w:rsidRPr="00D920C9">
        <w:rPr>
          <w:rFonts w:asciiTheme="minorHAnsi" w:hAnsiTheme="minorHAnsi"/>
          <w:vertAlign w:val="superscript"/>
        </w:rPr>
        <w:footnoteReference w:id="92"/>
      </w:r>
    </w:p>
    <w:p w14:paraId="32FF94FF" w14:textId="77777777" w:rsidR="00B4412C" w:rsidRPr="00D920C9" w:rsidRDefault="00B4412C" w:rsidP="002C64F8">
      <w:pPr>
        <w:pStyle w:val="ListParagraph"/>
        <w:numPr>
          <w:ilvl w:val="0"/>
          <w:numId w:val="9"/>
        </w:numPr>
        <w:spacing w:after="240" w:line="240" w:lineRule="auto"/>
        <w:ind w:left="547" w:hanging="547"/>
        <w:contextualSpacing w:val="0"/>
        <w:jc w:val="both"/>
        <w:rPr>
          <w:rFonts w:asciiTheme="minorHAnsi" w:hAnsiTheme="minorHAnsi"/>
          <w:szCs w:val="20"/>
        </w:rPr>
      </w:pPr>
      <w:bookmarkStart w:id="42" w:name="_Ref507082559"/>
      <w:r w:rsidRPr="00D920C9">
        <w:rPr>
          <w:rFonts w:asciiTheme="minorHAnsi" w:hAnsiTheme="minorHAnsi"/>
          <w:szCs w:val="20"/>
        </w:rPr>
        <w:t>This activism led to a series of judicial and legislative victories in the 1950s and 1960s, including the passage of the Civil Rights Act of 1964, which ended legal segregation in public places and banned employment discrimination on the basis of race, color, religion, sex</w:t>
      </w:r>
      <w:r w:rsidR="008F5279" w:rsidRPr="00D920C9">
        <w:rPr>
          <w:rFonts w:asciiTheme="minorHAnsi" w:hAnsiTheme="minorHAnsi"/>
          <w:szCs w:val="20"/>
        </w:rPr>
        <w:t>,</w:t>
      </w:r>
      <w:r w:rsidRPr="00D920C9">
        <w:rPr>
          <w:rFonts w:asciiTheme="minorHAnsi" w:hAnsiTheme="minorHAnsi"/>
          <w:szCs w:val="20"/>
        </w:rPr>
        <w:t xml:space="preserve"> or national origin; the Voting Rights Act of 1965, which seeks to overcome barriers to African</w:t>
      </w:r>
      <w:r w:rsidR="0030356C" w:rsidRPr="00D920C9">
        <w:rPr>
          <w:rFonts w:asciiTheme="minorHAnsi" w:hAnsiTheme="minorHAnsi"/>
          <w:szCs w:val="20"/>
        </w:rPr>
        <w:t xml:space="preserve"> </w:t>
      </w:r>
      <w:r w:rsidRPr="00D920C9">
        <w:rPr>
          <w:rFonts w:asciiTheme="minorHAnsi" w:hAnsiTheme="minorHAnsi"/>
          <w:szCs w:val="20"/>
        </w:rPr>
        <w:t xml:space="preserve">Americans’ exercise of voting rights; and the Fair Housing Act of 1968, which prohibits discrimination in the purchase or rental of property. </w:t>
      </w:r>
      <w:r w:rsidR="007E2092" w:rsidRPr="00D920C9">
        <w:rPr>
          <w:rFonts w:asciiTheme="minorHAnsi" w:hAnsiTheme="minorHAnsi"/>
          <w:szCs w:val="20"/>
        </w:rPr>
        <w:t>Concurrently</w:t>
      </w:r>
      <w:r w:rsidRPr="00D920C9">
        <w:rPr>
          <w:rFonts w:asciiTheme="minorHAnsi" w:hAnsiTheme="minorHAnsi"/>
          <w:szCs w:val="20"/>
        </w:rPr>
        <w:t>, several key Supreme Court decisions reversed de jure systems of racial segregation and discrimination. In particular, Brown v. Board of Education and Brown II</w:t>
      </w:r>
      <w:r w:rsidRPr="00D920C9">
        <w:rPr>
          <w:rFonts w:asciiTheme="minorHAnsi" w:hAnsiTheme="minorHAnsi"/>
          <w:vertAlign w:val="superscript"/>
        </w:rPr>
        <w:footnoteReference w:id="93"/>
      </w:r>
      <w:r w:rsidRPr="00D920C9">
        <w:rPr>
          <w:rFonts w:asciiTheme="minorHAnsi" w:hAnsiTheme="minorHAnsi"/>
          <w:szCs w:val="20"/>
        </w:rPr>
        <w:t xml:space="preserve"> mandated and then enforced school desegregation;</w:t>
      </w:r>
      <w:r w:rsidR="00916775" w:rsidRPr="00D920C9">
        <w:rPr>
          <w:rFonts w:asciiTheme="minorHAnsi" w:hAnsiTheme="minorHAnsi"/>
          <w:szCs w:val="20"/>
        </w:rPr>
        <w:t xml:space="preserve"> and</w:t>
      </w:r>
      <w:r w:rsidRPr="00D920C9">
        <w:rPr>
          <w:rFonts w:asciiTheme="minorHAnsi" w:hAnsiTheme="minorHAnsi"/>
          <w:szCs w:val="20"/>
        </w:rPr>
        <w:t xml:space="preserve"> Heart of Atlanta Motel v. U</w:t>
      </w:r>
      <w:r w:rsidR="008F5279" w:rsidRPr="00D920C9">
        <w:rPr>
          <w:rFonts w:asciiTheme="minorHAnsi" w:hAnsiTheme="minorHAnsi"/>
          <w:szCs w:val="20"/>
        </w:rPr>
        <w:t>.</w:t>
      </w:r>
      <w:r w:rsidRPr="00D920C9">
        <w:rPr>
          <w:rFonts w:asciiTheme="minorHAnsi" w:hAnsiTheme="minorHAnsi"/>
          <w:szCs w:val="20"/>
        </w:rPr>
        <w:t>S</w:t>
      </w:r>
      <w:r w:rsidR="008F5279" w:rsidRPr="00D920C9">
        <w:rPr>
          <w:rFonts w:asciiTheme="minorHAnsi" w:hAnsiTheme="minorHAnsi"/>
          <w:szCs w:val="20"/>
        </w:rPr>
        <w:t>.</w:t>
      </w:r>
      <w:r w:rsidRPr="00D920C9">
        <w:rPr>
          <w:rFonts w:asciiTheme="minorHAnsi" w:hAnsiTheme="minorHAnsi"/>
          <w:szCs w:val="20"/>
        </w:rPr>
        <w:t xml:space="preserve"> and </w:t>
      </w:r>
      <w:proofErr w:type="spellStart"/>
      <w:r w:rsidRPr="00D920C9">
        <w:rPr>
          <w:rFonts w:asciiTheme="minorHAnsi" w:hAnsiTheme="minorHAnsi"/>
          <w:szCs w:val="20"/>
        </w:rPr>
        <w:t>Katzenbach</w:t>
      </w:r>
      <w:proofErr w:type="spellEnd"/>
      <w:r w:rsidRPr="00D920C9">
        <w:rPr>
          <w:rFonts w:asciiTheme="minorHAnsi" w:hAnsiTheme="minorHAnsi"/>
          <w:szCs w:val="20"/>
        </w:rPr>
        <w:t xml:space="preserve"> v. McClung</w:t>
      </w:r>
      <w:r w:rsidRPr="00D920C9">
        <w:rPr>
          <w:rFonts w:asciiTheme="minorHAnsi" w:hAnsiTheme="minorHAnsi"/>
          <w:vertAlign w:val="superscript"/>
        </w:rPr>
        <w:footnoteReference w:id="94"/>
      </w:r>
      <w:r w:rsidRPr="00D920C9">
        <w:rPr>
          <w:rFonts w:asciiTheme="minorHAnsi" w:hAnsiTheme="minorHAnsi"/>
          <w:szCs w:val="20"/>
        </w:rPr>
        <w:t xml:space="preserve"> prohibited racial discrimination by private businesses.</w:t>
      </w:r>
      <w:bookmarkEnd w:id="42"/>
    </w:p>
    <w:p w14:paraId="1203CC29" w14:textId="77777777" w:rsidR="00B4412C" w:rsidRPr="00D920C9" w:rsidRDefault="00696510" w:rsidP="002C64F8">
      <w:pPr>
        <w:pStyle w:val="ListParagraph"/>
        <w:numPr>
          <w:ilvl w:val="0"/>
          <w:numId w:val="9"/>
        </w:numPr>
        <w:spacing w:after="240" w:line="240" w:lineRule="auto"/>
        <w:ind w:left="547" w:hanging="547"/>
        <w:contextualSpacing w:val="0"/>
        <w:jc w:val="both"/>
        <w:rPr>
          <w:rFonts w:asciiTheme="minorHAnsi" w:hAnsiTheme="minorHAnsi"/>
          <w:szCs w:val="20"/>
        </w:rPr>
      </w:pPr>
      <w:r w:rsidRPr="00D920C9">
        <w:rPr>
          <w:rFonts w:asciiTheme="minorHAnsi" w:hAnsiTheme="minorHAnsi"/>
          <w:szCs w:val="20"/>
        </w:rPr>
        <w:t xml:space="preserve">In the context of fears of rising criminality and social disorder in the United States </w:t>
      </w:r>
      <w:r w:rsidR="00682D45" w:rsidRPr="00D920C9">
        <w:rPr>
          <w:rFonts w:asciiTheme="minorHAnsi" w:hAnsiTheme="minorHAnsi"/>
          <w:szCs w:val="20"/>
        </w:rPr>
        <w:t>that followed</w:t>
      </w:r>
      <w:r w:rsidRPr="00D920C9">
        <w:rPr>
          <w:rFonts w:asciiTheme="minorHAnsi" w:hAnsiTheme="minorHAnsi"/>
          <w:szCs w:val="20"/>
        </w:rPr>
        <w:t xml:space="preserve"> the massive protest movements of the 1960s,</w:t>
      </w:r>
      <w:r w:rsidRPr="00D920C9">
        <w:rPr>
          <w:rFonts w:asciiTheme="minorHAnsi" w:hAnsiTheme="minorHAnsi"/>
          <w:vertAlign w:val="superscript"/>
        </w:rPr>
        <w:footnoteReference w:id="95"/>
      </w:r>
      <w:r w:rsidRPr="00D920C9">
        <w:rPr>
          <w:rFonts w:asciiTheme="minorHAnsi" w:hAnsiTheme="minorHAnsi"/>
          <w:szCs w:val="20"/>
        </w:rPr>
        <w:t xml:space="preserve"> new policing theories and policies were developed that </w:t>
      </w:r>
      <w:r w:rsidR="008819BD" w:rsidRPr="00D920C9">
        <w:rPr>
          <w:rFonts w:asciiTheme="minorHAnsi" w:hAnsiTheme="minorHAnsi"/>
          <w:szCs w:val="20"/>
        </w:rPr>
        <w:t>frame</w:t>
      </w:r>
      <w:r w:rsidRPr="00D920C9">
        <w:rPr>
          <w:rFonts w:asciiTheme="minorHAnsi" w:hAnsiTheme="minorHAnsi"/>
          <w:szCs w:val="20"/>
        </w:rPr>
        <w:t xml:space="preserve"> important aspects of the problem of police violence today. First, increased policing</w:t>
      </w:r>
      <w:r w:rsidR="005B7043" w:rsidRPr="00D920C9">
        <w:rPr>
          <w:rFonts w:asciiTheme="minorHAnsi" w:hAnsiTheme="minorHAnsi"/>
          <w:szCs w:val="20"/>
        </w:rPr>
        <w:t xml:space="preserve"> within the framework of </w:t>
      </w:r>
      <w:r w:rsidR="00B4412C" w:rsidRPr="00D920C9">
        <w:rPr>
          <w:rFonts w:asciiTheme="minorHAnsi" w:hAnsiTheme="minorHAnsi"/>
          <w:szCs w:val="20"/>
        </w:rPr>
        <w:t>the “War on Drugs”</w:t>
      </w:r>
      <w:r w:rsidR="00916775" w:rsidRPr="00D920C9">
        <w:rPr>
          <w:rFonts w:asciiTheme="minorHAnsi" w:hAnsiTheme="minorHAnsi"/>
          <w:szCs w:val="20"/>
        </w:rPr>
        <w:t xml:space="preserve"> </w:t>
      </w:r>
      <w:r w:rsidR="005B7043" w:rsidRPr="00D920C9">
        <w:rPr>
          <w:rFonts w:asciiTheme="minorHAnsi" w:hAnsiTheme="minorHAnsi"/>
          <w:szCs w:val="20"/>
        </w:rPr>
        <w:t>worked</w:t>
      </w:r>
      <w:r w:rsidR="00916775" w:rsidRPr="00D920C9">
        <w:rPr>
          <w:rFonts w:asciiTheme="minorHAnsi" w:hAnsiTheme="minorHAnsi"/>
          <w:szCs w:val="20"/>
        </w:rPr>
        <w:t xml:space="preserve"> to </w:t>
      </w:r>
      <w:r w:rsidR="008F5279" w:rsidRPr="00D920C9">
        <w:rPr>
          <w:rFonts w:asciiTheme="minorHAnsi" w:hAnsiTheme="minorHAnsi"/>
          <w:szCs w:val="20"/>
        </w:rPr>
        <w:t>disrupt</w:t>
      </w:r>
      <w:r w:rsidR="00F2545F" w:rsidRPr="00D920C9">
        <w:rPr>
          <w:rFonts w:asciiTheme="minorHAnsi" w:hAnsiTheme="minorHAnsi"/>
          <w:szCs w:val="20"/>
        </w:rPr>
        <w:t xml:space="preserve"> black</w:t>
      </w:r>
      <w:r w:rsidR="008F5279" w:rsidRPr="00D920C9">
        <w:rPr>
          <w:rFonts w:asciiTheme="minorHAnsi" w:hAnsiTheme="minorHAnsi"/>
          <w:szCs w:val="20"/>
        </w:rPr>
        <w:t xml:space="preserve"> protesters and </w:t>
      </w:r>
      <w:r w:rsidR="008F5279" w:rsidRPr="00D920C9">
        <w:rPr>
          <w:rFonts w:asciiTheme="minorHAnsi" w:hAnsiTheme="minorHAnsi"/>
          <w:szCs w:val="20"/>
        </w:rPr>
        <w:lastRenderedPageBreak/>
        <w:t>communities</w:t>
      </w:r>
      <w:r w:rsidR="00F2545F" w:rsidRPr="00D920C9">
        <w:rPr>
          <w:rFonts w:asciiTheme="minorHAnsi" w:hAnsiTheme="minorHAnsi"/>
          <w:szCs w:val="20"/>
        </w:rPr>
        <w:t>,</w:t>
      </w:r>
      <w:bookmarkStart w:id="43" w:name="_Ref507153538"/>
      <w:r w:rsidR="00B4412C" w:rsidRPr="00D920C9">
        <w:rPr>
          <w:rFonts w:asciiTheme="minorHAnsi" w:hAnsiTheme="minorHAnsi"/>
          <w:vertAlign w:val="superscript"/>
        </w:rPr>
        <w:footnoteReference w:id="96"/>
      </w:r>
      <w:bookmarkEnd w:id="43"/>
      <w:r w:rsidR="00B4412C" w:rsidRPr="00D920C9">
        <w:rPr>
          <w:rFonts w:asciiTheme="minorHAnsi" w:hAnsiTheme="minorHAnsi"/>
          <w:szCs w:val="20"/>
        </w:rPr>
        <w:t xml:space="preserve"> </w:t>
      </w:r>
      <w:r w:rsidR="00682D45" w:rsidRPr="00D920C9">
        <w:rPr>
          <w:rFonts w:asciiTheme="minorHAnsi" w:hAnsiTheme="minorHAnsi"/>
          <w:szCs w:val="20"/>
        </w:rPr>
        <w:t xml:space="preserve">and has resulted in rising incarceration. </w:t>
      </w:r>
      <w:r w:rsidR="00B4412C" w:rsidRPr="00D920C9">
        <w:rPr>
          <w:rFonts w:asciiTheme="minorHAnsi" w:hAnsiTheme="minorHAnsi"/>
          <w:szCs w:val="20"/>
        </w:rPr>
        <w:t>The “War on Drugs” consists of laws, policies, and international cooperation initiatives intended to discourage the production, distribution, and use of drugs</w:t>
      </w:r>
      <w:r w:rsidR="000D175D" w:rsidRPr="00D920C9">
        <w:rPr>
          <w:rFonts w:asciiTheme="minorHAnsi" w:hAnsiTheme="minorHAnsi"/>
          <w:szCs w:val="20"/>
        </w:rPr>
        <w:t xml:space="preserve">, </w:t>
      </w:r>
      <w:r w:rsidR="00682D45" w:rsidRPr="00D920C9">
        <w:rPr>
          <w:rFonts w:asciiTheme="minorHAnsi" w:hAnsiTheme="minorHAnsi"/>
          <w:szCs w:val="20"/>
        </w:rPr>
        <w:t>and</w:t>
      </w:r>
      <w:r w:rsidR="000D175D" w:rsidRPr="00D920C9">
        <w:rPr>
          <w:rFonts w:asciiTheme="minorHAnsi" w:hAnsiTheme="minorHAnsi"/>
          <w:szCs w:val="20"/>
        </w:rPr>
        <w:t xml:space="preserve"> has resulted in a “notable increase in the number of persons deprived of liberty for drug-related criminal acts</w:t>
      </w:r>
      <w:r w:rsidR="00B4412C" w:rsidRPr="00D920C9">
        <w:rPr>
          <w:rFonts w:asciiTheme="minorHAnsi" w:hAnsiTheme="minorHAnsi"/>
          <w:szCs w:val="20"/>
        </w:rPr>
        <w:t>.</w:t>
      </w:r>
      <w:r w:rsidR="000D175D" w:rsidRPr="00D920C9">
        <w:rPr>
          <w:rFonts w:asciiTheme="minorHAnsi" w:hAnsiTheme="minorHAnsi"/>
          <w:szCs w:val="20"/>
        </w:rPr>
        <w:t>”</w:t>
      </w:r>
      <w:r w:rsidR="00B4412C" w:rsidRPr="00D920C9">
        <w:rPr>
          <w:rFonts w:asciiTheme="minorHAnsi" w:hAnsiTheme="minorHAnsi"/>
          <w:vertAlign w:val="superscript"/>
        </w:rPr>
        <w:footnoteReference w:id="97"/>
      </w:r>
      <w:r w:rsidR="00B4412C" w:rsidRPr="00D920C9">
        <w:rPr>
          <w:rFonts w:asciiTheme="minorHAnsi" w:hAnsiTheme="minorHAnsi"/>
          <w:szCs w:val="20"/>
        </w:rPr>
        <w:t xml:space="preserve"> </w:t>
      </w:r>
      <w:r w:rsidR="00682D45" w:rsidRPr="00D920C9">
        <w:rPr>
          <w:rFonts w:asciiTheme="minorHAnsi" w:hAnsiTheme="minorHAnsi"/>
          <w:szCs w:val="20"/>
        </w:rPr>
        <w:t>In</w:t>
      </w:r>
      <w:r w:rsidR="00B4412C" w:rsidRPr="00D920C9">
        <w:rPr>
          <w:rFonts w:asciiTheme="minorHAnsi" w:hAnsiTheme="minorHAnsi"/>
          <w:szCs w:val="20"/>
        </w:rPr>
        <w:t xml:space="preserve"> the U</w:t>
      </w:r>
      <w:r w:rsidR="009D305C" w:rsidRPr="00D920C9">
        <w:rPr>
          <w:rFonts w:asciiTheme="minorHAnsi" w:hAnsiTheme="minorHAnsi"/>
          <w:szCs w:val="20"/>
        </w:rPr>
        <w:t>.</w:t>
      </w:r>
      <w:r w:rsidR="00B4412C" w:rsidRPr="00D920C9">
        <w:rPr>
          <w:rFonts w:asciiTheme="minorHAnsi" w:hAnsiTheme="minorHAnsi"/>
          <w:szCs w:val="20"/>
        </w:rPr>
        <w:t>S</w:t>
      </w:r>
      <w:r w:rsidR="009D305C" w:rsidRPr="00D920C9">
        <w:rPr>
          <w:rFonts w:asciiTheme="minorHAnsi" w:hAnsiTheme="minorHAnsi"/>
          <w:szCs w:val="20"/>
        </w:rPr>
        <w:t>.</w:t>
      </w:r>
      <w:r w:rsidR="00B4412C" w:rsidRPr="00D920C9">
        <w:rPr>
          <w:rFonts w:asciiTheme="minorHAnsi" w:hAnsiTheme="minorHAnsi"/>
          <w:szCs w:val="20"/>
        </w:rPr>
        <w:t>, the “War on Drugs” has led to the heavy criminalization of drug possession and consumption, including the creation of “mandatory minimum” prison terms and increased policing efforts directed toward drug arrests. These policies have been applied in a racially discriminatory way, “result[</w:t>
      </w:r>
      <w:proofErr w:type="spellStart"/>
      <w:r w:rsidR="00B4412C" w:rsidRPr="00D920C9">
        <w:rPr>
          <w:rFonts w:asciiTheme="minorHAnsi" w:hAnsiTheme="minorHAnsi"/>
          <w:szCs w:val="20"/>
        </w:rPr>
        <w:t>ing</w:t>
      </w:r>
      <w:proofErr w:type="spellEnd"/>
      <w:r w:rsidR="00B4412C" w:rsidRPr="00D920C9">
        <w:rPr>
          <w:rFonts w:asciiTheme="minorHAnsi" w:hAnsiTheme="minorHAnsi"/>
          <w:szCs w:val="20"/>
        </w:rPr>
        <w:t>] in a situation where 1 in every 15 black men is currently in jail and 1 in every 13 African</w:t>
      </w:r>
      <w:r w:rsidR="0030356C" w:rsidRPr="00D920C9">
        <w:rPr>
          <w:rFonts w:asciiTheme="minorHAnsi" w:hAnsiTheme="minorHAnsi"/>
          <w:szCs w:val="20"/>
        </w:rPr>
        <w:t xml:space="preserve"> </w:t>
      </w:r>
      <w:r w:rsidR="00B4412C" w:rsidRPr="00D920C9">
        <w:rPr>
          <w:rFonts w:asciiTheme="minorHAnsi" w:hAnsiTheme="minorHAnsi"/>
          <w:szCs w:val="20"/>
        </w:rPr>
        <w:t>Americans has lost their right to vote owing to a felony conviction.”</w:t>
      </w:r>
      <w:r w:rsidR="00B4412C" w:rsidRPr="00D920C9">
        <w:rPr>
          <w:rFonts w:asciiTheme="minorHAnsi" w:hAnsiTheme="minorHAnsi"/>
          <w:szCs w:val="20"/>
          <w:vertAlign w:val="superscript"/>
        </w:rPr>
        <w:footnoteReference w:id="98"/>
      </w:r>
      <w:r w:rsidR="00B4412C" w:rsidRPr="00D920C9">
        <w:rPr>
          <w:rFonts w:asciiTheme="minorHAnsi" w:hAnsiTheme="minorHAnsi"/>
          <w:szCs w:val="20"/>
        </w:rPr>
        <w:t xml:space="preserve"> </w:t>
      </w:r>
      <w:r w:rsidR="00756574" w:rsidRPr="00D920C9">
        <w:rPr>
          <w:rFonts w:asciiTheme="minorHAnsi" w:hAnsiTheme="minorHAnsi"/>
          <w:szCs w:val="20"/>
        </w:rPr>
        <w:t xml:space="preserve">Between </w:t>
      </w:r>
      <w:r w:rsidR="00ED4B80" w:rsidRPr="00D920C9">
        <w:rPr>
          <w:rFonts w:asciiTheme="minorHAnsi" w:hAnsiTheme="minorHAnsi"/>
          <w:szCs w:val="20"/>
        </w:rPr>
        <w:t xml:space="preserve">1970 and 2016, the number of people incarcerated in state and federal prisons in the </w:t>
      </w:r>
      <w:r w:rsidR="00904A46" w:rsidRPr="00D920C9">
        <w:rPr>
          <w:rFonts w:asciiTheme="minorHAnsi" w:hAnsiTheme="minorHAnsi"/>
          <w:szCs w:val="20"/>
        </w:rPr>
        <w:t>U.S.</w:t>
      </w:r>
      <w:r w:rsidR="00ED4B80" w:rsidRPr="00D920C9">
        <w:rPr>
          <w:rFonts w:asciiTheme="minorHAnsi" w:hAnsiTheme="minorHAnsi"/>
          <w:szCs w:val="20"/>
        </w:rPr>
        <w:t xml:space="preserve"> grew from 196,429 to 1,505,400;</w:t>
      </w:r>
      <w:r w:rsidR="00ED4B80" w:rsidRPr="00D920C9">
        <w:rPr>
          <w:rFonts w:asciiTheme="minorHAnsi" w:hAnsiTheme="minorHAnsi"/>
          <w:vertAlign w:val="superscript"/>
        </w:rPr>
        <w:footnoteReference w:id="99"/>
      </w:r>
      <w:r w:rsidR="00ED4B80" w:rsidRPr="00D920C9">
        <w:rPr>
          <w:rFonts w:asciiTheme="minorHAnsi" w:hAnsiTheme="minorHAnsi"/>
          <w:szCs w:val="20"/>
        </w:rPr>
        <w:t xml:space="preserve"> within this number, black inmates are grossly overrepresented.</w:t>
      </w:r>
      <w:r w:rsidR="00ED4B80" w:rsidRPr="00D920C9">
        <w:rPr>
          <w:rFonts w:asciiTheme="minorHAnsi" w:hAnsiTheme="minorHAnsi"/>
          <w:vertAlign w:val="superscript"/>
        </w:rPr>
        <w:footnoteReference w:id="100"/>
      </w:r>
    </w:p>
    <w:p w14:paraId="36BC0C59" w14:textId="77777777" w:rsidR="00B4412C" w:rsidRPr="00D920C9" w:rsidRDefault="00682D45" w:rsidP="002C64F8">
      <w:pPr>
        <w:pStyle w:val="ListParagraph"/>
        <w:numPr>
          <w:ilvl w:val="0"/>
          <w:numId w:val="9"/>
        </w:numPr>
        <w:spacing w:after="240" w:line="240" w:lineRule="auto"/>
        <w:ind w:left="547" w:hanging="547"/>
        <w:contextualSpacing w:val="0"/>
        <w:jc w:val="both"/>
        <w:rPr>
          <w:rFonts w:asciiTheme="minorHAnsi" w:hAnsiTheme="minorHAnsi"/>
          <w:szCs w:val="20"/>
        </w:rPr>
      </w:pPr>
      <w:bookmarkStart w:id="44" w:name="_Ref504647147"/>
      <w:r w:rsidRPr="00D920C9">
        <w:rPr>
          <w:rFonts w:asciiTheme="minorHAnsi" w:hAnsiTheme="minorHAnsi"/>
          <w:szCs w:val="20"/>
        </w:rPr>
        <w:t xml:space="preserve">Additionally, the </w:t>
      </w:r>
      <w:r w:rsidR="00B4412C" w:rsidRPr="00D920C9">
        <w:rPr>
          <w:rFonts w:asciiTheme="minorHAnsi" w:hAnsiTheme="minorHAnsi"/>
          <w:szCs w:val="20"/>
        </w:rPr>
        <w:t>“Broken Windows” theory of policing was in</w:t>
      </w:r>
      <w:r w:rsidR="008F5279" w:rsidRPr="00D920C9">
        <w:rPr>
          <w:rFonts w:asciiTheme="minorHAnsi" w:hAnsiTheme="minorHAnsi"/>
          <w:szCs w:val="20"/>
        </w:rPr>
        <w:t>troduced</w:t>
      </w:r>
      <w:r w:rsidRPr="00D920C9">
        <w:rPr>
          <w:rFonts w:asciiTheme="minorHAnsi" w:hAnsiTheme="minorHAnsi"/>
          <w:szCs w:val="20"/>
        </w:rPr>
        <w:t xml:space="preserve"> in the 1980s</w:t>
      </w:r>
      <w:r w:rsidR="008F5279" w:rsidRPr="00D920C9">
        <w:rPr>
          <w:rFonts w:asciiTheme="minorHAnsi" w:hAnsiTheme="minorHAnsi"/>
          <w:szCs w:val="20"/>
        </w:rPr>
        <w:t xml:space="preserve"> by two criminologists</w:t>
      </w:r>
      <w:r w:rsidR="00B4412C" w:rsidRPr="00D920C9">
        <w:rPr>
          <w:rFonts w:asciiTheme="minorHAnsi" w:hAnsiTheme="minorHAnsi"/>
          <w:szCs w:val="20"/>
        </w:rPr>
        <w:t xml:space="preserve"> who suggested that crime flourishes in environments of lax law enforcement.</w:t>
      </w:r>
      <w:r w:rsidR="00B4412C" w:rsidRPr="00D920C9">
        <w:rPr>
          <w:rFonts w:asciiTheme="minorHAnsi" w:hAnsiTheme="minorHAnsi"/>
          <w:vertAlign w:val="superscript"/>
        </w:rPr>
        <w:footnoteReference w:id="101"/>
      </w:r>
      <w:r w:rsidR="00B4412C" w:rsidRPr="00D920C9">
        <w:rPr>
          <w:rFonts w:asciiTheme="minorHAnsi" w:hAnsiTheme="minorHAnsi"/>
          <w:szCs w:val="20"/>
        </w:rPr>
        <w:t xml:space="preserve"> To remedy this, they proposed increasing policing of small “quality of life” offenses like loitering, vandalism, trespassing, and public consumption of alcohol, considering </w:t>
      </w:r>
      <w:r w:rsidRPr="00D920C9">
        <w:rPr>
          <w:rFonts w:asciiTheme="minorHAnsi" w:hAnsiTheme="minorHAnsi"/>
          <w:szCs w:val="20"/>
        </w:rPr>
        <w:t>them</w:t>
      </w:r>
      <w:r w:rsidR="00B4412C" w:rsidRPr="00D920C9">
        <w:rPr>
          <w:rFonts w:asciiTheme="minorHAnsi" w:hAnsiTheme="minorHAnsi"/>
          <w:szCs w:val="20"/>
        </w:rPr>
        <w:t xml:space="preserve"> “gateways” to the commission of more serious crimes.</w:t>
      </w:r>
      <w:r w:rsidR="00B4412C" w:rsidRPr="00D920C9">
        <w:rPr>
          <w:rFonts w:asciiTheme="minorHAnsi" w:hAnsiTheme="minorHAnsi"/>
          <w:vertAlign w:val="superscript"/>
        </w:rPr>
        <w:footnoteReference w:id="102"/>
      </w:r>
      <w:r w:rsidR="00B4412C" w:rsidRPr="00D920C9">
        <w:rPr>
          <w:rFonts w:asciiTheme="minorHAnsi" w:hAnsiTheme="minorHAnsi"/>
          <w:szCs w:val="20"/>
        </w:rPr>
        <w:t xml:space="preserve"> The theory calls for an aggressive, arrest-based approach to policing and the heavy criminalization of petty offenses.</w:t>
      </w:r>
      <w:bookmarkStart w:id="45" w:name="_Ref511832973"/>
      <w:r w:rsidR="00B4412C" w:rsidRPr="00D920C9">
        <w:rPr>
          <w:rFonts w:asciiTheme="minorHAnsi" w:hAnsiTheme="minorHAnsi"/>
          <w:vertAlign w:val="superscript"/>
        </w:rPr>
        <w:footnoteReference w:id="103"/>
      </w:r>
      <w:bookmarkStart w:id="46" w:name="_Ref507147678"/>
      <w:bookmarkEnd w:id="44"/>
      <w:bookmarkEnd w:id="45"/>
      <w:r w:rsidR="006F758A" w:rsidRPr="00D920C9">
        <w:rPr>
          <w:rFonts w:asciiTheme="minorHAnsi" w:hAnsiTheme="minorHAnsi"/>
          <w:szCs w:val="20"/>
        </w:rPr>
        <w:t xml:space="preserve"> </w:t>
      </w:r>
      <w:r w:rsidR="00B4412C" w:rsidRPr="00D920C9">
        <w:rPr>
          <w:rFonts w:asciiTheme="minorHAnsi" w:hAnsiTheme="minorHAnsi"/>
          <w:szCs w:val="20"/>
        </w:rPr>
        <w:t xml:space="preserve">This theory was piloted as policy in </w:t>
      </w:r>
      <w:r w:rsidR="00B4412C" w:rsidRPr="00D920C9">
        <w:rPr>
          <w:rFonts w:asciiTheme="minorHAnsi" w:hAnsiTheme="minorHAnsi"/>
          <w:szCs w:val="20"/>
        </w:rPr>
        <w:lastRenderedPageBreak/>
        <w:t xml:space="preserve">New York City in the 1990s, and later in other major urban areas </w:t>
      </w:r>
      <w:r w:rsidR="008819BD" w:rsidRPr="00D920C9">
        <w:rPr>
          <w:rFonts w:asciiTheme="minorHAnsi" w:hAnsiTheme="minorHAnsi"/>
          <w:szCs w:val="20"/>
        </w:rPr>
        <w:t>like</w:t>
      </w:r>
      <w:r w:rsidR="00B4412C" w:rsidRPr="00D920C9">
        <w:rPr>
          <w:rFonts w:asciiTheme="minorHAnsi" w:hAnsiTheme="minorHAnsi"/>
          <w:szCs w:val="20"/>
        </w:rPr>
        <w:t xml:space="preserve"> Los Angeles, Chicago, Boston, and Denver.</w:t>
      </w:r>
      <w:r w:rsidR="00B4412C" w:rsidRPr="00D920C9">
        <w:rPr>
          <w:rFonts w:asciiTheme="minorHAnsi" w:hAnsiTheme="minorHAnsi"/>
          <w:vertAlign w:val="superscript"/>
        </w:rPr>
        <w:footnoteReference w:id="104"/>
      </w:r>
      <w:r w:rsidR="00B4412C" w:rsidRPr="00D920C9">
        <w:rPr>
          <w:rFonts w:asciiTheme="minorHAnsi" w:hAnsiTheme="minorHAnsi"/>
          <w:szCs w:val="20"/>
        </w:rPr>
        <w:t xml:space="preserve"> </w:t>
      </w:r>
      <w:r w:rsidRPr="00D920C9">
        <w:rPr>
          <w:rFonts w:asciiTheme="minorHAnsi" w:hAnsiTheme="minorHAnsi"/>
          <w:szCs w:val="20"/>
        </w:rPr>
        <w:t>S</w:t>
      </w:r>
      <w:r w:rsidR="00B4412C" w:rsidRPr="00D920C9">
        <w:rPr>
          <w:rFonts w:asciiTheme="minorHAnsi" w:hAnsiTheme="minorHAnsi"/>
          <w:szCs w:val="20"/>
        </w:rPr>
        <w:t xml:space="preserve">tudies have found little impact of “Broken Windows”-type </w:t>
      </w:r>
      <w:r w:rsidR="006F758A" w:rsidRPr="00D920C9">
        <w:rPr>
          <w:rFonts w:asciiTheme="minorHAnsi" w:hAnsiTheme="minorHAnsi"/>
          <w:szCs w:val="20"/>
        </w:rPr>
        <w:t xml:space="preserve">programs on overall crime rates, but the policy has </w:t>
      </w:r>
      <w:r w:rsidR="00643D1F" w:rsidRPr="00D920C9">
        <w:rPr>
          <w:rFonts w:asciiTheme="minorHAnsi" w:hAnsiTheme="minorHAnsi"/>
          <w:szCs w:val="20"/>
        </w:rPr>
        <w:t xml:space="preserve">had a clear discriminatory impact on </w:t>
      </w:r>
      <w:r w:rsidR="008819BD" w:rsidRPr="00D920C9">
        <w:rPr>
          <w:rFonts w:asciiTheme="minorHAnsi" w:hAnsiTheme="minorHAnsi"/>
          <w:szCs w:val="20"/>
        </w:rPr>
        <w:t>Blacks</w:t>
      </w:r>
      <w:r w:rsidR="00643D1F" w:rsidRPr="00D920C9">
        <w:rPr>
          <w:rFonts w:asciiTheme="minorHAnsi" w:hAnsiTheme="minorHAnsi"/>
          <w:szCs w:val="20"/>
        </w:rPr>
        <w:t>.</w:t>
      </w:r>
      <w:r w:rsidR="00643D1F" w:rsidRPr="00D920C9">
        <w:rPr>
          <w:rFonts w:asciiTheme="minorHAnsi" w:hAnsiTheme="minorHAnsi"/>
          <w:vertAlign w:val="superscript"/>
        </w:rPr>
        <w:footnoteReference w:id="105"/>
      </w:r>
      <w:bookmarkEnd w:id="46"/>
    </w:p>
    <w:p w14:paraId="673288CC" w14:textId="77777777" w:rsidR="00B4412C" w:rsidRPr="00D920C9" w:rsidRDefault="001B2BE6" w:rsidP="002C64F8">
      <w:pPr>
        <w:pStyle w:val="ListParagraph"/>
        <w:numPr>
          <w:ilvl w:val="0"/>
          <w:numId w:val="9"/>
        </w:numPr>
        <w:spacing w:after="240" w:line="240" w:lineRule="auto"/>
        <w:ind w:left="547" w:hanging="547"/>
        <w:contextualSpacing w:val="0"/>
        <w:jc w:val="both"/>
        <w:rPr>
          <w:rFonts w:asciiTheme="minorHAnsi" w:hAnsiTheme="minorHAnsi"/>
          <w:szCs w:val="20"/>
        </w:rPr>
      </w:pPr>
      <w:bookmarkStart w:id="47" w:name="_Ref507148704"/>
      <w:r w:rsidRPr="00D920C9">
        <w:rPr>
          <w:rFonts w:asciiTheme="minorHAnsi" w:hAnsiTheme="minorHAnsi"/>
          <w:szCs w:val="20"/>
        </w:rPr>
        <w:t>Finally, the Commission notes that a</w:t>
      </w:r>
      <w:r w:rsidR="00B4412C" w:rsidRPr="00D920C9">
        <w:rPr>
          <w:rFonts w:asciiTheme="minorHAnsi" w:hAnsiTheme="minorHAnsi"/>
          <w:szCs w:val="20"/>
        </w:rPr>
        <w:t xml:space="preserve">t least since the 1990s, local police departments have </w:t>
      </w:r>
      <w:r w:rsidR="008819BD" w:rsidRPr="00D920C9">
        <w:rPr>
          <w:rFonts w:asciiTheme="minorHAnsi" w:hAnsiTheme="minorHAnsi"/>
          <w:szCs w:val="20"/>
        </w:rPr>
        <w:t>been</w:t>
      </w:r>
      <w:r w:rsidR="00B4412C" w:rsidRPr="00D920C9">
        <w:rPr>
          <w:rFonts w:asciiTheme="minorHAnsi" w:hAnsiTheme="minorHAnsi"/>
          <w:szCs w:val="20"/>
        </w:rPr>
        <w:t xml:space="preserve"> increasingly militarized as a result of federal programs that use equipment transfers and funding to encourage state and local police agencies to fight the “War on Drugs</w:t>
      </w:r>
      <w:r w:rsidR="008819BD" w:rsidRPr="00D920C9">
        <w:rPr>
          <w:rFonts w:asciiTheme="minorHAnsi" w:hAnsiTheme="minorHAnsi"/>
          <w:szCs w:val="20"/>
        </w:rPr>
        <w:t>.</w:t>
      </w:r>
      <w:r w:rsidR="00B4412C" w:rsidRPr="00D920C9">
        <w:rPr>
          <w:rFonts w:asciiTheme="minorHAnsi" w:hAnsiTheme="minorHAnsi"/>
          <w:szCs w:val="20"/>
        </w:rPr>
        <w:t xml:space="preserve">” </w:t>
      </w:r>
      <w:r w:rsidR="00426016" w:rsidRPr="00D920C9">
        <w:rPr>
          <w:rFonts w:asciiTheme="minorHAnsi" w:hAnsiTheme="minorHAnsi"/>
          <w:szCs w:val="20"/>
        </w:rPr>
        <w:t>These programs include the Department of Defense (DOD) 1033 Program, enacted in 1989 and expanded in 1996, which transfers equipment for “counterdrug and counterterrorism activities.”</w:t>
      </w:r>
      <w:r w:rsidR="00B4412C" w:rsidRPr="00D920C9">
        <w:rPr>
          <w:rFonts w:asciiTheme="minorHAnsi" w:hAnsiTheme="minorHAnsi"/>
          <w:vertAlign w:val="superscript"/>
        </w:rPr>
        <w:footnoteReference w:id="106"/>
      </w:r>
      <w:r w:rsidR="00B4412C" w:rsidRPr="00D920C9">
        <w:rPr>
          <w:rFonts w:asciiTheme="minorHAnsi" w:hAnsiTheme="minorHAnsi"/>
          <w:szCs w:val="20"/>
        </w:rPr>
        <w:t xml:space="preserve"> The Department of Justice (DOJ) and Department of Homeland Security (DHS) </w:t>
      </w:r>
      <w:r w:rsidR="008819BD" w:rsidRPr="00D920C9">
        <w:rPr>
          <w:rFonts w:asciiTheme="minorHAnsi" w:hAnsiTheme="minorHAnsi"/>
          <w:szCs w:val="20"/>
        </w:rPr>
        <w:t>also</w:t>
      </w:r>
      <w:r w:rsidR="00B4412C" w:rsidRPr="00D920C9">
        <w:rPr>
          <w:rFonts w:asciiTheme="minorHAnsi" w:hAnsiTheme="minorHAnsi"/>
          <w:szCs w:val="20"/>
        </w:rPr>
        <w:t xml:space="preserve"> provide fund</w:t>
      </w:r>
      <w:r w:rsidR="008819BD" w:rsidRPr="00D920C9">
        <w:rPr>
          <w:rFonts w:asciiTheme="minorHAnsi" w:hAnsiTheme="minorHAnsi"/>
          <w:szCs w:val="20"/>
        </w:rPr>
        <w:t>s</w:t>
      </w:r>
      <w:r w:rsidR="00B4412C" w:rsidRPr="00D920C9">
        <w:rPr>
          <w:rFonts w:asciiTheme="minorHAnsi" w:hAnsiTheme="minorHAnsi"/>
          <w:szCs w:val="20"/>
        </w:rPr>
        <w:t xml:space="preserve"> for local police departments to acquire military-grade equipment. Since the declaration of the “War on Terror” in the early 2000s, DHS grants for anti-terrorism work have led to even greater stockpiling of specialized military equipment</w:t>
      </w:r>
      <w:r w:rsidR="0031560A" w:rsidRPr="00D920C9">
        <w:rPr>
          <w:rFonts w:asciiTheme="minorHAnsi" w:hAnsiTheme="minorHAnsi"/>
          <w:szCs w:val="20"/>
        </w:rPr>
        <w:t xml:space="preserve"> by local police departments</w:t>
      </w:r>
      <w:r w:rsidR="00B4412C" w:rsidRPr="00D920C9">
        <w:rPr>
          <w:rFonts w:asciiTheme="minorHAnsi" w:hAnsiTheme="minorHAnsi"/>
          <w:szCs w:val="20"/>
        </w:rPr>
        <w:t xml:space="preserve"> in the name of anti-terror readiness.</w:t>
      </w:r>
      <w:r w:rsidR="00B4412C" w:rsidRPr="00D920C9">
        <w:rPr>
          <w:rStyle w:val="FootnoteReference"/>
          <w:rFonts w:asciiTheme="minorHAnsi" w:hAnsiTheme="minorHAnsi"/>
          <w:szCs w:val="20"/>
        </w:rPr>
        <w:footnoteReference w:id="107"/>
      </w:r>
      <w:bookmarkEnd w:id="47"/>
    </w:p>
    <w:p w14:paraId="18B6EB7B" w14:textId="77777777" w:rsidR="00B4412C" w:rsidRPr="00D920C9" w:rsidRDefault="00B4412C" w:rsidP="002F0905">
      <w:pPr>
        <w:pStyle w:val="Heading2"/>
        <w:ind w:left="540" w:hanging="540"/>
      </w:pPr>
      <w:bookmarkStart w:id="48" w:name="_Toc511837808"/>
      <w:bookmarkStart w:id="49" w:name="_Toc511902981"/>
      <w:bookmarkStart w:id="50" w:name="_Toc517687911"/>
      <w:r w:rsidRPr="00D920C9">
        <w:t xml:space="preserve">Key issues </w:t>
      </w:r>
      <w:r w:rsidR="005E5723" w:rsidRPr="00D920C9">
        <w:t xml:space="preserve">Identified </w:t>
      </w:r>
      <w:r w:rsidR="003A6467" w:rsidRPr="00D920C9">
        <w:t xml:space="preserve">through IACHR </w:t>
      </w:r>
      <w:r w:rsidR="005E5723" w:rsidRPr="00D920C9">
        <w:t>Monitoring Mechanisms</w:t>
      </w:r>
      <w:bookmarkEnd w:id="48"/>
      <w:bookmarkEnd w:id="49"/>
      <w:bookmarkEnd w:id="50"/>
    </w:p>
    <w:p w14:paraId="3C747A57" w14:textId="77777777" w:rsidR="00B4412C" w:rsidRPr="00D920C9" w:rsidRDefault="00426016" w:rsidP="002C64F8">
      <w:pPr>
        <w:pStyle w:val="ListParagraph"/>
        <w:numPr>
          <w:ilvl w:val="0"/>
          <w:numId w:val="9"/>
        </w:numPr>
        <w:spacing w:after="240" w:line="240" w:lineRule="auto"/>
        <w:ind w:left="547" w:hanging="547"/>
        <w:contextualSpacing w:val="0"/>
        <w:jc w:val="both"/>
        <w:rPr>
          <w:rFonts w:asciiTheme="minorHAnsi" w:eastAsia="Times New Roman" w:hAnsiTheme="minorHAnsi" w:cs="Gotham-Book"/>
          <w:szCs w:val="20"/>
          <w:lang w:eastAsia="es-ES"/>
        </w:rPr>
      </w:pPr>
      <w:r w:rsidRPr="00D920C9">
        <w:rPr>
          <w:rFonts w:asciiTheme="minorHAnsi" w:hAnsiTheme="minorHAnsi"/>
          <w:szCs w:val="20"/>
        </w:rPr>
        <w:t>In recent</w:t>
      </w:r>
      <w:r w:rsidR="00B4412C" w:rsidRPr="00D920C9">
        <w:rPr>
          <w:rFonts w:asciiTheme="minorHAnsi" w:hAnsiTheme="minorHAnsi"/>
          <w:szCs w:val="20"/>
        </w:rPr>
        <w:t xml:space="preserve"> years, the Commission has monitored and receive</w:t>
      </w:r>
      <w:r w:rsidRPr="00D920C9">
        <w:rPr>
          <w:rFonts w:asciiTheme="minorHAnsi" w:hAnsiTheme="minorHAnsi"/>
          <w:szCs w:val="20"/>
        </w:rPr>
        <w:t>d</w:t>
      </w:r>
      <w:r w:rsidR="00B4412C" w:rsidRPr="00D920C9">
        <w:rPr>
          <w:rFonts w:asciiTheme="minorHAnsi" w:hAnsiTheme="minorHAnsi"/>
          <w:szCs w:val="20"/>
        </w:rPr>
        <w:t xml:space="preserve"> information </w:t>
      </w:r>
      <w:r w:rsidRPr="00D920C9">
        <w:rPr>
          <w:rFonts w:asciiTheme="minorHAnsi" w:eastAsia="Times New Roman" w:hAnsiTheme="minorHAnsi" w:cs="Gotham-Book"/>
          <w:szCs w:val="20"/>
          <w:lang w:eastAsia="es-ES"/>
        </w:rPr>
        <w:t>about</w:t>
      </w:r>
      <w:r w:rsidR="00B4412C" w:rsidRPr="00D920C9">
        <w:rPr>
          <w:rFonts w:asciiTheme="minorHAnsi" w:eastAsia="Times New Roman" w:hAnsiTheme="minorHAnsi" w:cs="Gotham-Book"/>
          <w:szCs w:val="20"/>
          <w:lang w:eastAsia="es-ES"/>
        </w:rPr>
        <w:t xml:space="preserve"> persistent problem</w:t>
      </w:r>
      <w:r w:rsidR="001B2BE6" w:rsidRPr="00D920C9">
        <w:rPr>
          <w:rFonts w:asciiTheme="minorHAnsi" w:eastAsia="Times New Roman" w:hAnsiTheme="minorHAnsi" w:cs="Gotham-Book"/>
          <w:szCs w:val="20"/>
          <w:lang w:eastAsia="es-ES"/>
        </w:rPr>
        <w:t>s</w:t>
      </w:r>
      <w:r w:rsidR="00B4412C" w:rsidRPr="00D920C9">
        <w:rPr>
          <w:rFonts w:asciiTheme="minorHAnsi" w:eastAsia="Times New Roman" w:hAnsiTheme="minorHAnsi" w:cs="Gotham-Book"/>
          <w:szCs w:val="20"/>
          <w:lang w:eastAsia="es-ES"/>
        </w:rPr>
        <w:t xml:space="preserve"> of structural discrimination and racial disparities that permeate law enforcement </w:t>
      </w:r>
      <w:r w:rsidRPr="00D920C9">
        <w:rPr>
          <w:rFonts w:asciiTheme="minorHAnsi" w:eastAsia="Times New Roman" w:hAnsiTheme="minorHAnsi" w:cs="Gotham-Book"/>
          <w:szCs w:val="20"/>
          <w:lang w:eastAsia="es-ES"/>
        </w:rPr>
        <w:t xml:space="preserve">practices </w:t>
      </w:r>
      <w:r w:rsidR="00B4412C" w:rsidRPr="00D920C9">
        <w:rPr>
          <w:rFonts w:asciiTheme="minorHAnsi" w:eastAsia="Times New Roman" w:hAnsiTheme="minorHAnsi" w:cs="Gotham-Book"/>
          <w:szCs w:val="20"/>
          <w:lang w:eastAsia="es-ES"/>
        </w:rPr>
        <w:t xml:space="preserve">and the criminal justice </w:t>
      </w:r>
      <w:r w:rsidR="00B4412C" w:rsidRPr="00D920C9">
        <w:rPr>
          <w:rFonts w:asciiTheme="minorHAnsi" w:hAnsiTheme="minorHAnsi"/>
          <w:szCs w:val="20"/>
        </w:rPr>
        <w:t>system</w:t>
      </w:r>
      <w:r w:rsidR="00B4412C" w:rsidRPr="00D920C9">
        <w:rPr>
          <w:rFonts w:asciiTheme="minorHAnsi" w:eastAsia="Times New Roman" w:hAnsiTheme="minorHAnsi" w:cs="Gotham-Book"/>
          <w:szCs w:val="20"/>
          <w:lang w:eastAsia="es-ES"/>
        </w:rPr>
        <w:t xml:space="preserve"> in the United States. This section details information about particularly concerning practices in these </w:t>
      </w:r>
      <w:r w:rsidR="0031560A" w:rsidRPr="00D920C9">
        <w:rPr>
          <w:rFonts w:asciiTheme="minorHAnsi" w:eastAsia="Times New Roman" w:hAnsiTheme="minorHAnsi" w:cs="Gotham-Book"/>
          <w:szCs w:val="20"/>
          <w:lang w:eastAsia="es-ES"/>
        </w:rPr>
        <w:t xml:space="preserve">and related </w:t>
      </w:r>
      <w:r w:rsidR="00B4412C" w:rsidRPr="00D920C9">
        <w:rPr>
          <w:rFonts w:asciiTheme="minorHAnsi" w:eastAsia="Times New Roman" w:hAnsiTheme="minorHAnsi" w:cs="Gotham-Book"/>
          <w:szCs w:val="20"/>
          <w:lang w:eastAsia="es-ES"/>
        </w:rPr>
        <w:t>areas, before turning to the</w:t>
      </w:r>
      <w:r w:rsidRPr="00D920C9">
        <w:rPr>
          <w:rFonts w:asciiTheme="minorHAnsi" w:eastAsia="Times New Roman" w:hAnsiTheme="minorHAnsi" w:cs="Gotham-Book"/>
          <w:szCs w:val="20"/>
          <w:lang w:eastAsia="es-ES"/>
        </w:rPr>
        <w:t xml:space="preserve"> applicable</w:t>
      </w:r>
      <w:r w:rsidR="00B4412C" w:rsidRPr="00D920C9">
        <w:rPr>
          <w:rFonts w:asciiTheme="minorHAnsi" w:eastAsia="Times New Roman" w:hAnsiTheme="minorHAnsi" w:cs="Gotham-Book"/>
          <w:szCs w:val="20"/>
          <w:lang w:eastAsia="es-ES"/>
        </w:rPr>
        <w:t xml:space="preserve"> international legal standards and the obligations of government—federal, state, and local—in this area.</w:t>
      </w:r>
    </w:p>
    <w:p w14:paraId="4248EA8A" w14:textId="77777777" w:rsidR="003D7958" w:rsidRDefault="003D7958">
      <w:pPr>
        <w:spacing w:after="0" w:line="240" w:lineRule="auto"/>
        <w:rPr>
          <w:rFonts w:asciiTheme="minorHAnsi" w:hAnsiTheme="minorHAnsi"/>
          <w:b/>
          <w:sz w:val="24"/>
          <w:szCs w:val="20"/>
        </w:rPr>
      </w:pPr>
      <w:bookmarkStart w:id="51" w:name="_Toc511837809"/>
      <w:bookmarkStart w:id="52" w:name="_Toc511902982"/>
      <w:bookmarkStart w:id="53" w:name="_Toc517687912"/>
      <w:r>
        <w:br w:type="page"/>
      </w:r>
    </w:p>
    <w:p w14:paraId="48389704" w14:textId="407ACE4B" w:rsidR="00B4412C" w:rsidRPr="00D920C9" w:rsidRDefault="003A6467" w:rsidP="003D7958">
      <w:pPr>
        <w:pStyle w:val="Heading3"/>
        <w:numPr>
          <w:ilvl w:val="0"/>
          <w:numId w:val="32"/>
        </w:numPr>
        <w:ind w:left="540" w:hanging="540"/>
      </w:pPr>
      <w:r w:rsidRPr="00D920C9">
        <w:lastRenderedPageBreak/>
        <w:t xml:space="preserve">Aspects of </w:t>
      </w:r>
      <w:r w:rsidR="005E5723" w:rsidRPr="00D920C9">
        <w:t xml:space="preserve">Racial Discrimination </w:t>
      </w:r>
      <w:r w:rsidR="00B4412C" w:rsidRPr="00D920C9">
        <w:t xml:space="preserve">in </w:t>
      </w:r>
      <w:r w:rsidR="005E5723" w:rsidRPr="00D920C9">
        <w:t xml:space="preserve">Policing Practices </w:t>
      </w:r>
      <w:r w:rsidR="00B4412C" w:rsidRPr="00D920C9">
        <w:t xml:space="preserve">and </w:t>
      </w:r>
      <w:r w:rsidR="005E5723" w:rsidRPr="00D920C9">
        <w:t>Outcomes</w:t>
      </w:r>
      <w:bookmarkEnd w:id="51"/>
      <w:bookmarkEnd w:id="52"/>
      <w:bookmarkEnd w:id="53"/>
    </w:p>
    <w:p w14:paraId="3E0646F3" w14:textId="77777777" w:rsidR="00B4412C" w:rsidRPr="00D920C9" w:rsidRDefault="00B4412C" w:rsidP="002C64F8">
      <w:pPr>
        <w:pStyle w:val="ListParagraph"/>
        <w:numPr>
          <w:ilvl w:val="0"/>
          <w:numId w:val="9"/>
        </w:numPr>
        <w:spacing w:after="240" w:line="240" w:lineRule="auto"/>
        <w:ind w:left="547" w:hanging="547"/>
        <w:contextualSpacing w:val="0"/>
        <w:jc w:val="both"/>
        <w:rPr>
          <w:rFonts w:asciiTheme="minorHAnsi" w:hAnsiTheme="minorHAnsi"/>
          <w:szCs w:val="20"/>
        </w:rPr>
      </w:pPr>
      <w:r w:rsidRPr="00D920C9">
        <w:rPr>
          <w:rFonts w:asciiTheme="minorHAnsi" w:hAnsiTheme="minorHAnsi"/>
          <w:szCs w:val="20"/>
        </w:rPr>
        <w:t xml:space="preserve">The Commission </w:t>
      </w:r>
      <w:r w:rsidR="00A4515B" w:rsidRPr="00D920C9">
        <w:rPr>
          <w:rFonts w:asciiTheme="minorHAnsi" w:hAnsiTheme="minorHAnsi"/>
          <w:szCs w:val="20"/>
        </w:rPr>
        <w:t>is</w:t>
      </w:r>
      <w:r w:rsidRPr="00D920C9">
        <w:rPr>
          <w:rFonts w:asciiTheme="minorHAnsi" w:hAnsiTheme="minorHAnsi"/>
          <w:szCs w:val="20"/>
        </w:rPr>
        <w:t xml:space="preserve"> particularly concerned by persistent problems </w:t>
      </w:r>
      <w:r w:rsidR="00A4515B" w:rsidRPr="00D920C9">
        <w:rPr>
          <w:rFonts w:asciiTheme="minorHAnsi" w:hAnsiTheme="minorHAnsi"/>
          <w:szCs w:val="20"/>
        </w:rPr>
        <w:t>of</w:t>
      </w:r>
      <w:r w:rsidRPr="00D920C9">
        <w:rPr>
          <w:rFonts w:asciiTheme="minorHAnsi" w:hAnsiTheme="minorHAnsi"/>
          <w:szCs w:val="20"/>
        </w:rPr>
        <w:t xml:space="preserve"> racial bias in policing, use of excessive force, and a pattern of impunity for the officers and law enforcement departments </w:t>
      </w:r>
      <w:r w:rsidR="00BC2D83" w:rsidRPr="00D920C9">
        <w:rPr>
          <w:rFonts w:asciiTheme="minorHAnsi" w:hAnsiTheme="minorHAnsi"/>
          <w:szCs w:val="20"/>
        </w:rPr>
        <w:t>involved</w:t>
      </w:r>
      <w:r w:rsidRPr="00D920C9">
        <w:rPr>
          <w:rFonts w:asciiTheme="minorHAnsi" w:hAnsiTheme="minorHAnsi"/>
          <w:szCs w:val="20"/>
        </w:rPr>
        <w:t>.</w:t>
      </w:r>
      <w:r w:rsidRPr="00D920C9">
        <w:rPr>
          <w:rStyle w:val="FootnoteReference"/>
          <w:rFonts w:asciiTheme="minorHAnsi" w:hAnsiTheme="minorHAnsi"/>
          <w:szCs w:val="20"/>
        </w:rPr>
        <w:footnoteReference w:id="108"/>
      </w:r>
      <w:r w:rsidRPr="00D920C9">
        <w:rPr>
          <w:rFonts w:asciiTheme="minorHAnsi" w:hAnsiTheme="minorHAnsi"/>
          <w:szCs w:val="20"/>
        </w:rPr>
        <w:t xml:space="preserve"> </w:t>
      </w:r>
      <w:r w:rsidR="008819BD" w:rsidRPr="00D920C9">
        <w:rPr>
          <w:rFonts w:asciiTheme="minorHAnsi" w:hAnsiTheme="minorHAnsi"/>
          <w:szCs w:val="20"/>
        </w:rPr>
        <w:t>While cases like those of Rodney King, beaten by Los Angeles police in 1992,</w:t>
      </w:r>
      <w:r w:rsidR="00234C1F" w:rsidRPr="00D920C9">
        <w:rPr>
          <w:rStyle w:val="FootnoteReference"/>
          <w:rFonts w:asciiTheme="minorHAnsi" w:hAnsiTheme="minorHAnsi"/>
          <w:szCs w:val="20"/>
        </w:rPr>
        <w:footnoteReference w:id="109"/>
      </w:r>
      <w:r w:rsidR="008819BD" w:rsidRPr="00D920C9">
        <w:rPr>
          <w:rFonts w:asciiTheme="minorHAnsi" w:hAnsiTheme="minorHAnsi"/>
          <w:szCs w:val="20"/>
        </w:rPr>
        <w:t xml:space="preserve"> or </w:t>
      </w:r>
      <w:proofErr w:type="spellStart"/>
      <w:r w:rsidR="008819BD" w:rsidRPr="00D920C9">
        <w:rPr>
          <w:rFonts w:asciiTheme="minorHAnsi" w:hAnsiTheme="minorHAnsi"/>
          <w:szCs w:val="20"/>
        </w:rPr>
        <w:t>Amadou</w:t>
      </w:r>
      <w:proofErr w:type="spellEnd"/>
      <w:r w:rsidR="008819BD" w:rsidRPr="00D920C9">
        <w:rPr>
          <w:rFonts w:asciiTheme="minorHAnsi" w:hAnsiTheme="minorHAnsi"/>
          <w:szCs w:val="20"/>
        </w:rPr>
        <w:t xml:space="preserve"> Diallo, killed by New York police in 2009,</w:t>
      </w:r>
      <w:r w:rsidR="00234C1F" w:rsidRPr="00D920C9">
        <w:rPr>
          <w:rFonts w:asciiTheme="minorHAnsi" w:hAnsiTheme="minorHAnsi"/>
          <w:vertAlign w:val="superscript"/>
        </w:rPr>
        <w:footnoteReference w:id="110"/>
      </w:r>
      <w:r w:rsidR="008819BD" w:rsidRPr="00D920C9">
        <w:rPr>
          <w:rFonts w:asciiTheme="minorHAnsi" w:hAnsiTheme="minorHAnsi"/>
          <w:szCs w:val="20"/>
        </w:rPr>
        <w:t xml:space="preserve"> </w:t>
      </w:r>
      <w:r w:rsidR="00234C1F" w:rsidRPr="00D920C9">
        <w:rPr>
          <w:rFonts w:asciiTheme="minorHAnsi" w:hAnsiTheme="minorHAnsi"/>
          <w:szCs w:val="20"/>
        </w:rPr>
        <w:t>sparked widespread public outrage, t</w:t>
      </w:r>
      <w:r w:rsidRPr="00D920C9">
        <w:rPr>
          <w:rFonts w:asciiTheme="minorHAnsi" w:hAnsiTheme="minorHAnsi"/>
          <w:szCs w:val="20"/>
        </w:rPr>
        <w:t xml:space="preserve">hese issues came to particular prominence </w:t>
      </w:r>
      <w:r w:rsidR="0031560A" w:rsidRPr="00D920C9">
        <w:rPr>
          <w:rFonts w:asciiTheme="minorHAnsi" w:hAnsiTheme="minorHAnsi"/>
          <w:szCs w:val="20"/>
        </w:rPr>
        <w:t xml:space="preserve">in the </w:t>
      </w:r>
      <w:r w:rsidR="00904A46" w:rsidRPr="00D920C9">
        <w:rPr>
          <w:rFonts w:asciiTheme="minorHAnsi" w:hAnsiTheme="minorHAnsi"/>
          <w:szCs w:val="20"/>
        </w:rPr>
        <w:t>U.S.</w:t>
      </w:r>
      <w:r w:rsidR="0031560A" w:rsidRPr="00D920C9">
        <w:rPr>
          <w:rFonts w:asciiTheme="minorHAnsi" w:hAnsiTheme="minorHAnsi"/>
          <w:szCs w:val="20"/>
        </w:rPr>
        <w:t xml:space="preserve"> </w:t>
      </w:r>
      <w:r w:rsidRPr="00D920C9">
        <w:rPr>
          <w:rFonts w:asciiTheme="minorHAnsi" w:hAnsiTheme="minorHAnsi"/>
          <w:szCs w:val="20"/>
        </w:rPr>
        <w:t>following the killing of Trayvon Martin, a Black teenager who was shot and killed by a private individual acting as part of a “neighborhood watch” in Sanford, Florida, on February 26, 2012.</w:t>
      </w:r>
      <w:r w:rsidRPr="00D920C9">
        <w:rPr>
          <w:rFonts w:asciiTheme="minorHAnsi" w:hAnsiTheme="minorHAnsi"/>
          <w:vertAlign w:val="superscript"/>
        </w:rPr>
        <w:footnoteReference w:id="111"/>
      </w:r>
      <w:r w:rsidRPr="00D920C9">
        <w:rPr>
          <w:rFonts w:asciiTheme="minorHAnsi" w:hAnsiTheme="minorHAnsi"/>
          <w:szCs w:val="20"/>
        </w:rPr>
        <w:t xml:space="preserve"> The subsequent high-profile shootings and deaths </w:t>
      </w:r>
      <w:r w:rsidR="00874C45" w:rsidRPr="00D920C9">
        <w:rPr>
          <w:rFonts w:asciiTheme="minorHAnsi" w:hAnsiTheme="minorHAnsi"/>
          <w:szCs w:val="20"/>
        </w:rPr>
        <w:t xml:space="preserve">at the hands of police </w:t>
      </w:r>
      <w:r w:rsidRPr="00D920C9">
        <w:rPr>
          <w:rFonts w:asciiTheme="minorHAnsi" w:hAnsiTheme="minorHAnsi"/>
          <w:szCs w:val="20"/>
        </w:rPr>
        <w:t xml:space="preserve">of </w:t>
      </w:r>
      <w:proofErr w:type="spellStart"/>
      <w:r w:rsidRPr="00D920C9">
        <w:rPr>
          <w:rFonts w:asciiTheme="minorHAnsi" w:hAnsiTheme="minorHAnsi"/>
          <w:szCs w:val="20"/>
        </w:rPr>
        <w:t>Rekia</w:t>
      </w:r>
      <w:proofErr w:type="spellEnd"/>
      <w:r w:rsidRPr="00D920C9">
        <w:rPr>
          <w:rFonts w:asciiTheme="minorHAnsi" w:hAnsiTheme="minorHAnsi"/>
          <w:szCs w:val="20"/>
        </w:rPr>
        <w:t xml:space="preserve"> Boyd in Chicago, Illinois; </w:t>
      </w:r>
      <w:r w:rsidR="0068010D" w:rsidRPr="00D920C9">
        <w:rPr>
          <w:rFonts w:asciiTheme="minorHAnsi" w:hAnsiTheme="minorHAnsi"/>
          <w:szCs w:val="20"/>
        </w:rPr>
        <w:t xml:space="preserve">Eric Garner in Long Island, New York; </w:t>
      </w:r>
      <w:r w:rsidRPr="00D920C9">
        <w:rPr>
          <w:rFonts w:asciiTheme="minorHAnsi" w:hAnsiTheme="minorHAnsi"/>
          <w:szCs w:val="20"/>
        </w:rPr>
        <w:t>Michael Brown in Ferguson, Misso</w:t>
      </w:r>
      <w:r w:rsidR="00234C1F" w:rsidRPr="00D920C9">
        <w:rPr>
          <w:rFonts w:asciiTheme="minorHAnsi" w:hAnsiTheme="minorHAnsi"/>
          <w:szCs w:val="20"/>
        </w:rPr>
        <w:t>uri; Laquan McDonald in Chicago, Illinois</w:t>
      </w:r>
      <w:r w:rsidRPr="00D920C9">
        <w:rPr>
          <w:rFonts w:asciiTheme="minorHAnsi" w:hAnsiTheme="minorHAnsi"/>
          <w:szCs w:val="20"/>
        </w:rPr>
        <w:t xml:space="preserve">; Akai Gurley in Brooklyn, New York; Walter Scott in North Charleston, South Carolina; </w:t>
      </w:r>
      <w:proofErr w:type="spellStart"/>
      <w:r w:rsidRPr="00D920C9">
        <w:rPr>
          <w:rFonts w:asciiTheme="minorHAnsi" w:hAnsiTheme="minorHAnsi"/>
          <w:szCs w:val="20"/>
        </w:rPr>
        <w:t>Tamir</w:t>
      </w:r>
      <w:proofErr w:type="spellEnd"/>
      <w:r w:rsidRPr="00D920C9">
        <w:rPr>
          <w:rFonts w:asciiTheme="minorHAnsi" w:hAnsiTheme="minorHAnsi"/>
          <w:szCs w:val="20"/>
        </w:rPr>
        <w:t xml:space="preserve"> Rice in Cleveland, Ohio; Freddie Gray in Baltimore, Maryland; Sandra Bland in Waller County, Texas; </w:t>
      </w:r>
      <w:proofErr w:type="spellStart"/>
      <w:r w:rsidRPr="00D920C9">
        <w:rPr>
          <w:rFonts w:asciiTheme="minorHAnsi" w:hAnsiTheme="minorHAnsi"/>
          <w:szCs w:val="20"/>
        </w:rPr>
        <w:t>Philando</w:t>
      </w:r>
      <w:proofErr w:type="spellEnd"/>
      <w:r w:rsidRPr="00D920C9">
        <w:rPr>
          <w:rFonts w:asciiTheme="minorHAnsi" w:hAnsiTheme="minorHAnsi"/>
          <w:szCs w:val="20"/>
        </w:rPr>
        <w:t xml:space="preserve"> Castile in Minneapolis, Minnesota; Alton Sterling in New Orleans, Louisiana; Terence Crutcher in Tulsa, Oklahoma</w:t>
      </w:r>
      <w:r w:rsidR="00A4515B" w:rsidRPr="00D920C9">
        <w:rPr>
          <w:rFonts w:asciiTheme="minorHAnsi" w:hAnsiTheme="minorHAnsi"/>
          <w:szCs w:val="20"/>
        </w:rPr>
        <w:t>; and Stephon Clark in Sacramento, California</w:t>
      </w:r>
      <w:r w:rsidRPr="00D920C9">
        <w:rPr>
          <w:rFonts w:asciiTheme="minorHAnsi" w:hAnsiTheme="minorHAnsi"/>
          <w:szCs w:val="20"/>
        </w:rPr>
        <w:t>—among hundreds of others who remain uncounted to date by the federal government—have fueled public discussion, activism by grassroots groups like Black Lives Matter,</w:t>
      </w:r>
      <w:r w:rsidR="00EA1368" w:rsidRPr="00D920C9">
        <w:rPr>
          <w:rFonts w:asciiTheme="minorHAnsi" w:hAnsiTheme="minorHAnsi"/>
          <w:vertAlign w:val="superscript"/>
        </w:rPr>
        <w:footnoteReference w:id="112"/>
      </w:r>
      <w:r w:rsidRPr="00D920C9">
        <w:rPr>
          <w:rFonts w:asciiTheme="minorHAnsi" w:hAnsiTheme="minorHAnsi"/>
          <w:szCs w:val="20"/>
        </w:rPr>
        <w:t xml:space="preserve"> federal investigations of police departments, repeated public protests across the country, and ongoing institutional reform</w:t>
      </w:r>
      <w:r w:rsidR="00A4515B" w:rsidRPr="00D920C9">
        <w:rPr>
          <w:rFonts w:asciiTheme="minorHAnsi" w:hAnsiTheme="minorHAnsi"/>
          <w:szCs w:val="20"/>
        </w:rPr>
        <w:t xml:space="preserve"> efforts</w:t>
      </w:r>
      <w:r w:rsidRPr="00D920C9">
        <w:rPr>
          <w:rFonts w:asciiTheme="minorHAnsi" w:hAnsiTheme="minorHAnsi"/>
          <w:szCs w:val="20"/>
        </w:rPr>
        <w:t xml:space="preserve">. The </w:t>
      </w:r>
      <w:r w:rsidR="00A4515B" w:rsidRPr="00D920C9">
        <w:rPr>
          <w:rFonts w:asciiTheme="minorHAnsi" w:hAnsiTheme="minorHAnsi"/>
          <w:szCs w:val="20"/>
        </w:rPr>
        <w:t>IACHR</w:t>
      </w:r>
      <w:r w:rsidRPr="00D920C9">
        <w:rPr>
          <w:rFonts w:asciiTheme="minorHAnsi" w:hAnsiTheme="minorHAnsi"/>
          <w:szCs w:val="20"/>
        </w:rPr>
        <w:t xml:space="preserve"> has reiterated since 2014 that these killings represent “a disturbing pattern of excessive force on the part of police officers towards African</w:t>
      </w:r>
      <w:r w:rsidR="0030356C" w:rsidRPr="00D920C9">
        <w:rPr>
          <w:rFonts w:asciiTheme="minorHAnsi" w:hAnsiTheme="minorHAnsi"/>
          <w:szCs w:val="20"/>
        </w:rPr>
        <w:t xml:space="preserve"> </w:t>
      </w:r>
      <w:r w:rsidRPr="00D920C9">
        <w:rPr>
          <w:rFonts w:asciiTheme="minorHAnsi" w:hAnsiTheme="minorHAnsi"/>
          <w:szCs w:val="20"/>
        </w:rPr>
        <w:t xml:space="preserve">Americans and other persons of color,” and has urged the State to evaluate </w:t>
      </w:r>
      <w:r w:rsidR="00A4515B" w:rsidRPr="00D920C9">
        <w:rPr>
          <w:rFonts w:asciiTheme="minorHAnsi" w:hAnsiTheme="minorHAnsi"/>
          <w:szCs w:val="20"/>
        </w:rPr>
        <w:t>an apparent</w:t>
      </w:r>
      <w:r w:rsidRPr="00D920C9">
        <w:rPr>
          <w:rFonts w:asciiTheme="minorHAnsi" w:hAnsiTheme="minorHAnsi"/>
          <w:szCs w:val="20"/>
        </w:rPr>
        <w:t xml:space="preserve"> pattern of use of excessive force against persons of color.</w:t>
      </w:r>
      <w:r w:rsidRPr="00D920C9">
        <w:rPr>
          <w:rFonts w:asciiTheme="minorHAnsi" w:hAnsiTheme="minorHAnsi"/>
          <w:vertAlign w:val="superscript"/>
        </w:rPr>
        <w:footnoteReference w:id="113"/>
      </w:r>
    </w:p>
    <w:p w14:paraId="11DCB198" w14:textId="77777777" w:rsidR="00B4412C" w:rsidRPr="00D920C9" w:rsidRDefault="00B4412C" w:rsidP="002C64F8">
      <w:pPr>
        <w:pStyle w:val="ListParagraph"/>
        <w:numPr>
          <w:ilvl w:val="0"/>
          <w:numId w:val="9"/>
        </w:numPr>
        <w:spacing w:after="240" w:line="240" w:lineRule="auto"/>
        <w:ind w:left="547" w:hanging="547"/>
        <w:contextualSpacing w:val="0"/>
        <w:jc w:val="both"/>
        <w:rPr>
          <w:rFonts w:asciiTheme="minorHAnsi" w:hAnsiTheme="minorHAnsi"/>
          <w:szCs w:val="20"/>
        </w:rPr>
      </w:pPr>
      <w:r w:rsidRPr="00D920C9">
        <w:rPr>
          <w:rFonts w:asciiTheme="minorHAnsi" w:hAnsiTheme="minorHAnsi"/>
          <w:szCs w:val="20"/>
        </w:rPr>
        <w:lastRenderedPageBreak/>
        <w:t>This section explores police excessive use of force against African</w:t>
      </w:r>
      <w:r w:rsidR="0030356C" w:rsidRPr="00D920C9">
        <w:rPr>
          <w:rFonts w:asciiTheme="minorHAnsi" w:hAnsiTheme="minorHAnsi"/>
          <w:szCs w:val="20"/>
        </w:rPr>
        <w:t xml:space="preserve"> </w:t>
      </w:r>
      <w:r w:rsidRPr="00D920C9">
        <w:rPr>
          <w:rFonts w:asciiTheme="minorHAnsi" w:hAnsiTheme="minorHAnsi"/>
          <w:szCs w:val="20"/>
        </w:rPr>
        <w:t xml:space="preserve">Americans and other </w:t>
      </w:r>
      <w:r w:rsidR="00404C93" w:rsidRPr="00D920C9">
        <w:rPr>
          <w:rFonts w:asciiTheme="minorHAnsi" w:hAnsiTheme="minorHAnsi"/>
          <w:szCs w:val="20"/>
        </w:rPr>
        <w:t>historically marginalized groups</w:t>
      </w:r>
      <w:r w:rsidRPr="00D920C9">
        <w:rPr>
          <w:rFonts w:asciiTheme="minorHAnsi" w:hAnsiTheme="minorHAnsi"/>
          <w:szCs w:val="20"/>
        </w:rPr>
        <w:t xml:space="preserve">, </w:t>
      </w:r>
      <w:r w:rsidR="001F60B3" w:rsidRPr="00D920C9">
        <w:rPr>
          <w:rFonts w:asciiTheme="minorHAnsi" w:hAnsiTheme="minorHAnsi"/>
          <w:szCs w:val="20"/>
        </w:rPr>
        <w:t>as well as</w:t>
      </w:r>
      <w:r w:rsidRPr="00D920C9">
        <w:rPr>
          <w:rFonts w:asciiTheme="minorHAnsi" w:hAnsiTheme="minorHAnsi"/>
          <w:szCs w:val="20"/>
        </w:rPr>
        <w:t xml:space="preserve"> related issues of police bias and discrimination in policing, suppression of protests, and a continuing pattern of impunity in cases of excessive use of force</w:t>
      </w:r>
      <w:r w:rsidR="001E466F" w:rsidRPr="00D920C9">
        <w:rPr>
          <w:rFonts w:asciiTheme="minorHAnsi" w:hAnsiTheme="minorHAnsi"/>
          <w:szCs w:val="20"/>
        </w:rPr>
        <w:t xml:space="preserve"> by police</w:t>
      </w:r>
      <w:r w:rsidRPr="00D920C9">
        <w:rPr>
          <w:rFonts w:asciiTheme="minorHAnsi" w:hAnsiTheme="minorHAnsi"/>
          <w:szCs w:val="20"/>
        </w:rPr>
        <w:t xml:space="preserve">. </w:t>
      </w:r>
      <w:r w:rsidR="00874C45" w:rsidRPr="00D920C9">
        <w:rPr>
          <w:rFonts w:asciiTheme="minorHAnsi" w:hAnsiTheme="minorHAnsi"/>
          <w:szCs w:val="20"/>
        </w:rPr>
        <w:t>T</w:t>
      </w:r>
      <w:r w:rsidRPr="00D920C9">
        <w:rPr>
          <w:rFonts w:asciiTheme="minorHAnsi" w:hAnsiTheme="minorHAnsi"/>
          <w:szCs w:val="20"/>
        </w:rPr>
        <w:t xml:space="preserve">he </w:t>
      </w:r>
      <w:proofErr w:type="spellStart"/>
      <w:r w:rsidRPr="00D920C9">
        <w:rPr>
          <w:rFonts w:asciiTheme="minorHAnsi" w:hAnsiTheme="minorHAnsi"/>
          <w:szCs w:val="20"/>
        </w:rPr>
        <w:t>Commissi</w:t>
      </w:r>
      <w:proofErr w:type="spellEnd"/>
      <w:r w:rsidRPr="00D920C9">
        <w:rPr>
          <w:rFonts w:asciiTheme="minorHAnsi" w:hAnsiTheme="minorHAnsi" w:cs="Arial"/>
          <w:szCs w:val="20"/>
          <w:lang w:val="en"/>
        </w:rPr>
        <w:t xml:space="preserve">on </w:t>
      </w:r>
      <w:r w:rsidR="00874C45" w:rsidRPr="00D920C9">
        <w:rPr>
          <w:rFonts w:asciiTheme="minorHAnsi" w:hAnsiTheme="minorHAnsi" w:cs="Arial"/>
          <w:szCs w:val="20"/>
          <w:lang w:val="en"/>
        </w:rPr>
        <w:t>has previously noted that</w:t>
      </w:r>
      <w:r w:rsidRPr="00D920C9">
        <w:rPr>
          <w:rFonts w:asciiTheme="minorHAnsi" w:hAnsiTheme="minorHAnsi" w:cs="Arial"/>
          <w:szCs w:val="20"/>
          <w:lang w:val="en"/>
        </w:rPr>
        <w:t xml:space="preserve"> "</w:t>
      </w:r>
      <w:r w:rsidR="00874C45" w:rsidRPr="00D920C9">
        <w:rPr>
          <w:rFonts w:asciiTheme="minorHAnsi" w:hAnsiTheme="minorHAnsi" w:cs="Arial"/>
          <w:szCs w:val="20"/>
          <w:lang w:val="en"/>
        </w:rPr>
        <w:t>[...]</w:t>
      </w:r>
      <w:r w:rsidRPr="00D920C9">
        <w:rPr>
          <w:rFonts w:asciiTheme="minorHAnsi" w:hAnsiTheme="minorHAnsi" w:cs="Arial"/>
          <w:szCs w:val="20"/>
          <w:lang w:val="en"/>
        </w:rPr>
        <w:t xml:space="preserve"> the main concerns related to excessive or arbitrary use of force </w:t>
      </w:r>
      <w:r w:rsidR="00874C45" w:rsidRPr="00D920C9">
        <w:rPr>
          <w:rFonts w:asciiTheme="minorHAnsi" w:hAnsiTheme="minorHAnsi" w:cs="Arial"/>
          <w:szCs w:val="20"/>
          <w:lang w:val="en"/>
        </w:rPr>
        <w:t>are</w:t>
      </w:r>
      <w:r w:rsidRPr="00D920C9">
        <w:rPr>
          <w:rFonts w:asciiTheme="minorHAnsi" w:hAnsiTheme="minorHAnsi" w:cs="Arial"/>
          <w:szCs w:val="20"/>
          <w:lang w:val="en"/>
        </w:rPr>
        <w:t xml:space="preserve"> focused on militarization of </w:t>
      </w:r>
      <w:r w:rsidR="00A4515B" w:rsidRPr="00D920C9">
        <w:rPr>
          <w:rFonts w:asciiTheme="minorHAnsi" w:hAnsiTheme="minorHAnsi" w:cs="Arial"/>
          <w:szCs w:val="20"/>
          <w:lang w:val="en"/>
        </w:rPr>
        <w:t>[]</w:t>
      </w:r>
      <w:r w:rsidRPr="00D920C9">
        <w:rPr>
          <w:rFonts w:asciiTheme="minorHAnsi" w:hAnsiTheme="minorHAnsi" w:cs="Arial"/>
          <w:szCs w:val="20"/>
          <w:lang w:val="en"/>
        </w:rPr>
        <w:t xml:space="preserve"> police </w:t>
      </w:r>
      <w:r w:rsidR="00A4515B" w:rsidRPr="00D920C9">
        <w:rPr>
          <w:rFonts w:asciiTheme="minorHAnsi" w:hAnsiTheme="minorHAnsi" w:cs="Arial"/>
          <w:szCs w:val="20"/>
          <w:lang w:val="en"/>
        </w:rPr>
        <w:t>[</w:t>
      </w:r>
      <w:r w:rsidRPr="00D920C9">
        <w:rPr>
          <w:rFonts w:asciiTheme="minorHAnsi" w:hAnsiTheme="minorHAnsi" w:cs="Arial"/>
          <w:szCs w:val="20"/>
          <w:lang w:val="en"/>
        </w:rPr>
        <w:t>equipment</w:t>
      </w:r>
      <w:r w:rsidR="00A4515B" w:rsidRPr="00D920C9">
        <w:rPr>
          <w:rFonts w:asciiTheme="minorHAnsi" w:hAnsiTheme="minorHAnsi" w:cs="Arial"/>
          <w:szCs w:val="20"/>
          <w:lang w:val="en"/>
        </w:rPr>
        <w:t>]</w:t>
      </w:r>
      <w:r w:rsidRPr="00D920C9">
        <w:rPr>
          <w:rFonts w:asciiTheme="minorHAnsi" w:hAnsiTheme="minorHAnsi" w:cs="Arial"/>
          <w:szCs w:val="20"/>
          <w:lang w:val="en"/>
        </w:rPr>
        <w:t>, the type of training they receive, the action protocols they use, and the difficulty with which police officers who are guilty of abuse or excessive use of force are held criminally liable and prosecuted."</w:t>
      </w:r>
      <w:r w:rsidRPr="00D920C9">
        <w:rPr>
          <w:rFonts w:asciiTheme="minorHAnsi" w:hAnsiTheme="minorHAnsi" w:cs="Arial"/>
          <w:szCs w:val="20"/>
          <w:vertAlign w:val="superscript"/>
          <w:lang w:val="en"/>
        </w:rPr>
        <w:footnoteReference w:id="114"/>
      </w:r>
    </w:p>
    <w:p w14:paraId="5A95DB79" w14:textId="77777777" w:rsidR="00B4412C" w:rsidRPr="00D920C9" w:rsidRDefault="00B4412C" w:rsidP="003D7958">
      <w:pPr>
        <w:pStyle w:val="Heading4"/>
        <w:ind w:left="540" w:hanging="540"/>
      </w:pPr>
      <w:bookmarkStart w:id="54" w:name="_Toc511837810"/>
      <w:bookmarkStart w:id="55" w:name="_Toc511902983"/>
      <w:bookmarkStart w:id="56" w:name="_Toc517687913"/>
      <w:r w:rsidRPr="00D920C9">
        <w:t>Over</w:t>
      </w:r>
      <w:r w:rsidR="003A6467" w:rsidRPr="00D920C9">
        <w:t>-</w:t>
      </w:r>
      <w:r w:rsidR="005E5723" w:rsidRPr="00D920C9">
        <w:t xml:space="preserve">Policing </w:t>
      </w:r>
      <w:r w:rsidR="003A6467" w:rsidRPr="00D920C9">
        <w:t xml:space="preserve">and </w:t>
      </w:r>
      <w:r w:rsidR="005E5723" w:rsidRPr="00D920C9">
        <w:t xml:space="preserve">Racial Profiling </w:t>
      </w:r>
      <w:r w:rsidR="003A6467" w:rsidRPr="00D920C9">
        <w:t>of African Americans</w:t>
      </w:r>
      <w:bookmarkEnd w:id="54"/>
      <w:bookmarkEnd w:id="55"/>
      <w:bookmarkEnd w:id="56"/>
    </w:p>
    <w:p w14:paraId="4211A732" w14:textId="77777777" w:rsidR="001767CD" w:rsidRPr="00D920C9" w:rsidRDefault="001767CD" w:rsidP="002C64F8">
      <w:pPr>
        <w:pStyle w:val="ListParagraph"/>
        <w:numPr>
          <w:ilvl w:val="0"/>
          <w:numId w:val="9"/>
        </w:numPr>
        <w:spacing w:after="240" w:line="240" w:lineRule="auto"/>
        <w:ind w:left="547" w:hanging="547"/>
        <w:contextualSpacing w:val="0"/>
        <w:jc w:val="both"/>
        <w:rPr>
          <w:rFonts w:asciiTheme="minorHAnsi" w:eastAsia="Times New Roman" w:hAnsiTheme="minorHAnsi"/>
          <w:szCs w:val="20"/>
          <w:lang w:eastAsia="es-ES"/>
        </w:rPr>
      </w:pPr>
      <w:bookmarkStart w:id="57" w:name="_Ref507597137"/>
      <w:r w:rsidRPr="00D920C9">
        <w:rPr>
          <w:rFonts w:asciiTheme="minorHAnsi" w:eastAsia="Times New Roman" w:hAnsiTheme="minorHAnsi"/>
          <w:szCs w:val="20"/>
          <w:lang w:eastAsia="es-ES"/>
        </w:rPr>
        <w:t xml:space="preserve">The Inter-American Commission has received substantial information on policies implemented by police departments in </w:t>
      </w:r>
      <w:r w:rsidR="00A4515B" w:rsidRPr="00D920C9">
        <w:rPr>
          <w:rFonts w:asciiTheme="minorHAnsi" w:hAnsiTheme="minorHAnsi"/>
          <w:szCs w:val="20"/>
        </w:rPr>
        <w:t>municipalities</w:t>
      </w:r>
      <w:r w:rsidRPr="00D920C9">
        <w:rPr>
          <w:rFonts w:asciiTheme="minorHAnsi" w:eastAsia="Times New Roman" w:hAnsiTheme="minorHAnsi"/>
          <w:szCs w:val="20"/>
          <w:lang w:eastAsia="es-ES"/>
        </w:rPr>
        <w:t xml:space="preserve"> across the </w:t>
      </w:r>
      <w:r w:rsidR="0068010D" w:rsidRPr="00D920C9">
        <w:rPr>
          <w:rFonts w:asciiTheme="minorHAnsi" w:eastAsia="Times New Roman" w:hAnsiTheme="minorHAnsi"/>
          <w:szCs w:val="20"/>
          <w:lang w:eastAsia="es-ES"/>
        </w:rPr>
        <w:t>U.S.</w:t>
      </w:r>
      <w:r w:rsidRPr="00D920C9">
        <w:rPr>
          <w:rFonts w:asciiTheme="minorHAnsi" w:eastAsia="Times New Roman" w:hAnsiTheme="minorHAnsi"/>
          <w:szCs w:val="20"/>
          <w:lang w:eastAsia="es-ES"/>
        </w:rPr>
        <w:t xml:space="preserve"> that encourage over-policing of African</w:t>
      </w:r>
      <w:r w:rsidR="0030356C" w:rsidRPr="00D920C9">
        <w:rPr>
          <w:rFonts w:asciiTheme="minorHAnsi" w:eastAsia="Times New Roman" w:hAnsiTheme="minorHAnsi"/>
          <w:szCs w:val="20"/>
          <w:lang w:eastAsia="es-ES"/>
        </w:rPr>
        <w:t xml:space="preserve"> </w:t>
      </w:r>
      <w:r w:rsidRPr="00D920C9">
        <w:rPr>
          <w:rFonts w:asciiTheme="minorHAnsi" w:eastAsia="Times New Roman" w:hAnsiTheme="minorHAnsi"/>
          <w:szCs w:val="20"/>
          <w:lang w:eastAsia="es-ES"/>
        </w:rPr>
        <w:t xml:space="preserve">Americans and other </w:t>
      </w:r>
      <w:r w:rsidR="00404C93" w:rsidRPr="00D920C9">
        <w:rPr>
          <w:rFonts w:asciiTheme="minorHAnsi" w:eastAsia="Times New Roman" w:hAnsiTheme="minorHAnsi"/>
          <w:szCs w:val="20"/>
          <w:lang w:eastAsia="es-ES"/>
        </w:rPr>
        <w:t>historically marginalized groups</w:t>
      </w:r>
      <w:r w:rsidRPr="00D920C9">
        <w:rPr>
          <w:rFonts w:asciiTheme="minorHAnsi" w:eastAsia="Times New Roman" w:hAnsiTheme="minorHAnsi"/>
          <w:szCs w:val="20"/>
          <w:lang w:eastAsia="es-ES"/>
        </w:rPr>
        <w:t>, and enable or encourage racial profiling against these communities. In this section, the Commission considers the impact of “Broken Windows”-type policies,</w:t>
      </w:r>
      <w:r w:rsidR="00553DB1" w:rsidRPr="00D920C9">
        <w:rPr>
          <w:rStyle w:val="FootnoteReference"/>
          <w:rFonts w:asciiTheme="minorHAnsi" w:eastAsia="Times New Roman" w:hAnsiTheme="minorHAnsi"/>
          <w:szCs w:val="20"/>
          <w:lang w:eastAsia="es-ES"/>
        </w:rPr>
        <w:footnoteReference w:id="115"/>
      </w:r>
      <w:r w:rsidRPr="00D920C9">
        <w:rPr>
          <w:rFonts w:asciiTheme="minorHAnsi" w:eastAsia="Times New Roman" w:hAnsiTheme="minorHAnsi"/>
          <w:szCs w:val="20"/>
          <w:lang w:eastAsia="es-ES"/>
        </w:rPr>
        <w:t xml:space="preserve"> including New York City’s</w:t>
      </w:r>
      <w:r w:rsidR="00A4515B" w:rsidRPr="00D920C9">
        <w:rPr>
          <w:rFonts w:asciiTheme="minorHAnsi" w:eastAsia="Times New Roman" w:hAnsiTheme="minorHAnsi"/>
          <w:szCs w:val="20"/>
          <w:lang w:eastAsia="es-ES"/>
        </w:rPr>
        <w:t xml:space="preserve"> notorious</w:t>
      </w:r>
      <w:r w:rsidRPr="00D920C9">
        <w:rPr>
          <w:rFonts w:asciiTheme="minorHAnsi" w:eastAsia="Times New Roman" w:hAnsiTheme="minorHAnsi"/>
          <w:szCs w:val="20"/>
          <w:lang w:eastAsia="es-ES"/>
        </w:rPr>
        <w:t xml:space="preserve"> “Stop and Frisk” program, as well as police practices that encourage the over-criminalization of poor African</w:t>
      </w:r>
      <w:r w:rsidR="0030356C" w:rsidRPr="00D920C9">
        <w:rPr>
          <w:rFonts w:asciiTheme="minorHAnsi" w:eastAsia="Times New Roman" w:hAnsiTheme="minorHAnsi"/>
          <w:szCs w:val="20"/>
          <w:lang w:eastAsia="es-ES"/>
        </w:rPr>
        <w:t xml:space="preserve"> </w:t>
      </w:r>
      <w:r w:rsidRPr="00D920C9">
        <w:rPr>
          <w:rFonts w:asciiTheme="minorHAnsi" w:eastAsia="Times New Roman" w:hAnsiTheme="minorHAnsi"/>
          <w:szCs w:val="20"/>
          <w:lang w:eastAsia="es-ES"/>
        </w:rPr>
        <w:t xml:space="preserve">American communities and other </w:t>
      </w:r>
      <w:r w:rsidR="00404C93" w:rsidRPr="00D920C9">
        <w:rPr>
          <w:rFonts w:asciiTheme="minorHAnsi" w:eastAsia="Times New Roman" w:hAnsiTheme="minorHAnsi"/>
          <w:szCs w:val="20"/>
          <w:lang w:eastAsia="es-ES"/>
        </w:rPr>
        <w:t>historically marginalized groups</w:t>
      </w:r>
      <w:r w:rsidRPr="00D920C9">
        <w:rPr>
          <w:rFonts w:asciiTheme="minorHAnsi" w:eastAsia="Times New Roman" w:hAnsiTheme="minorHAnsi"/>
          <w:szCs w:val="20"/>
          <w:lang w:eastAsia="es-ES"/>
        </w:rPr>
        <w:t xml:space="preserve">, like </w:t>
      </w:r>
      <w:r w:rsidR="002032D3" w:rsidRPr="00D920C9">
        <w:rPr>
          <w:rFonts w:asciiTheme="minorHAnsi" w:eastAsia="Times New Roman" w:hAnsiTheme="minorHAnsi"/>
          <w:szCs w:val="20"/>
          <w:lang w:eastAsia="es-ES"/>
        </w:rPr>
        <w:t>the pattern</w:t>
      </w:r>
      <w:r w:rsidRPr="00D920C9">
        <w:rPr>
          <w:rFonts w:asciiTheme="minorHAnsi" w:eastAsia="Times New Roman" w:hAnsiTheme="minorHAnsi"/>
          <w:szCs w:val="20"/>
          <w:lang w:eastAsia="es-ES"/>
        </w:rPr>
        <w:t xml:space="preserve"> </w:t>
      </w:r>
      <w:r w:rsidR="00B85243" w:rsidRPr="00D920C9">
        <w:rPr>
          <w:rFonts w:asciiTheme="minorHAnsi" w:eastAsia="Times New Roman" w:hAnsiTheme="minorHAnsi"/>
          <w:szCs w:val="20"/>
          <w:lang w:eastAsia="es-ES"/>
        </w:rPr>
        <w:t xml:space="preserve">of policing for profit </w:t>
      </w:r>
      <w:r w:rsidRPr="00D920C9">
        <w:rPr>
          <w:rFonts w:asciiTheme="minorHAnsi" w:eastAsia="Times New Roman" w:hAnsiTheme="minorHAnsi"/>
          <w:szCs w:val="20"/>
          <w:lang w:eastAsia="es-ES"/>
        </w:rPr>
        <w:t xml:space="preserve">established in the </w:t>
      </w:r>
      <w:r w:rsidR="0068010D" w:rsidRPr="00D920C9">
        <w:rPr>
          <w:rFonts w:asciiTheme="minorHAnsi" w:eastAsia="Times New Roman" w:hAnsiTheme="minorHAnsi"/>
          <w:szCs w:val="20"/>
          <w:lang w:eastAsia="es-ES"/>
        </w:rPr>
        <w:t>federal</w:t>
      </w:r>
      <w:r w:rsidR="00AE5038" w:rsidRPr="00D920C9">
        <w:rPr>
          <w:rFonts w:asciiTheme="minorHAnsi" w:eastAsia="Times New Roman" w:hAnsiTheme="minorHAnsi"/>
          <w:szCs w:val="20"/>
          <w:lang w:eastAsia="es-ES"/>
        </w:rPr>
        <w:t xml:space="preserve"> </w:t>
      </w:r>
      <w:r w:rsidRPr="00D920C9">
        <w:rPr>
          <w:rFonts w:asciiTheme="minorHAnsi" w:eastAsia="Times New Roman" w:hAnsiTheme="minorHAnsi"/>
          <w:szCs w:val="20"/>
          <w:lang w:eastAsia="es-ES"/>
        </w:rPr>
        <w:t>review of policing practices in Ferguson, Missouri.</w:t>
      </w:r>
      <w:bookmarkEnd w:id="57"/>
      <w:r w:rsidR="00B4412C" w:rsidRPr="00D920C9">
        <w:rPr>
          <w:rFonts w:asciiTheme="minorHAnsi" w:eastAsia="Times New Roman" w:hAnsiTheme="minorHAnsi"/>
          <w:szCs w:val="20"/>
          <w:lang w:eastAsia="es-ES"/>
        </w:rPr>
        <w:t xml:space="preserve"> </w:t>
      </w:r>
    </w:p>
    <w:p w14:paraId="3A47F4C4" w14:textId="77777777" w:rsidR="00691203" w:rsidRPr="00D920C9" w:rsidRDefault="001767CD" w:rsidP="002C64F8">
      <w:pPr>
        <w:pStyle w:val="ListParagraph"/>
        <w:numPr>
          <w:ilvl w:val="0"/>
          <w:numId w:val="9"/>
        </w:numPr>
        <w:spacing w:after="240" w:line="240" w:lineRule="auto"/>
        <w:ind w:left="547" w:hanging="547"/>
        <w:contextualSpacing w:val="0"/>
        <w:jc w:val="both"/>
        <w:rPr>
          <w:rFonts w:asciiTheme="minorHAnsi" w:eastAsia="Times New Roman" w:hAnsiTheme="minorHAnsi"/>
          <w:szCs w:val="20"/>
          <w:lang w:eastAsia="es-ES"/>
        </w:rPr>
      </w:pPr>
      <w:r w:rsidRPr="00D920C9">
        <w:rPr>
          <w:rFonts w:asciiTheme="minorHAnsi" w:eastAsia="Times New Roman" w:hAnsiTheme="minorHAnsi"/>
          <w:szCs w:val="20"/>
          <w:lang w:eastAsia="es-ES"/>
        </w:rPr>
        <w:t>T</w:t>
      </w:r>
      <w:r w:rsidR="003A6467" w:rsidRPr="00D920C9">
        <w:rPr>
          <w:rFonts w:asciiTheme="minorHAnsi" w:eastAsia="Times New Roman" w:hAnsiTheme="minorHAnsi"/>
          <w:szCs w:val="20"/>
          <w:lang w:eastAsia="es-ES"/>
        </w:rPr>
        <w:t xml:space="preserve">he Commission has </w:t>
      </w:r>
      <w:r w:rsidR="003A6467" w:rsidRPr="00D920C9">
        <w:rPr>
          <w:rFonts w:asciiTheme="minorHAnsi" w:hAnsiTheme="minorHAnsi"/>
          <w:szCs w:val="20"/>
        </w:rPr>
        <w:t>previously</w:t>
      </w:r>
      <w:r w:rsidR="003A6467" w:rsidRPr="00D920C9">
        <w:rPr>
          <w:rFonts w:asciiTheme="minorHAnsi" w:eastAsia="Times New Roman" w:hAnsiTheme="minorHAnsi"/>
          <w:szCs w:val="20"/>
          <w:lang w:eastAsia="es-ES"/>
        </w:rPr>
        <w:t xml:space="preserve"> defined racial profiling as</w:t>
      </w:r>
      <w:r w:rsidR="00D86045" w:rsidRPr="00D920C9">
        <w:rPr>
          <w:rFonts w:asciiTheme="minorHAnsi" w:eastAsia="Times New Roman" w:hAnsiTheme="minorHAnsi"/>
          <w:szCs w:val="20"/>
          <w:lang w:eastAsia="es-ES"/>
        </w:rPr>
        <w:t>:</w:t>
      </w:r>
      <w:r w:rsidR="003A6467" w:rsidRPr="00D920C9">
        <w:rPr>
          <w:rFonts w:asciiTheme="minorHAnsi" w:eastAsia="Times New Roman" w:hAnsiTheme="minorHAnsi"/>
          <w:szCs w:val="20"/>
          <w:lang w:eastAsia="es-ES"/>
        </w:rPr>
        <w:t xml:space="preserve"> </w:t>
      </w:r>
    </w:p>
    <w:p w14:paraId="7585E79B" w14:textId="77777777" w:rsidR="00691203" w:rsidRPr="00D920C9" w:rsidRDefault="003A6467" w:rsidP="001167CB">
      <w:pPr>
        <w:pStyle w:val="ListParagraph"/>
        <w:spacing w:after="240" w:line="240" w:lineRule="auto"/>
        <w:ind w:left="1166" w:right="619"/>
        <w:contextualSpacing w:val="0"/>
        <w:jc w:val="both"/>
        <w:rPr>
          <w:rFonts w:asciiTheme="minorHAnsi" w:eastAsia="Times New Roman" w:hAnsiTheme="minorHAnsi"/>
          <w:szCs w:val="18"/>
          <w:lang w:eastAsia="es-ES"/>
        </w:rPr>
      </w:pPr>
      <w:r w:rsidRPr="00D920C9">
        <w:rPr>
          <w:rFonts w:asciiTheme="minorHAnsi" w:eastAsia="Times New Roman" w:hAnsiTheme="minorHAnsi"/>
          <w:szCs w:val="18"/>
          <w:lang w:eastAsia="es-ES"/>
        </w:rPr>
        <w:t xml:space="preserve">a tactic adopted for supposed reasons of public safety and protection </w:t>
      </w:r>
      <w:r w:rsidR="00691203" w:rsidRPr="00D920C9">
        <w:rPr>
          <w:rFonts w:asciiTheme="minorHAnsi" w:eastAsia="Times New Roman" w:hAnsiTheme="minorHAnsi"/>
          <w:szCs w:val="18"/>
          <w:lang w:eastAsia="es-ES"/>
        </w:rPr>
        <w:t>[...]</w:t>
      </w:r>
      <w:r w:rsidRPr="00D920C9">
        <w:rPr>
          <w:rFonts w:asciiTheme="minorHAnsi" w:eastAsia="Times New Roman" w:hAnsiTheme="minorHAnsi"/>
          <w:szCs w:val="18"/>
          <w:lang w:eastAsia="es-ES"/>
        </w:rPr>
        <w:t xml:space="preserve"> motivated by stereotypes based on race, color, ethnicity, language, descent, religion, nationality, place of birth, or a combination of these factors, rather than on objective suspicions, </w:t>
      </w:r>
      <w:r w:rsidR="00691203" w:rsidRPr="00D920C9">
        <w:rPr>
          <w:rFonts w:asciiTheme="minorHAnsi" w:eastAsia="Times New Roman" w:hAnsiTheme="minorHAnsi"/>
          <w:szCs w:val="18"/>
          <w:lang w:eastAsia="es-ES"/>
        </w:rPr>
        <w:t>[which]</w:t>
      </w:r>
      <w:r w:rsidRPr="00D920C9">
        <w:rPr>
          <w:rFonts w:asciiTheme="minorHAnsi" w:eastAsia="Times New Roman" w:hAnsiTheme="minorHAnsi"/>
          <w:szCs w:val="18"/>
          <w:lang w:eastAsia="es-ES"/>
        </w:rPr>
        <w:t xml:space="preserve"> tends to single out individuals or groups in a discriminatory way based on the erroneous assumption that people with such characteristics are prone to engage in specific types of crimes.</w:t>
      </w:r>
      <w:r w:rsidRPr="00D920C9">
        <w:rPr>
          <w:rStyle w:val="FootnoteReference"/>
          <w:rFonts w:asciiTheme="minorHAnsi" w:eastAsia="Times New Roman" w:hAnsiTheme="minorHAnsi"/>
          <w:szCs w:val="18"/>
          <w:lang w:eastAsia="es-ES"/>
        </w:rPr>
        <w:footnoteReference w:id="116"/>
      </w:r>
      <w:r w:rsidRPr="00D920C9">
        <w:rPr>
          <w:rFonts w:asciiTheme="minorHAnsi" w:eastAsia="Times New Roman" w:hAnsiTheme="minorHAnsi"/>
          <w:szCs w:val="18"/>
          <w:lang w:eastAsia="es-ES"/>
        </w:rPr>
        <w:t xml:space="preserve"> </w:t>
      </w:r>
    </w:p>
    <w:p w14:paraId="2D130E6F" w14:textId="77777777" w:rsidR="00416B45" w:rsidRPr="00D920C9" w:rsidRDefault="003A6467" w:rsidP="002C64F8">
      <w:pPr>
        <w:pStyle w:val="ListParagraph"/>
        <w:numPr>
          <w:ilvl w:val="0"/>
          <w:numId w:val="9"/>
        </w:numPr>
        <w:spacing w:after="240" w:line="240" w:lineRule="auto"/>
        <w:ind w:left="547" w:hanging="547"/>
        <w:contextualSpacing w:val="0"/>
        <w:jc w:val="both"/>
        <w:rPr>
          <w:rFonts w:asciiTheme="minorHAnsi" w:hAnsiTheme="minorHAnsi"/>
          <w:szCs w:val="20"/>
        </w:rPr>
      </w:pPr>
      <w:r w:rsidRPr="00D920C9">
        <w:rPr>
          <w:rFonts w:asciiTheme="minorHAnsi" w:eastAsia="Times New Roman" w:hAnsiTheme="minorHAnsi"/>
          <w:szCs w:val="20"/>
          <w:lang w:eastAsia="es-ES"/>
        </w:rPr>
        <w:t>This definition</w:t>
      </w:r>
      <w:r w:rsidR="00A4515B" w:rsidRPr="00D920C9">
        <w:rPr>
          <w:rFonts w:asciiTheme="minorHAnsi" w:eastAsia="Times New Roman" w:hAnsiTheme="minorHAnsi"/>
          <w:szCs w:val="20"/>
          <w:lang w:eastAsia="es-ES"/>
        </w:rPr>
        <w:t xml:space="preserve"> </w:t>
      </w:r>
      <w:r w:rsidRPr="00D920C9">
        <w:rPr>
          <w:rFonts w:asciiTheme="minorHAnsi" w:eastAsia="Times New Roman" w:hAnsiTheme="minorHAnsi"/>
          <w:szCs w:val="20"/>
          <w:lang w:eastAsia="es-ES"/>
        </w:rPr>
        <w:t xml:space="preserve">does not </w:t>
      </w:r>
      <w:r w:rsidR="00A4515B" w:rsidRPr="00D920C9">
        <w:rPr>
          <w:rFonts w:asciiTheme="minorHAnsi" w:eastAsia="Times New Roman" w:hAnsiTheme="minorHAnsi"/>
          <w:szCs w:val="20"/>
          <w:lang w:eastAsia="es-ES"/>
        </w:rPr>
        <w:t>require</w:t>
      </w:r>
      <w:r w:rsidRPr="00D920C9">
        <w:rPr>
          <w:rFonts w:asciiTheme="minorHAnsi" w:eastAsia="Times New Roman" w:hAnsiTheme="minorHAnsi"/>
          <w:szCs w:val="20"/>
          <w:lang w:eastAsia="es-ES"/>
        </w:rPr>
        <w:t xml:space="preserve"> </w:t>
      </w:r>
      <w:r w:rsidR="00A4515B" w:rsidRPr="00D920C9">
        <w:rPr>
          <w:rFonts w:asciiTheme="minorHAnsi" w:eastAsia="Times New Roman" w:hAnsiTheme="minorHAnsi"/>
          <w:szCs w:val="20"/>
          <w:lang w:eastAsia="es-ES"/>
        </w:rPr>
        <w:t>an</w:t>
      </w:r>
      <w:r w:rsidR="00691203" w:rsidRPr="00D920C9">
        <w:rPr>
          <w:rFonts w:asciiTheme="minorHAnsi" w:eastAsia="Times New Roman" w:hAnsiTheme="minorHAnsi"/>
          <w:szCs w:val="20"/>
          <w:lang w:eastAsia="es-ES"/>
        </w:rPr>
        <w:t xml:space="preserve"> explicit expression of</w:t>
      </w:r>
      <w:r w:rsidRPr="00D920C9">
        <w:rPr>
          <w:rFonts w:asciiTheme="minorHAnsi" w:eastAsia="Times New Roman" w:hAnsiTheme="minorHAnsi"/>
          <w:szCs w:val="20"/>
          <w:lang w:eastAsia="es-ES"/>
        </w:rPr>
        <w:t xml:space="preserve"> bias against a particular group, but may </w:t>
      </w:r>
      <w:r w:rsidR="00A4515B" w:rsidRPr="00D920C9">
        <w:rPr>
          <w:rFonts w:asciiTheme="minorHAnsi" w:eastAsia="Times New Roman" w:hAnsiTheme="minorHAnsi"/>
          <w:szCs w:val="20"/>
          <w:lang w:eastAsia="es-ES"/>
        </w:rPr>
        <w:t xml:space="preserve">be manifested </w:t>
      </w:r>
      <w:r w:rsidRPr="00D920C9">
        <w:rPr>
          <w:rFonts w:asciiTheme="minorHAnsi" w:eastAsia="Times New Roman" w:hAnsiTheme="minorHAnsi"/>
          <w:szCs w:val="20"/>
          <w:lang w:eastAsia="es-ES"/>
        </w:rPr>
        <w:t xml:space="preserve">in a </w:t>
      </w:r>
      <w:r w:rsidRPr="00D920C9">
        <w:rPr>
          <w:rFonts w:asciiTheme="minorHAnsi" w:hAnsiTheme="minorHAnsi"/>
          <w:szCs w:val="20"/>
        </w:rPr>
        <w:t>discriminatory pattern of enforcement.</w:t>
      </w:r>
      <w:r w:rsidR="00553DB1" w:rsidRPr="00D920C9">
        <w:rPr>
          <w:rFonts w:asciiTheme="minorHAnsi" w:hAnsiTheme="minorHAnsi"/>
          <w:vertAlign w:val="superscript"/>
        </w:rPr>
        <w:footnoteReference w:id="117"/>
      </w:r>
      <w:r w:rsidRPr="00D920C9">
        <w:rPr>
          <w:rFonts w:asciiTheme="minorHAnsi" w:hAnsiTheme="minorHAnsi"/>
          <w:szCs w:val="20"/>
        </w:rPr>
        <w:t xml:space="preserve"> The Commission has previously </w:t>
      </w:r>
      <w:r w:rsidR="002032D3" w:rsidRPr="00D920C9">
        <w:rPr>
          <w:rFonts w:asciiTheme="minorHAnsi" w:hAnsiTheme="minorHAnsi"/>
          <w:szCs w:val="20"/>
        </w:rPr>
        <w:t>affirmed</w:t>
      </w:r>
      <w:r w:rsidRPr="00D920C9">
        <w:rPr>
          <w:rFonts w:asciiTheme="minorHAnsi" w:hAnsiTheme="minorHAnsi"/>
          <w:szCs w:val="20"/>
        </w:rPr>
        <w:t xml:space="preserve"> that Afro-</w:t>
      </w:r>
      <w:r w:rsidRPr="00D920C9">
        <w:rPr>
          <w:rFonts w:asciiTheme="minorHAnsi" w:hAnsiTheme="minorHAnsi"/>
          <w:szCs w:val="20"/>
        </w:rPr>
        <w:lastRenderedPageBreak/>
        <w:t xml:space="preserve">descendants in the Americas are disproportionately likely to be suspected of committing crimes, pursued by </w:t>
      </w:r>
      <w:r w:rsidR="00A4515B" w:rsidRPr="00D920C9">
        <w:rPr>
          <w:rFonts w:asciiTheme="minorHAnsi" w:hAnsiTheme="minorHAnsi"/>
          <w:szCs w:val="20"/>
        </w:rPr>
        <w:t>police</w:t>
      </w:r>
      <w:r w:rsidRPr="00D920C9">
        <w:rPr>
          <w:rFonts w:asciiTheme="minorHAnsi" w:hAnsiTheme="minorHAnsi"/>
          <w:szCs w:val="20"/>
        </w:rPr>
        <w:t xml:space="preserve">, prosecuted, and convicted, </w:t>
      </w:r>
      <w:r w:rsidR="00A4515B" w:rsidRPr="00D920C9">
        <w:rPr>
          <w:rFonts w:asciiTheme="minorHAnsi" w:hAnsiTheme="minorHAnsi"/>
          <w:szCs w:val="20"/>
        </w:rPr>
        <w:t>as compared</w:t>
      </w:r>
      <w:r w:rsidRPr="00D920C9">
        <w:rPr>
          <w:rFonts w:asciiTheme="minorHAnsi" w:hAnsiTheme="minorHAnsi"/>
          <w:szCs w:val="20"/>
        </w:rPr>
        <w:t xml:space="preserve"> with the general population.</w:t>
      </w:r>
      <w:r w:rsidRPr="00D920C9">
        <w:rPr>
          <w:rFonts w:asciiTheme="minorHAnsi" w:hAnsiTheme="minorHAnsi"/>
          <w:szCs w:val="20"/>
          <w:vertAlign w:val="superscript"/>
        </w:rPr>
        <w:footnoteReference w:id="118"/>
      </w:r>
      <w:r w:rsidRPr="00D920C9">
        <w:rPr>
          <w:rFonts w:asciiTheme="minorHAnsi" w:hAnsiTheme="minorHAnsi"/>
          <w:szCs w:val="20"/>
        </w:rPr>
        <w:t xml:space="preserve"> </w:t>
      </w:r>
    </w:p>
    <w:p w14:paraId="4F1D8C2B" w14:textId="77777777" w:rsidR="003A6467" w:rsidRPr="00D920C9" w:rsidRDefault="003A6467" w:rsidP="002C64F8">
      <w:pPr>
        <w:pStyle w:val="ListParagraph"/>
        <w:numPr>
          <w:ilvl w:val="0"/>
          <w:numId w:val="9"/>
        </w:numPr>
        <w:spacing w:after="240" w:line="240" w:lineRule="auto"/>
        <w:ind w:left="547" w:hanging="547"/>
        <w:contextualSpacing w:val="0"/>
        <w:jc w:val="both"/>
        <w:rPr>
          <w:rFonts w:asciiTheme="minorHAnsi" w:hAnsiTheme="minorHAnsi"/>
          <w:szCs w:val="20"/>
        </w:rPr>
      </w:pPr>
      <w:r w:rsidRPr="00D920C9">
        <w:rPr>
          <w:rFonts w:asciiTheme="minorHAnsi" w:hAnsiTheme="minorHAnsi"/>
          <w:szCs w:val="20"/>
        </w:rPr>
        <w:t xml:space="preserve">This pattern holds true in the United States as a matter of explicit historical policy and current implicit and explicit practice. </w:t>
      </w:r>
      <w:r w:rsidR="00A4515B" w:rsidRPr="00D920C9">
        <w:rPr>
          <w:rFonts w:asciiTheme="minorHAnsi" w:hAnsiTheme="minorHAnsi"/>
          <w:szCs w:val="20"/>
        </w:rPr>
        <w:t>R</w:t>
      </w:r>
      <w:r w:rsidRPr="00D920C9">
        <w:rPr>
          <w:rFonts w:asciiTheme="minorHAnsi" w:hAnsiTheme="minorHAnsi"/>
          <w:szCs w:val="20"/>
        </w:rPr>
        <w:t>acial profiling has been a historic feature of policing in the U</w:t>
      </w:r>
      <w:r w:rsidR="00A4515B" w:rsidRPr="00D920C9">
        <w:rPr>
          <w:rFonts w:asciiTheme="minorHAnsi" w:hAnsiTheme="minorHAnsi"/>
          <w:szCs w:val="20"/>
        </w:rPr>
        <w:t>.</w:t>
      </w:r>
      <w:r w:rsidRPr="00D920C9">
        <w:rPr>
          <w:rFonts w:asciiTheme="minorHAnsi" w:hAnsiTheme="minorHAnsi"/>
          <w:szCs w:val="20"/>
        </w:rPr>
        <w:t>S</w:t>
      </w:r>
      <w:r w:rsidR="00A4515B" w:rsidRPr="00D920C9">
        <w:rPr>
          <w:rFonts w:asciiTheme="minorHAnsi" w:hAnsiTheme="minorHAnsi"/>
          <w:szCs w:val="20"/>
        </w:rPr>
        <w:t>.</w:t>
      </w:r>
      <w:r w:rsidRPr="00D920C9">
        <w:rPr>
          <w:rFonts w:asciiTheme="minorHAnsi" w:hAnsiTheme="minorHAnsi"/>
          <w:szCs w:val="20"/>
        </w:rPr>
        <w:t xml:space="preserve">, from the establishment of slave patrols to the selective criminalization and enforcement of “vagrancy” laws and similar crimes. </w:t>
      </w:r>
      <w:r w:rsidR="002032D3" w:rsidRPr="00D920C9">
        <w:rPr>
          <w:rFonts w:asciiTheme="minorHAnsi" w:hAnsiTheme="minorHAnsi"/>
          <w:szCs w:val="20"/>
        </w:rPr>
        <w:t>In 1968, t</w:t>
      </w:r>
      <w:r w:rsidR="000B416C" w:rsidRPr="00D920C9">
        <w:rPr>
          <w:rFonts w:asciiTheme="minorHAnsi" w:hAnsiTheme="minorHAnsi"/>
          <w:szCs w:val="20"/>
        </w:rPr>
        <w:t>he National Advisory Commission on Civil Disorder (“</w:t>
      </w:r>
      <w:proofErr w:type="spellStart"/>
      <w:r w:rsidR="000B416C" w:rsidRPr="00D920C9">
        <w:rPr>
          <w:rFonts w:asciiTheme="minorHAnsi" w:hAnsiTheme="minorHAnsi"/>
          <w:szCs w:val="20"/>
        </w:rPr>
        <w:t>Kerner</w:t>
      </w:r>
      <w:proofErr w:type="spellEnd"/>
      <w:r w:rsidR="000B416C" w:rsidRPr="00D920C9">
        <w:rPr>
          <w:rFonts w:asciiTheme="minorHAnsi" w:hAnsiTheme="minorHAnsi"/>
          <w:szCs w:val="20"/>
        </w:rPr>
        <w:t xml:space="preserve"> Commission”) established by President Johnson found that the national “atmosphere of hostility and cynicism is reinforced by a widespread belief among Negroes in the existence of police brutality and in a ‘double standard’ of justice and protection—one for Negroes and one for whites.”</w:t>
      </w:r>
      <w:r w:rsidR="000B416C" w:rsidRPr="00D920C9">
        <w:rPr>
          <w:rFonts w:asciiTheme="minorHAnsi" w:hAnsiTheme="minorHAnsi"/>
          <w:vertAlign w:val="superscript"/>
        </w:rPr>
        <w:footnoteReference w:id="119"/>
      </w:r>
      <w:r w:rsidR="000B416C" w:rsidRPr="00D920C9">
        <w:rPr>
          <w:rFonts w:asciiTheme="minorHAnsi" w:hAnsiTheme="minorHAnsi"/>
          <w:szCs w:val="20"/>
        </w:rPr>
        <w:t xml:space="preserve"> </w:t>
      </w:r>
      <w:r w:rsidRPr="00D920C9">
        <w:rPr>
          <w:rFonts w:asciiTheme="minorHAnsi" w:hAnsiTheme="minorHAnsi"/>
          <w:szCs w:val="20"/>
        </w:rPr>
        <w:t xml:space="preserve">In </w:t>
      </w:r>
      <w:r w:rsidR="002032D3" w:rsidRPr="00D920C9">
        <w:rPr>
          <w:rFonts w:asciiTheme="minorHAnsi" w:hAnsiTheme="minorHAnsi"/>
          <w:szCs w:val="20"/>
        </w:rPr>
        <w:t>recent decades</w:t>
      </w:r>
      <w:r w:rsidRPr="00D920C9">
        <w:rPr>
          <w:rFonts w:asciiTheme="minorHAnsi" w:hAnsiTheme="minorHAnsi"/>
          <w:szCs w:val="20"/>
        </w:rPr>
        <w:t>, racial profiling has been a feature of law enforcement policy within the framework of the “War on Drugs” and counter-terrorism/”homeland security” initiatives.</w:t>
      </w:r>
      <w:r w:rsidR="001B2BE6" w:rsidRPr="00D920C9">
        <w:rPr>
          <w:rFonts w:asciiTheme="minorHAnsi" w:hAnsiTheme="minorHAnsi"/>
          <w:vertAlign w:val="superscript"/>
        </w:rPr>
        <w:footnoteReference w:id="120"/>
      </w:r>
    </w:p>
    <w:p w14:paraId="3B973147" w14:textId="77777777" w:rsidR="001767CD" w:rsidRPr="00D920C9" w:rsidRDefault="00A87757" w:rsidP="002C64F8">
      <w:pPr>
        <w:pStyle w:val="ListParagraph"/>
        <w:numPr>
          <w:ilvl w:val="0"/>
          <w:numId w:val="9"/>
        </w:numPr>
        <w:spacing w:after="240" w:line="240" w:lineRule="auto"/>
        <w:ind w:left="547" w:hanging="547"/>
        <w:contextualSpacing w:val="0"/>
        <w:jc w:val="both"/>
        <w:rPr>
          <w:rFonts w:asciiTheme="minorHAnsi" w:hAnsiTheme="minorHAnsi"/>
          <w:szCs w:val="20"/>
        </w:rPr>
      </w:pPr>
      <w:r w:rsidRPr="00D920C9">
        <w:rPr>
          <w:rFonts w:asciiTheme="minorHAnsi" w:hAnsiTheme="minorHAnsi"/>
          <w:szCs w:val="20"/>
        </w:rPr>
        <w:t xml:space="preserve">Information received by the Commission indicates that African Americans and other </w:t>
      </w:r>
      <w:r w:rsidR="00404C93" w:rsidRPr="00D920C9">
        <w:rPr>
          <w:rFonts w:asciiTheme="minorHAnsi" w:hAnsiTheme="minorHAnsi"/>
          <w:szCs w:val="20"/>
        </w:rPr>
        <w:t>historically marginalized groups</w:t>
      </w:r>
      <w:r w:rsidRPr="00D920C9">
        <w:rPr>
          <w:rFonts w:asciiTheme="minorHAnsi" w:hAnsiTheme="minorHAnsi"/>
          <w:szCs w:val="20"/>
        </w:rPr>
        <w:t xml:space="preserve"> i</w:t>
      </w:r>
      <w:r w:rsidR="001767CD" w:rsidRPr="00D920C9">
        <w:rPr>
          <w:rFonts w:asciiTheme="minorHAnsi" w:hAnsiTheme="minorHAnsi"/>
          <w:szCs w:val="20"/>
        </w:rPr>
        <w:t xml:space="preserve">n the </w:t>
      </w:r>
      <w:r w:rsidR="001F60B3" w:rsidRPr="00D920C9">
        <w:rPr>
          <w:rFonts w:asciiTheme="minorHAnsi" w:hAnsiTheme="minorHAnsi"/>
          <w:szCs w:val="20"/>
        </w:rPr>
        <w:t>U.S.</w:t>
      </w:r>
      <w:r w:rsidR="001767CD" w:rsidRPr="00D920C9">
        <w:rPr>
          <w:rFonts w:asciiTheme="minorHAnsi" w:hAnsiTheme="minorHAnsi"/>
          <w:szCs w:val="20"/>
        </w:rPr>
        <w:t xml:space="preserve"> are </w:t>
      </w:r>
      <w:r w:rsidR="00404C93" w:rsidRPr="00D920C9">
        <w:rPr>
          <w:rFonts w:asciiTheme="minorHAnsi" w:hAnsiTheme="minorHAnsi"/>
          <w:szCs w:val="20"/>
        </w:rPr>
        <w:t xml:space="preserve">also </w:t>
      </w:r>
      <w:r w:rsidR="001767CD" w:rsidRPr="00D920C9">
        <w:rPr>
          <w:rFonts w:asciiTheme="minorHAnsi" w:hAnsiTheme="minorHAnsi"/>
          <w:szCs w:val="20"/>
        </w:rPr>
        <w:t>disproportionately subjected to policies of over-policing and law enforcement surveillance, including under “Broken Windows”-type policing, and under increased</w:t>
      </w:r>
      <w:r w:rsidR="00DE49F4" w:rsidRPr="00D920C9">
        <w:rPr>
          <w:rFonts w:asciiTheme="minorHAnsi" w:hAnsiTheme="minorHAnsi"/>
          <w:szCs w:val="20"/>
        </w:rPr>
        <w:t xml:space="preserve"> national security</w:t>
      </w:r>
      <w:r w:rsidR="001767CD" w:rsidRPr="00D920C9">
        <w:rPr>
          <w:rFonts w:asciiTheme="minorHAnsi" w:hAnsiTheme="minorHAnsi"/>
          <w:szCs w:val="20"/>
        </w:rPr>
        <w:t xml:space="preserve"> surveillance, particularly since 2001. “Broken Windows” </w:t>
      </w:r>
      <w:r w:rsidR="000B416C" w:rsidRPr="00D920C9">
        <w:rPr>
          <w:rFonts w:asciiTheme="minorHAnsi" w:hAnsiTheme="minorHAnsi"/>
          <w:szCs w:val="20"/>
        </w:rPr>
        <w:t xml:space="preserve">policies that prioritize the policing of low-level “quality of life” crimes </w:t>
      </w:r>
      <w:r w:rsidR="001767CD" w:rsidRPr="00D920C9">
        <w:rPr>
          <w:rFonts w:asciiTheme="minorHAnsi" w:hAnsiTheme="minorHAnsi"/>
          <w:szCs w:val="20"/>
        </w:rPr>
        <w:t>ha</w:t>
      </w:r>
      <w:r w:rsidR="000B416C" w:rsidRPr="00D920C9">
        <w:rPr>
          <w:rFonts w:asciiTheme="minorHAnsi" w:hAnsiTheme="minorHAnsi"/>
          <w:szCs w:val="20"/>
        </w:rPr>
        <w:t>ve</w:t>
      </w:r>
      <w:r w:rsidR="001767CD" w:rsidRPr="00D920C9">
        <w:rPr>
          <w:rFonts w:asciiTheme="minorHAnsi" w:hAnsiTheme="minorHAnsi"/>
          <w:szCs w:val="20"/>
        </w:rPr>
        <w:t xml:space="preserve"> been deployed predominantly against communities of color, resulting in the systematic criminalization of those communities.</w:t>
      </w:r>
      <w:r w:rsidR="001767CD" w:rsidRPr="00D920C9">
        <w:rPr>
          <w:rFonts w:asciiTheme="minorHAnsi" w:hAnsiTheme="minorHAnsi"/>
          <w:vertAlign w:val="superscript"/>
        </w:rPr>
        <w:footnoteReference w:id="121"/>
      </w:r>
    </w:p>
    <w:p w14:paraId="324A3A99" w14:textId="6A0FFD83" w:rsidR="008445C0" w:rsidRPr="00D920C9" w:rsidRDefault="008445C0" w:rsidP="002C64F8">
      <w:pPr>
        <w:pStyle w:val="ListParagraph"/>
        <w:numPr>
          <w:ilvl w:val="0"/>
          <w:numId w:val="9"/>
        </w:numPr>
        <w:spacing w:after="240" w:line="240" w:lineRule="auto"/>
        <w:ind w:left="547" w:hanging="547"/>
        <w:contextualSpacing w:val="0"/>
        <w:jc w:val="both"/>
        <w:rPr>
          <w:rFonts w:asciiTheme="minorHAnsi" w:eastAsia="Times New Roman" w:hAnsiTheme="minorHAnsi"/>
          <w:szCs w:val="20"/>
          <w:lang w:eastAsia="es-ES"/>
        </w:rPr>
      </w:pPr>
      <w:r w:rsidRPr="00D920C9">
        <w:rPr>
          <w:rFonts w:asciiTheme="minorHAnsi" w:hAnsiTheme="minorHAnsi"/>
          <w:szCs w:val="20"/>
        </w:rPr>
        <w:lastRenderedPageBreak/>
        <w:t>The Commission notes the apparent historical link between the heavy criminalization of smaller offenses and a focus on aggressive policing of certain neighborhoods in the present day, and historic practices of criminalizing “vagrancy” and similar petty crimes, which in practice lend themselves to inconsistent and raciall</w:t>
      </w:r>
      <w:r w:rsidRPr="00D920C9">
        <w:rPr>
          <w:rFonts w:asciiTheme="minorHAnsi" w:eastAsia="Times New Roman" w:hAnsiTheme="minorHAnsi"/>
          <w:szCs w:val="20"/>
        </w:rPr>
        <w:t>y biased enforcement.</w:t>
      </w:r>
      <w:r w:rsidRPr="00D920C9">
        <w:rPr>
          <w:rStyle w:val="FootnoteReference"/>
          <w:rFonts w:asciiTheme="minorHAnsi" w:eastAsia="Times New Roman" w:hAnsiTheme="minorHAnsi"/>
          <w:szCs w:val="20"/>
        </w:rPr>
        <w:footnoteReference w:id="122"/>
      </w:r>
      <w:r w:rsidRPr="00D920C9">
        <w:rPr>
          <w:rFonts w:asciiTheme="minorHAnsi" w:eastAsia="Times New Roman" w:hAnsiTheme="minorHAnsi"/>
          <w:szCs w:val="20"/>
        </w:rPr>
        <w:t xml:space="preserve"> Indeed, George </w:t>
      </w:r>
      <w:proofErr w:type="spellStart"/>
      <w:r w:rsidRPr="00D920C9">
        <w:rPr>
          <w:rFonts w:asciiTheme="minorHAnsi" w:eastAsia="Times New Roman" w:hAnsiTheme="minorHAnsi"/>
          <w:szCs w:val="20"/>
        </w:rPr>
        <w:t>Kelling</w:t>
      </w:r>
      <w:proofErr w:type="spellEnd"/>
      <w:r w:rsidRPr="00D920C9">
        <w:rPr>
          <w:rFonts w:asciiTheme="minorHAnsi" w:eastAsia="Times New Roman" w:hAnsiTheme="minorHAnsi"/>
          <w:szCs w:val="20"/>
        </w:rPr>
        <w:t xml:space="preserve">, one of the academics who originated the “Broken Windows” theory, has since commented on its troubling potential to encourage </w:t>
      </w:r>
      <w:r w:rsidR="000B416C" w:rsidRPr="00D920C9">
        <w:rPr>
          <w:rFonts w:asciiTheme="minorHAnsi" w:eastAsia="Times New Roman" w:hAnsiTheme="minorHAnsi"/>
          <w:szCs w:val="20"/>
        </w:rPr>
        <w:t>racial profiling and other expressions of bias in policing</w:t>
      </w:r>
      <w:r w:rsidRPr="00D920C9">
        <w:rPr>
          <w:rFonts w:asciiTheme="minorHAnsi" w:eastAsia="Times New Roman" w:hAnsiTheme="minorHAnsi"/>
          <w:szCs w:val="20"/>
        </w:rPr>
        <w:t>:</w:t>
      </w:r>
    </w:p>
    <w:p w14:paraId="64B6D632" w14:textId="77777777" w:rsidR="008445C0" w:rsidRPr="00D920C9" w:rsidRDefault="008445C0" w:rsidP="00E03D8F">
      <w:pPr>
        <w:pStyle w:val="ListParagraph"/>
        <w:spacing w:after="240" w:line="240" w:lineRule="auto"/>
        <w:ind w:left="1166" w:right="619"/>
        <w:contextualSpacing w:val="0"/>
        <w:jc w:val="both"/>
        <w:rPr>
          <w:rFonts w:asciiTheme="minorHAnsi" w:eastAsia="Times New Roman" w:hAnsiTheme="minorHAnsi"/>
          <w:szCs w:val="18"/>
          <w:lang w:eastAsia="es-ES"/>
        </w:rPr>
      </w:pPr>
      <w:r w:rsidRPr="00D920C9">
        <w:rPr>
          <w:rFonts w:asciiTheme="minorHAnsi" w:eastAsia="Times New Roman" w:hAnsiTheme="minorHAnsi"/>
          <w:szCs w:val="18"/>
        </w:rPr>
        <w:t xml:space="preserve">You’re just asking for a whole lot of trouble [...] Any officer who really wants to do order maintenance has to be able to answer satisfactorily </w:t>
      </w:r>
      <w:r w:rsidR="002F3199" w:rsidRPr="00D920C9">
        <w:rPr>
          <w:rFonts w:asciiTheme="minorHAnsi" w:eastAsia="Times New Roman" w:hAnsiTheme="minorHAnsi"/>
          <w:szCs w:val="18"/>
        </w:rPr>
        <w:t>[…]</w:t>
      </w:r>
      <w:r w:rsidRPr="00D920C9">
        <w:rPr>
          <w:rFonts w:asciiTheme="minorHAnsi" w:eastAsia="Times New Roman" w:hAnsiTheme="minorHAnsi"/>
          <w:szCs w:val="18"/>
        </w:rPr>
        <w:t xml:space="preserve">, ‘Why do you decide to arrest one person who’s urinating in public and not [another]?’ </w:t>
      </w:r>
      <w:r w:rsidR="000B416C" w:rsidRPr="00D920C9">
        <w:rPr>
          <w:rFonts w:asciiTheme="minorHAnsi" w:eastAsia="Times New Roman" w:hAnsiTheme="minorHAnsi"/>
          <w:szCs w:val="18"/>
        </w:rPr>
        <w:t>[...]</w:t>
      </w:r>
      <w:r w:rsidR="002F3199" w:rsidRPr="00D920C9">
        <w:rPr>
          <w:rFonts w:asciiTheme="minorHAnsi" w:eastAsia="Times New Roman" w:hAnsiTheme="minorHAnsi"/>
          <w:szCs w:val="18"/>
        </w:rPr>
        <w:t xml:space="preserve"> i</w:t>
      </w:r>
      <w:r w:rsidRPr="00D920C9">
        <w:rPr>
          <w:rFonts w:asciiTheme="minorHAnsi" w:eastAsia="Times New Roman" w:hAnsiTheme="minorHAnsi"/>
          <w:szCs w:val="18"/>
        </w:rPr>
        <w:t xml:space="preserve">f you can’t answer that question, if you just say ‘Well, it’s common sense,’ you get very, very worried. So yeah, [...] </w:t>
      </w:r>
      <w:proofErr w:type="gramStart"/>
      <w:r w:rsidRPr="00D920C9">
        <w:rPr>
          <w:rFonts w:asciiTheme="minorHAnsi" w:eastAsia="Times New Roman" w:hAnsiTheme="minorHAnsi"/>
          <w:szCs w:val="18"/>
        </w:rPr>
        <w:t>There’s</w:t>
      </w:r>
      <w:proofErr w:type="gramEnd"/>
      <w:r w:rsidRPr="00D920C9">
        <w:rPr>
          <w:rFonts w:asciiTheme="minorHAnsi" w:eastAsia="Times New Roman" w:hAnsiTheme="minorHAnsi"/>
          <w:szCs w:val="18"/>
        </w:rPr>
        <w:t xml:space="preserve"> been a lot of things done in the name of Broken Windows that I regret.</w:t>
      </w:r>
      <w:r w:rsidRPr="00D920C9">
        <w:rPr>
          <w:rStyle w:val="FootnoteReference"/>
          <w:rFonts w:asciiTheme="minorHAnsi" w:eastAsia="Times New Roman" w:hAnsiTheme="minorHAnsi"/>
          <w:szCs w:val="18"/>
        </w:rPr>
        <w:footnoteReference w:id="123"/>
      </w:r>
    </w:p>
    <w:p w14:paraId="55443B77" w14:textId="77777777" w:rsidR="000B416C" w:rsidRPr="00D920C9" w:rsidRDefault="000B416C" w:rsidP="002C64F8">
      <w:pPr>
        <w:pStyle w:val="ListParagraph"/>
        <w:numPr>
          <w:ilvl w:val="0"/>
          <w:numId w:val="9"/>
        </w:numPr>
        <w:spacing w:after="240" w:line="240" w:lineRule="auto"/>
        <w:ind w:left="547" w:hanging="547"/>
        <w:contextualSpacing w:val="0"/>
        <w:jc w:val="both"/>
        <w:rPr>
          <w:rFonts w:asciiTheme="minorHAnsi" w:hAnsiTheme="minorHAnsi"/>
          <w:szCs w:val="20"/>
        </w:rPr>
      </w:pPr>
      <w:bookmarkStart w:id="58" w:name="_Ref507161400"/>
      <w:r w:rsidRPr="00D920C9">
        <w:rPr>
          <w:rFonts w:asciiTheme="minorHAnsi" w:eastAsia="Times New Roman" w:hAnsiTheme="minorHAnsi"/>
          <w:szCs w:val="20"/>
          <w:lang w:eastAsia="es-ES"/>
        </w:rPr>
        <w:t xml:space="preserve">The Commission notes that </w:t>
      </w:r>
      <w:r w:rsidR="00A81D63" w:rsidRPr="00D920C9">
        <w:rPr>
          <w:rFonts w:asciiTheme="minorHAnsi" w:eastAsia="Times New Roman" w:hAnsiTheme="minorHAnsi"/>
          <w:szCs w:val="20"/>
          <w:lang w:eastAsia="es-ES"/>
        </w:rPr>
        <w:t>the United States’ legal framework for conducting police stops</w:t>
      </w:r>
      <w:r w:rsidR="00691203" w:rsidRPr="00D920C9">
        <w:rPr>
          <w:rFonts w:asciiTheme="minorHAnsi" w:eastAsia="Times New Roman" w:hAnsiTheme="minorHAnsi"/>
          <w:szCs w:val="20"/>
          <w:lang w:eastAsia="es-ES"/>
        </w:rPr>
        <w:t xml:space="preserve"> may allow or encourage expressions of bias in policing</w:t>
      </w:r>
      <w:r w:rsidR="00A81D63" w:rsidRPr="00D920C9">
        <w:rPr>
          <w:rFonts w:asciiTheme="minorHAnsi" w:eastAsia="Times New Roman" w:hAnsiTheme="minorHAnsi"/>
          <w:szCs w:val="20"/>
          <w:lang w:eastAsia="es-ES"/>
        </w:rPr>
        <w:t xml:space="preserve">. </w:t>
      </w:r>
      <w:r w:rsidR="007853B2" w:rsidRPr="00D920C9">
        <w:rPr>
          <w:rFonts w:asciiTheme="minorHAnsi" w:eastAsia="Times New Roman" w:hAnsiTheme="minorHAnsi"/>
          <w:szCs w:val="20"/>
          <w:lang w:eastAsia="es-ES"/>
        </w:rPr>
        <w:t xml:space="preserve">In particular, </w:t>
      </w:r>
      <w:r w:rsidR="002032D3" w:rsidRPr="00D920C9">
        <w:rPr>
          <w:rFonts w:asciiTheme="minorHAnsi" w:eastAsia="Times New Roman" w:hAnsiTheme="minorHAnsi"/>
          <w:szCs w:val="20"/>
          <w:lang w:eastAsia="es-ES"/>
        </w:rPr>
        <w:t xml:space="preserve">police are empowered to briefly stop individuals if they have a “reasonable suspicion,” formed on an “objective basis,” that an individual is engaged in or about to be </w:t>
      </w:r>
      <w:r w:rsidR="002B78E2" w:rsidRPr="00D920C9">
        <w:rPr>
          <w:rFonts w:asciiTheme="minorHAnsi" w:eastAsia="Times New Roman" w:hAnsiTheme="minorHAnsi"/>
          <w:szCs w:val="20"/>
          <w:lang w:eastAsia="es-ES"/>
        </w:rPr>
        <w:t xml:space="preserve">engaged in criminal activity (known as a </w:t>
      </w:r>
      <w:r w:rsidR="002B78E2" w:rsidRPr="00D920C9">
        <w:rPr>
          <w:rFonts w:asciiTheme="minorHAnsi" w:eastAsia="Times New Roman" w:hAnsiTheme="minorHAnsi"/>
          <w:i/>
          <w:szCs w:val="20"/>
          <w:lang w:eastAsia="es-ES"/>
        </w:rPr>
        <w:t>Terry</w:t>
      </w:r>
      <w:r w:rsidR="002B78E2" w:rsidRPr="00D920C9">
        <w:rPr>
          <w:rFonts w:asciiTheme="minorHAnsi" w:eastAsia="Times New Roman" w:hAnsiTheme="minorHAnsi"/>
          <w:szCs w:val="20"/>
          <w:lang w:eastAsia="es-ES"/>
        </w:rPr>
        <w:t xml:space="preserve"> stop).</w:t>
      </w:r>
      <w:r w:rsidR="002B78E2" w:rsidRPr="00D920C9">
        <w:rPr>
          <w:rStyle w:val="FootnoteReference"/>
          <w:rFonts w:asciiTheme="minorHAnsi" w:eastAsia="Times New Roman" w:hAnsiTheme="minorHAnsi"/>
          <w:szCs w:val="20"/>
          <w:lang w:eastAsia="es-ES"/>
        </w:rPr>
        <w:footnoteReference w:id="124"/>
      </w:r>
      <w:r w:rsidR="002032D3" w:rsidRPr="00D920C9">
        <w:rPr>
          <w:rFonts w:asciiTheme="minorHAnsi" w:eastAsia="Times New Roman" w:hAnsiTheme="minorHAnsi"/>
          <w:szCs w:val="20"/>
          <w:lang w:eastAsia="es-ES"/>
        </w:rPr>
        <w:t xml:space="preserve"> </w:t>
      </w:r>
      <w:r w:rsidR="002B78E2" w:rsidRPr="00D920C9">
        <w:rPr>
          <w:rFonts w:asciiTheme="minorHAnsi" w:eastAsia="Times New Roman" w:hAnsiTheme="minorHAnsi"/>
          <w:szCs w:val="20"/>
          <w:lang w:eastAsia="es-ES"/>
        </w:rPr>
        <w:t>“</w:t>
      </w:r>
      <w:r w:rsidR="00B528AA" w:rsidRPr="00D920C9">
        <w:rPr>
          <w:rFonts w:asciiTheme="minorHAnsi" w:eastAsia="Times New Roman" w:hAnsiTheme="minorHAnsi"/>
          <w:szCs w:val="20"/>
          <w:lang w:eastAsia="es-ES"/>
        </w:rPr>
        <w:t>R</w:t>
      </w:r>
      <w:r w:rsidR="002B78E2" w:rsidRPr="00D920C9">
        <w:rPr>
          <w:rFonts w:asciiTheme="minorHAnsi" w:eastAsia="Times New Roman" w:hAnsiTheme="minorHAnsi"/>
          <w:szCs w:val="20"/>
          <w:lang w:eastAsia="es-ES"/>
        </w:rPr>
        <w:t xml:space="preserve">easonable </w:t>
      </w:r>
      <w:r w:rsidR="002B78E2" w:rsidRPr="00D920C9">
        <w:rPr>
          <w:rFonts w:asciiTheme="minorHAnsi" w:hAnsiTheme="minorHAnsi"/>
          <w:szCs w:val="20"/>
        </w:rPr>
        <w:t xml:space="preserve">suspicion” is a lower threshold than the “probable cause” required </w:t>
      </w:r>
      <w:r w:rsidR="00B528AA" w:rsidRPr="00D920C9">
        <w:rPr>
          <w:rFonts w:asciiTheme="minorHAnsi" w:hAnsiTheme="minorHAnsi"/>
          <w:szCs w:val="20"/>
        </w:rPr>
        <w:t>for</w:t>
      </w:r>
      <w:r w:rsidR="002B78E2" w:rsidRPr="00D920C9">
        <w:rPr>
          <w:rFonts w:asciiTheme="minorHAnsi" w:hAnsiTheme="minorHAnsi"/>
          <w:szCs w:val="20"/>
        </w:rPr>
        <w:t xml:space="preserve"> search</w:t>
      </w:r>
      <w:r w:rsidR="00B528AA" w:rsidRPr="00D920C9">
        <w:rPr>
          <w:rFonts w:asciiTheme="minorHAnsi" w:hAnsiTheme="minorHAnsi"/>
          <w:szCs w:val="20"/>
        </w:rPr>
        <w:t>es or seizures</w:t>
      </w:r>
      <w:r w:rsidR="002B78E2" w:rsidRPr="00D920C9">
        <w:rPr>
          <w:rFonts w:asciiTheme="minorHAnsi" w:hAnsiTheme="minorHAnsi"/>
          <w:szCs w:val="20"/>
        </w:rPr>
        <w:t xml:space="preserve"> required under the Fourth Amendment</w:t>
      </w:r>
      <w:r w:rsidR="00691203" w:rsidRPr="00D920C9">
        <w:rPr>
          <w:rFonts w:asciiTheme="minorHAnsi" w:hAnsiTheme="minorHAnsi"/>
          <w:szCs w:val="20"/>
        </w:rPr>
        <w:t>, and is shaped by social context</w:t>
      </w:r>
      <w:r w:rsidR="002B78E2" w:rsidRPr="00D920C9">
        <w:rPr>
          <w:rFonts w:asciiTheme="minorHAnsi" w:hAnsiTheme="minorHAnsi"/>
          <w:szCs w:val="20"/>
        </w:rPr>
        <w:t xml:space="preserve">. </w:t>
      </w:r>
      <w:r w:rsidR="005E7134" w:rsidRPr="00D920C9">
        <w:rPr>
          <w:rFonts w:asciiTheme="minorHAnsi" w:hAnsiTheme="minorHAnsi"/>
          <w:szCs w:val="20"/>
        </w:rPr>
        <w:t>For example,</w:t>
      </w:r>
      <w:r w:rsidR="00691203" w:rsidRPr="00D920C9">
        <w:rPr>
          <w:rFonts w:asciiTheme="minorHAnsi" w:hAnsiTheme="minorHAnsi"/>
          <w:szCs w:val="20"/>
        </w:rPr>
        <w:t xml:space="preserve"> the Supreme Court has found that</w:t>
      </w:r>
      <w:r w:rsidR="005E7134" w:rsidRPr="00D920C9">
        <w:rPr>
          <w:rFonts w:asciiTheme="minorHAnsi" w:hAnsiTheme="minorHAnsi"/>
          <w:szCs w:val="20"/>
        </w:rPr>
        <w:t xml:space="preserve"> </w:t>
      </w:r>
      <w:r w:rsidR="008B55FA" w:rsidRPr="00D920C9">
        <w:rPr>
          <w:rFonts w:asciiTheme="minorHAnsi" w:hAnsiTheme="minorHAnsi"/>
          <w:szCs w:val="20"/>
        </w:rPr>
        <w:t xml:space="preserve">the fact of </w:t>
      </w:r>
      <w:r w:rsidR="005E7134" w:rsidRPr="00D920C9">
        <w:rPr>
          <w:rFonts w:asciiTheme="minorHAnsi" w:hAnsiTheme="minorHAnsi"/>
          <w:szCs w:val="20"/>
        </w:rPr>
        <w:t xml:space="preserve">a black man running in a </w:t>
      </w:r>
      <w:r w:rsidR="00152998" w:rsidRPr="00D920C9">
        <w:rPr>
          <w:rFonts w:asciiTheme="minorHAnsi" w:hAnsiTheme="minorHAnsi"/>
          <w:szCs w:val="20"/>
        </w:rPr>
        <w:t>“</w:t>
      </w:r>
      <w:r w:rsidR="005E7134" w:rsidRPr="00D920C9">
        <w:rPr>
          <w:rFonts w:asciiTheme="minorHAnsi" w:hAnsiTheme="minorHAnsi"/>
          <w:szCs w:val="20"/>
        </w:rPr>
        <w:t>high-crime</w:t>
      </w:r>
      <w:r w:rsidR="00152998" w:rsidRPr="00D920C9">
        <w:rPr>
          <w:rFonts w:asciiTheme="minorHAnsi" w:hAnsiTheme="minorHAnsi"/>
          <w:szCs w:val="20"/>
        </w:rPr>
        <w:t>”</w:t>
      </w:r>
      <w:r w:rsidR="005E7134" w:rsidRPr="00D920C9">
        <w:rPr>
          <w:rFonts w:asciiTheme="minorHAnsi" w:hAnsiTheme="minorHAnsi"/>
          <w:szCs w:val="20"/>
        </w:rPr>
        <w:t xml:space="preserve"> area may </w:t>
      </w:r>
      <w:r w:rsidR="00152998" w:rsidRPr="00D920C9">
        <w:rPr>
          <w:rFonts w:asciiTheme="minorHAnsi" w:hAnsiTheme="minorHAnsi"/>
          <w:szCs w:val="20"/>
        </w:rPr>
        <w:t xml:space="preserve">be sufficient </w:t>
      </w:r>
      <w:r w:rsidR="008B55FA" w:rsidRPr="00D920C9">
        <w:rPr>
          <w:rFonts w:asciiTheme="minorHAnsi" w:hAnsiTheme="minorHAnsi"/>
          <w:szCs w:val="20"/>
        </w:rPr>
        <w:t xml:space="preserve">to give rise to a “reasonable suspicion” </w:t>
      </w:r>
      <w:r w:rsidR="00152998" w:rsidRPr="00D920C9">
        <w:rPr>
          <w:rFonts w:asciiTheme="minorHAnsi" w:hAnsiTheme="minorHAnsi"/>
          <w:szCs w:val="20"/>
        </w:rPr>
        <w:t>for a police officer to decide to stop him.</w:t>
      </w:r>
      <w:r w:rsidR="00152998" w:rsidRPr="00D920C9">
        <w:rPr>
          <w:rFonts w:asciiTheme="minorHAnsi" w:hAnsiTheme="minorHAnsi"/>
          <w:vertAlign w:val="superscript"/>
        </w:rPr>
        <w:footnoteReference w:id="125"/>
      </w:r>
      <w:r w:rsidR="00152998" w:rsidRPr="00D920C9">
        <w:rPr>
          <w:rFonts w:asciiTheme="minorHAnsi" w:hAnsiTheme="minorHAnsi"/>
          <w:szCs w:val="20"/>
        </w:rPr>
        <w:t xml:space="preserve"> </w:t>
      </w:r>
      <w:r w:rsidR="008B55FA" w:rsidRPr="00D920C9">
        <w:rPr>
          <w:rFonts w:asciiTheme="minorHAnsi" w:hAnsiTheme="minorHAnsi"/>
          <w:szCs w:val="20"/>
        </w:rPr>
        <w:t xml:space="preserve">In this regard, </w:t>
      </w:r>
      <w:r w:rsidR="00152998" w:rsidRPr="00D920C9">
        <w:rPr>
          <w:rFonts w:asciiTheme="minorHAnsi" w:hAnsiTheme="minorHAnsi"/>
          <w:szCs w:val="20"/>
        </w:rPr>
        <w:t>“</w:t>
      </w:r>
      <w:proofErr w:type="spellStart"/>
      <w:r w:rsidR="008B55FA" w:rsidRPr="00D920C9">
        <w:rPr>
          <w:rFonts w:asciiTheme="minorHAnsi" w:hAnsiTheme="minorHAnsi"/>
          <w:szCs w:val="20"/>
        </w:rPr>
        <w:t>p</w:t>
      </w:r>
      <w:r w:rsidR="00152998" w:rsidRPr="00D920C9">
        <w:rPr>
          <w:rFonts w:asciiTheme="minorHAnsi" w:hAnsiTheme="minorHAnsi"/>
          <w:szCs w:val="20"/>
        </w:rPr>
        <w:t>retextual</w:t>
      </w:r>
      <w:proofErr w:type="spellEnd"/>
      <w:r w:rsidR="00152998" w:rsidRPr="00D920C9">
        <w:rPr>
          <w:rFonts w:asciiTheme="minorHAnsi" w:hAnsiTheme="minorHAnsi"/>
          <w:szCs w:val="20"/>
        </w:rPr>
        <w:t xml:space="preserve">” traffic stops (i.e. stops for minor traffic violations that </w:t>
      </w:r>
      <w:r w:rsidR="00691203" w:rsidRPr="00D920C9">
        <w:rPr>
          <w:rFonts w:asciiTheme="minorHAnsi" w:hAnsiTheme="minorHAnsi"/>
          <w:szCs w:val="20"/>
        </w:rPr>
        <w:t>are</w:t>
      </w:r>
      <w:r w:rsidR="00152998" w:rsidRPr="00D920C9">
        <w:rPr>
          <w:rFonts w:asciiTheme="minorHAnsi" w:hAnsiTheme="minorHAnsi"/>
          <w:szCs w:val="20"/>
        </w:rPr>
        <w:t xml:space="preserve"> subjectively motivated by an officer’s interest in something other than enforcing traffic laws) are also permitted by law.</w:t>
      </w:r>
      <w:r w:rsidR="00152998" w:rsidRPr="00D920C9">
        <w:rPr>
          <w:rFonts w:asciiTheme="minorHAnsi" w:hAnsiTheme="minorHAnsi"/>
          <w:vertAlign w:val="superscript"/>
        </w:rPr>
        <w:footnoteReference w:id="126"/>
      </w:r>
      <w:bookmarkEnd w:id="58"/>
    </w:p>
    <w:p w14:paraId="35AA3560" w14:textId="77777777" w:rsidR="00E53CBE" w:rsidRPr="00D920C9" w:rsidRDefault="00B528AA" w:rsidP="002C64F8">
      <w:pPr>
        <w:pStyle w:val="ListParagraph"/>
        <w:numPr>
          <w:ilvl w:val="0"/>
          <w:numId w:val="9"/>
        </w:numPr>
        <w:spacing w:after="240" w:line="240" w:lineRule="auto"/>
        <w:ind w:left="547" w:hanging="547"/>
        <w:contextualSpacing w:val="0"/>
        <w:jc w:val="both"/>
        <w:rPr>
          <w:rFonts w:asciiTheme="minorHAnsi" w:eastAsia="Times New Roman" w:hAnsiTheme="minorHAnsi"/>
          <w:szCs w:val="20"/>
          <w:lang w:eastAsia="es-ES"/>
        </w:rPr>
      </w:pPr>
      <w:bookmarkStart w:id="59" w:name="_Ref507161402"/>
      <w:r w:rsidRPr="00D920C9">
        <w:rPr>
          <w:rFonts w:asciiTheme="minorHAnsi" w:hAnsiTheme="minorHAnsi"/>
          <w:szCs w:val="20"/>
        </w:rPr>
        <w:t>Through</w:t>
      </w:r>
      <w:r w:rsidR="00E53CBE" w:rsidRPr="00D920C9">
        <w:rPr>
          <w:rFonts w:asciiTheme="minorHAnsi" w:hAnsiTheme="minorHAnsi"/>
          <w:szCs w:val="20"/>
        </w:rPr>
        <w:t xml:space="preserve"> regular monitoring and public hearings, the </w:t>
      </w:r>
      <w:r w:rsidRPr="00D920C9">
        <w:rPr>
          <w:rFonts w:asciiTheme="minorHAnsi" w:hAnsiTheme="minorHAnsi"/>
          <w:szCs w:val="20"/>
        </w:rPr>
        <w:t>IACHR</w:t>
      </w:r>
      <w:r w:rsidR="00E53CBE" w:rsidRPr="00D920C9">
        <w:rPr>
          <w:rFonts w:asciiTheme="minorHAnsi" w:hAnsiTheme="minorHAnsi"/>
          <w:szCs w:val="20"/>
        </w:rPr>
        <w:t xml:space="preserve"> has received information </w:t>
      </w:r>
      <w:r w:rsidR="00402469" w:rsidRPr="00D920C9">
        <w:rPr>
          <w:rFonts w:asciiTheme="minorHAnsi" w:hAnsiTheme="minorHAnsi"/>
          <w:szCs w:val="20"/>
        </w:rPr>
        <w:t>on</w:t>
      </w:r>
      <w:r w:rsidR="00E53CBE" w:rsidRPr="00D920C9">
        <w:rPr>
          <w:rFonts w:asciiTheme="minorHAnsi" w:hAnsiTheme="minorHAnsi"/>
          <w:szCs w:val="20"/>
        </w:rPr>
        <w:t xml:space="preserve"> patterns of police stops and similar programs in cities across the </w:t>
      </w:r>
      <w:r w:rsidR="00904A46" w:rsidRPr="00D920C9">
        <w:rPr>
          <w:rFonts w:asciiTheme="minorHAnsi" w:hAnsiTheme="minorHAnsi"/>
          <w:szCs w:val="20"/>
        </w:rPr>
        <w:t>U.S.</w:t>
      </w:r>
      <w:r w:rsidR="00E53CBE" w:rsidRPr="00D920C9">
        <w:rPr>
          <w:rFonts w:asciiTheme="minorHAnsi" w:hAnsiTheme="minorHAnsi"/>
          <w:szCs w:val="20"/>
        </w:rPr>
        <w:t xml:space="preserve"> that, while facially race-neutral, are applied in a discriminatory way that disproportionately harms African</w:t>
      </w:r>
      <w:r w:rsidR="0030356C" w:rsidRPr="00D920C9">
        <w:rPr>
          <w:rFonts w:asciiTheme="minorHAnsi" w:hAnsiTheme="minorHAnsi"/>
          <w:szCs w:val="20"/>
        </w:rPr>
        <w:t xml:space="preserve"> </w:t>
      </w:r>
      <w:r w:rsidR="00E53CBE" w:rsidRPr="00D920C9">
        <w:rPr>
          <w:rFonts w:asciiTheme="minorHAnsi" w:hAnsiTheme="minorHAnsi"/>
          <w:szCs w:val="20"/>
        </w:rPr>
        <w:t xml:space="preserve">Americans, Hispanics, and other </w:t>
      </w:r>
      <w:r w:rsidR="00404C93" w:rsidRPr="00D920C9">
        <w:rPr>
          <w:rFonts w:asciiTheme="minorHAnsi" w:hAnsiTheme="minorHAnsi"/>
          <w:szCs w:val="20"/>
        </w:rPr>
        <w:t>historically marginalized groups</w:t>
      </w:r>
      <w:r w:rsidR="00E53CBE" w:rsidRPr="00D920C9">
        <w:rPr>
          <w:rFonts w:asciiTheme="minorHAnsi" w:hAnsiTheme="minorHAnsi"/>
          <w:szCs w:val="20"/>
          <w:lang w:eastAsia="es-ES"/>
        </w:rPr>
        <w:t xml:space="preserve">, and may even reward discriminatory behavior on the part of law enforcement officers. </w:t>
      </w:r>
      <w:r w:rsidR="00E53CBE" w:rsidRPr="00D920C9">
        <w:rPr>
          <w:rFonts w:asciiTheme="minorHAnsi" w:eastAsia="Times New Roman" w:hAnsiTheme="minorHAnsi"/>
          <w:szCs w:val="20"/>
          <w:lang w:eastAsia="es-ES"/>
        </w:rPr>
        <w:lastRenderedPageBreak/>
        <w:t>A</w:t>
      </w:r>
      <w:r w:rsidR="007853B2" w:rsidRPr="00D920C9">
        <w:rPr>
          <w:rFonts w:asciiTheme="minorHAnsi" w:eastAsia="Times New Roman" w:hAnsiTheme="minorHAnsi"/>
          <w:szCs w:val="20"/>
          <w:lang w:eastAsia="es-ES"/>
        </w:rPr>
        <w:t xml:space="preserve">vailable information from </w:t>
      </w:r>
      <w:r w:rsidR="00E53CBE" w:rsidRPr="00D920C9">
        <w:rPr>
          <w:rFonts w:asciiTheme="minorHAnsi" w:eastAsia="Times New Roman" w:hAnsiTheme="minorHAnsi"/>
          <w:szCs w:val="20"/>
          <w:lang w:eastAsia="es-ES"/>
        </w:rPr>
        <w:t>a number of states and</w:t>
      </w:r>
      <w:r w:rsidR="007853B2" w:rsidRPr="00D920C9">
        <w:rPr>
          <w:rFonts w:asciiTheme="minorHAnsi" w:eastAsia="Times New Roman" w:hAnsiTheme="minorHAnsi"/>
          <w:szCs w:val="20"/>
          <w:lang w:eastAsia="es-ES"/>
        </w:rPr>
        <w:t xml:space="preserve"> municipalities indicates that police stops are carried out in a racially discriminatory manner.</w:t>
      </w:r>
      <w:r w:rsidR="00E53CBE" w:rsidRPr="00D920C9">
        <w:rPr>
          <w:rStyle w:val="FootnoteReference"/>
          <w:rFonts w:asciiTheme="minorHAnsi" w:eastAsia="Times New Roman" w:hAnsiTheme="minorHAnsi"/>
          <w:szCs w:val="20"/>
          <w:lang w:eastAsia="es-ES"/>
        </w:rPr>
        <w:footnoteReference w:id="127"/>
      </w:r>
      <w:r w:rsidR="00152998" w:rsidRPr="00D920C9">
        <w:rPr>
          <w:rFonts w:asciiTheme="minorHAnsi" w:eastAsia="Times New Roman" w:hAnsiTheme="minorHAnsi"/>
          <w:szCs w:val="20"/>
          <w:lang w:eastAsia="es-ES"/>
        </w:rPr>
        <w:t xml:space="preserve"> For example, the authors of one study of stops by the Los Angeles Police Department </w:t>
      </w:r>
      <w:r w:rsidR="00402469" w:rsidRPr="00D920C9">
        <w:rPr>
          <w:rFonts w:asciiTheme="minorHAnsi" w:eastAsia="Times New Roman" w:hAnsiTheme="minorHAnsi"/>
          <w:szCs w:val="20"/>
          <w:lang w:eastAsia="es-ES"/>
        </w:rPr>
        <w:t xml:space="preserve">(LAPD) </w:t>
      </w:r>
      <w:r w:rsidR="00E53CBE" w:rsidRPr="00D920C9">
        <w:rPr>
          <w:rFonts w:asciiTheme="minorHAnsi" w:eastAsia="Times New Roman" w:hAnsiTheme="minorHAnsi"/>
          <w:szCs w:val="20"/>
          <w:lang w:eastAsia="es-ES"/>
        </w:rPr>
        <w:t xml:space="preserve">found that not only were black and Hispanic individuals more likely to be stopped, but that once stopped they were also substantially more likely to be frisked or searched. They </w:t>
      </w:r>
      <w:r w:rsidR="00152998" w:rsidRPr="00D920C9">
        <w:rPr>
          <w:rFonts w:asciiTheme="minorHAnsi" w:eastAsia="Times New Roman" w:hAnsiTheme="minorHAnsi"/>
          <w:szCs w:val="20"/>
          <w:lang w:eastAsia="es-ES"/>
        </w:rPr>
        <w:t>concluded</w:t>
      </w:r>
      <w:r w:rsidR="00E53CBE" w:rsidRPr="00D920C9">
        <w:rPr>
          <w:rFonts w:asciiTheme="minorHAnsi" w:eastAsia="Times New Roman" w:hAnsiTheme="minorHAnsi"/>
          <w:szCs w:val="20"/>
          <w:lang w:eastAsia="es-ES"/>
        </w:rPr>
        <w:t>:</w:t>
      </w:r>
      <w:bookmarkEnd w:id="59"/>
    </w:p>
    <w:p w14:paraId="5DCE61FD" w14:textId="77777777" w:rsidR="00A81D63" w:rsidRPr="00D920C9" w:rsidRDefault="00E53CBE" w:rsidP="0040052F">
      <w:pPr>
        <w:spacing w:after="240" w:line="240" w:lineRule="auto"/>
        <w:ind w:left="1166" w:right="619"/>
        <w:jc w:val="both"/>
        <w:rPr>
          <w:rFonts w:asciiTheme="minorHAnsi" w:eastAsia="Times New Roman" w:hAnsiTheme="minorHAnsi"/>
          <w:szCs w:val="18"/>
          <w:lang w:eastAsia="es-ES"/>
        </w:rPr>
      </w:pPr>
      <w:r w:rsidRPr="00D920C9">
        <w:rPr>
          <w:rFonts w:asciiTheme="minorHAnsi" w:eastAsia="Times New Roman" w:hAnsiTheme="minorHAnsi"/>
          <w:szCs w:val="18"/>
          <w:lang w:eastAsia="es-ES"/>
        </w:rPr>
        <w:t>It is implausible that higher frisk and search rates are justified by higher minority criminality, when these frisks and searches are substantially less likely to uncover weapons, drugs or other types of contraband. We also find that the black arrest disparity was 9 percentage points lower when the stopping officer was black than when the stopping officer was not black. Similarly, the Hispanic arrest disparity was 7 percentage points lower when the stopping officer was Hispanic than when the stopping officer was a non-Hispanic white. Taken as a whole, these results justify further investigation and corrective action.</w:t>
      </w:r>
      <w:r w:rsidRPr="00D920C9">
        <w:rPr>
          <w:rStyle w:val="FootnoteReference"/>
          <w:rFonts w:asciiTheme="minorHAnsi" w:eastAsia="Times New Roman" w:hAnsiTheme="minorHAnsi"/>
          <w:szCs w:val="18"/>
          <w:lang w:eastAsia="es-ES"/>
        </w:rPr>
        <w:footnoteReference w:id="128"/>
      </w:r>
    </w:p>
    <w:p w14:paraId="51921701" w14:textId="77777777" w:rsidR="00F15232" w:rsidRPr="00D920C9" w:rsidRDefault="00E53CBE" w:rsidP="002C64F8">
      <w:pPr>
        <w:pStyle w:val="ListParagraph"/>
        <w:numPr>
          <w:ilvl w:val="0"/>
          <w:numId w:val="9"/>
        </w:numPr>
        <w:spacing w:after="240" w:line="240" w:lineRule="auto"/>
        <w:ind w:left="547" w:hanging="547"/>
        <w:contextualSpacing w:val="0"/>
        <w:jc w:val="both"/>
        <w:rPr>
          <w:rFonts w:asciiTheme="minorHAnsi" w:hAnsiTheme="minorHAnsi"/>
          <w:szCs w:val="20"/>
        </w:rPr>
      </w:pPr>
      <w:r w:rsidRPr="00D920C9">
        <w:rPr>
          <w:rFonts w:asciiTheme="minorHAnsi" w:eastAsia="Times New Roman" w:hAnsiTheme="minorHAnsi"/>
          <w:szCs w:val="20"/>
          <w:lang w:eastAsia="es-ES"/>
        </w:rPr>
        <w:t xml:space="preserve">This empirical evidence </w:t>
      </w:r>
      <w:r w:rsidR="00B528AA" w:rsidRPr="00D920C9">
        <w:rPr>
          <w:rFonts w:asciiTheme="minorHAnsi" w:eastAsia="Times New Roman" w:hAnsiTheme="minorHAnsi"/>
          <w:szCs w:val="20"/>
          <w:lang w:eastAsia="es-ES"/>
        </w:rPr>
        <w:t>accords</w:t>
      </w:r>
      <w:r w:rsidRPr="00D920C9">
        <w:rPr>
          <w:rFonts w:asciiTheme="minorHAnsi" w:eastAsia="Times New Roman" w:hAnsiTheme="minorHAnsi"/>
          <w:szCs w:val="20"/>
          <w:lang w:eastAsia="es-ES"/>
        </w:rPr>
        <w:t xml:space="preserve"> with evidence and testimony </w:t>
      </w:r>
      <w:r w:rsidR="004017B4" w:rsidRPr="00D920C9">
        <w:rPr>
          <w:rFonts w:asciiTheme="minorHAnsi" w:eastAsia="Times New Roman" w:hAnsiTheme="minorHAnsi"/>
          <w:szCs w:val="20"/>
          <w:lang w:eastAsia="es-ES"/>
        </w:rPr>
        <w:t xml:space="preserve">about racial profiling and over-policing, particularly of poor communities, </w:t>
      </w:r>
      <w:r w:rsidRPr="00D920C9">
        <w:rPr>
          <w:rFonts w:asciiTheme="minorHAnsi" w:eastAsia="Times New Roman" w:hAnsiTheme="minorHAnsi"/>
          <w:szCs w:val="20"/>
          <w:lang w:eastAsia="es-ES"/>
        </w:rPr>
        <w:t xml:space="preserve">received by the Commission </w:t>
      </w:r>
      <w:r w:rsidR="004017B4" w:rsidRPr="00D920C9">
        <w:rPr>
          <w:rFonts w:asciiTheme="minorHAnsi" w:eastAsia="Times New Roman" w:hAnsiTheme="minorHAnsi"/>
          <w:szCs w:val="20"/>
          <w:lang w:eastAsia="es-ES"/>
        </w:rPr>
        <w:t>during its 2015 on-site visit</w:t>
      </w:r>
      <w:r w:rsidR="00402469" w:rsidRPr="00D920C9">
        <w:rPr>
          <w:rFonts w:asciiTheme="minorHAnsi" w:eastAsia="Times New Roman" w:hAnsiTheme="minorHAnsi"/>
          <w:szCs w:val="20"/>
          <w:lang w:eastAsia="es-ES"/>
        </w:rPr>
        <w:t xml:space="preserve"> and</w:t>
      </w:r>
      <w:r w:rsidR="004017B4" w:rsidRPr="00D920C9">
        <w:rPr>
          <w:rFonts w:asciiTheme="minorHAnsi" w:eastAsia="Times New Roman" w:hAnsiTheme="minorHAnsi"/>
          <w:szCs w:val="20"/>
          <w:lang w:eastAsia="es-ES"/>
        </w:rPr>
        <w:t xml:space="preserve"> during public hearings. For example, in Miami, </w:t>
      </w:r>
      <w:r w:rsidR="00A87757" w:rsidRPr="00D920C9">
        <w:rPr>
          <w:rFonts w:asciiTheme="minorHAnsi" w:eastAsia="Times New Roman" w:hAnsiTheme="minorHAnsi"/>
          <w:szCs w:val="20"/>
          <w:lang w:eastAsia="es-ES"/>
        </w:rPr>
        <w:t>the delegation re</w:t>
      </w:r>
      <w:r w:rsidR="00B528AA" w:rsidRPr="00D920C9">
        <w:rPr>
          <w:rFonts w:asciiTheme="minorHAnsi" w:eastAsia="Times New Roman" w:hAnsiTheme="minorHAnsi"/>
          <w:szCs w:val="20"/>
          <w:lang w:eastAsia="es-ES"/>
        </w:rPr>
        <w:t xml:space="preserve">ceived the testimony of an </w:t>
      </w:r>
      <w:r w:rsidR="00A87757" w:rsidRPr="00D920C9">
        <w:rPr>
          <w:rFonts w:asciiTheme="minorHAnsi" w:eastAsia="Times New Roman" w:hAnsiTheme="minorHAnsi"/>
          <w:szCs w:val="20"/>
          <w:lang w:eastAsia="es-ES"/>
        </w:rPr>
        <w:t>African</w:t>
      </w:r>
      <w:r w:rsidR="0030356C" w:rsidRPr="00D920C9">
        <w:rPr>
          <w:rFonts w:asciiTheme="minorHAnsi" w:eastAsia="Times New Roman" w:hAnsiTheme="minorHAnsi"/>
          <w:szCs w:val="20"/>
          <w:lang w:eastAsia="es-ES"/>
        </w:rPr>
        <w:t xml:space="preserve"> </w:t>
      </w:r>
      <w:r w:rsidR="00A87757" w:rsidRPr="00D920C9">
        <w:rPr>
          <w:rFonts w:asciiTheme="minorHAnsi" w:eastAsia="Times New Roman" w:hAnsiTheme="minorHAnsi"/>
          <w:szCs w:val="20"/>
          <w:lang w:eastAsia="es-ES"/>
        </w:rPr>
        <w:t>American law student who stated that he had been stopped by the police about thirty times in his lifetime based on his race and his appearance. Other speakers affirmed that many of those subjected to arbitrary stops are afraid to report them to authorities, particularly if they have committed offenses in the past.</w:t>
      </w:r>
      <w:r w:rsidR="00A87757" w:rsidRPr="00D920C9">
        <w:rPr>
          <w:rStyle w:val="FootnoteReference"/>
          <w:rFonts w:asciiTheme="minorHAnsi" w:eastAsia="Times New Roman" w:hAnsiTheme="minorHAnsi"/>
          <w:szCs w:val="20"/>
          <w:lang w:eastAsia="es-ES"/>
        </w:rPr>
        <w:footnoteReference w:id="129"/>
      </w:r>
      <w:r w:rsidR="00A87757" w:rsidRPr="00D920C9">
        <w:rPr>
          <w:rFonts w:asciiTheme="minorHAnsi" w:eastAsia="Times New Roman" w:hAnsiTheme="minorHAnsi"/>
          <w:szCs w:val="20"/>
          <w:lang w:eastAsia="es-ES"/>
        </w:rPr>
        <w:t xml:space="preserve"> </w:t>
      </w:r>
      <w:r w:rsidR="00620290" w:rsidRPr="00D920C9">
        <w:rPr>
          <w:rFonts w:asciiTheme="minorHAnsi" w:eastAsia="Times New Roman" w:hAnsiTheme="minorHAnsi"/>
          <w:szCs w:val="20"/>
          <w:lang w:eastAsia="es-ES"/>
        </w:rPr>
        <w:t>It is important to note that r</w:t>
      </w:r>
      <w:r w:rsidR="00F15232" w:rsidRPr="00D920C9">
        <w:rPr>
          <w:rFonts w:asciiTheme="minorHAnsi" w:eastAsia="Times New Roman" w:hAnsiTheme="minorHAnsi"/>
          <w:szCs w:val="20"/>
          <w:lang w:eastAsia="es-ES"/>
        </w:rPr>
        <w:t xml:space="preserve">acial profiling can also be </w:t>
      </w:r>
      <w:r w:rsidR="00620290" w:rsidRPr="00D920C9">
        <w:rPr>
          <w:rFonts w:asciiTheme="minorHAnsi" w:eastAsia="Times New Roman" w:hAnsiTheme="minorHAnsi"/>
          <w:szCs w:val="20"/>
          <w:lang w:eastAsia="es-ES"/>
        </w:rPr>
        <w:t>aggravated by</w:t>
      </w:r>
      <w:r w:rsidR="00F15232" w:rsidRPr="00D920C9">
        <w:rPr>
          <w:rFonts w:asciiTheme="minorHAnsi" w:eastAsia="Times New Roman" w:hAnsiTheme="minorHAnsi"/>
          <w:szCs w:val="20"/>
          <w:lang w:eastAsia="es-ES"/>
        </w:rPr>
        <w:t xml:space="preserve"> profiling on the basis of other</w:t>
      </w:r>
      <w:r w:rsidR="00620290" w:rsidRPr="00D920C9">
        <w:rPr>
          <w:rFonts w:asciiTheme="minorHAnsi" w:eastAsia="Times New Roman" w:hAnsiTheme="minorHAnsi"/>
          <w:szCs w:val="20"/>
          <w:lang w:eastAsia="es-ES"/>
        </w:rPr>
        <w:t xml:space="preserve"> intersectional</w:t>
      </w:r>
      <w:r w:rsidR="00F15232" w:rsidRPr="00D920C9">
        <w:rPr>
          <w:rFonts w:asciiTheme="minorHAnsi" w:eastAsia="Times New Roman" w:hAnsiTheme="minorHAnsi"/>
          <w:szCs w:val="20"/>
          <w:lang w:eastAsia="es-ES"/>
        </w:rPr>
        <w:t xml:space="preserve"> factors, </w:t>
      </w:r>
      <w:r w:rsidR="00F15232" w:rsidRPr="00D920C9">
        <w:rPr>
          <w:rFonts w:asciiTheme="minorHAnsi" w:hAnsiTheme="minorHAnsi"/>
          <w:szCs w:val="20"/>
        </w:rPr>
        <w:t>such as age and situation of poverty. For example, t</w:t>
      </w:r>
      <w:r w:rsidR="003A6467" w:rsidRPr="00D920C9">
        <w:rPr>
          <w:rFonts w:asciiTheme="minorHAnsi" w:hAnsiTheme="minorHAnsi"/>
          <w:szCs w:val="20"/>
        </w:rPr>
        <w:t>he Commission</w:t>
      </w:r>
      <w:r w:rsidR="00A87757" w:rsidRPr="00D920C9">
        <w:rPr>
          <w:rFonts w:asciiTheme="minorHAnsi" w:hAnsiTheme="minorHAnsi"/>
          <w:szCs w:val="20"/>
        </w:rPr>
        <w:t xml:space="preserve"> also</w:t>
      </w:r>
      <w:r w:rsidR="003A6467" w:rsidRPr="00D920C9">
        <w:rPr>
          <w:rFonts w:asciiTheme="minorHAnsi" w:hAnsiTheme="minorHAnsi"/>
          <w:szCs w:val="20"/>
        </w:rPr>
        <w:t xml:space="preserve"> heard from civil society</w:t>
      </w:r>
      <w:r w:rsidR="00A87757" w:rsidRPr="00D920C9">
        <w:rPr>
          <w:rFonts w:asciiTheme="minorHAnsi" w:hAnsiTheme="minorHAnsi"/>
          <w:szCs w:val="20"/>
        </w:rPr>
        <w:t xml:space="preserve"> in Florida</w:t>
      </w:r>
      <w:r w:rsidR="003A6467" w:rsidRPr="00D920C9">
        <w:rPr>
          <w:rFonts w:asciiTheme="minorHAnsi" w:hAnsiTheme="minorHAnsi"/>
          <w:szCs w:val="20"/>
        </w:rPr>
        <w:t xml:space="preserve"> about </w:t>
      </w:r>
      <w:r w:rsidR="00F15232" w:rsidRPr="00D920C9">
        <w:rPr>
          <w:rFonts w:asciiTheme="minorHAnsi" w:hAnsiTheme="minorHAnsi"/>
          <w:szCs w:val="20"/>
        </w:rPr>
        <w:t xml:space="preserve">how children from low-income neighborhoods are particularly affected by </w:t>
      </w:r>
      <w:r w:rsidR="003A6467" w:rsidRPr="00D920C9">
        <w:rPr>
          <w:rFonts w:asciiTheme="minorHAnsi" w:hAnsiTheme="minorHAnsi"/>
          <w:szCs w:val="20"/>
        </w:rPr>
        <w:t xml:space="preserve">the </w:t>
      </w:r>
      <w:r w:rsidR="00F15232" w:rsidRPr="00D920C9">
        <w:rPr>
          <w:rFonts w:asciiTheme="minorHAnsi" w:hAnsiTheme="minorHAnsi"/>
          <w:szCs w:val="20"/>
        </w:rPr>
        <w:t>high number</w:t>
      </w:r>
      <w:r w:rsidR="003A6467" w:rsidRPr="00D920C9">
        <w:rPr>
          <w:rFonts w:asciiTheme="minorHAnsi" w:hAnsiTheme="minorHAnsi"/>
          <w:szCs w:val="20"/>
        </w:rPr>
        <w:t xml:space="preserve"> of bicycle stops </w:t>
      </w:r>
      <w:r w:rsidR="00F15232" w:rsidRPr="00D920C9">
        <w:rPr>
          <w:rFonts w:asciiTheme="minorHAnsi" w:hAnsiTheme="minorHAnsi"/>
          <w:szCs w:val="20"/>
        </w:rPr>
        <w:t>and</w:t>
      </w:r>
      <w:r w:rsidR="003A6467" w:rsidRPr="00D920C9">
        <w:rPr>
          <w:rFonts w:asciiTheme="minorHAnsi" w:hAnsiTheme="minorHAnsi"/>
          <w:szCs w:val="20"/>
        </w:rPr>
        <w:t xml:space="preserve"> the </w:t>
      </w:r>
      <w:r w:rsidR="00A66A40" w:rsidRPr="00D920C9">
        <w:rPr>
          <w:rFonts w:asciiTheme="minorHAnsi" w:hAnsiTheme="minorHAnsi"/>
          <w:szCs w:val="20"/>
        </w:rPr>
        <w:t>increased</w:t>
      </w:r>
      <w:r w:rsidR="003A6467" w:rsidRPr="00D920C9">
        <w:rPr>
          <w:rFonts w:asciiTheme="minorHAnsi" w:hAnsiTheme="minorHAnsi"/>
          <w:szCs w:val="20"/>
        </w:rPr>
        <w:t xml:space="preserve"> number of traffic tickets </w:t>
      </w:r>
      <w:r w:rsidR="00F15232" w:rsidRPr="00D920C9">
        <w:rPr>
          <w:rFonts w:asciiTheme="minorHAnsi" w:hAnsiTheme="minorHAnsi"/>
          <w:szCs w:val="20"/>
        </w:rPr>
        <w:t>issued to African</w:t>
      </w:r>
      <w:r w:rsidR="0030356C" w:rsidRPr="00D920C9">
        <w:rPr>
          <w:rFonts w:asciiTheme="minorHAnsi" w:hAnsiTheme="minorHAnsi"/>
          <w:szCs w:val="20"/>
        </w:rPr>
        <w:t xml:space="preserve"> </w:t>
      </w:r>
      <w:r w:rsidR="00F15232" w:rsidRPr="00D920C9">
        <w:rPr>
          <w:rFonts w:asciiTheme="minorHAnsi" w:hAnsiTheme="minorHAnsi"/>
          <w:szCs w:val="20"/>
        </w:rPr>
        <w:t>Americans by police.</w:t>
      </w:r>
      <w:r w:rsidR="003A6467" w:rsidRPr="00D920C9">
        <w:rPr>
          <w:rFonts w:asciiTheme="minorHAnsi" w:hAnsiTheme="minorHAnsi"/>
          <w:vertAlign w:val="superscript"/>
        </w:rPr>
        <w:footnoteReference w:id="130"/>
      </w:r>
      <w:r w:rsidR="00F15232" w:rsidRPr="00D920C9">
        <w:rPr>
          <w:rFonts w:asciiTheme="minorHAnsi" w:hAnsiTheme="minorHAnsi"/>
          <w:szCs w:val="20"/>
        </w:rPr>
        <w:t xml:space="preserve"> </w:t>
      </w:r>
      <w:r w:rsidR="00B528AA" w:rsidRPr="00D920C9">
        <w:rPr>
          <w:rFonts w:asciiTheme="minorHAnsi" w:hAnsiTheme="minorHAnsi"/>
          <w:szCs w:val="20"/>
        </w:rPr>
        <w:t>Individuals may also be p</w:t>
      </w:r>
      <w:r w:rsidR="00620290" w:rsidRPr="00D920C9">
        <w:rPr>
          <w:rFonts w:asciiTheme="minorHAnsi" w:hAnsiTheme="minorHAnsi"/>
          <w:szCs w:val="20"/>
        </w:rPr>
        <w:t>rofil</w:t>
      </w:r>
      <w:r w:rsidR="00B528AA" w:rsidRPr="00D920C9">
        <w:rPr>
          <w:rFonts w:asciiTheme="minorHAnsi" w:hAnsiTheme="minorHAnsi"/>
          <w:szCs w:val="20"/>
        </w:rPr>
        <w:t>ed</w:t>
      </w:r>
      <w:r w:rsidR="00620290" w:rsidRPr="00D920C9">
        <w:rPr>
          <w:rFonts w:asciiTheme="minorHAnsi" w:hAnsiTheme="minorHAnsi"/>
          <w:szCs w:val="20"/>
        </w:rPr>
        <w:t xml:space="preserve"> on the basis of national origin or perceived national origin and mother tongue. </w:t>
      </w:r>
      <w:r w:rsidR="00401DF8" w:rsidRPr="00D920C9">
        <w:rPr>
          <w:rFonts w:asciiTheme="minorHAnsi" w:hAnsiTheme="minorHAnsi"/>
          <w:szCs w:val="20"/>
        </w:rPr>
        <w:t>T</w:t>
      </w:r>
      <w:r w:rsidR="00F15232" w:rsidRPr="00D920C9">
        <w:rPr>
          <w:rFonts w:asciiTheme="minorHAnsi" w:hAnsiTheme="minorHAnsi"/>
          <w:szCs w:val="20"/>
        </w:rPr>
        <w:t xml:space="preserve">he Commission received information that Haitian and Hispanic immigrants may be profiled on the basis of their appearance, skin color, and/or </w:t>
      </w:r>
      <w:r w:rsidR="00F15232" w:rsidRPr="00D920C9">
        <w:rPr>
          <w:rFonts w:asciiTheme="minorHAnsi" w:hAnsiTheme="minorHAnsi"/>
          <w:szCs w:val="20"/>
        </w:rPr>
        <w:lastRenderedPageBreak/>
        <w:t>language spoken, and often lack identity documents, both of which make them more vulnerable to police abuses.</w:t>
      </w:r>
      <w:r w:rsidR="00F15232" w:rsidRPr="00D920C9">
        <w:rPr>
          <w:rFonts w:asciiTheme="minorHAnsi" w:hAnsiTheme="minorHAnsi"/>
          <w:vertAlign w:val="superscript"/>
        </w:rPr>
        <w:footnoteReference w:id="131"/>
      </w:r>
    </w:p>
    <w:p w14:paraId="6C895102" w14:textId="77777777" w:rsidR="003A6467" w:rsidRPr="00D920C9" w:rsidRDefault="00294A0A" w:rsidP="002C64F8">
      <w:pPr>
        <w:pStyle w:val="ListParagraph"/>
        <w:numPr>
          <w:ilvl w:val="0"/>
          <w:numId w:val="9"/>
        </w:numPr>
        <w:spacing w:after="240" w:line="240" w:lineRule="auto"/>
        <w:ind w:left="547" w:hanging="547"/>
        <w:contextualSpacing w:val="0"/>
        <w:jc w:val="both"/>
        <w:rPr>
          <w:rFonts w:asciiTheme="minorHAnsi" w:hAnsiTheme="minorHAnsi"/>
          <w:szCs w:val="20"/>
        </w:rPr>
      </w:pPr>
      <w:bookmarkStart w:id="60" w:name="_Ref507411660"/>
      <w:r w:rsidRPr="00D920C9">
        <w:rPr>
          <w:rFonts w:asciiTheme="minorHAnsi" w:hAnsiTheme="minorHAnsi"/>
          <w:szCs w:val="20"/>
        </w:rPr>
        <w:t xml:space="preserve">The Commission </w:t>
      </w:r>
      <w:r w:rsidR="00096E79" w:rsidRPr="00D920C9">
        <w:rPr>
          <w:rFonts w:asciiTheme="minorHAnsi" w:hAnsiTheme="minorHAnsi"/>
          <w:szCs w:val="20"/>
        </w:rPr>
        <w:t>notes</w:t>
      </w:r>
      <w:r w:rsidRPr="00D920C9">
        <w:rPr>
          <w:rFonts w:asciiTheme="minorHAnsi" w:hAnsiTheme="minorHAnsi"/>
          <w:szCs w:val="20"/>
        </w:rPr>
        <w:t xml:space="preserve"> information indicating an urgent need for further studies of the impact of racial profiling on its victims. For example, some existing studies indicate that police stops induce individuals to subsequently avoid using public services for fear of additional police contact, and may even decrease voter turnout in entire neighborhoods.</w:t>
      </w:r>
      <w:r w:rsidRPr="00D920C9">
        <w:rPr>
          <w:rFonts w:asciiTheme="minorHAnsi" w:hAnsiTheme="minorHAnsi"/>
          <w:vertAlign w:val="superscript"/>
        </w:rPr>
        <w:footnoteReference w:id="132"/>
      </w:r>
      <w:r w:rsidR="002E5EBF" w:rsidRPr="00D920C9">
        <w:rPr>
          <w:rFonts w:asciiTheme="minorHAnsi" w:hAnsiTheme="minorHAnsi"/>
          <w:szCs w:val="20"/>
        </w:rPr>
        <w:t xml:space="preserve"> Another found </w:t>
      </w:r>
      <w:r w:rsidRPr="00D920C9">
        <w:rPr>
          <w:rFonts w:asciiTheme="minorHAnsi" w:hAnsiTheme="minorHAnsi"/>
          <w:szCs w:val="20"/>
        </w:rPr>
        <w:t>that adolescent boys who were stopped by police without having broken the law were more likely to engage in illegal behavior later in life.</w:t>
      </w:r>
      <w:r w:rsidRPr="00D920C9">
        <w:rPr>
          <w:rFonts w:asciiTheme="minorHAnsi" w:hAnsiTheme="minorHAnsi"/>
          <w:vertAlign w:val="superscript"/>
        </w:rPr>
        <w:footnoteReference w:id="133"/>
      </w:r>
      <w:r w:rsidRPr="00D920C9">
        <w:rPr>
          <w:rFonts w:asciiTheme="minorHAnsi" w:hAnsiTheme="minorHAnsi"/>
          <w:szCs w:val="20"/>
        </w:rPr>
        <w:t xml:space="preserve"> Given </w:t>
      </w:r>
      <w:r w:rsidR="002E5EBF" w:rsidRPr="00D920C9">
        <w:rPr>
          <w:rFonts w:asciiTheme="minorHAnsi" w:hAnsiTheme="minorHAnsi"/>
          <w:szCs w:val="20"/>
        </w:rPr>
        <w:t>these indicia</w:t>
      </w:r>
      <w:r w:rsidRPr="00D920C9">
        <w:rPr>
          <w:rFonts w:asciiTheme="minorHAnsi" w:hAnsiTheme="minorHAnsi"/>
          <w:szCs w:val="20"/>
        </w:rPr>
        <w:t xml:space="preserve"> that the impact of racial profiling on communities is extensive and profound, the Commission </w:t>
      </w:r>
      <w:r w:rsidR="0004541B" w:rsidRPr="00D920C9">
        <w:rPr>
          <w:rFonts w:asciiTheme="minorHAnsi" w:hAnsiTheme="minorHAnsi"/>
          <w:szCs w:val="20"/>
        </w:rPr>
        <w:t>considers that it is necessary for</w:t>
      </w:r>
      <w:r w:rsidRPr="00D920C9">
        <w:rPr>
          <w:rFonts w:asciiTheme="minorHAnsi" w:hAnsiTheme="minorHAnsi"/>
          <w:szCs w:val="20"/>
        </w:rPr>
        <w:t xml:space="preserve"> the State to further these studies in order to appropriately formulate policy that prevents racial discrimination and remedies its impacts.</w:t>
      </w:r>
      <w:bookmarkEnd w:id="60"/>
    </w:p>
    <w:p w14:paraId="6AF5BD26" w14:textId="77777777" w:rsidR="003A6467" w:rsidRPr="00D920C9" w:rsidRDefault="00E53CBE" w:rsidP="002C64F8">
      <w:pPr>
        <w:pStyle w:val="ListParagraph"/>
        <w:numPr>
          <w:ilvl w:val="0"/>
          <w:numId w:val="9"/>
        </w:numPr>
        <w:spacing w:after="240" w:line="240" w:lineRule="auto"/>
        <w:ind w:left="547" w:hanging="547"/>
        <w:contextualSpacing w:val="0"/>
        <w:jc w:val="both"/>
        <w:rPr>
          <w:rFonts w:asciiTheme="minorHAnsi" w:hAnsiTheme="minorHAnsi"/>
          <w:szCs w:val="20"/>
        </w:rPr>
      </w:pPr>
      <w:bookmarkStart w:id="61" w:name="_Ref507084368"/>
      <w:r w:rsidRPr="00D920C9">
        <w:rPr>
          <w:rFonts w:asciiTheme="minorHAnsi" w:hAnsiTheme="minorHAnsi"/>
          <w:szCs w:val="20"/>
        </w:rPr>
        <w:t>The Commission has received information</w:t>
      </w:r>
      <w:r w:rsidR="00F72D62" w:rsidRPr="00D920C9">
        <w:rPr>
          <w:rFonts w:asciiTheme="minorHAnsi" w:hAnsiTheme="minorHAnsi"/>
          <w:szCs w:val="20"/>
        </w:rPr>
        <w:t xml:space="preserve"> via public hearings and monitoring mechanisms</w:t>
      </w:r>
      <w:r w:rsidR="00F72D62" w:rsidRPr="00D920C9">
        <w:rPr>
          <w:rFonts w:asciiTheme="minorHAnsi" w:hAnsiTheme="minorHAnsi"/>
          <w:vertAlign w:val="superscript"/>
        </w:rPr>
        <w:footnoteReference w:id="134"/>
      </w:r>
      <w:r w:rsidRPr="00D920C9">
        <w:rPr>
          <w:rFonts w:asciiTheme="minorHAnsi" w:hAnsiTheme="minorHAnsi"/>
          <w:szCs w:val="20"/>
        </w:rPr>
        <w:t xml:space="preserve"> about the </w:t>
      </w:r>
      <w:r w:rsidR="003A6467" w:rsidRPr="00D920C9">
        <w:rPr>
          <w:rFonts w:asciiTheme="minorHAnsi" w:hAnsiTheme="minorHAnsi"/>
          <w:szCs w:val="20"/>
        </w:rPr>
        <w:t>New York Police Department</w:t>
      </w:r>
      <w:r w:rsidRPr="00D920C9">
        <w:rPr>
          <w:rFonts w:asciiTheme="minorHAnsi" w:hAnsiTheme="minorHAnsi"/>
          <w:szCs w:val="20"/>
        </w:rPr>
        <w:t>’s</w:t>
      </w:r>
      <w:r w:rsidR="003A6467" w:rsidRPr="00D920C9">
        <w:rPr>
          <w:rFonts w:asciiTheme="minorHAnsi" w:hAnsiTheme="minorHAnsi"/>
          <w:szCs w:val="20"/>
        </w:rPr>
        <w:t xml:space="preserve"> (NYPD) “Stop, Question, and Frisk</w:t>
      </w:r>
      <w:r w:rsidRPr="00D920C9">
        <w:rPr>
          <w:rFonts w:asciiTheme="minorHAnsi" w:hAnsiTheme="minorHAnsi"/>
          <w:szCs w:val="20"/>
        </w:rPr>
        <w:t>” policy</w:t>
      </w:r>
      <w:r w:rsidR="00F72D62" w:rsidRPr="00D920C9">
        <w:rPr>
          <w:rFonts w:asciiTheme="minorHAnsi" w:hAnsiTheme="minorHAnsi"/>
          <w:szCs w:val="20"/>
        </w:rPr>
        <w:t>, first introduced in the 1990s,</w:t>
      </w:r>
      <w:r w:rsidR="003A6467" w:rsidRPr="00D920C9">
        <w:rPr>
          <w:rFonts w:asciiTheme="minorHAnsi" w:hAnsiTheme="minorHAnsi"/>
          <w:szCs w:val="20"/>
        </w:rPr>
        <w:t xml:space="preserve"> which involves temporarily detaining, questioning, and at times searching civilians on the street for weapons and other contraband.</w:t>
      </w:r>
      <w:r w:rsidR="003A6467" w:rsidRPr="00D920C9">
        <w:rPr>
          <w:rFonts w:asciiTheme="minorHAnsi" w:hAnsiTheme="minorHAnsi"/>
          <w:vertAlign w:val="superscript"/>
        </w:rPr>
        <w:footnoteReference w:id="135"/>
      </w:r>
      <w:r w:rsidR="003A6467" w:rsidRPr="00D920C9">
        <w:rPr>
          <w:rFonts w:asciiTheme="minorHAnsi" w:hAnsiTheme="minorHAnsi"/>
          <w:szCs w:val="20"/>
        </w:rPr>
        <w:t xml:space="preserve"> </w:t>
      </w:r>
      <w:r w:rsidR="008445C0" w:rsidRPr="00D920C9">
        <w:rPr>
          <w:rFonts w:asciiTheme="minorHAnsi" w:hAnsiTheme="minorHAnsi"/>
          <w:szCs w:val="20"/>
        </w:rPr>
        <w:t xml:space="preserve">Available information indicates that </w:t>
      </w:r>
      <w:r w:rsidR="00F15232" w:rsidRPr="00D920C9">
        <w:rPr>
          <w:rFonts w:asciiTheme="minorHAnsi" w:hAnsiTheme="minorHAnsi"/>
          <w:szCs w:val="20"/>
        </w:rPr>
        <w:t>this policy</w:t>
      </w:r>
      <w:r w:rsidR="008445C0" w:rsidRPr="00D920C9">
        <w:rPr>
          <w:rFonts w:asciiTheme="minorHAnsi" w:hAnsiTheme="minorHAnsi"/>
          <w:szCs w:val="20"/>
        </w:rPr>
        <w:t xml:space="preserve"> has been ineffective in reducing criminality,</w:t>
      </w:r>
      <w:r w:rsidR="008445C0" w:rsidRPr="00D920C9">
        <w:rPr>
          <w:rFonts w:asciiTheme="minorHAnsi" w:hAnsiTheme="minorHAnsi"/>
          <w:vertAlign w:val="superscript"/>
        </w:rPr>
        <w:footnoteReference w:id="136"/>
      </w:r>
      <w:r w:rsidR="008445C0" w:rsidRPr="00D920C9">
        <w:rPr>
          <w:rFonts w:asciiTheme="minorHAnsi" w:hAnsiTheme="minorHAnsi"/>
          <w:szCs w:val="20"/>
        </w:rPr>
        <w:t xml:space="preserve"> and has had a clear discriminatory impact on historically marginalized groups, including African</w:t>
      </w:r>
      <w:r w:rsidR="0030356C" w:rsidRPr="00D920C9">
        <w:rPr>
          <w:rFonts w:asciiTheme="minorHAnsi" w:hAnsiTheme="minorHAnsi"/>
          <w:szCs w:val="20"/>
        </w:rPr>
        <w:t xml:space="preserve"> </w:t>
      </w:r>
      <w:r w:rsidR="008445C0" w:rsidRPr="00D920C9">
        <w:rPr>
          <w:rFonts w:asciiTheme="minorHAnsi" w:hAnsiTheme="minorHAnsi"/>
          <w:szCs w:val="20"/>
        </w:rPr>
        <w:t xml:space="preserve">Americans. </w:t>
      </w:r>
      <w:r w:rsidR="00F72D62" w:rsidRPr="00D920C9">
        <w:rPr>
          <w:rFonts w:asciiTheme="minorHAnsi" w:hAnsiTheme="minorHAnsi"/>
          <w:szCs w:val="20"/>
        </w:rPr>
        <w:t xml:space="preserve">The program is </w:t>
      </w:r>
      <w:r w:rsidR="00F72D62" w:rsidRPr="00D920C9">
        <w:rPr>
          <w:rFonts w:asciiTheme="minorHAnsi" w:hAnsiTheme="minorHAnsi"/>
          <w:szCs w:val="20"/>
        </w:rPr>
        <w:lastRenderedPageBreak/>
        <w:t xml:space="preserve">furthermore characterized by heavy over-policing of certain neighborhoods and groups. </w:t>
      </w:r>
      <w:r w:rsidR="008445C0" w:rsidRPr="00D920C9">
        <w:rPr>
          <w:rFonts w:asciiTheme="minorHAnsi" w:hAnsiTheme="minorHAnsi"/>
          <w:szCs w:val="20"/>
        </w:rPr>
        <w:t>For example, one study found that nearly 85 percent of a sample of summonses issued in New York City between 2002 and 2012 were issued to African</w:t>
      </w:r>
      <w:r w:rsidR="0030356C" w:rsidRPr="00D920C9">
        <w:rPr>
          <w:rFonts w:asciiTheme="minorHAnsi" w:hAnsiTheme="minorHAnsi"/>
          <w:szCs w:val="20"/>
        </w:rPr>
        <w:t xml:space="preserve"> </w:t>
      </w:r>
      <w:r w:rsidR="008445C0" w:rsidRPr="00D920C9">
        <w:rPr>
          <w:rFonts w:asciiTheme="minorHAnsi" w:hAnsiTheme="minorHAnsi"/>
          <w:szCs w:val="20"/>
        </w:rPr>
        <w:t>Americans or Latinos.</w:t>
      </w:r>
      <w:r w:rsidR="008445C0" w:rsidRPr="00D920C9">
        <w:rPr>
          <w:rFonts w:asciiTheme="minorHAnsi" w:hAnsiTheme="minorHAnsi"/>
          <w:vertAlign w:val="superscript"/>
        </w:rPr>
        <w:footnoteReference w:id="137"/>
      </w:r>
      <w:r w:rsidR="00F72D62" w:rsidRPr="00D920C9">
        <w:rPr>
          <w:rFonts w:asciiTheme="minorHAnsi" w:hAnsiTheme="minorHAnsi"/>
          <w:szCs w:val="20"/>
        </w:rPr>
        <w:t xml:space="preserve"> </w:t>
      </w:r>
      <w:r w:rsidR="003A6467" w:rsidRPr="00D920C9">
        <w:rPr>
          <w:rFonts w:asciiTheme="minorHAnsi" w:hAnsiTheme="minorHAnsi"/>
          <w:szCs w:val="20"/>
        </w:rPr>
        <w:t>In 2013, a federal judge found the program unconstitutional and placed it under the supervision of an independent monitor to oversee a series of reforms.</w:t>
      </w:r>
      <w:r w:rsidR="003A6467" w:rsidRPr="00D920C9">
        <w:rPr>
          <w:rFonts w:asciiTheme="minorHAnsi" w:hAnsiTheme="minorHAnsi"/>
          <w:vertAlign w:val="superscript"/>
        </w:rPr>
        <w:footnoteReference w:id="138"/>
      </w:r>
      <w:r w:rsidR="003A6467" w:rsidRPr="00D920C9">
        <w:rPr>
          <w:rFonts w:asciiTheme="minorHAnsi" w:hAnsiTheme="minorHAnsi"/>
          <w:szCs w:val="20"/>
        </w:rPr>
        <w:t xml:space="preserve"> </w:t>
      </w:r>
      <w:r w:rsidR="00F72D62" w:rsidRPr="00D920C9">
        <w:rPr>
          <w:rFonts w:asciiTheme="minorHAnsi" w:hAnsiTheme="minorHAnsi"/>
          <w:szCs w:val="20"/>
        </w:rPr>
        <w:t>At its peak in 2011, the NYPD made 685,724 stops under the policy; this has since fallen to 12,404 stops under the policy in 2016, the most recent calendar year for which data are available.</w:t>
      </w:r>
      <w:r w:rsidR="00F72D62" w:rsidRPr="00D920C9">
        <w:rPr>
          <w:rFonts w:asciiTheme="minorHAnsi" w:hAnsiTheme="minorHAnsi"/>
          <w:vertAlign w:val="superscript"/>
        </w:rPr>
        <w:footnoteReference w:id="139"/>
      </w:r>
      <w:r w:rsidR="00F72D62" w:rsidRPr="00D920C9">
        <w:rPr>
          <w:rFonts w:asciiTheme="minorHAnsi" w:hAnsiTheme="minorHAnsi"/>
          <w:szCs w:val="20"/>
        </w:rPr>
        <w:t xml:space="preserve"> </w:t>
      </w:r>
      <w:r w:rsidR="003A6467" w:rsidRPr="00D920C9">
        <w:rPr>
          <w:rFonts w:asciiTheme="minorHAnsi" w:hAnsiTheme="minorHAnsi"/>
          <w:szCs w:val="20"/>
        </w:rPr>
        <w:t>It is notable that even as the total number of stops has fallen dramatically in the past six years, disproportionate stops of African</w:t>
      </w:r>
      <w:r w:rsidR="0030356C" w:rsidRPr="00D920C9">
        <w:rPr>
          <w:rFonts w:asciiTheme="minorHAnsi" w:hAnsiTheme="minorHAnsi"/>
          <w:szCs w:val="20"/>
        </w:rPr>
        <w:t xml:space="preserve"> </w:t>
      </w:r>
      <w:r w:rsidR="003A6467" w:rsidRPr="00D920C9">
        <w:rPr>
          <w:rFonts w:asciiTheme="minorHAnsi" w:hAnsiTheme="minorHAnsi"/>
          <w:szCs w:val="20"/>
        </w:rPr>
        <w:t>Americans and Latinos have not. In 2011, 53 percent of those stopped were African</w:t>
      </w:r>
      <w:r w:rsidR="0030356C" w:rsidRPr="00D920C9">
        <w:rPr>
          <w:rFonts w:asciiTheme="minorHAnsi" w:hAnsiTheme="minorHAnsi"/>
          <w:szCs w:val="20"/>
        </w:rPr>
        <w:t xml:space="preserve"> </w:t>
      </w:r>
      <w:r w:rsidR="003A6467" w:rsidRPr="00D920C9">
        <w:rPr>
          <w:rFonts w:asciiTheme="minorHAnsi" w:hAnsiTheme="minorHAnsi"/>
          <w:szCs w:val="20"/>
        </w:rPr>
        <w:t>American and 34 percent were Latino</w:t>
      </w:r>
      <w:r w:rsidR="00F72D62" w:rsidRPr="00D920C9">
        <w:rPr>
          <w:rFonts w:asciiTheme="minorHAnsi" w:hAnsiTheme="minorHAnsi"/>
          <w:szCs w:val="20"/>
        </w:rPr>
        <w:t>. T</w:t>
      </w:r>
      <w:r w:rsidR="003A6467" w:rsidRPr="00D920C9">
        <w:rPr>
          <w:rFonts w:asciiTheme="minorHAnsi" w:hAnsiTheme="minorHAnsi"/>
          <w:szCs w:val="20"/>
        </w:rPr>
        <w:t>hese numbers have remained virtually the same over the years</w:t>
      </w:r>
      <w:r w:rsidR="00F72D62" w:rsidRPr="00D920C9">
        <w:rPr>
          <w:rFonts w:asciiTheme="minorHAnsi" w:hAnsiTheme="minorHAnsi"/>
          <w:szCs w:val="20"/>
        </w:rPr>
        <w:t>;</w:t>
      </w:r>
      <w:r w:rsidR="003A6467" w:rsidRPr="00D920C9">
        <w:rPr>
          <w:rFonts w:asciiTheme="minorHAnsi" w:hAnsiTheme="minorHAnsi"/>
          <w:szCs w:val="20"/>
        </w:rPr>
        <w:t xml:space="preserve"> </w:t>
      </w:r>
      <w:r w:rsidR="00F72D62" w:rsidRPr="00D920C9">
        <w:rPr>
          <w:rFonts w:asciiTheme="minorHAnsi" w:hAnsiTheme="minorHAnsi"/>
          <w:szCs w:val="20"/>
        </w:rPr>
        <w:t>in 2016, 52 percent of New Yorkers stopped by police were African</w:t>
      </w:r>
      <w:r w:rsidR="0030356C" w:rsidRPr="00D920C9">
        <w:rPr>
          <w:rFonts w:asciiTheme="minorHAnsi" w:hAnsiTheme="minorHAnsi"/>
          <w:szCs w:val="20"/>
        </w:rPr>
        <w:t xml:space="preserve"> </w:t>
      </w:r>
      <w:r w:rsidR="00F72D62" w:rsidRPr="00D920C9">
        <w:rPr>
          <w:rFonts w:asciiTheme="minorHAnsi" w:hAnsiTheme="minorHAnsi"/>
          <w:szCs w:val="20"/>
        </w:rPr>
        <w:t>Americans,</w:t>
      </w:r>
      <w:r w:rsidR="00F72D62" w:rsidRPr="00D920C9">
        <w:rPr>
          <w:rFonts w:asciiTheme="minorHAnsi" w:hAnsiTheme="minorHAnsi"/>
          <w:szCs w:val="20"/>
          <w:vertAlign w:val="superscript"/>
        </w:rPr>
        <w:footnoteReference w:id="140"/>
      </w:r>
      <w:r w:rsidR="00F72D62" w:rsidRPr="00D920C9">
        <w:rPr>
          <w:rFonts w:asciiTheme="minorHAnsi" w:hAnsiTheme="minorHAnsi"/>
          <w:szCs w:val="20"/>
        </w:rPr>
        <w:t xml:space="preserve"> despite representing only 25 percent of the city’s population,</w:t>
      </w:r>
      <w:r w:rsidR="00F72D62" w:rsidRPr="00D920C9">
        <w:rPr>
          <w:rFonts w:asciiTheme="minorHAnsi" w:hAnsiTheme="minorHAnsi"/>
          <w:szCs w:val="20"/>
          <w:vertAlign w:val="superscript"/>
        </w:rPr>
        <w:footnoteReference w:id="141"/>
      </w:r>
      <w:r w:rsidR="00F72D62" w:rsidRPr="00D920C9">
        <w:rPr>
          <w:rFonts w:asciiTheme="minorHAnsi" w:hAnsiTheme="minorHAnsi"/>
          <w:szCs w:val="20"/>
        </w:rPr>
        <w:t xml:space="preserve"> </w:t>
      </w:r>
      <w:r w:rsidR="003A6467" w:rsidRPr="00D920C9">
        <w:rPr>
          <w:rFonts w:asciiTheme="minorHAnsi" w:hAnsiTheme="minorHAnsi"/>
          <w:szCs w:val="20"/>
        </w:rPr>
        <w:t>and during the first quarter of 2017, 57 percent of those stopped were African</w:t>
      </w:r>
      <w:r w:rsidR="0030356C" w:rsidRPr="00D920C9">
        <w:rPr>
          <w:rFonts w:asciiTheme="minorHAnsi" w:hAnsiTheme="minorHAnsi"/>
          <w:szCs w:val="20"/>
        </w:rPr>
        <w:t xml:space="preserve"> </w:t>
      </w:r>
      <w:r w:rsidR="003A6467" w:rsidRPr="00D920C9">
        <w:rPr>
          <w:rFonts w:asciiTheme="minorHAnsi" w:hAnsiTheme="minorHAnsi"/>
          <w:szCs w:val="20"/>
        </w:rPr>
        <w:t>American and 32 percent were Latino.</w:t>
      </w:r>
      <w:r w:rsidR="003A6467" w:rsidRPr="00D920C9">
        <w:rPr>
          <w:rFonts w:asciiTheme="minorHAnsi" w:hAnsiTheme="minorHAnsi"/>
          <w:vertAlign w:val="superscript"/>
        </w:rPr>
        <w:footnoteReference w:id="142"/>
      </w:r>
      <w:bookmarkEnd w:id="61"/>
    </w:p>
    <w:p w14:paraId="70664BB8" w14:textId="77777777" w:rsidR="003A6467" w:rsidRPr="00D920C9" w:rsidRDefault="005718C8" w:rsidP="002C64F8">
      <w:pPr>
        <w:pStyle w:val="ListParagraph"/>
        <w:numPr>
          <w:ilvl w:val="0"/>
          <w:numId w:val="9"/>
        </w:numPr>
        <w:spacing w:after="240" w:line="240" w:lineRule="auto"/>
        <w:ind w:left="547" w:hanging="547"/>
        <w:contextualSpacing w:val="0"/>
        <w:jc w:val="both"/>
        <w:rPr>
          <w:rFonts w:asciiTheme="minorHAnsi" w:eastAsia="Times New Roman" w:hAnsiTheme="minorHAnsi"/>
          <w:szCs w:val="20"/>
          <w:lang w:eastAsia="es-ES"/>
        </w:rPr>
      </w:pPr>
      <w:bookmarkStart w:id="62" w:name="_Ref507597159"/>
      <w:r w:rsidRPr="00D920C9">
        <w:rPr>
          <w:rFonts w:asciiTheme="minorHAnsi" w:hAnsiTheme="minorHAnsi"/>
          <w:szCs w:val="20"/>
        </w:rPr>
        <w:t xml:space="preserve">Information received by the Commission indicates that </w:t>
      </w:r>
      <w:r w:rsidR="00035A87" w:rsidRPr="00D920C9">
        <w:rPr>
          <w:rFonts w:asciiTheme="minorHAnsi" w:hAnsiTheme="minorHAnsi"/>
          <w:szCs w:val="20"/>
        </w:rPr>
        <w:t>the racial disparities in the NYPD’s practices are not unique</w:t>
      </w:r>
      <w:r w:rsidR="003A6467" w:rsidRPr="00D920C9">
        <w:rPr>
          <w:rFonts w:asciiTheme="minorHAnsi" w:hAnsiTheme="minorHAnsi"/>
          <w:szCs w:val="20"/>
        </w:rPr>
        <w:t>. For example, during its on-site visit to New Orleans, Louisiana, the Commission was informed</w:t>
      </w:r>
      <w:r w:rsidR="003A6467" w:rsidRPr="00D920C9">
        <w:rPr>
          <w:rFonts w:asciiTheme="minorHAnsi" w:eastAsia="MS Mincho" w:hAnsiTheme="minorHAnsi" w:cs="Calibri"/>
          <w:szCs w:val="20"/>
          <w:lang w:eastAsia="es-ES"/>
        </w:rPr>
        <w:t xml:space="preserve"> that 90 percent of those arrested by the police are African</w:t>
      </w:r>
      <w:r w:rsidR="0030356C" w:rsidRPr="00D920C9">
        <w:rPr>
          <w:rFonts w:asciiTheme="minorHAnsi" w:eastAsia="MS Mincho" w:hAnsiTheme="minorHAnsi" w:cs="Calibri"/>
          <w:szCs w:val="20"/>
          <w:lang w:eastAsia="es-ES"/>
        </w:rPr>
        <w:t xml:space="preserve"> </w:t>
      </w:r>
      <w:r w:rsidR="003A6467" w:rsidRPr="00D920C9">
        <w:rPr>
          <w:rFonts w:asciiTheme="minorHAnsi" w:eastAsia="MS Mincho" w:hAnsiTheme="minorHAnsi" w:cs="Calibri"/>
          <w:szCs w:val="20"/>
          <w:lang w:eastAsia="es-ES"/>
        </w:rPr>
        <w:t>American men under the age of 30,</w:t>
      </w:r>
      <w:r w:rsidR="003A6467" w:rsidRPr="00D920C9">
        <w:rPr>
          <w:rStyle w:val="FootnoteReference"/>
          <w:rFonts w:asciiTheme="minorHAnsi" w:eastAsia="MS Mincho" w:hAnsiTheme="minorHAnsi" w:cs="Calibri"/>
          <w:szCs w:val="20"/>
          <w:lang w:eastAsia="es-ES"/>
        </w:rPr>
        <w:footnoteReference w:id="143"/>
      </w:r>
      <w:r w:rsidR="003A6467" w:rsidRPr="00D920C9">
        <w:rPr>
          <w:rFonts w:asciiTheme="minorHAnsi" w:eastAsia="MS Mincho" w:hAnsiTheme="minorHAnsi" w:cs="Calibri"/>
          <w:szCs w:val="20"/>
          <w:lang w:eastAsia="es-ES"/>
        </w:rPr>
        <w:t xml:space="preserve"> though only about 60 percent of the population is African</w:t>
      </w:r>
      <w:r w:rsidR="0030356C" w:rsidRPr="00D920C9">
        <w:rPr>
          <w:rFonts w:asciiTheme="minorHAnsi" w:eastAsia="MS Mincho" w:hAnsiTheme="minorHAnsi" w:cs="Calibri"/>
          <w:szCs w:val="20"/>
          <w:lang w:eastAsia="es-ES"/>
        </w:rPr>
        <w:t xml:space="preserve"> </w:t>
      </w:r>
      <w:r w:rsidR="003A6467" w:rsidRPr="00D920C9">
        <w:rPr>
          <w:rFonts w:asciiTheme="minorHAnsi" w:eastAsia="MS Mincho" w:hAnsiTheme="minorHAnsi" w:cs="Calibri"/>
          <w:szCs w:val="20"/>
          <w:lang w:eastAsia="es-ES"/>
        </w:rPr>
        <w:t xml:space="preserve">American. </w:t>
      </w:r>
      <w:r w:rsidR="00691203" w:rsidRPr="00D920C9">
        <w:rPr>
          <w:rFonts w:asciiTheme="minorHAnsi" w:eastAsia="Times New Roman" w:hAnsiTheme="minorHAnsi"/>
          <w:szCs w:val="20"/>
        </w:rPr>
        <w:t>Another analysis showed that i</w:t>
      </w:r>
      <w:r w:rsidR="003A6467" w:rsidRPr="00D920C9">
        <w:rPr>
          <w:rFonts w:asciiTheme="minorHAnsi" w:eastAsia="Times New Roman" w:hAnsiTheme="minorHAnsi"/>
          <w:szCs w:val="20"/>
        </w:rPr>
        <w:t>n summer 2014, African</w:t>
      </w:r>
      <w:r w:rsidR="0030356C" w:rsidRPr="00D920C9">
        <w:rPr>
          <w:rFonts w:asciiTheme="minorHAnsi" w:eastAsia="Times New Roman" w:hAnsiTheme="minorHAnsi"/>
          <w:szCs w:val="20"/>
        </w:rPr>
        <w:t xml:space="preserve"> </w:t>
      </w:r>
      <w:r w:rsidR="003A6467" w:rsidRPr="00D920C9">
        <w:rPr>
          <w:rFonts w:asciiTheme="minorHAnsi" w:eastAsia="Times New Roman" w:hAnsiTheme="minorHAnsi"/>
          <w:szCs w:val="20"/>
        </w:rPr>
        <w:t>American residents were the subjects of approximately three-quarters of all “Stop and Frisk” approaches in Chicago, despite making up just 32 percent of the population.</w:t>
      </w:r>
      <w:r w:rsidR="003A6467" w:rsidRPr="00D920C9">
        <w:rPr>
          <w:rFonts w:asciiTheme="minorHAnsi" w:hAnsiTheme="minorHAnsi"/>
          <w:szCs w:val="20"/>
          <w:vertAlign w:val="superscript"/>
        </w:rPr>
        <w:footnoteReference w:id="144"/>
      </w:r>
      <w:r w:rsidR="003A6467" w:rsidRPr="00D920C9">
        <w:rPr>
          <w:rFonts w:asciiTheme="minorHAnsi" w:eastAsia="Times New Roman" w:hAnsiTheme="minorHAnsi"/>
          <w:szCs w:val="20"/>
        </w:rPr>
        <w:t xml:space="preserve"> In August 2015, the ACLU of Illinois reached an agreement with the Chicago Police Department to reform its “Stop and Frisk” policy; detailed information on the results of the program since that time is not available.</w:t>
      </w:r>
      <w:r w:rsidR="003A6467" w:rsidRPr="00D920C9">
        <w:rPr>
          <w:rStyle w:val="FootnoteReference"/>
          <w:rFonts w:asciiTheme="minorHAnsi" w:eastAsia="Times New Roman" w:hAnsiTheme="minorHAnsi"/>
          <w:szCs w:val="20"/>
        </w:rPr>
        <w:footnoteReference w:id="145"/>
      </w:r>
      <w:r w:rsidR="003A6467" w:rsidRPr="00D920C9">
        <w:rPr>
          <w:rFonts w:asciiTheme="minorHAnsi" w:eastAsia="Times New Roman" w:hAnsiTheme="minorHAnsi"/>
          <w:szCs w:val="20"/>
        </w:rPr>
        <w:t xml:space="preserve"> Studies have found similar patterns of racial bias in policing in Minneapolis, Minnesota;</w:t>
      </w:r>
      <w:r w:rsidR="003A6467" w:rsidRPr="00D920C9">
        <w:rPr>
          <w:rStyle w:val="FootnoteReference"/>
          <w:rFonts w:asciiTheme="minorHAnsi" w:eastAsia="Times New Roman" w:hAnsiTheme="minorHAnsi"/>
          <w:szCs w:val="20"/>
        </w:rPr>
        <w:footnoteReference w:id="146"/>
      </w:r>
      <w:r w:rsidR="003A6467" w:rsidRPr="00D920C9">
        <w:rPr>
          <w:rFonts w:asciiTheme="minorHAnsi" w:eastAsia="Times New Roman" w:hAnsiTheme="minorHAnsi"/>
          <w:szCs w:val="20"/>
        </w:rPr>
        <w:t xml:space="preserve"> Washington, DC;</w:t>
      </w:r>
      <w:r w:rsidR="003A6467" w:rsidRPr="00D920C9">
        <w:rPr>
          <w:rStyle w:val="FootnoteReference"/>
          <w:rFonts w:asciiTheme="minorHAnsi" w:eastAsia="Times New Roman" w:hAnsiTheme="minorHAnsi"/>
          <w:szCs w:val="20"/>
        </w:rPr>
        <w:footnoteReference w:id="147"/>
      </w:r>
      <w:r w:rsidR="003A6467" w:rsidRPr="00D920C9">
        <w:rPr>
          <w:rFonts w:asciiTheme="minorHAnsi" w:eastAsia="Times New Roman" w:hAnsiTheme="minorHAnsi"/>
          <w:szCs w:val="20"/>
        </w:rPr>
        <w:t xml:space="preserve"> Los Angeles, </w:t>
      </w:r>
      <w:r w:rsidR="003A6467" w:rsidRPr="00D920C9">
        <w:rPr>
          <w:rFonts w:asciiTheme="minorHAnsi" w:eastAsia="Times New Roman" w:hAnsiTheme="minorHAnsi"/>
          <w:szCs w:val="20"/>
        </w:rPr>
        <w:lastRenderedPageBreak/>
        <w:t>California;</w:t>
      </w:r>
      <w:r w:rsidR="003A6467" w:rsidRPr="00D920C9">
        <w:rPr>
          <w:rStyle w:val="FootnoteReference"/>
          <w:rFonts w:asciiTheme="minorHAnsi" w:eastAsia="Times New Roman" w:hAnsiTheme="minorHAnsi"/>
          <w:szCs w:val="20"/>
        </w:rPr>
        <w:footnoteReference w:id="148"/>
      </w:r>
      <w:r w:rsidR="003A6467" w:rsidRPr="00D920C9">
        <w:rPr>
          <w:rFonts w:asciiTheme="minorHAnsi" w:eastAsia="Times New Roman" w:hAnsiTheme="minorHAnsi"/>
          <w:szCs w:val="20"/>
        </w:rPr>
        <w:t xml:space="preserve"> </w:t>
      </w:r>
      <w:r w:rsidR="00782BD3" w:rsidRPr="00D920C9">
        <w:rPr>
          <w:rFonts w:asciiTheme="minorHAnsi" w:eastAsia="Times New Roman" w:hAnsiTheme="minorHAnsi"/>
          <w:szCs w:val="20"/>
        </w:rPr>
        <w:t>Jacksonville, Florida;</w:t>
      </w:r>
      <w:r w:rsidR="00782BD3" w:rsidRPr="00D920C9">
        <w:rPr>
          <w:rStyle w:val="FootnoteReference"/>
          <w:rFonts w:asciiTheme="minorHAnsi" w:eastAsia="Times New Roman" w:hAnsiTheme="minorHAnsi"/>
          <w:szCs w:val="20"/>
        </w:rPr>
        <w:footnoteReference w:id="149"/>
      </w:r>
      <w:r w:rsidR="00782BD3" w:rsidRPr="00D920C9">
        <w:rPr>
          <w:rFonts w:asciiTheme="minorHAnsi" w:eastAsia="Times New Roman" w:hAnsiTheme="minorHAnsi"/>
          <w:szCs w:val="20"/>
        </w:rPr>
        <w:t xml:space="preserve"> </w:t>
      </w:r>
      <w:r w:rsidR="003A6467" w:rsidRPr="00D920C9">
        <w:rPr>
          <w:rFonts w:asciiTheme="minorHAnsi" w:eastAsia="Times New Roman" w:hAnsiTheme="minorHAnsi"/>
          <w:szCs w:val="20"/>
        </w:rPr>
        <w:t>Baltimore, Maryland; Cleveland, Ohio; Albuquerque, New Mexico;</w:t>
      </w:r>
      <w:r w:rsidR="00F15232" w:rsidRPr="00D920C9">
        <w:rPr>
          <w:rFonts w:asciiTheme="minorHAnsi" w:eastAsia="Times New Roman" w:hAnsiTheme="minorHAnsi"/>
          <w:szCs w:val="20"/>
        </w:rPr>
        <w:t xml:space="preserve"> and</w:t>
      </w:r>
      <w:r w:rsidR="003A6467" w:rsidRPr="00D920C9">
        <w:rPr>
          <w:rFonts w:asciiTheme="minorHAnsi" w:eastAsia="Times New Roman" w:hAnsiTheme="minorHAnsi"/>
          <w:szCs w:val="20"/>
        </w:rPr>
        <w:t xml:space="preserve"> Portland, Oregon;</w:t>
      </w:r>
      <w:r w:rsidR="003A6467" w:rsidRPr="00D920C9">
        <w:rPr>
          <w:rStyle w:val="FootnoteReference"/>
          <w:rFonts w:asciiTheme="minorHAnsi" w:eastAsia="Times New Roman" w:hAnsiTheme="minorHAnsi"/>
          <w:szCs w:val="20"/>
        </w:rPr>
        <w:footnoteReference w:id="150"/>
      </w:r>
      <w:r w:rsidR="003A6467" w:rsidRPr="00D920C9">
        <w:rPr>
          <w:rFonts w:asciiTheme="minorHAnsi" w:eastAsia="Times New Roman" w:hAnsiTheme="minorHAnsi"/>
          <w:szCs w:val="20"/>
        </w:rPr>
        <w:t xml:space="preserve"> </w:t>
      </w:r>
      <w:r w:rsidR="00F15232" w:rsidRPr="00D920C9">
        <w:rPr>
          <w:rFonts w:asciiTheme="minorHAnsi" w:eastAsia="Times New Roman" w:hAnsiTheme="minorHAnsi"/>
          <w:szCs w:val="20"/>
        </w:rPr>
        <w:t>among</w:t>
      </w:r>
      <w:r w:rsidR="00402C78" w:rsidRPr="00D920C9">
        <w:rPr>
          <w:rFonts w:asciiTheme="minorHAnsi" w:eastAsia="Times New Roman" w:hAnsiTheme="minorHAnsi"/>
          <w:szCs w:val="20"/>
        </w:rPr>
        <w:t xml:space="preserve"> other cities.</w:t>
      </w:r>
      <w:bookmarkEnd w:id="62"/>
    </w:p>
    <w:p w14:paraId="1F73C7DC" w14:textId="4DDD7D75" w:rsidR="00FE4A90" w:rsidRPr="00D920C9" w:rsidRDefault="008445C0" w:rsidP="002C64F8">
      <w:pPr>
        <w:pStyle w:val="ListParagraph"/>
        <w:numPr>
          <w:ilvl w:val="0"/>
          <w:numId w:val="9"/>
        </w:numPr>
        <w:spacing w:after="240" w:line="240" w:lineRule="auto"/>
        <w:ind w:left="547" w:hanging="547"/>
        <w:contextualSpacing w:val="0"/>
        <w:jc w:val="both"/>
        <w:rPr>
          <w:rFonts w:asciiTheme="minorHAnsi" w:eastAsia="Times New Roman" w:hAnsiTheme="minorHAnsi"/>
          <w:szCs w:val="20"/>
          <w:lang w:eastAsia="es-ES"/>
        </w:rPr>
      </w:pPr>
      <w:bookmarkStart w:id="63" w:name="_Ref511834780"/>
      <w:r w:rsidRPr="00D920C9">
        <w:rPr>
          <w:rFonts w:asciiTheme="minorHAnsi" w:eastAsiaTheme="minorEastAsia" w:hAnsiTheme="minorHAnsi" w:cs="Calibri"/>
          <w:szCs w:val="20"/>
          <w:lang w:eastAsia="es-ES"/>
        </w:rPr>
        <w:t>The over-policing of historically marginalized communities</w:t>
      </w:r>
      <w:r w:rsidR="005718C8" w:rsidRPr="00D920C9">
        <w:rPr>
          <w:rFonts w:asciiTheme="minorHAnsi" w:eastAsiaTheme="minorEastAsia" w:hAnsiTheme="minorHAnsi" w:cs="Calibri"/>
          <w:szCs w:val="20"/>
          <w:lang w:eastAsia="es-ES"/>
        </w:rPr>
        <w:t xml:space="preserve"> </w:t>
      </w:r>
      <w:r w:rsidRPr="00D920C9">
        <w:rPr>
          <w:rFonts w:asciiTheme="minorHAnsi" w:eastAsiaTheme="minorEastAsia" w:hAnsiTheme="minorHAnsi" w:cs="Calibri"/>
          <w:szCs w:val="20"/>
          <w:lang w:eastAsia="es-ES"/>
        </w:rPr>
        <w:t>is not limited to major cities</w:t>
      </w:r>
      <w:r w:rsidR="00FE4A90" w:rsidRPr="00D920C9">
        <w:rPr>
          <w:rFonts w:asciiTheme="minorHAnsi" w:eastAsiaTheme="minorEastAsia" w:hAnsiTheme="minorHAnsi" w:cs="Calibri"/>
          <w:szCs w:val="20"/>
          <w:lang w:eastAsia="es-ES"/>
        </w:rPr>
        <w:t>,</w:t>
      </w:r>
      <w:r w:rsidRPr="00D920C9">
        <w:rPr>
          <w:rFonts w:asciiTheme="minorHAnsi" w:eastAsiaTheme="minorEastAsia" w:hAnsiTheme="minorHAnsi" w:cs="Calibri"/>
          <w:szCs w:val="20"/>
          <w:lang w:eastAsia="es-ES"/>
        </w:rPr>
        <w:t xml:space="preserve"> </w:t>
      </w:r>
      <w:r w:rsidR="00691203" w:rsidRPr="00D920C9">
        <w:rPr>
          <w:rFonts w:asciiTheme="minorHAnsi" w:eastAsiaTheme="minorEastAsia" w:hAnsiTheme="minorHAnsi" w:cs="Calibri"/>
          <w:szCs w:val="20"/>
          <w:lang w:eastAsia="es-ES"/>
        </w:rPr>
        <w:t>and sometimes appears to be driven by a logic of policing for profit</w:t>
      </w:r>
      <w:r w:rsidRPr="00D920C9">
        <w:rPr>
          <w:rFonts w:asciiTheme="minorHAnsi" w:eastAsiaTheme="minorEastAsia" w:hAnsiTheme="minorHAnsi" w:cs="Calibri"/>
          <w:szCs w:val="20"/>
          <w:lang w:eastAsia="es-ES"/>
        </w:rPr>
        <w:t xml:space="preserve">. </w:t>
      </w:r>
      <w:r w:rsidR="00FE4A90" w:rsidRPr="00D920C9">
        <w:rPr>
          <w:rFonts w:asciiTheme="minorHAnsi" w:eastAsiaTheme="minorEastAsia" w:hAnsiTheme="minorHAnsi" w:cs="Calibri"/>
          <w:szCs w:val="20"/>
          <w:lang w:eastAsia="es-ES"/>
        </w:rPr>
        <w:t>The Commission observes with concern that policies exist across the country that treat the policing of petty crime</w:t>
      </w:r>
      <w:r w:rsidR="002E5EBF" w:rsidRPr="00D920C9">
        <w:rPr>
          <w:rFonts w:asciiTheme="minorHAnsi" w:eastAsiaTheme="minorEastAsia" w:hAnsiTheme="minorHAnsi" w:cs="Calibri"/>
          <w:szCs w:val="20"/>
          <w:lang w:eastAsia="es-ES"/>
        </w:rPr>
        <w:t xml:space="preserve"> and</w:t>
      </w:r>
      <w:r w:rsidR="00FE4A90" w:rsidRPr="00D920C9">
        <w:rPr>
          <w:rFonts w:asciiTheme="minorHAnsi" w:eastAsiaTheme="minorEastAsia" w:hAnsiTheme="minorHAnsi" w:cs="Calibri"/>
          <w:szCs w:val="20"/>
          <w:lang w:eastAsia="es-ES"/>
        </w:rPr>
        <w:t xml:space="preserve"> associated court fees as a revenue stream for the municipality. This is both out of step with the State’s obligations </w:t>
      </w:r>
      <w:r w:rsidR="00521D15" w:rsidRPr="00D920C9">
        <w:rPr>
          <w:rFonts w:asciiTheme="minorHAnsi" w:eastAsiaTheme="minorEastAsia" w:hAnsiTheme="minorHAnsi" w:cs="Calibri"/>
          <w:szCs w:val="20"/>
          <w:lang w:eastAsia="es-ES"/>
        </w:rPr>
        <w:t>regarding</w:t>
      </w:r>
      <w:r w:rsidR="00FE4A90" w:rsidRPr="00D920C9">
        <w:rPr>
          <w:rFonts w:asciiTheme="minorHAnsi" w:eastAsiaTheme="minorEastAsia" w:hAnsiTheme="minorHAnsi" w:cs="Calibri"/>
          <w:szCs w:val="20"/>
          <w:lang w:eastAsia="es-ES"/>
        </w:rPr>
        <w:t xml:space="preserve"> citizen </w:t>
      </w:r>
      <w:r w:rsidR="00FE4A90" w:rsidRPr="00D920C9">
        <w:rPr>
          <w:rFonts w:asciiTheme="minorHAnsi" w:hAnsiTheme="minorHAnsi"/>
          <w:szCs w:val="20"/>
        </w:rPr>
        <w:t>security</w:t>
      </w:r>
      <w:r w:rsidR="00FE4A90" w:rsidRPr="00D920C9">
        <w:rPr>
          <w:rFonts w:asciiTheme="minorHAnsi" w:eastAsiaTheme="minorEastAsia" w:hAnsiTheme="minorHAnsi" w:cs="Calibri"/>
          <w:szCs w:val="20"/>
          <w:lang w:eastAsia="es-ES"/>
        </w:rPr>
        <w:t xml:space="preserve">, and tends to have a disproportionate effect on poor and historically marginalized communities. </w:t>
      </w:r>
      <w:r w:rsidRPr="00D920C9">
        <w:rPr>
          <w:rFonts w:asciiTheme="minorHAnsi" w:eastAsiaTheme="minorEastAsia" w:hAnsiTheme="minorHAnsi" w:cs="Calibri"/>
          <w:szCs w:val="20"/>
          <w:lang w:eastAsia="es-ES"/>
        </w:rPr>
        <w:t xml:space="preserve">For example, the Commission was informed during a public hearing and during its on-site visit about the results of the </w:t>
      </w:r>
      <w:r w:rsidR="00691203" w:rsidRPr="00D920C9">
        <w:rPr>
          <w:rFonts w:asciiTheme="minorHAnsi" w:eastAsiaTheme="minorEastAsia" w:hAnsiTheme="minorHAnsi" w:cs="Calibri"/>
          <w:szCs w:val="20"/>
          <w:lang w:eastAsia="es-ES"/>
        </w:rPr>
        <w:t>Department of Justice (</w:t>
      </w:r>
      <w:r w:rsidRPr="00D920C9">
        <w:rPr>
          <w:rFonts w:asciiTheme="minorHAnsi" w:eastAsiaTheme="minorEastAsia" w:hAnsiTheme="minorHAnsi" w:cs="Calibri"/>
          <w:szCs w:val="20"/>
          <w:lang w:eastAsia="es-ES"/>
        </w:rPr>
        <w:t>DOJ</w:t>
      </w:r>
      <w:r w:rsidR="00691203" w:rsidRPr="00D920C9">
        <w:rPr>
          <w:rFonts w:asciiTheme="minorHAnsi" w:eastAsiaTheme="minorEastAsia" w:hAnsiTheme="minorHAnsi" w:cs="Calibri"/>
          <w:szCs w:val="20"/>
          <w:lang w:eastAsia="es-ES"/>
        </w:rPr>
        <w:t>)</w:t>
      </w:r>
      <w:r w:rsidRPr="00D920C9">
        <w:rPr>
          <w:rFonts w:asciiTheme="minorHAnsi" w:eastAsiaTheme="minorEastAsia" w:hAnsiTheme="minorHAnsi" w:cs="Calibri"/>
          <w:szCs w:val="20"/>
          <w:lang w:eastAsia="es-ES"/>
        </w:rPr>
        <w:t xml:space="preserve"> Civil Rights Division review of the Ferguson, Missouri police department.</w:t>
      </w:r>
      <w:r w:rsidR="00782BD3" w:rsidRPr="00D920C9">
        <w:rPr>
          <w:rStyle w:val="FootnoteReference"/>
          <w:rFonts w:asciiTheme="minorHAnsi" w:eastAsiaTheme="minorEastAsia" w:hAnsiTheme="minorHAnsi" w:cs="Calibri"/>
          <w:szCs w:val="20"/>
          <w:lang w:eastAsia="es-ES"/>
        </w:rPr>
        <w:footnoteReference w:id="151"/>
      </w:r>
      <w:r w:rsidRPr="00D920C9">
        <w:rPr>
          <w:rFonts w:asciiTheme="minorHAnsi" w:eastAsiaTheme="minorEastAsia" w:hAnsiTheme="minorHAnsi" w:cs="Calibri"/>
          <w:szCs w:val="20"/>
          <w:lang w:eastAsia="es-ES"/>
        </w:rPr>
        <w:t xml:space="preserve"> This review found systematic unconstitutional departmental practices regarding stops, arrests, and use of force, which disproportionately impact African</w:t>
      </w:r>
      <w:r w:rsidR="0030356C" w:rsidRPr="00D920C9">
        <w:rPr>
          <w:rFonts w:asciiTheme="minorHAnsi" w:eastAsiaTheme="minorEastAsia" w:hAnsiTheme="minorHAnsi" w:cs="Calibri"/>
          <w:szCs w:val="20"/>
          <w:lang w:eastAsia="es-ES"/>
        </w:rPr>
        <w:t xml:space="preserve"> </w:t>
      </w:r>
      <w:r w:rsidRPr="00D920C9">
        <w:rPr>
          <w:rFonts w:asciiTheme="minorHAnsi" w:eastAsiaTheme="minorEastAsia" w:hAnsiTheme="minorHAnsi" w:cs="Calibri"/>
          <w:szCs w:val="20"/>
          <w:lang w:eastAsia="es-ES"/>
        </w:rPr>
        <w:t xml:space="preserve">Americans. </w:t>
      </w:r>
      <w:r w:rsidR="00691203" w:rsidRPr="00D920C9">
        <w:rPr>
          <w:rFonts w:asciiTheme="minorHAnsi" w:eastAsiaTheme="minorEastAsia" w:hAnsiTheme="minorHAnsi" w:cs="Calibri"/>
          <w:szCs w:val="20"/>
          <w:lang w:eastAsia="es-ES"/>
        </w:rPr>
        <w:t>The DOJ</w:t>
      </w:r>
      <w:r w:rsidRPr="00D920C9">
        <w:rPr>
          <w:rFonts w:asciiTheme="minorHAnsi" w:eastAsiaTheme="minorEastAsia" w:hAnsiTheme="minorHAnsi" w:cs="Calibri"/>
          <w:szCs w:val="20"/>
          <w:lang w:eastAsia="es-ES"/>
        </w:rPr>
        <w:t xml:space="preserve"> further found that the city’s municipal court system systematically prioritizes revenue over public safety, leading to court practices that violate the </w:t>
      </w:r>
      <w:r w:rsidR="00410714" w:rsidRPr="00D920C9">
        <w:rPr>
          <w:rFonts w:asciiTheme="minorHAnsi" w:eastAsiaTheme="minorEastAsia" w:hAnsiTheme="minorHAnsi" w:cs="Calibri"/>
          <w:szCs w:val="20"/>
          <w:lang w:eastAsia="es-ES"/>
        </w:rPr>
        <w:t>Fourteenth</w:t>
      </w:r>
      <w:r w:rsidRPr="00D920C9">
        <w:rPr>
          <w:rFonts w:asciiTheme="minorHAnsi" w:eastAsiaTheme="minorEastAsia" w:hAnsiTheme="minorHAnsi" w:cs="Calibri"/>
          <w:szCs w:val="20"/>
          <w:lang w:eastAsia="es-ES"/>
        </w:rPr>
        <w:t xml:space="preserve"> Amendment, and that these court practices particularly impact Ferguson’s most vulnerable residents, especially upon those living in or near poverty. </w:t>
      </w:r>
      <w:r w:rsidR="00294551" w:rsidRPr="00D920C9">
        <w:rPr>
          <w:rFonts w:asciiTheme="minorHAnsi" w:eastAsiaTheme="minorEastAsia" w:hAnsiTheme="minorHAnsi" w:cs="Calibri"/>
          <w:szCs w:val="20"/>
          <w:lang w:eastAsia="es-ES"/>
        </w:rPr>
        <w:t>In Ferguson, fines may be imposed</w:t>
      </w:r>
      <w:bookmarkEnd w:id="63"/>
      <w:r w:rsidR="00D86045" w:rsidRPr="00D920C9">
        <w:rPr>
          <w:rFonts w:asciiTheme="minorHAnsi" w:eastAsiaTheme="minorEastAsia" w:hAnsiTheme="minorHAnsi" w:cs="Calibri"/>
          <w:szCs w:val="20"/>
          <w:lang w:eastAsia="es-ES"/>
        </w:rPr>
        <w:t>:</w:t>
      </w:r>
      <w:r w:rsidR="00294551" w:rsidRPr="00D920C9">
        <w:rPr>
          <w:rFonts w:asciiTheme="minorHAnsi" w:eastAsiaTheme="minorEastAsia" w:hAnsiTheme="minorHAnsi" w:cs="Calibri"/>
          <w:szCs w:val="20"/>
          <w:lang w:eastAsia="es-ES"/>
        </w:rPr>
        <w:t xml:space="preserve"> </w:t>
      </w:r>
    </w:p>
    <w:p w14:paraId="37C6F9B2" w14:textId="77777777" w:rsidR="00294551" w:rsidRPr="00D920C9" w:rsidRDefault="00294551" w:rsidP="0040052F">
      <w:pPr>
        <w:spacing w:after="240" w:line="240" w:lineRule="auto"/>
        <w:ind w:left="1166" w:right="619"/>
        <w:jc w:val="both"/>
        <w:rPr>
          <w:rFonts w:asciiTheme="minorHAnsi" w:eastAsia="Times New Roman" w:hAnsiTheme="minorHAnsi"/>
          <w:szCs w:val="18"/>
          <w:lang w:eastAsia="es-ES"/>
        </w:rPr>
      </w:pPr>
      <w:proofErr w:type="gramStart"/>
      <w:r w:rsidRPr="00D920C9">
        <w:rPr>
          <w:rFonts w:asciiTheme="minorHAnsi" w:eastAsia="Times New Roman" w:hAnsiTheme="minorHAnsi"/>
          <w:szCs w:val="18"/>
          <w:lang w:eastAsia="es-ES"/>
        </w:rPr>
        <w:t>for</w:t>
      </w:r>
      <w:proofErr w:type="gramEnd"/>
      <w:r w:rsidRPr="00D920C9">
        <w:rPr>
          <w:rFonts w:asciiTheme="minorHAnsi" w:eastAsia="Times New Roman" w:hAnsiTheme="minorHAnsi"/>
          <w:szCs w:val="18"/>
          <w:lang w:eastAsia="es-ES"/>
        </w:rPr>
        <w:t xml:space="preserve"> offenses as minor as rolling through a stop sign or failing to enroll in the right trash collection service. In Ferguson, residents who fall behind on fines and don’t appear in court after a warrant is issued for their arrest (or arrive in court after the courtroom doors close, which often happens just five minutes after the session is set to start for the day) are charged an additional $120 to $130 fine, along with a $50 fee for a new arrest warrant and 56 cents for each mile that police drive to serve it. Once arrested, everyone who can’t pay their fines or post bail (which is usually set to equal the amount of their total debt) is imprisoned until the next court session (which happens three days a month). Anyone who is imprisoned is charged $30 to $60 a night by the jail. If an arrestee owes fines in more than one of St. Louis County’s </w:t>
      </w:r>
      <w:r w:rsidRPr="00D920C9">
        <w:rPr>
          <w:rFonts w:asciiTheme="minorHAnsi" w:eastAsia="Times New Roman" w:hAnsiTheme="minorHAnsi"/>
          <w:szCs w:val="18"/>
          <w:lang w:eastAsia="es-ES"/>
        </w:rPr>
        <w:lastRenderedPageBreak/>
        <w:t>eighty-one municipal courts, they are passed from one jail to another to await hearings in each town.</w:t>
      </w:r>
      <w:r w:rsidRPr="00D920C9">
        <w:rPr>
          <w:rStyle w:val="FootnoteReference"/>
          <w:rFonts w:asciiTheme="minorHAnsi" w:eastAsia="Times New Roman" w:hAnsiTheme="minorHAnsi"/>
          <w:szCs w:val="18"/>
          <w:lang w:eastAsia="es-ES"/>
        </w:rPr>
        <w:footnoteReference w:id="152"/>
      </w:r>
    </w:p>
    <w:p w14:paraId="6765F309" w14:textId="77777777" w:rsidR="00294551" w:rsidRPr="00D920C9" w:rsidRDefault="00404C93" w:rsidP="002C64F8">
      <w:pPr>
        <w:pStyle w:val="ListParagraph"/>
        <w:numPr>
          <w:ilvl w:val="0"/>
          <w:numId w:val="9"/>
        </w:numPr>
        <w:spacing w:after="240" w:line="240" w:lineRule="auto"/>
        <w:ind w:left="547" w:hanging="547"/>
        <w:contextualSpacing w:val="0"/>
        <w:jc w:val="both"/>
        <w:rPr>
          <w:rFonts w:asciiTheme="minorHAnsi" w:hAnsiTheme="minorHAnsi"/>
          <w:szCs w:val="20"/>
        </w:rPr>
      </w:pPr>
      <w:r w:rsidRPr="00D920C9">
        <w:rPr>
          <w:rFonts w:asciiTheme="minorHAnsi" w:eastAsiaTheme="minorEastAsia" w:hAnsiTheme="minorHAnsi" w:cs="Calibri"/>
          <w:szCs w:val="20"/>
          <w:lang w:eastAsia="es-ES"/>
        </w:rPr>
        <w:t xml:space="preserve">In this way, </w:t>
      </w:r>
      <w:r w:rsidR="008445C0" w:rsidRPr="00D920C9">
        <w:rPr>
          <w:rFonts w:asciiTheme="minorHAnsi" w:eastAsiaTheme="minorEastAsia" w:hAnsiTheme="minorHAnsi" w:cs="Calibri"/>
          <w:szCs w:val="20"/>
          <w:lang w:eastAsia="es-ES"/>
        </w:rPr>
        <w:t>minor offenses can generate crippling debts, result in jail time because of an inability to pay</w:t>
      </w:r>
      <w:r w:rsidR="00F5755B" w:rsidRPr="00D920C9">
        <w:rPr>
          <w:rFonts w:asciiTheme="minorHAnsi" w:eastAsiaTheme="minorEastAsia" w:hAnsiTheme="minorHAnsi" w:cs="Calibri"/>
          <w:szCs w:val="20"/>
          <w:lang w:eastAsia="es-ES"/>
        </w:rPr>
        <w:t>,</w:t>
      </w:r>
      <w:r w:rsidR="008445C0" w:rsidRPr="00D920C9">
        <w:rPr>
          <w:rFonts w:asciiTheme="minorHAnsi" w:eastAsiaTheme="minorEastAsia" w:hAnsiTheme="minorHAnsi" w:cs="Calibri"/>
          <w:szCs w:val="20"/>
          <w:lang w:eastAsia="es-ES"/>
        </w:rPr>
        <w:t xml:space="preserve"> and </w:t>
      </w:r>
      <w:r w:rsidR="008445C0" w:rsidRPr="00D920C9">
        <w:rPr>
          <w:rFonts w:asciiTheme="minorHAnsi" w:hAnsiTheme="minorHAnsi"/>
          <w:szCs w:val="20"/>
        </w:rPr>
        <w:t>result in the loss of a driver’s license, employment, or housing</w:t>
      </w:r>
      <w:r w:rsidR="0009680A" w:rsidRPr="00D920C9">
        <w:rPr>
          <w:rFonts w:asciiTheme="minorHAnsi" w:hAnsiTheme="minorHAnsi"/>
          <w:szCs w:val="20"/>
        </w:rPr>
        <w:t xml:space="preserve">; in the aggregate, </w:t>
      </w:r>
      <w:r w:rsidR="00691203" w:rsidRPr="00D920C9">
        <w:rPr>
          <w:rFonts w:asciiTheme="minorHAnsi" w:hAnsiTheme="minorHAnsi"/>
          <w:szCs w:val="20"/>
        </w:rPr>
        <w:t>these may be an important element to consider in the analysis of racialized poverty</w:t>
      </w:r>
      <w:r w:rsidR="008445C0" w:rsidRPr="00D920C9">
        <w:rPr>
          <w:rFonts w:asciiTheme="minorHAnsi" w:hAnsiTheme="minorHAnsi"/>
          <w:szCs w:val="20"/>
        </w:rPr>
        <w:t xml:space="preserve">. </w:t>
      </w:r>
    </w:p>
    <w:p w14:paraId="4D298426" w14:textId="72EDE5FB" w:rsidR="00FE4A90" w:rsidRPr="00D920C9" w:rsidRDefault="008445C0" w:rsidP="002C64F8">
      <w:pPr>
        <w:pStyle w:val="ListParagraph"/>
        <w:numPr>
          <w:ilvl w:val="0"/>
          <w:numId w:val="9"/>
        </w:numPr>
        <w:spacing w:after="240" w:line="240" w:lineRule="auto"/>
        <w:ind w:left="547" w:hanging="547"/>
        <w:contextualSpacing w:val="0"/>
        <w:jc w:val="both"/>
        <w:rPr>
          <w:rFonts w:asciiTheme="minorHAnsi" w:hAnsiTheme="minorHAnsi"/>
          <w:szCs w:val="20"/>
        </w:rPr>
      </w:pPr>
      <w:bookmarkStart w:id="64" w:name="_Ref511834782"/>
      <w:r w:rsidRPr="00D920C9">
        <w:rPr>
          <w:rFonts w:asciiTheme="minorHAnsi" w:hAnsiTheme="minorHAnsi"/>
          <w:szCs w:val="20"/>
        </w:rPr>
        <w:t>Furthermore, the DOJ found that these harms are borne disproportionately by African</w:t>
      </w:r>
      <w:r w:rsidR="0030356C" w:rsidRPr="00D920C9">
        <w:rPr>
          <w:rFonts w:asciiTheme="minorHAnsi" w:hAnsiTheme="minorHAnsi"/>
          <w:szCs w:val="20"/>
        </w:rPr>
        <w:t xml:space="preserve"> </w:t>
      </w:r>
      <w:r w:rsidRPr="00D920C9">
        <w:rPr>
          <w:rFonts w:asciiTheme="minorHAnsi" w:hAnsiTheme="minorHAnsi"/>
          <w:szCs w:val="20"/>
        </w:rPr>
        <w:t>Americans due, at least in part, to intentional discrimination, as demonstrated by direct evidence of racial bias and stereotyping about African Americans by certain Ferguson police and municipal court officials.</w:t>
      </w:r>
      <w:r w:rsidRPr="00D920C9">
        <w:rPr>
          <w:rFonts w:asciiTheme="minorHAnsi" w:hAnsiTheme="minorHAnsi"/>
          <w:vertAlign w:val="superscript"/>
        </w:rPr>
        <w:footnoteReference w:id="153"/>
      </w:r>
      <w:r w:rsidRPr="00D920C9">
        <w:rPr>
          <w:rFonts w:asciiTheme="minorHAnsi" w:hAnsiTheme="minorHAnsi"/>
          <w:szCs w:val="20"/>
        </w:rPr>
        <w:t xml:space="preserve"> </w:t>
      </w:r>
      <w:r w:rsidR="00FE4A90" w:rsidRPr="00D920C9">
        <w:rPr>
          <w:rFonts w:asciiTheme="minorHAnsi" w:hAnsiTheme="minorHAnsi"/>
          <w:szCs w:val="20"/>
        </w:rPr>
        <w:t>In particular, African</w:t>
      </w:r>
      <w:r w:rsidR="0030356C" w:rsidRPr="00D920C9">
        <w:rPr>
          <w:rFonts w:asciiTheme="minorHAnsi" w:hAnsiTheme="minorHAnsi"/>
          <w:szCs w:val="20"/>
        </w:rPr>
        <w:t xml:space="preserve"> </w:t>
      </w:r>
      <w:r w:rsidR="00FE4A90" w:rsidRPr="00D920C9">
        <w:rPr>
          <w:rFonts w:asciiTheme="minorHAnsi" w:hAnsiTheme="minorHAnsi"/>
          <w:szCs w:val="20"/>
        </w:rPr>
        <w:t>Americans make up about 67 percent of the Ferguson population, but accounted for 93 percent those arrested from 2012 to 2014. The DOJ found that African</w:t>
      </w:r>
      <w:r w:rsidR="0030356C" w:rsidRPr="00D920C9">
        <w:rPr>
          <w:rFonts w:asciiTheme="minorHAnsi" w:hAnsiTheme="minorHAnsi"/>
          <w:szCs w:val="20"/>
        </w:rPr>
        <w:t xml:space="preserve"> </w:t>
      </w:r>
      <w:r w:rsidR="00FE4A90" w:rsidRPr="00D920C9">
        <w:rPr>
          <w:rFonts w:asciiTheme="minorHAnsi" w:hAnsiTheme="minorHAnsi"/>
          <w:szCs w:val="20"/>
        </w:rPr>
        <w:t>Americans accounted for 85 percent of all vehicle stops, 90 percent of citations, and 93 percent of arrests in between 2012 and 2014.</w:t>
      </w:r>
      <w:r w:rsidR="00FE4A90" w:rsidRPr="00D920C9">
        <w:rPr>
          <w:rFonts w:asciiTheme="minorHAnsi" w:hAnsiTheme="minorHAnsi"/>
          <w:szCs w:val="20"/>
          <w:vertAlign w:val="superscript"/>
        </w:rPr>
        <w:footnoteReference w:id="154"/>
      </w:r>
      <w:r w:rsidR="00FE4A90" w:rsidRPr="00D920C9">
        <w:rPr>
          <w:rFonts w:asciiTheme="minorHAnsi" w:hAnsiTheme="minorHAnsi"/>
          <w:szCs w:val="20"/>
        </w:rPr>
        <w:t xml:space="preserve"> </w:t>
      </w:r>
      <w:r w:rsidR="0030356C" w:rsidRPr="00D920C9">
        <w:rPr>
          <w:rFonts w:asciiTheme="minorHAnsi" w:hAnsiTheme="minorHAnsi"/>
          <w:szCs w:val="20"/>
        </w:rPr>
        <w:t xml:space="preserve">The DOJ also found that </w:t>
      </w:r>
      <w:r w:rsidR="001F60B3" w:rsidRPr="00D920C9">
        <w:rPr>
          <w:rFonts w:asciiTheme="minorHAnsi" w:hAnsiTheme="minorHAnsi"/>
          <w:szCs w:val="20"/>
        </w:rPr>
        <w:t>black</w:t>
      </w:r>
      <w:r w:rsidR="00FE4A90" w:rsidRPr="00D920C9">
        <w:rPr>
          <w:rFonts w:asciiTheme="minorHAnsi" w:hAnsiTheme="minorHAnsi"/>
          <w:szCs w:val="20"/>
        </w:rPr>
        <w:t xml:space="preserve"> drivers are </w:t>
      </w:r>
      <w:r w:rsidR="001F60B3" w:rsidRPr="00D920C9">
        <w:rPr>
          <w:rFonts w:asciiTheme="minorHAnsi" w:hAnsiTheme="minorHAnsi"/>
          <w:szCs w:val="20"/>
        </w:rPr>
        <w:t>twice as</w:t>
      </w:r>
      <w:r w:rsidR="00FE4A90" w:rsidRPr="00D920C9">
        <w:rPr>
          <w:rFonts w:asciiTheme="minorHAnsi" w:hAnsiTheme="minorHAnsi"/>
          <w:szCs w:val="20"/>
        </w:rPr>
        <w:t xml:space="preserve"> likely to be stopped by F</w:t>
      </w:r>
      <w:r w:rsidR="00F5755B" w:rsidRPr="00D920C9">
        <w:rPr>
          <w:rFonts w:asciiTheme="minorHAnsi" w:hAnsiTheme="minorHAnsi"/>
          <w:szCs w:val="20"/>
        </w:rPr>
        <w:t>erguson police</w:t>
      </w:r>
      <w:r w:rsidR="00FE4A90" w:rsidRPr="00D920C9">
        <w:rPr>
          <w:rFonts w:asciiTheme="minorHAnsi" w:hAnsiTheme="minorHAnsi"/>
          <w:szCs w:val="20"/>
        </w:rPr>
        <w:t xml:space="preserve"> than are white drivers, are more likely to be cited and arrested following a stop, and are more likely to receive multiple citations during a single incident.</w:t>
      </w:r>
      <w:r w:rsidR="00FE4A90" w:rsidRPr="00D920C9">
        <w:rPr>
          <w:rFonts w:asciiTheme="minorHAnsi" w:hAnsiTheme="minorHAnsi"/>
          <w:szCs w:val="20"/>
          <w:vertAlign w:val="superscript"/>
        </w:rPr>
        <w:footnoteReference w:id="155"/>
      </w:r>
      <w:r w:rsidR="00FE4A90" w:rsidRPr="00D920C9">
        <w:rPr>
          <w:rFonts w:asciiTheme="minorHAnsi" w:hAnsiTheme="minorHAnsi"/>
          <w:szCs w:val="20"/>
        </w:rPr>
        <w:t xml:space="preserve"> The DOJ considered that these patterns amounted to a systematic violation of the Fourth and </w:t>
      </w:r>
      <w:r w:rsidR="00C74CCA" w:rsidRPr="00D920C9">
        <w:rPr>
          <w:rFonts w:asciiTheme="minorHAnsi" w:hAnsiTheme="minorHAnsi"/>
          <w:szCs w:val="20"/>
        </w:rPr>
        <w:t>Fourteenth</w:t>
      </w:r>
      <w:r w:rsidR="00FE4A90" w:rsidRPr="00D920C9">
        <w:rPr>
          <w:rFonts w:asciiTheme="minorHAnsi" w:hAnsiTheme="minorHAnsi"/>
          <w:szCs w:val="20"/>
        </w:rPr>
        <w:t xml:space="preserve"> Amendment rights of Ferguson residents, and that they disproportionately harmed African</w:t>
      </w:r>
      <w:r w:rsidR="0030356C" w:rsidRPr="00D920C9">
        <w:rPr>
          <w:rFonts w:asciiTheme="minorHAnsi" w:hAnsiTheme="minorHAnsi"/>
          <w:szCs w:val="20"/>
        </w:rPr>
        <w:t xml:space="preserve"> </w:t>
      </w:r>
      <w:r w:rsidR="00FE4A90" w:rsidRPr="00D920C9">
        <w:rPr>
          <w:rFonts w:asciiTheme="minorHAnsi" w:hAnsiTheme="minorHAnsi"/>
          <w:szCs w:val="20"/>
        </w:rPr>
        <w:t>Americans.</w:t>
      </w:r>
      <w:r w:rsidR="00FE4A90" w:rsidRPr="00D920C9">
        <w:rPr>
          <w:rFonts w:asciiTheme="minorHAnsi" w:hAnsiTheme="minorHAnsi"/>
          <w:vertAlign w:val="superscript"/>
        </w:rPr>
        <w:footnoteReference w:id="156"/>
      </w:r>
      <w:r w:rsidR="0009680A" w:rsidRPr="00D920C9">
        <w:rPr>
          <w:rFonts w:asciiTheme="minorHAnsi" w:hAnsiTheme="minorHAnsi"/>
          <w:szCs w:val="20"/>
        </w:rPr>
        <w:t xml:space="preserve"> Available information indicates that this practice of using municipal police and court systems as revenue generators is not limited to Ferguson, but may be a more generalized practice.</w:t>
      </w:r>
      <w:r w:rsidR="0009680A" w:rsidRPr="00D920C9">
        <w:rPr>
          <w:rFonts w:asciiTheme="minorHAnsi" w:hAnsiTheme="minorHAnsi"/>
          <w:vertAlign w:val="superscript"/>
        </w:rPr>
        <w:footnoteReference w:id="157"/>
      </w:r>
      <w:bookmarkEnd w:id="64"/>
    </w:p>
    <w:p w14:paraId="4CBF8483" w14:textId="77777777" w:rsidR="008445C0" w:rsidRPr="00D920C9" w:rsidRDefault="00907ABA" w:rsidP="002C64F8">
      <w:pPr>
        <w:pStyle w:val="ListParagraph"/>
        <w:numPr>
          <w:ilvl w:val="0"/>
          <w:numId w:val="9"/>
        </w:numPr>
        <w:spacing w:after="240" w:line="240" w:lineRule="auto"/>
        <w:ind w:left="547" w:hanging="547"/>
        <w:contextualSpacing w:val="0"/>
        <w:jc w:val="both"/>
        <w:rPr>
          <w:rFonts w:asciiTheme="minorHAnsi" w:hAnsiTheme="minorHAnsi"/>
          <w:szCs w:val="20"/>
        </w:rPr>
      </w:pPr>
      <w:r w:rsidRPr="00D920C9">
        <w:rPr>
          <w:rFonts w:asciiTheme="minorHAnsi" w:hAnsiTheme="minorHAnsi"/>
          <w:szCs w:val="20"/>
        </w:rPr>
        <w:t>In light of information about particular municipal practices, the Commission considers that</w:t>
      </w:r>
      <w:r w:rsidR="00FE4A90" w:rsidRPr="00D920C9">
        <w:rPr>
          <w:rFonts w:asciiTheme="minorHAnsi" w:hAnsiTheme="minorHAnsi"/>
          <w:szCs w:val="20"/>
        </w:rPr>
        <w:t xml:space="preserve"> policies of heavy criminalization of minor offenses </w:t>
      </w:r>
      <w:r w:rsidR="00691203" w:rsidRPr="00D920C9">
        <w:rPr>
          <w:rFonts w:asciiTheme="minorHAnsi" w:hAnsiTheme="minorHAnsi"/>
          <w:szCs w:val="20"/>
        </w:rPr>
        <w:t>may</w:t>
      </w:r>
      <w:r w:rsidR="00FE4A90" w:rsidRPr="00D920C9">
        <w:rPr>
          <w:rFonts w:asciiTheme="minorHAnsi" w:hAnsiTheme="minorHAnsi"/>
          <w:szCs w:val="20"/>
        </w:rPr>
        <w:t xml:space="preserve"> disproportionately affect African</w:t>
      </w:r>
      <w:r w:rsidR="0030356C" w:rsidRPr="00D920C9">
        <w:rPr>
          <w:rFonts w:asciiTheme="minorHAnsi" w:hAnsiTheme="minorHAnsi"/>
          <w:szCs w:val="20"/>
        </w:rPr>
        <w:t xml:space="preserve"> </w:t>
      </w:r>
      <w:r w:rsidR="00FE4A90" w:rsidRPr="00D920C9">
        <w:rPr>
          <w:rFonts w:asciiTheme="minorHAnsi" w:hAnsiTheme="minorHAnsi"/>
          <w:szCs w:val="20"/>
        </w:rPr>
        <w:t>Americans and other communities of color. In this scenario, race often serves as a proxy for and is deeply linked with poverty. This results in the increase of fines and arrests</w:t>
      </w:r>
      <w:r w:rsidR="00D24FA7" w:rsidRPr="00D920C9">
        <w:rPr>
          <w:rFonts w:asciiTheme="minorHAnsi" w:hAnsiTheme="minorHAnsi"/>
          <w:szCs w:val="20"/>
        </w:rPr>
        <w:t xml:space="preserve"> in these communities</w:t>
      </w:r>
      <w:r w:rsidR="00FE4A90" w:rsidRPr="00D920C9">
        <w:rPr>
          <w:rFonts w:asciiTheme="minorHAnsi" w:hAnsiTheme="minorHAnsi"/>
          <w:szCs w:val="20"/>
        </w:rPr>
        <w:t xml:space="preserve">, </w:t>
      </w:r>
      <w:r w:rsidR="00294551" w:rsidRPr="00D920C9">
        <w:rPr>
          <w:rFonts w:asciiTheme="minorHAnsi" w:hAnsiTheme="minorHAnsi"/>
          <w:szCs w:val="20"/>
        </w:rPr>
        <w:t>creating a vicious circle of poverty and criminalization</w:t>
      </w:r>
      <w:r w:rsidR="00FE4A90" w:rsidRPr="00D920C9">
        <w:rPr>
          <w:rFonts w:asciiTheme="minorHAnsi" w:hAnsiTheme="minorHAnsi"/>
          <w:szCs w:val="20"/>
        </w:rPr>
        <w:t>.</w:t>
      </w:r>
      <w:r w:rsidR="00B85243" w:rsidRPr="00D920C9">
        <w:rPr>
          <w:rFonts w:asciiTheme="minorHAnsi" w:hAnsiTheme="minorHAnsi"/>
          <w:vertAlign w:val="superscript"/>
        </w:rPr>
        <w:footnoteReference w:id="158"/>
      </w:r>
      <w:r w:rsidR="00FE4A90" w:rsidRPr="00D920C9">
        <w:rPr>
          <w:rFonts w:asciiTheme="minorHAnsi" w:hAnsiTheme="minorHAnsi"/>
          <w:szCs w:val="20"/>
        </w:rPr>
        <w:t xml:space="preserve"> </w:t>
      </w:r>
      <w:r w:rsidR="008445C0" w:rsidRPr="00D920C9">
        <w:rPr>
          <w:rFonts w:asciiTheme="minorHAnsi" w:hAnsiTheme="minorHAnsi"/>
          <w:szCs w:val="20"/>
        </w:rPr>
        <w:t xml:space="preserve">The Commission considers that </w:t>
      </w:r>
      <w:r w:rsidR="00F65336" w:rsidRPr="00D920C9">
        <w:rPr>
          <w:rFonts w:asciiTheme="minorHAnsi" w:hAnsiTheme="minorHAnsi"/>
          <w:szCs w:val="20"/>
        </w:rPr>
        <w:t xml:space="preserve">proven </w:t>
      </w:r>
      <w:r w:rsidR="008445C0" w:rsidRPr="00D920C9">
        <w:rPr>
          <w:rFonts w:asciiTheme="minorHAnsi" w:hAnsiTheme="minorHAnsi"/>
          <w:szCs w:val="20"/>
        </w:rPr>
        <w:t xml:space="preserve">practices of </w:t>
      </w:r>
      <w:r w:rsidR="008445C0" w:rsidRPr="00D920C9">
        <w:rPr>
          <w:rFonts w:asciiTheme="minorHAnsi" w:hAnsiTheme="minorHAnsi"/>
          <w:szCs w:val="20"/>
        </w:rPr>
        <w:lastRenderedPageBreak/>
        <w:t xml:space="preserve">treating policing as an exercise in revenue-raising rather than public safety and citizen security </w:t>
      </w:r>
      <w:r w:rsidR="00F65336" w:rsidRPr="00D920C9">
        <w:rPr>
          <w:rFonts w:asciiTheme="minorHAnsi" w:hAnsiTheme="minorHAnsi"/>
          <w:szCs w:val="20"/>
        </w:rPr>
        <w:t xml:space="preserve">would </w:t>
      </w:r>
      <w:r w:rsidR="008445C0" w:rsidRPr="00D920C9">
        <w:rPr>
          <w:rFonts w:asciiTheme="minorHAnsi" w:hAnsiTheme="minorHAnsi"/>
          <w:szCs w:val="20"/>
        </w:rPr>
        <w:t xml:space="preserve">present clear threats to the rights to life, personal liberty and security, due process, privacy, respect for one’s honor and dignity, peaceful assembly and association, and peaceful use and enjoyment of property, among others, </w:t>
      </w:r>
      <w:r w:rsidRPr="00D920C9">
        <w:rPr>
          <w:rFonts w:asciiTheme="minorHAnsi" w:hAnsiTheme="minorHAnsi"/>
          <w:szCs w:val="20"/>
        </w:rPr>
        <w:t>as well as</w:t>
      </w:r>
      <w:r w:rsidR="008445C0" w:rsidRPr="00D920C9">
        <w:rPr>
          <w:rFonts w:asciiTheme="minorHAnsi" w:hAnsiTheme="minorHAnsi"/>
          <w:szCs w:val="20"/>
        </w:rPr>
        <w:t xml:space="preserve"> non-discrimination.</w:t>
      </w:r>
      <w:r w:rsidR="008445C0" w:rsidRPr="00D920C9">
        <w:rPr>
          <w:rFonts w:asciiTheme="minorHAnsi" w:hAnsiTheme="minorHAnsi"/>
          <w:vertAlign w:val="superscript"/>
        </w:rPr>
        <w:footnoteReference w:id="159"/>
      </w:r>
    </w:p>
    <w:p w14:paraId="6A4B8634" w14:textId="723E73A5" w:rsidR="00B4412C" w:rsidRPr="00D920C9" w:rsidRDefault="00401DF8" w:rsidP="002C64F8">
      <w:pPr>
        <w:pStyle w:val="ListParagraph"/>
        <w:numPr>
          <w:ilvl w:val="0"/>
          <w:numId w:val="9"/>
        </w:numPr>
        <w:spacing w:after="240" w:line="240" w:lineRule="auto"/>
        <w:ind w:left="547" w:hanging="547"/>
        <w:contextualSpacing w:val="0"/>
        <w:jc w:val="both"/>
        <w:rPr>
          <w:rFonts w:asciiTheme="minorHAnsi" w:eastAsia="Times New Roman" w:hAnsiTheme="minorHAnsi"/>
          <w:szCs w:val="20"/>
          <w:lang w:eastAsia="es-ES"/>
        </w:rPr>
      </w:pPr>
      <w:r w:rsidRPr="00D920C9">
        <w:rPr>
          <w:rFonts w:asciiTheme="minorHAnsi" w:hAnsiTheme="minorHAnsi"/>
          <w:szCs w:val="20"/>
        </w:rPr>
        <w:t>T</w:t>
      </w:r>
      <w:r w:rsidR="00620290" w:rsidRPr="00D920C9">
        <w:rPr>
          <w:rFonts w:asciiTheme="minorHAnsi" w:hAnsiTheme="minorHAnsi"/>
          <w:szCs w:val="20"/>
        </w:rPr>
        <w:t>he Commission notes that</w:t>
      </w:r>
      <w:r w:rsidR="003A6467" w:rsidRPr="00D920C9">
        <w:rPr>
          <w:rFonts w:asciiTheme="minorHAnsi" w:hAnsiTheme="minorHAnsi"/>
          <w:szCs w:val="20"/>
        </w:rPr>
        <w:t xml:space="preserve"> multiple international bodies have expressed concern about racial profiling </w:t>
      </w:r>
      <w:r w:rsidR="00D24FA7" w:rsidRPr="00D920C9">
        <w:rPr>
          <w:rFonts w:asciiTheme="minorHAnsi" w:hAnsiTheme="minorHAnsi"/>
          <w:szCs w:val="20"/>
        </w:rPr>
        <w:t xml:space="preserve">practices </w:t>
      </w:r>
      <w:r w:rsidR="003A6467" w:rsidRPr="00D920C9">
        <w:rPr>
          <w:rFonts w:asciiTheme="minorHAnsi" w:hAnsiTheme="minorHAnsi"/>
          <w:szCs w:val="20"/>
        </w:rPr>
        <w:t xml:space="preserve">in the </w:t>
      </w:r>
      <w:r w:rsidR="00904A46" w:rsidRPr="00D920C9">
        <w:rPr>
          <w:rFonts w:asciiTheme="minorHAnsi" w:hAnsiTheme="minorHAnsi"/>
          <w:szCs w:val="20"/>
        </w:rPr>
        <w:t>U.S</w:t>
      </w:r>
      <w:r w:rsidR="003A6467" w:rsidRPr="00D920C9">
        <w:rPr>
          <w:rFonts w:asciiTheme="minorHAnsi" w:hAnsiTheme="minorHAnsi"/>
          <w:szCs w:val="20"/>
        </w:rPr>
        <w:t xml:space="preserve">. For example, the </w:t>
      </w:r>
      <w:r w:rsidR="0004541B" w:rsidRPr="00D920C9">
        <w:rPr>
          <w:rFonts w:asciiTheme="minorHAnsi" w:hAnsiTheme="minorHAnsi"/>
          <w:szCs w:val="20"/>
        </w:rPr>
        <w:t xml:space="preserve">U.N. </w:t>
      </w:r>
      <w:r w:rsidR="003A6467" w:rsidRPr="00D920C9">
        <w:rPr>
          <w:rFonts w:asciiTheme="minorHAnsi" w:hAnsiTheme="minorHAnsi"/>
          <w:szCs w:val="20"/>
        </w:rPr>
        <w:t xml:space="preserve">Human Rights Committee has urged the State to eliminate racial profiling by law enforcement officials, which it considers remains a common practice by many law enforcement bodies. Similarly, the </w:t>
      </w:r>
      <w:r w:rsidR="0004541B" w:rsidRPr="00D920C9">
        <w:rPr>
          <w:rFonts w:asciiTheme="minorHAnsi" w:hAnsiTheme="minorHAnsi"/>
          <w:szCs w:val="20"/>
        </w:rPr>
        <w:t>Committee on the Elimination of Racial Discrimination</w:t>
      </w:r>
      <w:r w:rsidR="00D2531A" w:rsidRPr="00D920C9">
        <w:rPr>
          <w:rFonts w:asciiTheme="minorHAnsi" w:eastAsia="Times New Roman" w:hAnsiTheme="minorHAnsi"/>
          <w:szCs w:val="20"/>
          <w:lang w:eastAsia="es-ES"/>
        </w:rPr>
        <w:t xml:space="preserve"> (CERD)</w:t>
      </w:r>
      <w:r w:rsidR="003A6467" w:rsidRPr="00D920C9">
        <w:rPr>
          <w:rFonts w:asciiTheme="minorHAnsi" w:eastAsia="Times New Roman" w:hAnsiTheme="minorHAnsi"/>
          <w:szCs w:val="20"/>
          <w:lang w:eastAsia="es-ES"/>
        </w:rPr>
        <w:t xml:space="preserve"> has called for an end to profiling of racial and ethnic </w:t>
      </w:r>
      <w:r w:rsidR="00826102" w:rsidRPr="00D920C9">
        <w:rPr>
          <w:rFonts w:asciiTheme="minorHAnsi" w:eastAsia="Times New Roman" w:hAnsiTheme="minorHAnsi"/>
          <w:szCs w:val="20"/>
          <w:lang w:eastAsia="es-ES"/>
        </w:rPr>
        <w:t>historically discriminated groups</w:t>
      </w:r>
      <w:r w:rsidR="003A6467" w:rsidRPr="00D920C9">
        <w:rPr>
          <w:rFonts w:asciiTheme="minorHAnsi" w:eastAsia="Times New Roman" w:hAnsiTheme="minorHAnsi"/>
          <w:szCs w:val="20"/>
          <w:lang w:eastAsia="es-ES"/>
        </w:rPr>
        <w:t xml:space="preserve"> by law enforcement officials.</w:t>
      </w:r>
      <w:r w:rsidR="003A6467" w:rsidRPr="00D920C9">
        <w:rPr>
          <w:rStyle w:val="FootnoteReference"/>
          <w:rFonts w:asciiTheme="minorHAnsi" w:eastAsia="Times New Roman" w:hAnsiTheme="minorHAnsi"/>
          <w:szCs w:val="20"/>
          <w:lang w:eastAsia="es-ES"/>
        </w:rPr>
        <w:footnoteReference w:id="160"/>
      </w:r>
      <w:r w:rsidR="0004541B" w:rsidRPr="00D920C9">
        <w:rPr>
          <w:rFonts w:asciiTheme="minorHAnsi" w:eastAsia="Times New Roman" w:hAnsiTheme="minorHAnsi"/>
          <w:szCs w:val="20"/>
          <w:lang w:eastAsia="es-ES"/>
        </w:rPr>
        <w:t xml:space="preserve"> </w:t>
      </w:r>
      <w:r w:rsidR="002473CF" w:rsidRPr="00D920C9">
        <w:rPr>
          <w:rFonts w:asciiTheme="minorHAnsi" w:eastAsia="Times New Roman" w:hAnsiTheme="minorHAnsi"/>
          <w:szCs w:val="20"/>
          <w:lang w:eastAsia="es-ES"/>
        </w:rPr>
        <w:t>The Commission echoes this call for the State to fully examine and eliminate practices and policies that, whether explicitly or implicitly, result in racial profiling and unequal treatment by law enforcement on the basis of race.</w:t>
      </w:r>
    </w:p>
    <w:p w14:paraId="6E687951" w14:textId="77777777" w:rsidR="00B4412C" w:rsidRPr="00D920C9" w:rsidRDefault="00B4412C" w:rsidP="003D7958">
      <w:pPr>
        <w:pStyle w:val="Heading4"/>
        <w:ind w:left="540" w:hanging="540"/>
      </w:pPr>
      <w:bookmarkStart w:id="65" w:name="_Toc511837811"/>
      <w:bookmarkStart w:id="66" w:name="_Toc511902984"/>
      <w:bookmarkStart w:id="67" w:name="_Toc517687914"/>
      <w:r w:rsidRPr="00D920C9">
        <w:t xml:space="preserve">Militarization of </w:t>
      </w:r>
      <w:r w:rsidR="001D6074" w:rsidRPr="00D920C9">
        <w:t>Police Forces</w:t>
      </w:r>
      <w:bookmarkEnd w:id="65"/>
      <w:bookmarkEnd w:id="66"/>
      <w:bookmarkEnd w:id="67"/>
    </w:p>
    <w:p w14:paraId="3902FF01" w14:textId="60E780EB" w:rsidR="00D70F37" w:rsidRPr="00D920C9" w:rsidRDefault="00B4412C" w:rsidP="002C64F8">
      <w:pPr>
        <w:pStyle w:val="ListParagraph"/>
        <w:numPr>
          <w:ilvl w:val="0"/>
          <w:numId w:val="9"/>
        </w:numPr>
        <w:spacing w:after="240" w:line="240" w:lineRule="auto"/>
        <w:ind w:left="547" w:hanging="547"/>
        <w:contextualSpacing w:val="0"/>
        <w:jc w:val="both"/>
        <w:rPr>
          <w:rFonts w:asciiTheme="minorHAnsi" w:hAnsiTheme="minorHAnsi"/>
          <w:szCs w:val="20"/>
        </w:rPr>
      </w:pPr>
      <w:bookmarkStart w:id="68" w:name="_Ref507153340"/>
      <w:r w:rsidRPr="00D920C9">
        <w:rPr>
          <w:rFonts w:asciiTheme="minorHAnsi" w:hAnsiTheme="minorHAnsi"/>
          <w:szCs w:val="20"/>
        </w:rPr>
        <w:t xml:space="preserve">Information provided to the Commission indicates that many local police departments in the </w:t>
      </w:r>
      <w:r w:rsidR="00D24FA7" w:rsidRPr="00D920C9">
        <w:rPr>
          <w:rFonts w:asciiTheme="minorHAnsi" w:hAnsiTheme="minorHAnsi"/>
          <w:szCs w:val="20"/>
        </w:rPr>
        <w:t>U.S.</w:t>
      </w:r>
      <w:r w:rsidRPr="00D920C9">
        <w:rPr>
          <w:rFonts w:asciiTheme="minorHAnsi" w:hAnsiTheme="minorHAnsi"/>
          <w:szCs w:val="20"/>
        </w:rPr>
        <w:t xml:space="preserve"> have become heavily militarized in recent decades,</w:t>
      </w:r>
      <w:r w:rsidR="00620290" w:rsidRPr="00D920C9">
        <w:rPr>
          <w:rStyle w:val="FootnoteReference"/>
          <w:rFonts w:asciiTheme="minorHAnsi" w:hAnsiTheme="minorHAnsi"/>
          <w:szCs w:val="20"/>
        </w:rPr>
        <w:footnoteReference w:id="161"/>
      </w:r>
      <w:r w:rsidRPr="00D920C9">
        <w:rPr>
          <w:rFonts w:asciiTheme="minorHAnsi" w:hAnsiTheme="minorHAnsi"/>
          <w:szCs w:val="20"/>
        </w:rPr>
        <w:t xml:space="preserve"> and that the use of military-type equipment in SWAT</w:t>
      </w:r>
      <w:r w:rsidR="00D24FA7" w:rsidRPr="00D920C9">
        <w:rPr>
          <w:rFonts w:asciiTheme="minorHAnsi" w:hAnsiTheme="minorHAnsi"/>
          <w:szCs w:val="20"/>
        </w:rPr>
        <w:t xml:space="preserve"> (“Special Weapons and Tactics”</w:t>
      </w:r>
      <w:r w:rsidR="00947CFC" w:rsidRPr="00D920C9">
        <w:rPr>
          <w:rFonts w:asciiTheme="minorHAnsi" w:hAnsiTheme="minorHAnsi"/>
          <w:szCs w:val="20"/>
        </w:rPr>
        <w:t>)</w:t>
      </w:r>
      <w:r w:rsidRPr="00D920C9">
        <w:rPr>
          <w:rFonts w:asciiTheme="minorHAnsi" w:hAnsiTheme="minorHAnsi"/>
          <w:szCs w:val="20"/>
        </w:rPr>
        <w:t xml:space="preserve"> raids and similar operations is disproportionately targeted against </w:t>
      </w:r>
      <w:r w:rsidR="00F65336" w:rsidRPr="00D920C9">
        <w:rPr>
          <w:rFonts w:asciiTheme="minorHAnsi" w:hAnsiTheme="minorHAnsi"/>
          <w:szCs w:val="20"/>
        </w:rPr>
        <w:t>historically marginalized groups</w:t>
      </w:r>
      <w:r w:rsidRPr="00D920C9">
        <w:rPr>
          <w:rFonts w:asciiTheme="minorHAnsi" w:hAnsiTheme="minorHAnsi"/>
          <w:szCs w:val="20"/>
        </w:rPr>
        <w:t>.</w:t>
      </w:r>
      <w:r w:rsidRPr="00D920C9">
        <w:rPr>
          <w:rStyle w:val="FootnoteReference"/>
          <w:rFonts w:asciiTheme="minorHAnsi" w:hAnsiTheme="minorHAnsi"/>
          <w:szCs w:val="20"/>
        </w:rPr>
        <w:footnoteReference w:id="162"/>
      </w:r>
      <w:r w:rsidRPr="00D920C9">
        <w:rPr>
          <w:rFonts w:asciiTheme="minorHAnsi" w:hAnsiTheme="minorHAnsi"/>
          <w:szCs w:val="20"/>
        </w:rPr>
        <w:t xml:space="preserve"> A recent study by the ACLU found that 42 percent of people impacted by a SWAT deployment to execute a search warrant were Black and 12 percent were Latino; of deployments in which all </w:t>
      </w:r>
      <w:r w:rsidR="002473CF" w:rsidRPr="00D920C9">
        <w:rPr>
          <w:rFonts w:asciiTheme="minorHAnsi" w:hAnsiTheme="minorHAnsi"/>
          <w:szCs w:val="20"/>
        </w:rPr>
        <w:t>individuals</w:t>
      </w:r>
      <w:r w:rsidRPr="00D920C9">
        <w:rPr>
          <w:rFonts w:asciiTheme="minorHAnsi" w:hAnsiTheme="minorHAnsi"/>
          <w:szCs w:val="20"/>
        </w:rPr>
        <w:t xml:space="preserve"> impacted were minorities, 68 percent were drug cases, and 61 percent of all </w:t>
      </w:r>
      <w:r w:rsidR="002473CF" w:rsidRPr="00D920C9">
        <w:rPr>
          <w:rFonts w:asciiTheme="minorHAnsi" w:hAnsiTheme="minorHAnsi"/>
          <w:szCs w:val="20"/>
        </w:rPr>
        <w:t>individuals</w:t>
      </w:r>
      <w:r w:rsidRPr="00D920C9">
        <w:rPr>
          <w:rFonts w:asciiTheme="minorHAnsi" w:hAnsiTheme="minorHAnsi"/>
          <w:szCs w:val="20"/>
        </w:rPr>
        <w:t xml:space="preserve"> impacted by SWAT raids in drug cases were </w:t>
      </w:r>
      <w:r w:rsidR="007940E7" w:rsidRPr="00D920C9">
        <w:rPr>
          <w:rFonts w:asciiTheme="minorHAnsi" w:hAnsiTheme="minorHAnsi"/>
          <w:szCs w:val="20"/>
        </w:rPr>
        <w:t>members of historically discriminated groups</w:t>
      </w:r>
      <w:r w:rsidRPr="00D920C9">
        <w:rPr>
          <w:rFonts w:asciiTheme="minorHAnsi" w:hAnsiTheme="minorHAnsi"/>
          <w:szCs w:val="20"/>
        </w:rPr>
        <w:t>.</w:t>
      </w:r>
      <w:r w:rsidRPr="00D920C9">
        <w:rPr>
          <w:rFonts w:asciiTheme="minorHAnsi" w:hAnsiTheme="minorHAnsi"/>
          <w:vertAlign w:val="superscript"/>
        </w:rPr>
        <w:footnoteReference w:id="163"/>
      </w:r>
      <w:r w:rsidRPr="00D920C9">
        <w:rPr>
          <w:rFonts w:asciiTheme="minorHAnsi" w:hAnsiTheme="minorHAnsi"/>
          <w:szCs w:val="20"/>
        </w:rPr>
        <w:t xml:space="preserve"> Additionally, 79 percent of incidents the ACLU studied involved the use of a SWAT team to search a person’s home, and more than 60 percent of the cases involved searches for drugs.</w:t>
      </w:r>
      <w:r w:rsidRPr="00D920C9">
        <w:rPr>
          <w:rFonts w:asciiTheme="minorHAnsi" w:hAnsiTheme="minorHAnsi"/>
          <w:vertAlign w:val="superscript"/>
        </w:rPr>
        <w:footnoteReference w:id="164"/>
      </w:r>
      <w:r w:rsidRPr="00D920C9">
        <w:rPr>
          <w:rFonts w:asciiTheme="minorHAnsi" w:hAnsiTheme="minorHAnsi"/>
          <w:szCs w:val="20"/>
        </w:rPr>
        <w:t xml:space="preserve"> According to the ACLU, </w:t>
      </w:r>
      <w:r w:rsidR="00931537" w:rsidRPr="00D920C9">
        <w:rPr>
          <w:rFonts w:asciiTheme="minorHAnsi" w:hAnsiTheme="minorHAnsi"/>
          <w:szCs w:val="20"/>
        </w:rPr>
        <w:t>U.S.</w:t>
      </w:r>
      <w:r w:rsidRPr="00D920C9">
        <w:rPr>
          <w:rFonts w:asciiTheme="minorHAnsi" w:hAnsiTheme="minorHAnsi"/>
          <w:szCs w:val="20"/>
        </w:rPr>
        <w:t xml:space="preserve"> policing has become unnecessarily and dangerously militarized, and in </w:t>
      </w:r>
      <w:r w:rsidRPr="00D920C9">
        <w:rPr>
          <w:rFonts w:asciiTheme="minorHAnsi" w:hAnsiTheme="minorHAnsi"/>
          <w:szCs w:val="20"/>
        </w:rPr>
        <w:lastRenderedPageBreak/>
        <w:t>municipalities with greater amounts of military equipment, police officers acted more aggressively and adopted a “warrior” mindset, rather than seeing themselves as protectors of a community.</w:t>
      </w:r>
      <w:r w:rsidRPr="00D920C9">
        <w:rPr>
          <w:rFonts w:asciiTheme="minorHAnsi" w:hAnsiTheme="minorHAnsi"/>
          <w:szCs w:val="20"/>
          <w:vertAlign w:val="superscript"/>
        </w:rPr>
        <w:footnoteReference w:id="165"/>
      </w:r>
      <w:bookmarkEnd w:id="68"/>
    </w:p>
    <w:p w14:paraId="42FD9677" w14:textId="77777777" w:rsidR="003A4D27" w:rsidRPr="00D920C9" w:rsidRDefault="00734F2C" w:rsidP="002C64F8">
      <w:pPr>
        <w:pStyle w:val="ListParagraph"/>
        <w:numPr>
          <w:ilvl w:val="0"/>
          <w:numId w:val="9"/>
        </w:numPr>
        <w:spacing w:after="240" w:line="240" w:lineRule="auto"/>
        <w:ind w:left="547" w:hanging="547"/>
        <w:contextualSpacing w:val="0"/>
        <w:jc w:val="both"/>
        <w:rPr>
          <w:rFonts w:asciiTheme="minorHAnsi" w:hAnsiTheme="minorHAnsi"/>
          <w:szCs w:val="20"/>
        </w:rPr>
      </w:pPr>
      <w:bookmarkStart w:id="70" w:name="_Ref504669959"/>
      <w:r w:rsidRPr="00D920C9">
        <w:rPr>
          <w:rFonts w:asciiTheme="minorHAnsi" w:hAnsiTheme="minorHAnsi"/>
          <w:szCs w:val="20"/>
        </w:rPr>
        <w:t>On May 18, 2015, President Barack Obama announced new restrictions on the transfer of military equipment to local police departments, in light of concerns about the policing of protests in Ferguson, Missouri and Baltimore, Maryland, among others.</w:t>
      </w:r>
      <w:r w:rsidRPr="00D920C9">
        <w:rPr>
          <w:rFonts w:asciiTheme="minorHAnsi" w:hAnsiTheme="minorHAnsi"/>
          <w:vertAlign w:val="superscript"/>
        </w:rPr>
        <w:footnoteReference w:id="166"/>
      </w:r>
      <w:r w:rsidRPr="00D920C9">
        <w:rPr>
          <w:rFonts w:asciiTheme="minorHAnsi" w:hAnsiTheme="minorHAnsi"/>
          <w:szCs w:val="20"/>
        </w:rPr>
        <w:t xml:space="preserve"> </w:t>
      </w:r>
      <w:r w:rsidR="00D21101" w:rsidRPr="00D920C9">
        <w:rPr>
          <w:rFonts w:asciiTheme="minorHAnsi" w:hAnsiTheme="minorHAnsi"/>
          <w:szCs w:val="20"/>
        </w:rPr>
        <w:t>This Executive Order (EO</w:t>
      </w:r>
      <w:r w:rsidRPr="00D920C9">
        <w:rPr>
          <w:rFonts w:asciiTheme="minorHAnsi" w:hAnsiTheme="minorHAnsi"/>
          <w:szCs w:val="20"/>
        </w:rPr>
        <w:t xml:space="preserve"> 13688</w:t>
      </w:r>
      <w:r w:rsidR="00D21101" w:rsidRPr="00D920C9">
        <w:rPr>
          <w:rFonts w:asciiTheme="minorHAnsi" w:hAnsiTheme="minorHAnsi"/>
          <w:szCs w:val="20"/>
        </w:rPr>
        <w:t>)</w:t>
      </w:r>
      <w:r w:rsidRPr="00D920C9">
        <w:rPr>
          <w:rFonts w:asciiTheme="minorHAnsi" w:hAnsiTheme="minorHAnsi"/>
          <w:szCs w:val="20"/>
        </w:rPr>
        <w:t xml:space="preserve"> created a federal agency working group </w:t>
      </w:r>
      <w:r w:rsidR="002473CF" w:rsidRPr="00D920C9">
        <w:rPr>
          <w:rFonts w:asciiTheme="minorHAnsi" w:hAnsiTheme="minorHAnsi"/>
          <w:szCs w:val="20"/>
        </w:rPr>
        <w:t>to</w:t>
      </w:r>
      <w:r w:rsidRPr="00D920C9">
        <w:rPr>
          <w:rFonts w:asciiTheme="minorHAnsi" w:hAnsiTheme="minorHAnsi"/>
          <w:szCs w:val="20"/>
        </w:rPr>
        <w:t xml:space="preserve"> overs</w:t>
      </w:r>
      <w:r w:rsidR="002473CF" w:rsidRPr="00D920C9">
        <w:rPr>
          <w:rFonts w:asciiTheme="minorHAnsi" w:hAnsiTheme="minorHAnsi"/>
          <w:szCs w:val="20"/>
        </w:rPr>
        <w:t>ee</w:t>
      </w:r>
      <w:r w:rsidRPr="00D920C9">
        <w:rPr>
          <w:rFonts w:asciiTheme="minorHAnsi" w:hAnsiTheme="minorHAnsi"/>
          <w:szCs w:val="20"/>
        </w:rPr>
        <w:t xml:space="preserve"> and </w:t>
      </w:r>
      <w:r w:rsidR="002473CF" w:rsidRPr="00D920C9">
        <w:rPr>
          <w:rFonts w:asciiTheme="minorHAnsi" w:hAnsiTheme="minorHAnsi"/>
          <w:szCs w:val="20"/>
        </w:rPr>
        <w:t xml:space="preserve">implement </w:t>
      </w:r>
      <w:r w:rsidRPr="00D920C9">
        <w:rPr>
          <w:rFonts w:asciiTheme="minorHAnsi" w:hAnsiTheme="minorHAnsi"/>
          <w:szCs w:val="20"/>
        </w:rPr>
        <w:t>protocols around military weapons provided to police by the federal government.</w:t>
      </w:r>
      <w:r w:rsidRPr="00D920C9">
        <w:rPr>
          <w:rFonts w:asciiTheme="minorHAnsi" w:hAnsiTheme="minorHAnsi"/>
          <w:vertAlign w:val="superscript"/>
        </w:rPr>
        <w:footnoteReference w:id="167"/>
      </w:r>
      <w:r w:rsidRPr="00D920C9">
        <w:rPr>
          <w:rFonts w:asciiTheme="minorHAnsi" w:hAnsiTheme="minorHAnsi"/>
          <w:szCs w:val="20"/>
        </w:rPr>
        <w:t xml:space="preserve"> </w:t>
      </w:r>
      <w:r w:rsidR="00691203" w:rsidRPr="00D920C9">
        <w:rPr>
          <w:rFonts w:asciiTheme="minorHAnsi" w:hAnsiTheme="minorHAnsi"/>
          <w:szCs w:val="20"/>
        </w:rPr>
        <w:t>At that time, the move was greeted with optimism.</w:t>
      </w:r>
      <w:r w:rsidR="00691203" w:rsidRPr="00D920C9">
        <w:rPr>
          <w:rFonts w:asciiTheme="minorHAnsi" w:hAnsiTheme="minorHAnsi"/>
          <w:vertAlign w:val="superscript"/>
        </w:rPr>
        <w:footnoteReference w:id="168"/>
      </w:r>
      <w:r w:rsidR="00691203" w:rsidRPr="00D920C9">
        <w:rPr>
          <w:rFonts w:asciiTheme="minorHAnsi" w:hAnsiTheme="minorHAnsi"/>
          <w:szCs w:val="20"/>
        </w:rPr>
        <w:t xml:space="preserve"> </w:t>
      </w:r>
      <w:r w:rsidR="00D70F37" w:rsidRPr="00D920C9">
        <w:rPr>
          <w:rFonts w:asciiTheme="minorHAnsi" w:hAnsiTheme="minorHAnsi"/>
          <w:szCs w:val="20"/>
        </w:rPr>
        <w:t>On August 28, 2017, President Donald Trump rescinded EO</w:t>
      </w:r>
      <w:r w:rsidR="00D21101" w:rsidRPr="00D920C9">
        <w:rPr>
          <w:rFonts w:asciiTheme="minorHAnsi" w:hAnsiTheme="minorHAnsi"/>
          <w:szCs w:val="20"/>
        </w:rPr>
        <w:t xml:space="preserve"> 13688, removing those restrictions on the transfer and oversight of military equipment.</w:t>
      </w:r>
      <w:r w:rsidR="00D70F37" w:rsidRPr="00D920C9">
        <w:rPr>
          <w:rFonts w:asciiTheme="minorHAnsi" w:hAnsiTheme="minorHAnsi"/>
          <w:vertAlign w:val="superscript"/>
        </w:rPr>
        <w:footnoteReference w:id="169"/>
      </w:r>
      <w:bookmarkEnd w:id="70"/>
      <w:r w:rsidR="00D70F37" w:rsidRPr="00D920C9">
        <w:rPr>
          <w:rFonts w:asciiTheme="minorHAnsi" w:hAnsiTheme="minorHAnsi"/>
          <w:szCs w:val="20"/>
        </w:rPr>
        <w:t xml:space="preserve"> </w:t>
      </w:r>
    </w:p>
    <w:p w14:paraId="1582298D" w14:textId="77777777" w:rsidR="001320DC" w:rsidRPr="00D920C9" w:rsidRDefault="003A4D27" w:rsidP="002C64F8">
      <w:pPr>
        <w:pStyle w:val="ListParagraph"/>
        <w:numPr>
          <w:ilvl w:val="0"/>
          <w:numId w:val="9"/>
        </w:numPr>
        <w:spacing w:after="240" w:line="240" w:lineRule="auto"/>
        <w:ind w:left="547" w:hanging="547"/>
        <w:contextualSpacing w:val="0"/>
        <w:jc w:val="both"/>
        <w:rPr>
          <w:rFonts w:asciiTheme="minorHAnsi" w:hAnsiTheme="minorHAnsi"/>
          <w:szCs w:val="20"/>
        </w:rPr>
      </w:pPr>
      <w:bookmarkStart w:id="71" w:name="_Ref507153342"/>
      <w:r w:rsidRPr="00D920C9">
        <w:rPr>
          <w:rFonts w:asciiTheme="minorHAnsi" w:hAnsiTheme="minorHAnsi"/>
          <w:szCs w:val="20"/>
        </w:rPr>
        <w:t xml:space="preserve">In 2015, the Commission noted that </w:t>
      </w:r>
      <w:r w:rsidR="00D24FA7" w:rsidRPr="00D920C9">
        <w:rPr>
          <w:rFonts w:asciiTheme="minorHAnsi" w:hAnsiTheme="minorHAnsi"/>
          <w:szCs w:val="20"/>
        </w:rPr>
        <w:t>a principal concern</w:t>
      </w:r>
      <w:r w:rsidRPr="00D920C9">
        <w:rPr>
          <w:rFonts w:asciiTheme="minorHAnsi" w:hAnsiTheme="minorHAnsi"/>
          <w:szCs w:val="20"/>
        </w:rPr>
        <w:t xml:space="preserve"> </w:t>
      </w:r>
      <w:r w:rsidR="00D24FA7" w:rsidRPr="00D920C9">
        <w:rPr>
          <w:rFonts w:asciiTheme="minorHAnsi" w:hAnsiTheme="minorHAnsi"/>
          <w:szCs w:val="20"/>
        </w:rPr>
        <w:t xml:space="preserve">regarding </w:t>
      </w:r>
      <w:r w:rsidRPr="00D920C9">
        <w:rPr>
          <w:rFonts w:asciiTheme="minorHAnsi" w:hAnsiTheme="minorHAnsi"/>
          <w:szCs w:val="20"/>
        </w:rPr>
        <w:t xml:space="preserve">the excessive or arbitrary use of force by law enforcement in the </w:t>
      </w:r>
      <w:r w:rsidR="00904A46" w:rsidRPr="00D920C9">
        <w:rPr>
          <w:rFonts w:asciiTheme="minorHAnsi" w:hAnsiTheme="minorHAnsi"/>
          <w:szCs w:val="20"/>
        </w:rPr>
        <w:t>U.S.</w:t>
      </w:r>
      <w:r w:rsidRPr="00D920C9">
        <w:rPr>
          <w:rFonts w:asciiTheme="minorHAnsi" w:hAnsiTheme="minorHAnsi"/>
          <w:szCs w:val="20"/>
        </w:rPr>
        <w:t xml:space="preserve"> </w:t>
      </w:r>
      <w:r w:rsidR="00D24FA7" w:rsidRPr="00D920C9">
        <w:rPr>
          <w:rFonts w:asciiTheme="minorHAnsi" w:hAnsiTheme="minorHAnsi"/>
          <w:szCs w:val="20"/>
        </w:rPr>
        <w:t>is</w:t>
      </w:r>
      <w:r w:rsidRPr="00D920C9">
        <w:rPr>
          <w:rFonts w:asciiTheme="minorHAnsi" w:hAnsiTheme="minorHAnsi"/>
          <w:szCs w:val="20"/>
        </w:rPr>
        <w:t xml:space="preserve"> the “militarization” of p</w:t>
      </w:r>
      <w:r w:rsidR="001D0018" w:rsidRPr="00D920C9">
        <w:rPr>
          <w:rFonts w:asciiTheme="minorHAnsi" w:hAnsiTheme="minorHAnsi"/>
          <w:szCs w:val="20"/>
        </w:rPr>
        <w:t xml:space="preserve">olice in terms of the equipment, training, </w:t>
      </w:r>
      <w:r w:rsidRPr="00D920C9">
        <w:rPr>
          <w:rFonts w:asciiTheme="minorHAnsi" w:hAnsiTheme="minorHAnsi"/>
          <w:szCs w:val="20"/>
        </w:rPr>
        <w:t xml:space="preserve">protocols </w:t>
      </w:r>
      <w:r w:rsidR="001D0018" w:rsidRPr="00D920C9">
        <w:rPr>
          <w:rFonts w:asciiTheme="minorHAnsi" w:hAnsiTheme="minorHAnsi"/>
          <w:szCs w:val="20"/>
        </w:rPr>
        <w:t xml:space="preserve">used, </w:t>
      </w:r>
      <w:r w:rsidR="00D24FA7" w:rsidRPr="00D920C9">
        <w:rPr>
          <w:rFonts w:asciiTheme="minorHAnsi" w:hAnsiTheme="minorHAnsi"/>
          <w:szCs w:val="20"/>
        </w:rPr>
        <w:t>and</w:t>
      </w:r>
      <w:r w:rsidRPr="00D920C9">
        <w:rPr>
          <w:rFonts w:asciiTheme="minorHAnsi" w:hAnsiTheme="minorHAnsi"/>
          <w:szCs w:val="20"/>
        </w:rPr>
        <w:t xml:space="preserve"> the difficulty </w:t>
      </w:r>
      <w:r w:rsidR="001D0018" w:rsidRPr="00D920C9">
        <w:rPr>
          <w:rFonts w:asciiTheme="minorHAnsi" w:hAnsiTheme="minorHAnsi"/>
          <w:szCs w:val="20"/>
        </w:rPr>
        <w:t>of</w:t>
      </w:r>
      <w:r w:rsidRPr="00D920C9">
        <w:rPr>
          <w:rFonts w:asciiTheme="minorHAnsi" w:hAnsiTheme="minorHAnsi"/>
          <w:szCs w:val="20"/>
        </w:rPr>
        <w:t xml:space="preserve"> prosecuting and establishing criminal responsibility for police officers guilty of abuse or excessive use of force.</w:t>
      </w:r>
      <w:r w:rsidRPr="00D920C9">
        <w:rPr>
          <w:rFonts w:asciiTheme="minorHAnsi" w:hAnsiTheme="minorHAnsi"/>
          <w:szCs w:val="20"/>
          <w:vertAlign w:val="superscript"/>
        </w:rPr>
        <w:footnoteReference w:id="170"/>
      </w:r>
      <w:r w:rsidRPr="00D920C9">
        <w:rPr>
          <w:rFonts w:asciiTheme="minorHAnsi" w:hAnsiTheme="minorHAnsi"/>
          <w:szCs w:val="20"/>
        </w:rPr>
        <w:t xml:space="preserve"> </w:t>
      </w:r>
      <w:r w:rsidR="001D0018" w:rsidRPr="00D920C9">
        <w:rPr>
          <w:rFonts w:asciiTheme="minorHAnsi" w:hAnsiTheme="minorHAnsi"/>
          <w:szCs w:val="20"/>
        </w:rPr>
        <w:t>The Commission notes with concern reports that w</w:t>
      </w:r>
      <w:r w:rsidRPr="00D920C9">
        <w:rPr>
          <w:rFonts w:asciiTheme="minorHAnsi" w:hAnsiTheme="minorHAnsi"/>
          <w:szCs w:val="20"/>
        </w:rPr>
        <w:t xml:space="preserve">ith the revocation of </w:t>
      </w:r>
      <w:r w:rsidR="001F57ED" w:rsidRPr="00D920C9">
        <w:rPr>
          <w:rFonts w:asciiTheme="minorHAnsi" w:hAnsiTheme="minorHAnsi"/>
          <w:szCs w:val="20"/>
        </w:rPr>
        <w:t>EO</w:t>
      </w:r>
      <w:r w:rsidRPr="00D920C9">
        <w:rPr>
          <w:rFonts w:asciiTheme="minorHAnsi" w:hAnsiTheme="minorHAnsi"/>
          <w:szCs w:val="20"/>
        </w:rPr>
        <w:t xml:space="preserve"> 13688, police departments will </w:t>
      </w:r>
      <w:r w:rsidR="001D0018" w:rsidRPr="00D920C9">
        <w:rPr>
          <w:rFonts w:asciiTheme="minorHAnsi" w:hAnsiTheme="minorHAnsi"/>
          <w:szCs w:val="20"/>
        </w:rPr>
        <w:t xml:space="preserve">once again </w:t>
      </w:r>
      <w:r w:rsidRPr="00D920C9">
        <w:rPr>
          <w:rFonts w:asciiTheme="minorHAnsi" w:hAnsiTheme="minorHAnsi"/>
          <w:szCs w:val="20"/>
        </w:rPr>
        <w:t>receive armed vehicles, high-caliber weapons and ammunition, grenades, camouflage uniform</w:t>
      </w:r>
      <w:r w:rsidR="001D0018" w:rsidRPr="00D920C9">
        <w:rPr>
          <w:rFonts w:asciiTheme="minorHAnsi" w:hAnsiTheme="minorHAnsi"/>
          <w:szCs w:val="20"/>
        </w:rPr>
        <w:t>s, and other military equipment,</w:t>
      </w:r>
      <w:r w:rsidRPr="00D920C9">
        <w:rPr>
          <w:rFonts w:asciiTheme="minorHAnsi" w:hAnsiTheme="minorHAnsi"/>
          <w:szCs w:val="20"/>
          <w:vertAlign w:val="superscript"/>
        </w:rPr>
        <w:footnoteReference w:id="171"/>
      </w:r>
      <w:r w:rsidR="001D0018" w:rsidRPr="00D920C9">
        <w:rPr>
          <w:rFonts w:asciiTheme="minorHAnsi" w:hAnsiTheme="minorHAnsi"/>
          <w:szCs w:val="20"/>
        </w:rPr>
        <w:t xml:space="preserve"> raising concerns about a possible increase in the excessive use of force and policing of protest situations that </w:t>
      </w:r>
      <w:r w:rsidR="00D24FA7" w:rsidRPr="00D920C9">
        <w:rPr>
          <w:rFonts w:asciiTheme="minorHAnsi" w:hAnsiTheme="minorHAnsi"/>
          <w:szCs w:val="20"/>
        </w:rPr>
        <w:t>does not comply</w:t>
      </w:r>
      <w:r w:rsidR="001D0018" w:rsidRPr="00D920C9">
        <w:rPr>
          <w:rFonts w:asciiTheme="minorHAnsi" w:hAnsiTheme="minorHAnsi"/>
          <w:szCs w:val="20"/>
        </w:rPr>
        <w:t xml:space="preserve"> with international law.</w:t>
      </w:r>
      <w:r w:rsidR="001D0018" w:rsidRPr="00D920C9">
        <w:rPr>
          <w:rFonts w:asciiTheme="minorHAnsi" w:hAnsiTheme="minorHAnsi"/>
          <w:vertAlign w:val="superscript"/>
        </w:rPr>
        <w:footnoteReference w:id="172"/>
      </w:r>
      <w:r w:rsidRPr="00D920C9">
        <w:rPr>
          <w:rFonts w:asciiTheme="minorHAnsi" w:hAnsiTheme="minorHAnsi"/>
          <w:szCs w:val="20"/>
        </w:rPr>
        <w:t xml:space="preserve"> This is particularly concerning in light of</w:t>
      </w:r>
      <w:r w:rsidR="00D21101" w:rsidRPr="00D920C9">
        <w:rPr>
          <w:rFonts w:asciiTheme="minorHAnsi" w:hAnsiTheme="minorHAnsi"/>
          <w:szCs w:val="20"/>
        </w:rPr>
        <w:t xml:space="preserve"> information received by the Commission</w:t>
      </w:r>
      <w:r w:rsidRPr="00D920C9">
        <w:rPr>
          <w:rFonts w:asciiTheme="minorHAnsi" w:hAnsiTheme="minorHAnsi"/>
          <w:szCs w:val="20"/>
        </w:rPr>
        <w:t xml:space="preserve"> that</w:t>
      </w:r>
      <w:r w:rsidR="00D21101" w:rsidRPr="00D920C9">
        <w:rPr>
          <w:rFonts w:asciiTheme="minorHAnsi" w:hAnsiTheme="minorHAnsi"/>
          <w:szCs w:val="20"/>
        </w:rPr>
        <w:t xml:space="preserve"> the</w:t>
      </w:r>
      <w:r w:rsidR="001320DC" w:rsidRPr="00D920C9">
        <w:rPr>
          <w:rFonts w:asciiTheme="minorHAnsi" w:hAnsiTheme="minorHAnsi"/>
          <w:szCs w:val="20"/>
        </w:rPr>
        <w:t xml:space="preserve"> Government Accountability Office (GAO) </w:t>
      </w:r>
      <w:r w:rsidR="00D21101" w:rsidRPr="00D920C9">
        <w:rPr>
          <w:rFonts w:asciiTheme="minorHAnsi" w:hAnsiTheme="minorHAnsi"/>
          <w:szCs w:val="20"/>
        </w:rPr>
        <w:t xml:space="preserve">recently </w:t>
      </w:r>
      <w:r w:rsidR="001D0018" w:rsidRPr="00D920C9">
        <w:rPr>
          <w:rFonts w:asciiTheme="minorHAnsi" w:hAnsiTheme="minorHAnsi"/>
          <w:szCs w:val="20"/>
        </w:rPr>
        <w:t>concluded</w:t>
      </w:r>
      <w:r w:rsidR="001320DC" w:rsidRPr="00D920C9">
        <w:rPr>
          <w:rFonts w:asciiTheme="minorHAnsi" w:hAnsiTheme="minorHAnsi"/>
          <w:szCs w:val="20"/>
        </w:rPr>
        <w:t xml:space="preserve"> that the Pentagon does not verify the quantity of military weapons transferred through</w:t>
      </w:r>
      <w:r w:rsidR="004E2C08" w:rsidRPr="00D920C9">
        <w:rPr>
          <w:rFonts w:asciiTheme="minorHAnsi" w:hAnsiTheme="minorHAnsi"/>
          <w:szCs w:val="20"/>
        </w:rPr>
        <w:t xml:space="preserve"> the</w:t>
      </w:r>
      <w:r w:rsidR="001320DC" w:rsidRPr="00D920C9">
        <w:rPr>
          <w:rFonts w:asciiTheme="minorHAnsi" w:hAnsiTheme="minorHAnsi"/>
          <w:szCs w:val="20"/>
        </w:rPr>
        <w:t xml:space="preserve"> 1033</w:t>
      </w:r>
      <w:r w:rsidR="004E2C08" w:rsidRPr="00D920C9">
        <w:rPr>
          <w:rFonts w:asciiTheme="minorHAnsi" w:hAnsiTheme="minorHAnsi"/>
          <w:szCs w:val="20"/>
        </w:rPr>
        <w:t xml:space="preserve"> program, and that the </w:t>
      </w:r>
      <w:r w:rsidR="00D24FA7" w:rsidRPr="00D920C9">
        <w:rPr>
          <w:rFonts w:asciiTheme="minorHAnsi" w:hAnsiTheme="minorHAnsi"/>
          <w:szCs w:val="20"/>
        </w:rPr>
        <w:t>DOD</w:t>
      </w:r>
      <w:r w:rsidR="001320DC" w:rsidRPr="00D920C9">
        <w:rPr>
          <w:rFonts w:asciiTheme="minorHAnsi" w:hAnsiTheme="minorHAnsi"/>
          <w:szCs w:val="20"/>
        </w:rPr>
        <w:t xml:space="preserve"> “lacks reasonable assurance that it has the ability to prevent, detect, and respond to potential fraud and minimize associated security risks.”</w:t>
      </w:r>
      <w:r w:rsidR="00BD2759" w:rsidRPr="00D920C9">
        <w:rPr>
          <w:rStyle w:val="FootnoteReference"/>
          <w:rFonts w:asciiTheme="minorHAnsi" w:hAnsiTheme="minorHAnsi"/>
          <w:szCs w:val="20"/>
        </w:rPr>
        <w:footnoteReference w:id="173"/>
      </w:r>
      <w:bookmarkEnd w:id="71"/>
      <w:r w:rsidR="001320DC" w:rsidRPr="00D920C9">
        <w:rPr>
          <w:rFonts w:asciiTheme="minorHAnsi" w:hAnsiTheme="minorHAnsi"/>
          <w:szCs w:val="20"/>
        </w:rPr>
        <w:t xml:space="preserve"> </w:t>
      </w:r>
      <w:r w:rsidR="001F57ED" w:rsidRPr="00D920C9">
        <w:rPr>
          <w:rFonts w:asciiTheme="minorHAnsi" w:hAnsiTheme="minorHAnsi"/>
          <w:szCs w:val="20"/>
        </w:rPr>
        <w:t xml:space="preserve">The Commission calls on the State to take the </w:t>
      </w:r>
      <w:r w:rsidR="001F57ED" w:rsidRPr="00D920C9">
        <w:rPr>
          <w:rFonts w:asciiTheme="minorHAnsi" w:hAnsiTheme="minorHAnsi"/>
          <w:szCs w:val="20"/>
        </w:rPr>
        <w:lastRenderedPageBreak/>
        <w:t>necessary steps to halt and reverse the militarization of police departments, as well as to further study and take corrective action in light of the racially disproportionate effect of militarized policing on African Americans and other historically marginalized groups.</w:t>
      </w:r>
    </w:p>
    <w:p w14:paraId="3D80C34A" w14:textId="5284D888" w:rsidR="00B4412C" w:rsidRPr="00D920C9" w:rsidRDefault="00B4412C" w:rsidP="003D7958">
      <w:pPr>
        <w:pStyle w:val="Heading4"/>
        <w:ind w:left="540" w:hanging="540"/>
      </w:pPr>
      <w:bookmarkStart w:id="72" w:name="_Ref507664995"/>
      <w:bookmarkStart w:id="73" w:name="_Ref507665005"/>
      <w:bookmarkStart w:id="74" w:name="_Toc511837812"/>
      <w:bookmarkStart w:id="75" w:name="_Toc511902985"/>
      <w:bookmarkStart w:id="76" w:name="_Toc517687915"/>
      <w:r w:rsidRPr="00D920C9">
        <w:t xml:space="preserve">Police </w:t>
      </w:r>
      <w:r w:rsidR="00F233D9" w:rsidRPr="00D920C9">
        <w:t xml:space="preserve">Use </w:t>
      </w:r>
      <w:r w:rsidRPr="00D920C9">
        <w:t xml:space="preserve">of </w:t>
      </w:r>
      <w:r w:rsidR="001D6074" w:rsidRPr="00D920C9">
        <w:t>Excessive Force</w:t>
      </w:r>
      <w:bookmarkEnd w:id="72"/>
      <w:bookmarkEnd w:id="73"/>
      <w:bookmarkEnd w:id="74"/>
      <w:bookmarkEnd w:id="75"/>
      <w:bookmarkEnd w:id="76"/>
    </w:p>
    <w:p w14:paraId="0FD0C926" w14:textId="77777777" w:rsidR="00B4412C" w:rsidRPr="00D920C9" w:rsidRDefault="002903D8" w:rsidP="002C64F8">
      <w:pPr>
        <w:pStyle w:val="ListParagraph"/>
        <w:numPr>
          <w:ilvl w:val="0"/>
          <w:numId w:val="9"/>
        </w:numPr>
        <w:spacing w:after="240" w:line="240" w:lineRule="auto"/>
        <w:ind w:left="547" w:hanging="547"/>
        <w:contextualSpacing w:val="0"/>
        <w:jc w:val="both"/>
        <w:rPr>
          <w:rFonts w:asciiTheme="minorHAnsi" w:hAnsiTheme="minorHAnsi"/>
          <w:szCs w:val="20"/>
        </w:rPr>
      </w:pPr>
      <w:r w:rsidRPr="00D920C9">
        <w:rPr>
          <w:rFonts w:asciiTheme="minorHAnsi" w:hAnsiTheme="minorHAnsi"/>
          <w:szCs w:val="20"/>
        </w:rPr>
        <w:t>In recent years, t</w:t>
      </w:r>
      <w:r w:rsidR="00B4412C" w:rsidRPr="00D920C9">
        <w:rPr>
          <w:rFonts w:asciiTheme="minorHAnsi" w:hAnsiTheme="minorHAnsi"/>
          <w:szCs w:val="20"/>
        </w:rPr>
        <w:t>he Commission,</w:t>
      </w:r>
      <w:r w:rsidR="00B4412C" w:rsidRPr="00D920C9">
        <w:rPr>
          <w:rStyle w:val="FootnoteReference"/>
          <w:rFonts w:asciiTheme="minorHAnsi" w:hAnsiTheme="minorHAnsi"/>
          <w:szCs w:val="20"/>
        </w:rPr>
        <w:footnoteReference w:id="174"/>
      </w:r>
      <w:r w:rsidR="00B4412C" w:rsidRPr="00D920C9">
        <w:rPr>
          <w:rFonts w:asciiTheme="minorHAnsi" w:hAnsiTheme="minorHAnsi"/>
          <w:szCs w:val="20"/>
        </w:rPr>
        <w:t xml:space="preserve"> </w:t>
      </w:r>
      <w:r w:rsidR="003A4D27" w:rsidRPr="00D920C9">
        <w:rPr>
          <w:rFonts w:asciiTheme="minorHAnsi" w:hAnsiTheme="minorHAnsi"/>
          <w:szCs w:val="20"/>
        </w:rPr>
        <w:t>like</w:t>
      </w:r>
      <w:r w:rsidR="00B4412C" w:rsidRPr="00D920C9">
        <w:rPr>
          <w:rFonts w:asciiTheme="minorHAnsi" w:hAnsiTheme="minorHAnsi"/>
          <w:szCs w:val="20"/>
        </w:rPr>
        <w:t xml:space="preserve"> other human rights bodies,</w:t>
      </w:r>
      <w:r w:rsidR="00B4412C" w:rsidRPr="00D920C9">
        <w:rPr>
          <w:rStyle w:val="FootnoteReference"/>
          <w:rFonts w:asciiTheme="minorHAnsi" w:hAnsiTheme="minorHAnsi"/>
          <w:szCs w:val="20"/>
        </w:rPr>
        <w:footnoteReference w:id="175"/>
      </w:r>
      <w:r w:rsidR="00B4412C" w:rsidRPr="00D920C9">
        <w:rPr>
          <w:rFonts w:asciiTheme="minorHAnsi" w:hAnsiTheme="minorHAnsi"/>
          <w:szCs w:val="20"/>
        </w:rPr>
        <w:t xml:space="preserve"> has </w:t>
      </w:r>
      <w:r w:rsidRPr="00D920C9">
        <w:rPr>
          <w:rFonts w:asciiTheme="minorHAnsi" w:hAnsiTheme="minorHAnsi"/>
          <w:szCs w:val="20"/>
        </w:rPr>
        <w:t xml:space="preserve">consistently </w:t>
      </w:r>
      <w:r w:rsidR="00B4412C" w:rsidRPr="00D920C9">
        <w:rPr>
          <w:rFonts w:asciiTheme="minorHAnsi" w:hAnsiTheme="minorHAnsi"/>
          <w:szCs w:val="20"/>
        </w:rPr>
        <w:t>registered its alarm at police brutality and excessive use of force by law enforcement officials against African</w:t>
      </w:r>
      <w:r w:rsidR="0030356C" w:rsidRPr="00D920C9">
        <w:rPr>
          <w:rFonts w:asciiTheme="minorHAnsi" w:hAnsiTheme="minorHAnsi"/>
          <w:szCs w:val="20"/>
        </w:rPr>
        <w:t xml:space="preserve"> </w:t>
      </w:r>
      <w:r w:rsidR="00B4412C" w:rsidRPr="00D920C9">
        <w:rPr>
          <w:rFonts w:asciiTheme="minorHAnsi" w:hAnsiTheme="minorHAnsi"/>
          <w:szCs w:val="20"/>
        </w:rPr>
        <w:t xml:space="preserve">Americans </w:t>
      </w:r>
      <w:r w:rsidR="00C576B4" w:rsidRPr="00D920C9">
        <w:rPr>
          <w:rFonts w:asciiTheme="minorHAnsi" w:hAnsiTheme="minorHAnsi"/>
          <w:szCs w:val="20"/>
        </w:rPr>
        <w:t>in the U</w:t>
      </w:r>
      <w:r w:rsidR="001F57ED" w:rsidRPr="00D920C9">
        <w:rPr>
          <w:rFonts w:asciiTheme="minorHAnsi" w:hAnsiTheme="minorHAnsi"/>
          <w:szCs w:val="20"/>
        </w:rPr>
        <w:t>.</w:t>
      </w:r>
      <w:r w:rsidR="00C576B4" w:rsidRPr="00D920C9">
        <w:rPr>
          <w:rFonts w:asciiTheme="minorHAnsi" w:hAnsiTheme="minorHAnsi"/>
          <w:szCs w:val="20"/>
        </w:rPr>
        <w:t>S</w:t>
      </w:r>
      <w:r w:rsidR="001F57ED" w:rsidRPr="00D920C9">
        <w:rPr>
          <w:rFonts w:asciiTheme="minorHAnsi" w:hAnsiTheme="minorHAnsi"/>
          <w:szCs w:val="20"/>
        </w:rPr>
        <w:t>.</w:t>
      </w:r>
      <w:r w:rsidR="00B4412C" w:rsidRPr="00D920C9">
        <w:rPr>
          <w:rFonts w:asciiTheme="minorHAnsi" w:hAnsiTheme="minorHAnsi"/>
          <w:szCs w:val="20"/>
        </w:rPr>
        <w:t xml:space="preserve">, and has called on the State to ensure that these events are prevented, investigated, prosecuted, and </w:t>
      </w:r>
      <w:r w:rsidRPr="00D920C9">
        <w:rPr>
          <w:rFonts w:asciiTheme="minorHAnsi" w:hAnsiTheme="minorHAnsi"/>
          <w:szCs w:val="20"/>
        </w:rPr>
        <w:t>punished.</w:t>
      </w:r>
      <w:r w:rsidR="001D0018" w:rsidRPr="00D920C9">
        <w:rPr>
          <w:rFonts w:asciiTheme="minorHAnsi" w:hAnsiTheme="minorHAnsi"/>
          <w:vertAlign w:val="superscript"/>
        </w:rPr>
        <w:footnoteReference w:id="176"/>
      </w:r>
      <w:r w:rsidRPr="00D920C9">
        <w:rPr>
          <w:rFonts w:asciiTheme="minorHAnsi" w:hAnsiTheme="minorHAnsi"/>
          <w:szCs w:val="20"/>
        </w:rPr>
        <w:t xml:space="preserve"> The use of</w:t>
      </w:r>
      <w:r w:rsidR="00C576B4" w:rsidRPr="00D920C9">
        <w:rPr>
          <w:rFonts w:asciiTheme="minorHAnsi" w:hAnsiTheme="minorHAnsi"/>
          <w:szCs w:val="20"/>
        </w:rPr>
        <w:t xml:space="preserve"> excessive</w:t>
      </w:r>
      <w:r w:rsidRPr="00D920C9">
        <w:rPr>
          <w:rFonts w:asciiTheme="minorHAnsi" w:hAnsiTheme="minorHAnsi"/>
          <w:szCs w:val="20"/>
        </w:rPr>
        <w:t xml:space="preserve"> force, in particular against unarmed civilians, raises issues of racial discrimination, and takes place in a permissive legal environment that enables excessive force and prevents accountability. This section explores several key issues relate</w:t>
      </w:r>
      <w:r w:rsidR="001D0018" w:rsidRPr="00D920C9">
        <w:rPr>
          <w:rFonts w:asciiTheme="minorHAnsi" w:hAnsiTheme="minorHAnsi"/>
          <w:szCs w:val="20"/>
        </w:rPr>
        <w:t>d to the use of excessive force</w:t>
      </w:r>
      <w:r w:rsidRPr="00D920C9">
        <w:rPr>
          <w:rFonts w:asciiTheme="minorHAnsi" w:hAnsiTheme="minorHAnsi"/>
          <w:szCs w:val="20"/>
        </w:rPr>
        <w:t xml:space="preserve">. </w:t>
      </w:r>
    </w:p>
    <w:p w14:paraId="57C1736C" w14:textId="665BDC4D" w:rsidR="00B4412C" w:rsidRPr="00D920C9" w:rsidRDefault="002903D8" w:rsidP="002C64F8">
      <w:pPr>
        <w:pStyle w:val="ListParagraph"/>
        <w:numPr>
          <w:ilvl w:val="0"/>
          <w:numId w:val="9"/>
        </w:numPr>
        <w:spacing w:after="240" w:line="240" w:lineRule="auto"/>
        <w:ind w:left="547" w:hanging="547"/>
        <w:contextualSpacing w:val="0"/>
        <w:jc w:val="both"/>
        <w:rPr>
          <w:rFonts w:asciiTheme="minorHAnsi" w:hAnsiTheme="minorHAnsi"/>
          <w:szCs w:val="20"/>
        </w:rPr>
      </w:pPr>
      <w:r w:rsidRPr="00D920C9">
        <w:rPr>
          <w:rFonts w:asciiTheme="minorHAnsi" w:hAnsiTheme="minorHAnsi"/>
          <w:szCs w:val="20"/>
        </w:rPr>
        <w:t>As a threshold issue, the Commission notes that</w:t>
      </w:r>
      <w:r w:rsidR="00B4412C" w:rsidRPr="00D920C9">
        <w:rPr>
          <w:rFonts w:asciiTheme="minorHAnsi" w:hAnsiTheme="minorHAnsi"/>
          <w:szCs w:val="20"/>
        </w:rPr>
        <w:t xml:space="preserve"> there is no mandatory federal database to track police violence and killings</w:t>
      </w:r>
      <w:r w:rsidRPr="00D920C9">
        <w:rPr>
          <w:rFonts w:asciiTheme="minorHAnsi" w:hAnsiTheme="minorHAnsi"/>
          <w:szCs w:val="20"/>
        </w:rPr>
        <w:t>;</w:t>
      </w:r>
      <w:r w:rsidR="00B4412C" w:rsidRPr="00D920C9">
        <w:rPr>
          <w:rFonts w:asciiTheme="minorHAnsi" w:hAnsiTheme="minorHAnsi"/>
          <w:vertAlign w:val="superscript"/>
        </w:rPr>
        <w:footnoteReference w:id="177"/>
      </w:r>
      <w:r w:rsidRPr="00D920C9">
        <w:rPr>
          <w:rFonts w:asciiTheme="minorHAnsi" w:hAnsiTheme="minorHAnsi"/>
          <w:szCs w:val="20"/>
        </w:rPr>
        <w:t xml:space="preserve"> the lack of official data raises concerns related to the State’s duty to exercise due diligence.</w:t>
      </w:r>
      <w:r w:rsidR="00711151" w:rsidRPr="00D920C9">
        <w:rPr>
          <w:rFonts w:asciiTheme="minorHAnsi" w:hAnsiTheme="minorHAnsi"/>
          <w:vertAlign w:val="superscript"/>
        </w:rPr>
        <w:footnoteReference w:id="178"/>
      </w:r>
      <w:r w:rsidRPr="00D920C9">
        <w:rPr>
          <w:rFonts w:asciiTheme="minorHAnsi" w:hAnsiTheme="minorHAnsi"/>
          <w:szCs w:val="20"/>
        </w:rPr>
        <w:t xml:space="preserve"> Nonetheless,</w:t>
      </w:r>
      <w:r w:rsidR="00B4412C" w:rsidRPr="00D920C9">
        <w:rPr>
          <w:rFonts w:asciiTheme="minorHAnsi" w:hAnsiTheme="minorHAnsi"/>
          <w:szCs w:val="20"/>
        </w:rPr>
        <w:t xml:space="preserve"> </w:t>
      </w:r>
      <w:r w:rsidR="001F57ED" w:rsidRPr="00D920C9">
        <w:rPr>
          <w:rFonts w:asciiTheme="minorHAnsi" w:hAnsiTheme="minorHAnsi"/>
          <w:szCs w:val="20"/>
        </w:rPr>
        <w:t xml:space="preserve">according to public information, </w:t>
      </w:r>
      <w:r w:rsidR="00B4412C" w:rsidRPr="00D920C9">
        <w:rPr>
          <w:rFonts w:asciiTheme="minorHAnsi" w:hAnsiTheme="minorHAnsi"/>
          <w:szCs w:val="20"/>
        </w:rPr>
        <w:t>the U</w:t>
      </w:r>
      <w:r w:rsidR="00931537" w:rsidRPr="00D920C9">
        <w:rPr>
          <w:rFonts w:asciiTheme="minorHAnsi" w:hAnsiTheme="minorHAnsi"/>
          <w:szCs w:val="20"/>
        </w:rPr>
        <w:t>.</w:t>
      </w:r>
      <w:r w:rsidR="00B4412C" w:rsidRPr="00D920C9">
        <w:rPr>
          <w:rFonts w:asciiTheme="minorHAnsi" w:hAnsiTheme="minorHAnsi"/>
          <w:szCs w:val="20"/>
        </w:rPr>
        <w:t>S</w:t>
      </w:r>
      <w:r w:rsidR="00931537" w:rsidRPr="00D920C9">
        <w:rPr>
          <w:rFonts w:asciiTheme="minorHAnsi" w:hAnsiTheme="minorHAnsi"/>
          <w:szCs w:val="20"/>
        </w:rPr>
        <w:t>.</w:t>
      </w:r>
      <w:r w:rsidR="00B4412C" w:rsidRPr="00D920C9">
        <w:rPr>
          <w:rFonts w:asciiTheme="minorHAnsi" w:hAnsiTheme="minorHAnsi"/>
          <w:szCs w:val="20"/>
        </w:rPr>
        <w:t xml:space="preserve"> consistently registers high levels of police violence: reports indicate that police officers kill about 1,000 people and wound more than 50,000 each year on average.</w:t>
      </w:r>
      <w:r w:rsidR="00B4412C" w:rsidRPr="00D920C9">
        <w:rPr>
          <w:rStyle w:val="FootnoteReference"/>
          <w:rFonts w:asciiTheme="minorHAnsi" w:hAnsiTheme="minorHAnsi"/>
          <w:szCs w:val="20"/>
        </w:rPr>
        <w:footnoteReference w:id="179"/>
      </w:r>
      <w:r w:rsidR="00B4412C" w:rsidRPr="00D920C9">
        <w:rPr>
          <w:rFonts w:asciiTheme="minorHAnsi" w:hAnsiTheme="minorHAnsi"/>
          <w:szCs w:val="20"/>
        </w:rPr>
        <w:t xml:space="preserve"> </w:t>
      </w:r>
      <w:r w:rsidR="009232C3" w:rsidRPr="00D920C9">
        <w:rPr>
          <w:rFonts w:asciiTheme="minorHAnsi" w:hAnsiTheme="minorHAnsi"/>
          <w:szCs w:val="20"/>
        </w:rPr>
        <w:t>In 2017</w:t>
      </w:r>
      <w:r w:rsidR="00B4412C" w:rsidRPr="00D920C9">
        <w:rPr>
          <w:rFonts w:asciiTheme="minorHAnsi" w:hAnsiTheme="minorHAnsi"/>
          <w:szCs w:val="20"/>
        </w:rPr>
        <w:t xml:space="preserve">, </w:t>
      </w:r>
      <w:r w:rsidR="00AF6DA3" w:rsidRPr="00D920C9">
        <w:rPr>
          <w:rFonts w:asciiTheme="minorHAnsi" w:hAnsiTheme="minorHAnsi"/>
          <w:szCs w:val="20"/>
        </w:rPr>
        <w:t xml:space="preserve">at least </w:t>
      </w:r>
      <w:r w:rsidR="006A0CEC" w:rsidRPr="00D920C9">
        <w:rPr>
          <w:rFonts w:asciiTheme="minorHAnsi" w:hAnsiTheme="minorHAnsi"/>
          <w:szCs w:val="20"/>
        </w:rPr>
        <w:t>987</w:t>
      </w:r>
      <w:r w:rsidR="00AF6DA3" w:rsidRPr="00D920C9">
        <w:rPr>
          <w:rFonts w:asciiTheme="minorHAnsi" w:hAnsiTheme="minorHAnsi"/>
          <w:szCs w:val="20"/>
        </w:rPr>
        <w:t xml:space="preserve"> people were shot and killed by law enforcement officers, including more than 300 who were fleeing from officers when they were shot</w:t>
      </w:r>
      <w:r w:rsidR="00B4412C" w:rsidRPr="00D920C9">
        <w:rPr>
          <w:rFonts w:asciiTheme="minorHAnsi" w:hAnsiTheme="minorHAnsi"/>
          <w:szCs w:val="20"/>
        </w:rPr>
        <w:t>.</w:t>
      </w:r>
      <w:r w:rsidR="00B4412C" w:rsidRPr="00D920C9">
        <w:rPr>
          <w:rStyle w:val="FootnoteReference"/>
          <w:rFonts w:asciiTheme="minorHAnsi" w:hAnsiTheme="minorHAnsi"/>
          <w:szCs w:val="20"/>
        </w:rPr>
        <w:footnoteReference w:id="180"/>
      </w:r>
      <w:r w:rsidR="00B4412C" w:rsidRPr="00D920C9">
        <w:rPr>
          <w:rFonts w:asciiTheme="minorHAnsi" w:hAnsiTheme="minorHAnsi"/>
          <w:szCs w:val="20"/>
        </w:rPr>
        <w:t xml:space="preserve"> The number of annual police killings registered yearly in the United States is much higher both in per capita and in absolute terms than in other developed countries. For example, one study indicated that whereas the U</w:t>
      </w:r>
      <w:r w:rsidR="00931537" w:rsidRPr="00D920C9">
        <w:rPr>
          <w:rFonts w:asciiTheme="minorHAnsi" w:hAnsiTheme="minorHAnsi"/>
          <w:szCs w:val="20"/>
        </w:rPr>
        <w:t>.</w:t>
      </w:r>
      <w:r w:rsidR="00B4412C" w:rsidRPr="00D920C9">
        <w:rPr>
          <w:rFonts w:asciiTheme="minorHAnsi" w:hAnsiTheme="minorHAnsi"/>
          <w:szCs w:val="20"/>
        </w:rPr>
        <w:t>S</w:t>
      </w:r>
      <w:r w:rsidR="00931537" w:rsidRPr="00D920C9">
        <w:rPr>
          <w:rFonts w:asciiTheme="minorHAnsi" w:hAnsiTheme="minorHAnsi"/>
          <w:szCs w:val="20"/>
        </w:rPr>
        <w:t>.</w:t>
      </w:r>
      <w:r w:rsidR="00B4412C" w:rsidRPr="00D920C9">
        <w:rPr>
          <w:rFonts w:asciiTheme="minorHAnsi" w:hAnsiTheme="minorHAnsi"/>
          <w:szCs w:val="20"/>
        </w:rPr>
        <w:t xml:space="preserve"> registers an average </w:t>
      </w:r>
      <w:r w:rsidR="00D06953" w:rsidRPr="00D920C9">
        <w:rPr>
          <w:rFonts w:asciiTheme="minorHAnsi" w:hAnsiTheme="minorHAnsi"/>
          <w:szCs w:val="20"/>
        </w:rPr>
        <w:t xml:space="preserve">of </w:t>
      </w:r>
      <w:r w:rsidR="00B4412C" w:rsidRPr="00D920C9">
        <w:rPr>
          <w:rFonts w:asciiTheme="minorHAnsi" w:hAnsiTheme="minorHAnsi"/>
          <w:szCs w:val="20"/>
        </w:rPr>
        <w:t>3</w:t>
      </w:r>
      <w:r w:rsidR="001F57ED" w:rsidRPr="00D920C9">
        <w:rPr>
          <w:rFonts w:asciiTheme="minorHAnsi" w:hAnsiTheme="minorHAnsi"/>
          <w:szCs w:val="20"/>
        </w:rPr>
        <w:t>.</w:t>
      </w:r>
      <w:r w:rsidR="00B4412C" w:rsidRPr="00D920C9">
        <w:rPr>
          <w:rFonts w:asciiTheme="minorHAnsi" w:hAnsiTheme="minorHAnsi"/>
          <w:szCs w:val="20"/>
        </w:rPr>
        <w:t xml:space="preserve">11 killings per </w:t>
      </w:r>
      <w:r w:rsidR="001F57ED" w:rsidRPr="00D920C9">
        <w:rPr>
          <w:rFonts w:asciiTheme="minorHAnsi" w:hAnsiTheme="minorHAnsi"/>
          <w:szCs w:val="20"/>
        </w:rPr>
        <w:t>million</w:t>
      </w:r>
      <w:r w:rsidR="00B4412C" w:rsidRPr="00D920C9">
        <w:rPr>
          <w:rFonts w:asciiTheme="minorHAnsi" w:hAnsiTheme="minorHAnsi"/>
          <w:szCs w:val="20"/>
        </w:rPr>
        <w:t xml:space="preserve"> persons, Australia, the </w:t>
      </w:r>
      <w:r w:rsidR="00B4412C" w:rsidRPr="00D920C9">
        <w:rPr>
          <w:rFonts w:asciiTheme="minorHAnsi" w:hAnsiTheme="minorHAnsi"/>
          <w:szCs w:val="20"/>
        </w:rPr>
        <w:lastRenderedPageBreak/>
        <w:t>developed country with the next highest number of p</w:t>
      </w:r>
      <w:r w:rsidR="001F57ED" w:rsidRPr="00D920C9">
        <w:rPr>
          <w:rFonts w:asciiTheme="minorHAnsi" w:hAnsiTheme="minorHAnsi"/>
          <w:szCs w:val="20"/>
        </w:rPr>
        <w:t>olice killings, registers only 0.</w:t>
      </w:r>
      <w:r w:rsidR="00B4412C" w:rsidRPr="00D920C9">
        <w:rPr>
          <w:rFonts w:asciiTheme="minorHAnsi" w:hAnsiTheme="minorHAnsi"/>
          <w:szCs w:val="20"/>
        </w:rPr>
        <w:t xml:space="preserve">21 killings per </w:t>
      </w:r>
      <w:r w:rsidR="001F57ED" w:rsidRPr="00D920C9">
        <w:rPr>
          <w:rFonts w:asciiTheme="minorHAnsi" w:hAnsiTheme="minorHAnsi"/>
          <w:szCs w:val="20"/>
        </w:rPr>
        <w:t>million</w:t>
      </w:r>
      <w:r w:rsidR="00B4412C" w:rsidRPr="00D920C9">
        <w:rPr>
          <w:rFonts w:asciiTheme="minorHAnsi" w:hAnsiTheme="minorHAnsi"/>
          <w:szCs w:val="20"/>
        </w:rPr>
        <w:t xml:space="preserve"> persons.</w:t>
      </w:r>
      <w:r w:rsidR="00B4412C" w:rsidRPr="00D920C9">
        <w:rPr>
          <w:rStyle w:val="FootnoteReference"/>
          <w:rFonts w:asciiTheme="minorHAnsi" w:hAnsiTheme="minorHAnsi"/>
          <w:szCs w:val="20"/>
        </w:rPr>
        <w:footnoteReference w:id="181"/>
      </w:r>
    </w:p>
    <w:p w14:paraId="3375CE0D" w14:textId="77777777" w:rsidR="00B4412C" w:rsidRPr="00D920C9" w:rsidRDefault="00B4412C" w:rsidP="002C64F8">
      <w:pPr>
        <w:pStyle w:val="ListParagraph"/>
        <w:numPr>
          <w:ilvl w:val="0"/>
          <w:numId w:val="9"/>
        </w:numPr>
        <w:spacing w:after="240" w:line="240" w:lineRule="auto"/>
        <w:ind w:left="547" w:hanging="547"/>
        <w:contextualSpacing w:val="0"/>
        <w:jc w:val="both"/>
        <w:rPr>
          <w:rFonts w:asciiTheme="minorHAnsi" w:hAnsiTheme="minorHAnsi"/>
          <w:szCs w:val="20"/>
        </w:rPr>
      </w:pPr>
      <w:bookmarkStart w:id="77" w:name="_Ref507586161"/>
      <w:r w:rsidRPr="00D920C9">
        <w:rPr>
          <w:rFonts w:asciiTheme="minorHAnsi" w:hAnsiTheme="minorHAnsi"/>
          <w:szCs w:val="20"/>
        </w:rPr>
        <w:t xml:space="preserve">Within </w:t>
      </w:r>
      <w:r w:rsidR="00825CEF" w:rsidRPr="00D920C9">
        <w:rPr>
          <w:rFonts w:asciiTheme="minorHAnsi" w:hAnsiTheme="minorHAnsi"/>
          <w:szCs w:val="20"/>
        </w:rPr>
        <w:t>this</w:t>
      </w:r>
      <w:r w:rsidRPr="00D920C9">
        <w:rPr>
          <w:rFonts w:asciiTheme="minorHAnsi" w:hAnsiTheme="minorHAnsi"/>
          <w:szCs w:val="20"/>
        </w:rPr>
        <w:t xml:space="preserve"> panorama, the persistent disproportionate use of excessive force by law enforcement officials against African</w:t>
      </w:r>
      <w:r w:rsidR="0030356C" w:rsidRPr="00D920C9">
        <w:rPr>
          <w:rFonts w:asciiTheme="minorHAnsi" w:hAnsiTheme="minorHAnsi"/>
          <w:szCs w:val="20"/>
        </w:rPr>
        <w:t xml:space="preserve"> </w:t>
      </w:r>
      <w:r w:rsidRPr="00D920C9">
        <w:rPr>
          <w:rFonts w:asciiTheme="minorHAnsi" w:hAnsiTheme="minorHAnsi"/>
          <w:szCs w:val="20"/>
        </w:rPr>
        <w:t xml:space="preserve">Americans is particularly concerning; while </w:t>
      </w:r>
      <w:r w:rsidR="00B13AF3" w:rsidRPr="00D920C9">
        <w:rPr>
          <w:rFonts w:asciiTheme="minorHAnsi" w:hAnsiTheme="minorHAnsi"/>
          <w:szCs w:val="20"/>
        </w:rPr>
        <w:t>Blacks</w:t>
      </w:r>
      <w:r w:rsidRPr="00D920C9">
        <w:rPr>
          <w:rFonts w:asciiTheme="minorHAnsi" w:hAnsiTheme="minorHAnsi"/>
          <w:szCs w:val="20"/>
        </w:rPr>
        <w:t xml:space="preserve"> ma</w:t>
      </w:r>
      <w:r w:rsidR="00711151" w:rsidRPr="00D920C9">
        <w:rPr>
          <w:rFonts w:asciiTheme="minorHAnsi" w:hAnsiTheme="minorHAnsi"/>
          <w:szCs w:val="20"/>
        </w:rPr>
        <w:t>d</w:t>
      </w:r>
      <w:r w:rsidRPr="00D920C9">
        <w:rPr>
          <w:rFonts w:asciiTheme="minorHAnsi" w:hAnsiTheme="minorHAnsi"/>
          <w:szCs w:val="20"/>
        </w:rPr>
        <w:t>e up 23 percent of victims of police killings in 2017, they make up only 13 percent of the U</w:t>
      </w:r>
      <w:r w:rsidR="00931537" w:rsidRPr="00D920C9">
        <w:rPr>
          <w:rFonts w:asciiTheme="minorHAnsi" w:hAnsiTheme="minorHAnsi"/>
          <w:szCs w:val="20"/>
        </w:rPr>
        <w:t>.</w:t>
      </w:r>
      <w:r w:rsidRPr="00D920C9">
        <w:rPr>
          <w:rFonts w:asciiTheme="minorHAnsi" w:hAnsiTheme="minorHAnsi"/>
          <w:szCs w:val="20"/>
        </w:rPr>
        <w:t>S</w:t>
      </w:r>
      <w:r w:rsidR="00931537" w:rsidRPr="00D920C9">
        <w:rPr>
          <w:rFonts w:asciiTheme="minorHAnsi" w:hAnsiTheme="minorHAnsi"/>
          <w:szCs w:val="20"/>
        </w:rPr>
        <w:t>.</w:t>
      </w:r>
      <w:r w:rsidRPr="00D920C9">
        <w:rPr>
          <w:rFonts w:asciiTheme="minorHAnsi" w:hAnsiTheme="minorHAnsi"/>
          <w:szCs w:val="20"/>
        </w:rPr>
        <w:t xml:space="preserve"> population.</w:t>
      </w:r>
      <w:r w:rsidRPr="00D920C9">
        <w:rPr>
          <w:rStyle w:val="FootnoteReference"/>
          <w:rFonts w:asciiTheme="minorHAnsi" w:hAnsiTheme="minorHAnsi"/>
          <w:szCs w:val="20"/>
        </w:rPr>
        <w:footnoteReference w:id="182"/>
      </w:r>
      <w:r w:rsidRPr="00D920C9">
        <w:rPr>
          <w:rFonts w:asciiTheme="minorHAnsi" w:hAnsiTheme="minorHAnsi"/>
          <w:szCs w:val="20"/>
        </w:rPr>
        <w:t xml:space="preserve"> African</w:t>
      </w:r>
      <w:r w:rsidR="0030356C" w:rsidRPr="00D920C9">
        <w:rPr>
          <w:rFonts w:asciiTheme="minorHAnsi" w:hAnsiTheme="minorHAnsi"/>
          <w:szCs w:val="20"/>
        </w:rPr>
        <w:t xml:space="preserve"> </w:t>
      </w:r>
      <w:r w:rsidRPr="00D920C9">
        <w:rPr>
          <w:rFonts w:asciiTheme="minorHAnsi" w:hAnsiTheme="minorHAnsi"/>
          <w:szCs w:val="20"/>
        </w:rPr>
        <w:t xml:space="preserve">Americans were </w:t>
      </w:r>
      <w:r w:rsidR="00931537" w:rsidRPr="00D920C9">
        <w:rPr>
          <w:rFonts w:asciiTheme="minorHAnsi" w:hAnsiTheme="minorHAnsi"/>
          <w:szCs w:val="20"/>
        </w:rPr>
        <w:t xml:space="preserve">the </w:t>
      </w:r>
      <w:r w:rsidRPr="00D920C9">
        <w:rPr>
          <w:rFonts w:asciiTheme="minorHAnsi" w:hAnsiTheme="minorHAnsi"/>
          <w:szCs w:val="20"/>
        </w:rPr>
        <w:t>victims in 24 percent of all police killings in 2016, and 26 percent of all police killings in 2015.</w:t>
      </w:r>
      <w:r w:rsidRPr="00D920C9">
        <w:rPr>
          <w:rFonts w:asciiTheme="minorHAnsi" w:hAnsiTheme="minorHAnsi"/>
          <w:vertAlign w:val="superscript"/>
        </w:rPr>
        <w:footnoteReference w:id="183"/>
      </w:r>
      <w:r w:rsidRPr="00D920C9">
        <w:rPr>
          <w:rFonts w:asciiTheme="minorHAnsi" w:hAnsiTheme="minorHAnsi"/>
          <w:szCs w:val="20"/>
        </w:rPr>
        <w:t xml:space="preserve"> When killings of unarmed civilians are considered, the statistics are even starker; for example,</w:t>
      </w:r>
      <w:r w:rsidR="003C4AAD" w:rsidRPr="00D920C9">
        <w:rPr>
          <w:rFonts w:asciiTheme="minorHAnsi" w:hAnsiTheme="minorHAnsi"/>
          <w:szCs w:val="20"/>
        </w:rPr>
        <w:t xml:space="preserve"> statistics from civil society indicate that</w:t>
      </w:r>
      <w:r w:rsidRPr="00D920C9">
        <w:rPr>
          <w:rFonts w:asciiTheme="minorHAnsi" w:hAnsiTheme="minorHAnsi"/>
          <w:szCs w:val="20"/>
        </w:rPr>
        <w:t xml:space="preserve"> in 2015, more than 34</w:t>
      </w:r>
      <w:r w:rsidR="003C4AAD" w:rsidRPr="00D920C9">
        <w:rPr>
          <w:rFonts w:asciiTheme="minorHAnsi" w:hAnsiTheme="minorHAnsi"/>
          <w:szCs w:val="20"/>
        </w:rPr>
        <w:t xml:space="preserve"> percent</w:t>
      </w:r>
      <w:r w:rsidRPr="00D920C9">
        <w:rPr>
          <w:rFonts w:asciiTheme="minorHAnsi" w:hAnsiTheme="minorHAnsi"/>
          <w:szCs w:val="20"/>
        </w:rPr>
        <w:t xml:space="preserve"> of unarmed civilians killed by police officers were </w:t>
      </w:r>
      <w:r w:rsidR="00B13AF3" w:rsidRPr="00D920C9">
        <w:rPr>
          <w:rFonts w:asciiTheme="minorHAnsi" w:hAnsiTheme="minorHAnsi"/>
          <w:szCs w:val="20"/>
        </w:rPr>
        <w:t>black</w:t>
      </w:r>
      <w:r w:rsidRPr="00D920C9">
        <w:rPr>
          <w:rFonts w:asciiTheme="minorHAnsi" w:hAnsiTheme="minorHAnsi"/>
          <w:szCs w:val="20"/>
        </w:rPr>
        <w:t>.</w:t>
      </w:r>
      <w:r w:rsidRPr="00D920C9">
        <w:rPr>
          <w:rFonts w:asciiTheme="minorHAnsi" w:hAnsiTheme="minorHAnsi"/>
          <w:szCs w:val="20"/>
          <w:vertAlign w:val="superscript"/>
        </w:rPr>
        <w:footnoteReference w:id="184"/>
      </w:r>
      <w:r w:rsidRPr="00D920C9">
        <w:rPr>
          <w:rFonts w:asciiTheme="minorHAnsi" w:hAnsiTheme="minorHAnsi"/>
          <w:szCs w:val="20"/>
        </w:rPr>
        <w:t xml:space="preserve"> </w:t>
      </w:r>
      <w:r w:rsidR="00AF6DA3" w:rsidRPr="00D920C9">
        <w:rPr>
          <w:rFonts w:asciiTheme="minorHAnsi" w:hAnsiTheme="minorHAnsi"/>
          <w:szCs w:val="20"/>
        </w:rPr>
        <w:t>Other studies indicate that Black males are almost three times as likely, and Hispanic males are almost twice as likely, to be killed by police use of force as are white males.</w:t>
      </w:r>
      <w:r w:rsidR="00AF6DA3" w:rsidRPr="00D920C9">
        <w:rPr>
          <w:rFonts w:asciiTheme="minorHAnsi" w:hAnsiTheme="minorHAnsi"/>
          <w:vertAlign w:val="superscript"/>
        </w:rPr>
        <w:footnoteReference w:id="185"/>
      </w:r>
      <w:r w:rsidR="00AF6DA3" w:rsidRPr="00D920C9">
        <w:rPr>
          <w:rFonts w:asciiTheme="minorHAnsi" w:hAnsiTheme="minorHAnsi"/>
          <w:szCs w:val="20"/>
        </w:rPr>
        <w:t xml:space="preserve"> </w:t>
      </w:r>
      <w:r w:rsidRPr="00D920C9">
        <w:rPr>
          <w:rFonts w:asciiTheme="minorHAnsi" w:hAnsiTheme="minorHAnsi"/>
          <w:szCs w:val="20"/>
        </w:rPr>
        <w:t>These disparities are not anomalies, and are not the product of different crime rates; one study found that, controlling for differences in crime rates by race, the probability that an unarmed African</w:t>
      </w:r>
      <w:r w:rsidR="0030356C" w:rsidRPr="00D920C9">
        <w:rPr>
          <w:rFonts w:asciiTheme="minorHAnsi" w:hAnsiTheme="minorHAnsi"/>
          <w:szCs w:val="20"/>
        </w:rPr>
        <w:t xml:space="preserve"> </w:t>
      </w:r>
      <w:r w:rsidRPr="00D920C9">
        <w:rPr>
          <w:rFonts w:asciiTheme="minorHAnsi" w:hAnsiTheme="minorHAnsi"/>
          <w:szCs w:val="20"/>
        </w:rPr>
        <w:t>American person will be shot by the police is 3.49 times greater than the probability that an unarmed white person will be shot by the police.</w:t>
      </w:r>
      <w:r w:rsidRPr="00D920C9">
        <w:rPr>
          <w:rFonts w:asciiTheme="minorHAnsi" w:hAnsiTheme="minorHAnsi"/>
          <w:vertAlign w:val="superscript"/>
        </w:rPr>
        <w:footnoteReference w:id="186"/>
      </w:r>
      <w:bookmarkEnd w:id="77"/>
    </w:p>
    <w:p w14:paraId="496E9E11" w14:textId="77777777" w:rsidR="003C4AAD" w:rsidRPr="00D920C9" w:rsidRDefault="00B751A9" w:rsidP="002C64F8">
      <w:pPr>
        <w:pStyle w:val="ListParagraph"/>
        <w:numPr>
          <w:ilvl w:val="0"/>
          <w:numId w:val="9"/>
        </w:numPr>
        <w:spacing w:after="240" w:line="240" w:lineRule="auto"/>
        <w:ind w:left="547" w:hanging="547"/>
        <w:contextualSpacing w:val="0"/>
        <w:jc w:val="both"/>
        <w:rPr>
          <w:rFonts w:asciiTheme="minorHAnsi" w:hAnsiTheme="minorHAnsi"/>
          <w:szCs w:val="20"/>
        </w:rPr>
      </w:pPr>
      <w:bookmarkStart w:id="78" w:name="_Ref507077640"/>
      <w:r w:rsidRPr="00D920C9">
        <w:rPr>
          <w:rFonts w:asciiTheme="minorHAnsi" w:hAnsiTheme="minorHAnsi"/>
          <w:szCs w:val="20"/>
        </w:rPr>
        <w:t>P</w:t>
      </w:r>
      <w:r w:rsidR="003C4AAD" w:rsidRPr="00D920C9">
        <w:rPr>
          <w:rFonts w:asciiTheme="minorHAnsi" w:hAnsiTheme="minorHAnsi"/>
          <w:szCs w:val="20"/>
        </w:rPr>
        <w:t xml:space="preserve">olice excessive use of force against African Americans is </w:t>
      </w:r>
      <w:r w:rsidRPr="00D920C9">
        <w:rPr>
          <w:rFonts w:asciiTheme="minorHAnsi" w:hAnsiTheme="minorHAnsi"/>
          <w:szCs w:val="20"/>
        </w:rPr>
        <w:t xml:space="preserve">a </w:t>
      </w:r>
      <w:r w:rsidR="003C4AAD" w:rsidRPr="00D920C9">
        <w:rPr>
          <w:rFonts w:asciiTheme="minorHAnsi" w:hAnsiTheme="minorHAnsi"/>
          <w:szCs w:val="20"/>
        </w:rPr>
        <w:t>longstanding</w:t>
      </w:r>
      <w:r w:rsidRPr="00D920C9">
        <w:rPr>
          <w:rFonts w:asciiTheme="minorHAnsi" w:hAnsiTheme="minorHAnsi"/>
          <w:szCs w:val="20"/>
        </w:rPr>
        <w:t xml:space="preserve"> issue</w:t>
      </w:r>
      <w:r w:rsidR="003C4AAD" w:rsidRPr="00D920C9">
        <w:rPr>
          <w:rFonts w:asciiTheme="minorHAnsi" w:hAnsiTheme="minorHAnsi"/>
          <w:szCs w:val="20"/>
        </w:rPr>
        <w:t xml:space="preserve"> in the United States</w:t>
      </w:r>
      <w:r w:rsidR="002314E4" w:rsidRPr="00D920C9">
        <w:rPr>
          <w:rFonts w:asciiTheme="minorHAnsi" w:hAnsiTheme="minorHAnsi"/>
          <w:szCs w:val="20"/>
        </w:rPr>
        <w:t>, though little systematic information is available about the scope of the problem</w:t>
      </w:r>
      <w:r w:rsidR="00E972DB" w:rsidRPr="00D920C9">
        <w:rPr>
          <w:rFonts w:asciiTheme="minorHAnsi" w:hAnsiTheme="minorHAnsi"/>
          <w:szCs w:val="20"/>
        </w:rPr>
        <w:t>. In the Antebellum period, slave patrols</w:t>
      </w:r>
      <w:r w:rsidR="00B47756" w:rsidRPr="00D920C9">
        <w:rPr>
          <w:rFonts w:asciiTheme="minorHAnsi" w:hAnsiTheme="minorHAnsi"/>
          <w:szCs w:val="20"/>
        </w:rPr>
        <w:t xml:space="preserve"> </w:t>
      </w:r>
      <w:r w:rsidR="00E972DB" w:rsidRPr="00D920C9">
        <w:rPr>
          <w:rFonts w:asciiTheme="minorHAnsi" w:hAnsiTheme="minorHAnsi"/>
          <w:szCs w:val="20"/>
        </w:rPr>
        <w:t xml:space="preserve">were empowered to enact physical violence against </w:t>
      </w:r>
      <w:r w:rsidR="00711151" w:rsidRPr="00D920C9">
        <w:rPr>
          <w:rFonts w:asciiTheme="minorHAnsi" w:hAnsiTheme="minorHAnsi"/>
          <w:szCs w:val="20"/>
        </w:rPr>
        <w:t>b</w:t>
      </w:r>
      <w:r w:rsidR="00E972DB" w:rsidRPr="00D920C9">
        <w:rPr>
          <w:rFonts w:asciiTheme="minorHAnsi" w:hAnsiTheme="minorHAnsi"/>
          <w:szCs w:val="20"/>
        </w:rPr>
        <w:t xml:space="preserve">lack individuals suspected of being escaped slaves. </w:t>
      </w:r>
      <w:r w:rsidR="00711151" w:rsidRPr="00D920C9">
        <w:rPr>
          <w:rFonts w:asciiTheme="minorHAnsi" w:hAnsiTheme="minorHAnsi"/>
          <w:szCs w:val="20"/>
        </w:rPr>
        <w:t>In more recent times</w:t>
      </w:r>
      <w:r w:rsidR="00E972DB" w:rsidRPr="00D920C9">
        <w:rPr>
          <w:rFonts w:asciiTheme="minorHAnsi" w:hAnsiTheme="minorHAnsi"/>
          <w:szCs w:val="20"/>
        </w:rPr>
        <w:t>,</w:t>
      </w:r>
      <w:r w:rsidR="002314E4" w:rsidRPr="00D920C9">
        <w:rPr>
          <w:rFonts w:asciiTheme="minorHAnsi" w:hAnsiTheme="minorHAnsi"/>
          <w:szCs w:val="20"/>
        </w:rPr>
        <w:t xml:space="preserve"> </w:t>
      </w:r>
      <w:r w:rsidR="003C4AAD" w:rsidRPr="00D920C9">
        <w:rPr>
          <w:rFonts w:asciiTheme="minorHAnsi" w:hAnsiTheme="minorHAnsi"/>
          <w:szCs w:val="20"/>
        </w:rPr>
        <w:t xml:space="preserve">images and newscasts of police officers beating </w:t>
      </w:r>
      <w:r w:rsidR="00D24FA7" w:rsidRPr="00D920C9">
        <w:rPr>
          <w:rFonts w:asciiTheme="minorHAnsi" w:hAnsiTheme="minorHAnsi"/>
          <w:szCs w:val="20"/>
        </w:rPr>
        <w:t>b</w:t>
      </w:r>
      <w:r w:rsidR="003C4AAD" w:rsidRPr="00D920C9">
        <w:rPr>
          <w:rFonts w:asciiTheme="minorHAnsi" w:hAnsiTheme="minorHAnsi"/>
          <w:szCs w:val="20"/>
        </w:rPr>
        <w:t xml:space="preserve">lack protesters with clubs </w:t>
      </w:r>
      <w:r w:rsidR="00D24FA7" w:rsidRPr="00D920C9">
        <w:rPr>
          <w:rFonts w:asciiTheme="minorHAnsi" w:hAnsiTheme="minorHAnsi"/>
          <w:szCs w:val="20"/>
        </w:rPr>
        <w:t>helped</w:t>
      </w:r>
      <w:r w:rsidR="003C4AAD" w:rsidRPr="00D920C9">
        <w:rPr>
          <w:rFonts w:asciiTheme="minorHAnsi" w:hAnsiTheme="minorHAnsi"/>
          <w:szCs w:val="20"/>
        </w:rPr>
        <w:t xml:space="preserve"> galvaniz</w:t>
      </w:r>
      <w:r w:rsidR="00D24FA7" w:rsidRPr="00D920C9">
        <w:rPr>
          <w:rFonts w:asciiTheme="minorHAnsi" w:hAnsiTheme="minorHAnsi"/>
          <w:szCs w:val="20"/>
        </w:rPr>
        <w:t xml:space="preserve">e </w:t>
      </w:r>
      <w:r w:rsidR="003C4AAD" w:rsidRPr="00D920C9">
        <w:rPr>
          <w:rFonts w:asciiTheme="minorHAnsi" w:hAnsiTheme="minorHAnsi"/>
          <w:szCs w:val="20"/>
        </w:rPr>
        <w:t>public opinion in favor of the Civil Rights Movement</w:t>
      </w:r>
      <w:r w:rsidR="00711151" w:rsidRPr="00D920C9">
        <w:rPr>
          <w:rFonts w:asciiTheme="minorHAnsi" w:hAnsiTheme="minorHAnsi"/>
          <w:szCs w:val="20"/>
        </w:rPr>
        <w:t xml:space="preserve"> during the 1960s</w:t>
      </w:r>
      <w:r w:rsidR="003C4AAD" w:rsidRPr="00D920C9">
        <w:rPr>
          <w:rFonts w:asciiTheme="minorHAnsi" w:hAnsiTheme="minorHAnsi"/>
          <w:szCs w:val="20"/>
        </w:rPr>
        <w:t xml:space="preserve">. </w:t>
      </w:r>
      <w:r w:rsidR="002314E4" w:rsidRPr="00D920C9">
        <w:rPr>
          <w:rFonts w:asciiTheme="minorHAnsi" w:hAnsiTheme="minorHAnsi"/>
          <w:szCs w:val="20"/>
        </w:rPr>
        <w:t>In 1992, t</w:t>
      </w:r>
      <w:r w:rsidR="003C4AAD" w:rsidRPr="00D920C9">
        <w:rPr>
          <w:rFonts w:asciiTheme="minorHAnsi" w:hAnsiTheme="minorHAnsi"/>
          <w:szCs w:val="20"/>
        </w:rPr>
        <w:t>he beating of Rodney King by Los Angeles police sparked widespread unrest (the “LA Riots”)</w:t>
      </w:r>
      <w:r w:rsidR="00711151" w:rsidRPr="00D920C9">
        <w:rPr>
          <w:rFonts w:asciiTheme="minorHAnsi" w:hAnsiTheme="minorHAnsi"/>
          <w:szCs w:val="20"/>
        </w:rPr>
        <w:t xml:space="preserve"> among protesters appalled by the beating</w:t>
      </w:r>
      <w:r w:rsidR="00B47756" w:rsidRPr="00D920C9">
        <w:rPr>
          <w:rFonts w:asciiTheme="minorHAnsi" w:hAnsiTheme="minorHAnsi"/>
          <w:szCs w:val="20"/>
        </w:rPr>
        <w:t xml:space="preserve"> and acquittal of the officers responsible</w:t>
      </w:r>
      <w:r w:rsidR="003C4AAD" w:rsidRPr="00D920C9">
        <w:rPr>
          <w:rFonts w:asciiTheme="minorHAnsi" w:hAnsiTheme="minorHAnsi"/>
          <w:szCs w:val="20"/>
        </w:rPr>
        <w:t xml:space="preserve">. </w:t>
      </w:r>
      <w:r w:rsidR="00B86733" w:rsidRPr="00D920C9">
        <w:rPr>
          <w:rFonts w:asciiTheme="minorHAnsi" w:hAnsiTheme="minorHAnsi"/>
          <w:szCs w:val="20"/>
        </w:rPr>
        <w:t>The Commission</w:t>
      </w:r>
      <w:r w:rsidR="002314E4" w:rsidRPr="00D920C9">
        <w:rPr>
          <w:rFonts w:asciiTheme="minorHAnsi" w:hAnsiTheme="minorHAnsi"/>
          <w:szCs w:val="20"/>
        </w:rPr>
        <w:t xml:space="preserve"> </w:t>
      </w:r>
      <w:r w:rsidR="00B86733" w:rsidRPr="00D920C9">
        <w:rPr>
          <w:rFonts w:asciiTheme="minorHAnsi" w:hAnsiTheme="minorHAnsi"/>
          <w:szCs w:val="20"/>
        </w:rPr>
        <w:t>received information</w:t>
      </w:r>
      <w:r w:rsidR="002314E4" w:rsidRPr="00D920C9">
        <w:rPr>
          <w:rFonts w:asciiTheme="minorHAnsi" w:hAnsiTheme="minorHAnsi"/>
          <w:szCs w:val="20"/>
        </w:rPr>
        <w:t xml:space="preserve"> </w:t>
      </w:r>
      <w:r w:rsidR="00B86733" w:rsidRPr="00D920C9">
        <w:rPr>
          <w:rFonts w:asciiTheme="minorHAnsi" w:hAnsiTheme="minorHAnsi"/>
          <w:szCs w:val="20"/>
        </w:rPr>
        <w:t>about</w:t>
      </w:r>
      <w:r w:rsidR="002314E4" w:rsidRPr="00D920C9">
        <w:rPr>
          <w:rFonts w:asciiTheme="minorHAnsi" w:hAnsiTheme="minorHAnsi"/>
          <w:szCs w:val="20"/>
        </w:rPr>
        <w:t xml:space="preserve"> the killing of</w:t>
      </w:r>
      <w:r w:rsidR="009D0140" w:rsidRPr="00D920C9">
        <w:rPr>
          <w:rFonts w:asciiTheme="minorHAnsi" w:hAnsiTheme="minorHAnsi"/>
          <w:szCs w:val="20"/>
        </w:rPr>
        <w:t xml:space="preserve"> </w:t>
      </w:r>
      <w:proofErr w:type="spellStart"/>
      <w:r w:rsidR="009D0140" w:rsidRPr="00D920C9">
        <w:rPr>
          <w:rFonts w:asciiTheme="minorHAnsi" w:hAnsiTheme="minorHAnsi"/>
          <w:szCs w:val="20"/>
        </w:rPr>
        <w:t>Tesfay</w:t>
      </w:r>
      <w:r w:rsidR="002314E4" w:rsidRPr="00D920C9">
        <w:rPr>
          <w:rFonts w:asciiTheme="minorHAnsi" w:hAnsiTheme="minorHAnsi"/>
          <w:szCs w:val="20"/>
        </w:rPr>
        <w:t>e</w:t>
      </w:r>
      <w:proofErr w:type="spellEnd"/>
      <w:r w:rsidR="00B86733" w:rsidRPr="00D920C9">
        <w:rPr>
          <w:rFonts w:asciiTheme="minorHAnsi" w:hAnsiTheme="minorHAnsi"/>
          <w:szCs w:val="20"/>
        </w:rPr>
        <w:t xml:space="preserve"> </w:t>
      </w:r>
      <w:proofErr w:type="spellStart"/>
      <w:r w:rsidR="00B86733" w:rsidRPr="00D920C9">
        <w:rPr>
          <w:rFonts w:asciiTheme="minorHAnsi" w:hAnsiTheme="minorHAnsi"/>
          <w:szCs w:val="20"/>
        </w:rPr>
        <w:t>Mokuria</w:t>
      </w:r>
      <w:proofErr w:type="spellEnd"/>
      <w:r w:rsidR="00B86733" w:rsidRPr="00D920C9">
        <w:rPr>
          <w:rFonts w:asciiTheme="minorHAnsi" w:hAnsiTheme="minorHAnsi"/>
          <w:szCs w:val="20"/>
        </w:rPr>
        <w:t xml:space="preserve"> </w:t>
      </w:r>
      <w:r w:rsidR="00D24FA7" w:rsidRPr="00D920C9">
        <w:rPr>
          <w:rFonts w:asciiTheme="minorHAnsi" w:hAnsiTheme="minorHAnsi"/>
          <w:szCs w:val="20"/>
        </w:rPr>
        <w:t>by Dallas p</w:t>
      </w:r>
      <w:r w:rsidR="002314E4" w:rsidRPr="00D920C9">
        <w:rPr>
          <w:rFonts w:asciiTheme="minorHAnsi" w:hAnsiTheme="minorHAnsi"/>
          <w:szCs w:val="20"/>
        </w:rPr>
        <w:t>olice officers in the presence of his children in his home in 1992.</w:t>
      </w:r>
      <w:r w:rsidR="002314E4" w:rsidRPr="00D920C9">
        <w:rPr>
          <w:rFonts w:asciiTheme="minorHAnsi" w:hAnsiTheme="minorHAnsi"/>
          <w:vertAlign w:val="superscript"/>
        </w:rPr>
        <w:footnoteReference w:id="187"/>
      </w:r>
      <w:r w:rsidR="002314E4" w:rsidRPr="00D920C9">
        <w:rPr>
          <w:rFonts w:asciiTheme="minorHAnsi" w:hAnsiTheme="minorHAnsi"/>
          <w:szCs w:val="20"/>
        </w:rPr>
        <w:t xml:space="preserve"> </w:t>
      </w:r>
      <w:r w:rsidR="003C4AAD" w:rsidRPr="00D920C9">
        <w:rPr>
          <w:rFonts w:asciiTheme="minorHAnsi" w:hAnsiTheme="minorHAnsi"/>
          <w:szCs w:val="20"/>
        </w:rPr>
        <w:t xml:space="preserve">In 1999, </w:t>
      </w:r>
      <w:proofErr w:type="spellStart"/>
      <w:r w:rsidR="003C4AAD" w:rsidRPr="00D920C9">
        <w:rPr>
          <w:rFonts w:asciiTheme="minorHAnsi" w:hAnsiTheme="minorHAnsi"/>
          <w:szCs w:val="20"/>
        </w:rPr>
        <w:t>Amadou</w:t>
      </w:r>
      <w:proofErr w:type="spellEnd"/>
      <w:r w:rsidR="003C4AAD" w:rsidRPr="00D920C9">
        <w:rPr>
          <w:rFonts w:asciiTheme="minorHAnsi" w:hAnsiTheme="minorHAnsi"/>
          <w:szCs w:val="20"/>
        </w:rPr>
        <w:t xml:space="preserve"> Diallo was shot 41</w:t>
      </w:r>
      <w:r w:rsidR="00E972DB" w:rsidRPr="00D920C9">
        <w:rPr>
          <w:rFonts w:asciiTheme="minorHAnsi" w:hAnsiTheme="minorHAnsi"/>
          <w:szCs w:val="20"/>
        </w:rPr>
        <w:t xml:space="preserve"> times by New York police while taking his wallet out of his </w:t>
      </w:r>
      <w:r w:rsidR="00E972DB" w:rsidRPr="00D920C9">
        <w:rPr>
          <w:rFonts w:asciiTheme="minorHAnsi" w:hAnsiTheme="minorHAnsi"/>
          <w:szCs w:val="20"/>
        </w:rPr>
        <w:lastRenderedPageBreak/>
        <w:t>jacket</w:t>
      </w:r>
      <w:r w:rsidR="009D0140" w:rsidRPr="00D920C9">
        <w:rPr>
          <w:rFonts w:asciiTheme="minorHAnsi" w:hAnsiTheme="minorHAnsi"/>
          <w:szCs w:val="20"/>
        </w:rPr>
        <w:t>, in a case that prompted public outcry</w:t>
      </w:r>
      <w:r w:rsidR="00E972DB" w:rsidRPr="00D920C9">
        <w:rPr>
          <w:rFonts w:asciiTheme="minorHAnsi" w:hAnsiTheme="minorHAnsi"/>
          <w:szCs w:val="20"/>
        </w:rPr>
        <w:t>.</w:t>
      </w:r>
      <w:r w:rsidR="009D0140" w:rsidRPr="00D920C9">
        <w:rPr>
          <w:rFonts w:asciiTheme="minorHAnsi" w:hAnsiTheme="minorHAnsi"/>
          <w:vertAlign w:val="superscript"/>
        </w:rPr>
        <w:footnoteReference w:id="188"/>
      </w:r>
      <w:r w:rsidR="00E972DB" w:rsidRPr="00D920C9">
        <w:rPr>
          <w:rFonts w:asciiTheme="minorHAnsi" w:hAnsiTheme="minorHAnsi"/>
          <w:szCs w:val="20"/>
        </w:rPr>
        <w:t xml:space="preserve"> </w:t>
      </w:r>
      <w:r w:rsidR="00096E79" w:rsidRPr="00D920C9">
        <w:rPr>
          <w:rFonts w:asciiTheme="minorHAnsi" w:hAnsiTheme="minorHAnsi"/>
          <w:szCs w:val="20"/>
        </w:rPr>
        <w:t>T</w:t>
      </w:r>
      <w:r w:rsidR="00E972DB" w:rsidRPr="00D920C9">
        <w:rPr>
          <w:rFonts w:asciiTheme="minorHAnsi" w:hAnsiTheme="minorHAnsi"/>
          <w:szCs w:val="20"/>
        </w:rPr>
        <w:t>he Commission</w:t>
      </w:r>
      <w:r w:rsidR="00096E79" w:rsidRPr="00D920C9">
        <w:rPr>
          <w:rFonts w:asciiTheme="minorHAnsi" w:hAnsiTheme="minorHAnsi"/>
          <w:szCs w:val="20"/>
        </w:rPr>
        <w:t xml:space="preserve"> notes information</w:t>
      </w:r>
      <w:r w:rsidR="00E972DB" w:rsidRPr="00D920C9">
        <w:rPr>
          <w:rFonts w:asciiTheme="minorHAnsi" w:hAnsiTheme="minorHAnsi"/>
          <w:szCs w:val="20"/>
        </w:rPr>
        <w:t xml:space="preserve"> suggest</w:t>
      </w:r>
      <w:r w:rsidR="00096E79" w:rsidRPr="00D920C9">
        <w:rPr>
          <w:rFonts w:asciiTheme="minorHAnsi" w:hAnsiTheme="minorHAnsi"/>
          <w:szCs w:val="20"/>
        </w:rPr>
        <w:t>ing</w:t>
      </w:r>
      <w:r w:rsidR="00E972DB" w:rsidRPr="00D920C9">
        <w:rPr>
          <w:rFonts w:asciiTheme="minorHAnsi" w:hAnsiTheme="minorHAnsi"/>
          <w:szCs w:val="20"/>
        </w:rPr>
        <w:t xml:space="preserve"> that one important reason for the public visibility and salience of the </w:t>
      </w:r>
      <w:r w:rsidRPr="00D920C9">
        <w:rPr>
          <w:rFonts w:asciiTheme="minorHAnsi" w:hAnsiTheme="minorHAnsi"/>
          <w:szCs w:val="20"/>
        </w:rPr>
        <w:t>problem</w:t>
      </w:r>
      <w:r w:rsidR="00E972DB" w:rsidRPr="00D920C9">
        <w:rPr>
          <w:rFonts w:asciiTheme="minorHAnsi" w:hAnsiTheme="minorHAnsi"/>
          <w:szCs w:val="20"/>
        </w:rPr>
        <w:t xml:space="preserve"> of police violence today is the widespread availability and use of cell phone cameras</w:t>
      </w:r>
      <w:r w:rsidR="00931537" w:rsidRPr="00D920C9">
        <w:rPr>
          <w:rFonts w:asciiTheme="minorHAnsi" w:hAnsiTheme="minorHAnsi"/>
          <w:szCs w:val="20"/>
        </w:rPr>
        <w:t xml:space="preserve"> and</w:t>
      </w:r>
      <w:r w:rsidR="009D0140" w:rsidRPr="00D920C9">
        <w:rPr>
          <w:rFonts w:asciiTheme="minorHAnsi" w:hAnsiTheme="minorHAnsi"/>
          <w:szCs w:val="20"/>
        </w:rPr>
        <w:t xml:space="preserve"> police body cameras</w:t>
      </w:r>
      <w:r w:rsidR="00E972DB" w:rsidRPr="00D920C9">
        <w:rPr>
          <w:rFonts w:asciiTheme="minorHAnsi" w:hAnsiTheme="minorHAnsi"/>
          <w:szCs w:val="20"/>
        </w:rPr>
        <w:t xml:space="preserve"> to </w:t>
      </w:r>
      <w:r w:rsidR="00931537" w:rsidRPr="00D920C9">
        <w:rPr>
          <w:rFonts w:asciiTheme="minorHAnsi" w:hAnsiTheme="minorHAnsi"/>
          <w:szCs w:val="20"/>
        </w:rPr>
        <w:t>record</w:t>
      </w:r>
      <w:r w:rsidR="00E972DB" w:rsidRPr="00D920C9">
        <w:rPr>
          <w:rFonts w:asciiTheme="minorHAnsi" w:hAnsiTheme="minorHAnsi"/>
          <w:szCs w:val="20"/>
        </w:rPr>
        <w:t xml:space="preserve"> incidents of police violence, and the existence of at least some statistics on the prevalence of the problem.</w:t>
      </w:r>
      <w:r w:rsidR="0091412C" w:rsidRPr="00D920C9">
        <w:rPr>
          <w:rFonts w:asciiTheme="minorHAnsi" w:hAnsiTheme="minorHAnsi"/>
          <w:vertAlign w:val="superscript"/>
        </w:rPr>
        <w:footnoteReference w:id="189"/>
      </w:r>
      <w:r w:rsidR="00E972DB" w:rsidRPr="00D920C9">
        <w:rPr>
          <w:rFonts w:asciiTheme="minorHAnsi" w:hAnsiTheme="minorHAnsi"/>
          <w:szCs w:val="20"/>
        </w:rPr>
        <w:t xml:space="preserve"> </w:t>
      </w:r>
      <w:r w:rsidR="00401DF8" w:rsidRPr="00D920C9">
        <w:rPr>
          <w:rFonts w:asciiTheme="minorHAnsi" w:hAnsiTheme="minorHAnsi"/>
          <w:szCs w:val="20"/>
        </w:rPr>
        <w:t>T</w:t>
      </w:r>
      <w:r w:rsidR="00E972DB" w:rsidRPr="00D920C9">
        <w:rPr>
          <w:rFonts w:asciiTheme="minorHAnsi" w:hAnsiTheme="minorHAnsi"/>
          <w:szCs w:val="20"/>
        </w:rPr>
        <w:t xml:space="preserve">he Commission </w:t>
      </w:r>
      <w:r w:rsidR="00711151" w:rsidRPr="00D920C9">
        <w:rPr>
          <w:rFonts w:asciiTheme="minorHAnsi" w:hAnsiTheme="minorHAnsi"/>
          <w:szCs w:val="20"/>
        </w:rPr>
        <w:t xml:space="preserve">again </w:t>
      </w:r>
      <w:r w:rsidR="00E972DB" w:rsidRPr="00D920C9">
        <w:rPr>
          <w:rFonts w:asciiTheme="minorHAnsi" w:hAnsiTheme="minorHAnsi"/>
          <w:szCs w:val="20"/>
        </w:rPr>
        <w:t>highlights the importance of gathering data about the scope of the problem and incentivizing public attention to it.</w:t>
      </w:r>
      <w:bookmarkEnd w:id="78"/>
    </w:p>
    <w:p w14:paraId="33B2C7BF" w14:textId="3C65E53D" w:rsidR="00B4412C" w:rsidRPr="00D920C9" w:rsidRDefault="00B4412C" w:rsidP="002C64F8">
      <w:pPr>
        <w:pStyle w:val="ListParagraph"/>
        <w:numPr>
          <w:ilvl w:val="0"/>
          <w:numId w:val="9"/>
        </w:numPr>
        <w:spacing w:after="240" w:line="240" w:lineRule="auto"/>
        <w:ind w:left="547" w:hanging="547"/>
        <w:contextualSpacing w:val="0"/>
        <w:jc w:val="both"/>
        <w:rPr>
          <w:rFonts w:asciiTheme="minorHAnsi" w:hAnsiTheme="minorHAnsi"/>
          <w:szCs w:val="20"/>
        </w:rPr>
      </w:pPr>
      <w:r w:rsidRPr="00D920C9">
        <w:rPr>
          <w:rFonts w:asciiTheme="minorHAnsi" w:hAnsiTheme="minorHAnsi"/>
          <w:szCs w:val="20"/>
        </w:rPr>
        <w:t>The Commission considers pertinent to note that African</w:t>
      </w:r>
      <w:r w:rsidR="0030356C" w:rsidRPr="00D920C9">
        <w:rPr>
          <w:rFonts w:asciiTheme="minorHAnsi" w:hAnsiTheme="minorHAnsi"/>
          <w:szCs w:val="20"/>
        </w:rPr>
        <w:t xml:space="preserve"> </w:t>
      </w:r>
      <w:r w:rsidRPr="00D920C9">
        <w:rPr>
          <w:rFonts w:asciiTheme="minorHAnsi" w:hAnsiTheme="minorHAnsi"/>
          <w:szCs w:val="20"/>
        </w:rPr>
        <w:t>A</w:t>
      </w:r>
      <w:r w:rsidR="00711151" w:rsidRPr="00D920C9">
        <w:rPr>
          <w:rFonts w:asciiTheme="minorHAnsi" w:hAnsiTheme="minorHAnsi"/>
          <w:szCs w:val="20"/>
        </w:rPr>
        <w:t>mericans are not the only group</w:t>
      </w:r>
      <w:r w:rsidRPr="00D920C9">
        <w:rPr>
          <w:rFonts w:asciiTheme="minorHAnsi" w:hAnsiTheme="minorHAnsi"/>
          <w:szCs w:val="20"/>
        </w:rPr>
        <w:t xml:space="preserve"> disproportionately targeted by police violence</w:t>
      </w:r>
      <w:r w:rsidR="00711151" w:rsidRPr="00D920C9">
        <w:rPr>
          <w:rFonts w:asciiTheme="minorHAnsi" w:hAnsiTheme="minorHAnsi"/>
          <w:szCs w:val="20"/>
        </w:rPr>
        <w:t xml:space="preserve">, and that </w:t>
      </w:r>
      <w:r w:rsidR="00A47BF9" w:rsidRPr="00D920C9">
        <w:rPr>
          <w:rFonts w:asciiTheme="minorHAnsi" w:hAnsiTheme="minorHAnsi"/>
          <w:szCs w:val="20"/>
        </w:rPr>
        <w:t xml:space="preserve">intersectional identities </w:t>
      </w:r>
      <w:r w:rsidR="00711151" w:rsidRPr="00D920C9">
        <w:rPr>
          <w:rFonts w:asciiTheme="minorHAnsi" w:hAnsiTheme="minorHAnsi"/>
          <w:szCs w:val="20"/>
        </w:rPr>
        <w:t>can increase the risk that a black pers</w:t>
      </w:r>
      <w:r w:rsidR="00462884" w:rsidRPr="00D920C9">
        <w:rPr>
          <w:rFonts w:asciiTheme="minorHAnsi" w:hAnsiTheme="minorHAnsi"/>
          <w:szCs w:val="20"/>
        </w:rPr>
        <w:t>on is exposed to this problem</w:t>
      </w:r>
      <w:r w:rsidRPr="00D920C9">
        <w:rPr>
          <w:rFonts w:asciiTheme="minorHAnsi" w:hAnsiTheme="minorHAnsi"/>
          <w:szCs w:val="20"/>
        </w:rPr>
        <w:t xml:space="preserve">. </w:t>
      </w:r>
      <w:r w:rsidR="009D0140" w:rsidRPr="00D920C9">
        <w:rPr>
          <w:rFonts w:asciiTheme="minorHAnsi" w:hAnsiTheme="minorHAnsi"/>
          <w:szCs w:val="20"/>
        </w:rPr>
        <w:t xml:space="preserve">Information received by the Commission </w:t>
      </w:r>
      <w:r w:rsidR="00711151" w:rsidRPr="00D920C9">
        <w:rPr>
          <w:rFonts w:asciiTheme="minorHAnsi" w:hAnsiTheme="minorHAnsi"/>
          <w:szCs w:val="20"/>
        </w:rPr>
        <w:t xml:space="preserve">at public hearings </w:t>
      </w:r>
      <w:r w:rsidR="009D0140" w:rsidRPr="00D920C9">
        <w:rPr>
          <w:rFonts w:asciiTheme="minorHAnsi" w:hAnsiTheme="minorHAnsi"/>
          <w:szCs w:val="20"/>
        </w:rPr>
        <w:t xml:space="preserve">indicates that groups </w:t>
      </w:r>
      <w:r w:rsidR="00A47BF9" w:rsidRPr="00D920C9">
        <w:rPr>
          <w:rFonts w:asciiTheme="minorHAnsi" w:hAnsiTheme="minorHAnsi"/>
          <w:szCs w:val="20"/>
        </w:rPr>
        <w:t>like</w:t>
      </w:r>
      <w:r w:rsidR="009D0140" w:rsidRPr="00D920C9">
        <w:rPr>
          <w:rFonts w:asciiTheme="minorHAnsi" w:hAnsiTheme="minorHAnsi"/>
          <w:szCs w:val="20"/>
        </w:rPr>
        <w:t xml:space="preserve"> Native Americans, Hispanics, migrant workers, individuals experiencing homelessness, and </w:t>
      </w:r>
      <w:r w:rsidR="00A47BF9" w:rsidRPr="00D920C9">
        <w:rPr>
          <w:rFonts w:asciiTheme="minorHAnsi" w:hAnsiTheme="minorHAnsi"/>
          <w:szCs w:val="20"/>
        </w:rPr>
        <w:t>persons</w:t>
      </w:r>
      <w:r w:rsidR="009D0140" w:rsidRPr="00D920C9">
        <w:rPr>
          <w:rFonts w:asciiTheme="minorHAnsi" w:hAnsiTheme="minorHAnsi"/>
          <w:szCs w:val="20"/>
        </w:rPr>
        <w:t xml:space="preserve"> with </w:t>
      </w:r>
      <w:r w:rsidR="00CF31D8" w:rsidRPr="00D920C9">
        <w:rPr>
          <w:rFonts w:asciiTheme="minorHAnsi" w:hAnsiTheme="minorHAnsi"/>
          <w:szCs w:val="20"/>
        </w:rPr>
        <w:t>disabilities</w:t>
      </w:r>
      <w:r w:rsidR="009D0140" w:rsidRPr="00D920C9">
        <w:rPr>
          <w:rFonts w:asciiTheme="minorHAnsi" w:hAnsiTheme="minorHAnsi"/>
          <w:szCs w:val="20"/>
        </w:rPr>
        <w:t xml:space="preserve"> suffer police violence disproportionately.</w:t>
      </w:r>
      <w:r w:rsidR="009D0140" w:rsidRPr="00D920C9">
        <w:rPr>
          <w:rFonts w:asciiTheme="minorHAnsi" w:hAnsiTheme="minorHAnsi"/>
          <w:vertAlign w:val="superscript"/>
        </w:rPr>
        <w:footnoteReference w:id="190"/>
      </w:r>
      <w:r w:rsidR="009D0140" w:rsidRPr="00D920C9">
        <w:rPr>
          <w:rFonts w:asciiTheme="minorHAnsi" w:hAnsiTheme="minorHAnsi"/>
          <w:szCs w:val="20"/>
        </w:rPr>
        <w:t xml:space="preserve"> </w:t>
      </w:r>
      <w:r w:rsidR="00CF31D8" w:rsidRPr="00D920C9">
        <w:rPr>
          <w:rFonts w:asciiTheme="minorHAnsi" w:hAnsiTheme="minorHAnsi"/>
          <w:szCs w:val="20"/>
        </w:rPr>
        <w:t>T</w:t>
      </w:r>
      <w:r w:rsidRPr="00D920C9">
        <w:rPr>
          <w:rFonts w:asciiTheme="minorHAnsi" w:hAnsiTheme="minorHAnsi"/>
          <w:szCs w:val="20"/>
        </w:rPr>
        <w:t>he Co</w:t>
      </w:r>
      <w:r w:rsidR="002903D8" w:rsidRPr="00D920C9">
        <w:rPr>
          <w:rFonts w:asciiTheme="minorHAnsi" w:hAnsiTheme="minorHAnsi"/>
          <w:szCs w:val="20"/>
        </w:rPr>
        <w:t xml:space="preserve">mmission has previously noted </w:t>
      </w:r>
      <w:r w:rsidRPr="00D920C9">
        <w:rPr>
          <w:rFonts w:asciiTheme="minorHAnsi" w:hAnsiTheme="minorHAnsi"/>
          <w:szCs w:val="20"/>
        </w:rPr>
        <w:t xml:space="preserve">the generalized absence of efficient and effective </w:t>
      </w:r>
      <w:r w:rsidR="00711151" w:rsidRPr="00D920C9">
        <w:rPr>
          <w:rFonts w:asciiTheme="minorHAnsi" w:hAnsiTheme="minorHAnsi"/>
          <w:szCs w:val="20"/>
        </w:rPr>
        <w:t>policing</w:t>
      </w:r>
      <w:r w:rsidRPr="00D920C9">
        <w:rPr>
          <w:rFonts w:asciiTheme="minorHAnsi" w:hAnsiTheme="minorHAnsi"/>
          <w:szCs w:val="20"/>
        </w:rPr>
        <w:t xml:space="preserve"> policies </w:t>
      </w:r>
      <w:r w:rsidR="00CF31D8" w:rsidRPr="00D920C9">
        <w:rPr>
          <w:rFonts w:asciiTheme="minorHAnsi" w:hAnsiTheme="minorHAnsi"/>
          <w:szCs w:val="20"/>
        </w:rPr>
        <w:t>to</w:t>
      </w:r>
      <w:r w:rsidRPr="00D920C9">
        <w:rPr>
          <w:rFonts w:asciiTheme="minorHAnsi" w:hAnsiTheme="minorHAnsi"/>
          <w:szCs w:val="20"/>
        </w:rPr>
        <w:t xml:space="preserve"> </w:t>
      </w:r>
      <w:r w:rsidR="00CF31D8" w:rsidRPr="00D920C9">
        <w:rPr>
          <w:rFonts w:asciiTheme="minorHAnsi" w:hAnsiTheme="minorHAnsi"/>
          <w:szCs w:val="20"/>
        </w:rPr>
        <w:t>address</w:t>
      </w:r>
      <w:r w:rsidRPr="00D920C9">
        <w:rPr>
          <w:rFonts w:asciiTheme="minorHAnsi" w:hAnsiTheme="minorHAnsi"/>
          <w:szCs w:val="20"/>
        </w:rPr>
        <w:t xml:space="preserve"> violence against groups that have traditionally experienced discrimination and marginalization, such as women, children and adolescents, Afro‐descendants, indigenous populations, </w:t>
      </w:r>
      <w:r w:rsidR="002903D8" w:rsidRPr="00D920C9">
        <w:rPr>
          <w:rFonts w:asciiTheme="minorHAnsi" w:hAnsiTheme="minorHAnsi"/>
          <w:szCs w:val="20"/>
        </w:rPr>
        <w:t xml:space="preserve">and </w:t>
      </w:r>
      <w:r w:rsidRPr="00D920C9">
        <w:rPr>
          <w:rFonts w:asciiTheme="minorHAnsi" w:hAnsiTheme="minorHAnsi"/>
          <w:szCs w:val="20"/>
        </w:rPr>
        <w:t>migrant workers and their families, among others.</w:t>
      </w:r>
      <w:r w:rsidRPr="00D920C9">
        <w:rPr>
          <w:rFonts w:asciiTheme="minorHAnsi" w:hAnsiTheme="minorHAnsi"/>
          <w:vertAlign w:val="superscript"/>
        </w:rPr>
        <w:footnoteReference w:id="191"/>
      </w:r>
      <w:r w:rsidRPr="00D920C9">
        <w:rPr>
          <w:rFonts w:asciiTheme="minorHAnsi" w:hAnsiTheme="minorHAnsi"/>
          <w:szCs w:val="20"/>
        </w:rPr>
        <w:t> </w:t>
      </w:r>
    </w:p>
    <w:p w14:paraId="6CA5AE7E" w14:textId="77777777" w:rsidR="00B4412C" w:rsidRPr="00D920C9" w:rsidRDefault="00B4412C" w:rsidP="002C64F8">
      <w:pPr>
        <w:pStyle w:val="ListParagraph"/>
        <w:numPr>
          <w:ilvl w:val="0"/>
          <w:numId w:val="9"/>
        </w:numPr>
        <w:spacing w:after="240" w:line="240" w:lineRule="auto"/>
        <w:ind w:left="547" w:hanging="547"/>
        <w:contextualSpacing w:val="0"/>
        <w:jc w:val="both"/>
        <w:rPr>
          <w:rFonts w:asciiTheme="minorHAnsi" w:hAnsiTheme="minorHAnsi"/>
          <w:szCs w:val="20"/>
        </w:rPr>
      </w:pPr>
      <w:r w:rsidRPr="00D920C9">
        <w:rPr>
          <w:rFonts w:asciiTheme="minorHAnsi" w:hAnsiTheme="minorHAnsi"/>
          <w:szCs w:val="20"/>
        </w:rPr>
        <w:t xml:space="preserve">This issue has been the subject of substantial international attention in recent years. Among others, the </w:t>
      </w:r>
      <w:r w:rsidR="00721465" w:rsidRPr="00D920C9">
        <w:rPr>
          <w:rFonts w:asciiTheme="minorHAnsi" w:hAnsiTheme="minorHAnsi"/>
          <w:szCs w:val="20"/>
        </w:rPr>
        <w:t xml:space="preserve">U.N. </w:t>
      </w:r>
      <w:r w:rsidRPr="00D920C9">
        <w:rPr>
          <w:rFonts w:asciiTheme="minorHAnsi" w:hAnsiTheme="minorHAnsi"/>
          <w:szCs w:val="20"/>
        </w:rPr>
        <w:t>Human Rights Committee has signaled its concerns about the excessive use of force in the city of Chicago and called for reform;</w:t>
      </w:r>
      <w:r w:rsidRPr="00D920C9">
        <w:rPr>
          <w:rFonts w:asciiTheme="minorHAnsi" w:hAnsiTheme="minorHAnsi"/>
          <w:vertAlign w:val="superscript"/>
        </w:rPr>
        <w:footnoteReference w:id="192"/>
      </w:r>
      <w:r w:rsidRPr="00D920C9">
        <w:rPr>
          <w:rFonts w:asciiTheme="minorHAnsi" w:hAnsiTheme="minorHAnsi"/>
          <w:szCs w:val="20"/>
        </w:rPr>
        <w:t xml:space="preserve"> the </w:t>
      </w:r>
      <w:r w:rsidR="00D2531A" w:rsidRPr="00D920C9">
        <w:rPr>
          <w:rFonts w:asciiTheme="minorHAnsi" w:hAnsiTheme="minorHAnsi"/>
          <w:szCs w:val="20"/>
        </w:rPr>
        <w:t>CERD</w:t>
      </w:r>
      <w:r w:rsidRPr="00D920C9">
        <w:rPr>
          <w:rFonts w:asciiTheme="minorHAnsi" w:hAnsiTheme="minorHAnsi"/>
          <w:szCs w:val="20"/>
        </w:rPr>
        <w:t xml:space="preserve"> has expressed concern about police brutality and excessive use of force against African</w:t>
      </w:r>
      <w:r w:rsidR="0030356C" w:rsidRPr="00D920C9">
        <w:rPr>
          <w:rFonts w:asciiTheme="minorHAnsi" w:hAnsiTheme="minorHAnsi"/>
          <w:szCs w:val="20"/>
        </w:rPr>
        <w:t xml:space="preserve"> </w:t>
      </w:r>
      <w:r w:rsidRPr="00D920C9">
        <w:rPr>
          <w:rFonts w:asciiTheme="minorHAnsi" w:hAnsiTheme="minorHAnsi"/>
          <w:szCs w:val="20"/>
        </w:rPr>
        <w:t>Americans and against undocumented immigrants at and near the U</w:t>
      </w:r>
      <w:r w:rsidR="00352483" w:rsidRPr="00D920C9">
        <w:rPr>
          <w:rFonts w:asciiTheme="minorHAnsi" w:hAnsiTheme="minorHAnsi"/>
          <w:szCs w:val="20"/>
        </w:rPr>
        <w:t>.</w:t>
      </w:r>
      <w:r w:rsidRPr="00D920C9">
        <w:rPr>
          <w:rFonts w:asciiTheme="minorHAnsi" w:hAnsiTheme="minorHAnsi"/>
          <w:szCs w:val="20"/>
        </w:rPr>
        <w:t>S</w:t>
      </w:r>
      <w:r w:rsidR="00352483" w:rsidRPr="00D920C9">
        <w:rPr>
          <w:rFonts w:asciiTheme="minorHAnsi" w:hAnsiTheme="minorHAnsi"/>
          <w:szCs w:val="20"/>
        </w:rPr>
        <w:t>.</w:t>
      </w:r>
      <w:r w:rsidRPr="00D920C9">
        <w:rPr>
          <w:rFonts w:asciiTheme="minorHAnsi" w:hAnsiTheme="minorHAnsi"/>
          <w:szCs w:val="20"/>
        </w:rPr>
        <w:t>-Mexico border;</w:t>
      </w:r>
      <w:r w:rsidRPr="00D920C9">
        <w:rPr>
          <w:rFonts w:asciiTheme="minorHAnsi" w:hAnsiTheme="minorHAnsi"/>
          <w:vertAlign w:val="superscript"/>
        </w:rPr>
        <w:footnoteReference w:id="193"/>
      </w:r>
      <w:r w:rsidRPr="00D920C9">
        <w:rPr>
          <w:rFonts w:asciiTheme="minorHAnsi" w:hAnsiTheme="minorHAnsi"/>
          <w:szCs w:val="20"/>
        </w:rPr>
        <w:t xml:space="preserve"> and the U</w:t>
      </w:r>
      <w:r w:rsidR="00352483" w:rsidRPr="00D920C9">
        <w:rPr>
          <w:rFonts w:asciiTheme="minorHAnsi" w:hAnsiTheme="minorHAnsi"/>
          <w:szCs w:val="20"/>
        </w:rPr>
        <w:t>.</w:t>
      </w:r>
      <w:r w:rsidRPr="00D920C9">
        <w:rPr>
          <w:rFonts w:asciiTheme="minorHAnsi" w:hAnsiTheme="minorHAnsi"/>
          <w:szCs w:val="20"/>
        </w:rPr>
        <w:t>N</w:t>
      </w:r>
      <w:r w:rsidR="00352483" w:rsidRPr="00D920C9">
        <w:rPr>
          <w:rFonts w:asciiTheme="minorHAnsi" w:hAnsiTheme="minorHAnsi"/>
          <w:szCs w:val="20"/>
        </w:rPr>
        <w:t>.</w:t>
      </w:r>
      <w:r w:rsidRPr="00D920C9">
        <w:rPr>
          <w:rFonts w:asciiTheme="minorHAnsi" w:hAnsiTheme="minorHAnsi"/>
          <w:szCs w:val="20"/>
        </w:rPr>
        <w:t xml:space="preserve"> Working Group of Experts on People of African Descent has expressed concerns at “alarming” levels of police brutality and excessive use of force by law enforcement officials.</w:t>
      </w:r>
      <w:r w:rsidRPr="00D920C9">
        <w:rPr>
          <w:rFonts w:asciiTheme="minorHAnsi" w:hAnsiTheme="minorHAnsi"/>
          <w:vertAlign w:val="superscript"/>
        </w:rPr>
        <w:footnoteReference w:id="194"/>
      </w:r>
      <w:r w:rsidRPr="00D920C9">
        <w:rPr>
          <w:rFonts w:asciiTheme="minorHAnsi" w:hAnsiTheme="minorHAnsi"/>
          <w:szCs w:val="20"/>
        </w:rPr>
        <w:t xml:space="preserve"> </w:t>
      </w:r>
      <w:r w:rsidR="0064619A" w:rsidRPr="00D920C9">
        <w:rPr>
          <w:rFonts w:asciiTheme="minorHAnsi" w:hAnsiTheme="minorHAnsi"/>
          <w:szCs w:val="20"/>
        </w:rPr>
        <w:t>In this respect, t</w:t>
      </w:r>
      <w:r w:rsidRPr="00D920C9">
        <w:rPr>
          <w:rFonts w:asciiTheme="minorHAnsi" w:hAnsiTheme="minorHAnsi"/>
          <w:szCs w:val="20"/>
        </w:rPr>
        <w:t>he U</w:t>
      </w:r>
      <w:r w:rsidR="00352483" w:rsidRPr="00D920C9">
        <w:rPr>
          <w:rFonts w:asciiTheme="minorHAnsi" w:hAnsiTheme="minorHAnsi"/>
          <w:szCs w:val="20"/>
        </w:rPr>
        <w:t>.</w:t>
      </w:r>
      <w:r w:rsidRPr="00D920C9">
        <w:rPr>
          <w:rFonts w:asciiTheme="minorHAnsi" w:hAnsiTheme="minorHAnsi"/>
          <w:szCs w:val="20"/>
        </w:rPr>
        <w:t>N</w:t>
      </w:r>
      <w:r w:rsidR="00352483" w:rsidRPr="00D920C9">
        <w:rPr>
          <w:rFonts w:asciiTheme="minorHAnsi" w:hAnsiTheme="minorHAnsi"/>
          <w:szCs w:val="20"/>
        </w:rPr>
        <w:t>.</w:t>
      </w:r>
      <w:r w:rsidRPr="00D920C9">
        <w:rPr>
          <w:rFonts w:asciiTheme="minorHAnsi" w:hAnsiTheme="minorHAnsi"/>
          <w:szCs w:val="20"/>
        </w:rPr>
        <w:t xml:space="preserve"> Special Rapporteur on extrajudicial, summary and arbitrary executions has noted that “at times, the police exercise higher levels of violence against certain groups of </w:t>
      </w:r>
      <w:r w:rsidRPr="00D920C9">
        <w:rPr>
          <w:rFonts w:asciiTheme="minorHAnsi" w:hAnsiTheme="minorHAnsi"/>
          <w:szCs w:val="20"/>
        </w:rPr>
        <w:lastRenderedPageBreak/>
        <w:t xml:space="preserve">people, based on institutional racism. Discrimination </w:t>
      </w:r>
      <w:r w:rsidR="00B47756" w:rsidRPr="00D920C9">
        <w:rPr>
          <w:rFonts w:asciiTheme="minorHAnsi" w:hAnsiTheme="minorHAnsi"/>
          <w:szCs w:val="20"/>
        </w:rPr>
        <w:t>[…]</w:t>
      </w:r>
      <w:r w:rsidRPr="00D920C9">
        <w:rPr>
          <w:rFonts w:asciiTheme="minorHAnsi" w:hAnsiTheme="minorHAnsi"/>
          <w:szCs w:val="20"/>
        </w:rPr>
        <w:t xml:space="preserve"> also impact</w:t>
      </w:r>
      <w:r w:rsidR="00224D66" w:rsidRPr="00D920C9">
        <w:rPr>
          <w:rFonts w:asciiTheme="minorHAnsi" w:hAnsiTheme="minorHAnsi"/>
          <w:szCs w:val="20"/>
        </w:rPr>
        <w:t>s on patterns of accountability</w:t>
      </w:r>
      <w:r w:rsidRPr="00D920C9">
        <w:rPr>
          <w:rFonts w:asciiTheme="minorHAnsi" w:hAnsiTheme="minorHAnsi"/>
          <w:szCs w:val="20"/>
        </w:rPr>
        <w:t>.”</w:t>
      </w:r>
      <w:r w:rsidRPr="00D920C9">
        <w:rPr>
          <w:rFonts w:asciiTheme="minorHAnsi" w:hAnsiTheme="minorHAnsi"/>
          <w:szCs w:val="20"/>
          <w:vertAlign w:val="superscript"/>
        </w:rPr>
        <w:footnoteReference w:id="195"/>
      </w:r>
    </w:p>
    <w:p w14:paraId="2B241C40" w14:textId="06DC8F9D" w:rsidR="0064619A" w:rsidRPr="00D920C9" w:rsidRDefault="0064619A" w:rsidP="002C64F8">
      <w:pPr>
        <w:pStyle w:val="ListParagraph"/>
        <w:numPr>
          <w:ilvl w:val="0"/>
          <w:numId w:val="9"/>
        </w:numPr>
        <w:spacing w:after="240" w:line="240" w:lineRule="auto"/>
        <w:ind w:left="547" w:hanging="547"/>
        <w:contextualSpacing w:val="0"/>
        <w:jc w:val="both"/>
        <w:rPr>
          <w:rFonts w:asciiTheme="minorHAnsi" w:hAnsiTheme="minorHAnsi"/>
          <w:szCs w:val="20"/>
        </w:rPr>
      </w:pPr>
      <w:r w:rsidRPr="00D920C9">
        <w:rPr>
          <w:rFonts w:asciiTheme="minorHAnsi" w:hAnsiTheme="minorHAnsi"/>
          <w:szCs w:val="20"/>
        </w:rPr>
        <w:t xml:space="preserve">Available information indicates that excessive force is enabled by a legal framework that is inadequate to ensure that the use of force by law enforcement in the </w:t>
      </w:r>
      <w:r w:rsidR="00D24FA7" w:rsidRPr="00D920C9">
        <w:rPr>
          <w:rFonts w:asciiTheme="minorHAnsi" w:hAnsiTheme="minorHAnsi"/>
          <w:szCs w:val="20"/>
        </w:rPr>
        <w:t>U.S.</w:t>
      </w:r>
      <w:r w:rsidRPr="00D920C9">
        <w:rPr>
          <w:rFonts w:asciiTheme="minorHAnsi" w:hAnsiTheme="minorHAnsi"/>
          <w:szCs w:val="20"/>
        </w:rPr>
        <w:t xml:space="preserve"> complies with international law. The Commission notes with concern civil society analyses</w:t>
      </w:r>
      <w:r w:rsidR="00B47756" w:rsidRPr="00D920C9">
        <w:rPr>
          <w:rFonts w:asciiTheme="minorHAnsi" w:hAnsiTheme="minorHAnsi"/>
          <w:szCs w:val="20"/>
        </w:rPr>
        <w:t xml:space="preserve"> that</w:t>
      </w:r>
      <w:r w:rsidRPr="00D920C9">
        <w:rPr>
          <w:rFonts w:asciiTheme="minorHAnsi" w:hAnsiTheme="minorHAnsi"/>
          <w:szCs w:val="20"/>
        </w:rPr>
        <w:t xml:space="preserve"> indicate that no state’s laws currently comply with the </w:t>
      </w:r>
      <w:r w:rsidR="00904A46" w:rsidRPr="00D920C9">
        <w:rPr>
          <w:rFonts w:asciiTheme="minorHAnsi" w:hAnsiTheme="minorHAnsi"/>
          <w:szCs w:val="20"/>
        </w:rPr>
        <w:t>U.S.’</w:t>
      </w:r>
      <w:r w:rsidRPr="00D920C9">
        <w:rPr>
          <w:rFonts w:asciiTheme="minorHAnsi" w:hAnsiTheme="minorHAnsi"/>
          <w:szCs w:val="20"/>
        </w:rPr>
        <w:t xml:space="preserve"> international obligations regarding the use of force.</w:t>
      </w:r>
      <w:r w:rsidRPr="00D920C9">
        <w:rPr>
          <w:rFonts w:asciiTheme="minorHAnsi" w:hAnsiTheme="minorHAnsi"/>
          <w:vertAlign w:val="superscript"/>
        </w:rPr>
        <w:footnoteReference w:id="196"/>
      </w:r>
      <w:r w:rsidRPr="00D920C9">
        <w:rPr>
          <w:rFonts w:asciiTheme="minorHAnsi" w:hAnsiTheme="minorHAnsi"/>
        </w:rPr>
        <w:t xml:space="preserve"> </w:t>
      </w:r>
      <w:r w:rsidRPr="00D920C9">
        <w:rPr>
          <w:rFonts w:asciiTheme="minorHAnsi" w:hAnsiTheme="minorHAnsi"/>
          <w:szCs w:val="20"/>
        </w:rPr>
        <w:t xml:space="preserve">Furthermore, no state laws passed </w:t>
      </w:r>
      <w:r w:rsidR="00B47756" w:rsidRPr="00D920C9">
        <w:rPr>
          <w:rFonts w:asciiTheme="minorHAnsi" w:hAnsiTheme="minorHAnsi"/>
          <w:szCs w:val="20"/>
        </w:rPr>
        <w:t>on</w:t>
      </w:r>
      <w:r w:rsidRPr="00D920C9">
        <w:rPr>
          <w:rFonts w:asciiTheme="minorHAnsi" w:hAnsiTheme="minorHAnsi"/>
          <w:szCs w:val="20"/>
        </w:rPr>
        <w:t xml:space="preserve"> use of force since the publication of the above-referenced report brought states into compliance with international law.</w:t>
      </w:r>
      <w:r w:rsidRPr="00D920C9">
        <w:rPr>
          <w:rFonts w:asciiTheme="minorHAnsi" w:hAnsiTheme="minorHAnsi"/>
          <w:vertAlign w:val="superscript"/>
        </w:rPr>
        <w:footnoteReference w:id="197"/>
      </w:r>
      <w:r w:rsidRPr="00D920C9">
        <w:rPr>
          <w:rFonts w:asciiTheme="minorHAnsi" w:hAnsiTheme="minorHAnsi"/>
          <w:szCs w:val="20"/>
        </w:rPr>
        <w:t xml:space="preserve"> At the federal level, the Supreme Court case Tennessee v. Garner </w:t>
      </w:r>
      <w:r w:rsidR="0085662E" w:rsidRPr="00D920C9">
        <w:rPr>
          <w:rFonts w:asciiTheme="minorHAnsi" w:hAnsiTheme="minorHAnsi"/>
          <w:szCs w:val="20"/>
        </w:rPr>
        <w:t xml:space="preserve">and subsequent jurisprudence </w:t>
      </w:r>
      <w:r w:rsidRPr="00D920C9">
        <w:rPr>
          <w:rFonts w:asciiTheme="minorHAnsi" w:hAnsiTheme="minorHAnsi"/>
          <w:szCs w:val="20"/>
        </w:rPr>
        <w:t>permits use of lethal force by law enforcement in circumstances other than those permitted under international law.</w:t>
      </w:r>
      <w:r w:rsidRPr="00D920C9">
        <w:rPr>
          <w:rFonts w:asciiTheme="minorHAnsi" w:hAnsiTheme="minorHAnsi"/>
        </w:rPr>
        <w:t xml:space="preserve"> </w:t>
      </w:r>
      <w:r w:rsidRPr="00D920C9">
        <w:rPr>
          <w:rFonts w:asciiTheme="minorHAnsi" w:hAnsiTheme="minorHAnsi"/>
          <w:vertAlign w:val="superscript"/>
        </w:rPr>
        <w:footnoteReference w:id="198"/>
      </w:r>
      <w:r w:rsidRPr="00D920C9">
        <w:rPr>
          <w:rFonts w:asciiTheme="minorHAnsi" w:hAnsiTheme="minorHAnsi"/>
          <w:szCs w:val="20"/>
        </w:rPr>
        <w:t xml:space="preserve"> </w:t>
      </w:r>
      <w:r w:rsidR="00260D9A" w:rsidRPr="00D920C9">
        <w:rPr>
          <w:rFonts w:asciiTheme="minorHAnsi" w:hAnsiTheme="minorHAnsi"/>
          <w:szCs w:val="20"/>
        </w:rPr>
        <w:t xml:space="preserve">Indeed, </w:t>
      </w:r>
      <w:r w:rsidR="0021415D" w:rsidRPr="00D920C9">
        <w:rPr>
          <w:rFonts w:asciiTheme="minorHAnsi" w:hAnsiTheme="minorHAnsi"/>
          <w:szCs w:val="20"/>
        </w:rPr>
        <w:t>one recent case of a white</w:t>
      </w:r>
      <w:r w:rsidR="00260D9A" w:rsidRPr="00D920C9">
        <w:rPr>
          <w:rFonts w:asciiTheme="minorHAnsi" w:hAnsiTheme="minorHAnsi"/>
          <w:szCs w:val="20"/>
        </w:rPr>
        <w:t xml:space="preserve"> officer fired for not </w:t>
      </w:r>
      <w:r w:rsidR="0021415D" w:rsidRPr="00D920C9">
        <w:rPr>
          <w:rFonts w:asciiTheme="minorHAnsi" w:hAnsiTheme="minorHAnsi"/>
          <w:szCs w:val="20"/>
        </w:rPr>
        <w:t>firing his weapon at a “visibly distraught” black man</w:t>
      </w:r>
      <w:r w:rsidR="00B47756" w:rsidRPr="00D920C9">
        <w:rPr>
          <w:rFonts w:asciiTheme="minorHAnsi" w:hAnsiTheme="minorHAnsi"/>
          <w:szCs w:val="20"/>
        </w:rPr>
        <w:t>,</w:t>
      </w:r>
      <w:r w:rsidR="0021415D" w:rsidRPr="00D920C9">
        <w:rPr>
          <w:rFonts w:asciiTheme="minorHAnsi" w:hAnsiTheme="minorHAnsi"/>
          <w:szCs w:val="20"/>
        </w:rPr>
        <w:t xml:space="preserve"> but rather de-escalating the situation, highlighted the extent to which U.S. law and practice can favor the use of force even when unnecessary.</w:t>
      </w:r>
      <w:r w:rsidR="0021415D" w:rsidRPr="00D920C9">
        <w:rPr>
          <w:rFonts w:asciiTheme="minorHAnsi" w:hAnsiTheme="minorHAnsi"/>
          <w:vertAlign w:val="superscript"/>
        </w:rPr>
        <w:footnoteReference w:id="199"/>
      </w:r>
      <w:r w:rsidR="00260D9A" w:rsidRPr="00D920C9">
        <w:rPr>
          <w:rFonts w:asciiTheme="minorHAnsi" w:hAnsiTheme="minorHAnsi"/>
          <w:szCs w:val="20"/>
        </w:rPr>
        <w:t xml:space="preserve"> </w:t>
      </w:r>
      <w:r w:rsidR="000310BD" w:rsidRPr="00D920C9">
        <w:rPr>
          <w:rFonts w:asciiTheme="minorHAnsi" w:hAnsiTheme="minorHAnsi"/>
          <w:szCs w:val="20"/>
        </w:rPr>
        <w:t xml:space="preserve"> </w:t>
      </w:r>
    </w:p>
    <w:p w14:paraId="235C7C1F" w14:textId="77777777" w:rsidR="003A77B8" w:rsidRPr="00D920C9" w:rsidRDefault="003A77B8" w:rsidP="002C64F8">
      <w:pPr>
        <w:pStyle w:val="ListParagraph"/>
        <w:numPr>
          <w:ilvl w:val="0"/>
          <w:numId w:val="9"/>
        </w:numPr>
        <w:spacing w:after="240" w:line="240" w:lineRule="auto"/>
        <w:ind w:left="547" w:hanging="547"/>
        <w:contextualSpacing w:val="0"/>
        <w:jc w:val="both"/>
        <w:rPr>
          <w:rFonts w:asciiTheme="minorHAnsi" w:hAnsiTheme="minorHAnsi"/>
          <w:szCs w:val="20"/>
        </w:rPr>
      </w:pPr>
      <w:r w:rsidRPr="00D920C9">
        <w:rPr>
          <w:rFonts w:asciiTheme="minorHAnsi" w:hAnsiTheme="minorHAnsi"/>
          <w:szCs w:val="20"/>
        </w:rPr>
        <w:t xml:space="preserve">In recent years, the Commission has received extensive information about police killings in the </w:t>
      </w:r>
      <w:r w:rsidR="00904A46" w:rsidRPr="00D920C9">
        <w:rPr>
          <w:rFonts w:asciiTheme="minorHAnsi" w:hAnsiTheme="minorHAnsi"/>
          <w:szCs w:val="20"/>
        </w:rPr>
        <w:t>U.S</w:t>
      </w:r>
      <w:r w:rsidRPr="00D920C9">
        <w:rPr>
          <w:rFonts w:asciiTheme="minorHAnsi" w:hAnsiTheme="minorHAnsi"/>
          <w:szCs w:val="20"/>
        </w:rPr>
        <w:t>. Following the killings of Eric Garner</w:t>
      </w:r>
      <w:r w:rsidR="00D87808" w:rsidRPr="00D920C9">
        <w:rPr>
          <w:rFonts w:asciiTheme="minorHAnsi" w:hAnsiTheme="minorHAnsi"/>
          <w:szCs w:val="20"/>
        </w:rPr>
        <w:t xml:space="preserve"> in Long Island</w:t>
      </w:r>
      <w:r w:rsidRPr="00D920C9">
        <w:rPr>
          <w:rFonts w:asciiTheme="minorHAnsi" w:hAnsiTheme="minorHAnsi"/>
          <w:szCs w:val="20"/>
        </w:rPr>
        <w:t xml:space="preserve"> and of Michael Brown</w:t>
      </w:r>
      <w:r w:rsidR="00D360A9" w:rsidRPr="00D920C9">
        <w:rPr>
          <w:rFonts w:asciiTheme="minorHAnsi" w:hAnsiTheme="minorHAnsi"/>
          <w:szCs w:val="20"/>
        </w:rPr>
        <w:t xml:space="preserve"> </w:t>
      </w:r>
      <w:r w:rsidR="00D87808" w:rsidRPr="00D920C9">
        <w:rPr>
          <w:rFonts w:asciiTheme="minorHAnsi" w:hAnsiTheme="minorHAnsi"/>
          <w:szCs w:val="20"/>
        </w:rPr>
        <w:t xml:space="preserve">in Ferguson, Missouri </w:t>
      </w:r>
      <w:r w:rsidR="00D360A9" w:rsidRPr="00D920C9">
        <w:rPr>
          <w:rFonts w:asciiTheme="minorHAnsi" w:hAnsiTheme="minorHAnsi"/>
          <w:szCs w:val="20"/>
        </w:rPr>
        <w:t>in the summer of 2014</w:t>
      </w:r>
      <w:r w:rsidRPr="00D920C9">
        <w:rPr>
          <w:rFonts w:asciiTheme="minorHAnsi" w:hAnsiTheme="minorHAnsi"/>
          <w:szCs w:val="20"/>
        </w:rPr>
        <w:t xml:space="preserve">, </w:t>
      </w:r>
      <w:r w:rsidR="0064619A" w:rsidRPr="00D920C9">
        <w:rPr>
          <w:rFonts w:asciiTheme="minorHAnsi" w:hAnsiTheme="minorHAnsi"/>
          <w:szCs w:val="20"/>
        </w:rPr>
        <w:t>the Commission</w:t>
      </w:r>
      <w:r w:rsidR="0085662E" w:rsidRPr="00D920C9">
        <w:rPr>
          <w:rFonts w:asciiTheme="minorHAnsi" w:hAnsiTheme="minorHAnsi"/>
          <w:szCs w:val="20"/>
        </w:rPr>
        <w:t xml:space="preserve"> considered that those cases “represent the continuation of a disturbing pattern of excessive force on the part of police officers towards African-Americans and other persons of color,” and “urge[d] the State to give renewed attention to the possible links between these cases and past cases that demonstrated a pattern of use of excessive force against persons of color.”</w:t>
      </w:r>
      <w:r w:rsidR="0085662E" w:rsidRPr="00D920C9">
        <w:rPr>
          <w:rStyle w:val="FootnoteReference"/>
          <w:rFonts w:asciiTheme="minorHAnsi" w:hAnsiTheme="minorHAnsi"/>
          <w:szCs w:val="20"/>
        </w:rPr>
        <w:footnoteReference w:id="200"/>
      </w:r>
      <w:r w:rsidR="0085662E" w:rsidRPr="00D920C9">
        <w:rPr>
          <w:rFonts w:asciiTheme="minorHAnsi" w:hAnsiTheme="minorHAnsi"/>
          <w:szCs w:val="20"/>
        </w:rPr>
        <w:t xml:space="preserve"> Subsequently</w:t>
      </w:r>
      <w:r w:rsidRPr="00D920C9">
        <w:rPr>
          <w:rFonts w:asciiTheme="minorHAnsi" w:hAnsiTheme="minorHAnsi"/>
          <w:szCs w:val="20"/>
        </w:rPr>
        <w:t>, the Commission expressed concern about the killing of Walter Lamar Scott</w:t>
      </w:r>
      <w:r w:rsidR="00B751A9" w:rsidRPr="00D920C9">
        <w:rPr>
          <w:rFonts w:asciiTheme="minorHAnsi" w:hAnsiTheme="minorHAnsi"/>
          <w:szCs w:val="20"/>
        </w:rPr>
        <w:t xml:space="preserve"> </w:t>
      </w:r>
      <w:r w:rsidR="00D87808" w:rsidRPr="00D920C9">
        <w:rPr>
          <w:rFonts w:asciiTheme="minorHAnsi" w:hAnsiTheme="minorHAnsi"/>
          <w:szCs w:val="20"/>
        </w:rPr>
        <w:t>by</w:t>
      </w:r>
      <w:r w:rsidRPr="00D920C9">
        <w:rPr>
          <w:rFonts w:asciiTheme="minorHAnsi" w:hAnsiTheme="minorHAnsi"/>
          <w:szCs w:val="20"/>
        </w:rPr>
        <w:t xml:space="preserve"> a police officer</w:t>
      </w:r>
      <w:r w:rsidR="0085662E" w:rsidRPr="00D920C9">
        <w:rPr>
          <w:rFonts w:asciiTheme="minorHAnsi" w:hAnsiTheme="minorHAnsi"/>
          <w:szCs w:val="20"/>
        </w:rPr>
        <w:t xml:space="preserve"> in South Carolina,</w:t>
      </w:r>
      <w:r w:rsidRPr="00D920C9">
        <w:rPr>
          <w:rStyle w:val="FootnoteReference"/>
          <w:rFonts w:asciiTheme="minorHAnsi" w:hAnsiTheme="minorHAnsi"/>
          <w:szCs w:val="20"/>
        </w:rPr>
        <w:footnoteReference w:id="201"/>
      </w:r>
      <w:r w:rsidR="0085662E" w:rsidRPr="00D920C9">
        <w:rPr>
          <w:rFonts w:asciiTheme="minorHAnsi" w:hAnsiTheme="minorHAnsi"/>
          <w:szCs w:val="20"/>
        </w:rPr>
        <w:t xml:space="preserve"> </w:t>
      </w:r>
      <w:r w:rsidR="00B751A9" w:rsidRPr="00D920C9">
        <w:rPr>
          <w:rFonts w:asciiTheme="minorHAnsi" w:hAnsiTheme="minorHAnsi"/>
          <w:szCs w:val="20"/>
        </w:rPr>
        <w:t>and</w:t>
      </w:r>
      <w:r w:rsidR="0085662E" w:rsidRPr="00D920C9">
        <w:rPr>
          <w:rFonts w:asciiTheme="minorHAnsi" w:hAnsiTheme="minorHAnsi"/>
          <w:szCs w:val="20"/>
        </w:rPr>
        <w:t xml:space="preserve"> at the killings of Alton Sterling in Baton Rouge, Louisiana, and </w:t>
      </w:r>
      <w:proofErr w:type="spellStart"/>
      <w:r w:rsidR="0085662E" w:rsidRPr="00D920C9">
        <w:rPr>
          <w:rFonts w:asciiTheme="minorHAnsi" w:hAnsiTheme="minorHAnsi"/>
          <w:szCs w:val="20"/>
        </w:rPr>
        <w:t>Philando</w:t>
      </w:r>
      <w:proofErr w:type="spellEnd"/>
      <w:r w:rsidR="0085662E" w:rsidRPr="00D920C9">
        <w:rPr>
          <w:rFonts w:asciiTheme="minorHAnsi" w:hAnsiTheme="minorHAnsi"/>
          <w:szCs w:val="20"/>
        </w:rPr>
        <w:t xml:space="preserve"> Castile near St. Paul, Minnesota.</w:t>
      </w:r>
      <w:r w:rsidR="0085662E" w:rsidRPr="00D920C9">
        <w:rPr>
          <w:rStyle w:val="FootnoteReference"/>
          <w:rFonts w:asciiTheme="minorHAnsi" w:hAnsiTheme="minorHAnsi"/>
          <w:szCs w:val="20"/>
        </w:rPr>
        <w:footnoteReference w:id="202"/>
      </w:r>
      <w:r w:rsidR="0085662E" w:rsidRPr="00D920C9">
        <w:rPr>
          <w:rFonts w:asciiTheme="minorHAnsi" w:hAnsiTheme="minorHAnsi"/>
          <w:szCs w:val="20"/>
        </w:rPr>
        <w:t xml:space="preserve"> T</w:t>
      </w:r>
      <w:r w:rsidRPr="00D920C9">
        <w:rPr>
          <w:rFonts w:asciiTheme="minorHAnsi" w:hAnsiTheme="minorHAnsi"/>
          <w:szCs w:val="20"/>
        </w:rPr>
        <w:t xml:space="preserve">he Commission </w:t>
      </w:r>
      <w:r w:rsidR="0064619A" w:rsidRPr="00D920C9">
        <w:rPr>
          <w:rFonts w:asciiTheme="minorHAnsi" w:hAnsiTheme="minorHAnsi"/>
          <w:szCs w:val="20"/>
        </w:rPr>
        <w:t xml:space="preserve">has also </w:t>
      </w:r>
      <w:r w:rsidRPr="00D920C9">
        <w:rPr>
          <w:rFonts w:asciiTheme="minorHAnsi" w:hAnsiTheme="minorHAnsi"/>
          <w:szCs w:val="20"/>
        </w:rPr>
        <w:t xml:space="preserve">received testimony about cases of police killings at public hearings, including the cases of </w:t>
      </w:r>
      <w:proofErr w:type="spellStart"/>
      <w:r w:rsidRPr="00D920C9">
        <w:rPr>
          <w:rFonts w:asciiTheme="minorHAnsi" w:hAnsiTheme="minorHAnsi"/>
          <w:szCs w:val="20"/>
        </w:rPr>
        <w:t>Rekia</w:t>
      </w:r>
      <w:proofErr w:type="spellEnd"/>
      <w:r w:rsidRPr="00D920C9">
        <w:rPr>
          <w:rFonts w:asciiTheme="minorHAnsi" w:hAnsiTheme="minorHAnsi"/>
          <w:szCs w:val="20"/>
        </w:rPr>
        <w:t xml:space="preserve"> Boyd, Clinton Allen, </w:t>
      </w:r>
      <w:proofErr w:type="spellStart"/>
      <w:r w:rsidRPr="00D920C9">
        <w:rPr>
          <w:rFonts w:asciiTheme="minorHAnsi" w:hAnsiTheme="minorHAnsi"/>
          <w:szCs w:val="20"/>
        </w:rPr>
        <w:t>Tesfaie</w:t>
      </w:r>
      <w:proofErr w:type="spellEnd"/>
      <w:r w:rsidRPr="00D920C9">
        <w:rPr>
          <w:rFonts w:asciiTheme="minorHAnsi" w:hAnsiTheme="minorHAnsi"/>
          <w:szCs w:val="20"/>
        </w:rPr>
        <w:t xml:space="preserve"> </w:t>
      </w:r>
      <w:proofErr w:type="spellStart"/>
      <w:r w:rsidRPr="00D920C9">
        <w:rPr>
          <w:rFonts w:asciiTheme="minorHAnsi" w:hAnsiTheme="minorHAnsi"/>
          <w:szCs w:val="20"/>
        </w:rPr>
        <w:t>Mokuria</w:t>
      </w:r>
      <w:proofErr w:type="spellEnd"/>
      <w:r w:rsidRPr="00D920C9">
        <w:rPr>
          <w:rFonts w:asciiTheme="minorHAnsi" w:hAnsiTheme="minorHAnsi"/>
          <w:szCs w:val="20"/>
        </w:rPr>
        <w:t xml:space="preserve">, Milton Hall, Luis </w:t>
      </w:r>
      <w:proofErr w:type="spellStart"/>
      <w:r w:rsidRPr="00D920C9">
        <w:rPr>
          <w:rFonts w:asciiTheme="minorHAnsi" w:hAnsiTheme="minorHAnsi"/>
          <w:szCs w:val="20"/>
        </w:rPr>
        <w:t>Góngora</w:t>
      </w:r>
      <w:proofErr w:type="spellEnd"/>
      <w:r w:rsidRPr="00D920C9">
        <w:rPr>
          <w:rFonts w:asciiTheme="minorHAnsi" w:hAnsiTheme="minorHAnsi"/>
          <w:szCs w:val="20"/>
        </w:rPr>
        <w:t xml:space="preserve"> Pat, and Dontre Hamilton.</w:t>
      </w:r>
      <w:r w:rsidR="0064619A" w:rsidRPr="00D920C9">
        <w:rPr>
          <w:rStyle w:val="FootnoteReference"/>
          <w:rFonts w:asciiTheme="minorHAnsi" w:hAnsiTheme="minorHAnsi"/>
          <w:szCs w:val="20"/>
        </w:rPr>
        <w:footnoteReference w:id="203"/>
      </w:r>
      <w:r w:rsidR="00BE5B01" w:rsidRPr="00D920C9">
        <w:rPr>
          <w:rFonts w:asciiTheme="minorHAnsi" w:hAnsiTheme="minorHAnsi"/>
          <w:szCs w:val="20"/>
        </w:rPr>
        <w:t xml:space="preserve"> High-profile police killings continue </w:t>
      </w:r>
      <w:r w:rsidR="00BE5B01" w:rsidRPr="00D920C9">
        <w:rPr>
          <w:rFonts w:asciiTheme="minorHAnsi" w:hAnsiTheme="minorHAnsi"/>
          <w:szCs w:val="20"/>
        </w:rPr>
        <w:lastRenderedPageBreak/>
        <w:t xml:space="preserve">to occur as of the writing of this report; for example, in March 2018, the killing of Stephon Clark, a 22-year-old father of two </w:t>
      </w:r>
      <w:r w:rsidR="00B751A9" w:rsidRPr="00D920C9">
        <w:rPr>
          <w:rFonts w:asciiTheme="minorHAnsi" w:hAnsiTheme="minorHAnsi"/>
          <w:szCs w:val="20"/>
        </w:rPr>
        <w:t>while</w:t>
      </w:r>
      <w:r w:rsidR="00BE5B01" w:rsidRPr="00D920C9">
        <w:rPr>
          <w:rFonts w:asciiTheme="minorHAnsi" w:hAnsiTheme="minorHAnsi"/>
          <w:szCs w:val="20"/>
        </w:rPr>
        <w:t xml:space="preserve"> talking on his cell phone in his backyard, by police in Sacramento, California, sparked widespread public condemnation and protests.</w:t>
      </w:r>
      <w:r w:rsidR="00BE5B01" w:rsidRPr="00D920C9">
        <w:rPr>
          <w:rStyle w:val="FootnoteReference"/>
          <w:rFonts w:asciiTheme="minorHAnsi" w:hAnsiTheme="minorHAnsi"/>
          <w:szCs w:val="20"/>
        </w:rPr>
        <w:footnoteReference w:id="204"/>
      </w:r>
    </w:p>
    <w:p w14:paraId="2E1285EF" w14:textId="7B9F67A6" w:rsidR="003A77B8" w:rsidRPr="00D920C9" w:rsidRDefault="00B86733" w:rsidP="002C64F8">
      <w:pPr>
        <w:pStyle w:val="ListParagraph"/>
        <w:numPr>
          <w:ilvl w:val="0"/>
          <w:numId w:val="9"/>
        </w:numPr>
        <w:spacing w:after="240" w:line="240" w:lineRule="auto"/>
        <w:ind w:left="547" w:hanging="547"/>
        <w:contextualSpacing w:val="0"/>
        <w:jc w:val="both"/>
        <w:rPr>
          <w:rFonts w:asciiTheme="minorHAnsi" w:hAnsiTheme="minorHAnsi"/>
          <w:szCs w:val="20"/>
        </w:rPr>
      </w:pPr>
      <w:bookmarkStart w:id="79" w:name="_Ref511834986"/>
      <w:bookmarkStart w:id="80" w:name="_Ref507172769"/>
      <w:r w:rsidRPr="00D920C9">
        <w:rPr>
          <w:rFonts w:asciiTheme="minorHAnsi" w:hAnsiTheme="minorHAnsi"/>
          <w:szCs w:val="20"/>
        </w:rPr>
        <w:t xml:space="preserve">The Commission </w:t>
      </w:r>
      <w:r w:rsidR="0064619A" w:rsidRPr="00D920C9">
        <w:rPr>
          <w:rFonts w:asciiTheme="minorHAnsi" w:hAnsiTheme="minorHAnsi"/>
          <w:szCs w:val="20"/>
        </w:rPr>
        <w:t xml:space="preserve">also </w:t>
      </w:r>
      <w:r w:rsidR="006C5703" w:rsidRPr="00D920C9">
        <w:rPr>
          <w:rFonts w:asciiTheme="minorHAnsi" w:hAnsiTheme="minorHAnsi"/>
          <w:szCs w:val="20"/>
        </w:rPr>
        <w:t>received information</w:t>
      </w:r>
      <w:r w:rsidRPr="00D920C9">
        <w:rPr>
          <w:rFonts w:asciiTheme="minorHAnsi" w:hAnsiTheme="minorHAnsi"/>
          <w:szCs w:val="20"/>
        </w:rPr>
        <w:t xml:space="preserve"> about police violence during its on-site visit in 2015. </w:t>
      </w:r>
      <w:r w:rsidR="0064619A" w:rsidRPr="00D920C9">
        <w:rPr>
          <w:rFonts w:asciiTheme="minorHAnsi" w:hAnsiTheme="minorHAnsi"/>
          <w:szCs w:val="20"/>
        </w:rPr>
        <w:t>For example, t</w:t>
      </w:r>
      <w:r w:rsidR="003A77B8" w:rsidRPr="00D920C9">
        <w:rPr>
          <w:rFonts w:asciiTheme="minorHAnsi" w:hAnsiTheme="minorHAnsi"/>
          <w:szCs w:val="20"/>
        </w:rPr>
        <w:t>he delegation was informed in New Orleans of the need to change the culture of the use of excessive police force to strengthen accountability mechanisms and transparency in investigations.</w:t>
      </w:r>
      <w:r w:rsidR="003A77B8" w:rsidRPr="00D920C9">
        <w:rPr>
          <w:rStyle w:val="FootnoteReference"/>
          <w:rFonts w:asciiTheme="minorHAnsi" w:hAnsiTheme="minorHAnsi"/>
          <w:szCs w:val="20"/>
        </w:rPr>
        <w:footnoteReference w:id="205"/>
      </w:r>
      <w:r w:rsidR="0064619A" w:rsidRPr="00D920C9">
        <w:rPr>
          <w:rFonts w:asciiTheme="minorHAnsi" w:hAnsiTheme="minorHAnsi"/>
          <w:szCs w:val="20"/>
        </w:rPr>
        <w:t xml:space="preserve"> Likewise, d</w:t>
      </w:r>
      <w:r w:rsidR="003A77B8" w:rsidRPr="00D920C9">
        <w:rPr>
          <w:rFonts w:asciiTheme="minorHAnsi" w:hAnsiTheme="minorHAnsi"/>
          <w:szCs w:val="20"/>
        </w:rPr>
        <w:t xml:space="preserve">uring its meeting with the administration and police authorities of the City of Orlando, the delegation was informed </w:t>
      </w:r>
      <w:r w:rsidR="00224D66" w:rsidRPr="00D920C9">
        <w:rPr>
          <w:rFonts w:asciiTheme="minorHAnsi" w:hAnsiTheme="minorHAnsi"/>
          <w:szCs w:val="20"/>
        </w:rPr>
        <w:t>about</w:t>
      </w:r>
      <w:r w:rsidR="003A77B8" w:rsidRPr="00D920C9">
        <w:rPr>
          <w:rFonts w:asciiTheme="minorHAnsi" w:hAnsiTheme="minorHAnsi"/>
          <w:szCs w:val="20"/>
        </w:rPr>
        <w:t xml:space="preserve"> several policies adopted to prevent excessive use of police force</w:t>
      </w:r>
      <w:r w:rsidR="0064619A" w:rsidRPr="00D920C9">
        <w:rPr>
          <w:rFonts w:asciiTheme="minorHAnsi" w:hAnsiTheme="minorHAnsi"/>
          <w:szCs w:val="20"/>
        </w:rPr>
        <w:t>, including</w:t>
      </w:r>
      <w:r w:rsidR="003A77B8" w:rsidRPr="00D920C9">
        <w:rPr>
          <w:rFonts w:asciiTheme="minorHAnsi" w:hAnsiTheme="minorHAnsi"/>
          <w:szCs w:val="20"/>
        </w:rPr>
        <w:t xml:space="preserve"> a comprehensive policy to prevent racial profiling, efforts to build</w:t>
      </w:r>
      <w:r w:rsidR="0064619A" w:rsidRPr="00D920C9">
        <w:rPr>
          <w:rFonts w:asciiTheme="minorHAnsi" w:hAnsiTheme="minorHAnsi"/>
          <w:szCs w:val="20"/>
        </w:rPr>
        <w:t xml:space="preserve"> police</w:t>
      </w:r>
      <w:r w:rsidR="003A77B8" w:rsidRPr="00D920C9">
        <w:rPr>
          <w:rFonts w:asciiTheme="minorHAnsi" w:hAnsiTheme="minorHAnsi"/>
          <w:szCs w:val="20"/>
        </w:rPr>
        <w:t xml:space="preserve"> trust and relationships with the communities they police, measures to increase access to information on the cases that are being investigated, alternatives to arrests, and steps to follow</w:t>
      </w:r>
      <w:r w:rsidR="0064619A" w:rsidRPr="00D920C9">
        <w:rPr>
          <w:rFonts w:asciiTheme="minorHAnsi" w:hAnsiTheme="minorHAnsi"/>
          <w:szCs w:val="20"/>
        </w:rPr>
        <w:t xml:space="preserve"> </w:t>
      </w:r>
      <w:r w:rsidR="003A77B8" w:rsidRPr="00D920C9">
        <w:rPr>
          <w:rFonts w:asciiTheme="minorHAnsi" w:hAnsiTheme="minorHAnsi"/>
          <w:szCs w:val="20"/>
        </w:rPr>
        <w:t xml:space="preserve">up </w:t>
      </w:r>
      <w:r w:rsidR="0064619A" w:rsidRPr="00D920C9">
        <w:rPr>
          <w:rFonts w:asciiTheme="minorHAnsi" w:hAnsiTheme="minorHAnsi"/>
          <w:szCs w:val="20"/>
        </w:rPr>
        <w:t>on</w:t>
      </w:r>
      <w:r w:rsidR="003A77B8" w:rsidRPr="00D920C9">
        <w:rPr>
          <w:rFonts w:asciiTheme="minorHAnsi" w:hAnsiTheme="minorHAnsi"/>
          <w:szCs w:val="20"/>
        </w:rPr>
        <w:t xml:space="preserve"> the recommendations issued by the President</w:t>
      </w:r>
      <w:r w:rsidR="007B00C7" w:rsidRPr="00D920C9">
        <w:rPr>
          <w:rFonts w:asciiTheme="minorHAnsi" w:hAnsiTheme="minorHAnsi"/>
          <w:szCs w:val="20"/>
        </w:rPr>
        <w:t xml:space="preserve"> Obama’s</w:t>
      </w:r>
      <w:r w:rsidR="003A77B8" w:rsidRPr="00D920C9">
        <w:rPr>
          <w:rFonts w:asciiTheme="minorHAnsi" w:hAnsiTheme="minorHAnsi"/>
          <w:szCs w:val="20"/>
        </w:rPr>
        <w:t xml:space="preserve"> Task Force on 21st Century Policing.</w:t>
      </w:r>
      <w:bookmarkEnd w:id="79"/>
      <w:r w:rsidR="0064619A" w:rsidRPr="00D920C9">
        <w:rPr>
          <w:rFonts w:asciiTheme="minorHAnsi" w:hAnsiTheme="minorHAnsi"/>
          <w:szCs w:val="20"/>
        </w:rPr>
        <w:t xml:space="preserve"> </w:t>
      </w:r>
      <w:bookmarkEnd w:id="80"/>
    </w:p>
    <w:p w14:paraId="17A8DF0B" w14:textId="77777777" w:rsidR="005908F9" w:rsidRPr="00D920C9" w:rsidRDefault="005908F9" w:rsidP="002C64F8">
      <w:pPr>
        <w:pStyle w:val="ListParagraph"/>
        <w:numPr>
          <w:ilvl w:val="0"/>
          <w:numId w:val="9"/>
        </w:numPr>
        <w:spacing w:after="240" w:line="240" w:lineRule="auto"/>
        <w:ind w:left="547" w:hanging="547"/>
        <w:contextualSpacing w:val="0"/>
        <w:jc w:val="both"/>
        <w:rPr>
          <w:rFonts w:asciiTheme="minorHAnsi" w:hAnsiTheme="minorHAnsi"/>
          <w:szCs w:val="20"/>
        </w:rPr>
      </w:pPr>
      <w:r w:rsidRPr="00D920C9">
        <w:rPr>
          <w:rFonts w:asciiTheme="minorHAnsi" w:hAnsiTheme="minorHAnsi"/>
          <w:szCs w:val="20"/>
        </w:rPr>
        <w:t>At an October 2015 hearing on excessive use of force against African</w:t>
      </w:r>
      <w:r w:rsidR="0030356C" w:rsidRPr="00D920C9">
        <w:rPr>
          <w:rFonts w:asciiTheme="minorHAnsi" w:hAnsiTheme="minorHAnsi"/>
          <w:szCs w:val="20"/>
        </w:rPr>
        <w:t xml:space="preserve"> </w:t>
      </w:r>
      <w:r w:rsidRPr="00D920C9">
        <w:rPr>
          <w:rFonts w:asciiTheme="minorHAnsi" w:hAnsiTheme="minorHAnsi"/>
          <w:szCs w:val="20"/>
        </w:rPr>
        <w:t xml:space="preserve">Americans, the Commission received testimony from </w:t>
      </w:r>
      <w:r w:rsidR="00551EB5" w:rsidRPr="00D920C9">
        <w:rPr>
          <w:rFonts w:asciiTheme="minorHAnsi" w:hAnsiTheme="minorHAnsi"/>
          <w:szCs w:val="20"/>
        </w:rPr>
        <w:t xml:space="preserve">Martinez Sutton, </w:t>
      </w:r>
      <w:r w:rsidR="00B02577" w:rsidRPr="00D920C9">
        <w:rPr>
          <w:rFonts w:asciiTheme="minorHAnsi" w:hAnsiTheme="minorHAnsi"/>
          <w:szCs w:val="20"/>
        </w:rPr>
        <w:t>brother</w:t>
      </w:r>
      <w:r w:rsidR="00551EB5" w:rsidRPr="00D920C9">
        <w:rPr>
          <w:rFonts w:asciiTheme="minorHAnsi" w:hAnsiTheme="minorHAnsi"/>
          <w:szCs w:val="20"/>
        </w:rPr>
        <w:t xml:space="preserve"> of </w:t>
      </w:r>
      <w:proofErr w:type="spellStart"/>
      <w:r w:rsidR="00551EB5" w:rsidRPr="00D920C9">
        <w:rPr>
          <w:rFonts w:asciiTheme="minorHAnsi" w:hAnsiTheme="minorHAnsi"/>
          <w:szCs w:val="20"/>
        </w:rPr>
        <w:t>Rekia</w:t>
      </w:r>
      <w:proofErr w:type="spellEnd"/>
      <w:r w:rsidR="00551EB5" w:rsidRPr="00D920C9">
        <w:rPr>
          <w:rFonts w:asciiTheme="minorHAnsi" w:hAnsiTheme="minorHAnsi"/>
          <w:szCs w:val="20"/>
        </w:rPr>
        <w:t xml:space="preserve"> Boyd: </w:t>
      </w:r>
    </w:p>
    <w:tbl>
      <w:tblPr>
        <w:tblStyle w:val="TableGrid"/>
        <w:tblW w:w="0" w:type="auto"/>
        <w:jc w:val="center"/>
        <w:shd w:val="clear" w:color="auto" w:fill="D9D9D9" w:themeFill="background1" w:themeFillShade="D9"/>
        <w:tblLook w:val="04A0" w:firstRow="1" w:lastRow="0" w:firstColumn="1" w:lastColumn="0" w:noHBand="0" w:noVBand="1"/>
      </w:tblPr>
      <w:tblGrid>
        <w:gridCol w:w="7848"/>
      </w:tblGrid>
      <w:tr w:rsidR="00E03D8F" w:rsidRPr="00D920C9" w14:paraId="087292BE" w14:textId="77777777" w:rsidTr="003D7958">
        <w:trPr>
          <w:jc w:val="center"/>
        </w:trPr>
        <w:tc>
          <w:tcPr>
            <w:tcW w:w="9029" w:type="dxa"/>
            <w:shd w:val="clear" w:color="auto" w:fill="D9D9D9" w:themeFill="background1" w:themeFillShade="D9"/>
          </w:tcPr>
          <w:p w14:paraId="29694367" w14:textId="751FA998" w:rsidR="00E03D8F" w:rsidRPr="00D920C9" w:rsidRDefault="00E03D8F" w:rsidP="00E03D8F">
            <w:pPr>
              <w:spacing w:after="240" w:line="240" w:lineRule="auto"/>
              <w:ind w:left="288" w:right="288"/>
              <w:jc w:val="both"/>
              <w:rPr>
                <w:rFonts w:asciiTheme="minorHAnsi" w:hAnsiTheme="minorHAnsi"/>
                <w:szCs w:val="18"/>
              </w:rPr>
            </w:pPr>
            <w:r w:rsidRPr="00D920C9">
              <w:rPr>
                <w:rFonts w:asciiTheme="minorHAnsi" w:hAnsiTheme="minorHAnsi"/>
                <w:szCs w:val="18"/>
              </w:rPr>
              <w:br/>
              <w:t xml:space="preserve">On March 21, 2012, my sister </w:t>
            </w:r>
            <w:proofErr w:type="spellStart"/>
            <w:r w:rsidRPr="00D920C9">
              <w:rPr>
                <w:rFonts w:asciiTheme="minorHAnsi" w:hAnsiTheme="minorHAnsi"/>
                <w:szCs w:val="18"/>
              </w:rPr>
              <w:t>Rekia</w:t>
            </w:r>
            <w:proofErr w:type="spellEnd"/>
            <w:r w:rsidRPr="00D920C9">
              <w:rPr>
                <w:rFonts w:asciiTheme="minorHAnsi" w:hAnsiTheme="minorHAnsi"/>
                <w:szCs w:val="18"/>
              </w:rPr>
              <w:t xml:space="preserve"> Boyd was enjoying herself on the west side of Chicago in Douglas Park. She called me and let me know she wasn’t coming home that night. I didn’t know she meant she was going to be gone forever.</w:t>
            </w:r>
          </w:p>
          <w:p w14:paraId="598A2C9C" w14:textId="77777777" w:rsidR="00E03D8F" w:rsidRPr="00D920C9" w:rsidRDefault="00E03D8F" w:rsidP="00E03D8F">
            <w:pPr>
              <w:spacing w:after="240" w:line="240" w:lineRule="auto"/>
              <w:ind w:left="288" w:right="288"/>
              <w:jc w:val="both"/>
              <w:rPr>
                <w:rFonts w:asciiTheme="minorHAnsi" w:hAnsiTheme="minorHAnsi"/>
                <w:szCs w:val="18"/>
              </w:rPr>
            </w:pPr>
            <w:proofErr w:type="spellStart"/>
            <w:r w:rsidRPr="00D920C9">
              <w:rPr>
                <w:rFonts w:asciiTheme="minorHAnsi" w:hAnsiTheme="minorHAnsi"/>
                <w:szCs w:val="18"/>
              </w:rPr>
              <w:t>Rekia</w:t>
            </w:r>
            <w:proofErr w:type="spellEnd"/>
            <w:r w:rsidRPr="00D920C9">
              <w:rPr>
                <w:rFonts w:asciiTheme="minorHAnsi" w:hAnsiTheme="minorHAnsi"/>
                <w:szCs w:val="18"/>
              </w:rPr>
              <w:t xml:space="preserve"> and three other friends left the park and walked to a store. </w:t>
            </w:r>
            <w:proofErr w:type="spellStart"/>
            <w:r w:rsidRPr="00D920C9">
              <w:rPr>
                <w:rFonts w:asciiTheme="minorHAnsi" w:hAnsiTheme="minorHAnsi"/>
                <w:szCs w:val="18"/>
              </w:rPr>
              <w:t>En</w:t>
            </w:r>
            <w:proofErr w:type="spellEnd"/>
            <w:r w:rsidRPr="00D920C9">
              <w:rPr>
                <w:rFonts w:asciiTheme="minorHAnsi" w:hAnsiTheme="minorHAnsi"/>
                <w:szCs w:val="18"/>
              </w:rPr>
              <w:t xml:space="preserve"> route, they came across […] off-duty officer Dante </w:t>
            </w:r>
            <w:proofErr w:type="spellStart"/>
            <w:r w:rsidRPr="00D920C9">
              <w:rPr>
                <w:rFonts w:asciiTheme="minorHAnsi" w:hAnsiTheme="minorHAnsi"/>
                <w:szCs w:val="18"/>
              </w:rPr>
              <w:t>Servin</w:t>
            </w:r>
            <w:proofErr w:type="spellEnd"/>
            <w:r w:rsidRPr="00D920C9">
              <w:rPr>
                <w:rFonts w:asciiTheme="minorHAnsi" w:hAnsiTheme="minorHAnsi"/>
                <w:szCs w:val="18"/>
              </w:rPr>
              <w:t xml:space="preserve">, [who] exchanged words with the group [and began firing his gun]. Antonio Cross was shot in the hand and my sister was shot in the head. The reason why she is dead is because [the officer] didn’t like the noise that was coming out of the park which is near where he lived. </w:t>
            </w:r>
          </w:p>
          <w:p w14:paraId="7F8FC6B6" w14:textId="04AF074A" w:rsidR="00E03D8F" w:rsidRPr="00D920C9" w:rsidRDefault="00E03D8F" w:rsidP="00F233D9">
            <w:pPr>
              <w:widowControl w:val="0"/>
              <w:spacing w:after="240" w:line="240" w:lineRule="auto"/>
              <w:ind w:left="288" w:right="288"/>
              <w:jc w:val="both"/>
              <w:rPr>
                <w:rFonts w:asciiTheme="minorHAnsi" w:hAnsiTheme="minorHAnsi"/>
                <w:szCs w:val="18"/>
              </w:rPr>
            </w:pPr>
            <w:r w:rsidRPr="00D920C9">
              <w:rPr>
                <w:rFonts w:asciiTheme="minorHAnsi" w:hAnsiTheme="minorHAnsi"/>
                <w:szCs w:val="18"/>
              </w:rPr>
              <w:t xml:space="preserve">It was deemed a justified shooting, but they had nothing to justify it with. There was […] no weapon on any person in the group, nor was anyone in the group being confrontational, so where is the justification? I met Dante face-to-face a few months later […] I told him that I wanted him to go down for killing my sister. He told me the best thing for me to do was to sue the city, take money and take care of my family, and leave well enough alone. </w:t>
            </w:r>
            <w:r w:rsidR="0004388D">
              <w:rPr>
                <w:rFonts w:asciiTheme="minorHAnsi" w:hAnsiTheme="minorHAnsi"/>
                <w:szCs w:val="18"/>
              </w:rPr>
              <w:br/>
            </w:r>
            <w:r w:rsidR="0004388D">
              <w:rPr>
                <w:rFonts w:asciiTheme="minorHAnsi" w:hAnsiTheme="minorHAnsi"/>
                <w:szCs w:val="18"/>
              </w:rPr>
              <w:lastRenderedPageBreak/>
              <w:br/>
            </w:r>
            <w:r w:rsidRPr="00D920C9">
              <w:rPr>
                <w:rFonts w:asciiTheme="minorHAnsi" w:hAnsiTheme="minorHAnsi"/>
                <w:szCs w:val="18"/>
              </w:rPr>
              <w:t xml:space="preserve">When I let him know I thought otherwise, he said “Okay, if this is what you want,” like he knew he would get off. </w:t>
            </w:r>
          </w:p>
          <w:p w14:paraId="7826B6DE" w14:textId="77777777" w:rsidR="00E03D8F" w:rsidRPr="00D920C9" w:rsidRDefault="00E03D8F" w:rsidP="00E03D8F">
            <w:pPr>
              <w:spacing w:after="240" w:line="240" w:lineRule="auto"/>
              <w:ind w:left="288" w:right="288"/>
              <w:jc w:val="both"/>
              <w:rPr>
                <w:rFonts w:asciiTheme="minorHAnsi" w:hAnsiTheme="minorHAnsi"/>
                <w:szCs w:val="18"/>
              </w:rPr>
            </w:pPr>
            <w:r w:rsidRPr="00D920C9">
              <w:rPr>
                <w:rFonts w:asciiTheme="minorHAnsi" w:hAnsiTheme="minorHAnsi"/>
                <w:szCs w:val="18"/>
              </w:rPr>
              <w:t xml:space="preserve">On April 20, 2015, [the officer was] ruled not guilty. They [had] charged him with involuntary manslaughter. Judge Porter declared the charges shouldn’t have been anything but murder. He said that the prosecutors had failed to provide the right charges. </w:t>
            </w:r>
          </w:p>
          <w:p w14:paraId="0A929C81" w14:textId="31D715B2" w:rsidR="00E03D8F" w:rsidRPr="00D920C9" w:rsidRDefault="00E03D8F" w:rsidP="00E03D8F">
            <w:pPr>
              <w:spacing w:after="240" w:line="240" w:lineRule="auto"/>
              <w:ind w:left="288" w:right="288"/>
              <w:jc w:val="both"/>
              <w:rPr>
                <w:rFonts w:asciiTheme="minorHAnsi" w:hAnsiTheme="minorHAnsi"/>
                <w:szCs w:val="18"/>
              </w:rPr>
            </w:pPr>
            <w:r w:rsidRPr="00D920C9">
              <w:rPr>
                <w:rFonts w:asciiTheme="minorHAnsi" w:hAnsiTheme="minorHAnsi"/>
                <w:szCs w:val="18"/>
              </w:rPr>
              <w:t xml:space="preserve">The pain I feel in my heart will never be healed because of the psychological trauma that plays in my head on a constant basis. There was no help offered to help soothe the pain that me and my family feel, no mental health services offered, not even an apology for taking my sister off this earth. The constant harassment I receive from police officers for speaking out about the loss hasn’t died down yet. At times I feel like I am </w:t>
            </w:r>
            <w:r w:rsidR="00625D97">
              <w:rPr>
                <w:rFonts w:asciiTheme="minorHAnsi" w:hAnsiTheme="minorHAnsi"/>
                <w:szCs w:val="18"/>
              </w:rPr>
              <w:br/>
            </w:r>
            <w:r w:rsidRPr="00D920C9">
              <w:rPr>
                <w:rFonts w:asciiTheme="minorHAnsi" w:hAnsiTheme="minorHAnsi"/>
                <w:szCs w:val="18"/>
              </w:rPr>
              <w:t xml:space="preserve">the next to die, and it can happen at any given moment. The pain in my mother’s eyes along with the constant flow of tears, is never ending. How can I dry up a river of tears with Kleenex? It is hard to explain to my children and my nieces and nephews that their aunt is never coming home. It’s tough, especially the youngest ones that always expect for her to walk through the door. In the search for answers, I have just been presented with more problems that seem to have no solutions. </w:t>
            </w:r>
          </w:p>
          <w:p w14:paraId="0BA307E5" w14:textId="47A5650E" w:rsidR="00E03D8F" w:rsidRPr="00D920C9" w:rsidRDefault="00E03D8F" w:rsidP="001167CB">
            <w:pPr>
              <w:spacing w:after="240" w:line="240" w:lineRule="auto"/>
              <w:ind w:left="288" w:right="288"/>
              <w:jc w:val="both"/>
              <w:rPr>
                <w:rFonts w:asciiTheme="minorHAnsi" w:hAnsiTheme="minorHAnsi"/>
                <w:szCs w:val="18"/>
              </w:rPr>
            </w:pPr>
            <w:r w:rsidRPr="00D920C9">
              <w:rPr>
                <w:rFonts w:asciiTheme="minorHAnsi" w:hAnsiTheme="minorHAnsi"/>
                <w:szCs w:val="18"/>
              </w:rPr>
              <w:t>I’m still trying to find justice, but what is justice? To me, it’s just ice to numb the situation. I’m still trying to find answers, and I’m hoping that you all can help me.</w:t>
            </w:r>
            <w:r w:rsidRPr="00D920C9">
              <w:rPr>
                <w:rStyle w:val="FootnoteReference"/>
                <w:rFonts w:asciiTheme="minorHAnsi" w:hAnsiTheme="minorHAnsi"/>
                <w:szCs w:val="18"/>
              </w:rPr>
              <w:footnoteReference w:id="206"/>
            </w:r>
            <w:r w:rsidRPr="00D920C9">
              <w:rPr>
                <w:rFonts w:asciiTheme="minorHAnsi" w:hAnsiTheme="minorHAnsi"/>
                <w:szCs w:val="18"/>
              </w:rPr>
              <w:t xml:space="preserve"> </w:t>
            </w:r>
          </w:p>
        </w:tc>
      </w:tr>
    </w:tbl>
    <w:p w14:paraId="0A820B34" w14:textId="77777777" w:rsidR="00E03D8F" w:rsidRPr="00D920C9" w:rsidRDefault="00E03D8F" w:rsidP="00625D97">
      <w:pPr>
        <w:pStyle w:val="ListParagraph"/>
        <w:spacing w:after="0" w:line="240" w:lineRule="auto"/>
        <w:ind w:left="547"/>
        <w:contextualSpacing w:val="0"/>
        <w:jc w:val="both"/>
        <w:rPr>
          <w:rFonts w:asciiTheme="minorHAnsi" w:hAnsiTheme="minorHAnsi"/>
          <w:szCs w:val="20"/>
        </w:rPr>
      </w:pPr>
    </w:p>
    <w:p w14:paraId="5D0E98F1" w14:textId="77777777" w:rsidR="005908F9" w:rsidRPr="00D920C9" w:rsidRDefault="005908F9" w:rsidP="002C64F8">
      <w:pPr>
        <w:pStyle w:val="ListParagraph"/>
        <w:numPr>
          <w:ilvl w:val="0"/>
          <w:numId w:val="9"/>
        </w:numPr>
        <w:spacing w:after="240" w:line="240" w:lineRule="auto"/>
        <w:ind w:left="547" w:hanging="547"/>
        <w:contextualSpacing w:val="0"/>
        <w:jc w:val="both"/>
        <w:rPr>
          <w:rFonts w:asciiTheme="minorHAnsi" w:hAnsiTheme="minorHAnsi"/>
          <w:szCs w:val="20"/>
        </w:rPr>
      </w:pPr>
      <w:r w:rsidRPr="00D920C9">
        <w:rPr>
          <w:rFonts w:asciiTheme="minorHAnsi" w:hAnsiTheme="minorHAnsi"/>
          <w:szCs w:val="20"/>
        </w:rPr>
        <w:t>At the same hearing, the Commission received testimony from Collette Flanagan, mother of Clinton Allen and co-founder of Mothers Against Police Brutality</w:t>
      </w:r>
      <w:r w:rsidR="00551EB5" w:rsidRPr="00D920C9">
        <w:rPr>
          <w:rFonts w:asciiTheme="minorHAnsi" w:hAnsiTheme="minorHAnsi"/>
          <w:szCs w:val="20"/>
        </w:rPr>
        <w:t xml:space="preserve">: </w:t>
      </w:r>
    </w:p>
    <w:tbl>
      <w:tblPr>
        <w:tblStyle w:val="TableGrid"/>
        <w:tblW w:w="0" w:type="auto"/>
        <w:jc w:val="right"/>
        <w:tblLook w:val="04A0" w:firstRow="1" w:lastRow="0" w:firstColumn="1" w:lastColumn="0" w:noHBand="0" w:noVBand="1"/>
      </w:tblPr>
      <w:tblGrid>
        <w:gridCol w:w="7848"/>
      </w:tblGrid>
      <w:tr w:rsidR="00E03D8F" w:rsidRPr="00D920C9" w14:paraId="4386E407" w14:textId="77777777" w:rsidTr="003A1642">
        <w:trPr>
          <w:jc w:val="right"/>
        </w:trPr>
        <w:tc>
          <w:tcPr>
            <w:tcW w:w="9029" w:type="dxa"/>
            <w:shd w:val="clear" w:color="auto" w:fill="D9D9D9" w:themeFill="background1" w:themeFillShade="D9"/>
          </w:tcPr>
          <w:p w14:paraId="07E3F228" w14:textId="77777777" w:rsidR="003A1642" w:rsidRDefault="00E03D8F" w:rsidP="001167CB">
            <w:pPr>
              <w:spacing w:after="240" w:line="240" w:lineRule="auto"/>
              <w:ind w:left="288" w:right="288"/>
              <w:jc w:val="both"/>
              <w:rPr>
                <w:rFonts w:asciiTheme="minorHAnsi" w:hAnsiTheme="minorHAnsi"/>
                <w:szCs w:val="18"/>
              </w:rPr>
            </w:pPr>
            <w:r w:rsidRPr="00D920C9">
              <w:rPr>
                <w:rFonts w:asciiTheme="minorHAnsi" w:hAnsiTheme="minorHAnsi"/>
                <w:szCs w:val="20"/>
              </w:rPr>
              <w:br/>
            </w:r>
            <w:r w:rsidRPr="00D920C9">
              <w:rPr>
                <w:rFonts w:asciiTheme="minorHAnsi" w:hAnsiTheme="minorHAnsi"/>
                <w:szCs w:val="18"/>
              </w:rPr>
              <w:t xml:space="preserve">My only son Clinton Allen was murdered by Dallas policemen on March 10, 2013. He was unarmed, and shot 7 times. Once under his left arm consistent with his hands being raised, five times in the chest, and once at close range in the back. The policeman who killed my son did exactly what his past behavior indicated that he would do. He had a record of falsifying police records, running over a fleeing suspect with his police car, and using excessive force on mostly black men. And finally on that fateful day he graduated to killing and killed my son. </w:t>
            </w:r>
          </w:p>
          <w:p w14:paraId="28ED4B5E" w14:textId="5CB92DC2" w:rsidR="003A1642" w:rsidRPr="00D920C9" w:rsidRDefault="0004388D" w:rsidP="001167CB">
            <w:pPr>
              <w:spacing w:after="240" w:line="240" w:lineRule="auto"/>
              <w:ind w:left="288" w:right="288"/>
              <w:jc w:val="both"/>
              <w:rPr>
                <w:rFonts w:asciiTheme="minorHAnsi" w:hAnsiTheme="minorHAnsi"/>
                <w:szCs w:val="18"/>
              </w:rPr>
            </w:pPr>
            <w:r>
              <w:rPr>
                <w:rFonts w:asciiTheme="minorHAnsi" w:hAnsiTheme="minorHAnsi"/>
                <w:szCs w:val="18"/>
              </w:rPr>
              <w:br/>
            </w:r>
            <w:r>
              <w:rPr>
                <w:rFonts w:asciiTheme="minorHAnsi" w:hAnsiTheme="minorHAnsi"/>
                <w:szCs w:val="18"/>
              </w:rPr>
              <w:lastRenderedPageBreak/>
              <w:br/>
            </w:r>
            <w:r w:rsidR="003A1642" w:rsidRPr="00D920C9">
              <w:rPr>
                <w:rFonts w:asciiTheme="minorHAnsi" w:hAnsiTheme="minorHAnsi"/>
                <w:szCs w:val="18"/>
              </w:rPr>
              <w:t xml:space="preserve">The policeman that killed my son was not fit to be a policeman. He had such a troubled history with the Dallas Police Department. We insisted, and prevailed, that he not be allowed to go back on patrol with a gun, but he has received no other punishment: no charges, no indictment, no trial, and no loss of pay. </w:t>
            </w:r>
          </w:p>
          <w:p w14:paraId="542FA983" w14:textId="399203B0" w:rsidR="00E03D8F" w:rsidRPr="00D920C9" w:rsidRDefault="003A1642" w:rsidP="001167CB">
            <w:pPr>
              <w:spacing w:after="240" w:line="240" w:lineRule="auto"/>
              <w:ind w:left="288" w:right="288"/>
              <w:jc w:val="both"/>
              <w:rPr>
                <w:rFonts w:asciiTheme="minorHAnsi" w:hAnsiTheme="minorHAnsi"/>
                <w:szCs w:val="20"/>
              </w:rPr>
            </w:pPr>
            <w:r w:rsidRPr="00D920C9">
              <w:rPr>
                <w:rFonts w:asciiTheme="minorHAnsi" w:hAnsiTheme="minorHAnsi"/>
                <w:szCs w:val="18"/>
              </w:rPr>
              <w:t>My own sorrow turned to anger at the pervasive injustice, and finally to determination to win justice for my son. The homicidal brutality of police officers is an ongoing national disgrace. I am determined to win justice for my son and others whose lives and futures have been stolen by the very officials who have sworn to protect and serve us, but I need this Commission to hold my country to their commitment to respect human rights. Mothers against Police Brutality needs your help to restore the social contract that police violence has ripped to shreds in the streets of our cities. I pray that we will reweave the social contract before more lives are lost. Thank you.</w:t>
            </w:r>
            <w:r w:rsidRPr="00D920C9">
              <w:rPr>
                <w:rStyle w:val="FootnoteReference"/>
                <w:rFonts w:asciiTheme="minorHAnsi" w:hAnsiTheme="minorHAnsi"/>
                <w:szCs w:val="18"/>
              </w:rPr>
              <w:footnoteReference w:id="207"/>
            </w:r>
          </w:p>
        </w:tc>
      </w:tr>
    </w:tbl>
    <w:p w14:paraId="6BF205C8" w14:textId="77777777" w:rsidR="00200783" w:rsidRPr="00D920C9" w:rsidRDefault="00200783" w:rsidP="0040052F">
      <w:pPr>
        <w:spacing w:after="0" w:line="240" w:lineRule="auto"/>
        <w:ind w:firstLine="720"/>
        <w:jc w:val="both"/>
        <w:rPr>
          <w:rFonts w:asciiTheme="minorHAnsi" w:hAnsiTheme="minorHAnsi"/>
          <w:sz w:val="24"/>
          <w:szCs w:val="20"/>
        </w:rPr>
      </w:pPr>
    </w:p>
    <w:p w14:paraId="3ED4B70D" w14:textId="77777777" w:rsidR="00C040C2" w:rsidRPr="00D920C9" w:rsidRDefault="00344360" w:rsidP="002C64F8">
      <w:pPr>
        <w:pStyle w:val="ListParagraph"/>
        <w:numPr>
          <w:ilvl w:val="0"/>
          <w:numId w:val="9"/>
        </w:numPr>
        <w:spacing w:after="240" w:line="240" w:lineRule="auto"/>
        <w:ind w:left="547" w:hanging="547"/>
        <w:contextualSpacing w:val="0"/>
        <w:jc w:val="both"/>
        <w:rPr>
          <w:rFonts w:asciiTheme="minorHAnsi" w:hAnsiTheme="minorHAnsi"/>
          <w:szCs w:val="20"/>
        </w:rPr>
      </w:pPr>
      <w:r w:rsidRPr="00D920C9">
        <w:rPr>
          <w:rFonts w:asciiTheme="minorHAnsi" w:eastAsia="Times New Roman" w:hAnsiTheme="minorHAnsi"/>
          <w:szCs w:val="20"/>
        </w:rPr>
        <w:t>T</w:t>
      </w:r>
      <w:r w:rsidR="00C040C2" w:rsidRPr="00D920C9">
        <w:rPr>
          <w:rFonts w:asciiTheme="minorHAnsi" w:eastAsia="Times New Roman" w:hAnsiTheme="minorHAnsi"/>
          <w:szCs w:val="20"/>
        </w:rPr>
        <w:t xml:space="preserve">he Commission has previously considered information indicating that </w:t>
      </w:r>
      <w:r w:rsidR="00224D66" w:rsidRPr="00D920C9">
        <w:rPr>
          <w:rFonts w:asciiTheme="minorHAnsi" w:eastAsia="Times New Roman" w:hAnsiTheme="minorHAnsi"/>
          <w:szCs w:val="20"/>
        </w:rPr>
        <w:t>the use of body</w:t>
      </w:r>
      <w:r w:rsidR="00C040C2" w:rsidRPr="00D920C9">
        <w:rPr>
          <w:rFonts w:asciiTheme="minorHAnsi" w:eastAsia="Times New Roman" w:hAnsiTheme="minorHAnsi"/>
          <w:szCs w:val="20"/>
        </w:rPr>
        <w:t xml:space="preserve"> cameras by police officers has a deterrent effect; for example, California</w:t>
      </w:r>
      <w:r w:rsidR="00FE09A1" w:rsidRPr="00D920C9">
        <w:rPr>
          <w:rFonts w:asciiTheme="minorHAnsi" w:eastAsia="Times New Roman" w:hAnsiTheme="minorHAnsi"/>
          <w:szCs w:val="20"/>
        </w:rPr>
        <w:t xml:space="preserve"> registered</w:t>
      </w:r>
      <w:r w:rsidR="00C040C2" w:rsidRPr="00D920C9">
        <w:rPr>
          <w:rFonts w:asciiTheme="minorHAnsi" w:eastAsia="Times New Roman" w:hAnsiTheme="minorHAnsi"/>
          <w:szCs w:val="20"/>
        </w:rPr>
        <w:t xml:space="preserve"> a 59 percent drop in use of force</w:t>
      </w:r>
      <w:r w:rsidR="00FE09A1" w:rsidRPr="00D920C9">
        <w:rPr>
          <w:rFonts w:asciiTheme="minorHAnsi" w:eastAsia="Times New Roman" w:hAnsiTheme="minorHAnsi"/>
          <w:szCs w:val="20"/>
        </w:rPr>
        <w:t xml:space="preserve"> and a nearly 90 percent drop in</w:t>
      </w:r>
      <w:r w:rsidR="00C040C2" w:rsidRPr="00D920C9">
        <w:rPr>
          <w:rFonts w:asciiTheme="minorHAnsi" w:eastAsia="Times New Roman" w:hAnsiTheme="minorHAnsi"/>
          <w:szCs w:val="20"/>
        </w:rPr>
        <w:t xml:space="preserve"> complaints</w:t>
      </w:r>
      <w:r w:rsidR="00C040C2" w:rsidRPr="00D920C9">
        <w:rPr>
          <w:rFonts w:asciiTheme="minorHAnsi" w:hAnsiTheme="minorHAnsi"/>
          <w:sz w:val="24"/>
        </w:rPr>
        <w:t xml:space="preserve"> </w:t>
      </w:r>
      <w:r w:rsidR="00C040C2" w:rsidRPr="00D920C9">
        <w:rPr>
          <w:rFonts w:asciiTheme="minorHAnsi" w:eastAsia="Times New Roman" w:hAnsiTheme="minorHAnsi"/>
          <w:szCs w:val="20"/>
        </w:rPr>
        <w:t xml:space="preserve">concerning excessive force </w:t>
      </w:r>
      <w:r w:rsidR="00FE09A1" w:rsidRPr="00D920C9">
        <w:rPr>
          <w:rFonts w:asciiTheme="minorHAnsi" w:eastAsia="Times New Roman" w:hAnsiTheme="minorHAnsi"/>
          <w:szCs w:val="20"/>
        </w:rPr>
        <w:t>after introducing body cameras</w:t>
      </w:r>
      <w:r w:rsidR="00C040C2" w:rsidRPr="00D920C9">
        <w:rPr>
          <w:rFonts w:asciiTheme="minorHAnsi" w:eastAsia="Times New Roman" w:hAnsiTheme="minorHAnsi"/>
          <w:szCs w:val="20"/>
        </w:rPr>
        <w:t>.</w:t>
      </w:r>
      <w:r w:rsidR="00C040C2" w:rsidRPr="00D920C9">
        <w:rPr>
          <w:rStyle w:val="FootnoteReference"/>
          <w:rFonts w:asciiTheme="minorHAnsi" w:eastAsia="Times New Roman" w:hAnsiTheme="minorHAnsi"/>
          <w:szCs w:val="20"/>
        </w:rPr>
        <w:footnoteReference w:id="208"/>
      </w:r>
      <w:r w:rsidR="00C040C2" w:rsidRPr="00D920C9">
        <w:rPr>
          <w:rFonts w:asciiTheme="minorHAnsi" w:eastAsia="Times New Roman" w:hAnsiTheme="minorHAnsi"/>
          <w:szCs w:val="20"/>
        </w:rPr>
        <w:t xml:space="preserve"> Nonetheless, the Commission has also noted concerns that body cameras could cause violations of the right to </w:t>
      </w:r>
      <w:r w:rsidR="00C040C2" w:rsidRPr="00D920C9">
        <w:rPr>
          <w:rFonts w:asciiTheme="minorHAnsi" w:hAnsiTheme="minorHAnsi"/>
          <w:szCs w:val="20"/>
        </w:rPr>
        <w:t xml:space="preserve">privacy of the official or victims, controversies </w:t>
      </w:r>
      <w:r w:rsidR="00FE09A1" w:rsidRPr="00D920C9">
        <w:rPr>
          <w:rFonts w:asciiTheme="minorHAnsi" w:hAnsiTheme="minorHAnsi"/>
          <w:szCs w:val="20"/>
        </w:rPr>
        <w:t>about</w:t>
      </w:r>
      <w:r w:rsidR="00C040C2" w:rsidRPr="00D920C9">
        <w:rPr>
          <w:rFonts w:asciiTheme="minorHAnsi" w:hAnsiTheme="minorHAnsi"/>
          <w:szCs w:val="20"/>
        </w:rPr>
        <w:t xml:space="preserve"> whether cameras could be manipulated by officials, and </w:t>
      </w:r>
      <w:r w:rsidR="00FE09A1" w:rsidRPr="00D920C9">
        <w:rPr>
          <w:rFonts w:asciiTheme="minorHAnsi" w:hAnsiTheme="minorHAnsi"/>
          <w:szCs w:val="20"/>
        </w:rPr>
        <w:t>concerns about</w:t>
      </w:r>
      <w:r w:rsidR="00C040C2" w:rsidRPr="00D920C9">
        <w:rPr>
          <w:rFonts w:asciiTheme="minorHAnsi" w:hAnsiTheme="minorHAnsi"/>
          <w:szCs w:val="20"/>
        </w:rPr>
        <w:t xml:space="preserve"> secure stor</w:t>
      </w:r>
      <w:r w:rsidR="00FE09A1" w:rsidRPr="00D920C9">
        <w:rPr>
          <w:rFonts w:asciiTheme="minorHAnsi" w:hAnsiTheme="minorHAnsi"/>
          <w:szCs w:val="20"/>
        </w:rPr>
        <w:t>ag</w:t>
      </w:r>
      <w:r w:rsidR="00C040C2" w:rsidRPr="00D920C9">
        <w:rPr>
          <w:rFonts w:asciiTheme="minorHAnsi" w:hAnsiTheme="minorHAnsi"/>
          <w:szCs w:val="20"/>
        </w:rPr>
        <w:t xml:space="preserve">e </w:t>
      </w:r>
      <w:r w:rsidR="00FE09A1" w:rsidRPr="00D920C9">
        <w:rPr>
          <w:rFonts w:asciiTheme="minorHAnsi" w:hAnsiTheme="minorHAnsi"/>
          <w:szCs w:val="20"/>
        </w:rPr>
        <w:t xml:space="preserve">of </w:t>
      </w:r>
      <w:r w:rsidR="00C040C2" w:rsidRPr="00D920C9">
        <w:rPr>
          <w:rFonts w:asciiTheme="minorHAnsi" w:hAnsiTheme="minorHAnsi"/>
          <w:szCs w:val="20"/>
        </w:rPr>
        <w:t>footage.</w:t>
      </w:r>
      <w:r w:rsidR="00C040C2" w:rsidRPr="00D920C9">
        <w:rPr>
          <w:rFonts w:asciiTheme="minorHAnsi" w:hAnsiTheme="minorHAnsi"/>
          <w:vertAlign w:val="superscript"/>
        </w:rPr>
        <w:footnoteReference w:id="209"/>
      </w:r>
      <w:r w:rsidR="00C040C2" w:rsidRPr="00D920C9">
        <w:rPr>
          <w:rFonts w:asciiTheme="minorHAnsi" w:hAnsiTheme="minorHAnsi"/>
          <w:szCs w:val="20"/>
        </w:rPr>
        <w:t xml:space="preserve"> The Commission has heard similar concerns from civil society organizations, which argue that the use of police body cameras may increase already </w:t>
      </w:r>
      <w:r w:rsidR="00FE09A1" w:rsidRPr="00D920C9">
        <w:rPr>
          <w:rFonts w:asciiTheme="minorHAnsi" w:hAnsiTheme="minorHAnsi"/>
          <w:szCs w:val="20"/>
        </w:rPr>
        <w:t>high</w:t>
      </w:r>
      <w:r w:rsidR="00C040C2" w:rsidRPr="00D920C9">
        <w:rPr>
          <w:rFonts w:asciiTheme="minorHAnsi" w:hAnsiTheme="minorHAnsi"/>
          <w:szCs w:val="20"/>
        </w:rPr>
        <w:t xml:space="preserve"> </w:t>
      </w:r>
      <w:r w:rsidR="00FE09A1" w:rsidRPr="00D920C9">
        <w:rPr>
          <w:rFonts w:asciiTheme="minorHAnsi" w:hAnsiTheme="minorHAnsi"/>
          <w:szCs w:val="20"/>
        </w:rPr>
        <w:t>rates</w:t>
      </w:r>
      <w:r w:rsidR="00C040C2" w:rsidRPr="00D920C9">
        <w:rPr>
          <w:rFonts w:asciiTheme="minorHAnsi" w:hAnsiTheme="minorHAnsi"/>
          <w:szCs w:val="20"/>
        </w:rPr>
        <w:t xml:space="preserve"> of arrests of </w:t>
      </w:r>
      <w:r w:rsidR="001D60FA" w:rsidRPr="00D920C9">
        <w:rPr>
          <w:rFonts w:asciiTheme="minorHAnsi" w:hAnsiTheme="minorHAnsi"/>
          <w:szCs w:val="20"/>
        </w:rPr>
        <w:t>Afro-descendants and other members of historically marginalized groups</w:t>
      </w:r>
      <w:r w:rsidR="00C040C2" w:rsidRPr="00D920C9">
        <w:rPr>
          <w:rFonts w:asciiTheme="minorHAnsi" w:hAnsiTheme="minorHAnsi"/>
          <w:szCs w:val="20"/>
        </w:rPr>
        <w:t xml:space="preserve"> following irregularities including failures to turn the camera on or to make footage available when it contradicts </w:t>
      </w:r>
      <w:r w:rsidR="00FE09A1" w:rsidRPr="00D920C9">
        <w:rPr>
          <w:rFonts w:asciiTheme="minorHAnsi" w:hAnsiTheme="minorHAnsi"/>
          <w:szCs w:val="20"/>
        </w:rPr>
        <w:t>officials’</w:t>
      </w:r>
      <w:r w:rsidR="00C040C2" w:rsidRPr="00D920C9">
        <w:rPr>
          <w:rFonts w:asciiTheme="minorHAnsi" w:hAnsiTheme="minorHAnsi"/>
          <w:szCs w:val="20"/>
        </w:rPr>
        <w:t xml:space="preserve"> version of events; they </w:t>
      </w:r>
      <w:r w:rsidR="00FE09A1" w:rsidRPr="00D920C9">
        <w:rPr>
          <w:rFonts w:asciiTheme="minorHAnsi" w:hAnsiTheme="minorHAnsi"/>
          <w:szCs w:val="20"/>
        </w:rPr>
        <w:t>argued</w:t>
      </w:r>
      <w:r w:rsidR="00C040C2" w:rsidRPr="00D920C9">
        <w:rPr>
          <w:rFonts w:asciiTheme="minorHAnsi" w:hAnsiTheme="minorHAnsi"/>
          <w:szCs w:val="20"/>
        </w:rPr>
        <w:t xml:space="preserve"> that police</w:t>
      </w:r>
      <w:r w:rsidR="00FE09A1" w:rsidRPr="00D920C9">
        <w:rPr>
          <w:rFonts w:asciiTheme="minorHAnsi" w:hAnsiTheme="minorHAnsi"/>
          <w:szCs w:val="20"/>
        </w:rPr>
        <w:t xml:space="preserve"> do</w:t>
      </w:r>
      <w:r w:rsidR="00C040C2" w:rsidRPr="00D920C9">
        <w:rPr>
          <w:rFonts w:asciiTheme="minorHAnsi" w:hAnsiTheme="minorHAnsi"/>
          <w:szCs w:val="20"/>
        </w:rPr>
        <w:t xml:space="preserve"> offer body camera footage when it provides proof of commission of petty crimes.</w:t>
      </w:r>
      <w:r w:rsidR="00C040C2" w:rsidRPr="00D920C9">
        <w:rPr>
          <w:rFonts w:asciiTheme="minorHAnsi" w:hAnsiTheme="minorHAnsi"/>
          <w:vertAlign w:val="superscript"/>
        </w:rPr>
        <w:footnoteReference w:id="210"/>
      </w:r>
    </w:p>
    <w:p w14:paraId="017F4F0F" w14:textId="77777777" w:rsidR="00200783" w:rsidRPr="00D920C9" w:rsidRDefault="00200783" w:rsidP="002C64F8">
      <w:pPr>
        <w:pStyle w:val="ListParagraph"/>
        <w:numPr>
          <w:ilvl w:val="0"/>
          <w:numId w:val="9"/>
        </w:numPr>
        <w:spacing w:after="240" w:line="240" w:lineRule="auto"/>
        <w:ind w:left="547" w:hanging="547"/>
        <w:contextualSpacing w:val="0"/>
        <w:jc w:val="both"/>
        <w:rPr>
          <w:rFonts w:asciiTheme="minorHAnsi" w:hAnsiTheme="minorHAnsi"/>
          <w:szCs w:val="20"/>
        </w:rPr>
      </w:pPr>
      <w:r w:rsidRPr="00D920C9">
        <w:rPr>
          <w:rFonts w:asciiTheme="minorHAnsi" w:hAnsiTheme="minorHAnsi"/>
          <w:szCs w:val="20"/>
        </w:rPr>
        <w:t xml:space="preserve">In light of </w:t>
      </w:r>
      <w:r w:rsidR="00FE09A1" w:rsidRPr="00D920C9">
        <w:rPr>
          <w:rFonts w:asciiTheme="minorHAnsi" w:hAnsiTheme="minorHAnsi"/>
          <w:szCs w:val="20"/>
        </w:rPr>
        <w:t>this information</w:t>
      </w:r>
      <w:r w:rsidRPr="00D920C9">
        <w:rPr>
          <w:rFonts w:asciiTheme="minorHAnsi" w:hAnsiTheme="minorHAnsi"/>
          <w:szCs w:val="20"/>
        </w:rPr>
        <w:t xml:space="preserve">, the Commission reiterates its grave concern at the existence of a disturbing pattern of excessive force on the part of police </w:t>
      </w:r>
      <w:r w:rsidRPr="00D920C9">
        <w:rPr>
          <w:rFonts w:asciiTheme="minorHAnsi" w:hAnsiTheme="minorHAnsi"/>
          <w:szCs w:val="20"/>
        </w:rPr>
        <w:lastRenderedPageBreak/>
        <w:t>officers towards African</w:t>
      </w:r>
      <w:r w:rsidR="00904A46" w:rsidRPr="00D920C9">
        <w:rPr>
          <w:rFonts w:asciiTheme="minorHAnsi" w:hAnsiTheme="minorHAnsi"/>
          <w:szCs w:val="20"/>
        </w:rPr>
        <w:t xml:space="preserve"> </w:t>
      </w:r>
      <w:r w:rsidRPr="00D920C9">
        <w:rPr>
          <w:rFonts w:asciiTheme="minorHAnsi" w:hAnsiTheme="minorHAnsi"/>
          <w:szCs w:val="20"/>
        </w:rPr>
        <w:t xml:space="preserve">Americans and other </w:t>
      </w:r>
      <w:r w:rsidR="001D60FA" w:rsidRPr="00D920C9">
        <w:rPr>
          <w:rFonts w:asciiTheme="minorHAnsi" w:hAnsiTheme="minorHAnsi"/>
          <w:szCs w:val="20"/>
        </w:rPr>
        <w:t xml:space="preserve">members of historically marginalized groups </w:t>
      </w:r>
      <w:r w:rsidRPr="00D920C9">
        <w:rPr>
          <w:rFonts w:asciiTheme="minorHAnsi" w:hAnsiTheme="minorHAnsi"/>
          <w:szCs w:val="20"/>
        </w:rPr>
        <w:t xml:space="preserve">in the </w:t>
      </w:r>
      <w:r w:rsidR="00904A46" w:rsidRPr="00D920C9">
        <w:rPr>
          <w:rFonts w:asciiTheme="minorHAnsi" w:hAnsiTheme="minorHAnsi"/>
          <w:szCs w:val="20"/>
        </w:rPr>
        <w:t>U.S</w:t>
      </w:r>
      <w:r w:rsidRPr="00D920C9">
        <w:rPr>
          <w:rFonts w:asciiTheme="minorHAnsi" w:hAnsiTheme="minorHAnsi"/>
          <w:szCs w:val="20"/>
        </w:rPr>
        <w:t>.</w:t>
      </w:r>
      <w:r w:rsidRPr="00D920C9">
        <w:rPr>
          <w:rFonts w:asciiTheme="minorHAnsi" w:hAnsiTheme="minorHAnsi"/>
          <w:vertAlign w:val="superscript"/>
        </w:rPr>
        <w:footnoteReference w:id="211"/>
      </w:r>
      <w:r w:rsidRPr="00D920C9">
        <w:rPr>
          <w:rFonts w:asciiTheme="minorHAnsi" w:hAnsiTheme="minorHAnsi"/>
          <w:szCs w:val="20"/>
        </w:rPr>
        <w:t xml:space="preserve"> The Commission considers that this issue is a structural problem, and urges the State to investigate connections between cases of police violence in order to adopt coordinated legislative, policy, and institutional measures designed to eliminate racial discrimination, including measures to protect and guarantee the right to non</w:t>
      </w:r>
      <w:r w:rsidR="00904A46" w:rsidRPr="00D920C9">
        <w:rPr>
          <w:rFonts w:asciiTheme="minorHAnsi" w:hAnsiTheme="minorHAnsi"/>
          <w:szCs w:val="20"/>
        </w:rPr>
        <w:t>-</w:t>
      </w:r>
      <w:r w:rsidRPr="00D920C9">
        <w:rPr>
          <w:rFonts w:asciiTheme="minorHAnsi" w:hAnsiTheme="minorHAnsi"/>
          <w:szCs w:val="20"/>
        </w:rPr>
        <w:t>discrimination.</w:t>
      </w:r>
      <w:r w:rsidRPr="00D920C9">
        <w:rPr>
          <w:rStyle w:val="FootnoteReference"/>
          <w:rFonts w:asciiTheme="minorHAnsi" w:hAnsiTheme="minorHAnsi"/>
          <w:szCs w:val="20"/>
        </w:rPr>
        <w:footnoteReference w:id="212"/>
      </w:r>
    </w:p>
    <w:p w14:paraId="0C08A40E" w14:textId="77777777" w:rsidR="00B4412C" w:rsidRPr="00D920C9" w:rsidRDefault="00B4412C" w:rsidP="003D7958">
      <w:pPr>
        <w:pStyle w:val="Heading4"/>
        <w:ind w:left="540" w:hanging="540"/>
      </w:pPr>
      <w:bookmarkStart w:id="81" w:name="_Toc511837813"/>
      <w:bookmarkStart w:id="82" w:name="_Toc511902986"/>
      <w:bookmarkStart w:id="83" w:name="_Toc517687916"/>
      <w:r w:rsidRPr="00D920C9">
        <w:t xml:space="preserve">Impunity in </w:t>
      </w:r>
      <w:r w:rsidR="001D6074" w:rsidRPr="00D920C9">
        <w:t xml:space="preserve">Cases </w:t>
      </w:r>
      <w:r w:rsidRPr="00D920C9">
        <w:t xml:space="preserve">of </w:t>
      </w:r>
      <w:r w:rsidR="001D6074" w:rsidRPr="00D920C9">
        <w:t>Police Killings</w:t>
      </w:r>
      <w:bookmarkEnd w:id="81"/>
      <w:bookmarkEnd w:id="82"/>
      <w:bookmarkEnd w:id="83"/>
    </w:p>
    <w:p w14:paraId="428A6A01" w14:textId="77777777" w:rsidR="00B4412C" w:rsidRPr="00D920C9" w:rsidRDefault="00B4412C" w:rsidP="002C64F8">
      <w:pPr>
        <w:pStyle w:val="ListParagraph"/>
        <w:numPr>
          <w:ilvl w:val="0"/>
          <w:numId w:val="9"/>
        </w:numPr>
        <w:spacing w:after="240" w:line="240" w:lineRule="auto"/>
        <w:ind w:left="547" w:hanging="547"/>
        <w:contextualSpacing w:val="0"/>
        <w:jc w:val="both"/>
        <w:rPr>
          <w:rFonts w:asciiTheme="minorHAnsi" w:hAnsiTheme="minorHAnsi"/>
          <w:szCs w:val="20"/>
        </w:rPr>
      </w:pPr>
      <w:bookmarkStart w:id="84" w:name="_Ref507429957"/>
      <w:r w:rsidRPr="00D920C9">
        <w:rPr>
          <w:rFonts w:asciiTheme="minorHAnsi" w:hAnsiTheme="minorHAnsi" w:cs="Times"/>
          <w:szCs w:val="20"/>
        </w:rPr>
        <w:t xml:space="preserve">The Commission </w:t>
      </w:r>
      <w:r w:rsidR="00553DBE" w:rsidRPr="00D920C9">
        <w:rPr>
          <w:rFonts w:asciiTheme="minorHAnsi" w:hAnsiTheme="minorHAnsi" w:cs="Times"/>
          <w:szCs w:val="20"/>
        </w:rPr>
        <w:t xml:space="preserve">has received information indicating that the injustice perpetuated by a pattern of racial discrimination in police killings is exacerbated by a pattern of impunity in cases of police killings of African Americans. </w:t>
      </w:r>
      <w:r w:rsidRPr="00D920C9">
        <w:rPr>
          <w:rFonts w:asciiTheme="minorHAnsi" w:hAnsiTheme="minorHAnsi"/>
          <w:szCs w:val="20"/>
        </w:rPr>
        <w:t>In this regard, the Commission echoes concerns expressed by the U</w:t>
      </w:r>
      <w:r w:rsidR="00352483" w:rsidRPr="00D920C9">
        <w:rPr>
          <w:rFonts w:asciiTheme="minorHAnsi" w:hAnsiTheme="minorHAnsi"/>
          <w:szCs w:val="20"/>
        </w:rPr>
        <w:t>.</w:t>
      </w:r>
      <w:r w:rsidRPr="00D920C9">
        <w:rPr>
          <w:rFonts w:asciiTheme="minorHAnsi" w:hAnsiTheme="minorHAnsi"/>
          <w:szCs w:val="20"/>
        </w:rPr>
        <w:t>N</w:t>
      </w:r>
      <w:r w:rsidR="00352483" w:rsidRPr="00D920C9">
        <w:rPr>
          <w:rFonts w:asciiTheme="minorHAnsi" w:hAnsiTheme="minorHAnsi"/>
          <w:szCs w:val="20"/>
        </w:rPr>
        <w:t>.</w:t>
      </w:r>
      <w:r w:rsidRPr="00D920C9">
        <w:rPr>
          <w:rFonts w:asciiTheme="minorHAnsi" w:hAnsiTheme="minorHAnsi"/>
          <w:szCs w:val="20"/>
        </w:rPr>
        <w:t xml:space="preserve"> Working Group of Experts on People of African Descent “at the alarming levels of police brutality and excessive use of lethal force by law enforcement officials, committed with impunity against people of African descent in the United States.”</w:t>
      </w:r>
      <w:r w:rsidRPr="00D920C9">
        <w:rPr>
          <w:rFonts w:asciiTheme="minorHAnsi" w:hAnsiTheme="minorHAnsi"/>
          <w:szCs w:val="20"/>
          <w:vertAlign w:val="superscript"/>
        </w:rPr>
        <w:footnoteReference w:id="213"/>
      </w:r>
      <w:r w:rsidR="00553DBE" w:rsidRPr="00D920C9">
        <w:rPr>
          <w:rFonts w:asciiTheme="minorHAnsi" w:hAnsiTheme="minorHAnsi"/>
          <w:szCs w:val="20"/>
        </w:rPr>
        <w:t xml:space="preserve"> Civil society, too, indicates that “in the present system, it continues to be a near impossible task to hold police officers and departments accountable for their excessive use of force, particularly against marginalized communities of color, [...] and there remain severe lacunae in the regulatory and reporting systems for use of force by police officers.”</w:t>
      </w:r>
      <w:r w:rsidR="00553DBE" w:rsidRPr="00D920C9">
        <w:rPr>
          <w:rStyle w:val="FootnoteReference"/>
          <w:rFonts w:asciiTheme="minorHAnsi" w:hAnsiTheme="minorHAnsi"/>
          <w:szCs w:val="20"/>
        </w:rPr>
        <w:footnoteReference w:id="214"/>
      </w:r>
      <w:r w:rsidR="00553DBE" w:rsidRPr="00D920C9">
        <w:rPr>
          <w:rFonts w:asciiTheme="minorHAnsi" w:eastAsia="MS Mincho" w:hAnsiTheme="minorHAnsi" w:cs="Calibri"/>
          <w:szCs w:val="20"/>
          <w:lang w:eastAsia="es-ES"/>
        </w:rPr>
        <w:t xml:space="preserve"> </w:t>
      </w:r>
      <w:r w:rsidR="00553DBE" w:rsidRPr="00D920C9">
        <w:rPr>
          <w:rFonts w:asciiTheme="minorHAnsi" w:hAnsiTheme="minorHAnsi"/>
          <w:szCs w:val="20"/>
        </w:rPr>
        <w:t>T</w:t>
      </w:r>
      <w:r w:rsidRPr="00D920C9">
        <w:rPr>
          <w:rFonts w:asciiTheme="minorHAnsi" w:hAnsiTheme="minorHAnsi"/>
          <w:szCs w:val="20"/>
        </w:rPr>
        <w:t>he Commission considers that impunity in these cases fosters an environment in which police violence and abuses are tolerated, and serves to sustain disparate treatment on the basis of race.</w:t>
      </w:r>
      <w:bookmarkEnd w:id="84"/>
    </w:p>
    <w:p w14:paraId="53118131" w14:textId="77777777" w:rsidR="00553DBE" w:rsidRPr="00D920C9" w:rsidRDefault="00401DF8" w:rsidP="002C64F8">
      <w:pPr>
        <w:pStyle w:val="ListParagraph"/>
        <w:numPr>
          <w:ilvl w:val="0"/>
          <w:numId w:val="9"/>
        </w:numPr>
        <w:spacing w:after="240" w:line="240" w:lineRule="auto"/>
        <w:ind w:left="547" w:hanging="547"/>
        <w:contextualSpacing w:val="0"/>
        <w:jc w:val="both"/>
        <w:rPr>
          <w:rFonts w:asciiTheme="minorHAnsi" w:hAnsiTheme="minorHAnsi"/>
          <w:szCs w:val="20"/>
        </w:rPr>
      </w:pPr>
      <w:r w:rsidRPr="00D920C9">
        <w:rPr>
          <w:rFonts w:asciiTheme="minorHAnsi" w:hAnsiTheme="minorHAnsi"/>
          <w:szCs w:val="20"/>
        </w:rPr>
        <w:t>T</w:t>
      </w:r>
      <w:r w:rsidR="00553DBE" w:rsidRPr="00D920C9">
        <w:rPr>
          <w:rFonts w:asciiTheme="minorHAnsi" w:hAnsiTheme="minorHAnsi"/>
          <w:szCs w:val="20"/>
        </w:rPr>
        <w:t xml:space="preserve">he Commission </w:t>
      </w:r>
      <w:r w:rsidR="00096E79" w:rsidRPr="00D920C9">
        <w:rPr>
          <w:rFonts w:asciiTheme="minorHAnsi" w:hAnsiTheme="minorHAnsi"/>
          <w:szCs w:val="20"/>
        </w:rPr>
        <w:t>highlights</w:t>
      </w:r>
      <w:r w:rsidR="00553DBE" w:rsidRPr="00D920C9">
        <w:rPr>
          <w:rFonts w:asciiTheme="minorHAnsi" w:hAnsiTheme="minorHAnsi"/>
          <w:szCs w:val="20"/>
        </w:rPr>
        <w:t xml:space="preserve"> the low number of cases in which </w:t>
      </w:r>
      <w:r w:rsidR="006B01DA" w:rsidRPr="00D920C9">
        <w:rPr>
          <w:rFonts w:asciiTheme="minorHAnsi" w:hAnsiTheme="minorHAnsi"/>
          <w:szCs w:val="20"/>
        </w:rPr>
        <w:t xml:space="preserve">police </w:t>
      </w:r>
      <w:r w:rsidR="00553DBE" w:rsidRPr="00D920C9">
        <w:rPr>
          <w:rFonts w:asciiTheme="minorHAnsi" w:hAnsiTheme="minorHAnsi"/>
          <w:szCs w:val="20"/>
        </w:rPr>
        <w:t>officers have been held accountable for killings of African</w:t>
      </w:r>
      <w:r w:rsidR="0030356C" w:rsidRPr="00D920C9">
        <w:rPr>
          <w:rFonts w:asciiTheme="minorHAnsi" w:hAnsiTheme="minorHAnsi"/>
          <w:szCs w:val="20"/>
        </w:rPr>
        <w:t xml:space="preserve"> </w:t>
      </w:r>
      <w:r w:rsidR="00553DBE" w:rsidRPr="00D920C9">
        <w:rPr>
          <w:rFonts w:asciiTheme="minorHAnsi" w:hAnsiTheme="minorHAnsi"/>
          <w:szCs w:val="20"/>
        </w:rPr>
        <w:t xml:space="preserve">Americans in the </w:t>
      </w:r>
      <w:r w:rsidR="00344360" w:rsidRPr="00D920C9">
        <w:rPr>
          <w:rFonts w:asciiTheme="minorHAnsi" w:hAnsiTheme="minorHAnsi"/>
          <w:szCs w:val="20"/>
        </w:rPr>
        <w:t>U.S.</w:t>
      </w:r>
      <w:r w:rsidR="00553DBE" w:rsidRPr="00D920C9">
        <w:rPr>
          <w:rFonts w:asciiTheme="minorHAnsi" w:hAnsiTheme="minorHAnsi"/>
          <w:szCs w:val="20"/>
        </w:rPr>
        <w:t xml:space="preserve"> </w:t>
      </w:r>
      <w:r w:rsidR="00D87808" w:rsidRPr="00D920C9">
        <w:rPr>
          <w:rFonts w:asciiTheme="minorHAnsi" w:hAnsiTheme="minorHAnsi"/>
          <w:szCs w:val="20"/>
        </w:rPr>
        <w:t>One</w:t>
      </w:r>
      <w:r w:rsidR="00553DBE" w:rsidRPr="00D920C9">
        <w:rPr>
          <w:rFonts w:asciiTheme="minorHAnsi" w:hAnsiTheme="minorHAnsi"/>
          <w:szCs w:val="20"/>
        </w:rPr>
        <w:t xml:space="preserve"> </w:t>
      </w:r>
      <w:r w:rsidR="00344360" w:rsidRPr="00D920C9">
        <w:rPr>
          <w:rFonts w:asciiTheme="minorHAnsi" w:hAnsiTheme="minorHAnsi"/>
          <w:szCs w:val="20"/>
        </w:rPr>
        <w:t xml:space="preserve">study </w:t>
      </w:r>
      <w:r w:rsidR="00553DBE" w:rsidRPr="00D920C9">
        <w:rPr>
          <w:rFonts w:asciiTheme="minorHAnsi" w:hAnsiTheme="minorHAnsi"/>
          <w:szCs w:val="20"/>
        </w:rPr>
        <w:t>found that in thousands of police-involved killings between 2005 and 2015, just 54 police officers were ever charged with a crime, and most eventually cleared or acquitted.</w:t>
      </w:r>
      <w:r w:rsidR="00553DBE" w:rsidRPr="00D920C9">
        <w:rPr>
          <w:rFonts w:asciiTheme="minorHAnsi" w:hAnsiTheme="minorHAnsi"/>
          <w:vertAlign w:val="superscript"/>
        </w:rPr>
        <w:footnoteReference w:id="215"/>
      </w:r>
      <w:r w:rsidR="00553DBE" w:rsidRPr="00D920C9">
        <w:rPr>
          <w:rFonts w:asciiTheme="minorHAnsi" w:hAnsiTheme="minorHAnsi"/>
          <w:szCs w:val="20"/>
        </w:rPr>
        <w:t xml:space="preserve"> The study pointed out that in order to bring charges against an officer, the facts must be exceptional: “a victim shot in the back, a video recording of the incident, incriminating testimony from other officers or allegations of a cover-up”—though even in these cases, convictions are rare. </w:t>
      </w:r>
      <w:r w:rsidR="00344360" w:rsidRPr="00D920C9">
        <w:rPr>
          <w:rFonts w:asciiTheme="minorHAnsi" w:hAnsiTheme="minorHAnsi"/>
          <w:szCs w:val="20"/>
        </w:rPr>
        <w:t>W</w:t>
      </w:r>
      <w:r w:rsidR="00553DBE" w:rsidRPr="00D920C9">
        <w:rPr>
          <w:rFonts w:asciiTheme="minorHAnsi" w:hAnsiTheme="minorHAnsi"/>
          <w:szCs w:val="20"/>
        </w:rPr>
        <w:t xml:space="preserve">hen police are convicted of excessive use of force against civilians, they tend to receive much lighter sentences: an </w:t>
      </w:r>
      <w:r w:rsidR="00553DBE" w:rsidRPr="00D920C9">
        <w:rPr>
          <w:rFonts w:asciiTheme="minorHAnsi" w:hAnsiTheme="minorHAnsi"/>
          <w:szCs w:val="20"/>
        </w:rPr>
        <w:lastRenderedPageBreak/>
        <w:t>average of four years in prison, but sometimes as little as weeks.</w:t>
      </w:r>
      <w:r w:rsidR="00553DBE" w:rsidRPr="00D920C9">
        <w:rPr>
          <w:rFonts w:asciiTheme="minorHAnsi" w:hAnsiTheme="minorHAnsi"/>
          <w:vertAlign w:val="superscript"/>
        </w:rPr>
        <w:footnoteReference w:id="216"/>
      </w:r>
      <w:r w:rsidR="00553DBE" w:rsidRPr="00D920C9">
        <w:rPr>
          <w:rFonts w:asciiTheme="minorHAnsi" w:hAnsiTheme="minorHAnsi"/>
          <w:szCs w:val="20"/>
        </w:rPr>
        <w:t xml:space="preserve"> </w:t>
      </w:r>
      <w:r w:rsidR="00D2531A" w:rsidRPr="00D920C9">
        <w:rPr>
          <w:rFonts w:asciiTheme="minorHAnsi" w:hAnsiTheme="minorHAnsi"/>
          <w:szCs w:val="20"/>
        </w:rPr>
        <w:t>One paper’s</w:t>
      </w:r>
      <w:r w:rsidR="00553DBE" w:rsidRPr="00D920C9">
        <w:rPr>
          <w:rFonts w:asciiTheme="minorHAnsi" w:hAnsiTheme="minorHAnsi"/>
          <w:szCs w:val="20"/>
        </w:rPr>
        <w:t xml:space="preserve"> databases indicate that officers involved in one in every six deaths recorded during the first quarter of 2015 had been cleared of wrongdoing and returned to work within a year, and in most cases the public </w:t>
      </w:r>
      <w:r w:rsidR="003B5757" w:rsidRPr="00D920C9">
        <w:rPr>
          <w:rFonts w:asciiTheme="minorHAnsi" w:hAnsiTheme="minorHAnsi"/>
          <w:szCs w:val="20"/>
        </w:rPr>
        <w:t>was</w:t>
      </w:r>
      <w:r w:rsidR="00553DBE" w:rsidRPr="00D920C9">
        <w:rPr>
          <w:rFonts w:asciiTheme="minorHAnsi" w:hAnsiTheme="minorHAnsi"/>
          <w:szCs w:val="20"/>
        </w:rPr>
        <w:t xml:space="preserve"> not notified either via official statements or via local media.</w:t>
      </w:r>
      <w:r w:rsidR="00553DBE" w:rsidRPr="00D920C9">
        <w:rPr>
          <w:rFonts w:asciiTheme="minorHAnsi" w:hAnsiTheme="minorHAnsi"/>
          <w:vertAlign w:val="superscript"/>
        </w:rPr>
        <w:footnoteReference w:id="217"/>
      </w:r>
      <w:r w:rsidR="00553DBE" w:rsidRPr="00D920C9">
        <w:rPr>
          <w:rFonts w:asciiTheme="minorHAnsi" w:hAnsiTheme="minorHAnsi"/>
          <w:szCs w:val="20"/>
        </w:rPr>
        <w:t xml:space="preserve"> </w:t>
      </w:r>
      <w:r w:rsidR="00D2531A" w:rsidRPr="00D920C9">
        <w:rPr>
          <w:rFonts w:asciiTheme="minorHAnsi" w:hAnsiTheme="minorHAnsi"/>
          <w:szCs w:val="20"/>
        </w:rPr>
        <w:t>Another</w:t>
      </w:r>
      <w:r w:rsidR="003B5757" w:rsidRPr="00D920C9">
        <w:rPr>
          <w:rFonts w:asciiTheme="minorHAnsi" w:hAnsiTheme="minorHAnsi"/>
          <w:szCs w:val="20"/>
        </w:rPr>
        <w:t xml:space="preserve"> 2015</w:t>
      </w:r>
      <w:r w:rsidR="00D2531A" w:rsidRPr="00D920C9">
        <w:rPr>
          <w:rFonts w:asciiTheme="minorHAnsi" w:hAnsiTheme="minorHAnsi"/>
          <w:szCs w:val="20"/>
        </w:rPr>
        <w:t xml:space="preserve"> report found</w:t>
      </w:r>
      <w:r w:rsidR="003B5757" w:rsidRPr="00D920C9">
        <w:rPr>
          <w:rFonts w:asciiTheme="minorHAnsi" w:hAnsiTheme="minorHAnsi"/>
          <w:szCs w:val="20"/>
        </w:rPr>
        <w:t xml:space="preserve"> that more officers were charged in police killings that year than ever before, but none</w:t>
      </w:r>
      <w:r w:rsidR="00553DBE" w:rsidRPr="00D920C9">
        <w:rPr>
          <w:rFonts w:asciiTheme="minorHAnsi" w:hAnsiTheme="minorHAnsi"/>
          <w:szCs w:val="20"/>
        </w:rPr>
        <w:t xml:space="preserve"> were found guilty of murder or manslaughter.</w:t>
      </w:r>
      <w:r w:rsidR="00553DBE" w:rsidRPr="00D920C9">
        <w:rPr>
          <w:rFonts w:asciiTheme="minorHAnsi" w:hAnsiTheme="minorHAnsi"/>
          <w:vertAlign w:val="superscript"/>
        </w:rPr>
        <w:footnoteReference w:id="218"/>
      </w:r>
      <w:r w:rsidR="00553DBE" w:rsidRPr="00D920C9">
        <w:rPr>
          <w:rFonts w:asciiTheme="minorHAnsi" w:hAnsiTheme="minorHAnsi"/>
          <w:szCs w:val="20"/>
        </w:rPr>
        <w:t xml:space="preserve"> </w:t>
      </w:r>
      <w:r w:rsidR="00D2531A" w:rsidRPr="00D920C9">
        <w:rPr>
          <w:rFonts w:asciiTheme="minorHAnsi" w:hAnsiTheme="minorHAnsi"/>
          <w:szCs w:val="20"/>
        </w:rPr>
        <w:t>And another</w:t>
      </w:r>
      <w:r w:rsidR="00553DBE" w:rsidRPr="00D920C9">
        <w:rPr>
          <w:rFonts w:asciiTheme="minorHAnsi" w:hAnsiTheme="minorHAnsi"/>
          <w:szCs w:val="20"/>
        </w:rPr>
        <w:t xml:space="preserve"> </w:t>
      </w:r>
      <w:r w:rsidR="00D2531A" w:rsidRPr="00D920C9">
        <w:rPr>
          <w:rFonts w:asciiTheme="minorHAnsi" w:hAnsiTheme="minorHAnsi"/>
          <w:szCs w:val="20"/>
        </w:rPr>
        <w:t>study</w:t>
      </w:r>
      <w:r w:rsidR="00553DBE" w:rsidRPr="00D920C9">
        <w:rPr>
          <w:rFonts w:asciiTheme="minorHAnsi" w:hAnsiTheme="minorHAnsi"/>
          <w:szCs w:val="20"/>
        </w:rPr>
        <w:t xml:space="preserve"> </w:t>
      </w:r>
      <w:r w:rsidR="00D767A5" w:rsidRPr="00D920C9">
        <w:rPr>
          <w:rFonts w:asciiTheme="minorHAnsi" w:hAnsiTheme="minorHAnsi"/>
          <w:szCs w:val="20"/>
        </w:rPr>
        <w:t>tracked</w:t>
      </w:r>
      <w:r w:rsidR="00A756D5" w:rsidRPr="00D920C9">
        <w:rPr>
          <w:rFonts w:asciiTheme="minorHAnsi" w:hAnsiTheme="minorHAnsi"/>
          <w:szCs w:val="20"/>
        </w:rPr>
        <w:t xml:space="preserve"> the outcomes of</w:t>
      </w:r>
      <w:r w:rsidR="00D767A5" w:rsidRPr="00D920C9">
        <w:rPr>
          <w:rFonts w:asciiTheme="minorHAnsi" w:hAnsiTheme="minorHAnsi"/>
          <w:szCs w:val="20"/>
        </w:rPr>
        <w:t xml:space="preserve"> </w:t>
      </w:r>
      <w:r w:rsidR="00A756D5" w:rsidRPr="00D920C9">
        <w:rPr>
          <w:rFonts w:asciiTheme="minorHAnsi" w:hAnsiTheme="minorHAnsi"/>
          <w:szCs w:val="20"/>
        </w:rPr>
        <w:t>thirteen cases of police killings that were captured on video and provoked public outcry between 2014 and 2016</w:t>
      </w:r>
      <w:r w:rsidR="00553DBE" w:rsidRPr="00D920C9">
        <w:rPr>
          <w:rFonts w:asciiTheme="minorHAnsi" w:hAnsiTheme="minorHAnsi"/>
          <w:szCs w:val="20"/>
        </w:rPr>
        <w:t>,</w:t>
      </w:r>
      <w:r w:rsidR="00A756D5" w:rsidRPr="00D920C9">
        <w:rPr>
          <w:rFonts w:asciiTheme="minorHAnsi" w:hAnsiTheme="minorHAnsi"/>
          <w:szCs w:val="20"/>
        </w:rPr>
        <w:t xml:space="preserve"> and found that</w:t>
      </w:r>
      <w:r w:rsidR="00553DBE" w:rsidRPr="00D920C9">
        <w:rPr>
          <w:rFonts w:asciiTheme="minorHAnsi" w:hAnsiTheme="minorHAnsi"/>
          <w:szCs w:val="20"/>
        </w:rPr>
        <w:t xml:space="preserve"> criminal charges have been brought against officers in fewer than half of</w:t>
      </w:r>
      <w:r w:rsidR="00A756D5" w:rsidRPr="00D920C9">
        <w:rPr>
          <w:rFonts w:asciiTheme="minorHAnsi" w:hAnsiTheme="minorHAnsi"/>
          <w:szCs w:val="20"/>
        </w:rPr>
        <w:t xml:space="preserve"> the</w:t>
      </w:r>
      <w:r w:rsidR="00553DBE" w:rsidRPr="00D920C9">
        <w:rPr>
          <w:rFonts w:asciiTheme="minorHAnsi" w:hAnsiTheme="minorHAnsi"/>
          <w:szCs w:val="20"/>
        </w:rPr>
        <w:t xml:space="preserve"> cases.</w:t>
      </w:r>
      <w:r w:rsidR="00553DBE" w:rsidRPr="00D920C9">
        <w:rPr>
          <w:rFonts w:asciiTheme="minorHAnsi" w:hAnsiTheme="minorHAnsi"/>
          <w:vertAlign w:val="superscript"/>
        </w:rPr>
        <w:footnoteReference w:id="219"/>
      </w:r>
      <w:r w:rsidR="00553DBE" w:rsidRPr="00D920C9">
        <w:rPr>
          <w:rFonts w:asciiTheme="minorHAnsi" w:hAnsiTheme="minorHAnsi"/>
          <w:szCs w:val="20"/>
        </w:rPr>
        <w:t xml:space="preserve"> </w:t>
      </w:r>
    </w:p>
    <w:p w14:paraId="61960845" w14:textId="77777777" w:rsidR="00B4412C" w:rsidRPr="00D920C9" w:rsidRDefault="00A756D5" w:rsidP="002C64F8">
      <w:pPr>
        <w:pStyle w:val="ListParagraph"/>
        <w:numPr>
          <w:ilvl w:val="0"/>
          <w:numId w:val="9"/>
        </w:numPr>
        <w:spacing w:after="240" w:line="240" w:lineRule="auto"/>
        <w:ind w:left="547" w:hanging="547"/>
        <w:contextualSpacing w:val="0"/>
        <w:jc w:val="both"/>
        <w:rPr>
          <w:rFonts w:asciiTheme="minorHAnsi" w:hAnsiTheme="minorHAnsi"/>
        </w:rPr>
      </w:pPr>
      <w:bookmarkStart w:id="85" w:name="_Ref507429959"/>
      <w:r w:rsidRPr="00D920C9">
        <w:rPr>
          <w:rFonts w:asciiTheme="minorHAnsi" w:hAnsiTheme="minorHAnsi"/>
          <w:szCs w:val="20"/>
        </w:rPr>
        <w:t xml:space="preserve">The Commission has previously denounced a “reiterated pattern of impunity in the killings of Afro-descendants by police in the United States,” in light of the failure to bring </w:t>
      </w:r>
      <w:r w:rsidR="001D60FA" w:rsidRPr="00D920C9">
        <w:rPr>
          <w:rFonts w:asciiTheme="minorHAnsi" w:hAnsiTheme="minorHAnsi"/>
          <w:szCs w:val="20"/>
        </w:rPr>
        <w:t>police</w:t>
      </w:r>
      <w:r w:rsidRPr="00D920C9">
        <w:rPr>
          <w:rFonts w:asciiTheme="minorHAnsi" w:hAnsiTheme="minorHAnsi"/>
          <w:szCs w:val="20"/>
        </w:rPr>
        <w:t xml:space="preserve"> officers in</w:t>
      </w:r>
      <w:r w:rsidR="001464CB" w:rsidRPr="00D920C9">
        <w:rPr>
          <w:rFonts w:asciiTheme="minorHAnsi" w:hAnsiTheme="minorHAnsi"/>
          <w:szCs w:val="20"/>
        </w:rPr>
        <w:t>volved in the killings of</w:t>
      </w:r>
      <w:r w:rsidR="001464CB" w:rsidRPr="00D920C9">
        <w:rPr>
          <w:rFonts w:asciiTheme="minorHAnsi" w:hAnsiTheme="minorHAnsi"/>
        </w:rPr>
        <w:t xml:space="preserve"> Michael Brown, Eric Garner, </w:t>
      </w:r>
      <w:proofErr w:type="spellStart"/>
      <w:r w:rsidR="001464CB" w:rsidRPr="00D920C9">
        <w:rPr>
          <w:rFonts w:asciiTheme="minorHAnsi" w:hAnsiTheme="minorHAnsi"/>
        </w:rPr>
        <w:t>Tamir</w:t>
      </w:r>
      <w:proofErr w:type="spellEnd"/>
      <w:r w:rsidR="001464CB" w:rsidRPr="00D920C9">
        <w:rPr>
          <w:rFonts w:asciiTheme="minorHAnsi" w:hAnsiTheme="minorHAnsi"/>
        </w:rPr>
        <w:t xml:space="preserve"> Rice, and Freddie Gray, among others</w:t>
      </w:r>
      <w:r w:rsidR="00096E79" w:rsidRPr="00D920C9">
        <w:rPr>
          <w:rFonts w:asciiTheme="minorHAnsi" w:hAnsiTheme="minorHAnsi"/>
        </w:rPr>
        <w:t>, to justice</w:t>
      </w:r>
      <w:r w:rsidR="001464CB" w:rsidRPr="00D920C9">
        <w:rPr>
          <w:rFonts w:asciiTheme="minorHAnsi" w:hAnsiTheme="minorHAnsi"/>
        </w:rPr>
        <w:t>.</w:t>
      </w:r>
      <w:r w:rsidRPr="00D920C9">
        <w:rPr>
          <w:rFonts w:asciiTheme="minorHAnsi" w:hAnsiTheme="minorHAnsi"/>
        </w:rPr>
        <w:t xml:space="preserve"> </w:t>
      </w:r>
      <w:r w:rsidR="001464CB" w:rsidRPr="00D920C9">
        <w:rPr>
          <w:rFonts w:asciiTheme="minorHAnsi" w:hAnsiTheme="minorHAnsi"/>
        </w:rPr>
        <w:t>At that time, the Commission called for the</w:t>
      </w:r>
      <w:r w:rsidRPr="00D920C9">
        <w:rPr>
          <w:rFonts w:asciiTheme="minorHAnsi" w:hAnsiTheme="minorHAnsi"/>
        </w:rPr>
        <w:t xml:space="preserve"> prompt, exhaustive, independent and impartial investigation </w:t>
      </w:r>
      <w:r w:rsidR="001464CB" w:rsidRPr="00D920C9">
        <w:rPr>
          <w:rFonts w:asciiTheme="minorHAnsi" w:hAnsiTheme="minorHAnsi"/>
        </w:rPr>
        <w:t>of these cases</w:t>
      </w:r>
      <w:r w:rsidRPr="00D920C9">
        <w:rPr>
          <w:rFonts w:asciiTheme="minorHAnsi" w:hAnsiTheme="minorHAnsi"/>
        </w:rPr>
        <w:t>, guarantee</w:t>
      </w:r>
      <w:r w:rsidR="001464CB" w:rsidRPr="00D920C9">
        <w:rPr>
          <w:rFonts w:asciiTheme="minorHAnsi" w:hAnsiTheme="minorHAnsi"/>
        </w:rPr>
        <w:t xml:space="preserve">ing </w:t>
      </w:r>
      <w:r w:rsidRPr="00D920C9">
        <w:rPr>
          <w:rFonts w:asciiTheme="minorHAnsi" w:hAnsiTheme="minorHAnsi"/>
        </w:rPr>
        <w:t>access to justice to the victims</w:t>
      </w:r>
      <w:r w:rsidR="00931537" w:rsidRPr="00D920C9">
        <w:rPr>
          <w:rFonts w:asciiTheme="minorHAnsi" w:hAnsiTheme="minorHAnsi"/>
        </w:rPr>
        <w:t>,</w:t>
      </w:r>
      <w:r w:rsidR="00200783" w:rsidRPr="00D920C9">
        <w:rPr>
          <w:rStyle w:val="FootnoteReference"/>
          <w:rFonts w:asciiTheme="minorHAnsi" w:hAnsiTheme="minorHAnsi"/>
        </w:rPr>
        <w:footnoteReference w:id="220"/>
      </w:r>
      <w:r w:rsidR="00931537" w:rsidRPr="00D920C9">
        <w:rPr>
          <w:rFonts w:asciiTheme="minorHAnsi" w:hAnsiTheme="minorHAnsi"/>
        </w:rPr>
        <w:t xml:space="preserve"> and</w:t>
      </w:r>
      <w:r w:rsidRPr="00D920C9">
        <w:rPr>
          <w:rFonts w:asciiTheme="minorHAnsi" w:hAnsiTheme="minorHAnsi"/>
        </w:rPr>
        <w:t xml:space="preserve"> </w:t>
      </w:r>
      <w:r w:rsidR="001464CB" w:rsidRPr="00D920C9">
        <w:rPr>
          <w:rFonts w:asciiTheme="minorHAnsi" w:hAnsiTheme="minorHAnsi"/>
        </w:rPr>
        <w:t>considered</w:t>
      </w:r>
      <w:r w:rsidRPr="00D920C9">
        <w:rPr>
          <w:rFonts w:asciiTheme="minorHAnsi" w:hAnsiTheme="minorHAnsi"/>
        </w:rPr>
        <w:t xml:space="preserve"> that </w:t>
      </w:r>
      <w:r w:rsidR="001464CB" w:rsidRPr="00D920C9">
        <w:rPr>
          <w:rFonts w:asciiTheme="minorHAnsi" w:hAnsiTheme="minorHAnsi"/>
        </w:rPr>
        <w:t xml:space="preserve">an </w:t>
      </w:r>
      <w:r w:rsidRPr="00D920C9">
        <w:rPr>
          <w:rFonts w:asciiTheme="minorHAnsi" w:hAnsiTheme="minorHAnsi"/>
        </w:rPr>
        <w:t>ineffective State response gives rise to high levels of impunity, result</w:t>
      </w:r>
      <w:r w:rsidR="00FE09A1" w:rsidRPr="00D920C9">
        <w:rPr>
          <w:rFonts w:asciiTheme="minorHAnsi" w:hAnsiTheme="minorHAnsi"/>
        </w:rPr>
        <w:t>ing</w:t>
      </w:r>
      <w:r w:rsidRPr="00D920C9">
        <w:rPr>
          <w:rFonts w:asciiTheme="minorHAnsi" w:hAnsiTheme="minorHAnsi"/>
        </w:rPr>
        <w:t xml:space="preserve"> in the chronic repetition of </w:t>
      </w:r>
      <w:r w:rsidR="001464CB" w:rsidRPr="00D920C9">
        <w:rPr>
          <w:rFonts w:asciiTheme="minorHAnsi" w:hAnsiTheme="minorHAnsi"/>
        </w:rPr>
        <w:t>incidents of excessive use of force by police</w:t>
      </w:r>
      <w:r w:rsidR="00FE09A1" w:rsidRPr="00D920C9">
        <w:rPr>
          <w:rFonts w:asciiTheme="minorHAnsi" w:hAnsiTheme="minorHAnsi"/>
        </w:rPr>
        <w:t xml:space="preserve"> and</w:t>
      </w:r>
      <w:r w:rsidRPr="00D920C9">
        <w:rPr>
          <w:rFonts w:asciiTheme="minorHAnsi" w:hAnsiTheme="minorHAnsi"/>
        </w:rPr>
        <w:t xml:space="preserve"> leaving victims and their families defenseless</w:t>
      </w:r>
      <w:r w:rsidR="001464CB" w:rsidRPr="00D920C9">
        <w:rPr>
          <w:rFonts w:asciiTheme="minorHAnsi" w:hAnsiTheme="minorHAnsi"/>
        </w:rPr>
        <w:t>.</w:t>
      </w:r>
      <w:r w:rsidR="001464CB" w:rsidRPr="00D920C9">
        <w:rPr>
          <w:rStyle w:val="FootnoteReference"/>
          <w:rFonts w:asciiTheme="minorHAnsi" w:hAnsiTheme="minorHAnsi"/>
        </w:rPr>
        <w:footnoteReference w:id="221"/>
      </w:r>
      <w:bookmarkEnd w:id="85"/>
    </w:p>
    <w:p w14:paraId="53C8263E" w14:textId="77777777" w:rsidR="00B4412C" w:rsidRPr="00D920C9" w:rsidRDefault="0002252F" w:rsidP="002C64F8">
      <w:pPr>
        <w:pStyle w:val="ListParagraph"/>
        <w:numPr>
          <w:ilvl w:val="0"/>
          <w:numId w:val="9"/>
        </w:numPr>
        <w:spacing w:after="240" w:line="240" w:lineRule="auto"/>
        <w:ind w:left="547" w:hanging="547"/>
        <w:contextualSpacing w:val="0"/>
        <w:jc w:val="both"/>
        <w:rPr>
          <w:rFonts w:asciiTheme="minorHAnsi" w:hAnsiTheme="minorHAnsi"/>
          <w:szCs w:val="20"/>
        </w:rPr>
      </w:pPr>
      <w:r w:rsidRPr="00D920C9">
        <w:rPr>
          <w:rFonts w:asciiTheme="minorHAnsi" w:hAnsiTheme="minorHAnsi"/>
        </w:rPr>
        <w:t>The Commission has continued to receive information demonstrating a pattern of impunity for officers in police killings</w:t>
      </w:r>
      <w:r w:rsidR="00FD5C42" w:rsidRPr="00D920C9">
        <w:rPr>
          <w:rFonts w:asciiTheme="minorHAnsi" w:hAnsiTheme="minorHAnsi"/>
        </w:rPr>
        <w:t xml:space="preserve"> in </w:t>
      </w:r>
      <w:r w:rsidR="00FD5C42" w:rsidRPr="00D920C9">
        <w:rPr>
          <w:rFonts w:asciiTheme="minorHAnsi" w:hAnsiTheme="minorHAnsi"/>
          <w:szCs w:val="20"/>
        </w:rPr>
        <w:t xml:space="preserve">the </w:t>
      </w:r>
      <w:r w:rsidR="00904A46" w:rsidRPr="00D920C9">
        <w:rPr>
          <w:rFonts w:asciiTheme="minorHAnsi" w:hAnsiTheme="minorHAnsi"/>
          <w:szCs w:val="20"/>
        </w:rPr>
        <w:t>U.S.</w:t>
      </w:r>
      <w:r w:rsidR="00556AEA" w:rsidRPr="00D920C9">
        <w:rPr>
          <w:rFonts w:asciiTheme="minorHAnsi" w:hAnsiTheme="minorHAnsi"/>
          <w:szCs w:val="20"/>
        </w:rPr>
        <w:t xml:space="preserve"> since its 2015 </w:t>
      </w:r>
      <w:r w:rsidR="00305744" w:rsidRPr="00D920C9">
        <w:rPr>
          <w:rFonts w:asciiTheme="minorHAnsi" w:hAnsiTheme="minorHAnsi"/>
          <w:szCs w:val="20"/>
        </w:rPr>
        <w:t xml:space="preserve">on-site </w:t>
      </w:r>
      <w:r w:rsidR="00556AEA" w:rsidRPr="00D920C9">
        <w:rPr>
          <w:rFonts w:asciiTheme="minorHAnsi" w:hAnsiTheme="minorHAnsi"/>
          <w:szCs w:val="20"/>
        </w:rPr>
        <w:t>visit</w:t>
      </w:r>
      <w:r w:rsidR="00FD5C42" w:rsidRPr="00D920C9">
        <w:rPr>
          <w:rFonts w:asciiTheme="minorHAnsi" w:hAnsiTheme="minorHAnsi"/>
          <w:szCs w:val="20"/>
        </w:rPr>
        <w:t xml:space="preserve">, including in the recent cases of </w:t>
      </w:r>
      <w:proofErr w:type="spellStart"/>
      <w:r w:rsidR="00FD5C42" w:rsidRPr="00D920C9">
        <w:rPr>
          <w:rFonts w:asciiTheme="minorHAnsi" w:hAnsiTheme="minorHAnsi"/>
          <w:szCs w:val="20"/>
        </w:rPr>
        <w:t>Philando</w:t>
      </w:r>
      <w:proofErr w:type="spellEnd"/>
      <w:r w:rsidR="00FD5C42" w:rsidRPr="00D920C9">
        <w:rPr>
          <w:rFonts w:asciiTheme="minorHAnsi" w:hAnsiTheme="minorHAnsi"/>
          <w:szCs w:val="20"/>
        </w:rPr>
        <w:t xml:space="preserve"> Castile, Terence Crutcher, Alton Sterling, and Anthony Lamar Smith</w:t>
      </w:r>
      <w:r w:rsidRPr="00D920C9">
        <w:rPr>
          <w:rFonts w:asciiTheme="minorHAnsi" w:hAnsiTheme="minorHAnsi"/>
          <w:szCs w:val="20"/>
        </w:rPr>
        <w:t>.</w:t>
      </w:r>
      <w:r w:rsidR="00FD5C42" w:rsidRPr="00D920C9">
        <w:rPr>
          <w:rFonts w:asciiTheme="minorHAnsi" w:hAnsiTheme="minorHAnsi"/>
          <w:szCs w:val="20"/>
        </w:rPr>
        <w:t xml:space="preserve"> All of these cases ended either without </w:t>
      </w:r>
      <w:r w:rsidR="006D4A9B" w:rsidRPr="00D920C9">
        <w:rPr>
          <w:rFonts w:asciiTheme="minorHAnsi" w:hAnsiTheme="minorHAnsi"/>
          <w:szCs w:val="20"/>
        </w:rPr>
        <w:t>indictment of</w:t>
      </w:r>
      <w:r w:rsidR="00FD5C42" w:rsidRPr="00D920C9">
        <w:rPr>
          <w:rFonts w:asciiTheme="minorHAnsi" w:hAnsiTheme="minorHAnsi"/>
          <w:szCs w:val="20"/>
        </w:rPr>
        <w:t xml:space="preserve"> the officer responsible, or with the officer’s acquittal at trial.</w:t>
      </w:r>
      <w:r w:rsidRPr="00D920C9">
        <w:rPr>
          <w:rFonts w:asciiTheme="minorHAnsi" w:hAnsiTheme="minorHAnsi"/>
          <w:szCs w:val="20"/>
          <w:vertAlign w:val="superscript"/>
        </w:rPr>
        <w:footnoteReference w:id="222"/>
      </w:r>
      <w:r w:rsidRPr="00D920C9">
        <w:rPr>
          <w:rFonts w:asciiTheme="minorHAnsi" w:hAnsiTheme="minorHAnsi"/>
          <w:szCs w:val="20"/>
        </w:rPr>
        <w:t xml:space="preserve"> </w:t>
      </w:r>
    </w:p>
    <w:p w14:paraId="406FF6EF" w14:textId="77777777" w:rsidR="00D7502C" w:rsidRPr="00D920C9" w:rsidRDefault="00D7502C" w:rsidP="002C64F8">
      <w:pPr>
        <w:pStyle w:val="ListParagraph"/>
        <w:numPr>
          <w:ilvl w:val="0"/>
          <w:numId w:val="9"/>
        </w:numPr>
        <w:spacing w:after="240" w:line="240" w:lineRule="auto"/>
        <w:ind w:left="547" w:hanging="547"/>
        <w:contextualSpacing w:val="0"/>
        <w:jc w:val="both"/>
        <w:rPr>
          <w:rFonts w:asciiTheme="minorHAnsi" w:hAnsiTheme="minorHAnsi"/>
        </w:rPr>
      </w:pPr>
      <w:r w:rsidRPr="00D920C9">
        <w:rPr>
          <w:rFonts w:asciiTheme="minorHAnsi" w:hAnsiTheme="minorHAnsi"/>
          <w:szCs w:val="20"/>
        </w:rPr>
        <w:lastRenderedPageBreak/>
        <w:t>The Commission notes that impunity in cases of police killings has a deep impact on the families of victims, contributes to mistrust between communities and police departments, and ultimately works to undermine the rule of law. The Commission has received extensive testimony from family members of victims of police violence about the lasting impact of the k</w:t>
      </w:r>
      <w:r w:rsidR="00D2531A" w:rsidRPr="00D920C9">
        <w:rPr>
          <w:rFonts w:asciiTheme="minorHAnsi" w:hAnsiTheme="minorHAnsi"/>
          <w:szCs w:val="20"/>
        </w:rPr>
        <w:t>illings on them and their families and communities</w:t>
      </w:r>
      <w:r w:rsidRPr="00D920C9">
        <w:rPr>
          <w:rFonts w:asciiTheme="minorHAnsi" w:hAnsiTheme="minorHAnsi"/>
          <w:szCs w:val="20"/>
        </w:rPr>
        <w:t>.</w:t>
      </w:r>
      <w:r w:rsidRPr="00D920C9">
        <w:rPr>
          <w:rFonts w:asciiTheme="minorHAnsi" w:hAnsiTheme="minorHAnsi"/>
        </w:rPr>
        <w:t xml:space="preserve"> For example, Collette Flanagan, mother of Clinton Allen (killed by a Dallas police officer on March 10, 2013) and </w:t>
      </w:r>
      <w:r w:rsidR="00B54495" w:rsidRPr="00D920C9">
        <w:rPr>
          <w:rFonts w:asciiTheme="minorHAnsi" w:hAnsiTheme="minorHAnsi"/>
        </w:rPr>
        <w:t>co-</w:t>
      </w:r>
      <w:r w:rsidRPr="00D920C9">
        <w:rPr>
          <w:rFonts w:asciiTheme="minorHAnsi" w:hAnsiTheme="minorHAnsi"/>
        </w:rPr>
        <w:t>founder of Mothers Against Police Brutality, testified at a public hearing:</w:t>
      </w:r>
    </w:p>
    <w:tbl>
      <w:tblPr>
        <w:tblStyle w:val="TableGrid"/>
        <w:tblW w:w="0" w:type="auto"/>
        <w:jc w:val="right"/>
        <w:shd w:val="clear" w:color="auto" w:fill="D9D9D9" w:themeFill="background1" w:themeFillShade="D9"/>
        <w:tblLook w:val="04A0" w:firstRow="1" w:lastRow="0" w:firstColumn="1" w:lastColumn="0" w:noHBand="0" w:noVBand="1"/>
      </w:tblPr>
      <w:tblGrid>
        <w:gridCol w:w="7848"/>
      </w:tblGrid>
      <w:tr w:rsidR="003A1642" w:rsidRPr="00D920C9" w14:paraId="78713DB6" w14:textId="77777777" w:rsidTr="003A1642">
        <w:trPr>
          <w:jc w:val="right"/>
        </w:trPr>
        <w:tc>
          <w:tcPr>
            <w:tcW w:w="9029" w:type="dxa"/>
            <w:shd w:val="clear" w:color="auto" w:fill="D9D9D9" w:themeFill="background1" w:themeFillShade="D9"/>
          </w:tcPr>
          <w:p w14:paraId="3FEEF898" w14:textId="7D01B609" w:rsidR="003A1642" w:rsidRPr="00D920C9" w:rsidRDefault="003A1642" w:rsidP="003A1642">
            <w:pPr>
              <w:spacing w:after="240" w:line="240" w:lineRule="auto"/>
              <w:ind w:left="288" w:right="288"/>
              <w:jc w:val="both"/>
              <w:rPr>
                <w:rFonts w:asciiTheme="minorHAnsi" w:hAnsiTheme="minorHAnsi"/>
              </w:rPr>
            </w:pPr>
            <w:r w:rsidRPr="00D920C9">
              <w:rPr>
                <w:rFonts w:asciiTheme="minorHAnsi" w:hAnsiTheme="minorHAnsi"/>
              </w:rPr>
              <w:br/>
              <w:t>When you lose a child, it is the most devastating event that could occur in your lifetime. But when you lose a child to police violence it breaks the social contract, destroying your everyday understanding and belief in your country. The level of betrayal is so awful that it literally changes your DNA. Losing a child this way renders you helpless and hopeless. You lose your will to live and fight everyday just to exist [. . . .] I share this with you because I want you to understand that when our children are unjustly killed by police because of the color of their skin, the turmoil that our</w:t>
            </w:r>
            <w:r w:rsidR="00625D97">
              <w:rPr>
                <w:rFonts w:asciiTheme="minorHAnsi" w:hAnsiTheme="minorHAnsi"/>
              </w:rPr>
              <w:br/>
            </w:r>
            <w:r w:rsidR="00625D97">
              <w:rPr>
                <w:rFonts w:asciiTheme="minorHAnsi" w:hAnsiTheme="minorHAnsi"/>
              </w:rPr>
              <w:br/>
            </w:r>
            <w:r w:rsidRPr="00D920C9">
              <w:rPr>
                <w:rFonts w:asciiTheme="minorHAnsi" w:hAnsiTheme="minorHAnsi"/>
              </w:rPr>
              <w:t xml:space="preserve">families endure [. . . </w:t>
            </w:r>
            <w:proofErr w:type="gramStart"/>
            <w:r w:rsidRPr="00D920C9">
              <w:rPr>
                <w:rFonts w:asciiTheme="minorHAnsi" w:hAnsiTheme="minorHAnsi"/>
              </w:rPr>
              <w:t>. ]</w:t>
            </w:r>
            <w:proofErr w:type="gramEnd"/>
            <w:r w:rsidRPr="00D920C9">
              <w:rPr>
                <w:rFonts w:asciiTheme="minorHAnsi" w:hAnsiTheme="minorHAnsi"/>
              </w:rPr>
              <w:t xml:space="preserve"> is like a powerful tsunami that blows your family to bits. Clinton’s death has reduced Clinton’s father to half the man he once was. His grandmother literally died of a broken heart at 69 years old. </w:t>
            </w:r>
          </w:p>
          <w:p w14:paraId="30E91256" w14:textId="0B9EE525" w:rsidR="003A1642" w:rsidRPr="00D920C9" w:rsidRDefault="003A1642" w:rsidP="003A1642">
            <w:pPr>
              <w:spacing w:after="240" w:line="240" w:lineRule="auto"/>
              <w:ind w:left="288" w:right="288"/>
              <w:jc w:val="both"/>
              <w:rPr>
                <w:rFonts w:asciiTheme="minorHAnsi" w:hAnsiTheme="minorHAnsi"/>
              </w:rPr>
            </w:pPr>
            <w:r w:rsidRPr="00D920C9">
              <w:rPr>
                <w:rFonts w:asciiTheme="minorHAnsi" w:hAnsiTheme="minorHAnsi"/>
              </w:rPr>
              <w:t>Can you imagine being told that you will just have to live with the fact that your child is gone and no one is going to help to obtain justice because his murderer is a police officer?</w:t>
            </w:r>
            <w:r w:rsidRPr="00D920C9">
              <w:rPr>
                <w:rStyle w:val="FootnoteReference"/>
                <w:rFonts w:asciiTheme="minorHAnsi" w:hAnsiTheme="minorHAnsi"/>
              </w:rPr>
              <w:footnoteReference w:id="223"/>
            </w:r>
          </w:p>
        </w:tc>
      </w:tr>
    </w:tbl>
    <w:p w14:paraId="0CAFE936" w14:textId="77777777" w:rsidR="00D7502C" w:rsidRPr="00D920C9" w:rsidRDefault="00D7502C" w:rsidP="0040052F">
      <w:pPr>
        <w:pStyle w:val="ListParagraph"/>
        <w:spacing w:after="0" w:line="240" w:lineRule="auto"/>
        <w:ind w:left="0" w:firstLine="720"/>
        <w:jc w:val="both"/>
        <w:rPr>
          <w:rFonts w:asciiTheme="minorHAnsi" w:hAnsiTheme="minorHAnsi"/>
        </w:rPr>
      </w:pPr>
    </w:p>
    <w:p w14:paraId="53927257" w14:textId="77777777" w:rsidR="00B54495" w:rsidRDefault="00B54495" w:rsidP="002C64F8">
      <w:pPr>
        <w:pStyle w:val="ListParagraph"/>
        <w:numPr>
          <w:ilvl w:val="0"/>
          <w:numId w:val="9"/>
        </w:numPr>
        <w:spacing w:after="240" w:line="240" w:lineRule="auto"/>
        <w:ind w:left="547" w:hanging="547"/>
        <w:contextualSpacing w:val="0"/>
        <w:jc w:val="both"/>
        <w:rPr>
          <w:rFonts w:asciiTheme="minorHAnsi" w:hAnsiTheme="minorHAnsi"/>
        </w:rPr>
      </w:pPr>
      <w:r w:rsidRPr="00D920C9">
        <w:rPr>
          <w:rFonts w:asciiTheme="minorHAnsi" w:hAnsiTheme="minorHAnsi"/>
        </w:rPr>
        <w:t xml:space="preserve">At the same hearing, Sara </w:t>
      </w:r>
      <w:proofErr w:type="spellStart"/>
      <w:r w:rsidRPr="00D920C9">
        <w:rPr>
          <w:rFonts w:asciiTheme="minorHAnsi" w:hAnsiTheme="minorHAnsi"/>
        </w:rPr>
        <w:t>Mokuria</w:t>
      </w:r>
      <w:proofErr w:type="spellEnd"/>
      <w:r w:rsidRPr="00D920C9">
        <w:rPr>
          <w:rFonts w:asciiTheme="minorHAnsi" w:hAnsiTheme="minorHAnsi"/>
        </w:rPr>
        <w:t xml:space="preserve">, daughter of </w:t>
      </w:r>
      <w:proofErr w:type="spellStart"/>
      <w:r w:rsidRPr="00D920C9">
        <w:rPr>
          <w:rFonts w:asciiTheme="minorHAnsi" w:hAnsiTheme="minorHAnsi"/>
        </w:rPr>
        <w:t>Tesfaye</w:t>
      </w:r>
      <w:proofErr w:type="spellEnd"/>
      <w:r w:rsidRPr="00D920C9">
        <w:rPr>
          <w:rFonts w:asciiTheme="minorHAnsi" w:hAnsiTheme="minorHAnsi"/>
        </w:rPr>
        <w:t xml:space="preserve"> </w:t>
      </w:r>
      <w:proofErr w:type="spellStart"/>
      <w:r w:rsidRPr="00D920C9">
        <w:rPr>
          <w:rFonts w:asciiTheme="minorHAnsi" w:hAnsiTheme="minorHAnsi"/>
        </w:rPr>
        <w:t>Mokuria</w:t>
      </w:r>
      <w:proofErr w:type="spellEnd"/>
      <w:r w:rsidRPr="00D920C9">
        <w:rPr>
          <w:rFonts w:asciiTheme="minorHAnsi" w:hAnsiTheme="minorHAnsi"/>
        </w:rPr>
        <w:t xml:space="preserve"> (killed by Dallas police officers in his home in 1993) and co-founder of Mothers Against Police Brutality, stated: </w:t>
      </w:r>
    </w:p>
    <w:tbl>
      <w:tblPr>
        <w:tblStyle w:val="TableGrid"/>
        <w:tblW w:w="0" w:type="auto"/>
        <w:shd w:val="clear" w:color="auto" w:fill="D9D9D9" w:themeFill="background1" w:themeFillShade="D9"/>
        <w:tblLook w:val="04A0" w:firstRow="1" w:lastRow="0" w:firstColumn="1" w:lastColumn="0" w:noHBand="0" w:noVBand="1"/>
      </w:tblPr>
      <w:tblGrid>
        <w:gridCol w:w="7848"/>
      </w:tblGrid>
      <w:tr w:rsidR="00625D97" w14:paraId="28300B68" w14:textId="77777777" w:rsidTr="00625D97">
        <w:tc>
          <w:tcPr>
            <w:tcW w:w="7848" w:type="dxa"/>
            <w:shd w:val="clear" w:color="auto" w:fill="D9D9D9" w:themeFill="background1" w:themeFillShade="D9"/>
          </w:tcPr>
          <w:p w14:paraId="1E79CF80" w14:textId="479287A1" w:rsidR="00625D97" w:rsidRPr="00D920C9" w:rsidRDefault="00625D97" w:rsidP="00625D97">
            <w:pPr>
              <w:pStyle w:val="ListParagraph"/>
              <w:spacing w:after="0" w:line="240" w:lineRule="auto"/>
              <w:ind w:left="360" w:right="619"/>
              <w:contextualSpacing w:val="0"/>
              <w:jc w:val="both"/>
              <w:rPr>
                <w:rFonts w:asciiTheme="minorHAnsi" w:hAnsiTheme="minorHAnsi"/>
              </w:rPr>
            </w:pPr>
            <w:r>
              <w:rPr>
                <w:rFonts w:asciiTheme="minorHAnsi" w:hAnsiTheme="minorHAnsi"/>
              </w:rPr>
              <w:br/>
            </w:r>
            <w:r w:rsidRPr="00D920C9">
              <w:rPr>
                <w:rFonts w:asciiTheme="minorHAnsi" w:hAnsiTheme="minorHAnsi"/>
              </w:rPr>
              <w:t xml:space="preserve">My father didn’t pass away. He was killed by Dallas police officers who are still on the Dallas police force in front of our entire family. I was ten years old as I watched his body collapse, riddled with bullets. I was standing behind him. I watched as the blood bubbled from his mouth, as my mom, who was holding my one-year-old sister in one hand, gripped my father’s foot with her other hand and wailed and cried. I, in my childhood innocence, asked the officer to call 911 to help him. I was instructed by the officer to change out of my pajamas into clothes, </w:t>
            </w:r>
            <w:r w:rsidR="0004388D">
              <w:rPr>
                <w:rFonts w:asciiTheme="minorHAnsi" w:hAnsiTheme="minorHAnsi"/>
              </w:rPr>
              <w:br/>
            </w:r>
            <w:r w:rsidR="0004388D">
              <w:rPr>
                <w:rFonts w:asciiTheme="minorHAnsi" w:hAnsiTheme="minorHAnsi"/>
              </w:rPr>
              <w:br/>
            </w:r>
            <w:r w:rsidR="0004388D">
              <w:rPr>
                <w:rFonts w:asciiTheme="minorHAnsi" w:hAnsiTheme="minorHAnsi"/>
              </w:rPr>
              <w:lastRenderedPageBreak/>
              <w:br/>
            </w:r>
            <w:r w:rsidRPr="00D920C9">
              <w:rPr>
                <w:rFonts w:asciiTheme="minorHAnsi" w:hAnsiTheme="minorHAnsi"/>
              </w:rPr>
              <w:t xml:space="preserve">and I was put into an officer’s car and was told that I wouldn’t be able to see my mother until I made a statement. I wasn’t reunited with my mother and my sister for hours. My mother fought for two years to get me and my sister considered eligible for counseling services through Crime Victims Compensation. My mother’s friends cleaned up my father’s blood and repaired the carpets in our homes, because most people don’t know that grief-stricken families are the ones not only left to identify lifeless bodies of their loved ones, but also to clean up the blood splattered throughout the crimes scenes of our homes. </w:t>
            </w:r>
          </w:p>
          <w:p w14:paraId="7B87EA2F" w14:textId="421A113B" w:rsidR="00625D97" w:rsidRPr="00625D97" w:rsidRDefault="00625D97" w:rsidP="00625D97">
            <w:pPr>
              <w:pStyle w:val="ListParagraph"/>
              <w:spacing w:after="240" w:line="240" w:lineRule="auto"/>
              <w:ind w:left="288" w:right="288"/>
              <w:jc w:val="both"/>
              <w:rPr>
                <w:rFonts w:asciiTheme="minorHAnsi" w:hAnsiTheme="minorHAnsi"/>
              </w:rPr>
            </w:pPr>
            <w:r w:rsidRPr="00625D97">
              <w:rPr>
                <w:rFonts w:asciiTheme="minorHAnsi" w:hAnsiTheme="minorHAnsi"/>
              </w:rPr>
              <w:tab/>
            </w:r>
            <w:r w:rsidRPr="00625D97">
              <w:rPr>
                <w:rFonts w:asciiTheme="minorHAnsi" w:hAnsiTheme="minorHAnsi"/>
              </w:rPr>
              <w:br/>
              <w:t>I can’t begin to explain how this trauma has impacted my family and my life. It literally shaped me the woman that I am. I jump at loud noises when people walk up on me too fast. It scares me. Most people think it is entertaining but it is a symptom of post-traumatic stress disorder. This type of trauma has affected everything from my memory to physical health. The physical, emotional, financial, and social impact on families are immeasurable. The trauma ripples throughout the entire community.</w:t>
            </w:r>
            <w:r w:rsidRPr="00D920C9">
              <w:rPr>
                <w:rStyle w:val="FootnoteReference"/>
                <w:rFonts w:asciiTheme="minorHAnsi" w:hAnsiTheme="minorHAnsi"/>
              </w:rPr>
              <w:footnoteReference w:id="224"/>
            </w:r>
          </w:p>
        </w:tc>
      </w:tr>
    </w:tbl>
    <w:p w14:paraId="69C971DD" w14:textId="77777777" w:rsidR="003A1642" w:rsidRPr="00D920C9" w:rsidRDefault="003A1642" w:rsidP="003A1642">
      <w:pPr>
        <w:spacing w:after="240" w:line="240" w:lineRule="auto"/>
        <w:jc w:val="both"/>
        <w:rPr>
          <w:rFonts w:asciiTheme="minorHAnsi" w:hAnsiTheme="minorHAnsi"/>
        </w:rPr>
      </w:pPr>
    </w:p>
    <w:p w14:paraId="5BD4B75C" w14:textId="77777777" w:rsidR="00224D66" w:rsidRPr="00D920C9" w:rsidRDefault="00224D66" w:rsidP="003A1642">
      <w:pPr>
        <w:pStyle w:val="ListParagraph"/>
        <w:numPr>
          <w:ilvl w:val="0"/>
          <w:numId w:val="9"/>
        </w:numPr>
        <w:spacing w:after="240" w:line="240" w:lineRule="auto"/>
        <w:ind w:left="547" w:hanging="547"/>
        <w:contextualSpacing w:val="0"/>
        <w:jc w:val="both"/>
        <w:rPr>
          <w:rFonts w:asciiTheme="minorHAnsi" w:hAnsiTheme="minorHAnsi"/>
        </w:rPr>
      </w:pPr>
      <w:r w:rsidRPr="00D920C9">
        <w:rPr>
          <w:rFonts w:asciiTheme="minorHAnsi" w:hAnsiTheme="minorHAnsi"/>
        </w:rPr>
        <w:t>The Commission additionally notes information regarding the death of Erica Garner, daughter of Eric Garner, on December 30, 2017 due to causes potentially related to her father’s death. Ms. Garner was 27 years old and reportedly died one week after being placed in a medically induced coma following an episode that precipitated a major heart attack.</w:t>
      </w:r>
      <w:r w:rsidRPr="00D920C9">
        <w:rPr>
          <w:rStyle w:val="FootnoteReference"/>
          <w:rFonts w:asciiTheme="minorHAnsi" w:hAnsiTheme="minorHAnsi"/>
        </w:rPr>
        <w:footnoteReference w:id="225"/>
      </w:r>
      <w:r w:rsidRPr="00D920C9">
        <w:rPr>
          <w:rFonts w:asciiTheme="minorHAnsi" w:hAnsiTheme="minorHAnsi"/>
        </w:rPr>
        <w:t xml:space="preserve"> The Commission noted that she had publicly referred earlier that month to the stress she experienced in pursuing her struggle for racial justice; she stated: “This thing, it beats you down. The system beats you down to where you can’t win.”</w:t>
      </w:r>
      <w:r w:rsidRPr="00D920C9">
        <w:rPr>
          <w:rStyle w:val="FootnoteReference"/>
          <w:rFonts w:asciiTheme="minorHAnsi" w:hAnsiTheme="minorHAnsi"/>
        </w:rPr>
        <w:footnoteReference w:id="226"/>
      </w:r>
    </w:p>
    <w:p w14:paraId="0A8B326C" w14:textId="77777777" w:rsidR="00090FAD" w:rsidRPr="00D920C9" w:rsidRDefault="00BA17C5" w:rsidP="003A1642">
      <w:pPr>
        <w:pStyle w:val="ListParagraph"/>
        <w:numPr>
          <w:ilvl w:val="0"/>
          <w:numId w:val="9"/>
        </w:numPr>
        <w:spacing w:after="240" w:line="240" w:lineRule="auto"/>
        <w:ind w:left="547" w:hanging="547"/>
        <w:contextualSpacing w:val="0"/>
        <w:jc w:val="both"/>
        <w:rPr>
          <w:rFonts w:asciiTheme="minorHAnsi" w:hAnsiTheme="minorHAnsi"/>
        </w:rPr>
      </w:pPr>
      <w:bookmarkStart w:id="86" w:name="_Ref507429069"/>
      <w:r w:rsidRPr="00D920C9">
        <w:rPr>
          <w:rFonts w:asciiTheme="minorHAnsi" w:eastAsia="Times New Roman" w:hAnsiTheme="minorHAnsi"/>
          <w:lang w:eastAsia="es-ES"/>
        </w:rPr>
        <w:t>The Commission has received information</w:t>
      </w:r>
      <w:r w:rsidR="00F178C8" w:rsidRPr="00D920C9">
        <w:rPr>
          <w:rFonts w:asciiTheme="minorHAnsi" w:eastAsia="Times New Roman" w:hAnsiTheme="minorHAnsi"/>
          <w:lang w:eastAsia="es-ES"/>
        </w:rPr>
        <w:t xml:space="preserve"> </w:t>
      </w:r>
      <w:r w:rsidRPr="00D920C9">
        <w:rPr>
          <w:rFonts w:asciiTheme="minorHAnsi" w:eastAsia="Times New Roman" w:hAnsiTheme="minorHAnsi"/>
          <w:lang w:eastAsia="es-ES"/>
        </w:rPr>
        <w:t xml:space="preserve">indicating that the role of grand juries and prosecutors in the criminal justice system may aggravate problems of police impunity. Although evidence </w:t>
      </w:r>
      <w:r w:rsidR="00096E79" w:rsidRPr="00D920C9">
        <w:rPr>
          <w:rFonts w:asciiTheme="minorHAnsi" w:eastAsia="Times New Roman" w:hAnsiTheme="minorHAnsi"/>
          <w:lang w:eastAsia="es-ES"/>
        </w:rPr>
        <w:t>about</w:t>
      </w:r>
      <w:r w:rsidRPr="00D920C9">
        <w:rPr>
          <w:rFonts w:asciiTheme="minorHAnsi" w:eastAsia="Times New Roman" w:hAnsiTheme="minorHAnsi"/>
          <w:lang w:eastAsia="es-ES"/>
        </w:rPr>
        <w:t xml:space="preserve"> the role of grand juries is mixed, studies have found that the secretive nature of grand juries and deliberations, a lack of transparent selection processes, a lack of diversity in jury pools, and the role of prosecutors in </w:t>
      </w:r>
      <w:r w:rsidRPr="00D920C9">
        <w:rPr>
          <w:rFonts w:asciiTheme="minorHAnsi" w:hAnsiTheme="minorHAnsi"/>
        </w:rPr>
        <w:t>guiding</w:t>
      </w:r>
      <w:r w:rsidRPr="00D920C9">
        <w:rPr>
          <w:rFonts w:asciiTheme="minorHAnsi" w:eastAsia="Times New Roman" w:hAnsiTheme="minorHAnsi"/>
          <w:lang w:eastAsia="es-ES"/>
        </w:rPr>
        <w:t xml:space="preserve"> the grand jury process and instructing on the law are factors that may impact the likelihood that a grand jury will elect not to approve criminal charges </w:t>
      </w:r>
      <w:r w:rsidRPr="00D920C9">
        <w:rPr>
          <w:rFonts w:asciiTheme="minorHAnsi" w:eastAsia="Times New Roman" w:hAnsiTheme="minorHAnsi"/>
          <w:lang w:eastAsia="es-ES"/>
        </w:rPr>
        <w:lastRenderedPageBreak/>
        <w:t>against police officers in cases of killings.</w:t>
      </w:r>
      <w:r w:rsidRPr="00D920C9">
        <w:rPr>
          <w:rStyle w:val="FootnoteReference"/>
          <w:rFonts w:asciiTheme="minorHAnsi" w:eastAsia="Times New Roman" w:hAnsiTheme="minorHAnsi"/>
          <w:lang w:eastAsia="es-ES"/>
        </w:rPr>
        <w:footnoteReference w:id="227"/>
      </w:r>
      <w:r w:rsidRPr="00D920C9">
        <w:rPr>
          <w:rFonts w:asciiTheme="minorHAnsi" w:eastAsia="Times New Roman" w:hAnsiTheme="minorHAnsi"/>
          <w:lang w:eastAsia="es-ES"/>
        </w:rPr>
        <w:t xml:space="preserve"> </w:t>
      </w:r>
      <w:r w:rsidR="00EA1368" w:rsidRPr="00D920C9">
        <w:rPr>
          <w:rFonts w:asciiTheme="minorHAnsi" w:eastAsia="Times New Roman" w:hAnsiTheme="minorHAnsi"/>
          <w:lang w:eastAsia="es-ES"/>
        </w:rPr>
        <w:t>While national data and systematic studies of these phenomena do not exist, one study found, for example, that grand juries in Dallas, Texas declined to indict 174 of the 175 police officers who faced investigation over a four-year period.</w:t>
      </w:r>
      <w:r w:rsidR="00EA1368" w:rsidRPr="00D920C9">
        <w:rPr>
          <w:rStyle w:val="FootnoteReference"/>
          <w:rFonts w:asciiTheme="minorHAnsi" w:eastAsia="Times New Roman" w:hAnsiTheme="minorHAnsi"/>
          <w:lang w:eastAsia="es-ES"/>
        </w:rPr>
        <w:footnoteReference w:id="228"/>
      </w:r>
      <w:bookmarkEnd w:id="86"/>
      <w:r w:rsidR="00EA1368" w:rsidRPr="00D920C9">
        <w:rPr>
          <w:rFonts w:asciiTheme="minorHAnsi" w:eastAsia="Times New Roman" w:hAnsiTheme="minorHAnsi"/>
          <w:lang w:eastAsia="es-ES"/>
        </w:rPr>
        <w:t xml:space="preserve"> </w:t>
      </w:r>
    </w:p>
    <w:p w14:paraId="1919FF3A" w14:textId="77777777" w:rsidR="00BA17C5" w:rsidRPr="00D920C9" w:rsidRDefault="00BA17C5" w:rsidP="003A1642">
      <w:pPr>
        <w:pStyle w:val="ListParagraph"/>
        <w:numPr>
          <w:ilvl w:val="0"/>
          <w:numId w:val="9"/>
        </w:numPr>
        <w:spacing w:after="240" w:line="240" w:lineRule="auto"/>
        <w:ind w:left="547" w:hanging="547"/>
        <w:contextualSpacing w:val="0"/>
        <w:jc w:val="both"/>
        <w:rPr>
          <w:rFonts w:asciiTheme="minorHAnsi" w:hAnsiTheme="minorHAnsi"/>
        </w:rPr>
      </w:pPr>
      <w:bookmarkStart w:id="87" w:name="_Ref507429070"/>
      <w:r w:rsidRPr="00D920C9">
        <w:rPr>
          <w:rFonts w:asciiTheme="minorHAnsi" w:eastAsia="Times New Roman" w:hAnsiTheme="minorHAnsi"/>
          <w:lang w:eastAsia="es-ES"/>
        </w:rPr>
        <w:t xml:space="preserve">Regarding the role of prosecutors, the Commission has received information </w:t>
      </w:r>
      <w:r w:rsidR="00F178C8" w:rsidRPr="00D920C9">
        <w:rPr>
          <w:rFonts w:asciiTheme="minorHAnsi" w:eastAsia="Times New Roman" w:hAnsiTheme="minorHAnsi"/>
          <w:lang w:eastAsia="es-ES"/>
        </w:rPr>
        <w:t xml:space="preserve">from civil society </w:t>
      </w:r>
      <w:r w:rsidRPr="00D920C9">
        <w:rPr>
          <w:rFonts w:asciiTheme="minorHAnsi" w:eastAsia="Times New Roman" w:hAnsiTheme="minorHAnsi"/>
          <w:lang w:eastAsia="es-ES"/>
        </w:rPr>
        <w:t xml:space="preserve">indicating that “prosecutors who rely on good relations with the police to effectively perform their jobs are reluctant to </w:t>
      </w:r>
      <w:r w:rsidRPr="00D920C9">
        <w:rPr>
          <w:rFonts w:asciiTheme="minorHAnsi" w:hAnsiTheme="minorHAnsi"/>
        </w:rPr>
        <w:t>bring</w:t>
      </w:r>
      <w:r w:rsidRPr="00D920C9">
        <w:rPr>
          <w:rFonts w:asciiTheme="minorHAnsi" w:eastAsia="Times New Roman" w:hAnsiTheme="minorHAnsi"/>
          <w:lang w:eastAsia="es-ES"/>
        </w:rPr>
        <w:t xml:space="preserve"> charges and employ a number of tactics—such as the use of flawed grand jury processes, advantageous plea deals, and disproportionately low sentencing recommendations—to shield police from full accountability.”</w:t>
      </w:r>
      <w:r w:rsidRPr="00D920C9">
        <w:rPr>
          <w:rStyle w:val="FootnoteReference"/>
          <w:rFonts w:asciiTheme="minorHAnsi" w:eastAsia="Times New Roman" w:hAnsiTheme="minorHAnsi"/>
          <w:lang w:eastAsia="es-ES"/>
        </w:rPr>
        <w:footnoteReference w:id="229"/>
      </w:r>
      <w:r w:rsidR="00C22DB3" w:rsidRPr="00D920C9">
        <w:rPr>
          <w:rFonts w:asciiTheme="minorHAnsi" w:eastAsia="Times New Roman" w:hAnsiTheme="minorHAnsi"/>
          <w:lang w:eastAsia="es-ES"/>
        </w:rPr>
        <w:t xml:space="preserve"> </w:t>
      </w:r>
      <w:r w:rsidR="00401DF8" w:rsidRPr="00D920C9">
        <w:rPr>
          <w:rFonts w:asciiTheme="minorHAnsi" w:eastAsia="Times New Roman" w:hAnsiTheme="minorHAnsi"/>
          <w:lang w:eastAsia="es-ES"/>
        </w:rPr>
        <w:t>A</w:t>
      </w:r>
      <w:r w:rsidR="00C22DB3" w:rsidRPr="00D920C9">
        <w:rPr>
          <w:rFonts w:asciiTheme="minorHAnsi" w:eastAsia="Times New Roman" w:hAnsiTheme="minorHAnsi"/>
          <w:lang w:eastAsia="es-ES"/>
        </w:rPr>
        <w:t>vailable information indicates that because t</w:t>
      </w:r>
      <w:r w:rsidR="00090FAD" w:rsidRPr="00D920C9">
        <w:rPr>
          <w:rFonts w:asciiTheme="minorHAnsi" w:eastAsia="Times New Roman" w:hAnsiTheme="minorHAnsi"/>
          <w:lang w:eastAsia="es-ES"/>
        </w:rPr>
        <w:t xml:space="preserve">he initiation of a criminal investigation </w:t>
      </w:r>
      <w:r w:rsidR="00C22DB3" w:rsidRPr="00D920C9">
        <w:rPr>
          <w:rFonts w:asciiTheme="minorHAnsi" w:eastAsia="Times New Roman" w:hAnsiTheme="minorHAnsi"/>
          <w:lang w:eastAsia="es-ES"/>
        </w:rPr>
        <w:t>relies</w:t>
      </w:r>
      <w:r w:rsidR="00090FAD" w:rsidRPr="00D920C9">
        <w:rPr>
          <w:rFonts w:asciiTheme="minorHAnsi" w:eastAsia="Times New Roman" w:hAnsiTheme="minorHAnsi"/>
          <w:lang w:eastAsia="es-ES"/>
        </w:rPr>
        <w:t xml:space="preserve"> upon prosecutorial discretion, </w:t>
      </w:r>
      <w:r w:rsidR="00C22DB3" w:rsidRPr="00D920C9">
        <w:rPr>
          <w:rFonts w:asciiTheme="minorHAnsi" w:eastAsia="Times New Roman" w:hAnsiTheme="minorHAnsi"/>
          <w:lang w:eastAsia="es-ES"/>
        </w:rPr>
        <w:t>“</w:t>
      </w:r>
      <w:r w:rsidR="00090FAD" w:rsidRPr="00D920C9">
        <w:rPr>
          <w:rFonts w:asciiTheme="minorHAnsi" w:eastAsia="Times New Roman" w:hAnsiTheme="minorHAnsi"/>
          <w:lang w:eastAsia="es-ES"/>
        </w:rPr>
        <w:t>which is often marred by resource constraints, pressure from police unions, and bias in favor of the police due to the working relationship between prosecutors and officers</w:t>
      </w:r>
      <w:r w:rsidR="00C22DB3" w:rsidRPr="00D920C9">
        <w:rPr>
          <w:rFonts w:asciiTheme="minorHAnsi" w:eastAsia="Times New Roman" w:hAnsiTheme="minorHAnsi"/>
          <w:lang w:eastAsia="es-ES"/>
        </w:rPr>
        <w:t>,”</w:t>
      </w:r>
      <w:r w:rsidR="00090FAD" w:rsidRPr="00D920C9">
        <w:rPr>
          <w:rFonts w:asciiTheme="minorHAnsi" w:eastAsia="Times New Roman" w:hAnsiTheme="minorHAnsi"/>
          <w:lang w:eastAsia="es-ES"/>
        </w:rPr>
        <w:t xml:space="preserve"> prosecutors </w:t>
      </w:r>
      <w:r w:rsidR="00C22DB3" w:rsidRPr="00D920C9">
        <w:rPr>
          <w:rFonts w:asciiTheme="minorHAnsi" w:eastAsia="Times New Roman" w:hAnsiTheme="minorHAnsi"/>
          <w:lang w:eastAsia="es-ES"/>
        </w:rPr>
        <w:t>may be</w:t>
      </w:r>
      <w:r w:rsidR="00090FAD" w:rsidRPr="00D920C9">
        <w:rPr>
          <w:rFonts w:asciiTheme="minorHAnsi" w:eastAsia="Times New Roman" w:hAnsiTheme="minorHAnsi"/>
          <w:lang w:eastAsia="es-ES"/>
        </w:rPr>
        <w:t xml:space="preserve"> less likely to file charges against police officers than civilian</w:t>
      </w:r>
      <w:r w:rsidR="00305744" w:rsidRPr="00D920C9">
        <w:rPr>
          <w:rFonts w:asciiTheme="minorHAnsi" w:eastAsia="Times New Roman" w:hAnsiTheme="minorHAnsi"/>
          <w:lang w:eastAsia="es-ES"/>
        </w:rPr>
        <w:t>s</w:t>
      </w:r>
      <w:r w:rsidR="00090FAD" w:rsidRPr="00D920C9">
        <w:rPr>
          <w:rFonts w:asciiTheme="minorHAnsi" w:eastAsia="Times New Roman" w:hAnsiTheme="minorHAnsi"/>
          <w:lang w:eastAsia="es-ES"/>
        </w:rPr>
        <w:t>.</w:t>
      </w:r>
      <w:r w:rsidR="00090FAD" w:rsidRPr="00D920C9">
        <w:rPr>
          <w:rStyle w:val="FootnoteReference"/>
          <w:rFonts w:asciiTheme="minorHAnsi" w:eastAsia="Times New Roman" w:hAnsiTheme="minorHAnsi"/>
          <w:lang w:eastAsia="es-ES"/>
        </w:rPr>
        <w:footnoteReference w:id="230"/>
      </w:r>
      <w:r w:rsidR="00C22DB3" w:rsidRPr="00D920C9">
        <w:rPr>
          <w:rFonts w:asciiTheme="minorHAnsi" w:eastAsia="Times New Roman" w:hAnsiTheme="minorHAnsi"/>
          <w:lang w:eastAsia="es-ES"/>
        </w:rPr>
        <w:t xml:space="preserve"> Furthermore, </w:t>
      </w:r>
      <w:r w:rsidR="00C31FA3" w:rsidRPr="00D920C9">
        <w:rPr>
          <w:rFonts w:asciiTheme="minorHAnsi" w:eastAsia="Times New Roman" w:hAnsiTheme="minorHAnsi"/>
          <w:lang w:eastAsia="es-ES"/>
        </w:rPr>
        <w:t>available information indicates that the difficulty of proving criminal charges against police officers and the generally short sentences handed down in the event of a conviction also fail to deter police violence.</w:t>
      </w:r>
      <w:r w:rsidR="00C31FA3" w:rsidRPr="00D920C9">
        <w:rPr>
          <w:rStyle w:val="FootnoteReference"/>
          <w:rFonts w:asciiTheme="minorHAnsi" w:eastAsia="Times New Roman" w:hAnsiTheme="minorHAnsi"/>
          <w:lang w:eastAsia="es-ES"/>
        </w:rPr>
        <w:footnoteReference w:id="231"/>
      </w:r>
      <w:bookmarkEnd w:id="87"/>
    </w:p>
    <w:p w14:paraId="15610B12" w14:textId="52AA12DA" w:rsidR="00866BD2" w:rsidRPr="00D920C9" w:rsidRDefault="00866BD2" w:rsidP="003A1642">
      <w:pPr>
        <w:pStyle w:val="ListParagraph"/>
        <w:numPr>
          <w:ilvl w:val="0"/>
          <w:numId w:val="9"/>
        </w:numPr>
        <w:spacing w:after="240" w:line="240" w:lineRule="auto"/>
        <w:ind w:left="547" w:hanging="547"/>
        <w:contextualSpacing w:val="0"/>
        <w:jc w:val="both"/>
        <w:rPr>
          <w:rFonts w:asciiTheme="minorHAnsi" w:hAnsiTheme="minorHAnsi"/>
        </w:rPr>
      </w:pPr>
      <w:bookmarkStart w:id="88" w:name="_Ref507429434"/>
      <w:r w:rsidRPr="00D920C9">
        <w:rPr>
          <w:rFonts w:asciiTheme="minorHAnsi" w:hAnsiTheme="minorHAnsi"/>
        </w:rPr>
        <w:t>The Commission</w:t>
      </w:r>
      <w:r w:rsidR="00E94964" w:rsidRPr="00D920C9">
        <w:rPr>
          <w:rFonts w:asciiTheme="minorHAnsi" w:hAnsiTheme="minorHAnsi"/>
        </w:rPr>
        <w:t xml:space="preserve"> affirms that </w:t>
      </w:r>
      <w:r w:rsidR="00FE09A1" w:rsidRPr="00D920C9">
        <w:rPr>
          <w:rFonts w:asciiTheme="minorHAnsi" w:hAnsiTheme="minorHAnsi"/>
        </w:rPr>
        <w:t>internal affairs units of police departments represent important control mechanisms</w:t>
      </w:r>
      <w:r w:rsidR="00232DEA" w:rsidRPr="00D920C9">
        <w:rPr>
          <w:rFonts w:asciiTheme="minorHAnsi" w:hAnsiTheme="minorHAnsi"/>
        </w:rPr>
        <w:t xml:space="preserve"> and contribute to the collection of official statistics about disciplinary complaints</w:t>
      </w:r>
      <w:r w:rsidR="00FE09A1" w:rsidRPr="00D920C9">
        <w:rPr>
          <w:rFonts w:asciiTheme="minorHAnsi" w:hAnsiTheme="minorHAnsi"/>
        </w:rPr>
        <w:t>; however, it has</w:t>
      </w:r>
      <w:r w:rsidRPr="00D920C9">
        <w:rPr>
          <w:rFonts w:asciiTheme="minorHAnsi" w:hAnsiTheme="minorHAnsi"/>
        </w:rPr>
        <w:t xml:space="preserve"> received information indicating that internal investigations into police killings tend to be ineffective remedies </w:t>
      </w:r>
      <w:r w:rsidR="00FE09A1" w:rsidRPr="00D920C9">
        <w:rPr>
          <w:rFonts w:asciiTheme="minorHAnsi" w:hAnsiTheme="minorHAnsi"/>
        </w:rPr>
        <w:t xml:space="preserve">in practice </w:t>
      </w:r>
      <w:r w:rsidRPr="00D920C9">
        <w:rPr>
          <w:rFonts w:asciiTheme="minorHAnsi" w:hAnsiTheme="minorHAnsi"/>
        </w:rPr>
        <w:t>as they are expensive, time-consuming, and not transparent.</w:t>
      </w:r>
      <w:r w:rsidRPr="00D920C9">
        <w:rPr>
          <w:rStyle w:val="FootnoteReference"/>
          <w:rFonts w:asciiTheme="minorHAnsi" w:hAnsiTheme="minorHAnsi"/>
        </w:rPr>
        <w:footnoteReference w:id="232"/>
      </w:r>
      <w:r w:rsidRPr="00D920C9">
        <w:rPr>
          <w:rFonts w:asciiTheme="minorHAnsi" w:hAnsiTheme="minorHAnsi"/>
        </w:rPr>
        <w:t xml:space="preserve"> Internal investigations in particular rarely result in positive outcomes for victims. </w:t>
      </w:r>
      <w:r w:rsidR="00C22DB3" w:rsidRPr="00D920C9">
        <w:rPr>
          <w:rFonts w:asciiTheme="minorHAnsi" w:hAnsiTheme="minorHAnsi"/>
        </w:rPr>
        <w:t>For example, information from the</w:t>
      </w:r>
      <w:r w:rsidRPr="00D920C9">
        <w:rPr>
          <w:rFonts w:asciiTheme="minorHAnsi" w:hAnsiTheme="minorHAnsi"/>
        </w:rPr>
        <w:t xml:space="preserve"> Bureau of Justice Statistics </w:t>
      </w:r>
      <w:r w:rsidR="00C22DB3" w:rsidRPr="00D920C9">
        <w:rPr>
          <w:rFonts w:asciiTheme="minorHAnsi" w:hAnsiTheme="minorHAnsi"/>
        </w:rPr>
        <w:t>indicates that 92</w:t>
      </w:r>
      <w:r w:rsidRPr="00D920C9">
        <w:rPr>
          <w:rFonts w:asciiTheme="minorHAnsi" w:hAnsiTheme="minorHAnsi"/>
        </w:rPr>
        <w:t xml:space="preserve"> percent of use of force complaints filed with large state and local law enforcement agencies were dismissed.</w:t>
      </w:r>
      <w:r w:rsidRPr="00D920C9">
        <w:rPr>
          <w:rStyle w:val="FootnoteReference"/>
          <w:rFonts w:asciiTheme="minorHAnsi" w:hAnsiTheme="minorHAnsi"/>
        </w:rPr>
        <w:footnoteReference w:id="233"/>
      </w:r>
      <w:r w:rsidRPr="00D920C9">
        <w:rPr>
          <w:rFonts w:asciiTheme="minorHAnsi" w:hAnsiTheme="minorHAnsi"/>
        </w:rPr>
        <w:t xml:space="preserve"> </w:t>
      </w:r>
      <w:r w:rsidR="00EF2013" w:rsidRPr="00D920C9">
        <w:rPr>
          <w:rFonts w:asciiTheme="minorHAnsi" w:hAnsiTheme="minorHAnsi"/>
        </w:rPr>
        <w:t xml:space="preserve">Many municipal police departments in the </w:t>
      </w:r>
      <w:r w:rsidR="006D4A9B" w:rsidRPr="00D920C9">
        <w:rPr>
          <w:rFonts w:asciiTheme="minorHAnsi" w:hAnsiTheme="minorHAnsi"/>
        </w:rPr>
        <w:t>U.S.</w:t>
      </w:r>
      <w:r w:rsidR="00EF2013" w:rsidRPr="00D920C9">
        <w:rPr>
          <w:rFonts w:asciiTheme="minorHAnsi" w:hAnsiTheme="minorHAnsi"/>
        </w:rPr>
        <w:t xml:space="preserve"> do not </w:t>
      </w:r>
      <w:r w:rsidR="00EF2013" w:rsidRPr="00D920C9">
        <w:rPr>
          <w:rFonts w:asciiTheme="minorHAnsi" w:hAnsiTheme="minorHAnsi"/>
        </w:rPr>
        <w:lastRenderedPageBreak/>
        <w:t>even have an independent internal affairs department.</w:t>
      </w:r>
      <w:r w:rsidR="00EF2013" w:rsidRPr="00D920C9">
        <w:rPr>
          <w:rStyle w:val="FootnoteReference"/>
          <w:rFonts w:asciiTheme="minorHAnsi" w:hAnsiTheme="minorHAnsi"/>
        </w:rPr>
        <w:footnoteReference w:id="234"/>
      </w:r>
      <w:r w:rsidR="00EF2013" w:rsidRPr="00D920C9">
        <w:rPr>
          <w:rFonts w:asciiTheme="minorHAnsi" w:hAnsiTheme="minorHAnsi"/>
        </w:rPr>
        <w:t xml:space="preserve"> </w:t>
      </w:r>
      <w:r w:rsidR="00C22DB3" w:rsidRPr="00D920C9">
        <w:rPr>
          <w:rFonts w:asciiTheme="minorHAnsi" w:hAnsiTheme="minorHAnsi"/>
        </w:rPr>
        <w:t>At the state level,</w:t>
      </w:r>
      <w:r w:rsidRPr="00D920C9">
        <w:rPr>
          <w:rFonts w:asciiTheme="minorHAnsi" w:hAnsiTheme="minorHAnsi"/>
        </w:rPr>
        <w:t xml:space="preserve"> statutes limit the time, place, and </w:t>
      </w:r>
      <w:r w:rsidR="00C22DB3" w:rsidRPr="00D920C9">
        <w:rPr>
          <w:rFonts w:asciiTheme="minorHAnsi" w:hAnsiTheme="minorHAnsi"/>
        </w:rPr>
        <w:t>manner</w:t>
      </w:r>
      <w:r w:rsidRPr="00D920C9">
        <w:rPr>
          <w:rFonts w:asciiTheme="minorHAnsi" w:hAnsiTheme="minorHAnsi"/>
        </w:rPr>
        <w:t xml:space="preserve"> </w:t>
      </w:r>
      <w:r w:rsidR="00C22DB3" w:rsidRPr="00D920C9">
        <w:rPr>
          <w:rFonts w:asciiTheme="minorHAnsi" w:hAnsiTheme="minorHAnsi"/>
        </w:rPr>
        <w:t>for filing</w:t>
      </w:r>
      <w:r w:rsidRPr="00D920C9">
        <w:rPr>
          <w:rFonts w:asciiTheme="minorHAnsi" w:hAnsiTheme="minorHAnsi"/>
        </w:rPr>
        <w:t xml:space="preserve"> complaints, and police agencies discourage such report</w:t>
      </w:r>
      <w:r w:rsidR="001E4021" w:rsidRPr="00D920C9">
        <w:rPr>
          <w:rFonts w:asciiTheme="minorHAnsi" w:hAnsiTheme="minorHAnsi"/>
        </w:rPr>
        <w:t>s</w:t>
      </w:r>
      <w:r w:rsidRPr="00D920C9">
        <w:rPr>
          <w:rFonts w:asciiTheme="minorHAnsi" w:hAnsiTheme="minorHAnsi"/>
        </w:rPr>
        <w:t>.</w:t>
      </w:r>
      <w:r w:rsidRPr="00D920C9">
        <w:rPr>
          <w:rStyle w:val="FootnoteReference"/>
          <w:rFonts w:asciiTheme="minorHAnsi" w:hAnsiTheme="minorHAnsi"/>
        </w:rPr>
        <w:footnoteReference w:id="235"/>
      </w:r>
      <w:r w:rsidRPr="00D920C9">
        <w:rPr>
          <w:rFonts w:asciiTheme="minorHAnsi" w:hAnsiTheme="minorHAnsi"/>
        </w:rPr>
        <w:t xml:space="preserve"> </w:t>
      </w:r>
      <w:r w:rsidR="00C22DB3" w:rsidRPr="00D920C9">
        <w:rPr>
          <w:rFonts w:asciiTheme="minorHAnsi" w:hAnsiTheme="minorHAnsi"/>
        </w:rPr>
        <w:t>Internal investigations may also be hindered by problems with witnesses and departmental cultures of secrecy</w:t>
      </w:r>
      <w:r w:rsidRPr="00D920C9">
        <w:rPr>
          <w:rFonts w:asciiTheme="minorHAnsi" w:hAnsiTheme="minorHAnsi"/>
        </w:rPr>
        <w:t>.</w:t>
      </w:r>
      <w:r w:rsidRPr="00D920C9">
        <w:rPr>
          <w:rStyle w:val="FootnoteReference"/>
          <w:rFonts w:asciiTheme="minorHAnsi" w:hAnsiTheme="minorHAnsi"/>
        </w:rPr>
        <w:footnoteReference w:id="236"/>
      </w:r>
      <w:r w:rsidR="00335CDD" w:rsidRPr="00D920C9">
        <w:rPr>
          <w:rFonts w:asciiTheme="minorHAnsi" w:hAnsiTheme="minorHAnsi"/>
        </w:rPr>
        <w:t xml:space="preserve"> And in some states, police officers are afforded special protections in misconduct investigations.</w:t>
      </w:r>
      <w:r w:rsidR="00335CDD" w:rsidRPr="00D920C9">
        <w:rPr>
          <w:rStyle w:val="FootnoteReference"/>
          <w:rFonts w:asciiTheme="minorHAnsi" w:hAnsiTheme="minorHAnsi"/>
        </w:rPr>
        <w:footnoteReference w:id="237"/>
      </w:r>
      <w:bookmarkEnd w:id="88"/>
      <w:r w:rsidR="00232DEA" w:rsidRPr="00D920C9">
        <w:rPr>
          <w:rFonts w:asciiTheme="minorHAnsi" w:hAnsiTheme="minorHAnsi"/>
        </w:rPr>
        <w:t xml:space="preserve"> These issues are</w:t>
      </w:r>
      <w:r w:rsidR="005718A7" w:rsidRPr="00D920C9">
        <w:rPr>
          <w:rFonts w:asciiTheme="minorHAnsi" w:hAnsiTheme="minorHAnsi"/>
        </w:rPr>
        <w:t xml:space="preserve"> further examined in Chapter 3</w:t>
      </w:r>
      <w:r w:rsidR="00232DEA" w:rsidRPr="00D920C9">
        <w:rPr>
          <w:rFonts w:asciiTheme="minorHAnsi" w:hAnsiTheme="minorHAnsi"/>
        </w:rPr>
        <w:t>.</w:t>
      </w:r>
    </w:p>
    <w:p w14:paraId="46F27174" w14:textId="77777777" w:rsidR="00F178C8" w:rsidRPr="00D920C9" w:rsidRDefault="00D5723F" w:rsidP="003A1642">
      <w:pPr>
        <w:pStyle w:val="ListParagraph"/>
        <w:numPr>
          <w:ilvl w:val="0"/>
          <w:numId w:val="9"/>
        </w:numPr>
        <w:spacing w:after="240" w:line="240" w:lineRule="auto"/>
        <w:ind w:left="547" w:hanging="547"/>
        <w:contextualSpacing w:val="0"/>
        <w:jc w:val="both"/>
        <w:rPr>
          <w:rFonts w:asciiTheme="minorHAnsi" w:hAnsiTheme="minorHAnsi"/>
        </w:rPr>
      </w:pPr>
      <w:bookmarkStart w:id="89" w:name="_Ref511222838"/>
      <w:r w:rsidRPr="00D920C9">
        <w:rPr>
          <w:rFonts w:asciiTheme="minorHAnsi" w:hAnsiTheme="minorHAnsi"/>
        </w:rPr>
        <w:t xml:space="preserve">The Commission has received information about the role and functioning </w:t>
      </w:r>
      <w:r w:rsidR="00AC4F41" w:rsidRPr="00D920C9">
        <w:rPr>
          <w:rFonts w:asciiTheme="minorHAnsi" w:hAnsiTheme="minorHAnsi"/>
        </w:rPr>
        <w:t>of</w:t>
      </w:r>
      <w:r w:rsidRPr="00D920C9">
        <w:rPr>
          <w:rFonts w:asciiTheme="minorHAnsi" w:hAnsiTheme="minorHAnsi"/>
        </w:rPr>
        <w:t xml:space="preserve"> civilian oversig</w:t>
      </w:r>
      <w:r w:rsidR="00AC4F41" w:rsidRPr="00D920C9">
        <w:rPr>
          <w:rFonts w:asciiTheme="minorHAnsi" w:hAnsiTheme="minorHAnsi"/>
        </w:rPr>
        <w:t>ht mechanisms to monitor police, which can involv</w:t>
      </w:r>
      <w:r w:rsidR="00232DEA" w:rsidRPr="00D920C9">
        <w:rPr>
          <w:rFonts w:asciiTheme="minorHAnsi" w:hAnsiTheme="minorHAnsi"/>
        </w:rPr>
        <w:t>e</w:t>
      </w:r>
      <w:r w:rsidR="00AC4F41" w:rsidRPr="00D920C9">
        <w:rPr>
          <w:rFonts w:asciiTheme="minorHAnsi" w:hAnsiTheme="minorHAnsi"/>
        </w:rPr>
        <w:t xml:space="preserve"> the community in police accountability and ensur</w:t>
      </w:r>
      <w:r w:rsidR="00232DEA" w:rsidRPr="00D920C9">
        <w:rPr>
          <w:rFonts w:asciiTheme="minorHAnsi" w:hAnsiTheme="minorHAnsi"/>
        </w:rPr>
        <w:t>e</w:t>
      </w:r>
      <w:r w:rsidR="00AC4F41" w:rsidRPr="00D920C9">
        <w:rPr>
          <w:rFonts w:asciiTheme="minorHAnsi" w:hAnsiTheme="minorHAnsi"/>
        </w:rPr>
        <w:t xml:space="preserve"> greater independence from internal affairs departments in </w:t>
      </w:r>
      <w:r w:rsidR="00232DEA" w:rsidRPr="00D920C9">
        <w:rPr>
          <w:rFonts w:asciiTheme="minorHAnsi" w:hAnsiTheme="minorHAnsi"/>
        </w:rPr>
        <w:t xml:space="preserve">reviewing </w:t>
      </w:r>
      <w:r w:rsidR="00AC4F41" w:rsidRPr="00D920C9">
        <w:rPr>
          <w:rFonts w:asciiTheme="minorHAnsi" w:hAnsiTheme="minorHAnsi"/>
        </w:rPr>
        <w:t>complaints against police officers.</w:t>
      </w:r>
      <w:r w:rsidR="00AC4F41" w:rsidRPr="00D920C9">
        <w:rPr>
          <w:rStyle w:val="FootnoteReference"/>
          <w:rFonts w:asciiTheme="minorHAnsi" w:hAnsiTheme="minorHAnsi"/>
        </w:rPr>
        <w:footnoteReference w:id="238"/>
      </w:r>
      <w:r w:rsidR="00AC4F41" w:rsidRPr="00D920C9">
        <w:rPr>
          <w:rFonts w:asciiTheme="minorHAnsi" w:hAnsiTheme="minorHAnsi"/>
        </w:rPr>
        <w:t xml:space="preserve"> One study indicated that “some form of civilian oversight is probably the best way to achieve legitimacy with the community, regardless of whether internal systems for dealing with police complaints might also be effective.”</w:t>
      </w:r>
      <w:r w:rsidR="00AC4F41" w:rsidRPr="00D920C9">
        <w:rPr>
          <w:rStyle w:val="FootnoteReference"/>
          <w:rFonts w:asciiTheme="minorHAnsi" w:hAnsiTheme="minorHAnsi"/>
        </w:rPr>
        <w:footnoteReference w:id="239"/>
      </w:r>
      <w:r w:rsidR="00AC4F41" w:rsidRPr="00D920C9">
        <w:rPr>
          <w:rFonts w:asciiTheme="minorHAnsi" w:hAnsiTheme="minorHAnsi"/>
        </w:rPr>
        <w:t xml:space="preserve"> Nonetheless, </w:t>
      </w:r>
      <w:r w:rsidR="00A80C34" w:rsidRPr="00D920C9">
        <w:rPr>
          <w:rFonts w:asciiTheme="minorHAnsi" w:hAnsiTheme="minorHAnsi"/>
        </w:rPr>
        <w:t>civilian</w:t>
      </w:r>
      <w:r w:rsidR="00AC4F41" w:rsidRPr="00D920C9">
        <w:rPr>
          <w:rFonts w:asciiTheme="minorHAnsi" w:hAnsiTheme="minorHAnsi"/>
        </w:rPr>
        <w:t xml:space="preserve"> boards may be limited by the </w:t>
      </w:r>
      <w:r w:rsidR="00A80C34" w:rsidRPr="00D920C9">
        <w:rPr>
          <w:rFonts w:asciiTheme="minorHAnsi" w:hAnsiTheme="minorHAnsi"/>
        </w:rPr>
        <w:t>fairness and talent</w:t>
      </w:r>
      <w:r w:rsidR="00AC4F41" w:rsidRPr="00D920C9">
        <w:rPr>
          <w:rFonts w:asciiTheme="minorHAnsi" w:hAnsiTheme="minorHAnsi"/>
        </w:rPr>
        <w:t xml:space="preserve"> of the</w:t>
      </w:r>
      <w:r w:rsidR="00A80C34" w:rsidRPr="00D920C9">
        <w:rPr>
          <w:rFonts w:asciiTheme="minorHAnsi" w:hAnsiTheme="minorHAnsi"/>
        </w:rPr>
        <w:t xml:space="preserve">ir members, </w:t>
      </w:r>
      <w:r w:rsidR="00232DEA" w:rsidRPr="00D920C9">
        <w:rPr>
          <w:rFonts w:asciiTheme="minorHAnsi" w:hAnsiTheme="minorHAnsi"/>
        </w:rPr>
        <w:t>as well as</w:t>
      </w:r>
      <w:r w:rsidR="00A80C34" w:rsidRPr="00D920C9">
        <w:rPr>
          <w:rFonts w:asciiTheme="minorHAnsi" w:hAnsiTheme="minorHAnsi"/>
        </w:rPr>
        <w:t xml:space="preserve"> the formal influence and authority of the board </w:t>
      </w:r>
      <w:proofErr w:type="gramStart"/>
      <w:r w:rsidR="00A80C34" w:rsidRPr="00D920C9">
        <w:rPr>
          <w:rFonts w:asciiTheme="minorHAnsi" w:hAnsiTheme="minorHAnsi"/>
          <w:i/>
        </w:rPr>
        <w:t>vis</w:t>
      </w:r>
      <w:proofErr w:type="gramEnd"/>
      <w:r w:rsidR="00A80C34" w:rsidRPr="00D920C9">
        <w:rPr>
          <w:rFonts w:asciiTheme="minorHAnsi" w:hAnsiTheme="minorHAnsi"/>
          <w:i/>
        </w:rPr>
        <w:t xml:space="preserve"> a vis</w:t>
      </w:r>
      <w:r w:rsidR="00A80C34" w:rsidRPr="00D920C9">
        <w:rPr>
          <w:rFonts w:asciiTheme="minorHAnsi" w:hAnsiTheme="minorHAnsi"/>
        </w:rPr>
        <w:t xml:space="preserve"> the police department, among other factors.</w:t>
      </w:r>
      <w:r w:rsidR="00A80C34" w:rsidRPr="00D920C9">
        <w:rPr>
          <w:rStyle w:val="FootnoteReference"/>
          <w:rFonts w:asciiTheme="minorHAnsi" w:hAnsiTheme="minorHAnsi"/>
        </w:rPr>
        <w:footnoteReference w:id="240"/>
      </w:r>
      <w:bookmarkEnd w:id="89"/>
    </w:p>
    <w:p w14:paraId="5DF746A8" w14:textId="77777777" w:rsidR="00335CDD" w:rsidRPr="00D920C9" w:rsidRDefault="00335CDD" w:rsidP="003A1642">
      <w:pPr>
        <w:pStyle w:val="ListParagraph"/>
        <w:numPr>
          <w:ilvl w:val="0"/>
          <w:numId w:val="9"/>
        </w:numPr>
        <w:spacing w:after="240" w:line="240" w:lineRule="auto"/>
        <w:ind w:left="547" w:hanging="547"/>
        <w:contextualSpacing w:val="0"/>
        <w:jc w:val="both"/>
        <w:rPr>
          <w:rFonts w:asciiTheme="minorHAnsi" w:hAnsiTheme="minorHAnsi"/>
        </w:rPr>
      </w:pPr>
      <w:bookmarkStart w:id="90" w:name="_Ref507431642"/>
      <w:r w:rsidRPr="00D920C9">
        <w:rPr>
          <w:rFonts w:asciiTheme="minorHAnsi" w:hAnsiTheme="minorHAnsi"/>
        </w:rPr>
        <w:t xml:space="preserve">The Commission has received information </w:t>
      </w:r>
      <w:r w:rsidR="0032508B" w:rsidRPr="00D920C9">
        <w:rPr>
          <w:rFonts w:asciiTheme="minorHAnsi" w:hAnsiTheme="minorHAnsi"/>
        </w:rPr>
        <w:t>indicating</w:t>
      </w:r>
      <w:r w:rsidRPr="00D920C9">
        <w:rPr>
          <w:rFonts w:asciiTheme="minorHAnsi" w:hAnsiTheme="minorHAnsi"/>
        </w:rPr>
        <w:t xml:space="preserve"> barriers to the effective adjudication of civil suits against police officers</w:t>
      </w:r>
      <w:r w:rsidR="00F178C8" w:rsidRPr="00D920C9">
        <w:rPr>
          <w:rFonts w:asciiTheme="minorHAnsi" w:hAnsiTheme="minorHAnsi"/>
        </w:rPr>
        <w:t>, as well as information indicating that civil suits may not in general be effective remedies</w:t>
      </w:r>
      <w:r w:rsidRPr="00D920C9">
        <w:rPr>
          <w:rFonts w:asciiTheme="minorHAnsi" w:hAnsiTheme="minorHAnsi"/>
        </w:rPr>
        <w:t xml:space="preserve">. In general, victims may sue individual police officers in their personal capacities, police departments, or municipalities to obtain monetary damages for the excessive use of force. </w:t>
      </w:r>
      <w:r w:rsidR="00232DEA" w:rsidRPr="00D920C9">
        <w:rPr>
          <w:rFonts w:asciiTheme="minorHAnsi" w:hAnsiTheme="minorHAnsi"/>
        </w:rPr>
        <w:t>P</w:t>
      </w:r>
      <w:r w:rsidRPr="00D920C9">
        <w:rPr>
          <w:rFonts w:asciiTheme="minorHAnsi" w:hAnsiTheme="minorHAnsi"/>
        </w:rPr>
        <w:t>laintiff</w:t>
      </w:r>
      <w:r w:rsidR="00232DEA" w:rsidRPr="00D920C9">
        <w:rPr>
          <w:rFonts w:asciiTheme="minorHAnsi" w:hAnsiTheme="minorHAnsi"/>
        </w:rPr>
        <w:t>s</w:t>
      </w:r>
      <w:r w:rsidRPr="00D920C9">
        <w:rPr>
          <w:rFonts w:asciiTheme="minorHAnsi" w:hAnsiTheme="minorHAnsi"/>
        </w:rPr>
        <w:t xml:space="preserve"> may face</w:t>
      </w:r>
      <w:r w:rsidR="00232DEA" w:rsidRPr="00D920C9">
        <w:rPr>
          <w:rFonts w:asciiTheme="minorHAnsi" w:hAnsiTheme="minorHAnsi"/>
        </w:rPr>
        <w:t xml:space="preserve"> a </w:t>
      </w:r>
      <w:r w:rsidR="00232DEA" w:rsidRPr="00D920C9">
        <w:rPr>
          <w:rFonts w:asciiTheme="minorHAnsi" w:hAnsiTheme="minorHAnsi"/>
        </w:rPr>
        <w:lastRenderedPageBreak/>
        <w:t>number of procedural barriers</w:t>
      </w:r>
      <w:r w:rsidRPr="00D920C9">
        <w:rPr>
          <w:rFonts w:asciiTheme="minorHAnsi" w:hAnsiTheme="minorHAnsi"/>
        </w:rPr>
        <w:t xml:space="preserve"> to filing suit, including statutes of limitations, strict standing and pleading requirements, inability to pay </w:t>
      </w:r>
      <w:r w:rsidR="00F178C8" w:rsidRPr="00D920C9">
        <w:rPr>
          <w:rFonts w:asciiTheme="minorHAnsi" w:hAnsiTheme="minorHAnsi"/>
        </w:rPr>
        <w:t>to hire a lawyer</w:t>
      </w:r>
      <w:r w:rsidRPr="00D920C9">
        <w:rPr>
          <w:rFonts w:asciiTheme="minorHAnsi" w:hAnsiTheme="minorHAnsi"/>
        </w:rPr>
        <w:t>, and fears of reprisal from police departments.</w:t>
      </w:r>
      <w:r w:rsidRPr="00D920C9">
        <w:rPr>
          <w:rStyle w:val="FootnoteReference"/>
          <w:rFonts w:asciiTheme="minorHAnsi" w:hAnsiTheme="minorHAnsi"/>
        </w:rPr>
        <w:footnoteReference w:id="241"/>
      </w:r>
      <w:r w:rsidRPr="00D920C9">
        <w:rPr>
          <w:rFonts w:asciiTheme="minorHAnsi" w:hAnsiTheme="minorHAnsi"/>
        </w:rPr>
        <w:t xml:space="preserve"> </w:t>
      </w:r>
      <w:r w:rsidR="0077479A" w:rsidRPr="00D920C9">
        <w:rPr>
          <w:rFonts w:asciiTheme="minorHAnsi" w:hAnsiTheme="minorHAnsi"/>
        </w:rPr>
        <w:t>However, evidence suggests that police officers are rarely found liable in civil suits.</w:t>
      </w:r>
      <w:r w:rsidR="0077479A" w:rsidRPr="00D920C9">
        <w:rPr>
          <w:rStyle w:val="FootnoteReference"/>
          <w:rFonts w:asciiTheme="minorHAnsi" w:hAnsiTheme="minorHAnsi"/>
        </w:rPr>
        <w:footnoteReference w:id="242"/>
      </w:r>
      <w:r w:rsidR="0077479A" w:rsidRPr="00D920C9">
        <w:rPr>
          <w:rFonts w:asciiTheme="minorHAnsi" w:hAnsiTheme="minorHAnsi"/>
        </w:rPr>
        <w:t xml:space="preserve"> Furthermore, many police misconduct cases end in out-of-court settlements, which mean that defendant officers or police departments do not have to acknowledge misconduct, limiting full accountability.</w:t>
      </w:r>
      <w:r w:rsidR="0077479A" w:rsidRPr="00D920C9">
        <w:rPr>
          <w:rStyle w:val="FootnoteReference"/>
          <w:rFonts w:asciiTheme="minorHAnsi" w:hAnsiTheme="minorHAnsi"/>
        </w:rPr>
        <w:footnoteReference w:id="243"/>
      </w:r>
      <w:bookmarkEnd w:id="90"/>
    </w:p>
    <w:p w14:paraId="725E7ADD" w14:textId="77777777" w:rsidR="00335CDD" w:rsidRPr="00D920C9" w:rsidRDefault="00335CDD" w:rsidP="003A1642">
      <w:pPr>
        <w:pStyle w:val="ListParagraph"/>
        <w:numPr>
          <w:ilvl w:val="0"/>
          <w:numId w:val="9"/>
        </w:numPr>
        <w:spacing w:after="240" w:line="240" w:lineRule="auto"/>
        <w:ind w:left="547" w:hanging="547"/>
        <w:contextualSpacing w:val="0"/>
        <w:jc w:val="both"/>
        <w:rPr>
          <w:rFonts w:asciiTheme="minorHAnsi" w:hAnsiTheme="minorHAnsi"/>
        </w:rPr>
      </w:pPr>
      <w:bookmarkStart w:id="91" w:name="_Ref507506137"/>
      <w:r w:rsidRPr="00D920C9">
        <w:rPr>
          <w:rFonts w:asciiTheme="minorHAnsi" w:hAnsiTheme="minorHAnsi"/>
        </w:rPr>
        <w:t xml:space="preserve">One key issue identified in information received by the Commission about the effectiveness of civil suits is the question of who pays </w:t>
      </w:r>
      <w:r w:rsidR="0077479A" w:rsidRPr="00D920C9">
        <w:rPr>
          <w:rFonts w:asciiTheme="minorHAnsi" w:hAnsiTheme="minorHAnsi"/>
        </w:rPr>
        <w:t>for police misconduct</w:t>
      </w:r>
      <w:r w:rsidRPr="00D920C9">
        <w:rPr>
          <w:rFonts w:asciiTheme="minorHAnsi" w:hAnsiTheme="minorHAnsi"/>
        </w:rPr>
        <w:t>.</w:t>
      </w:r>
      <w:r w:rsidR="0077479A" w:rsidRPr="00D920C9">
        <w:rPr>
          <w:rStyle w:val="FootnoteReference"/>
          <w:rFonts w:asciiTheme="minorHAnsi" w:hAnsiTheme="minorHAnsi"/>
        </w:rPr>
        <w:footnoteReference w:id="244"/>
      </w:r>
      <w:r w:rsidRPr="00D920C9">
        <w:rPr>
          <w:rFonts w:asciiTheme="minorHAnsi" w:hAnsiTheme="minorHAnsi"/>
        </w:rPr>
        <w:t xml:space="preserve"> In brief, when </w:t>
      </w:r>
      <w:r w:rsidR="0077479A" w:rsidRPr="00D920C9">
        <w:rPr>
          <w:rFonts w:asciiTheme="minorHAnsi" w:hAnsiTheme="minorHAnsi"/>
        </w:rPr>
        <w:t xml:space="preserve">a plaintiff obtains a judgment against a police officer or department, the municipality </w:t>
      </w:r>
      <w:r w:rsidR="00305744" w:rsidRPr="00D920C9">
        <w:rPr>
          <w:rFonts w:asciiTheme="minorHAnsi" w:hAnsiTheme="minorHAnsi"/>
        </w:rPr>
        <w:t>generally</w:t>
      </w:r>
      <w:r w:rsidR="0077479A" w:rsidRPr="00D920C9">
        <w:rPr>
          <w:rFonts w:asciiTheme="minorHAnsi" w:hAnsiTheme="minorHAnsi"/>
        </w:rPr>
        <w:t xml:space="preserve"> indemnifies the officer and pays the damages award out of taxpayer money. Indeed, most police departments do not even know how much a city has paid for police misconduct, or whose conduct resulted in a settlement.</w:t>
      </w:r>
      <w:r w:rsidR="0077479A" w:rsidRPr="00D920C9">
        <w:rPr>
          <w:rStyle w:val="FootnoteReference"/>
          <w:rFonts w:asciiTheme="minorHAnsi" w:hAnsiTheme="minorHAnsi"/>
        </w:rPr>
        <w:footnoteReference w:id="245"/>
      </w:r>
      <w:r w:rsidR="0077479A" w:rsidRPr="00D920C9">
        <w:rPr>
          <w:rFonts w:asciiTheme="minorHAnsi" w:hAnsiTheme="minorHAnsi"/>
        </w:rPr>
        <w:t xml:space="preserve"> Meanwhile, the cost is high: t</w:t>
      </w:r>
      <w:r w:rsidRPr="00D920C9">
        <w:rPr>
          <w:rFonts w:asciiTheme="minorHAnsi" w:hAnsiTheme="minorHAnsi"/>
        </w:rPr>
        <w:t xml:space="preserve">he </w:t>
      </w:r>
      <w:proofErr w:type="gramStart"/>
      <w:r w:rsidR="0077479A" w:rsidRPr="00D920C9">
        <w:rPr>
          <w:rFonts w:asciiTheme="minorHAnsi" w:hAnsiTheme="minorHAnsi"/>
        </w:rPr>
        <w:t>ten</w:t>
      </w:r>
      <w:r w:rsidRPr="00D920C9">
        <w:rPr>
          <w:rFonts w:asciiTheme="minorHAnsi" w:hAnsiTheme="minorHAnsi"/>
        </w:rPr>
        <w:t xml:space="preserve"> U</w:t>
      </w:r>
      <w:r w:rsidR="00C45A79" w:rsidRPr="00D920C9">
        <w:rPr>
          <w:rFonts w:asciiTheme="minorHAnsi" w:hAnsiTheme="minorHAnsi"/>
        </w:rPr>
        <w:t>.</w:t>
      </w:r>
      <w:r w:rsidRPr="00D920C9">
        <w:rPr>
          <w:rFonts w:asciiTheme="minorHAnsi" w:hAnsiTheme="minorHAnsi"/>
        </w:rPr>
        <w:t>S</w:t>
      </w:r>
      <w:r w:rsidR="00C45A79" w:rsidRPr="00D920C9">
        <w:rPr>
          <w:rFonts w:asciiTheme="minorHAnsi" w:hAnsiTheme="minorHAnsi"/>
        </w:rPr>
        <w:t>.</w:t>
      </w:r>
      <w:r w:rsidRPr="00D920C9">
        <w:rPr>
          <w:rFonts w:asciiTheme="minorHAnsi" w:hAnsiTheme="minorHAnsi"/>
        </w:rPr>
        <w:t xml:space="preserve"> cities</w:t>
      </w:r>
      <w:proofErr w:type="gramEnd"/>
      <w:r w:rsidRPr="00D920C9">
        <w:rPr>
          <w:rFonts w:asciiTheme="minorHAnsi" w:hAnsiTheme="minorHAnsi"/>
        </w:rPr>
        <w:t xml:space="preserve"> with the largest police departments </w:t>
      </w:r>
      <w:r w:rsidR="0077479A" w:rsidRPr="00D920C9">
        <w:rPr>
          <w:rFonts w:asciiTheme="minorHAnsi" w:hAnsiTheme="minorHAnsi"/>
        </w:rPr>
        <w:t>paid out</w:t>
      </w:r>
      <w:r w:rsidRPr="00D920C9">
        <w:rPr>
          <w:rFonts w:asciiTheme="minorHAnsi" w:hAnsiTheme="minorHAnsi"/>
        </w:rPr>
        <w:t xml:space="preserve"> $1.02 billion </w:t>
      </w:r>
      <w:r w:rsidR="00686D4F" w:rsidRPr="00D920C9">
        <w:rPr>
          <w:rFonts w:asciiTheme="minorHAnsi" w:hAnsiTheme="minorHAnsi"/>
        </w:rPr>
        <w:t>between 2010 and 2015</w:t>
      </w:r>
      <w:r w:rsidRPr="00D920C9">
        <w:rPr>
          <w:rFonts w:asciiTheme="minorHAnsi" w:hAnsiTheme="minorHAnsi"/>
        </w:rPr>
        <w:t xml:space="preserve"> for beatings, shootings, a</w:t>
      </w:r>
      <w:r w:rsidR="0077479A" w:rsidRPr="00D920C9">
        <w:rPr>
          <w:rFonts w:asciiTheme="minorHAnsi" w:hAnsiTheme="minorHAnsi"/>
        </w:rPr>
        <w:t>nd wrongful imprisonment alone.</w:t>
      </w:r>
      <w:r w:rsidR="0077479A" w:rsidRPr="00D920C9">
        <w:rPr>
          <w:rStyle w:val="FootnoteReference"/>
          <w:rFonts w:asciiTheme="minorHAnsi" w:hAnsiTheme="minorHAnsi"/>
        </w:rPr>
        <w:footnoteReference w:id="246"/>
      </w:r>
      <w:bookmarkEnd w:id="91"/>
      <w:r w:rsidR="0077479A" w:rsidRPr="00D920C9">
        <w:rPr>
          <w:rFonts w:asciiTheme="minorHAnsi" w:hAnsiTheme="minorHAnsi"/>
        </w:rPr>
        <w:t xml:space="preserve"> </w:t>
      </w:r>
    </w:p>
    <w:p w14:paraId="2D9C5657" w14:textId="77777777" w:rsidR="00686D4F" w:rsidRPr="00D920C9" w:rsidRDefault="00686D4F" w:rsidP="003A1642">
      <w:pPr>
        <w:pStyle w:val="ListParagraph"/>
        <w:numPr>
          <w:ilvl w:val="0"/>
          <w:numId w:val="9"/>
        </w:numPr>
        <w:spacing w:after="240" w:line="240" w:lineRule="auto"/>
        <w:ind w:left="547" w:hanging="547"/>
        <w:contextualSpacing w:val="0"/>
        <w:jc w:val="both"/>
        <w:rPr>
          <w:rFonts w:asciiTheme="minorHAnsi" w:hAnsiTheme="minorHAnsi"/>
        </w:rPr>
      </w:pPr>
      <w:bookmarkStart w:id="92" w:name="_Ref507430107"/>
      <w:r w:rsidRPr="00D920C9">
        <w:rPr>
          <w:rFonts w:asciiTheme="minorHAnsi" w:hAnsiTheme="minorHAnsi"/>
        </w:rPr>
        <w:t xml:space="preserve">Furthermore, the federal government’s ability to prosecute cases of police violence </w:t>
      </w:r>
      <w:r w:rsidR="0032508B" w:rsidRPr="00D920C9">
        <w:rPr>
          <w:rFonts w:asciiTheme="minorHAnsi" w:hAnsiTheme="minorHAnsi"/>
        </w:rPr>
        <w:t>when</w:t>
      </w:r>
      <w:r w:rsidRPr="00D920C9">
        <w:rPr>
          <w:rFonts w:asciiTheme="minorHAnsi" w:hAnsiTheme="minorHAnsi"/>
        </w:rPr>
        <w:t xml:space="preserve"> state and local criminal prosecutions fail is limited. While the federal government is empowered to initiate federal criminal civil rights prosecutions under 18 U.S.C. § 242 (“Deprivation of rights under color of law”),</w:t>
      </w:r>
      <w:r w:rsidR="006E0A81" w:rsidRPr="00D920C9">
        <w:rPr>
          <w:rStyle w:val="FootnoteReference"/>
          <w:rFonts w:asciiTheme="minorHAnsi" w:hAnsiTheme="minorHAnsi"/>
        </w:rPr>
        <w:footnoteReference w:id="247"/>
      </w:r>
      <w:r w:rsidRPr="00D920C9">
        <w:rPr>
          <w:rFonts w:asciiTheme="minorHAnsi" w:hAnsiTheme="minorHAnsi"/>
        </w:rPr>
        <w:t xml:space="preserve"> very few </w:t>
      </w:r>
      <w:r w:rsidR="006E0A81" w:rsidRPr="00D920C9">
        <w:rPr>
          <w:rFonts w:asciiTheme="minorHAnsi" w:hAnsiTheme="minorHAnsi"/>
        </w:rPr>
        <w:t>cases are prosecuted. This seems to be due to an extremely high evidentiary bar, namely that in order to prove willful conduct, the government must prove the defendant’s specific intent (</w:t>
      </w:r>
      <w:proofErr w:type="spellStart"/>
      <w:r w:rsidR="006E0A81" w:rsidRPr="00D920C9">
        <w:rPr>
          <w:rFonts w:asciiTheme="minorHAnsi" w:hAnsiTheme="minorHAnsi"/>
          <w:i/>
        </w:rPr>
        <w:t>dolo</w:t>
      </w:r>
      <w:proofErr w:type="spellEnd"/>
      <w:r w:rsidR="006E0A81" w:rsidRPr="00D920C9">
        <w:rPr>
          <w:rFonts w:asciiTheme="minorHAnsi" w:hAnsiTheme="minorHAnsi"/>
        </w:rPr>
        <w:t>) to commit the wrongful act.</w:t>
      </w:r>
      <w:r w:rsidR="00CF562C" w:rsidRPr="00D920C9">
        <w:rPr>
          <w:rFonts w:asciiTheme="minorHAnsi" w:hAnsiTheme="minorHAnsi"/>
        </w:rPr>
        <w:t xml:space="preserve"> Historically, this has meant that prosecutors </w:t>
      </w:r>
      <w:r w:rsidR="00BC05AD" w:rsidRPr="00D920C9">
        <w:rPr>
          <w:rFonts w:asciiTheme="minorHAnsi" w:hAnsiTheme="minorHAnsi"/>
        </w:rPr>
        <w:t>“</w:t>
      </w:r>
      <w:r w:rsidR="00CF562C" w:rsidRPr="00D920C9">
        <w:rPr>
          <w:rFonts w:asciiTheme="minorHAnsi" w:hAnsiTheme="minorHAnsi"/>
        </w:rPr>
        <w:t>could rarely prove to a jury that even a [Ku Klux] Klansman had lynched his victim for the purpose of depriving his victim of rights.”</w:t>
      </w:r>
      <w:r w:rsidR="00CF562C" w:rsidRPr="00D920C9">
        <w:rPr>
          <w:rStyle w:val="FootnoteReference"/>
          <w:rFonts w:asciiTheme="minorHAnsi" w:hAnsiTheme="minorHAnsi"/>
        </w:rPr>
        <w:footnoteReference w:id="248"/>
      </w:r>
      <w:r w:rsidR="006E0A81" w:rsidRPr="00D920C9">
        <w:rPr>
          <w:rFonts w:asciiTheme="minorHAnsi" w:hAnsiTheme="minorHAnsi"/>
        </w:rPr>
        <w:t xml:space="preserve"> </w:t>
      </w:r>
      <w:r w:rsidR="0032508B" w:rsidRPr="00D920C9">
        <w:rPr>
          <w:rFonts w:asciiTheme="minorHAnsi" w:hAnsiTheme="minorHAnsi"/>
        </w:rPr>
        <w:t>F</w:t>
      </w:r>
      <w:r w:rsidR="006E0A81" w:rsidRPr="00D920C9">
        <w:rPr>
          <w:rFonts w:asciiTheme="minorHAnsi" w:hAnsiTheme="minorHAnsi"/>
        </w:rPr>
        <w:t xml:space="preserve">ormer Attorney General Eric Holder, who oversaw the investigation </w:t>
      </w:r>
      <w:r w:rsidR="00232DEA" w:rsidRPr="00D920C9">
        <w:rPr>
          <w:rFonts w:asciiTheme="minorHAnsi" w:hAnsiTheme="minorHAnsi"/>
        </w:rPr>
        <w:t>in</w:t>
      </w:r>
      <w:r w:rsidR="006E0A81" w:rsidRPr="00D920C9">
        <w:rPr>
          <w:rFonts w:asciiTheme="minorHAnsi" w:hAnsiTheme="minorHAnsi"/>
        </w:rPr>
        <w:t xml:space="preserve"> Ferguson, among others, has stated that the federal civil rights laws </w:t>
      </w:r>
      <w:r w:rsidR="00CF562C" w:rsidRPr="00D920C9">
        <w:rPr>
          <w:rFonts w:asciiTheme="minorHAnsi" w:hAnsiTheme="minorHAnsi"/>
        </w:rPr>
        <w:t>require a</w:t>
      </w:r>
      <w:r w:rsidR="006E0A81" w:rsidRPr="00D920C9">
        <w:rPr>
          <w:rFonts w:asciiTheme="minorHAnsi" w:hAnsiTheme="minorHAnsi"/>
        </w:rPr>
        <w:t xml:space="preserve"> </w:t>
      </w:r>
      <w:r w:rsidR="006E0A81" w:rsidRPr="00D920C9">
        <w:rPr>
          <w:rFonts w:asciiTheme="minorHAnsi" w:hAnsiTheme="minorHAnsi"/>
        </w:rPr>
        <w:lastRenderedPageBreak/>
        <w:t>standard of proof that is too high</w:t>
      </w:r>
      <w:r w:rsidR="00CF562C" w:rsidRPr="00D920C9">
        <w:rPr>
          <w:rFonts w:asciiTheme="minorHAnsi" w:hAnsiTheme="minorHAnsi"/>
        </w:rPr>
        <w:t>, and has stated that</w:t>
      </w:r>
      <w:r w:rsidR="006E0A81" w:rsidRPr="00D920C9">
        <w:rPr>
          <w:rFonts w:asciiTheme="minorHAnsi" w:hAnsiTheme="minorHAnsi"/>
        </w:rPr>
        <w:t xml:space="preserve"> </w:t>
      </w:r>
      <w:r w:rsidR="00CF562C" w:rsidRPr="00D920C9">
        <w:rPr>
          <w:rFonts w:asciiTheme="minorHAnsi" w:hAnsiTheme="minorHAnsi"/>
        </w:rPr>
        <w:t>a change in the law is necessary.</w:t>
      </w:r>
      <w:r w:rsidR="00CF562C" w:rsidRPr="00D920C9">
        <w:rPr>
          <w:rStyle w:val="FootnoteReference"/>
          <w:rFonts w:asciiTheme="minorHAnsi" w:hAnsiTheme="minorHAnsi"/>
        </w:rPr>
        <w:footnoteReference w:id="249"/>
      </w:r>
      <w:r w:rsidR="006E0A81" w:rsidRPr="00D920C9">
        <w:rPr>
          <w:rFonts w:asciiTheme="minorHAnsi" w:hAnsiTheme="minorHAnsi"/>
        </w:rPr>
        <w:t xml:space="preserve"> </w:t>
      </w:r>
      <w:r w:rsidR="00BC05AD" w:rsidRPr="00D920C9">
        <w:rPr>
          <w:rFonts w:asciiTheme="minorHAnsi" w:hAnsiTheme="minorHAnsi"/>
        </w:rPr>
        <w:t xml:space="preserve">Additionally, limited resources may constrain the </w:t>
      </w:r>
      <w:r w:rsidR="00232DEA" w:rsidRPr="00D920C9">
        <w:rPr>
          <w:rFonts w:asciiTheme="minorHAnsi" w:hAnsiTheme="minorHAnsi"/>
        </w:rPr>
        <w:t>DOJ’s</w:t>
      </w:r>
      <w:r w:rsidR="00BC05AD" w:rsidRPr="00D920C9">
        <w:rPr>
          <w:rFonts w:asciiTheme="minorHAnsi" w:hAnsiTheme="minorHAnsi"/>
        </w:rPr>
        <w:t xml:space="preserve"> ability to investigate and enforce federal anti-discrimination laws.</w:t>
      </w:r>
      <w:r w:rsidR="00BC05AD" w:rsidRPr="00D920C9">
        <w:rPr>
          <w:rStyle w:val="FootnoteReference"/>
          <w:rFonts w:asciiTheme="minorHAnsi" w:hAnsiTheme="minorHAnsi"/>
        </w:rPr>
        <w:footnoteReference w:id="250"/>
      </w:r>
      <w:bookmarkEnd w:id="92"/>
    </w:p>
    <w:p w14:paraId="61A90A5D" w14:textId="77777777" w:rsidR="00551EB5" w:rsidRPr="00D920C9" w:rsidRDefault="00C31FA3" w:rsidP="003A1642">
      <w:pPr>
        <w:pStyle w:val="ListParagraph"/>
        <w:numPr>
          <w:ilvl w:val="0"/>
          <w:numId w:val="9"/>
        </w:numPr>
        <w:spacing w:after="240" w:line="240" w:lineRule="auto"/>
        <w:ind w:left="547" w:hanging="547"/>
        <w:contextualSpacing w:val="0"/>
        <w:jc w:val="both"/>
        <w:rPr>
          <w:rFonts w:asciiTheme="minorHAnsi" w:hAnsiTheme="minorHAnsi"/>
        </w:rPr>
      </w:pPr>
      <w:r w:rsidRPr="00D920C9">
        <w:rPr>
          <w:rFonts w:asciiTheme="minorHAnsi" w:hAnsiTheme="minorHAnsi"/>
        </w:rPr>
        <w:t xml:space="preserve">Information received by the Commission indicates that a lack of police accountability not only fails to deter police violence, but also seriously harms police-community relations. </w:t>
      </w:r>
      <w:r w:rsidR="00232DEA" w:rsidRPr="00D920C9">
        <w:rPr>
          <w:rFonts w:asciiTheme="minorHAnsi" w:hAnsiTheme="minorHAnsi"/>
        </w:rPr>
        <w:t>D</w:t>
      </w:r>
      <w:r w:rsidRPr="00D920C9">
        <w:rPr>
          <w:rFonts w:asciiTheme="minorHAnsi" w:hAnsiTheme="minorHAnsi"/>
        </w:rPr>
        <w:t xml:space="preserve">uring public hearings in 2015, representatives of </w:t>
      </w:r>
      <w:r w:rsidR="00551EB5" w:rsidRPr="00D920C9">
        <w:rPr>
          <w:rFonts w:asciiTheme="minorHAnsi" w:hAnsiTheme="minorHAnsi"/>
        </w:rPr>
        <w:t>Mothers Against Police Brutality</w:t>
      </w:r>
      <w:r w:rsidRPr="00D920C9">
        <w:rPr>
          <w:rFonts w:asciiTheme="minorHAnsi" w:hAnsiTheme="minorHAnsi"/>
        </w:rPr>
        <w:t>, based in Dallas, Texas, cited a survey they carried out that found that only 12 percent</w:t>
      </w:r>
      <w:r w:rsidR="00551EB5" w:rsidRPr="00D920C9">
        <w:rPr>
          <w:rFonts w:asciiTheme="minorHAnsi" w:hAnsiTheme="minorHAnsi"/>
        </w:rPr>
        <w:t xml:space="preserve"> of </w:t>
      </w:r>
      <w:r w:rsidR="00C47738" w:rsidRPr="00D920C9">
        <w:rPr>
          <w:rFonts w:asciiTheme="minorHAnsi" w:hAnsiTheme="minorHAnsi"/>
        </w:rPr>
        <w:t>b</w:t>
      </w:r>
      <w:r w:rsidRPr="00D920C9">
        <w:rPr>
          <w:rFonts w:asciiTheme="minorHAnsi" w:hAnsiTheme="minorHAnsi"/>
        </w:rPr>
        <w:t xml:space="preserve">lack </w:t>
      </w:r>
      <w:r w:rsidR="00551EB5" w:rsidRPr="00D920C9">
        <w:rPr>
          <w:rFonts w:asciiTheme="minorHAnsi" w:hAnsiTheme="minorHAnsi"/>
        </w:rPr>
        <w:t>respondents in Dallas felt a great deal of respect for police</w:t>
      </w:r>
      <w:r w:rsidRPr="00D920C9">
        <w:rPr>
          <w:rFonts w:asciiTheme="minorHAnsi" w:hAnsiTheme="minorHAnsi"/>
        </w:rPr>
        <w:t xml:space="preserve">, while one-third said </w:t>
      </w:r>
      <w:r w:rsidR="00551EB5" w:rsidRPr="00D920C9">
        <w:rPr>
          <w:rFonts w:asciiTheme="minorHAnsi" w:hAnsiTheme="minorHAnsi"/>
        </w:rPr>
        <w:t>they have hardly any respect for the police and do not feel comfortable calling the police when they have a problem.</w:t>
      </w:r>
      <w:r w:rsidR="00551EB5" w:rsidRPr="00D920C9">
        <w:rPr>
          <w:rStyle w:val="FootnoteReference"/>
          <w:rFonts w:asciiTheme="minorHAnsi" w:hAnsiTheme="minorHAnsi"/>
        </w:rPr>
        <w:footnoteReference w:id="251"/>
      </w:r>
      <w:r w:rsidR="00335CDD" w:rsidRPr="00D920C9">
        <w:rPr>
          <w:rFonts w:asciiTheme="minorHAnsi" w:hAnsiTheme="minorHAnsi"/>
        </w:rPr>
        <w:t xml:space="preserve"> </w:t>
      </w:r>
    </w:p>
    <w:p w14:paraId="2CFF8BEB" w14:textId="77777777" w:rsidR="00F178C8" w:rsidRPr="00D920C9" w:rsidRDefault="00F178C8" w:rsidP="003A1642">
      <w:pPr>
        <w:pStyle w:val="ListParagraph"/>
        <w:numPr>
          <w:ilvl w:val="0"/>
          <w:numId w:val="9"/>
        </w:numPr>
        <w:spacing w:after="240" w:line="240" w:lineRule="auto"/>
        <w:ind w:left="547" w:hanging="547"/>
        <w:contextualSpacing w:val="0"/>
        <w:jc w:val="both"/>
        <w:rPr>
          <w:rFonts w:asciiTheme="minorHAnsi" w:hAnsiTheme="minorHAnsi"/>
        </w:rPr>
      </w:pPr>
      <w:r w:rsidRPr="00D920C9">
        <w:rPr>
          <w:rFonts w:asciiTheme="minorHAnsi" w:hAnsiTheme="minorHAnsi"/>
        </w:rPr>
        <w:t>Likewise, during its visit to Ferguson, Missouri, the Commission was informed about the high level of community mistrust in police and other government authorities, exemplified by continuing disputes about the Michael Brown case. For example, the Commission heard about defacement of the memorial to Michael Brown in Canfield, Missouri, including allegations of theft of teddy bears and other memorabilia from the memorial. This situation has led community members to describe what they see as a lack of effort by the police to reach out and develop constructive relationships with African American and low-income communities, and a “culture of protecting the police department, no matter what they do.”</w:t>
      </w:r>
      <w:r w:rsidRPr="00D920C9">
        <w:rPr>
          <w:rStyle w:val="FootnoteReference"/>
          <w:rFonts w:asciiTheme="minorHAnsi" w:hAnsiTheme="minorHAnsi"/>
        </w:rPr>
        <w:footnoteReference w:id="252"/>
      </w:r>
    </w:p>
    <w:p w14:paraId="62A7930E" w14:textId="77777777" w:rsidR="00B4412C" w:rsidRPr="00D920C9" w:rsidRDefault="00B4412C" w:rsidP="003D7958">
      <w:pPr>
        <w:pStyle w:val="Heading4"/>
        <w:ind w:left="540" w:hanging="540"/>
      </w:pPr>
      <w:bookmarkStart w:id="93" w:name="_Toc511837814"/>
      <w:bookmarkStart w:id="94" w:name="_Toc511902987"/>
      <w:bookmarkStart w:id="95" w:name="_Toc517687917"/>
      <w:r w:rsidRPr="00D920C9">
        <w:t xml:space="preserve">Police </w:t>
      </w:r>
      <w:r w:rsidR="0013717A" w:rsidRPr="00D920C9">
        <w:t xml:space="preserve">Responses </w:t>
      </w:r>
      <w:r w:rsidRPr="00D920C9">
        <w:t xml:space="preserve">to </w:t>
      </w:r>
      <w:r w:rsidR="0013717A" w:rsidRPr="00D920C9">
        <w:t>Protests</w:t>
      </w:r>
      <w:bookmarkEnd w:id="93"/>
      <w:bookmarkEnd w:id="94"/>
      <w:bookmarkEnd w:id="95"/>
    </w:p>
    <w:p w14:paraId="51C17460" w14:textId="3F2EEB27" w:rsidR="00B4412C" w:rsidRPr="00D920C9" w:rsidRDefault="00B4412C" w:rsidP="003A1642">
      <w:pPr>
        <w:pStyle w:val="ListParagraph"/>
        <w:numPr>
          <w:ilvl w:val="0"/>
          <w:numId w:val="9"/>
        </w:numPr>
        <w:spacing w:after="240" w:line="240" w:lineRule="auto"/>
        <w:ind w:left="547" w:hanging="547"/>
        <w:contextualSpacing w:val="0"/>
        <w:jc w:val="both"/>
        <w:rPr>
          <w:rFonts w:asciiTheme="minorHAnsi" w:hAnsiTheme="minorHAnsi"/>
        </w:rPr>
      </w:pPr>
      <w:bookmarkStart w:id="96" w:name="_Ref507405582"/>
      <w:r w:rsidRPr="00D920C9">
        <w:rPr>
          <w:rFonts w:asciiTheme="minorHAnsi" w:hAnsiTheme="minorHAnsi"/>
        </w:rPr>
        <w:t>The Commission has received information about disproportionate police responses to protest</w:t>
      </w:r>
      <w:r w:rsidR="006D1CB5" w:rsidRPr="00D920C9">
        <w:rPr>
          <w:rFonts w:asciiTheme="minorHAnsi" w:hAnsiTheme="minorHAnsi"/>
        </w:rPr>
        <w:t>s</w:t>
      </w:r>
      <w:r w:rsidRPr="00D920C9">
        <w:rPr>
          <w:rFonts w:asciiTheme="minorHAnsi" w:hAnsiTheme="minorHAnsi"/>
        </w:rPr>
        <w:t xml:space="preserve"> </w:t>
      </w:r>
      <w:r w:rsidR="00305744" w:rsidRPr="00D920C9">
        <w:rPr>
          <w:rFonts w:asciiTheme="minorHAnsi" w:hAnsiTheme="minorHAnsi"/>
        </w:rPr>
        <w:t>and</w:t>
      </w:r>
      <w:r w:rsidR="007F62EC" w:rsidRPr="00D920C9">
        <w:rPr>
          <w:rFonts w:asciiTheme="minorHAnsi" w:hAnsiTheme="minorHAnsi"/>
        </w:rPr>
        <w:t xml:space="preserve"> about the </w:t>
      </w:r>
      <w:r w:rsidR="0082717D" w:rsidRPr="00D920C9">
        <w:rPr>
          <w:rFonts w:asciiTheme="minorHAnsi" w:hAnsiTheme="minorHAnsi"/>
        </w:rPr>
        <w:t>excessive</w:t>
      </w:r>
      <w:r w:rsidR="007F62EC" w:rsidRPr="00D920C9">
        <w:rPr>
          <w:rFonts w:asciiTheme="minorHAnsi" w:hAnsiTheme="minorHAnsi"/>
        </w:rPr>
        <w:t xml:space="preserve"> policing of African American protesters</w:t>
      </w:r>
      <w:r w:rsidRPr="00D920C9">
        <w:rPr>
          <w:rFonts w:asciiTheme="minorHAnsi" w:hAnsiTheme="minorHAnsi"/>
        </w:rPr>
        <w:t>.</w:t>
      </w:r>
      <w:r w:rsidR="007F62EC" w:rsidRPr="00D920C9">
        <w:rPr>
          <w:rStyle w:val="FootnoteReference"/>
          <w:rFonts w:asciiTheme="minorHAnsi" w:hAnsiTheme="minorHAnsi"/>
        </w:rPr>
        <w:footnoteReference w:id="253"/>
      </w:r>
      <w:r w:rsidR="001F62DB" w:rsidRPr="00D920C9">
        <w:rPr>
          <w:rFonts w:asciiTheme="minorHAnsi" w:hAnsiTheme="minorHAnsi"/>
        </w:rPr>
        <w:t xml:space="preserve"> </w:t>
      </w:r>
      <w:r w:rsidR="00171B13" w:rsidRPr="00D920C9">
        <w:rPr>
          <w:rFonts w:asciiTheme="minorHAnsi" w:hAnsiTheme="minorHAnsi"/>
        </w:rPr>
        <w:t xml:space="preserve">In particular, </w:t>
      </w:r>
      <w:r w:rsidR="001F62DB" w:rsidRPr="00D920C9">
        <w:rPr>
          <w:rFonts w:asciiTheme="minorHAnsi" w:hAnsiTheme="minorHAnsi"/>
        </w:rPr>
        <w:t>events during protests</w:t>
      </w:r>
      <w:r w:rsidR="00171B13" w:rsidRPr="00D920C9">
        <w:rPr>
          <w:rFonts w:asciiTheme="minorHAnsi" w:hAnsiTheme="minorHAnsi"/>
        </w:rPr>
        <w:t xml:space="preserve"> in Ferguson, Missouri</w:t>
      </w:r>
      <w:r w:rsidR="001F62DB" w:rsidRPr="00D920C9">
        <w:rPr>
          <w:rFonts w:asciiTheme="minorHAnsi" w:hAnsiTheme="minorHAnsi"/>
        </w:rPr>
        <w:t xml:space="preserve"> highlight a number of cross-cutting issues in this report, including issues of non-discrimination, excessive force, and police militarization.</w:t>
      </w:r>
      <w:r w:rsidR="00DB0A01" w:rsidRPr="00D920C9">
        <w:rPr>
          <w:rFonts w:asciiTheme="minorHAnsi" w:hAnsiTheme="minorHAnsi"/>
        </w:rPr>
        <w:t xml:space="preserve"> The Commission notes </w:t>
      </w:r>
      <w:r w:rsidR="006D1CB5" w:rsidRPr="00D920C9">
        <w:rPr>
          <w:rFonts w:asciiTheme="minorHAnsi" w:hAnsiTheme="minorHAnsi"/>
        </w:rPr>
        <w:t xml:space="preserve">information indicating </w:t>
      </w:r>
      <w:r w:rsidR="00DB0A01" w:rsidRPr="00D920C9">
        <w:rPr>
          <w:rFonts w:asciiTheme="minorHAnsi" w:hAnsiTheme="minorHAnsi"/>
        </w:rPr>
        <w:t xml:space="preserve">that many of the concerns expressed below in the context of Ferguson are generalized in the </w:t>
      </w:r>
      <w:r w:rsidR="006D4A9B" w:rsidRPr="00D920C9">
        <w:rPr>
          <w:rFonts w:asciiTheme="minorHAnsi" w:hAnsiTheme="minorHAnsi"/>
        </w:rPr>
        <w:t>U.S.</w:t>
      </w:r>
      <w:r w:rsidR="00DB0A01" w:rsidRPr="00D920C9">
        <w:rPr>
          <w:rFonts w:asciiTheme="minorHAnsi" w:hAnsiTheme="minorHAnsi"/>
        </w:rPr>
        <w:t>;</w:t>
      </w:r>
      <w:r w:rsidR="006D1CB5" w:rsidRPr="00D920C9">
        <w:rPr>
          <w:rStyle w:val="FootnoteReference"/>
          <w:rFonts w:asciiTheme="minorHAnsi" w:hAnsiTheme="minorHAnsi"/>
        </w:rPr>
        <w:footnoteReference w:id="254"/>
      </w:r>
      <w:r w:rsidR="00DB0A01" w:rsidRPr="00D920C9">
        <w:rPr>
          <w:rFonts w:asciiTheme="minorHAnsi" w:hAnsiTheme="minorHAnsi"/>
        </w:rPr>
        <w:t xml:space="preserve"> in </w:t>
      </w:r>
      <w:r w:rsidR="00DB0A01" w:rsidRPr="00D920C9">
        <w:rPr>
          <w:rFonts w:asciiTheme="minorHAnsi" w:hAnsiTheme="minorHAnsi"/>
        </w:rPr>
        <w:lastRenderedPageBreak/>
        <w:t>this respect, it notes the observation of the</w:t>
      </w:r>
      <w:r w:rsidR="00352483" w:rsidRPr="00D920C9">
        <w:rPr>
          <w:rFonts w:asciiTheme="minorHAnsi" w:hAnsiTheme="minorHAnsi"/>
        </w:rPr>
        <w:t xml:space="preserve"> U.N. </w:t>
      </w:r>
      <w:r w:rsidR="00DB0A01" w:rsidRPr="00D920C9">
        <w:rPr>
          <w:rFonts w:asciiTheme="minorHAnsi" w:hAnsiTheme="minorHAnsi"/>
        </w:rPr>
        <w:t>Special Rapporteur on the rights to freedom of peaceful assembly and of association on complaints of police use of excessive force to arbitrarily arrest protesters for minor acts, such as stepping off crowded sidewalks, overwhelming police presence at protests and other acts of intimidation, and targeting for arrest and abuse on the basis of race or ethnicity.</w:t>
      </w:r>
      <w:r w:rsidR="00DB0A01" w:rsidRPr="00D920C9">
        <w:rPr>
          <w:rStyle w:val="FootnoteReference"/>
          <w:rFonts w:asciiTheme="minorHAnsi" w:hAnsiTheme="minorHAnsi"/>
        </w:rPr>
        <w:footnoteReference w:id="255"/>
      </w:r>
      <w:bookmarkEnd w:id="96"/>
    </w:p>
    <w:p w14:paraId="059A5D1F" w14:textId="77777777" w:rsidR="00CC1BC3" w:rsidRPr="00D920C9" w:rsidRDefault="00311FAD" w:rsidP="003A1642">
      <w:pPr>
        <w:pStyle w:val="ListParagraph"/>
        <w:numPr>
          <w:ilvl w:val="0"/>
          <w:numId w:val="9"/>
        </w:numPr>
        <w:spacing w:after="240" w:line="240" w:lineRule="auto"/>
        <w:ind w:left="547" w:hanging="547"/>
        <w:contextualSpacing w:val="0"/>
        <w:jc w:val="both"/>
        <w:rPr>
          <w:rFonts w:asciiTheme="minorHAnsi" w:hAnsiTheme="minorHAnsi"/>
        </w:rPr>
      </w:pPr>
      <w:bookmarkStart w:id="97" w:name="_Ref507406888"/>
      <w:r w:rsidRPr="00D920C9">
        <w:rPr>
          <w:rFonts w:asciiTheme="minorHAnsi" w:hAnsiTheme="minorHAnsi"/>
        </w:rPr>
        <w:t xml:space="preserve">During its on-site visit in Ferguson, the Commission received information about protests </w:t>
      </w:r>
      <w:r w:rsidR="00C47738" w:rsidRPr="00D920C9">
        <w:rPr>
          <w:rFonts w:asciiTheme="minorHAnsi" w:hAnsiTheme="minorHAnsi"/>
        </w:rPr>
        <w:t>after</w:t>
      </w:r>
      <w:r w:rsidRPr="00D920C9">
        <w:rPr>
          <w:rFonts w:asciiTheme="minorHAnsi" w:hAnsiTheme="minorHAnsi"/>
        </w:rPr>
        <w:t xml:space="preserve"> the killing of Michael Brown in August 2014 and the announcement of the decision not to indict Darren Wilson</w:t>
      </w:r>
      <w:r w:rsidR="006C439E" w:rsidRPr="00D920C9">
        <w:rPr>
          <w:rFonts w:asciiTheme="minorHAnsi" w:hAnsiTheme="minorHAnsi"/>
        </w:rPr>
        <w:t>,</w:t>
      </w:r>
      <w:r w:rsidRPr="00D920C9">
        <w:rPr>
          <w:rFonts w:asciiTheme="minorHAnsi" w:hAnsiTheme="minorHAnsi"/>
        </w:rPr>
        <w:t xml:space="preserve"> the </w:t>
      </w:r>
      <w:r w:rsidR="00BC2D83" w:rsidRPr="00D920C9">
        <w:rPr>
          <w:rFonts w:asciiTheme="minorHAnsi" w:hAnsiTheme="minorHAnsi"/>
        </w:rPr>
        <w:t xml:space="preserve">white </w:t>
      </w:r>
      <w:r w:rsidRPr="00D920C9">
        <w:rPr>
          <w:rFonts w:asciiTheme="minorHAnsi" w:hAnsiTheme="minorHAnsi"/>
        </w:rPr>
        <w:t>officer responsible for his death</w:t>
      </w:r>
      <w:r w:rsidR="006C439E" w:rsidRPr="00D920C9">
        <w:rPr>
          <w:rFonts w:asciiTheme="minorHAnsi" w:hAnsiTheme="minorHAnsi"/>
        </w:rPr>
        <w:t>,</w:t>
      </w:r>
      <w:r w:rsidRPr="00D920C9">
        <w:rPr>
          <w:rFonts w:asciiTheme="minorHAnsi" w:hAnsiTheme="minorHAnsi"/>
        </w:rPr>
        <w:t xml:space="preserve"> on November 24, 2014</w:t>
      </w:r>
      <w:r w:rsidR="006C439E" w:rsidRPr="00D920C9">
        <w:rPr>
          <w:rFonts w:asciiTheme="minorHAnsi" w:hAnsiTheme="minorHAnsi"/>
        </w:rPr>
        <w:t>, and strong public criticism of the police response to these protests</w:t>
      </w:r>
      <w:r w:rsidRPr="00D920C9">
        <w:rPr>
          <w:rFonts w:asciiTheme="minorHAnsi" w:hAnsiTheme="minorHAnsi"/>
        </w:rPr>
        <w:t>.</w:t>
      </w:r>
      <w:r w:rsidR="00CC1BC3" w:rsidRPr="00D920C9">
        <w:rPr>
          <w:rStyle w:val="FootnoteReference"/>
          <w:rFonts w:asciiTheme="minorHAnsi" w:hAnsiTheme="minorHAnsi"/>
        </w:rPr>
        <w:footnoteReference w:id="256"/>
      </w:r>
      <w:r w:rsidR="00CC1BC3" w:rsidRPr="00D920C9">
        <w:rPr>
          <w:rFonts w:asciiTheme="minorHAnsi" w:hAnsiTheme="minorHAnsi"/>
        </w:rPr>
        <w:t xml:space="preserve"> At least 212 individuals were reportedly arrested during the protests, the majority on charges of “refusal to disperse.”</w:t>
      </w:r>
      <w:r w:rsidR="00CC1BC3" w:rsidRPr="00D920C9">
        <w:rPr>
          <w:rStyle w:val="FootnoteReference"/>
          <w:rFonts w:asciiTheme="minorHAnsi" w:hAnsiTheme="minorHAnsi"/>
        </w:rPr>
        <w:footnoteReference w:id="257"/>
      </w:r>
      <w:r w:rsidRPr="00D920C9">
        <w:rPr>
          <w:rFonts w:asciiTheme="minorHAnsi" w:hAnsiTheme="minorHAnsi"/>
        </w:rPr>
        <w:t xml:space="preserve"> </w:t>
      </w:r>
      <w:r w:rsidR="00CC1BC3" w:rsidRPr="00D920C9">
        <w:rPr>
          <w:rFonts w:asciiTheme="minorHAnsi" w:hAnsiTheme="minorHAnsi"/>
        </w:rPr>
        <w:t xml:space="preserve">The IACHR received </w:t>
      </w:r>
      <w:r w:rsidRPr="00D920C9">
        <w:rPr>
          <w:rFonts w:asciiTheme="minorHAnsi" w:hAnsiTheme="minorHAnsi"/>
        </w:rPr>
        <w:t>reports of excessive use of tear gas and violence against African</w:t>
      </w:r>
      <w:r w:rsidR="0030356C" w:rsidRPr="00D920C9">
        <w:rPr>
          <w:rFonts w:asciiTheme="minorHAnsi" w:hAnsiTheme="minorHAnsi"/>
        </w:rPr>
        <w:t xml:space="preserve"> </w:t>
      </w:r>
      <w:r w:rsidRPr="00D920C9">
        <w:rPr>
          <w:rFonts w:asciiTheme="minorHAnsi" w:hAnsiTheme="minorHAnsi"/>
        </w:rPr>
        <w:t xml:space="preserve">Americans as a </w:t>
      </w:r>
      <w:r w:rsidR="00C47738" w:rsidRPr="00D920C9">
        <w:rPr>
          <w:rFonts w:asciiTheme="minorHAnsi" w:hAnsiTheme="minorHAnsi"/>
        </w:rPr>
        <w:t xml:space="preserve">mechanism of </w:t>
      </w:r>
      <w:r w:rsidRPr="00D920C9">
        <w:rPr>
          <w:rFonts w:asciiTheme="minorHAnsi" w:hAnsiTheme="minorHAnsi"/>
        </w:rPr>
        <w:t xml:space="preserve">control </w:t>
      </w:r>
      <w:r w:rsidR="00DB7A4A" w:rsidRPr="00D920C9">
        <w:rPr>
          <w:rFonts w:asciiTheme="minorHAnsi" w:hAnsiTheme="minorHAnsi"/>
        </w:rPr>
        <w:t>and/or dispersal</w:t>
      </w:r>
      <w:r w:rsidRPr="00D920C9">
        <w:rPr>
          <w:rFonts w:asciiTheme="minorHAnsi" w:hAnsiTheme="minorHAnsi"/>
        </w:rPr>
        <w:t>, even during peaceful protests, arbitrary detention of protesters, and disrespect of places identified as safe-houses, including place</w:t>
      </w:r>
      <w:r w:rsidR="00402C78" w:rsidRPr="00D920C9">
        <w:rPr>
          <w:rFonts w:asciiTheme="minorHAnsi" w:hAnsiTheme="minorHAnsi"/>
        </w:rPr>
        <w:t xml:space="preserve">s of worship, during protests. </w:t>
      </w:r>
      <w:r w:rsidRPr="00D920C9">
        <w:rPr>
          <w:rFonts w:asciiTheme="minorHAnsi" w:hAnsiTheme="minorHAnsi"/>
        </w:rPr>
        <w:t xml:space="preserve">The delegation was </w:t>
      </w:r>
      <w:r w:rsidR="00C47738" w:rsidRPr="00D920C9">
        <w:rPr>
          <w:rFonts w:asciiTheme="minorHAnsi" w:hAnsiTheme="minorHAnsi"/>
        </w:rPr>
        <w:t>concerned</w:t>
      </w:r>
      <w:r w:rsidRPr="00D920C9">
        <w:rPr>
          <w:rFonts w:asciiTheme="minorHAnsi" w:hAnsiTheme="minorHAnsi"/>
        </w:rPr>
        <w:t xml:space="preserve"> </w:t>
      </w:r>
      <w:r w:rsidR="00C47738" w:rsidRPr="00D920C9">
        <w:rPr>
          <w:rFonts w:asciiTheme="minorHAnsi" w:hAnsiTheme="minorHAnsi"/>
        </w:rPr>
        <w:t>by</w:t>
      </w:r>
      <w:r w:rsidRPr="00D920C9">
        <w:rPr>
          <w:rFonts w:asciiTheme="minorHAnsi" w:hAnsiTheme="minorHAnsi"/>
        </w:rPr>
        <w:t xml:space="preserve"> allegations that Ferguson police deliberately ignored white protesters and focused on the arrest and use of force against </w:t>
      </w:r>
      <w:r w:rsidR="006C439E" w:rsidRPr="00D920C9">
        <w:rPr>
          <w:rFonts w:asciiTheme="minorHAnsi" w:hAnsiTheme="minorHAnsi"/>
        </w:rPr>
        <w:t>black</w:t>
      </w:r>
      <w:r w:rsidRPr="00D920C9">
        <w:rPr>
          <w:rFonts w:asciiTheme="minorHAnsi" w:hAnsiTheme="minorHAnsi"/>
        </w:rPr>
        <w:t xml:space="preserve"> protesters during protests.</w:t>
      </w:r>
      <w:r w:rsidRPr="00D920C9">
        <w:rPr>
          <w:rStyle w:val="FootnoteReference"/>
          <w:rFonts w:asciiTheme="minorHAnsi" w:hAnsiTheme="minorHAnsi"/>
        </w:rPr>
        <w:footnoteReference w:id="258"/>
      </w:r>
      <w:bookmarkEnd w:id="97"/>
      <w:r w:rsidR="00DB7A4A" w:rsidRPr="00D920C9">
        <w:rPr>
          <w:rFonts w:asciiTheme="minorHAnsi" w:hAnsiTheme="minorHAnsi"/>
        </w:rPr>
        <w:t xml:space="preserve"> </w:t>
      </w:r>
    </w:p>
    <w:p w14:paraId="0DF3245D" w14:textId="6D8F6D9D" w:rsidR="007471D4" w:rsidRDefault="00DB7A4A" w:rsidP="003A1642">
      <w:pPr>
        <w:pStyle w:val="ListParagraph"/>
        <w:numPr>
          <w:ilvl w:val="0"/>
          <w:numId w:val="9"/>
        </w:numPr>
        <w:spacing w:after="240" w:line="240" w:lineRule="auto"/>
        <w:ind w:left="547" w:hanging="547"/>
        <w:contextualSpacing w:val="0"/>
        <w:jc w:val="both"/>
        <w:rPr>
          <w:rFonts w:asciiTheme="minorHAnsi" w:hAnsiTheme="minorHAnsi"/>
        </w:rPr>
      </w:pPr>
      <w:r w:rsidRPr="00D920C9">
        <w:rPr>
          <w:rFonts w:asciiTheme="minorHAnsi" w:hAnsiTheme="minorHAnsi"/>
        </w:rPr>
        <w:t>T</w:t>
      </w:r>
      <w:r w:rsidR="007471D4" w:rsidRPr="00D920C9">
        <w:rPr>
          <w:rFonts w:asciiTheme="minorHAnsi" w:hAnsiTheme="minorHAnsi"/>
        </w:rPr>
        <w:t xml:space="preserve">he imposition of restrictions on the right to protest, including </w:t>
      </w:r>
      <w:r w:rsidRPr="00D920C9">
        <w:rPr>
          <w:rFonts w:asciiTheme="minorHAnsi" w:hAnsiTheme="minorHAnsi"/>
        </w:rPr>
        <w:t>curfews and designated protest areas, as well as restrictions on the presence and range of action of the media and legal and human rights observers at protests may also have a chilling effect on freedom of expression.</w:t>
      </w:r>
      <w:r w:rsidRPr="00D920C9">
        <w:rPr>
          <w:rStyle w:val="FootnoteReference"/>
          <w:rFonts w:asciiTheme="minorHAnsi" w:hAnsiTheme="minorHAnsi"/>
        </w:rPr>
        <w:footnoteReference w:id="259"/>
      </w:r>
      <w:r w:rsidR="00CC1BC3" w:rsidRPr="00D920C9">
        <w:rPr>
          <w:rFonts w:asciiTheme="minorHAnsi" w:hAnsiTheme="minorHAnsi"/>
        </w:rPr>
        <w:t xml:space="preserve"> Indeed, a federal court later found that the enforcement of a “keep walking/five-second rule”</w:t>
      </w:r>
      <w:r w:rsidR="006C439E" w:rsidRPr="00D920C9">
        <w:rPr>
          <w:rFonts w:asciiTheme="minorHAnsi" w:hAnsiTheme="minorHAnsi"/>
        </w:rPr>
        <w:t xml:space="preserve"> during protests in Ferguson,</w:t>
      </w:r>
      <w:r w:rsidR="00CC1BC3" w:rsidRPr="00D920C9">
        <w:rPr>
          <w:rFonts w:asciiTheme="minorHAnsi" w:hAnsiTheme="minorHAnsi"/>
        </w:rPr>
        <w:t xml:space="preserve"> </w:t>
      </w:r>
      <w:r w:rsidR="00C47738" w:rsidRPr="00D920C9">
        <w:rPr>
          <w:rFonts w:asciiTheme="minorHAnsi" w:hAnsiTheme="minorHAnsi"/>
        </w:rPr>
        <w:t>under</w:t>
      </w:r>
      <w:r w:rsidR="00CC1BC3" w:rsidRPr="00D920C9">
        <w:rPr>
          <w:rFonts w:asciiTheme="minorHAnsi" w:hAnsiTheme="minorHAnsi"/>
        </w:rPr>
        <w:t xml:space="preserve"> which demonstrators constantly had to keep moving during the protests or face arrest, was unconstitutional.</w:t>
      </w:r>
      <w:r w:rsidR="00CC1BC3" w:rsidRPr="00D920C9">
        <w:rPr>
          <w:rFonts w:asciiTheme="minorHAnsi" w:hAnsiTheme="minorHAnsi"/>
          <w:vertAlign w:val="superscript"/>
        </w:rPr>
        <w:footnoteReference w:id="260"/>
      </w:r>
    </w:p>
    <w:p w14:paraId="3ED5DD38" w14:textId="77777777" w:rsidR="003D7958" w:rsidRDefault="003D7958" w:rsidP="003D7958">
      <w:pPr>
        <w:spacing w:after="240" w:line="240" w:lineRule="auto"/>
        <w:jc w:val="both"/>
        <w:rPr>
          <w:rFonts w:asciiTheme="minorHAnsi" w:hAnsiTheme="minorHAnsi"/>
        </w:rPr>
      </w:pPr>
    </w:p>
    <w:p w14:paraId="33494DB4" w14:textId="77777777" w:rsidR="003D7958" w:rsidRDefault="003D7958" w:rsidP="003D7958">
      <w:pPr>
        <w:spacing w:after="240" w:line="240" w:lineRule="auto"/>
        <w:jc w:val="both"/>
        <w:rPr>
          <w:rFonts w:asciiTheme="minorHAnsi" w:hAnsiTheme="minorHAnsi"/>
        </w:rPr>
      </w:pPr>
    </w:p>
    <w:p w14:paraId="43C6BCCE" w14:textId="77777777" w:rsidR="00311FAD" w:rsidRPr="00D920C9" w:rsidRDefault="00311FAD" w:rsidP="003A1642">
      <w:pPr>
        <w:pStyle w:val="ListParagraph"/>
        <w:numPr>
          <w:ilvl w:val="0"/>
          <w:numId w:val="9"/>
        </w:numPr>
        <w:spacing w:after="240" w:line="240" w:lineRule="auto"/>
        <w:ind w:left="547" w:hanging="547"/>
        <w:contextualSpacing w:val="0"/>
        <w:jc w:val="both"/>
        <w:rPr>
          <w:rFonts w:asciiTheme="minorHAnsi" w:hAnsiTheme="minorHAnsi"/>
        </w:rPr>
      </w:pPr>
      <w:r w:rsidRPr="00D920C9">
        <w:rPr>
          <w:rFonts w:asciiTheme="minorHAnsi" w:hAnsiTheme="minorHAnsi"/>
        </w:rPr>
        <w:lastRenderedPageBreak/>
        <w:t>At a public hearing on racism in the U</w:t>
      </w:r>
      <w:r w:rsidR="00C45A79" w:rsidRPr="00D920C9">
        <w:rPr>
          <w:rFonts w:asciiTheme="minorHAnsi" w:hAnsiTheme="minorHAnsi"/>
        </w:rPr>
        <w:t>.</w:t>
      </w:r>
      <w:r w:rsidRPr="00D920C9">
        <w:rPr>
          <w:rFonts w:asciiTheme="minorHAnsi" w:hAnsiTheme="minorHAnsi"/>
        </w:rPr>
        <w:t>S</w:t>
      </w:r>
      <w:r w:rsidR="00C45A79" w:rsidRPr="00D920C9">
        <w:rPr>
          <w:rFonts w:asciiTheme="minorHAnsi" w:hAnsiTheme="minorHAnsi"/>
        </w:rPr>
        <w:t>.</w:t>
      </w:r>
      <w:r w:rsidRPr="00D920C9">
        <w:rPr>
          <w:rFonts w:asciiTheme="minorHAnsi" w:hAnsiTheme="minorHAnsi"/>
        </w:rPr>
        <w:t xml:space="preserve"> criminal justice system, a participant from the Lawyers’ Committee for Civil Rights Under Law stated:</w:t>
      </w:r>
    </w:p>
    <w:tbl>
      <w:tblPr>
        <w:tblStyle w:val="TableGrid"/>
        <w:tblW w:w="0" w:type="auto"/>
        <w:jc w:val="right"/>
        <w:shd w:val="clear" w:color="auto" w:fill="D9D9D9" w:themeFill="background1" w:themeFillShade="D9"/>
        <w:tblLook w:val="04A0" w:firstRow="1" w:lastRow="0" w:firstColumn="1" w:lastColumn="0" w:noHBand="0" w:noVBand="1"/>
      </w:tblPr>
      <w:tblGrid>
        <w:gridCol w:w="7848"/>
      </w:tblGrid>
      <w:tr w:rsidR="00002F47" w:rsidRPr="00D920C9" w14:paraId="17DD0F1E" w14:textId="77777777" w:rsidTr="00002F47">
        <w:trPr>
          <w:jc w:val="right"/>
        </w:trPr>
        <w:tc>
          <w:tcPr>
            <w:tcW w:w="9029" w:type="dxa"/>
            <w:shd w:val="clear" w:color="auto" w:fill="D9D9D9" w:themeFill="background1" w:themeFillShade="D9"/>
          </w:tcPr>
          <w:p w14:paraId="7ED04B13" w14:textId="4801312F" w:rsidR="00002F47" w:rsidRPr="00D920C9" w:rsidRDefault="00002F47" w:rsidP="001167CB">
            <w:pPr>
              <w:pStyle w:val="ListParagraph"/>
              <w:spacing w:after="240" w:line="240" w:lineRule="auto"/>
              <w:ind w:left="288" w:right="288"/>
              <w:contextualSpacing w:val="0"/>
              <w:jc w:val="both"/>
              <w:rPr>
                <w:rFonts w:asciiTheme="minorHAnsi" w:hAnsiTheme="minorHAnsi"/>
              </w:rPr>
            </w:pPr>
            <w:r w:rsidRPr="00D920C9">
              <w:rPr>
                <w:rFonts w:asciiTheme="minorHAnsi" w:hAnsiTheme="minorHAnsi"/>
              </w:rPr>
              <w:br/>
              <w:t>Instead of having their complaints and concerns heard, lawful protestors [in Ferguson, Missouri] have been met with a harsh militarized response by local and state police forces. They have been jailed without cause, beaten unconscious, blinded by tear gas and pepper spray, and had their human and constitutional rights violated every day with all kinds of pronouncements on new policies and curfews. Sadly, this is not the first time and will not be the last time that police abuse targeting communities of color, unlawfully killing unarmed black men, or suppressing lawful protest will occur. This experience has become the new normal throughout the United States.</w:t>
            </w:r>
            <w:r w:rsidRPr="00D920C9">
              <w:rPr>
                <w:rStyle w:val="FootnoteReference"/>
                <w:rFonts w:asciiTheme="minorHAnsi" w:hAnsiTheme="minorHAnsi"/>
              </w:rPr>
              <w:footnoteReference w:id="261"/>
            </w:r>
          </w:p>
        </w:tc>
      </w:tr>
    </w:tbl>
    <w:p w14:paraId="1B1A501B" w14:textId="77777777" w:rsidR="00002F47" w:rsidRPr="00D920C9" w:rsidRDefault="00002F47" w:rsidP="0087747F">
      <w:pPr>
        <w:spacing w:after="0" w:line="240" w:lineRule="auto"/>
        <w:jc w:val="both"/>
        <w:rPr>
          <w:rFonts w:asciiTheme="minorHAnsi" w:hAnsiTheme="minorHAnsi"/>
        </w:rPr>
      </w:pPr>
    </w:p>
    <w:p w14:paraId="2C7E8364" w14:textId="77777777" w:rsidR="00A254C8" w:rsidRPr="00D920C9" w:rsidRDefault="00A254C8" w:rsidP="003A1642">
      <w:pPr>
        <w:pStyle w:val="ListParagraph"/>
        <w:numPr>
          <w:ilvl w:val="0"/>
          <w:numId w:val="9"/>
        </w:numPr>
        <w:spacing w:after="240" w:line="240" w:lineRule="auto"/>
        <w:ind w:left="547" w:hanging="547"/>
        <w:contextualSpacing w:val="0"/>
        <w:jc w:val="both"/>
        <w:rPr>
          <w:rFonts w:asciiTheme="minorHAnsi" w:eastAsiaTheme="minorHAnsi" w:hAnsiTheme="minorHAnsi"/>
        </w:rPr>
      </w:pPr>
      <w:r w:rsidRPr="00D920C9">
        <w:rPr>
          <w:rFonts w:asciiTheme="minorHAnsi" w:hAnsiTheme="minorHAnsi"/>
        </w:rPr>
        <w:t xml:space="preserve">In November 2014, </w:t>
      </w:r>
      <w:r w:rsidR="00852F70" w:rsidRPr="00D920C9">
        <w:rPr>
          <w:rFonts w:asciiTheme="minorHAnsi" w:hAnsiTheme="minorHAnsi"/>
        </w:rPr>
        <w:t>new</w:t>
      </w:r>
      <w:r w:rsidRPr="00D920C9">
        <w:rPr>
          <w:rFonts w:asciiTheme="minorHAnsi" w:hAnsiTheme="minorHAnsi"/>
        </w:rPr>
        <w:t xml:space="preserve"> protests broke out across the country at the decision of a grand jury not to indict the police officer responsible for Michael Brown’s death. In California</w:t>
      </w:r>
      <w:r w:rsidR="006C439E" w:rsidRPr="00D920C9">
        <w:rPr>
          <w:rFonts w:asciiTheme="minorHAnsi" w:hAnsiTheme="minorHAnsi"/>
        </w:rPr>
        <w:t>,</w:t>
      </w:r>
      <w:r w:rsidRPr="00D920C9">
        <w:rPr>
          <w:rFonts w:asciiTheme="minorHAnsi" w:hAnsiTheme="minorHAnsi"/>
        </w:rPr>
        <w:t xml:space="preserve"> at least 180 people were reportedly arrested in protests.</w:t>
      </w:r>
      <w:r w:rsidR="00DF33ED" w:rsidRPr="00D920C9">
        <w:rPr>
          <w:rStyle w:val="FootnoteReference"/>
          <w:rFonts w:asciiTheme="minorHAnsi" w:hAnsiTheme="minorHAnsi"/>
        </w:rPr>
        <w:footnoteReference w:id="262"/>
      </w:r>
      <w:r w:rsidRPr="00D920C9">
        <w:rPr>
          <w:rFonts w:asciiTheme="minorHAnsi" w:hAnsiTheme="minorHAnsi"/>
        </w:rPr>
        <w:t xml:space="preserve"> In December, New York police reportedly arrested at least 200 people during protest</w:t>
      </w:r>
      <w:r w:rsidR="00302A96" w:rsidRPr="00D920C9">
        <w:rPr>
          <w:rFonts w:asciiTheme="minorHAnsi" w:hAnsiTheme="minorHAnsi"/>
        </w:rPr>
        <w:t>s</w:t>
      </w:r>
      <w:r w:rsidRPr="00D920C9">
        <w:rPr>
          <w:rFonts w:asciiTheme="minorHAnsi" w:hAnsiTheme="minorHAnsi"/>
        </w:rPr>
        <w:t xml:space="preserve"> against the decision of a grand jury not to indict the officer responsible for the deat</w:t>
      </w:r>
      <w:r w:rsidR="006C439E" w:rsidRPr="00D920C9">
        <w:rPr>
          <w:rFonts w:asciiTheme="minorHAnsi" w:hAnsiTheme="minorHAnsi"/>
        </w:rPr>
        <w:t>h of Eric Garner</w:t>
      </w:r>
      <w:r w:rsidRPr="00D920C9">
        <w:rPr>
          <w:rFonts w:asciiTheme="minorHAnsi" w:hAnsiTheme="minorHAnsi"/>
        </w:rPr>
        <w:t>. Most of the arrests of the demonstrators were made on charges of disorderly conduct and refusal to disperse.</w:t>
      </w:r>
      <w:r w:rsidRPr="00D920C9">
        <w:rPr>
          <w:rStyle w:val="FootnoteReference"/>
          <w:rFonts w:asciiTheme="minorHAnsi" w:hAnsiTheme="minorHAnsi"/>
        </w:rPr>
        <w:footnoteReference w:id="263"/>
      </w:r>
    </w:p>
    <w:p w14:paraId="0C8356EB" w14:textId="77777777" w:rsidR="00221947" w:rsidRPr="00D920C9" w:rsidRDefault="00302A96" w:rsidP="003A1642">
      <w:pPr>
        <w:pStyle w:val="ListParagraph"/>
        <w:numPr>
          <w:ilvl w:val="0"/>
          <w:numId w:val="9"/>
        </w:numPr>
        <w:spacing w:after="240" w:line="240" w:lineRule="auto"/>
        <w:ind w:left="547" w:hanging="547"/>
        <w:contextualSpacing w:val="0"/>
        <w:jc w:val="both"/>
        <w:rPr>
          <w:rFonts w:asciiTheme="minorHAnsi" w:hAnsiTheme="minorHAnsi"/>
        </w:rPr>
      </w:pPr>
      <w:bookmarkStart w:id="98" w:name="_Ref511835816"/>
      <w:r w:rsidRPr="00D920C9">
        <w:rPr>
          <w:rFonts w:asciiTheme="minorHAnsi" w:hAnsiTheme="minorHAnsi"/>
        </w:rPr>
        <w:t>P</w:t>
      </w:r>
      <w:r w:rsidR="00311FAD" w:rsidRPr="00D920C9">
        <w:rPr>
          <w:rFonts w:asciiTheme="minorHAnsi" w:hAnsiTheme="minorHAnsi"/>
        </w:rPr>
        <w:t xml:space="preserve">rotests in Ferguson </w:t>
      </w:r>
      <w:r w:rsidRPr="00D920C9">
        <w:rPr>
          <w:rFonts w:asciiTheme="minorHAnsi" w:hAnsiTheme="minorHAnsi"/>
        </w:rPr>
        <w:t>after</w:t>
      </w:r>
      <w:r w:rsidR="00311FAD" w:rsidRPr="00D920C9">
        <w:rPr>
          <w:rFonts w:asciiTheme="minorHAnsi" w:hAnsiTheme="minorHAnsi"/>
        </w:rPr>
        <w:t xml:space="preserve"> the killing of Michael Brown also highlighted the concerning level of militarization of municipal police, leading to a federal review of programs that supply military equipment to police departments.</w:t>
      </w:r>
      <w:r w:rsidR="00311FAD" w:rsidRPr="00D920C9">
        <w:rPr>
          <w:rStyle w:val="FootnoteReference"/>
          <w:rFonts w:asciiTheme="minorHAnsi" w:hAnsiTheme="minorHAnsi"/>
        </w:rPr>
        <w:footnoteReference w:id="264"/>
      </w:r>
      <w:r w:rsidR="00311FAD" w:rsidRPr="00D920C9">
        <w:rPr>
          <w:rFonts w:asciiTheme="minorHAnsi" w:hAnsiTheme="minorHAnsi"/>
        </w:rPr>
        <w:t xml:space="preserve"> During those protests, reports indicated that police used armored vehicles, noise-based crowd control devices, shotguns, M-4 rifles, rubber bullets, and tear gas.</w:t>
      </w:r>
      <w:r w:rsidR="00311FAD" w:rsidRPr="00D920C9">
        <w:rPr>
          <w:rFonts w:asciiTheme="minorHAnsi" w:hAnsiTheme="minorHAnsi"/>
          <w:vertAlign w:val="superscript"/>
        </w:rPr>
        <w:footnoteReference w:id="265"/>
      </w:r>
      <w:r w:rsidR="00311FAD" w:rsidRPr="00D920C9">
        <w:rPr>
          <w:rFonts w:asciiTheme="minorHAnsi" w:hAnsiTheme="minorHAnsi"/>
        </w:rPr>
        <w:t xml:space="preserve"> </w:t>
      </w:r>
      <w:r w:rsidR="00311FAD" w:rsidRPr="00D920C9">
        <w:rPr>
          <w:rFonts w:asciiTheme="minorHAnsi" w:hAnsiTheme="minorHAnsi" w:cs="TradeGothic-CondEighteen"/>
        </w:rPr>
        <w:t xml:space="preserve">The use of riot gear and military-grade weapons in peaceful demonstrations </w:t>
      </w:r>
      <w:r w:rsidR="007471D4" w:rsidRPr="00D920C9">
        <w:rPr>
          <w:rFonts w:asciiTheme="minorHAnsi" w:hAnsiTheme="minorHAnsi" w:cs="TradeGothic-CondEighteen"/>
        </w:rPr>
        <w:t>may also be a form of intimidation of</w:t>
      </w:r>
      <w:r w:rsidR="00311FAD" w:rsidRPr="00D920C9">
        <w:rPr>
          <w:rFonts w:asciiTheme="minorHAnsi" w:hAnsiTheme="minorHAnsi" w:cs="TradeGothic-CondEighteen"/>
        </w:rPr>
        <w:t xml:space="preserve"> protesters who are practicing their right to peaceful assembly, and can cause</w:t>
      </w:r>
      <w:r w:rsidRPr="00D920C9">
        <w:rPr>
          <w:rFonts w:asciiTheme="minorHAnsi" w:hAnsiTheme="minorHAnsi" w:cs="TradeGothic-CondEighteen"/>
        </w:rPr>
        <w:t xml:space="preserve"> the</w:t>
      </w:r>
      <w:r w:rsidR="00311FAD" w:rsidRPr="00D920C9">
        <w:rPr>
          <w:rFonts w:asciiTheme="minorHAnsi" w:hAnsiTheme="minorHAnsi" w:cs="TradeGothic-CondEighteen"/>
        </w:rPr>
        <w:t xml:space="preserve"> escalation, rather than de-escalation, of violence.</w:t>
      </w:r>
      <w:r w:rsidR="00311FAD" w:rsidRPr="00D920C9">
        <w:rPr>
          <w:rFonts w:asciiTheme="minorHAnsi" w:hAnsiTheme="minorHAnsi" w:cs="TradeGothic-CondEighteen"/>
          <w:vertAlign w:val="superscript"/>
        </w:rPr>
        <w:footnoteReference w:id="266"/>
      </w:r>
      <w:bookmarkEnd w:id="98"/>
    </w:p>
    <w:p w14:paraId="25AA22B4" w14:textId="03A18AC2" w:rsidR="00927E3F" w:rsidRPr="00D920C9" w:rsidRDefault="00852F70" w:rsidP="003A1642">
      <w:pPr>
        <w:pStyle w:val="ListParagraph"/>
        <w:numPr>
          <w:ilvl w:val="0"/>
          <w:numId w:val="9"/>
        </w:numPr>
        <w:spacing w:after="240" w:line="240" w:lineRule="auto"/>
        <w:ind w:left="547" w:hanging="547"/>
        <w:contextualSpacing w:val="0"/>
        <w:jc w:val="both"/>
        <w:rPr>
          <w:rFonts w:asciiTheme="minorHAnsi" w:hAnsiTheme="minorHAnsi"/>
        </w:rPr>
      </w:pPr>
      <w:r w:rsidRPr="00D920C9">
        <w:rPr>
          <w:rFonts w:asciiTheme="minorHAnsi" w:hAnsiTheme="minorHAnsi"/>
        </w:rPr>
        <w:lastRenderedPageBreak/>
        <w:t xml:space="preserve">In April 2015, protests in Baltimore and around the country occurred </w:t>
      </w:r>
      <w:r w:rsidR="00302A96" w:rsidRPr="00D920C9">
        <w:rPr>
          <w:rFonts w:asciiTheme="minorHAnsi" w:hAnsiTheme="minorHAnsi"/>
        </w:rPr>
        <w:t>after</w:t>
      </w:r>
      <w:r w:rsidRPr="00D920C9">
        <w:rPr>
          <w:rFonts w:asciiTheme="minorHAnsi" w:hAnsiTheme="minorHAnsi"/>
        </w:rPr>
        <w:t xml:space="preserve"> the death of </w:t>
      </w:r>
      <w:r w:rsidR="006C439E" w:rsidRPr="00D920C9">
        <w:rPr>
          <w:rFonts w:asciiTheme="minorHAnsi" w:hAnsiTheme="minorHAnsi"/>
        </w:rPr>
        <w:t xml:space="preserve">25-year-old </w:t>
      </w:r>
      <w:r w:rsidR="00927E3F" w:rsidRPr="00D920C9">
        <w:rPr>
          <w:rFonts w:asciiTheme="minorHAnsi" w:hAnsiTheme="minorHAnsi"/>
        </w:rPr>
        <w:t>F</w:t>
      </w:r>
      <w:r w:rsidRPr="00D920C9">
        <w:rPr>
          <w:rFonts w:asciiTheme="minorHAnsi" w:hAnsiTheme="minorHAnsi"/>
        </w:rPr>
        <w:t>reddie Gray</w:t>
      </w:r>
      <w:r w:rsidR="006C439E" w:rsidRPr="00D920C9">
        <w:rPr>
          <w:rFonts w:asciiTheme="minorHAnsi" w:hAnsiTheme="minorHAnsi"/>
        </w:rPr>
        <w:t xml:space="preserve"> due to a spinal cord injury</w:t>
      </w:r>
      <w:r w:rsidRPr="00D920C9">
        <w:rPr>
          <w:rFonts w:asciiTheme="minorHAnsi" w:hAnsiTheme="minorHAnsi"/>
        </w:rPr>
        <w:t xml:space="preserve"> </w:t>
      </w:r>
      <w:r w:rsidR="00927E3F" w:rsidRPr="00D920C9">
        <w:rPr>
          <w:rFonts w:asciiTheme="minorHAnsi" w:hAnsiTheme="minorHAnsi"/>
        </w:rPr>
        <w:t>while in police custody.</w:t>
      </w:r>
      <w:r w:rsidRPr="00D920C9">
        <w:rPr>
          <w:rFonts w:asciiTheme="minorHAnsi" w:hAnsiTheme="minorHAnsi"/>
        </w:rPr>
        <w:t xml:space="preserve"> At least 486 people were reportedly detained in the protests.</w:t>
      </w:r>
      <w:r w:rsidRPr="00D920C9">
        <w:rPr>
          <w:rStyle w:val="FootnoteReference"/>
          <w:rFonts w:asciiTheme="minorHAnsi" w:hAnsiTheme="minorHAnsi"/>
        </w:rPr>
        <w:footnoteReference w:id="267"/>
      </w:r>
      <w:r w:rsidRPr="00D920C9">
        <w:rPr>
          <w:rFonts w:asciiTheme="minorHAnsi" w:hAnsiTheme="minorHAnsi"/>
        </w:rPr>
        <w:t xml:space="preserve"> On April 27, 2015, the governor of Maryland declared a state of emergency and ordered the National Guard to be deployed. At least 100 people were arrested in New York in protests there.</w:t>
      </w:r>
      <w:r w:rsidRPr="00D920C9">
        <w:rPr>
          <w:rStyle w:val="FootnoteReference"/>
          <w:rFonts w:asciiTheme="minorHAnsi" w:hAnsiTheme="minorHAnsi"/>
        </w:rPr>
        <w:footnoteReference w:id="268"/>
      </w:r>
      <w:r w:rsidR="00927E3F" w:rsidRPr="00D920C9">
        <w:rPr>
          <w:rFonts w:asciiTheme="minorHAnsi" w:hAnsiTheme="minorHAnsi"/>
        </w:rPr>
        <w:t xml:space="preserve"> According to reports, assaults and arrests of journalists by the police wer</w:t>
      </w:r>
      <w:r w:rsidR="00DF33ED" w:rsidRPr="00D920C9">
        <w:rPr>
          <w:rFonts w:asciiTheme="minorHAnsi" w:hAnsiTheme="minorHAnsi"/>
        </w:rPr>
        <w:t>e recorded during the protests.</w:t>
      </w:r>
      <w:r w:rsidR="00927E3F" w:rsidRPr="00D920C9">
        <w:rPr>
          <w:rFonts w:asciiTheme="minorHAnsi" w:hAnsiTheme="minorHAnsi"/>
        </w:rPr>
        <w:t xml:space="preserve"> </w:t>
      </w:r>
      <w:r w:rsidR="00302A96" w:rsidRPr="00D920C9">
        <w:rPr>
          <w:rFonts w:asciiTheme="minorHAnsi" w:hAnsiTheme="minorHAnsi"/>
        </w:rPr>
        <w:t>T</w:t>
      </w:r>
      <w:r w:rsidR="0082717D" w:rsidRPr="00D920C9">
        <w:rPr>
          <w:rFonts w:asciiTheme="minorHAnsi" w:hAnsiTheme="minorHAnsi"/>
        </w:rPr>
        <w:t>he Mayor</w:t>
      </w:r>
      <w:r w:rsidR="00927E3F" w:rsidRPr="00D920C9">
        <w:rPr>
          <w:rFonts w:asciiTheme="minorHAnsi" w:hAnsiTheme="minorHAnsi"/>
        </w:rPr>
        <w:t xml:space="preserve"> of Baltimore </w:t>
      </w:r>
      <w:r w:rsidR="00302A96" w:rsidRPr="00D920C9">
        <w:rPr>
          <w:rFonts w:asciiTheme="minorHAnsi" w:hAnsiTheme="minorHAnsi"/>
        </w:rPr>
        <w:t xml:space="preserve">also </w:t>
      </w:r>
      <w:r w:rsidR="00927E3F" w:rsidRPr="00D920C9">
        <w:rPr>
          <w:rFonts w:asciiTheme="minorHAnsi" w:hAnsiTheme="minorHAnsi"/>
        </w:rPr>
        <w:t>ordered a curfew</w:t>
      </w:r>
      <w:r w:rsidR="00302A96" w:rsidRPr="00D920C9">
        <w:rPr>
          <w:rFonts w:asciiTheme="minorHAnsi" w:hAnsiTheme="minorHAnsi"/>
        </w:rPr>
        <w:t xml:space="preserve"> that was in effect</w:t>
      </w:r>
      <w:r w:rsidR="00927E3F" w:rsidRPr="00D920C9">
        <w:rPr>
          <w:rFonts w:asciiTheme="minorHAnsi" w:hAnsiTheme="minorHAnsi"/>
        </w:rPr>
        <w:t xml:space="preserve"> </w:t>
      </w:r>
      <w:r w:rsidR="00302A96" w:rsidRPr="00D920C9">
        <w:rPr>
          <w:rFonts w:asciiTheme="minorHAnsi" w:hAnsiTheme="minorHAnsi"/>
        </w:rPr>
        <w:t>from</w:t>
      </w:r>
      <w:r w:rsidR="00927E3F" w:rsidRPr="00D920C9">
        <w:rPr>
          <w:rFonts w:asciiTheme="minorHAnsi" w:hAnsiTheme="minorHAnsi"/>
        </w:rPr>
        <w:t xml:space="preserve"> April 28 until May 3. The curfew, which was enforced citywide, did not apply to journalists, military personnel, and police, who were able to move about freely in the city between 10:00 p.m. and 5:00 a.m., </w:t>
      </w:r>
      <w:r w:rsidR="006C439E" w:rsidRPr="00D920C9">
        <w:rPr>
          <w:rFonts w:asciiTheme="minorHAnsi" w:hAnsiTheme="minorHAnsi"/>
        </w:rPr>
        <w:t>while</w:t>
      </w:r>
      <w:r w:rsidR="00927E3F" w:rsidRPr="00D920C9">
        <w:rPr>
          <w:rFonts w:asciiTheme="minorHAnsi" w:hAnsiTheme="minorHAnsi"/>
        </w:rPr>
        <w:t xml:space="preserve"> movement for all other citizens was restricted.</w:t>
      </w:r>
      <w:r w:rsidR="00927E3F" w:rsidRPr="00D920C9">
        <w:rPr>
          <w:rStyle w:val="FootnoteReference"/>
          <w:rFonts w:asciiTheme="minorHAnsi" w:hAnsiTheme="minorHAnsi"/>
        </w:rPr>
        <w:footnoteReference w:id="269"/>
      </w:r>
    </w:p>
    <w:p w14:paraId="0B02291D" w14:textId="77777777" w:rsidR="00DF33ED" w:rsidRPr="00D920C9" w:rsidRDefault="00221947" w:rsidP="003A1642">
      <w:pPr>
        <w:pStyle w:val="ListParagraph"/>
        <w:numPr>
          <w:ilvl w:val="0"/>
          <w:numId w:val="9"/>
        </w:numPr>
        <w:spacing w:after="240" w:line="240" w:lineRule="auto"/>
        <w:ind w:left="547" w:hanging="547"/>
        <w:contextualSpacing w:val="0"/>
        <w:jc w:val="both"/>
        <w:rPr>
          <w:rFonts w:asciiTheme="minorHAnsi" w:hAnsiTheme="minorHAnsi"/>
        </w:rPr>
      </w:pPr>
      <w:bookmarkStart w:id="99" w:name="_Ref507405594"/>
      <w:r w:rsidRPr="00D920C9">
        <w:rPr>
          <w:rFonts w:asciiTheme="minorHAnsi" w:hAnsiTheme="minorHAnsi"/>
        </w:rPr>
        <w:t>The Commission notes reports that police responses to protests, as well as the relationship between the community and police, appear not to have improved in Ferguson since the 2014 protests and subsequent DOJ investigation. In September 2017, thousands in Ferguson protested the acquittal of a police officer in the</w:t>
      </w:r>
      <w:r w:rsidR="006C439E" w:rsidRPr="00D920C9">
        <w:rPr>
          <w:rFonts w:asciiTheme="minorHAnsi" w:hAnsiTheme="minorHAnsi"/>
        </w:rPr>
        <w:t xml:space="preserve"> 2011</w:t>
      </w:r>
      <w:r w:rsidRPr="00D920C9">
        <w:rPr>
          <w:rFonts w:asciiTheme="minorHAnsi" w:hAnsiTheme="minorHAnsi"/>
        </w:rPr>
        <w:t xml:space="preserve"> killing of Anthony Lamar Smith, an unarmed black man.</w:t>
      </w:r>
      <w:r w:rsidRPr="00D920C9">
        <w:rPr>
          <w:rStyle w:val="FootnoteReference"/>
          <w:rFonts w:asciiTheme="minorHAnsi" w:hAnsiTheme="minorHAnsi"/>
        </w:rPr>
        <w:footnoteReference w:id="270"/>
      </w:r>
      <w:r w:rsidRPr="00D920C9">
        <w:rPr>
          <w:rFonts w:asciiTheme="minorHAnsi" w:hAnsiTheme="minorHAnsi"/>
        </w:rPr>
        <w:t xml:space="preserve"> Media reports indicated that police officers mocked protesters </w:t>
      </w:r>
      <w:r w:rsidR="00302A96" w:rsidRPr="00D920C9">
        <w:rPr>
          <w:rFonts w:asciiTheme="minorHAnsi" w:hAnsiTheme="minorHAnsi"/>
        </w:rPr>
        <w:t>while</w:t>
      </w:r>
      <w:r w:rsidRPr="00D920C9">
        <w:rPr>
          <w:rFonts w:asciiTheme="minorHAnsi" w:hAnsiTheme="minorHAnsi"/>
        </w:rPr>
        <w:t xml:space="preserve"> conduct</w:t>
      </w:r>
      <w:r w:rsidR="00302A96" w:rsidRPr="00D920C9">
        <w:rPr>
          <w:rFonts w:asciiTheme="minorHAnsi" w:hAnsiTheme="minorHAnsi"/>
        </w:rPr>
        <w:t>ing</w:t>
      </w:r>
      <w:r w:rsidRPr="00D920C9">
        <w:rPr>
          <w:rFonts w:asciiTheme="minorHAnsi" w:hAnsiTheme="minorHAnsi"/>
        </w:rPr>
        <w:t xml:space="preserve"> mass arrests by using the comm</w:t>
      </w:r>
      <w:r w:rsidR="00401DF8" w:rsidRPr="00D920C9">
        <w:rPr>
          <w:rFonts w:asciiTheme="minorHAnsi" w:hAnsiTheme="minorHAnsi"/>
        </w:rPr>
        <w:t>on protest chant “Whose streets? O</w:t>
      </w:r>
      <w:r w:rsidRPr="00D920C9">
        <w:rPr>
          <w:rFonts w:asciiTheme="minorHAnsi" w:hAnsiTheme="minorHAnsi"/>
        </w:rPr>
        <w:t>ur streets</w:t>
      </w:r>
      <w:r w:rsidR="00401DF8" w:rsidRPr="00D920C9">
        <w:rPr>
          <w:rFonts w:asciiTheme="minorHAnsi" w:hAnsiTheme="minorHAnsi"/>
        </w:rPr>
        <w:t>!</w:t>
      </w:r>
      <w:r w:rsidRPr="00D920C9">
        <w:rPr>
          <w:rFonts w:asciiTheme="minorHAnsi" w:hAnsiTheme="minorHAnsi"/>
        </w:rPr>
        <w:t>” and display</w:t>
      </w:r>
      <w:r w:rsidR="00302A96" w:rsidRPr="00D920C9">
        <w:rPr>
          <w:rFonts w:asciiTheme="minorHAnsi" w:hAnsiTheme="minorHAnsi"/>
        </w:rPr>
        <w:t>ed</w:t>
      </w:r>
      <w:r w:rsidRPr="00D920C9">
        <w:rPr>
          <w:rFonts w:asciiTheme="minorHAnsi" w:hAnsiTheme="minorHAnsi"/>
        </w:rPr>
        <w:t xml:space="preserve"> an overwhelming and militarized presence in response to the protests</w:t>
      </w:r>
      <w:r w:rsidR="00401DF8" w:rsidRPr="00D920C9">
        <w:rPr>
          <w:rFonts w:asciiTheme="minorHAnsi" w:hAnsiTheme="minorHAnsi"/>
        </w:rPr>
        <w:t xml:space="preserve">, provoking a former DOJ investigator to </w:t>
      </w:r>
      <w:r w:rsidRPr="00D920C9">
        <w:rPr>
          <w:rFonts w:asciiTheme="minorHAnsi" w:hAnsiTheme="minorHAnsi"/>
        </w:rPr>
        <w:t>observe, “You can’t legislate goodwill</w:t>
      </w:r>
      <w:r w:rsidR="00A613DF" w:rsidRPr="00D920C9">
        <w:rPr>
          <w:rFonts w:asciiTheme="minorHAnsi" w:hAnsiTheme="minorHAnsi"/>
        </w:rPr>
        <w:t>.”</w:t>
      </w:r>
      <w:r w:rsidR="00A613DF" w:rsidRPr="00D920C9">
        <w:rPr>
          <w:rStyle w:val="FootnoteReference"/>
          <w:rFonts w:asciiTheme="minorHAnsi" w:hAnsiTheme="minorHAnsi"/>
        </w:rPr>
        <w:footnoteReference w:id="271"/>
      </w:r>
      <w:r w:rsidR="00DF33ED" w:rsidRPr="00D920C9">
        <w:rPr>
          <w:rFonts w:asciiTheme="minorHAnsi" w:hAnsiTheme="minorHAnsi"/>
        </w:rPr>
        <w:t xml:space="preserve"> </w:t>
      </w:r>
      <w:r w:rsidR="00401DF8" w:rsidRPr="00D920C9">
        <w:rPr>
          <w:rFonts w:asciiTheme="minorHAnsi" w:hAnsiTheme="minorHAnsi"/>
        </w:rPr>
        <w:t>T</w:t>
      </w:r>
      <w:r w:rsidR="00DF33ED" w:rsidRPr="00D920C9">
        <w:rPr>
          <w:rFonts w:asciiTheme="minorHAnsi" w:hAnsiTheme="minorHAnsi"/>
        </w:rPr>
        <w:t xml:space="preserve">he Commission notes recent reports that the </w:t>
      </w:r>
      <w:r w:rsidR="00401DF8" w:rsidRPr="00D920C9">
        <w:rPr>
          <w:rFonts w:asciiTheme="minorHAnsi" w:hAnsiTheme="minorHAnsi"/>
        </w:rPr>
        <w:t xml:space="preserve">DOJ </w:t>
      </w:r>
      <w:r w:rsidR="00DF33ED" w:rsidRPr="00D920C9">
        <w:rPr>
          <w:rFonts w:asciiTheme="minorHAnsi" w:hAnsiTheme="minorHAnsi"/>
        </w:rPr>
        <w:t>has opened an investigation into St. Louis Police conduct during these protests.</w:t>
      </w:r>
      <w:r w:rsidR="00DF33ED" w:rsidRPr="00D920C9">
        <w:rPr>
          <w:rStyle w:val="FootnoteReference"/>
          <w:rFonts w:asciiTheme="minorHAnsi" w:hAnsiTheme="minorHAnsi"/>
        </w:rPr>
        <w:footnoteReference w:id="272"/>
      </w:r>
      <w:bookmarkEnd w:id="99"/>
      <w:r w:rsidR="00DF33ED" w:rsidRPr="00D920C9">
        <w:rPr>
          <w:rFonts w:asciiTheme="minorHAnsi" w:hAnsiTheme="minorHAnsi"/>
        </w:rPr>
        <w:t xml:space="preserve"> </w:t>
      </w:r>
    </w:p>
    <w:p w14:paraId="6CEFE937" w14:textId="600A427C" w:rsidR="00F95620" w:rsidRPr="00D920C9" w:rsidRDefault="00B13891" w:rsidP="003A1642">
      <w:pPr>
        <w:pStyle w:val="ListParagraph"/>
        <w:numPr>
          <w:ilvl w:val="0"/>
          <w:numId w:val="9"/>
        </w:numPr>
        <w:spacing w:after="240" w:line="240" w:lineRule="auto"/>
        <w:ind w:left="547" w:hanging="547"/>
        <w:contextualSpacing w:val="0"/>
        <w:jc w:val="both"/>
        <w:rPr>
          <w:rFonts w:asciiTheme="minorHAnsi" w:hAnsiTheme="minorHAnsi"/>
        </w:rPr>
      </w:pPr>
      <w:bookmarkStart w:id="100" w:name="_Ref511835853"/>
      <w:r w:rsidRPr="00D920C9">
        <w:rPr>
          <w:rFonts w:asciiTheme="minorHAnsi" w:hAnsiTheme="minorHAnsi"/>
        </w:rPr>
        <w:t>Finally, the Commission highlights</w:t>
      </w:r>
      <w:r w:rsidR="00875DF1" w:rsidRPr="00D920C9">
        <w:rPr>
          <w:rFonts w:asciiTheme="minorHAnsi" w:hAnsiTheme="minorHAnsi"/>
        </w:rPr>
        <w:t xml:space="preserve"> with concern information received </w:t>
      </w:r>
      <w:r w:rsidR="006B01DA" w:rsidRPr="00D920C9">
        <w:rPr>
          <w:rFonts w:asciiTheme="minorHAnsi" w:hAnsiTheme="minorHAnsi"/>
        </w:rPr>
        <w:t>related to the</w:t>
      </w:r>
      <w:r w:rsidR="00875DF1" w:rsidRPr="00D920C9">
        <w:rPr>
          <w:rFonts w:asciiTheme="minorHAnsi" w:hAnsiTheme="minorHAnsi"/>
        </w:rPr>
        <w:t xml:space="preserve"> increased surveillance of racial justice activists by domestic law enforcement agencies like the FBI,</w:t>
      </w:r>
      <w:r w:rsidR="00875DF1" w:rsidRPr="00D920C9">
        <w:rPr>
          <w:rStyle w:val="FootnoteReference"/>
          <w:rFonts w:asciiTheme="minorHAnsi" w:hAnsiTheme="minorHAnsi"/>
        </w:rPr>
        <w:footnoteReference w:id="273"/>
      </w:r>
      <w:r w:rsidR="00875DF1" w:rsidRPr="00D920C9">
        <w:rPr>
          <w:rFonts w:asciiTheme="minorHAnsi" w:hAnsiTheme="minorHAnsi"/>
        </w:rPr>
        <w:t xml:space="preserve"> as well as the denomination of these groups as “Black Identity Extremists.”</w:t>
      </w:r>
      <w:r w:rsidR="00875DF1" w:rsidRPr="00D920C9">
        <w:rPr>
          <w:rStyle w:val="FootnoteReference"/>
          <w:rFonts w:asciiTheme="minorHAnsi" w:hAnsiTheme="minorHAnsi"/>
        </w:rPr>
        <w:footnoteReference w:id="274"/>
      </w:r>
      <w:r w:rsidR="00875DF1" w:rsidRPr="00D920C9">
        <w:rPr>
          <w:rFonts w:asciiTheme="minorHAnsi" w:hAnsiTheme="minorHAnsi"/>
        </w:rPr>
        <w:t xml:space="preserve"> The Commission notes that </w:t>
      </w:r>
      <w:r w:rsidR="00487BD5" w:rsidRPr="00D920C9">
        <w:rPr>
          <w:rFonts w:asciiTheme="minorHAnsi" w:hAnsiTheme="minorHAnsi"/>
        </w:rPr>
        <w:t>the stigmatization of anti-racism activists is not a new phenomenon in the U</w:t>
      </w:r>
      <w:r w:rsidR="00302A96" w:rsidRPr="00D920C9">
        <w:rPr>
          <w:rFonts w:asciiTheme="minorHAnsi" w:hAnsiTheme="minorHAnsi"/>
        </w:rPr>
        <w:t>.</w:t>
      </w:r>
      <w:r w:rsidR="00487BD5" w:rsidRPr="00D920C9">
        <w:rPr>
          <w:rFonts w:asciiTheme="minorHAnsi" w:hAnsiTheme="minorHAnsi"/>
        </w:rPr>
        <w:t>S</w:t>
      </w:r>
      <w:r w:rsidR="00302A96" w:rsidRPr="00D920C9">
        <w:rPr>
          <w:rFonts w:asciiTheme="minorHAnsi" w:hAnsiTheme="minorHAnsi"/>
        </w:rPr>
        <w:t>.</w:t>
      </w:r>
      <w:r w:rsidR="00487BD5" w:rsidRPr="00D920C9">
        <w:rPr>
          <w:rFonts w:asciiTheme="minorHAnsi" w:hAnsiTheme="minorHAnsi"/>
        </w:rPr>
        <w:t xml:space="preserve">; during the civil rights movement of the 1960s, activists like the Rev. </w:t>
      </w:r>
      <w:r w:rsidR="00487BD5" w:rsidRPr="00D920C9">
        <w:rPr>
          <w:rFonts w:asciiTheme="minorHAnsi" w:hAnsiTheme="minorHAnsi"/>
        </w:rPr>
        <w:lastRenderedPageBreak/>
        <w:t>Dr. Martin Luther King, Jr. and members of the Black Panther Party were similarly targeted by the FBI’s “</w:t>
      </w:r>
      <w:proofErr w:type="spellStart"/>
      <w:r w:rsidR="00487BD5" w:rsidRPr="00D920C9">
        <w:rPr>
          <w:rFonts w:asciiTheme="minorHAnsi" w:hAnsiTheme="minorHAnsi"/>
        </w:rPr>
        <w:t>Cointelpro</w:t>
      </w:r>
      <w:proofErr w:type="spellEnd"/>
      <w:r w:rsidR="00487BD5" w:rsidRPr="00D920C9">
        <w:rPr>
          <w:rFonts w:asciiTheme="minorHAnsi" w:hAnsiTheme="minorHAnsi"/>
        </w:rPr>
        <w:t>” (“counterintelligence program”).</w:t>
      </w:r>
      <w:r w:rsidR="00487BD5" w:rsidRPr="00D920C9">
        <w:rPr>
          <w:rStyle w:val="FootnoteReference"/>
          <w:rFonts w:asciiTheme="minorHAnsi" w:hAnsiTheme="minorHAnsi"/>
        </w:rPr>
        <w:footnoteReference w:id="275"/>
      </w:r>
      <w:r w:rsidR="00487BD5" w:rsidRPr="00D920C9">
        <w:rPr>
          <w:rFonts w:asciiTheme="minorHAnsi" w:hAnsiTheme="minorHAnsi"/>
        </w:rPr>
        <w:t xml:space="preserve"> The Commission notes that, among other deleterious effects of increased surveillance of racial justice movements, this surveillance also has the effect of </w:t>
      </w:r>
      <w:r w:rsidR="0097382D" w:rsidRPr="00D920C9">
        <w:rPr>
          <w:rFonts w:asciiTheme="minorHAnsi" w:hAnsiTheme="minorHAnsi"/>
        </w:rPr>
        <w:t>increasing the likelihood that its targets will be stigmatized and criminalized, exposing its targets to the increased risk of violence (e.g. in the context of raids), and chilling free speech and freedom of assembly.</w:t>
      </w:r>
      <w:bookmarkEnd w:id="100"/>
    </w:p>
    <w:p w14:paraId="4AD2DF36" w14:textId="77777777" w:rsidR="00F95620" w:rsidRPr="00D920C9" w:rsidRDefault="00F95620" w:rsidP="003A1642">
      <w:pPr>
        <w:pStyle w:val="ListParagraph"/>
        <w:numPr>
          <w:ilvl w:val="0"/>
          <w:numId w:val="9"/>
        </w:numPr>
        <w:spacing w:after="240" w:line="240" w:lineRule="auto"/>
        <w:ind w:left="547" w:hanging="547"/>
        <w:contextualSpacing w:val="0"/>
        <w:jc w:val="both"/>
        <w:rPr>
          <w:rFonts w:asciiTheme="minorHAnsi" w:hAnsiTheme="minorHAnsi"/>
        </w:rPr>
      </w:pPr>
      <w:r w:rsidRPr="00D920C9">
        <w:rPr>
          <w:rFonts w:asciiTheme="minorHAnsi" w:hAnsiTheme="minorHAnsi"/>
        </w:rPr>
        <w:t>In light of the foregoing, the Commission calls on the State to guarantee the rights to freedom of speech and freedom of assembly, and in particular to ensure their enforcement without discrimination on the basis of race or other prohibited grounds.</w:t>
      </w:r>
    </w:p>
    <w:p w14:paraId="5DA57350" w14:textId="77777777" w:rsidR="00B4412C" w:rsidRPr="00D920C9" w:rsidRDefault="00772E4F" w:rsidP="003D7958">
      <w:pPr>
        <w:pStyle w:val="Heading3"/>
        <w:ind w:left="540" w:hanging="540"/>
      </w:pPr>
      <w:bookmarkStart w:id="101" w:name="_Toc511837815"/>
      <w:bookmarkStart w:id="102" w:name="_Toc511902988"/>
      <w:bookmarkStart w:id="103" w:name="_Toc517687918"/>
      <w:r w:rsidRPr="00D920C9">
        <w:t xml:space="preserve">Aspects of </w:t>
      </w:r>
      <w:r w:rsidR="0013717A" w:rsidRPr="00D920C9">
        <w:t xml:space="preserve">Racial Discrimination </w:t>
      </w:r>
      <w:r w:rsidRPr="00D920C9">
        <w:t xml:space="preserve">in the </w:t>
      </w:r>
      <w:r w:rsidR="0013717A" w:rsidRPr="00D920C9">
        <w:t>Criminal Justice System</w:t>
      </w:r>
      <w:bookmarkEnd w:id="101"/>
      <w:bookmarkEnd w:id="102"/>
      <w:bookmarkEnd w:id="103"/>
    </w:p>
    <w:p w14:paraId="2F459C8E" w14:textId="6CDB0275" w:rsidR="00B4412C" w:rsidRPr="00D920C9" w:rsidRDefault="00B4412C" w:rsidP="003A1642">
      <w:pPr>
        <w:pStyle w:val="ListParagraph"/>
        <w:numPr>
          <w:ilvl w:val="0"/>
          <w:numId w:val="9"/>
        </w:numPr>
        <w:spacing w:after="240" w:line="240" w:lineRule="auto"/>
        <w:ind w:left="547" w:hanging="547"/>
        <w:contextualSpacing w:val="0"/>
        <w:jc w:val="both"/>
        <w:rPr>
          <w:rFonts w:asciiTheme="minorHAnsi" w:hAnsiTheme="minorHAnsi"/>
        </w:rPr>
      </w:pPr>
      <w:r w:rsidRPr="00D920C9">
        <w:rPr>
          <w:rFonts w:asciiTheme="minorHAnsi" w:hAnsiTheme="minorHAnsi"/>
        </w:rPr>
        <w:t xml:space="preserve">The </w:t>
      </w:r>
      <w:r w:rsidR="008E0CD6" w:rsidRPr="00D920C9">
        <w:rPr>
          <w:rFonts w:asciiTheme="minorHAnsi" w:hAnsiTheme="minorHAnsi"/>
        </w:rPr>
        <w:t>Commission</w:t>
      </w:r>
      <w:r w:rsidRPr="00D920C9">
        <w:rPr>
          <w:rFonts w:asciiTheme="minorHAnsi" w:hAnsiTheme="minorHAnsi"/>
        </w:rPr>
        <w:t xml:space="preserve"> continues to </w:t>
      </w:r>
      <w:r w:rsidR="00EE6A51" w:rsidRPr="00D920C9">
        <w:rPr>
          <w:rFonts w:asciiTheme="minorHAnsi" w:hAnsiTheme="minorHAnsi"/>
        </w:rPr>
        <w:t>be</w:t>
      </w:r>
      <w:r w:rsidR="008E0CD6" w:rsidRPr="00D920C9">
        <w:rPr>
          <w:rFonts w:asciiTheme="minorHAnsi" w:hAnsiTheme="minorHAnsi"/>
        </w:rPr>
        <w:t xml:space="preserve"> concern</w:t>
      </w:r>
      <w:r w:rsidR="00EE6A51" w:rsidRPr="00D920C9">
        <w:rPr>
          <w:rFonts w:asciiTheme="minorHAnsi" w:hAnsiTheme="minorHAnsi"/>
        </w:rPr>
        <w:t>ed</w:t>
      </w:r>
      <w:r w:rsidRPr="00D920C9">
        <w:rPr>
          <w:rFonts w:asciiTheme="minorHAnsi" w:hAnsiTheme="minorHAnsi"/>
        </w:rPr>
        <w:t xml:space="preserve"> </w:t>
      </w:r>
      <w:r w:rsidR="00EE6A51" w:rsidRPr="00D920C9">
        <w:rPr>
          <w:rFonts w:asciiTheme="minorHAnsi" w:hAnsiTheme="minorHAnsi"/>
        </w:rPr>
        <w:t>by</w:t>
      </w:r>
      <w:r w:rsidRPr="00D920C9">
        <w:rPr>
          <w:rFonts w:asciiTheme="minorHAnsi" w:hAnsiTheme="minorHAnsi"/>
        </w:rPr>
        <w:t xml:space="preserve"> racial </w:t>
      </w:r>
      <w:r w:rsidR="008E0CD6" w:rsidRPr="00D920C9">
        <w:rPr>
          <w:rFonts w:asciiTheme="minorHAnsi" w:hAnsiTheme="minorHAnsi"/>
        </w:rPr>
        <w:t>discrimination</w:t>
      </w:r>
      <w:r w:rsidRPr="00D920C9">
        <w:rPr>
          <w:rFonts w:asciiTheme="minorHAnsi" w:hAnsiTheme="minorHAnsi"/>
        </w:rPr>
        <w:t xml:space="preserve"> in the criminal justice system,</w:t>
      </w:r>
      <w:r w:rsidR="008E0CD6" w:rsidRPr="00D920C9">
        <w:rPr>
          <w:rFonts w:asciiTheme="minorHAnsi" w:hAnsiTheme="minorHAnsi"/>
        </w:rPr>
        <w:t xml:space="preserve"> from </w:t>
      </w:r>
      <w:r w:rsidR="00EE6A51" w:rsidRPr="00D920C9">
        <w:rPr>
          <w:rFonts w:asciiTheme="minorHAnsi" w:hAnsiTheme="minorHAnsi"/>
        </w:rPr>
        <w:t xml:space="preserve">the moment of </w:t>
      </w:r>
      <w:r w:rsidR="008E0CD6" w:rsidRPr="00D920C9">
        <w:rPr>
          <w:rFonts w:asciiTheme="minorHAnsi" w:hAnsiTheme="minorHAnsi"/>
        </w:rPr>
        <w:t>arrest to criminal trials to sentencing,</w:t>
      </w:r>
      <w:r w:rsidRPr="00D920C9">
        <w:rPr>
          <w:rFonts w:asciiTheme="minorHAnsi" w:hAnsiTheme="minorHAnsi"/>
        </w:rPr>
        <w:t xml:space="preserve"> as well as sentencing disparities and the overrepresentation of </w:t>
      </w:r>
      <w:r w:rsidR="008E0CD6" w:rsidRPr="00D920C9">
        <w:rPr>
          <w:rFonts w:asciiTheme="minorHAnsi" w:hAnsiTheme="minorHAnsi"/>
        </w:rPr>
        <w:t>African</w:t>
      </w:r>
      <w:r w:rsidR="0030356C" w:rsidRPr="00D920C9">
        <w:rPr>
          <w:rFonts w:asciiTheme="minorHAnsi" w:hAnsiTheme="minorHAnsi"/>
        </w:rPr>
        <w:t xml:space="preserve"> </w:t>
      </w:r>
      <w:r w:rsidR="008E0CD6" w:rsidRPr="00D920C9">
        <w:rPr>
          <w:rFonts w:asciiTheme="minorHAnsi" w:hAnsiTheme="minorHAnsi"/>
        </w:rPr>
        <w:t>Americans and other historically marginalized groups in prisons and jails</w:t>
      </w:r>
      <w:r w:rsidRPr="00D920C9">
        <w:rPr>
          <w:rFonts w:asciiTheme="minorHAnsi" w:hAnsiTheme="minorHAnsi"/>
        </w:rPr>
        <w:t>.</w:t>
      </w:r>
      <w:r w:rsidRPr="00D920C9">
        <w:rPr>
          <w:rStyle w:val="FootnoteReference"/>
          <w:rFonts w:asciiTheme="minorHAnsi" w:hAnsiTheme="minorHAnsi"/>
        </w:rPr>
        <w:footnoteReference w:id="276"/>
      </w:r>
      <w:r w:rsidR="008E0CD6" w:rsidRPr="00D920C9">
        <w:rPr>
          <w:rFonts w:asciiTheme="minorHAnsi" w:hAnsiTheme="minorHAnsi"/>
        </w:rPr>
        <w:t xml:space="preserve"> The Commission notes that </w:t>
      </w:r>
      <w:r w:rsidR="00BC2D83" w:rsidRPr="00D920C9">
        <w:rPr>
          <w:rFonts w:asciiTheme="minorHAnsi" w:hAnsiTheme="minorHAnsi"/>
        </w:rPr>
        <w:t xml:space="preserve">racism </w:t>
      </w:r>
      <w:r w:rsidR="008E0CD6" w:rsidRPr="00D920C9">
        <w:rPr>
          <w:rFonts w:asciiTheme="minorHAnsi" w:hAnsiTheme="minorHAnsi"/>
        </w:rPr>
        <w:t xml:space="preserve">at every stage of the criminal justice process tends to create a vicious circle, where disparities in </w:t>
      </w:r>
      <w:r w:rsidR="00391E69" w:rsidRPr="00D920C9">
        <w:rPr>
          <w:rFonts w:asciiTheme="minorHAnsi" w:hAnsiTheme="minorHAnsi"/>
        </w:rPr>
        <w:t xml:space="preserve">policing, </w:t>
      </w:r>
      <w:r w:rsidR="008E0CD6" w:rsidRPr="00D920C9">
        <w:rPr>
          <w:rFonts w:asciiTheme="minorHAnsi" w:hAnsiTheme="minorHAnsi"/>
        </w:rPr>
        <w:t>arrests</w:t>
      </w:r>
      <w:r w:rsidR="00391E69" w:rsidRPr="00D920C9">
        <w:rPr>
          <w:rFonts w:asciiTheme="minorHAnsi" w:hAnsiTheme="minorHAnsi"/>
        </w:rPr>
        <w:t>,</w:t>
      </w:r>
      <w:r w:rsidR="008E0CD6" w:rsidRPr="00D920C9">
        <w:rPr>
          <w:rFonts w:asciiTheme="minorHAnsi" w:hAnsiTheme="minorHAnsi"/>
        </w:rPr>
        <w:t xml:space="preserve"> and pretrial detention lead to disparities in charges and convictions, and ultimately in incarceration and </w:t>
      </w:r>
      <w:proofErr w:type="spellStart"/>
      <w:r w:rsidR="008E0CD6" w:rsidRPr="00D920C9">
        <w:rPr>
          <w:rFonts w:asciiTheme="minorHAnsi" w:hAnsiTheme="minorHAnsi"/>
        </w:rPr>
        <w:t>reincarceration</w:t>
      </w:r>
      <w:proofErr w:type="spellEnd"/>
      <w:r w:rsidR="008E0CD6" w:rsidRPr="00D920C9">
        <w:rPr>
          <w:rFonts w:asciiTheme="minorHAnsi" w:hAnsiTheme="minorHAnsi"/>
        </w:rPr>
        <w:t xml:space="preserve"> rates. </w:t>
      </w:r>
      <w:bookmarkStart w:id="104" w:name="_Ref507083898"/>
      <w:r w:rsidR="008E0CD6" w:rsidRPr="00D920C9">
        <w:rPr>
          <w:rFonts w:asciiTheme="minorHAnsi" w:hAnsiTheme="minorHAnsi"/>
        </w:rPr>
        <w:t>In light of this concerning panorama, the Commission highlights the obligation of the State to address this structural issue in a comprehensive manner, in compliance with its international obligations in the areas of non-discrimination, due process, and judicial guarantees</w:t>
      </w:r>
      <w:r w:rsidR="004936E2" w:rsidRPr="00D920C9">
        <w:rPr>
          <w:rFonts w:asciiTheme="minorHAnsi" w:hAnsiTheme="minorHAnsi"/>
        </w:rPr>
        <w:t>, and calls for comprehensive actions, in line with th</w:t>
      </w:r>
      <w:r w:rsidR="00B13891" w:rsidRPr="00D920C9">
        <w:rPr>
          <w:rFonts w:asciiTheme="minorHAnsi" w:hAnsiTheme="minorHAnsi"/>
        </w:rPr>
        <w:t>e considerations in Chapters 3 and 4</w:t>
      </w:r>
      <w:r w:rsidR="004936E2" w:rsidRPr="00D920C9">
        <w:rPr>
          <w:rFonts w:asciiTheme="minorHAnsi" w:hAnsiTheme="minorHAnsi"/>
        </w:rPr>
        <w:t>, to address these issues</w:t>
      </w:r>
      <w:r w:rsidR="008E0CD6" w:rsidRPr="00D920C9">
        <w:rPr>
          <w:rFonts w:asciiTheme="minorHAnsi" w:hAnsiTheme="minorHAnsi"/>
        </w:rPr>
        <w:t>.</w:t>
      </w:r>
      <w:bookmarkEnd w:id="104"/>
    </w:p>
    <w:p w14:paraId="1C93BAEC" w14:textId="77777777" w:rsidR="00B4412C" w:rsidRPr="00D920C9" w:rsidRDefault="00B4412C" w:rsidP="003D7958">
      <w:pPr>
        <w:pStyle w:val="Heading4"/>
        <w:numPr>
          <w:ilvl w:val="0"/>
          <w:numId w:val="34"/>
        </w:numPr>
        <w:ind w:left="540" w:hanging="540"/>
      </w:pPr>
      <w:bookmarkStart w:id="105" w:name="_Ref507665030"/>
      <w:bookmarkStart w:id="106" w:name="_Toc511837816"/>
      <w:bookmarkStart w:id="107" w:name="_Toc511902989"/>
      <w:bookmarkStart w:id="108" w:name="_Toc517687919"/>
      <w:r w:rsidRPr="00D920C9">
        <w:t xml:space="preserve">Racial </w:t>
      </w:r>
      <w:r w:rsidR="00D86045" w:rsidRPr="00D920C9">
        <w:t xml:space="preserve">Disparities </w:t>
      </w:r>
      <w:r w:rsidRPr="00D920C9">
        <w:t xml:space="preserve">in </w:t>
      </w:r>
      <w:r w:rsidR="00D86045" w:rsidRPr="00D920C9">
        <w:t>Arrests</w:t>
      </w:r>
      <w:bookmarkEnd w:id="105"/>
      <w:bookmarkEnd w:id="106"/>
      <w:bookmarkEnd w:id="107"/>
      <w:bookmarkEnd w:id="108"/>
    </w:p>
    <w:p w14:paraId="6A76A036" w14:textId="77777777" w:rsidR="00D53B5E" w:rsidRPr="00D920C9" w:rsidRDefault="00100884" w:rsidP="003A1642">
      <w:pPr>
        <w:pStyle w:val="ListParagraph"/>
        <w:numPr>
          <w:ilvl w:val="0"/>
          <w:numId w:val="9"/>
        </w:numPr>
        <w:spacing w:after="240" w:line="240" w:lineRule="auto"/>
        <w:ind w:left="547" w:hanging="547"/>
        <w:contextualSpacing w:val="0"/>
        <w:jc w:val="both"/>
        <w:rPr>
          <w:rFonts w:asciiTheme="minorHAnsi" w:hAnsiTheme="minorHAnsi"/>
        </w:rPr>
      </w:pPr>
      <w:r w:rsidRPr="00D920C9">
        <w:rPr>
          <w:rFonts w:asciiTheme="minorHAnsi" w:hAnsiTheme="minorHAnsi"/>
        </w:rPr>
        <w:t xml:space="preserve">The Commission remains </w:t>
      </w:r>
      <w:r w:rsidR="00BC2D83" w:rsidRPr="00D920C9">
        <w:rPr>
          <w:rFonts w:asciiTheme="minorHAnsi" w:hAnsiTheme="minorHAnsi"/>
        </w:rPr>
        <w:t>seriously</w:t>
      </w:r>
      <w:r w:rsidRPr="00D920C9">
        <w:rPr>
          <w:rFonts w:asciiTheme="minorHAnsi" w:hAnsiTheme="minorHAnsi"/>
        </w:rPr>
        <w:t xml:space="preserve"> concerned by reports of racial disparities in the number and kind of arrests in the </w:t>
      </w:r>
      <w:r w:rsidR="00344360" w:rsidRPr="00D920C9">
        <w:rPr>
          <w:rFonts w:asciiTheme="minorHAnsi" w:hAnsiTheme="minorHAnsi"/>
        </w:rPr>
        <w:t>U.S</w:t>
      </w:r>
      <w:r w:rsidRPr="00D920C9">
        <w:rPr>
          <w:rFonts w:asciiTheme="minorHAnsi" w:hAnsiTheme="minorHAnsi"/>
        </w:rPr>
        <w:t xml:space="preserve">. It notes that this is closely linked to racial discrimination in policing, </w:t>
      </w:r>
      <w:r w:rsidR="00EE6A51" w:rsidRPr="00D920C9">
        <w:rPr>
          <w:rFonts w:asciiTheme="minorHAnsi" w:hAnsiTheme="minorHAnsi"/>
        </w:rPr>
        <w:t>which</w:t>
      </w:r>
      <w:r w:rsidR="008E0CD6" w:rsidRPr="00D920C9">
        <w:rPr>
          <w:rFonts w:asciiTheme="minorHAnsi" w:hAnsiTheme="minorHAnsi"/>
        </w:rPr>
        <w:t xml:space="preserve"> facilitates disparities in criminal justice outcomes for African Americans.</w:t>
      </w:r>
      <w:r w:rsidR="00DA69CF" w:rsidRPr="00D920C9">
        <w:rPr>
          <w:rFonts w:asciiTheme="minorHAnsi" w:hAnsiTheme="minorHAnsi"/>
        </w:rPr>
        <w:t xml:space="preserve"> </w:t>
      </w:r>
      <w:r w:rsidR="0085670E" w:rsidRPr="00D920C9">
        <w:rPr>
          <w:rFonts w:asciiTheme="minorHAnsi" w:hAnsiTheme="minorHAnsi"/>
        </w:rPr>
        <w:t>T</w:t>
      </w:r>
      <w:r w:rsidR="00DA69CF" w:rsidRPr="00D920C9">
        <w:rPr>
          <w:rFonts w:asciiTheme="minorHAnsi" w:hAnsiTheme="minorHAnsi"/>
        </w:rPr>
        <w:t xml:space="preserve">he Commission reiterates </w:t>
      </w:r>
      <w:r w:rsidR="00EE6A51" w:rsidRPr="00D920C9">
        <w:rPr>
          <w:rFonts w:asciiTheme="minorHAnsi" w:hAnsiTheme="minorHAnsi"/>
        </w:rPr>
        <w:t>the need</w:t>
      </w:r>
      <w:r w:rsidR="00DA69CF" w:rsidRPr="00D920C9">
        <w:rPr>
          <w:rFonts w:asciiTheme="minorHAnsi" w:hAnsiTheme="minorHAnsi"/>
        </w:rPr>
        <w:t xml:space="preserve"> for more research on alternative approaches to over-criminalization and arrests, especially for </w:t>
      </w:r>
      <w:r w:rsidR="00920995" w:rsidRPr="00D920C9">
        <w:rPr>
          <w:rFonts w:asciiTheme="minorHAnsi" w:hAnsiTheme="minorHAnsi"/>
        </w:rPr>
        <w:lastRenderedPageBreak/>
        <w:t>misdemeanors</w:t>
      </w:r>
      <w:r w:rsidR="00DA69CF" w:rsidRPr="00D920C9">
        <w:rPr>
          <w:rFonts w:asciiTheme="minorHAnsi" w:hAnsiTheme="minorHAnsi"/>
        </w:rPr>
        <w:t xml:space="preserve">, considering the negative impact of a criminal record in the life plan of the </w:t>
      </w:r>
      <w:r w:rsidR="00EE6A51" w:rsidRPr="00D920C9">
        <w:rPr>
          <w:rFonts w:asciiTheme="minorHAnsi" w:hAnsiTheme="minorHAnsi"/>
        </w:rPr>
        <w:t>individuals</w:t>
      </w:r>
      <w:r w:rsidR="00DA69CF" w:rsidRPr="00D920C9">
        <w:rPr>
          <w:rFonts w:asciiTheme="minorHAnsi" w:hAnsiTheme="minorHAnsi"/>
        </w:rPr>
        <w:t xml:space="preserve"> affected.</w:t>
      </w:r>
      <w:r w:rsidR="00DA69CF" w:rsidRPr="00D920C9">
        <w:rPr>
          <w:rStyle w:val="FootnoteReference"/>
          <w:rFonts w:asciiTheme="minorHAnsi" w:hAnsiTheme="minorHAnsi"/>
        </w:rPr>
        <w:footnoteReference w:id="277"/>
      </w:r>
    </w:p>
    <w:p w14:paraId="63ED2576" w14:textId="11931625" w:rsidR="00D53B5E" w:rsidRPr="00D920C9" w:rsidRDefault="00D53B5E" w:rsidP="003A1642">
      <w:pPr>
        <w:pStyle w:val="ListParagraph"/>
        <w:numPr>
          <w:ilvl w:val="0"/>
          <w:numId w:val="9"/>
        </w:numPr>
        <w:spacing w:after="240" w:line="240" w:lineRule="auto"/>
        <w:ind w:left="547" w:hanging="547"/>
        <w:contextualSpacing w:val="0"/>
        <w:jc w:val="both"/>
        <w:rPr>
          <w:rFonts w:asciiTheme="minorHAnsi" w:hAnsiTheme="minorHAnsi"/>
        </w:rPr>
      </w:pPr>
      <w:r w:rsidRPr="00D920C9">
        <w:rPr>
          <w:rFonts w:asciiTheme="minorHAnsi" w:hAnsiTheme="minorHAnsi"/>
        </w:rPr>
        <w:t>The Commission notes with concern the role of implicit or explicit bias against African</w:t>
      </w:r>
      <w:r w:rsidR="008E0CD6" w:rsidRPr="00D920C9">
        <w:rPr>
          <w:rFonts w:asciiTheme="minorHAnsi" w:hAnsiTheme="minorHAnsi"/>
        </w:rPr>
        <w:t xml:space="preserve"> </w:t>
      </w:r>
      <w:r w:rsidRPr="00D920C9">
        <w:rPr>
          <w:rFonts w:asciiTheme="minorHAnsi" w:hAnsiTheme="minorHAnsi"/>
        </w:rPr>
        <w:t>Americans in differential arrest rates. The power of police to make stops, searches, and arrests is discretionary, and there is strong evidence that this power is used disproportionately against black men.</w:t>
      </w:r>
      <w:r w:rsidRPr="00D920C9">
        <w:rPr>
          <w:rStyle w:val="FootnoteReference"/>
          <w:rFonts w:asciiTheme="minorHAnsi" w:hAnsiTheme="minorHAnsi"/>
        </w:rPr>
        <w:footnoteReference w:id="278"/>
      </w:r>
      <w:r w:rsidRPr="00D920C9">
        <w:rPr>
          <w:rFonts w:asciiTheme="minorHAnsi" w:hAnsiTheme="minorHAnsi"/>
        </w:rPr>
        <w:t xml:space="preserve"> Racial disparity in arrests is apparent both overall, and in arrest</w:t>
      </w:r>
      <w:r w:rsidR="00305744" w:rsidRPr="00D920C9">
        <w:rPr>
          <w:rFonts w:asciiTheme="minorHAnsi" w:hAnsiTheme="minorHAnsi"/>
        </w:rPr>
        <w:t>s</w:t>
      </w:r>
      <w:r w:rsidRPr="00D920C9">
        <w:rPr>
          <w:rFonts w:asciiTheme="minorHAnsi" w:hAnsiTheme="minorHAnsi"/>
        </w:rPr>
        <w:t xml:space="preserve"> made incident to stops and searches. For example, one study</w:t>
      </w:r>
      <w:r w:rsidR="00920995" w:rsidRPr="00D920C9">
        <w:rPr>
          <w:rFonts w:asciiTheme="minorHAnsi" w:hAnsiTheme="minorHAnsi"/>
        </w:rPr>
        <w:t xml:space="preserve"> of FBI statistics</w:t>
      </w:r>
      <w:r w:rsidRPr="00D920C9">
        <w:rPr>
          <w:rFonts w:asciiTheme="minorHAnsi" w:hAnsiTheme="minorHAnsi"/>
        </w:rPr>
        <w:t xml:space="preserve"> found that </w:t>
      </w:r>
      <w:r w:rsidR="00920995" w:rsidRPr="00D920C9">
        <w:rPr>
          <w:rFonts w:asciiTheme="minorHAnsi" w:hAnsiTheme="minorHAnsi"/>
        </w:rPr>
        <w:t>B</w:t>
      </w:r>
      <w:r w:rsidRPr="00D920C9">
        <w:rPr>
          <w:rFonts w:asciiTheme="minorHAnsi" w:hAnsiTheme="minorHAnsi"/>
        </w:rPr>
        <w:t xml:space="preserve">lacks are more likely than others to be arrested </w:t>
      </w:r>
      <w:r w:rsidR="00B13891" w:rsidRPr="00D920C9">
        <w:rPr>
          <w:rFonts w:asciiTheme="minorHAnsi" w:hAnsiTheme="minorHAnsi"/>
        </w:rPr>
        <w:t xml:space="preserve">in almost every city for </w:t>
      </w:r>
      <w:r w:rsidRPr="00D920C9">
        <w:rPr>
          <w:rFonts w:asciiTheme="minorHAnsi" w:hAnsiTheme="minorHAnsi"/>
        </w:rPr>
        <w:t>every type of crime, from murder and assault to loitering and marijuana possession. Only 173 of the 3,538 police departments examined</w:t>
      </w:r>
      <w:r w:rsidR="00920995" w:rsidRPr="00D920C9">
        <w:rPr>
          <w:rFonts w:asciiTheme="minorHAnsi" w:hAnsiTheme="minorHAnsi"/>
        </w:rPr>
        <w:t xml:space="preserve"> (4.9%)</w:t>
      </w:r>
      <w:r w:rsidRPr="00D920C9">
        <w:rPr>
          <w:rFonts w:asciiTheme="minorHAnsi" w:hAnsiTheme="minorHAnsi"/>
        </w:rPr>
        <w:t xml:space="preserve"> arrested black people at a rate equal to or lower than other racial groups.</w:t>
      </w:r>
      <w:r w:rsidRPr="00D920C9">
        <w:rPr>
          <w:rStyle w:val="FootnoteReference"/>
          <w:rFonts w:asciiTheme="minorHAnsi" w:hAnsiTheme="minorHAnsi"/>
        </w:rPr>
        <w:footnoteReference w:id="279"/>
      </w:r>
      <w:r w:rsidRPr="00D920C9">
        <w:rPr>
          <w:rFonts w:asciiTheme="minorHAnsi" w:hAnsiTheme="minorHAnsi"/>
        </w:rPr>
        <w:t xml:space="preserve"> </w:t>
      </w:r>
      <w:r w:rsidR="00F74A3F" w:rsidRPr="00D920C9">
        <w:rPr>
          <w:rFonts w:asciiTheme="minorHAnsi" w:hAnsiTheme="minorHAnsi"/>
        </w:rPr>
        <w:t xml:space="preserve">Regarding arrests incident to stops, a study of traffic stop outcomes by the Bureau of Justice </w:t>
      </w:r>
      <w:r w:rsidR="00EE6A51" w:rsidRPr="00D920C9">
        <w:rPr>
          <w:rFonts w:asciiTheme="minorHAnsi" w:hAnsiTheme="minorHAnsi"/>
        </w:rPr>
        <w:t>S</w:t>
      </w:r>
      <w:r w:rsidR="00F74A3F" w:rsidRPr="00D920C9">
        <w:rPr>
          <w:rFonts w:asciiTheme="minorHAnsi" w:hAnsiTheme="minorHAnsi"/>
        </w:rPr>
        <w:t xml:space="preserve">tatistics showed that </w:t>
      </w:r>
      <w:r w:rsidR="00920995" w:rsidRPr="00D920C9">
        <w:rPr>
          <w:rFonts w:asciiTheme="minorHAnsi" w:hAnsiTheme="minorHAnsi"/>
        </w:rPr>
        <w:t>b</w:t>
      </w:r>
      <w:r w:rsidR="00F74A3F" w:rsidRPr="00D920C9">
        <w:rPr>
          <w:rFonts w:asciiTheme="minorHAnsi" w:hAnsiTheme="minorHAnsi"/>
        </w:rPr>
        <w:t xml:space="preserve">lack drivers (4.5%) were twice as likely as </w:t>
      </w:r>
      <w:r w:rsidR="00920995" w:rsidRPr="00D920C9">
        <w:rPr>
          <w:rFonts w:asciiTheme="minorHAnsi" w:hAnsiTheme="minorHAnsi"/>
        </w:rPr>
        <w:t>w</w:t>
      </w:r>
      <w:r w:rsidR="00F74A3F" w:rsidRPr="00D920C9">
        <w:rPr>
          <w:rFonts w:asciiTheme="minorHAnsi" w:hAnsiTheme="minorHAnsi"/>
        </w:rPr>
        <w:t>hite drivers (2.1%) to be arrested during a traffic stop; conversely, Whites (18.6%) were more likely than Blacks (13.7%) to be let go wi</w:t>
      </w:r>
      <w:r w:rsidR="00920995" w:rsidRPr="00D920C9">
        <w:rPr>
          <w:rFonts w:asciiTheme="minorHAnsi" w:hAnsiTheme="minorHAnsi"/>
        </w:rPr>
        <w:t>th a verbal warning from police,</w:t>
      </w:r>
      <w:r w:rsidR="00F74A3F" w:rsidRPr="00D920C9">
        <w:rPr>
          <w:rStyle w:val="FootnoteReference"/>
          <w:rFonts w:asciiTheme="minorHAnsi" w:hAnsiTheme="minorHAnsi"/>
        </w:rPr>
        <w:footnoteReference w:id="280"/>
      </w:r>
      <w:r w:rsidR="00920995" w:rsidRPr="00D920C9">
        <w:rPr>
          <w:rFonts w:asciiTheme="minorHAnsi" w:hAnsiTheme="minorHAnsi"/>
        </w:rPr>
        <w:t xml:space="preserve"> evidencing a differential treatment, whether implicit or explicit, by police toward black drivers.</w:t>
      </w:r>
      <w:r w:rsidR="00F74A3F" w:rsidRPr="00D920C9">
        <w:rPr>
          <w:rFonts w:asciiTheme="minorHAnsi" w:hAnsiTheme="minorHAnsi"/>
        </w:rPr>
        <w:t xml:space="preserve"> </w:t>
      </w:r>
    </w:p>
    <w:p w14:paraId="1BC304A6" w14:textId="1EC336D9" w:rsidR="00F2103D" w:rsidRPr="00D920C9" w:rsidRDefault="00B4412C" w:rsidP="003A1642">
      <w:pPr>
        <w:pStyle w:val="ListParagraph"/>
        <w:numPr>
          <w:ilvl w:val="0"/>
          <w:numId w:val="9"/>
        </w:numPr>
        <w:spacing w:after="240" w:line="240" w:lineRule="auto"/>
        <w:ind w:left="547" w:hanging="547"/>
        <w:contextualSpacing w:val="0"/>
        <w:jc w:val="both"/>
        <w:rPr>
          <w:rFonts w:asciiTheme="minorHAnsi" w:eastAsiaTheme="minorEastAsia" w:hAnsiTheme="minorHAnsi" w:cs="Calibri"/>
          <w:lang w:eastAsia="es-ES"/>
        </w:rPr>
      </w:pPr>
      <w:r w:rsidRPr="00D920C9">
        <w:rPr>
          <w:rFonts w:asciiTheme="minorHAnsi" w:eastAsiaTheme="minorEastAsia" w:hAnsiTheme="minorHAnsi" w:cs="Calibri"/>
          <w:lang w:eastAsia="es-ES"/>
        </w:rPr>
        <w:t xml:space="preserve">The </w:t>
      </w:r>
      <w:r w:rsidR="00892BDC" w:rsidRPr="00D920C9">
        <w:rPr>
          <w:rFonts w:asciiTheme="minorHAnsi" w:eastAsiaTheme="minorEastAsia" w:hAnsiTheme="minorHAnsi" w:cs="Calibri"/>
          <w:lang w:eastAsia="es-ES"/>
        </w:rPr>
        <w:t>Commission has previously considered that</w:t>
      </w:r>
      <w:r w:rsidR="00B13891" w:rsidRPr="00D920C9">
        <w:rPr>
          <w:rFonts w:asciiTheme="minorHAnsi" w:eastAsiaTheme="minorEastAsia" w:hAnsiTheme="minorHAnsi" w:cs="Calibri"/>
          <w:lang w:eastAsia="es-ES"/>
        </w:rPr>
        <w:t xml:space="preserve"> the</w:t>
      </w:r>
      <w:r w:rsidR="00892BDC" w:rsidRPr="00D920C9">
        <w:rPr>
          <w:rFonts w:asciiTheme="minorHAnsi" w:eastAsiaTheme="minorEastAsia" w:hAnsiTheme="minorHAnsi" w:cs="Calibri"/>
          <w:lang w:eastAsia="es-ES"/>
        </w:rPr>
        <w:t xml:space="preserve"> </w:t>
      </w:r>
      <w:r w:rsidRPr="00D920C9">
        <w:rPr>
          <w:rFonts w:asciiTheme="minorHAnsi" w:hAnsiTheme="minorHAnsi"/>
        </w:rPr>
        <w:t>war</w:t>
      </w:r>
      <w:r w:rsidRPr="00D920C9">
        <w:rPr>
          <w:rFonts w:asciiTheme="minorHAnsi" w:eastAsiaTheme="minorEastAsia" w:hAnsiTheme="minorHAnsi" w:cs="Calibri"/>
          <w:lang w:eastAsia="es-ES"/>
        </w:rPr>
        <w:t xml:space="preserve"> on drugs exacerbates racial disparities</w:t>
      </w:r>
      <w:r w:rsidR="00892BDC" w:rsidRPr="00D920C9">
        <w:rPr>
          <w:rFonts w:asciiTheme="minorHAnsi" w:eastAsiaTheme="minorEastAsia" w:hAnsiTheme="minorHAnsi" w:cs="Calibri"/>
          <w:lang w:eastAsia="es-ES"/>
        </w:rPr>
        <w:t xml:space="preserve"> in arrests</w:t>
      </w:r>
      <w:r w:rsidRPr="00D920C9">
        <w:rPr>
          <w:rFonts w:asciiTheme="minorHAnsi" w:eastAsiaTheme="minorEastAsia" w:hAnsiTheme="minorHAnsi" w:cs="Calibri"/>
          <w:lang w:eastAsia="es-ES"/>
        </w:rPr>
        <w:t xml:space="preserve">. Police target poor black neighborhoods to make low-level drug arrests, funneling </w:t>
      </w:r>
      <w:r w:rsidR="00657AA5" w:rsidRPr="00D920C9">
        <w:rPr>
          <w:rFonts w:asciiTheme="minorHAnsi" w:eastAsiaTheme="minorEastAsia" w:hAnsiTheme="minorHAnsi" w:cs="Calibri"/>
          <w:lang w:eastAsia="es-ES"/>
        </w:rPr>
        <w:t>a disproportionate number of</w:t>
      </w:r>
      <w:r w:rsidRPr="00D920C9">
        <w:rPr>
          <w:rFonts w:asciiTheme="minorHAnsi" w:eastAsiaTheme="minorEastAsia" w:hAnsiTheme="minorHAnsi" w:cs="Calibri"/>
          <w:lang w:eastAsia="es-ES"/>
        </w:rPr>
        <w:t xml:space="preserve"> </w:t>
      </w:r>
      <w:r w:rsidR="00657AA5" w:rsidRPr="00D920C9">
        <w:rPr>
          <w:rFonts w:asciiTheme="minorHAnsi" w:eastAsiaTheme="minorEastAsia" w:hAnsiTheme="minorHAnsi" w:cs="Calibri"/>
          <w:lang w:eastAsia="es-ES"/>
        </w:rPr>
        <w:t>African</w:t>
      </w:r>
      <w:r w:rsidR="0030356C" w:rsidRPr="00D920C9">
        <w:rPr>
          <w:rFonts w:asciiTheme="minorHAnsi" w:eastAsiaTheme="minorEastAsia" w:hAnsiTheme="minorHAnsi" w:cs="Calibri"/>
          <w:lang w:eastAsia="es-ES"/>
        </w:rPr>
        <w:t xml:space="preserve"> </w:t>
      </w:r>
      <w:r w:rsidR="00657AA5" w:rsidRPr="00D920C9">
        <w:rPr>
          <w:rFonts w:asciiTheme="minorHAnsi" w:eastAsiaTheme="minorEastAsia" w:hAnsiTheme="minorHAnsi" w:cs="Calibri"/>
          <w:lang w:eastAsia="es-ES"/>
        </w:rPr>
        <w:t>Americans and other people of color</w:t>
      </w:r>
      <w:r w:rsidRPr="00D920C9">
        <w:rPr>
          <w:rFonts w:asciiTheme="minorHAnsi" w:eastAsiaTheme="minorEastAsia" w:hAnsiTheme="minorHAnsi" w:cs="Calibri"/>
          <w:lang w:eastAsia="es-ES"/>
        </w:rPr>
        <w:t xml:space="preserve"> into the</w:t>
      </w:r>
      <w:r w:rsidR="00920995" w:rsidRPr="00D920C9">
        <w:rPr>
          <w:rFonts w:asciiTheme="minorHAnsi" w:eastAsiaTheme="minorEastAsia" w:hAnsiTheme="minorHAnsi" w:cs="Calibri"/>
          <w:lang w:eastAsia="es-ES"/>
        </w:rPr>
        <w:t xml:space="preserve"> criminal justice</w:t>
      </w:r>
      <w:r w:rsidRPr="00D920C9">
        <w:rPr>
          <w:rFonts w:asciiTheme="minorHAnsi" w:eastAsiaTheme="minorEastAsia" w:hAnsiTheme="minorHAnsi" w:cs="Calibri"/>
          <w:lang w:eastAsia="es-ES"/>
        </w:rPr>
        <w:t xml:space="preserve"> system.</w:t>
      </w:r>
      <w:r w:rsidR="00657AA5" w:rsidRPr="00D920C9">
        <w:rPr>
          <w:rFonts w:asciiTheme="minorHAnsi" w:eastAsiaTheme="minorEastAsia" w:hAnsiTheme="minorHAnsi" w:cs="Calibri"/>
          <w:lang w:eastAsia="es-ES"/>
        </w:rPr>
        <w:t xml:space="preserve"> </w:t>
      </w:r>
      <w:r w:rsidR="00EE6A51" w:rsidRPr="00D920C9">
        <w:rPr>
          <w:rFonts w:asciiTheme="minorHAnsi" w:eastAsiaTheme="minorEastAsia" w:hAnsiTheme="minorHAnsi" w:cs="Calibri"/>
          <w:lang w:eastAsia="es-ES"/>
        </w:rPr>
        <w:t>O</w:t>
      </w:r>
      <w:r w:rsidR="00657AA5" w:rsidRPr="00D920C9">
        <w:rPr>
          <w:rFonts w:asciiTheme="minorHAnsi" w:eastAsiaTheme="minorEastAsia" w:hAnsiTheme="minorHAnsi" w:cs="Calibri"/>
          <w:lang w:eastAsia="es-ES"/>
        </w:rPr>
        <w:t>ne study fou</w:t>
      </w:r>
      <w:r w:rsidR="00920995" w:rsidRPr="00D920C9">
        <w:rPr>
          <w:rFonts w:asciiTheme="minorHAnsi" w:eastAsiaTheme="minorEastAsia" w:hAnsiTheme="minorHAnsi" w:cs="Calibri"/>
          <w:lang w:eastAsia="es-ES"/>
        </w:rPr>
        <w:t>nd that between 1980 and 2007, B</w:t>
      </w:r>
      <w:r w:rsidR="00657AA5" w:rsidRPr="00D920C9">
        <w:rPr>
          <w:rFonts w:asciiTheme="minorHAnsi" w:eastAsiaTheme="minorEastAsia" w:hAnsiTheme="minorHAnsi" w:cs="Calibri"/>
          <w:lang w:eastAsia="es-ES"/>
        </w:rPr>
        <w:t xml:space="preserve">lacks were arrested nationwide on drug charges at rates relative to </w:t>
      </w:r>
      <w:r w:rsidR="00F56BE6" w:rsidRPr="00D920C9">
        <w:rPr>
          <w:rFonts w:asciiTheme="minorHAnsi" w:eastAsiaTheme="minorEastAsia" w:hAnsiTheme="minorHAnsi" w:cs="Calibri"/>
          <w:lang w:eastAsia="es-ES"/>
        </w:rPr>
        <w:t xml:space="preserve">the </w:t>
      </w:r>
      <w:r w:rsidR="00657AA5" w:rsidRPr="00D920C9">
        <w:rPr>
          <w:rFonts w:asciiTheme="minorHAnsi" w:eastAsiaTheme="minorEastAsia" w:hAnsiTheme="minorHAnsi" w:cs="Calibri"/>
          <w:lang w:eastAsia="es-ES"/>
        </w:rPr>
        <w:t>population that were 2.8 to 5.5 times higher than white arrest rates.</w:t>
      </w:r>
      <w:r w:rsidR="00657AA5" w:rsidRPr="00D920C9">
        <w:rPr>
          <w:rStyle w:val="FootnoteReference"/>
          <w:rFonts w:asciiTheme="minorHAnsi" w:eastAsiaTheme="minorEastAsia" w:hAnsiTheme="minorHAnsi" w:cs="Calibri"/>
          <w:lang w:eastAsia="es-ES"/>
        </w:rPr>
        <w:footnoteReference w:id="281"/>
      </w:r>
      <w:r w:rsidR="00F74A3F" w:rsidRPr="00D920C9">
        <w:rPr>
          <w:rFonts w:asciiTheme="minorHAnsi" w:eastAsiaTheme="minorEastAsia" w:hAnsiTheme="minorHAnsi" w:cs="Calibri"/>
          <w:lang w:eastAsia="es-ES"/>
        </w:rPr>
        <w:t xml:space="preserve"> </w:t>
      </w:r>
      <w:r w:rsidR="00920995" w:rsidRPr="00D920C9">
        <w:rPr>
          <w:rFonts w:asciiTheme="minorHAnsi" w:eastAsiaTheme="minorEastAsia" w:hAnsiTheme="minorHAnsi" w:cs="Calibri"/>
          <w:lang w:eastAsia="es-ES"/>
        </w:rPr>
        <w:t>O</w:t>
      </w:r>
      <w:r w:rsidRPr="00D920C9">
        <w:rPr>
          <w:rFonts w:asciiTheme="minorHAnsi" w:eastAsiaTheme="minorEastAsia" w:hAnsiTheme="minorHAnsi" w:cs="Calibri"/>
          <w:lang w:eastAsia="es-ES"/>
        </w:rPr>
        <w:t xml:space="preserve">nce in court, </w:t>
      </w:r>
      <w:r w:rsidR="00920995" w:rsidRPr="00D920C9">
        <w:rPr>
          <w:rFonts w:asciiTheme="minorHAnsi" w:eastAsiaTheme="minorEastAsia" w:hAnsiTheme="minorHAnsi" w:cs="Calibri"/>
          <w:lang w:eastAsia="es-ES"/>
        </w:rPr>
        <w:t xml:space="preserve">evidence indicates that </w:t>
      </w:r>
      <w:r w:rsidRPr="00D920C9">
        <w:rPr>
          <w:rFonts w:asciiTheme="minorHAnsi" w:eastAsiaTheme="minorEastAsia" w:hAnsiTheme="minorHAnsi" w:cs="Calibri"/>
          <w:lang w:eastAsia="es-ES"/>
        </w:rPr>
        <w:t>judges are tougher on black drug offenders every step of the way.</w:t>
      </w:r>
      <w:r w:rsidRPr="00D920C9">
        <w:rPr>
          <w:rStyle w:val="FootnoteReference"/>
          <w:rFonts w:asciiTheme="minorHAnsi" w:eastAsiaTheme="minorEastAsia" w:hAnsiTheme="minorHAnsi" w:cs="Calibri"/>
          <w:lang w:eastAsia="es-ES"/>
        </w:rPr>
        <w:footnoteReference w:id="282"/>
      </w:r>
      <w:r w:rsidR="00A528DB" w:rsidRPr="00D920C9">
        <w:rPr>
          <w:rFonts w:asciiTheme="minorHAnsi" w:eastAsiaTheme="minorEastAsia" w:hAnsiTheme="minorHAnsi" w:cs="Calibri"/>
          <w:lang w:eastAsia="es-ES"/>
        </w:rPr>
        <w:t xml:space="preserve"> </w:t>
      </w:r>
      <w:r w:rsidR="00892BDC" w:rsidRPr="00D920C9">
        <w:rPr>
          <w:rFonts w:asciiTheme="minorHAnsi" w:eastAsiaTheme="minorEastAsia" w:hAnsiTheme="minorHAnsi" w:cs="Calibri"/>
          <w:lang w:eastAsia="es-ES"/>
        </w:rPr>
        <w:t>In this regard</w:t>
      </w:r>
      <w:r w:rsidR="00F2103D" w:rsidRPr="00D920C9">
        <w:rPr>
          <w:rFonts w:asciiTheme="minorHAnsi" w:eastAsiaTheme="minorEastAsia" w:hAnsiTheme="minorHAnsi" w:cs="Calibri"/>
          <w:lang w:eastAsia="es-ES"/>
        </w:rPr>
        <w:t xml:space="preserve">, the Commission recalls its concerns “over the adoption of State measures that seek to punish drug-related conduct—specifically minor drug-related offenses, such as consumption and possession for personal use—and finds worrisome </w:t>
      </w:r>
      <w:r w:rsidR="00EE6A51" w:rsidRPr="00D920C9">
        <w:rPr>
          <w:rFonts w:asciiTheme="minorHAnsi" w:eastAsiaTheme="minorEastAsia" w:hAnsiTheme="minorHAnsi" w:cs="Calibri"/>
          <w:lang w:eastAsia="es-ES"/>
        </w:rPr>
        <w:t>[an apparent]</w:t>
      </w:r>
      <w:r w:rsidR="00F2103D" w:rsidRPr="00D920C9">
        <w:rPr>
          <w:rFonts w:asciiTheme="minorHAnsi" w:eastAsiaTheme="minorEastAsia" w:hAnsiTheme="minorHAnsi" w:cs="Calibri"/>
          <w:lang w:eastAsia="es-ES"/>
        </w:rPr>
        <w:t xml:space="preserve"> notable increase in the number of persons deprived of liberty </w:t>
      </w:r>
      <w:r w:rsidR="00892BDC" w:rsidRPr="00D920C9">
        <w:rPr>
          <w:rFonts w:asciiTheme="minorHAnsi" w:eastAsiaTheme="minorEastAsia" w:hAnsiTheme="minorHAnsi" w:cs="Calibri"/>
          <w:lang w:eastAsia="es-ES"/>
        </w:rPr>
        <w:t>for drug-related criminal acts,” as well as the treatment of drug users “</w:t>
      </w:r>
      <w:r w:rsidR="00F2103D" w:rsidRPr="00D920C9">
        <w:rPr>
          <w:rFonts w:asciiTheme="minorHAnsi" w:eastAsiaTheme="minorEastAsia" w:hAnsiTheme="minorHAnsi" w:cs="Calibri"/>
          <w:lang w:eastAsia="es-ES"/>
        </w:rPr>
        <w:t xml:space="preserve">based </w:t>
      </w:r>
      <w:r w:rsidR="00F2103D" w:rsidRPr="00D920C9">
        <w:rPr>
          <w:rFonts w:asciiTheme="minorHAnsi" w:eastAsiaTheme="minorEastAsia" w:hAnsiTheme="minorHAnsi" w:cs="Calibri"/>
          <w:lang w:eastAsia="es-ES"/>
        </w:rPr>
        <w:lastRenderedPageBreak/>
        <w:t xml:space="preserve">on a logic of repression and criminalization instead of </w:t>
      </w:r>
      <w:r w:rsidR="00892BDC" w:rsidRPr="00D920C9">
        <w:rPr>
          <w:rFonts w:asciiTheme="minorHAnsi" w:eastAsiaTheme="minorEastAsia" w:hAnsiTheme="minorHAnsi" w:cs="Calibri"/>
          <w:lang w:eastAsia="es-ES"/>
        </w:rPr>
        <w:t>[...]</w:t>
      </w:r>
      <w:r w:rsidR="00F2103D" w:rsidRPr="00D920C9">
        <w:rPr>
          <w:rFonts w:asciiTheme="minorHAnsi" w:eastAsiaTheme="minorEastAsia" w:hAnsiTheme="minorHAnsi" w:cs="Calibri"/>
          <w:lang w:eastAsia="es-ES"/>
        </w:rPr>
        <w:t xml:space="preserve"> from a public health approach.”</w:t>
      </w:r>
      <w:r w:rsidR="00F2103D" w:rsidRPr="00D920C9">
        <w:rPr>
          <w:rStyle w:val="FootnoteReference"/>
          <w:rFonts w:asciiTheme="minorHAnsi" w:eastAsiaTheme="minorEastAsia" w:hAnsiTheme="minorHAnsi" w:cs="Calibri"/>
          <w:lang w:eastAsia="es-ES"/>
        </w:rPr>
        <w:footnoteReference w:id="283"/>
      </w:r>
      <w:r w:rsidR="00F2103D" w:rsidRPr="00D920C9">
        <w:rPr>
          <w:rFonts w:asciiTheme="minorHAnsi" w:eastAsiaTheme="minorEastAsia" w:hAnsiTheme="minorHAnsi" w:cs="Calibri"/>
          <w:lang w:eastAsia="es-ES"/>
        </w:rPr>
        <w:t xml:space="preserve"> The Commission recalls that these policies of criminalization of drug possession and consumption as felonies has had a disproportionate negative impact on women as well.</w:t>
      </w:r>
      <w:r w:rsidR="00F2103D" w:rsidRPr="00D920C9">
        <w:rPr>
          <w:rStyle w:val="FootnoteReference"/>
          <w:rFonts w:asciiTheme="minorHAnsi" w:eastAsiaTheme="minorEastAsia" w:hAnsiTheme="minorHAnsi" w:cs="Calibri"/>
          <w:lang w:eastAsia="es-ES"/>
        </w:rPr>
        <w:footnoteReference w:id="284"/>
      </w:r>
      <w:r w:rsidR="00F2103D" w:rsidRPr="00D920C9">
        <w:rPr>
          <w:rFonts w:asciiTheme="minorHAnsi" w:eastAsiaTheme="minorEastAsia" w:hAnsiTheme="minorHAnsi" w:cs="Calibri"/>
          <w:lang w:eastAsia="es-ES"/>
        </w:rPr>
        <w:t xml:space="preserve"> </w:t>
      </w:r>
      <w:r w:rsidR="00892BDC" w:rsidRPr="00D920C9">
        <w:rPr>
          <w:rFonts w:asciiTheme="minorHAnsi" w:eastAsiaTheme="minorEastAsia" w:hAnsiTheme="minorHAnsi" w:cs="Calibri"/>
          <w:lang w:eastAsia="es-ES"/>
        </w:rPr>
        <w:t>The Commission stresses that the State should study less restrictive approaches such as decriminalizing drug use and possession for personal use.</w:t>
      </w:r>
      <w:r w:rsidR="00892BDC" w:rsidRPr="00D920C9">
        <w:rPr>
          <w:rStyle w:val="FootnoteReference"/>
          <w:rFonts w:asciiTheme="minorHAnsi" w:eastAsiaTheme="minorEastAsia" w:hAnsiTheme="minorHAnsi" w:cs="Calibri"/>
          <w:lang w:eastAsia="es-ES"/>
        </w:rPr>
        <w:footnoteReference w:id="285"/>
      </w:r>
    </w:p>
    <w:p w14:paraId="2396138C" w14:textId="77777777" w:rsidR="00FE72B1" w:rsidRPr="00D920C9" w:rsidRDefault="00FE72B1" w:rsidP="00E86698">
      <w:pPr>
        <w:pStyle w:val="ListParagraph"/>
        <w:numPr>
          <w:ilvl w:val="0"/>
          <w:numId w:val="9"/>
        </w:numPr>
        <w:spacing w:after="240" w:line="240" w:lineRule="auto"/>
        <w:ind w:left="547" w:hanging="547"/>
        <w:contextualSpacing w:val="0"/>
        <w:jc w:val="both"/>
        <w:rPr>
          <w:rFonts w:asciiTheme="minorHAnsi" w:hAnsiTheme="minorHAnsi"/>
        </w:rPr>
      </w:pPr>
      <w:bookmarkStart w:id="109" w:name="_Ref511150058"/>
      <w:r w:rsidRPr="00D920C9">
        <w:rPr>
          <w:rFonts w:asciiTheme="minorHAnsi" w:hAnsiTheme="minorHAnsi"/>
        </w:rPr>
        <w:t xml:space="preserve">The disproportionate impact of arrests on African Americans is compounded by the effects of pretrial detention, which disproportionately impacts those who are unable to pay bail. </w:t>
      </w:r>
      <w:r w:rsidR="00EE6A51" w:rsidRPr="00D920C9">
        <w:rPr>
          <w:rFonts w:asciiTheme="minorHAnsi" w:hAnsiTheme="minorHAnsi"/>
        </w:rPr>
        <w:t>I</w:t>
      </w:r>
      <w:r w:rsidR="00F036E0" w:rsidRPr="00D920C9">
        <w:rPr>
          <w:rFonts w:asciiTheme="minorHAnsi" w:hAnsiTheme="minorHAnsi"/>
        </w:rPr>
        <w:t>nformation indicates that n</w:t>
      </w:r>
      <w:r w:rsidR="00234BD8" w:rsidRPr="00D920C9">
        <w:rPr>
          <w:rFonts w:asciiTheme="minorHAnsi" w:hAnsiTheme="minorHAnsi"/>
        </w:rPr>
        <w:t xml:space="preserve">ationally, approximately 62 percent of all people in jail </w:t>
      </w:r>
      <w:r w:rsidR="00F036E0" w:rsidRPr="00D920C9">
        <w:rPr>
          <w:rFonts w:asciiTheme="minorHAnsi" w:hAnsiTheme="minorHAnsi"/>
        </w:rPr>
        <w:t xml:space="preserve">at any given time </w:t>
      </w:r>
      <w:r w:rsidR="00234BD8" w:rsidRPr="00D920C9">
        <w:rPr>
          <w:rFonts w:asciiTheme="minorHAnsi" w:hAnsiTheme="minorHAnsi"/>
        </w:rPr>
        <w:t>are pretrial detainees charged with nonviolent offenses</w:t>
      </w:r>
      <w:r w:rsidR="00F036E0" w:rsidRPr="00D920C9">
        <w:rPr>
          <w:rFonts w:asciiTheme="minorHAnsi" w:hAnsiTheme="minorHAnsi"/>
        </w:rPr>
        <w:t>, and the majority of those are in jail because they are unable to pay bail, not because they are a danger to the community</w:t>
      </w:r>
      <w:r w:rsidR="00234BD8" w:rsidRPr="00D920C9">
        <w:rPr>
          <w:rFonts w:asciiTheme="minorHAnsi" w:hAnsiTheme="minorHAnsi"/>
        </w:rPr>
        <w:t>.</w:t>
      </w:r>
      <w:r w:rsidR="00F036E0" w:rsidRPr="00D920C9">
        <w:rPr>
          <w:rStyle w:val="FootnoteReference"/>
          <w:rFonts w:asciiTheme="minorHAnsi" w:hAnsiTheme="minorHAnsi"/>
        </w:rPr>
        <w:footnoteReference w:id="286"/>
      </w:r>
      <w:r w:rsidR="00234BD8" w:rsidRPr="00D920C9">
        <w:rPr>
          <w:rFonts w:asciiTheme="minorHAnsi" w:hAnsiTheme="minorHAnsi"/>
        </w:rPr>
        <w:t xml:space="preserve"> </w:t>
      </w:r>
      <w:r w:rsidR="00EE6A51" w:rsidRPr="00D920C9">
        <w:rPr>
          <w:rFonts w:asciiTheme="minorHAnsi" w:hAnsiTheme="minorHAnsi"/>
        </w:rPr>
        <w:t>B</w:t>
      </w:r>
      <w:r w:rsidR="00234BD8" w:rsidRPr="00D920C9">
        <w:rPr>
          <w:rFonts w:asciiTheme="minorHAnsi" w:hAnsiTheme="minorHAnsi"/>
        </w:rPr>
        <w:t>ecause African</w:t>
      </w:r>
      <w:r w:rsidR="0030356C" w:rsidRPr="00D920C9">
        <w:rPr>
          <w:rFonts w:asciiTheme="minorHAnsi" w:hAnsiTheme="minorHAnsi"/>
        </w:rPr>
        <w:t xml:space="preserve"> </w:t>
      </w:r>
      <w:r w:rsidR="00234BD8" w:rsidRPr="00D920C9">
        <w:rPr>
          <w:rFonts w:asciiTheme="minorHAnsi" w:hAnsiTheme="minorHAnsi"/>
        </w:rPr>
        <w:t xml:space="preserve">Americans and </w:t>
      </w:r>
      <w:r w:rsidR="0030356C" w:rsidRPr="00D920C9">
        <w:rPr>
          <w:rFonts w:asciiTheme="minorHAnsi" w:hAnsiTheme="minorHAnsi"/>
        </w:rPr>
        <w:t>Hispanics</w:t>
      </w:r>
      <w:r w:rsidR="00234BD8" w:rsidRPr="00D920C9">
        <w:rPr>
          <w:rFonts w:asciiTheme="minorHAnsi" w:hAnsiTheme="minorHAnsi"/>
        </w:rPr>
        <w:t xml:space="preserve"> are overrepresented among the indigent, </w:t>
      </w:r>
      <w:r w:rsidR="00F036E0" w:rsidRPr="00D920C9">
        <w:rPr>
          <w:rFonts w:asciiTheme="minorHAnsi" w:hAnsiTheme="minorHAnsi"/>
        </w:rPr>
        <w:t xml:space="preserve">they </w:t>
      </w:r>
      <w:r w:rsidR="00234BD8" w:rsidRPr="00D920C9">
        <w:rPr>
          <w:rFonts w:asciiTheme="minorHAnsi" w:hAnsiTheme="minorHAnsi"/>
        </w:rPr>
        <w:t xml:space="preserve">are </w:t>
      </w:r>
      <w:r w:rsidR="00EE6A51" w:rsidRPr="00D920C9">
        <w:rPr>
          <w:rFonts w:asciiTheme="minorHAnsi" w:hAnsiTheme="minorHAnsi"/>
        </w:rPr>
        <w:t xml:space="preserve">overrepresented in </w:t>
      </w:r>
      <w:r w:rsidR="00234BD8" w:rsidRPr="00D920C9">
        <w:rPr>
          <w:rFonts w:asciiTheme="minorHAnsi" w:hAnsiTheme="minorHAnsi"/>
        </w:rPr>
        <w:t>pretrial</w:t>
      </w:r>
      <w:r w:rsidR="00EE6A51" w:rsidRPr="00D920C9">
        <w:rPr>
          <w:rFonts w:asciiTheme="minorHAnsi" w:hAnsiTheme="minorHAnsi"/>
        </w:rPr>
        <w:t xml:space="preserve"> detention</w:t>
      </w:r>
      <w:r w:rsidR="00234BD8" w:rsidRPr="00D920C9">
        <w:rPr>
          <w:rFonts w:asciiTheme="minorHAnsi" w:hAnsiTheme="minorHAnsi"/>
        </w:rPr>
        <w:t xml:space="preserve">: </w:t>
      </w:r>
      <w:r w:rsidR="006B5E38" w:rsidRPr="00D920C9">
        <w:rPr>
          <w:rFonts w:asciiTheme="minorHAnsi" w:hAnsiTheme="minorHAnsi"/>
        </w:rPr>
        <w:t>they</w:t>
      </w:r>
      <w:r w:rsidR="00234BD8" w:rsidRPr="00D920C9">
        <w:rPr>
          <w:rFonts w:asciiTheme="minorHAnsi" w:hAnsiTheme="minorHAnsi"/>
        </w:rPr>
        <w:t xml:space="preserve"> comprise 30 percent of the population nationwide, but represent 50 percent of all pretrial detainees.</w:t>
      </w:r>
      <w:r w:rsidR="00234BD8" w:rsidRPr="00D920C9">
        <w:rPr>
          <w:rStyle w:val="FootnoteReference"/>
          <w:rFonts w:asciiTheme="minorHAnsi" w:hAnsiTheme="minorHAnsi"/>
        </w:rPr>
        <w:footnoteReference w:id="287"/>
      </w:r>
      <w:r w:rsidR="00F036E0" w:rsidRPr="00D920C9">
        <w:rPr>
          <w:rFonts w:asciiTheme="minorHAnsi" w:hAnsiTheme="minorHAnsi"/>
        </w:rPr>
        <w:t xml:space="preserve"> </w:t>
      </w:r>
      <w:r w:rsidR="00EE6A51" w:rsidRPr="00D920C9">
        <w:rPr>
          <w:rFonts w:asciiTheme="minorHAnsi" w:hAnsiTheme="minorHAnsi"/>
        </w:rPr>
        <w:t>E</w:t>
      </w:r>
      <w:r w:rsidR="00F036E0" w:rsidRPr="00D920C9">
        <w:rPr>
          <w:rFonts w:asciiTheme="minorHAnsi" w:hAnsiTheme="minorHAnsi"/>
        </w:rPr>
        <w:t>vidence</w:t>
      </w:r>
      <w:r w:rsidR="00EE6A51" w:rsidRPr="00D920C9">
        <w:rPr>
          <w:rFonts w:asciiTheme="minorHAnsi" w:hAnsiTheme="minorHAnsi"/>
        </w:rPr>
        <w:t xml:space="preserve"> also</w:t>
      </w:r>
      <w:r w:rsidR="00F036E0" w:rsidRPr="00D920C9">
        <w:rPr>
          <w:rFonts w:asciiTheme="minorHAnsi" w:hAnsiTheme="minorHAnsi"/>
        </w:rPr>
        <w:t xml:space="preserve"> indicates that racial bias impacts judges’ decisions in setting money bail, dispr</w:t>
      </w:r>
      <w:r w:rsidR="0030356C" w:rsidRPr="00D920C9">
        <w:rPr>
          <w:rFonts w:asciiTheme="minorHAnsi" w:hAnsiTheme="minorHAnsi"/>
        </w:rPr>
        <w:t xml:space="preserve">oportionately impacting </w:t>
      </w:r>
      <w:r w:rsidR="00EE6A51" w:rsidRPr="00D920C9">
        <w:rPr>
          <w:rFonts w:asciiTheme="minorHAnsi" w:hAnsiTheme="minorHAnsi"/>
        </w:rPr>
        <w:t>Blacks</w:t>
      </w:r>
      <w:r w:rsidR="00F036E0" w:rsidRPr="00D920C9">
        <w:rPr>
          <w:rFonts w:asciiTheme="minorHAnsi" w:hAnsiTheme="minorHAnsi"/>
        </w:rPr>
        <w:t>.</w:t>
      </w:r>
      <w:r w:rsidR="00F036E0" w:rsidRPr="00D920C9">
        <w:rPr>
          <w:rStyle w:val="FootnoteReference"/>
          <w:rFonts w:asciiTheme="minorHAnsi" w:hAnsiTheme="minorHAnsi"/>
        </w:rPr>
        <w:footnoteReference w:id="288"/>
      </w:r>
      <w:r w:rsidR="00EE6A51" w:rsidRPr="00D920C9">
        <w:rPr>
          <w:rFonts w:asciiTheme="minorHAnsi" w:hAnsiTheme="minorHAnsi"/>
        </w:rPr>
        <w:t xml:space="preserve"> </w:t>
      </w:r>
      <w:r w:rsidR="006B5E38" w:rsidRPr="00D920C9">
        <w:rPr>
          <w:rFonts w:asciiTheme="minorHAnsi" w:hAnsiTheme="minorHAnsi"/>
        </w:rPr>
        <w:t>R</w:t>
      </w:r>
      <w:r w:rsidR="00F036E0" w:rsidRPr="00D920C9">
        <w:rPr>
          <w:rFonts w:asciiTheme="minorHAnsi" w:hAnsiTheme="minorHAnsi"/>
        </w:rPr>
        <w:t xml:space="preserve">acial disparity in pretrial detention, compounded by poverty, </w:t>
      </w:r>
      <w:r w:rsidR="006B5E38" w:rsidRPr="00D920C9">
        <w:rPr>
          <w:rFonts w:asciiTheme="minorHAnsi" w:hAnsiTheme="minorHAnsi"/>
        </w:rPr>
        <w:t>continues</w:t>
      </w:r>
      <w:r w:rsidR="00F036E0" w:rsidRPr="00D920C9">
        <w:rPr>
          <w:rFonts w:asciiTheme="minorHAnsi" w:hAnsiTheme="minorHAnsi"/>
        </w:rPr>
        <w:t xml:space="preserve"> a vicious cycle</w:t>
      </w:r>
      <w:r w:rsidR="008C0A3E" w:rsidRPr="00D920C9">
        <w:rPr>
          <w:rFonts w:asciiTheme="minorHAnsi" w:hAnsiTheme="minorHAnsi"/>
        </w:rPr>
        <w:t xml:space="preserve"> leading to disparities in incarceration</w:t>
      </w:r>
      <w:r w:rsidR="00F036E0" w:rsidRPr="00D920C9">
        <w:rPr>
          <w:rFonts w:asciiTheme="minorHAnsi" w:hAnsiTheme="minorHAnsi"/>
        </w:rPr>
        <w:t xml:space="preserve">: research indicates that even a weekend stay in pretrial detention increases the likelihood that a low-risk defendant will commit a crime upon release or miss a </w:t>
      </w:r>
      <w:r w:rsidR="008E0CD6" w:rsidRPr="00D920C9">
        <w:rPr>
          <w:rFonts w:asciiTheme="minorHAnsi" w:hAnsiTheme="minorHAnsi"/>
        </w:rPr>
        <w:t xml:space="preserve">future </w:t>
      </w:r>
      <w:r w:rsidR="00F036E0" w:rsidRPr="00D920C9">
        <w:rPr>
          <w:rFonts w:asciiTheme="minorHAnsi" w:hAnsiTheme="minorHAnsi"/>
        </w:rPr>
        <w:t>court date</w:t>
      </w:r>
      <w:r w:rsidR="008E0CD6" w:rsidRPr="00D920C9">
        <w:rPr>
          <w:rFonts w:asciiTheme="minorHAnsi" w:hAnsiTheme="minorHAnsi"/>
        </w:rPr>
        <w:t xml:space="preserve">; </w:t>
      </w:r>
      <w:r w:rsidR="008C0A3E" w:rsidRPr="00D920C9">
        <w:rPr>
          <w:rFonts w:asciiTheme="minorHAnsi" w:hAnsiTheme="minorHAnsi"/>
        </w:rPr>
        <w:t xml:space="preserve">this </w:t>
      </w:r>
      <w:r w:rsidR="00F036E0" w:rsidRPr="00D920C9">
        <w:rPr>
          <w:rFonts w:asciiTheme="minorHAnsi" w:hAnsiTheme="minorHAnsi"/>
        </w:rPr>
        <w:t>likelihood increases the longer the defendant is detained.</w:t>
      </w:r>
      <w:r w:rsidR="008C0A3E" w:rsidRPr="00D920C9">
        <w:rPr>
          <w:rStyle w:val="FootnoteReference"/>
          <w:rFonts w:asciiTheme="minorHAnsi" w:hAnsiTheme="minorHAnsi"/>
        </w:rPr>
        <w:footnoteReference w:id="289"/>
      </w:r>
      <w:bookmarkEnd w:id="109"/>
      <w:r w:rsidR="00892BDC" w:rsidRPr="00D920C9">
        <w:rPr>
          <w:rFonts w:asciiTheme="minorHAnsi" w:hAnsiTheme="minorHAnsi"/>
        </w:rPr>
        <w:t xml:space="preserve"> </w:t>
      </w:r>
    </w:p>
    <w:p w14:paraId="4F78A106" w14:textId="4502377D" w:rsidR="008C0A3E" w:rsidRPr="00D920C9" w:rsidRDefault="00FE72B1" w:rsidP="00E86698">
      <w:pPr>
        <w:pStyle w:val="ListParagraph"/>
        <w:numPr>
          <w:ilvl w:val="0"/>
          <w:numId w:val="9"/>
        </w:numPr>
        <w:spacing w:after="240" w:line="240" w:lineRule="auto"/>
        <w:ind w:left="547" w:hanging="547"/>
        <w:contextualSpacing w:val="0"/>
        <w:jc w:val="both"/>
        <w:rPr>
          <w:rFonts w:asciiTheme="minorHAnsi" w:hAnsiTheme="minorHAnsi"/>
        </w:rPr>
      </w:pPr>
      <w:r w:rsidRPr="00D920C9">
        <w:rPr>
          <w:rFonts w:asciiTheme="minorHAnsi" w:hAnsiTheme="minorHAnsi"/>
        </w:rPr>
        <w:t xml:space="preserve">The Commission further expresses concern </w:t>
      </w:r>
      <w:r w:rsidR="00F56BE6" w:rsidRPr="00D920C9">
        <w:rPr>
          <w:rFonts w:asciiTheme="minorHAnsi" w:hAnsiTheme="minorHAnsi"/>
        </w:rPr>
        <w:t>over</w:t>
      </w:r>
      <w:r w:rsidRPr="00D920C9">
        <w:rPr>
          <w:rFonts w:asciiTheme="minorHAnsi" w:hAnsiTheme="minorHAnsi"/>
        </w:rPr>
        <w:t xml:space="preserve"> the use of extended pretrial detention for individuals who are unable to pay bail and reports of use of solitary confinement in pretrial detention, including of adolescents.</w:t>
      </w:r>
      <w:r w:rsidRPr="00D920C9">
        <w:rPr>
          <w:rStyle w:val="FootnoteReference"/>
          <w:rFonts w:asciiTheme="minorHAnsi" w:hAnsiTheme="minorHAnsi"/>
        </w:rPr>
        <w:footnoteReference w:id="290"/>
      </w:r>
      <w:r w:rsidRPr="00D920C9">
        <w:rPr>
          <w:rFonts w:asciiTheme="minorHAnsi" w:hAnsiTheme="minorHAnsi"/>
        </w:rPr>
        <w:t xml:space="preserve"> </w:t>
      </w:r>
      <w:r w:rsidR="006B5E38" w:rsidRPr="00D920C9">
        <w:rPr>
          <w:rFonts w:asciiTheme="minorHAnsi" w:hAnsiTheme="minorHAnsi"/>
        </w:rPr>
        <w:t>T</w:t>
      </w:r>
      <w:r w:rsidRPr="00D920C9">
        <w:rPr>
          <w:rFonts w:asciiTheme="minorHAnsi" w:hAnsiTheme="minorHAnsi"/>
        </w:rPr>
        <w:t>hese practices tend to disproportionately impact the poor, youth, and persons with mental disabilities.</w:t>
      </w:r>
      <w:r w:rsidRPr="00D920C9">
        <w:rPr>
          <w:rStyle w:val="FootnoteReference"/>
          <w:rFonts w:asciiTheme="minorHAnsi" w:hAnsiTheme="minorHAnsi"/>
        </w:rPr>
        <w:footnoteReference w:id="291"/>
      </w:r>
      <w:r w:rsidRPr="00D920C9">
        <w:rPr>
          <w:rFonts w:asciiTheme="minorHAnsi" w:hAnsiTheme="minorHAnsi"/>
        </w:rPr>
        <w:t xml:space="preserve"> In this respect, the case of</w:t>
      </w:r>
      <w:r w:rsidR="00B40D8F" w:rsidRPr="00D920C9">
        <w:rPr>
          <w:rFonts w:asciiTheme="minorHAnsi" w:hAnsiTheme="minorHAnsi"/>
        </w:rPr>
        <w:t xml:space="preserve"> </w:t>
      </w:r>
      <w:proofErr w:type="spellStart"/>
      <w:r w:rsidR="00B40D8F" w:rsidRPr="00D920C9">
        <w:rPr>
          <w:rFonts w:asciiTheme="minorHAnsi" w:hAnsiTheme="minorHAnsi"/>
        </w:rPr>
        <w:t>Kalief</w:t>
      </w:r>
      <w:proofErr w:type="spellEnd"/>
      <w:r w:rsidR="00B40D8F" w:rsidRPr="00D920C9">
        <w:rPr>
          <w:rFonts w:asciiTheme="minorHAnsi" w:hAnsiTheme="minorHAnsi"/>
        </w:rPr>
        <w:t xml:space="preserve"> Browder</w:t>
      </w:r>
      <w:r w:rsidRPr="00D920C9">
        <w:rPr>
          <w:rFonts w:asciiTheme="minorHAnsi" w:hAnsiTheme="minorHAnsi"/>
        </w:rPr>
        <w:t xml:space="preserve"> is emblematic. Browder, an African American boy from The </w:t>
      </w:r>
      <w:r w:rsidRPr="00D920C9">
        <w:rPr>
          <w:rFonts w:asciiTheme="minorHAnsi" w:hAnsiTheme="minorHAnsi"/>
        </w:rPr>
        <w:lastRenderedPageBreak/>
        <w:t>Bronx</w:t>
      </w:r>
      <w:r w:rsidR="00B40D8F" w:rsidRPr="00D920C9">
        <w:rPr>
          <w:rFonts w:asciiTheme="minorHAnsi" w:hAnsiTheme="minorHAnsi"/>
        </w:rPr>
        <w:t xml:space="preserve">, was arrested at age 16 </w:t>
      </w:r>
      <w:r w:rsidR="000A736A" w:rsidRPr="00D920C9">
        <w:rPr>
          <w:rFonts w:asciiTheme="minorHAnsi" w:hAnsiTheme="minorHAnsi"/>
        </w:rPr>
        <w:t xml:space="preserve">for a crime he maintained he did not commit. </w:t>
      </w:r>
      <w:r w:rsidR="0096252D" w:rsidRPr="00D920C9">
        <w:rPr>
          <w:rFonts w:asciiTheme="minorHAnsi" w:hAnsiTheme="minorHAnsi"/>
        </w:rPr>
        <w:t>H</w:t>
      </w:r>
      <w:r w:rsidR="000A736A" w:rsidRPr="00D920C9">
        <w:rPr>
          <w:rFonts w:asciiTheme="minorHAnsi" w:hAnsiTheme="minorHAnsi"/>
        </w:rPr>
        <w:t>e was held</w:t>
      </w:r>
      <w:r w:rsidR="00B40D8F" w:rsidRPr="00D920C9">
        <w:rPr>
          <w:rFonts w:asciiTheme="minorHAnsi" w:hAnsiTheme="minorHAnsi"/>
        </w:rPr>
        <w:t xml:space="preserve"> in pretrial detention on </w:t>
      </w:r>
      <w:proofErr w:type="spellStart"/>
      <w:r w:rsidR="00B40D8F" w:rsidRPr="00D920C9">
        <w:rPr>
          <w:rFonts w:asciiTheme="minorHAnsi" w:hAnsiTheme="minorHAnsi"/>
        </w:rPr>
        <w:t>Rikers</w:t>
      </w:r>
      <w:proofErr w:type="spellEnd"/>
      <w:r w:rsidR="00B40D8F" w:rsidRPr="00D920C9">
        <w:rPr>
          <w:rFonts w:asciiTheme="minorHAnsi" w:hAnsiTheme="minorHAnsi"/>
        </w:rPr>
        <w:t xml:space="preserve"> Island in New York</w:t>
      </w:r>
      <w:r w:rsidR="0096252D" w:rsidRPr="00D920C9">
        <w:rPr>
          <w:rFonts w:asciiTheme="minorHAnsi" w:hAnsiTheme="minorHAnsi"/>
        </w:rPr>
        <w:t xml:space="preserve"> for more than three years</w:t>
      </w:r>
      <w:r w:rsidR="00B40D8F" w:rsidRPr="00D920C9">
        <w:rPr>
          <w:rFonts w:asciiTheme="minorHAnsi" w:hAnsiTheme="minorHAnsi"/>
        </w:rPr>
        <w:t>—</w:t>
      </w:r>
      <w:r w:rsidR="0096252D" w:rsidRPr="00D920C9">
        <w:rPr>
          <w:rFonts w:asciiTheme="minorHAnsi" w:hAnsiTheme="minorHAnsi"/>
        </w:rPr>
        <w:t>about two years of that time</w:t>
      </w:r>
      <w:r w:rsidR="00B40D8F" w:rsidRPr="00D920C9">
        <w:rPr>
          <w:rFonts w:asciiTheme="minorHAnsi" w:hAnsiTheme="minorHAnsi"/>
        </w:rPr>
        <w:t xml:space="preserve"> in solitary confinement—</w:t>
      </w:r>
      <w:r w:rsidR="000A736A" w:rsidRPr="00D920C9">
        <w:rPr>
          <w:rFonts w:asciiTheme="minorHAnsi" w:hAnsiTheme="minorHAnsi"/>
        </w:rPr>
        <w:t>while he refused to plead guilty to the charges without a trial</w:t>
      </w:r>
      <w:r w:rsidR="00A040D8" w:rsidRPr="00D920C9">
        <w:rPr>
          <w:rFonts w:asciiTheme="minorHAnsi" w:hAnsiTheme="minorHAnsi"/>
        </w:rPr>
        <w:t xml:space="preserve">, and perpetual delays in the courts prevented </w:t>
      </w:r>
      <w:r w:rsidR="0096252D" w:rsidRPr="00D920C9">
        <w:rPr>
          <w:rFonts w:asciiTheme="minorHAnsi" w:hAnsiTheme="minorHAnsi"/>
        </w:rPr>
        <w:t>a</w:t>
      </w:r>
      <w:r w:rsidR="00A040D8" w:rsidRPr="00D920C9">
        <w:rPr>
          <w:rFonts w:asciiTheme="minorHAnsi" w:hAnsiTheme="minorHAnsi"/>
        </w:rPr>
        <w:t xml:space="preserve"> trial</w:t>
      </w:r>
      <w:r w:rsidR="000A736A" w:rsidRPr="00D920C9">
        <w:rPr>
          <w:rFonts w:asciiTheme="minorHAnsi" w:hAnsiTheme="minorHAnsi"/>
        </w:rPr>
        <w:t xml:space="preserve">. He was eventually released from detention </w:t>
      </w:r>
      <w:r w:rsidR="00B87221" w:rsidRPr="00D920C9">
        <w:rPr>
          <w:rFonts w:asciiTheme="minorHAnsi" w:hAnsiTheme="minorHAnsi"/>
        </w:rPr>
        <w:t>after prosecutors dismissed the charges</w:t>
      </w:r>
      <w:r w:rsidR="000A736A" w:rsidRPr="00D920C9">
        <w:rPr>
          <w:rFonts w:asciiTheme="minorHAnsi" w:hAnsiTheme="minorHAnsi"/>
        </w:rPr>
        <w:t>. H</w:t>
      </w:r>
      <w:r w:rsidR="00B40D8F" w:rsidRPr="00D920C9">
        <w:rPr>
          <w:rFonts w:asciiTheme="minorHAnsi" w:hAnsiTheme="minorHAnsi"/>
        </w:rPr>
        <w:t xml:space="preserve">e suffered severe mental health problems </w:t>
      </w:r>
      <w:r w:rsidR="000A736A" w:rsidRPr="00D920C9">
        <w:rPr>
          <w:rFonts w:asciiTheme="minorHAnsi" w:hAnsiTheme="minorHAnsi"/>
        </w:rPr>
        <w:t>while incarcerated and after release</w:t>
      </w:r>
      <w:r w:rsidR="00B40D8F" w:rsidRPr="00D920C9">
        <w:rPr>
          <w:rFonts w:asciiTheme="minorHAnsi" w:hAnsiTheme="minorHAnsi"/>
        </w:rPr>
        <w:t>,</w:t>
      </w:r>
      <w:r w:rsidR="00B07A80" w:rsidRPr="00D920C9">
        <w:rPr>
          <w:rFonts w:asciiTheme="minorHAnsi" w:hAnsiTheme="minorHAnsi"/>
        </w:rPr>
        <w:t xml:space="preserve"> which he attributed to the violence he experienced </w:t>
      </w:r>
      <w:r w:rsidR="00B87221" w:rsidRPr="00D920C9">
        <w:rPr>
          <w:rFonts w:asciiTheme="minorHAnsi" w:hAnsiTheme="minorHAnsi"/>
        </w:rPr>
        <w:t xml:space="preserve">on </w:t>
      </w:r>
      <w:proofErr w:type="spellStart"/>
      <w:r w:rsidR="00B87221" w:rsidRPr="00D920C9">
        <w:rPr>
          <w:rFonts w:asciiTheme="minorHAnsi" w:hAnsiTheme="minorHAnsi"/>
        </w:rPr>
        <w:t>Rikers</w:t>
      </w:r>
      <w:proofErr w:type="spellEnd"/>
      <w:r w:rsidR="00B87221" w:rsidRPr="00D920C9">
        <w:rPr>
          <w:rFonts w:asciiTheme="minorHAnsi" w:hAnsiTheme="minorHAnsi"/>
        </w:rPr>
        <w:t xml:space="preserve"> and </w:t>
      </w:r>
      <w:r w:rsidR="0096252D" w:rsidRPr="00D920C9">
        <w:rPr>
          <w:rFonts w:asciiTheme="minorHAnsi" w:hAnsiTheme="minorHAnsi"/>
        </w:rPr>
        <w:t>the time</w:t>
      </w:r>
      <w:r w:rsidR="00B87221" w:rsidRPr="00D920C9">
        <w:rPr>
          <w:rFonts w:asciiTheme="minorHAnsi" w:hAnsiTheme="minorHAnsi"/>
        </w:rPr>
        <w:t xml:space="preserve"> in solitary confinement,</w:t>
      </w:r>
      <w:r w:rsidR="00B40D8F" w:rsidRPr="00D920C9">
        <w:rPr>
          <w:rFonts w:asciiTheme="minorHAnsi" w:hAnsiTheme="minorHAnsi"/>
        </w:rPr>
        <w:t xml:space="preserve"> and committed suicide</w:t>
      </w:r>
      <w:r w:rsidR="000A736A" w:rsidRPr="00D920C9">
        <w:rPr>
          <w:rFonts w:asciiTheme="minorHAnsi" w:hAnsiTheme="minorHAnsi"/>
        </w:rPr>
        <w:t xml:space="preserve"> in 2015 at the age of 22</w:t>
      </w:r>
      <w:r w:rsidR="00B40D8F" w:rsidRPr="00D920C9">
        <w:rPr>
          <w:rFonts w:asciiTheme="minorHAnsi" w:hAnsiTheme="minorHAnsi"/>
        </w:rPr>
        <w:t>.</w:t>
      </w:r>
      <w:r w:rsidR="00B40D8F" w:rsidRPr="00D920C9">
        <w:rPr>
          <w:rStyle w:val="FootnoteReference"/>
          <w:rFonts w:asciiTheme="minorHAnsi" w:hAnsiTheme="minorHAnsi"/>
        </w:rPr>
        <w:footnoteReference w:id="292"/>
      </w:r>
      <w:r w:rsidR="00B603AD" w:rsidRPr="00D920C9">
        <w:rPr>
          <w:rFonts w:asciiTheme="minorHAnsi" w:hAnsiTheme="minorHAnsi"/>
        </w:rPr>
        <w:t xml:space="preserve"> In this regard, the Commission reiterates that international standards establish that solitary confinement should be absolutely prohibited for children under the age of 18, and that in every case, beyond a period </w:t>
      </w:r>
      <w:r w:rsidR="007528E2" w:rsidRPr="00D920C9">
        <w:rPr>
          <w:rFonts w:asciiTheme="minorHAnsi" w:hAnsiTheme="minorHAnsi"/>
        </w:rPr>
        <w:t>of 1</w:t>
      </w:r>
      <w:r w:rsidR="004D0B9D" w:rsidRPr="00D920C9">
        <w:rPr>
          <w:rFonts w:asciiTheme="minorHAnsi" w:hAnsiTheme="minorHAnsi"/>
        </w:rPr>
        <w:t>5 days, the harmful psychological effects of isolation can become irreversible.</w:t>
      </w:r>
      <w:r w:rsidR="004D0B9D" w:rsidRPr="00D920C9">
        <w:rPr>
          <w:rStyle w:val="FootnoteReference"/>
          <w:rFonts w:asciiTheme="minorHAnsi" w:hAnsiTheme="minorHAnsi"/>
        </w:rPr>
        <w:footnoteReference w:id="293"/>
      </w:r>
    </w:p>
    <w:p w14:paraId="61C641BD" w14:textId="77777777" w:rsidR="00B4412C" w:rsidRPr="00D920C9" w:rsidRDefault="00B4412C" w:rsidP="003D7958">
      <w:pPr>
        <w:pStyle w:val="Heading4"/>
        <w:ind w:left="540" w:hanging="540"/>
      </w:pPr>
      <w:bookmarkStart w:id="110" w:name="_Ref507665051"/>
      <w:bookmarkStart w:id="111" w:name="_Toc511837817"/>
      <w:bookmarkStart w:id="112" w:name="_Toc511902990"/>
      <w:bookmarkStart w:id="113" w:name="_Toc517687920"/>
      <w:r w:rsidRPr="00D920C9">
        <w:t xml:space="preserve">Racial </w:t>
      </w:r>
      <w:r w:rsidR="0013717A" w:rsidRPr="00D920C9">
        <w:t xml:space="preserve">Disparities </w:t>
      </w:r>
      <w:r w:rsidRPr="00D920C9">
        <w:t xml:space="preserve">in </w:t>
      </w:r>
      <w:r w:rsidR="0013717A" w:rsidRPr="00D920C9">
        <w:t xml:space="preserve">Access </w:t>
      </w:r>
      <w:r w:rsidRPr="00D920C9">
        <w:t xml:space="preserve">to </w:t>
      </w:r>
      <w:r w:rsidR="0013717A" w:rsidRPr="00D920C9">
        <w:t>Counsel</w:t>
      </w:r>
      <w:r w:rsidRPr="00D920C9">
        <w:t xml:space="preserve">, </w:t>
      </w:r>
      <w:r w:rsidR="0013717A" w:rsidRPr="00D920C9">
        <w:t>Pleas</w:t>
      </w:r>
      <w:r w:rsidRPr="00D920C9">
        <w:t xml:space="preserve">, </w:t>
      </w:r>
      <w:r w:rsidR="0013717A" w:rsidRPr="00D920C9">
        <w:t>Sentencing</w:t>
      </w:r>
      <w:r w:rsidR="009F3240" w:rsidRPr="00D920C9">
        <w:t xml:space="preserve">, </w:t>
      </w:r>
      <w:r w:rsidR="0013717A" w:rsidRPr="00D920C9">
        <w:t>Incarceration</w:t>
      </w:r>
      <w:r w:rsidR="009F3240" w:rsidRPr="00D920C9">
        <w:t xml:space="preserve">, and </w:t>
      </w:r>
      <w:r w:rsidR="0013717A" w:rsidRPr="00D920C9">
        <w:t>Re</w:t>
      </w:r>
      <w:r w:rsidR="008E0CD6" w:rsidRPr="00D920C9">
        <w:t>-</w:t>
      </w:r>
      <w:r w:rsidR="0013717A" w:rsidRPr="00D920C9">
        <w:t>Incarceration</w:t>
      </w:r>
      <w:bookmarkEnd w:id="110"/>
      <w:bookmarkEnd w:id="111"/>
      <w:bookmarkEnd w:id="112"/>
      <w:bookmarkEnd w:id="113"/>
    </w:p>
    <w:p w14:paraId="0DD4D258" w14:textId="77777777" w:rsidR="0006240D" w:rsidRPr="00D920C9" w:rsidRDefault="0006240D" w:rsidP="00E86698">
      <w:pPr>
        <w:pStyle w:val="ListParagraph"/>
        <w:numPr>
          <w:ilvl w:val="0"/>
          <w:numId w:val="9"/>
        </w:numPr>
        <w:spacing w:after="240" w:line="240" w:lineRule="auto"/>
        <w:ind w:left="547" w:hanging="547"/>
        <w:contextualSpacing w:val="0"/>
        <w:jc w:val="both"/>
        <w:rPr>
          <w:rFonts w:asciiTheme="minorHAnsi" w:eastAsia="Times New Roman" w:hAnsiTheme="minorHAnsi"/>
          <w:lang w:eastAsia="es-ES"/>
        </w:rPr>
      </w:pPr>
      <w:r w:rsidRPr="00D920C9">
        <w:rPr>
          <w:rFonts w:asciiTheme="minorHAnsi" w:eastAsia="Times New Roman" w:hAnsiTheme="minorHAnsi"/>
          <w:lang w:eastAsia="es-ES"/>
        </w:rPr>
        <w:t>The Commission remains concerned that racial disparities permeate the entire apparatus of the criminal justice system.</w:t>
      </w:r>
      <w:r w:rsidR="00967B3A" w:rsidRPr="00D920C9">
        <w:rPr>
          <w:rStyle w:val="FootnoteReference"/>
          <w:rFonts w:asciiTheme="minorHAnsi" w:eastAsia="Times New Roman" w:hAnsiTheme="minorHAnsi"/>
          <w:lang w:eastAsia="es-ES"/>
        </w:rPr>
        <w:footnoteReference w:id="294"/>
      </w:r>
      <w:r w:rsidRPr="00D920C9">
        <w:rPr>
          <w:rFonts w:asciiTheme="minorHAnsi" w:eastAsia="Times New Roman" w:hAnsiTheme="minorHAnsi"/>
          <w:lang w:eastAsia="es-ES"/>
        </w:rPr>
        <w:t xml:space="preserve"> The Commission has received information indicating racial disparities in access to counsel in criminal proceedings; negotiation of and terms associated with plea bargain agreements; incarceration rates and sentencing; and rates of re-incarceration, including on the basis of probation violations. </w:t>
      </w:r>
      <w:r w:rsidR="00401DF8" w:rsidRPr="00D920C9">
        <w:rPr>
          <w:rFonts w:asciiTheme="minorHAnsi" w:eastAsia="Times New Roman" w:hAnsiTheme="minorHAnsi"/>
          <w:lang w:eastAsia="es-ES"/>
        </w:rPr>
        <w:t>T</w:t>
      </w:r>
      <w:r w:rsidR="00DF4BDC" w:rsidRPr="00D920C9">
        <w:rPr>
          <w:rFonts w:asciiTheme="minorHAnsi" w:eastAsia="Times New Roman" w:hAnsiTheme="minorHAnsi"/>
          <w:lang w:eastAsia="es-ES"/>
        </w:rPr>
        <w:t xml:space="preserve">he Commission echoes the concerns of </w:t>
      </w:r>
      <w:r w:rsidR="0030356C" w:rsidRPr="00D920C9">
        <w:rPr>
          <w:rFonts w:asciiTheme="minorHAnsi" w:eastAsia="Times New Roman" w:hAnsiTheme="minorHAnsi"/>
          <w:lang w:eastAsia="es-ES"/>
        </w:rPr>
        <w:t xml:space="preserve">the CERD that African </w:t>
      </w:r>
      <w:r w:rsidR="00DF4BDC" w:rsidRPr="00D920C9">
        <w:rPr>
          <w:rFonts w:asciiTheme="minorHAnsi" w:eastAsia="Times New Roman" w:hAnsiTheme="minorHAnsi"/>
          <w:lang w:eastAsia="es-ES"/>
        </w:rPr>
        <w:t>Americans continue to be disproportionately arrested, incarcerated, and subjected to harsher sentences, including life imprisonment without parole and the death penalty, and that this situation is exacerbated by the exercise of prosecutorial discretion,</w:t>
      </w:r>
      <w:r w:rsidR="00CE0C26" w:rsidRPr="00D920C9">
        <w:rPr>
          <w:rFonts w:asciiTheme="minorHAnsi" w:eastAsia="Times New Roman" w:hAnsiTheme="minorHAnsi"/>
          <w:lang w:eastAsia="es-ES"/>
        </w:rPr>
        <w:t xml:space="preserve"> and</w:t>
      </w:r>
      <w:r w:rsidR="00DF4BDC" w:rsidRPr="00D920C9">
        <w:rPr>
          <w:rFonts w:asciiTheme="minorHAnsi" w:eastAsia="Times New Roman" w:hAnsiTheme="minorHAnsi"/>
          <w:lang w:eastAsia="es-ES"/>
        </w:rPr>
        <w:t xml:space="preserve"> the application of mandatory minimum drug-offense sentencing policies and repeat offender laws.</w:t>
      </w:r>
      <w:r w:rsidR="00DF4BDC" w:rsidRPr="00D920C9">
        <w:rPr>
          <w:rStyle w:val="FootnoteReference"/>
          <w:rFonts w:asciiTheme="minorHAnsi" w:eastAsia="Times New Roman" w:hAnsiTheme="minorHAnsi"/>
          <w:lang w:eastAsia="es-ES"/>
        </w:rPr>
        <w:footnoteReference w:id="295"/>
      </w:r>
      <w:r w:rsidR="00DF4BDC" w:rsidRPr="00D920C9">
        <w:rPr>
          <w:rFonts w:asciiTheme="minorHAnsi" w:eastAsia="Times New Roman" w:hAnsiTheme="minorHAnsi"/>
          <w:lang w:eastAsia="es-ES"/>
        </w:rPr>
        <w:t xml:space="preserve"> </w:t>
      </w:r>
    </w:p>
    <w:p w14:paraId="389635EA" w14:textId="77777777" w:rsidR="00B4412C" w:rsidRPr="00D920C9" w:rsidRDefault="00397F08" w:rsidP="00E86698">
      <w:pPr>
        <w:pStyle w:val="ListParagraph"/>
        <w:numPr>
          <w:ilvl w:val="0"/>
          <w:numId w:val="9"/>
        </w:numPr>
        <w:spacing w:after="240" w:line="240" w:lineRule="auto"/>
        <w:ind w:left="547" w:hanging="547"/>
        <w:contextualSpacing w:val="0"/>
        <w:jc w:val="both"/>
        <w:rPr>
          <w:rFonts w:asciiTheme="minorHAnsi" w:hAnsiTheme="minorHAnsi"/>
        </w:rPr>
      </w:pPr>
      <w:r w:rsidRPr="00D920C9">
        <w:rPr>
          <w:rFonts w:asciiTheme="minorHAnsi" w:eastAsia="Times New Roman" w:hAnsiTheme="minorHAnsi"/>
          <w:lang w:eastAsia="es-ES"/>
        </w:rPr>
        <w:t>The Commission has received information about disparities in access to counsel in criminal proceedings.</w:t>
      </w:r>
      <w:r w:rsidRPr="00D920C9">
        <w:rPr>
          <w:rStyle w:val="FootnoteReference"/>
          <w:rFonts w:asciiTheme="minorHAnsi" w:eastAsia="Times New Roman" w:hAnsiTheme="minorHAnsi"/>
          <w:lang w:eastAsia="es-ES"/>
        </w:rPr>
        <w:footnoteReference w:id="296"/>
      </w:r>
      <w:r w:rsidRPr="00D920C9">
        <w:rPr>
          <w:rFonts w:asciiTheme="minorHAnsi" w:eastAsia="Times New Roman" w:hAnsiTheme="minorHAnsi"/>
          <w:lang w:eastAsia="es-ES"/>
        </w:rPr>
        <w:t xml:space="preserve"> These issues are closely related to </w:t>
      </w:r>
      <w:r w:rsidRPr="00D920C9">
        <w:rPr>
          <w:rFonts w:asciiTheme="minorHAnsi" w:eastAsia="Times New Roman" w:hAnsiTheme="minorHAnsi"/>
          <w:lang w:eastAsia="es-ES"/>
        </w:rPr>
        <w:lastRenderedPageBreak/>
        <w:t>poverty and issues in access to and quality of counsel for indigent defendants</w:t>
      </w:r>
      <w:r w:rsidR="008E0CD6" w:rsidRPr="00D920C9">
        <w:rPr>
          <w:rFonts w:asciiTheme="minorHAnsi" w:eastAsia="Times New Roman" w:hAnsiTheme="minorHAnsi"/>
          <w:lang w:eastAsia="es-ES"/>
        </w:rPr>
        <w:t>; nonetheless,</w:t>
      </w:r>
      <w:r w:rsidRPr="00D920C9">
        <w:rPr>
          <w:rFonts w:asciiTheme="minorHAnsi" w:eastAsia="Times New Roman" w:hAnsiTheme="minorHAnsi"/>
          <w:lang w:eastAsia="es-ES"/>
        </w:rPr>
        <w:t xml:space="preserve"> even among indigent defendants, African Americans are disproportionately impacted by lack of access to counsel.</w:t>
      </w:r>
      <w:r w:rsidRPr="00D920C9">
        <w:rPr>
          <w:rStyle w:val="FootnoteReference"/>
          <w:rFonts w:asciiTheme="minorHAnsi" w:eastAsia="Times New Roman" w:hAnsiTheme="minorHAnsi"/>
          <w:lang w:eastAsia="es-ES"/>
        </w:rPr>
        <w:footnoteReference w:id="297"/>
      </w:r>
      <w:r w:rsidRPr="00D920C9">
        <w:rPr>
          <w:rFonts w:asciiTheme="minorHAnsi" w:eastAsia="Times New Roman" w:hAnsiTheme="minorHAnsi"/>
          <w:lang w:eastAsia="es-ES"/>
        </w:rPr>
        <w:t xml:space="preserve"> </w:t>
      </w:r>
      <w:r w:rsidR="00637A1A" w:rsidRPr="00D920C9">
        <w:rPr>
          <w:rFonts w:asciiTheme="minorHAnsi" w:eastAsia="Times New Roman" w:hAnsiTheme="minorHAnsi"/>
          <w:lang w:eastAsia="es-ES"/>
        </w:rPr>
        <w:t>Lack of access to counsel both endangers the right to due process in general</w:t>
      </w:r>
      <w:r w:rsidR="00637A1A" w:rsidRPr="00D920C9">
        <w:rPr>
          <w:rStyle w:val="FootnoteReference"/>
          <w:rFonts w:asciiTheme="minorHAnsi" w:eastAsia="Times New Roman" w:hAnsiTheme="minorHAnsi"/>
          <w:lang w:eastAsia="es-ES"/>
        </w:rPr>
        <w:footnoteReference w:id="298"/>
      </w:r>
      <w:r w:rsidR="00637A1A" w:rsidRPr="00D920C9">
        <w:rPr>
          <w:rFonts w:asciiTheme="minorHAnsi" w:eastAsia="Times New Roman" w:hAnsiTheme="minorHAnsi"/>
          <w:lang w:eastAsia="es-ES"/>
        </w:rPr>
        <w:t xml:space="preserve"> and impacts </w:t>
      </w:r>
      <w:r w:rsidR="00305744" w:rsidRPr="00D920C9">
        <w:rPr>
          <w:rFonts w:asciiTheme="minorHAnsi" w:eastAsia="Times New Roman" w:hAnsiTheme="minorHAnsi"/>
          <w:lang w:eastAsia="es-ES"/>
        </w:rPr>
        <w:t xml:space="preserve">defendants’ </w:t>
      </w:r>
      <w:r w:rsidR="00637A1A" w:rsidRPr="00D920C9">
        <w:rPr>
          <w:rFonts w:asciiTheme="minorHAnsi" w:eastAsia="Times New Roman" w:hAnsiTheme="minorHAnsi"/>
          <w:lang w:eastAsia="es-ES"/>
        </w:rPr>
        <w:t>ability to negotiate on equal terms in a plea bargaining process.</w:t>
      </w:r>
    </w:p>
    <w:p w14:paraId="759F1178" w14:textId="77777777" w:rsidR="002E13A2" w:rsidRPr="00D920C9" w:rsidRDefault="00D0491C" w:rsidP="00E86698">
      <w:pPr>
        <w:pStyle w:val="ListParagraph"/>
        <w:numPr>
          <w:ilvl w:val="0"/>
          <w:numId w:val="9"/>
        </w:numPr>
        <w:spacing w:after="240" w:line="240" w:lineRule="auto"/>
        <w:ind w:left="547" w:hanging="547"/>
        <w:contextualSpacing w:val="0"/>
        <w:jc w:val="both"/>
        <w:rPr>
          <w:rFonts w:asciiTheme="minorHAnsi" w:hAnsiTheme="minorHAnsi"/>
        </w:rPr>
      </w:pPr>
      <w:r w:rsidRPr="00D920C9">
        <w:rPr>
          <w:rFonts w:asciiTheme="minorHAnsi" w:hAnsiTheme="minorHAnsi"/>
        </w:rPr>
        <w:t>The effect of lack of access to and quality of counsel is</w:t>
      </w:r>
      <w:r w:rsidR="00FA6B7E" w:rsidRPr="00D920C9">
        <w:rPr>
          <w:rFonts w:asciiTheme="minorHAnsi" w:hAnsiTheme="minorHAnsi"/>
        </w:rPr>
        <w:t xml:space="preserve"> compounded by the power of prosecutors to </w:t>
      </w:r>
      <w:r w:rsidR="004936E2" w:rsidRPr="00D920C9">
        <w:rPr>
          <w:rFonts w:asciiTheme="minorHAnsi" w:hAnsiTheme="minorHAnsi"/>
        </w:rPr>
        <w:t xml:space="preserve">decide </w:t>
      </w:r>
      <w:r w:rsidR="00FA6B7E" w:rsidRPr="00D920C9">
        <w:rPr>
          <w:rFonts w:asciiTheme="minorHAnsi" w:hAnsiTheme="minorHAnsi"/>
        </w:rPr>
        <w:t>whether and how they will charge defendants</w:t>
      </w:r>
      <w:r w:rsidR="00492CE7" w:rsidRPr="00D920C9">
        <w:rPr>
          <w:rFonts w:asciiTheme="minorHAnsi" w:hAnsiTheme="minorHAnsi"/>
        </w:rPr>
        <w:t xml:space="preserve"> with crimes</w:t>
      </w:r>
      <w:r w:rsidR="00FA6B7E" w:rsidRPr="00D920C9">
        <w:rPr>
          <w:rFonts w:asciiTheme="minorHAnsi" w:hAnsiTheme="minorHAnsi"/>
        </w:rPr>
        <w:t xml:space="preserve">. </w:t>
      </w:r>
      <w:r w:rsidR="004936E2" w:rsidRPr="00D920C9">
        <w:rPr>
          <w:rFonts w:asciiTheme="minorHAnsi" w:hAnsiTheme="minorHAnsi"/>
        </w:rPr>
        <w:t>I</w:t>
      </w:r>
      <w:r w:rsidR="00FA6B7E" w:rsidRPr="00D920C9">
        <w:rPr>
          <w:rFonts w:asciiTheme="minorHAnsi" w:hAnsiTheme="minorHAnsi"/>
        </w:rPr>
        <w:t xml:space="preserve">nformation indicates that this power, which is not subject to review, </w:t>
      </w:r>
      <w:r w:rsidR="005F402B" w:rsidRPr="00D920C9">
        <w:rPr>
          <w:rFonts w:asciiTheme="minorHAnsi" w:hAnsiTheme="minorHAnsi"/>
        </w:rPr>
        <w:t>can be exercised in a racially discriminatory manner. For example, one study showed that prosecutors charge black men with offenses carrying mandatory penalties twice as often as they did comparable white men.</w:t>
      </w:r>
      <w:r w:rsidR="005F402B" w:rsidRPr="00D920C9">
        <w:rPr>
          <w:rStyle w:val="FootnoteReference"/>
          <w:rFonts w:asciiTheme="minorHAnsi" w:hAnsiTheme="minorHAnsi"/>
        </w:rPr>
        <w:footnoteReference w:id="299"/>
      </w:r>
      <w:r w:rsidR="005F402B" w:rsidRPr="00D920C9">
        <w:rPr>
          <w:rFonts w:asciiTheme="minorHAnsi" w:hAnsiTheme="minorHAnsi"/>
        </w:rPr>
        <w:t xml:space="preserve"> Prosecutors likewise control the plea bargaining process, which means that </w:t>
      </w:r>
      <w:r w:rsidR="002F4E05" w:rsidRPr="00D920C9">
        <w:rPr>
          <w:rFonts w:asciiTheme="minorHAnsi" w:hAnsiTheme="minorHAnsi"/>
        </w:rPr>
        <w:t>they make discretionary and largely unreviewable</w:t>
      </w:r>
      <w:r w:rsidRPr="00D920C9">
        <w:rPr>
          <w:rFonts w:asciiTheme="minorHAnsi" w:hAnsiTheme="minorHAnsi"/>
        </w:rPr>
        <w:t xml:space="preserve"> choices about what penalties to seek against which defendants.</w:t>
      </w:r>
      <w:bookmarkStart w:id="114" w:name="_Ref507171639"/>
      <w:r w:rsidR="002F4E05" w:rsidRPr="00D920C9">
        <w:rPr>
          <w:rStyle w:val="FootnoteReference"/>
          <w:rFonts w:asciiTheme="minorHAnsi" w:hAnsiTheme="minorHAnsi"/>
        </w:rPr>
        <w:footnoteReference w:id="300"/>
      </w:r>
      <w:bookmarkEnd w:id="114"/>
      <w:r w:rsidR="002F4E05" w:rsidRPr="00D920C9">
        <w:rPr>
          <w:rFonts w:asciiTheme="minorHAnsi" w:hAnsiTheme="minorHAnsi"/>
        </w:rPr>
        <w:t xml:space="preserve"> </w:t>
      </w:r>
      <w:r w:rsidR="00492CE7" w:rsidRPr="00D920C9">
        <w:rPr>
          <w:rFonts w:asciiTheme="minorHAnsi" w:hAnsiTheme="minorHAnsi"/>
        </w:rPr>
        <w:t>This power over criminal charges and penalties is magnified by the fact</w:t>
      </w:r>
      <w:r w:rsidR="00710238" w:rsidRPr="00D920C9">
        <w:rPr>
          <w:rFonts w:asciiTheme="minorHAnsi" w:hAnsiTheme="minorHAnsi"/>
        </w:rPr>
        <w:t xml:space="preserve"> that 97 percent of federal convictions and 94 percent of state convictions are the result of guilty pleas</w:t>
      </w:r>
      <w:r w:rsidR="005F402B" w:rsidRPr="00D920C9">
        <w:rPr>
          <w:rFonts w:asciiTheme="minorHAnsi" w:hAnsiTheme="minorHAnsi"/>
        </w:rPr>
        <w:t>, without going to trial.</w:t>
      </w:r>
      <w:r w:rsidR="005F402B" w:rsidRPr="00D920C9">
        <w:rPr>
          <w:rStyle w:val="FootnoteReference"/>
          <w:rFonts w:asciiTheme="minorHAnsi" w:hAnsiTheme="minorHAnsi"/>
        </w:rPr>
        <w:footnoteReference w:id="301"/>
      </w:r>
    </w:p>
    <w:p w14:paraId="726E2306" w14:textId="7ED7E67F" w:rsidR="00B4412C" w:rsidRPr="00D920C9" w:rsidRDefault="00B4412C" w:rsidP="00E86698">
      <w:pPr>
        <w:pStyle w:val="ListParagraph"/>
        <w:numPr>
          <w:ilvl w:val="0"/>
          <w:numId w:val="9"/>
        </w:numPr>
        <w:spacing w:after="240" w:line="240" w:lineRule="auto"/>
        <w:ind w:left="547" w:hanging="547"/>
        <w:contextualSpacing w:val="0"/>
        <w:jc w:val="both"/>
        <w:rPr>
          <w:rFonts w:asciiTheme="minorHAnsi" w:hAnsiTheme="minorHAnsi"/>
        </w:rPr>
      </w:pPr>
      <w:r w:rsidRPr="00D920C9">
        <w:rPr>
          <w:rFonts w:asciiTheme="minorHAnsi" w:hAnsiTheme="minorHAnsi"/>
        </w:rPr>
        <w:t xml:space="preserve">Information received by the Commission indicates significant racial disparities in sentencing decisions in the </w:t>
      </w:r>
      <w:r w:rsidR="0096252D" w:rsidRPr="00D920C9">
        <w:rPr>
          <w:rFonts w:asciiTheme="minorHAnsi" w:hAnsiTheme="minorHAnsi"/>
        </w:rPr>
        <w:t>U.S</w:t>
      </w:r>
      <w:r w:rsidRPr="00D920C9">
        <w:rPr>
          <w:rFonts w:asciiTheme="minorHAnsi" w:hAnsiTheme="minorHAnsi"/>
        </w:rPr>
        <w:t>.</w:t>
      </w:r>
      <w:r w:rsidRPr="00D920C9">
        <w:rPr>
          <w:rStyle w:val="FootnoteReference"/>
          <w:rFonts w:asciiTheme="minorHAnsi" w:hAnsiTheme="minorHAnsi"/>
        </w:rPr>
        <w:footnoteReference w:id="302"/>
      </w:r>
      <w:r w:rsidR="00D0491C" w:rsidRPr="00D920C9">
        <w:rPr>
          <w:rFonts w:asciiTheme="minorHAnsi" w:hAnsiTheme="minorHAnsi"/>
        </w:rPr>
        <w:t xml:space="preserve"> Sentences imposed on b</w:t>
      </w:r>
      <w:r w:rsidRPr="00D920C9">
        <w:rPr>
          <w:rFonts w:asciiTheme="minorHAnsi" w:hAnsiTheme="minorHAnsi"/>
        </w:rPr>
        <w:t xml:space="preserve">lack males in the federal </w:t>
      </w:r>
      <w:r w:rsidR="00D0491C" w:rsidRPr="00D920C9">
        <w:rPr>
          <w:rFonts w:asciiTheme="minorHAnsi" w:hAnsiTheme="minorHAnsi"/>
        </w:rPr>
        <w:t xml:space="preserve">criminal </w:t>
      </w:r>
      <w:r w:rsidRPr="00D920C9">
        <w:rPr>
          <w:rFonts w:asciiTheme="minorHAnsi" w:hAnsiTheme="minorHAnsi"/>
        </w:rPr>
        <w:t xml:space="preserve">system are nearly 20 percent longer </w:t>
      </w:r>
      <w:r w:rsidRPr="00D920C9">
        <w:rPr>
          <w:rFonts w:asciiTheme="minorHAnsi" w:hAnsiTheme="minorHAnsi"/>
        </w:rPr>
        <w:lastRenderedPageBreak/>
        <w:t>than those imposed on white males convicted of similar crimes.</w:t>
      </w:r>
      <w:r w:rsidRPr="00D920C9">
        <w:rPr>
          <w:rStyle w:val="FootnoteReference"/>
          <w:rFonts w:asciiTheme="minorHAnsi" w:hAnsiTheme="minorHAnsi"/>
        </w:rPr>
        <w:footnoteReference w:id="303"/>
      </w:r>
      <w:r w:rsidRPr="00D920C9">
        <w:rPr>
          <w:rFonts w:asciiTheme="minorHAnsi" w:hAnsiTheme="minorHAnsi"/>
        </w:rPr>
        <w:t xml:space="preserve"> Black and </w:t>
      </w:r>
      <w:r w:rsidR="0030356C" w:rsidRPr="00D920C9">
        <w:rPr>
          <w:rFonts w:asciiTheme="minorHAnsi" w:hAnsiTheme="minorHAnsi"/>
        </w:rPr>
        <w:t>Hispanic</w:t>
      </w:r>
      <w:r w:rsidRPr="00D920C9">
        <w:rPr>
          <w:rFonts w:asciiTheme="minorHAnsi" w:hAnsiTheme="minorHAnsi"/>
        </w:rPr>
        <w:t xml:space="preserve"> </w:t>
      </w:r>
      <w:r w:rsidR="00DF4BDC" w:rsidRPr="00D920C9">
        <w:rPr>
          <w:rFonts w:asciiTheme="minorHAnsi" w:hAnsiTheme="minorHAnsi"/>
        </w:rPr>
        <w:t>defendants are</w:t>
      </w:r>
      <w:r w:rsidRPr="00D920C9">
        <w:rPr>
          <w:rFonts w:asciiTheme="minorHAnsi" w:hAnsiTheme="minorHAnsi"/>
        </w:rPr>
        <w:t xml:space="preserve"> significantly </w:t>
      </w:r>
      <w:r w:rsidR="00DF4BDC" w:rsidRPr="00D920C9">
        <w:rPr>
          <w:rFonts w:asciiTheme="minorHAnsi" w:hAnsiTheme="minorHAnsi"/>
        </w:rPr>
        <w:t xml:space="preserve">more likely </w:t>
      </w:r>
      <w:r w:rsidR="00F56BE6" w:rsidRPr="00D920C9">
        <w:rPr>
          <w:rFonts w:asciiTheme="minorHAnsi" w:hAnsiTheme="minorHAnsi"/>
        </w:rPr>
        <w:t xml:space="preserve">to </w:t>
      </w:r>
      <w:r w:rsidR="009E4764" w:rsidRPr="00D920C9">
        <w:rPr>
          <w:rFonts w:asciiTheme="minorHAnsi" w:hAnsiTheme="minorHAnsi"/>
        </w:rPr>
        <w:t>be</w:t>
      </w:r>
      <w:r w:rsidR="00DF4BDC" w:rsidRPr="00D920C9">
        <w:rPr>
          <w:rFonts w:asciiTheme="minorHAnsi" w:hAnsiTheme="minorHAnsi"/>
        </w:rPr>
        <w:t xml:space="preserve"> incarcerat</w:t>
      </w:r>
      <w:r w:rsidR="009E4764" w:rsidRPr="00D920C9">
        <w:rPr>
          <w:rFonts w:asciiTheme="minorHAnsi" w:hAnsiTheme="minorHAnsi"/>
        </w:rPr>
        <w:t>ed</w:t>
      </w:r>
      <w:r w:rsidR="00DF4BDC" w:rsidRPr="00D920C9">
        <w:rPr>
          <w:rFonts w:asciiTheme="minorHAnsi" w:hAnsiTheme="minorHAnsi"/>
        </w:rPr>
        <w:t xml:space="preserve"> than comparable </w:t>
      </w:r>
      <w:r w:rsidRPr="00D920C9">
        <w:rPr>
          <w:rFonts w:asciiTheme="minorHAnsi" w:hAnsiTheme="minorHAnsi"/>
        </w:rPr>
        <w:t xml:space="preserve">white </w:t>
      </w:r>
      <w:r w:rsidR="00DF4BDC" w:rsidRPr="00D920C9">
        <w:rPr>
          <w:rFonts w:asciiTheme="minorHAnsi" w:hAnsiTheme="minorHAnsi"/>
        </w:rPr>
        <w:t>defendants</w:t>
      </w:r>
      <w:r w:rsidR="002E13A2" w:rsidRPr="00D920C9">
        <w:rPr>
          <w:rFonts w:asciiTheme="minorHAnsi" w:hAnsiTheme="minorHAnsi"/>
        </w:rPr>
        <w:t>,</w:t>
      </w:r>
      <w:r w:rsidRPr="00D920C9">
        <w:rPr>
          <w:rFonts w:asciiTheme="minorHAnsi" w:hAnsiTheme="minorHAnsi"/>
        </w:rPr>
        <w:t xml:space="preserve"> and receive longer sentences than their white counterparts in some jurisdictions.</w:t>
      </w:r>
      <w:r w:rsidRPr="00D920C9">
        <w:rPr>
          <w:rStyle w:val="FootnoteReference"/>
          <w:rFonts w:asciiTheme="minorHAnsi" w:hAnsiTheme="minorHAnsi"/>
        </w:rPr>
        <w:footnoteReference w:id="304"/>
      </w:r>
      <w:r w:rsidRPr="00D920C9">
        <w:rPr>
          <w:rFonts w:asciiTheme="minorHAnsi" w:hAnsiTheme="minorHAnsi"/>
        </w:rPr>
        <w:t xml:space="preserve"> </w:t>
      </w:r>
      <w:r w:rsidR="004936E2" w:rsidRPr="00D920C9">
        <w:rPr>
          <w:rFonts w:asciiTheme="minorHAnsi" w:hAnsiTheme="minorHAnsi"/>
        </w:rPr>
        <w:t>O</w:t>
      </w:r>
      <w:r w:rsidR="002E13A2" w:rsidRPr="00D920C9">
        <w:rPr>
          <w:rFonts w:asciiTheme="minorHAnsi" w:eastAsiaTheme="minorEastAsia" w:hAnsiTheme="minorHAnsi" w:cs="Calibri"/>
          <w:lang w:eastAsia="es-ES"/>
        </w:rPr>
        <w:t xml:space="preserve">ne recent study found that nearly half the counties in Florida sentence </w:t>
      </w:r>
      <w:r w:rsidR="00D0491C" w:rsidRPr="00D920C9">
        <w:rPr>
          <w:rFonts w:asciiTheme="minorHAnsi" w:eastAsiaTheme="minorEastAsia" w:hAnsiTheme="minorHAnsi" w:cs="Calibri"/>
          <w:lang w:eastAsia="es-ES"/>
        </w:rPr>
        <w:t>B</w:t>
      </w:r>
      <w:r w:rsidR="002E13A2" w:rsidRPr="00D920C9">
        <w:rPr>
          <w:rFonts w:asciiTheme="minorHAnsi" w:eastAsiaTheme="minorEastAsia" w:hAnsiTheme="minorHAnsi" w:cs="Calibri"/>
          <w:lang w:eastAsia="es-ES"/>
        </w:rPr>
        <w:t xml:space="preserve">lacks convicted of felony drug possession to more than </w:t>
      </w:r>
      <w:r w:rsidR="009E4764" w:rsidRPr="00D920C9">
        <w:rPr>
          <w:rFonts w:asciiTheme="minorHAnsi" w:eastAsiaTheme="minorEastAsia" w:hAnsiTheme="minorHAnsi" w:cs="Calibri"/>
          <w:lang w:eastAsia="es-ES"/>
        </w:rPr>
        <w:t>twice</w:t>
      </w:r>
      <w:r w:rsidR="002E13A2" w:rsidRPr="00D920C9">
        <w:rPr>
          <w:rFonts w:asciiTheme="minorHAnsi" w:eastAsiaTheme="minorEastAsia" w:hAnsiTheme="minorHAnsi" w:cs="Calibri"/>
          <w:lang w:eastAsia="es-ES"/>
        </w:rPr>
        <w:t xml:space="preserve"> the time of </w:t>
      </w:r>
      <w:r w:rsidR="00D0491C" w:rsidRPr="00D920C9">
        <w:rPr>
          <w:rFonts w:asciiTheme="minorHAnsi" w:eastAsiaTheme="minorEastAsia" w:hAnsiTheme="minorHAnsi" w:cs="Calibri"/>
          <w:lang w:eastAsia="es-ES"/>
        </w:rPr>
        <w:t>W</w:t>
      </w:r>
      <w:r w:rsidR="002E13A2" w:rsidRPr="00D920C9">
        <w:rPr>
          <w:rFonts w:asciiTheme="minorHAnsi" w:eastAsiaTheme="minorEastAsia" w:hAnsiTheme="minorHAnsi" w:cs="Calibri"/>
          <w:lang w:eastAsia="es-ES"/>
        </w:rPr>
        <w:t xml:space="preserve">hites, even when their backgrounds (tallied via a “points” system) are the same. </w:t>
      </w:r>
      <w:r w:rsidR="002E13A2" w:rsidRPr="00D920C9">
        <w:rPr>
          <w:rFonts w:asciiTheme="minorHAnsi" w:hAnsiTheme="minorHAnsi"/>
        </w:rPr>
        <w:t xml:space="preserve">Across Florida, when a white and black defendant score the same points for the same offense, judges give the black defendant a longer prison </w:t>
      </w:r>
      <w:r w:rsidR="00DF4BDC" w:rsidRPr="00D920C9">
        <w:rPr>
          <w:rFonts w:asciiTheme="minorHAnsi" w:hAnsiTheme="minorHAnsi"/>
        </w:rPr>
        <w:t>sentence</w:t>
      </w:r>
      <w:r w:rsidR="002E13A2" w:rsidRPr="00D920C9">
        <w:rPr>
          <w:rFonts w:asciiTheme="minorHAnsi" w:hAnsiTheme="minorHAnsi"/>
        </w:rPr>
        <w:t xml:space="preserve"> in 60 percent of felony cases.</w:t>
      </w:r>
      <w:r w:rsidR="002E13A2" w:rsidRPr="00D920C9">
        <w:rPr>
          <w:rStyle w:val="FootnoteReference"/>
          <w:rFonts w:asciiTheme="minorHAnsi" w:eastAsiaTheme="minorEastAsia" w:hAnsiTheme="minorHAnsi" w:cs="Calibri"/>
          <w:lang w:eastAsia="es-ES"/>
        </w:rPr>
        <w:footnoteReference w:id="305"/>
      </w:r>
      <w:r w:rsidR="002E13A2" w:rsidRPr="00D920C9">
        <w:rPr>
          <w:rFonts w:asciiTheme="minorHAnsi" w:hAnsiTheme="minorHAnsi"/>
        </w:rPr>
        <w:t xml:space="preserve"> </w:t>
      </w:r>
      <w:r w:rsidR="004936E2" w:rsidRPr="00D920C9">
        <w:rPr>
          <w:rFonts w:asciiTheme="minorHAnsi" w:hAnsiTheme="minorHAnsi"/>
        </w:rPr>
        <w:t>T</w:t>
      </w:r>
      <w:r w:rsidR="00DF4BDC" w:rsidRPr="00D920C9">
        <w:rPr>
          <w:rFonts w:asciiTheme="minorHAnsi" w:hAnsiTheme="minorHAnsi"/>
        </w:rPr>
        <w:t xml:space="preserve">hroughout the federal system, </w:t>
      </w:r>
      <w:r w:rsidR="002E13A2" w:rsidRPr="00D920C9">
        <w:rPr>
          <w:rFonts w:asciiTheme="minorHAnsi" w:hAnsiTheme="minorHAnsi"/>
        </w:rPr>
        <w:t>b</w:t>
      </w:r>
      <w:r w:rsidRPr="00D920C9">
        <w:rPr>
          <w:rFonts w:asciiTheme="minorHAnsi" w:hAnsiTheme="minorHAnsi"/>
        </w:rPr>
        <w:t>lack male federal defendants receive longer sentences than white</w:t>
      </w:r>
      <w:r w:rsidR="00D0491C" w:rsidRPr="00D920C9">
        <w:rPr>
          <w:rFonts w:asciiTheme="minorHAnsi" w:hAnsiTheme="minorHAnsi"/>
        </w:rPr>
        <w:t xml:space="preserve"> defendants</w:t>
      </w:r>
      <w:r w:rsidRPr="00D920C9">
        <w:rPr>
          <w:rFonts w:asciiTheme="minorHAnsi" w:hAnsiTheme="minorHAnsi"/>
        </w:rPr>
        <w:t xml:space="preserve"> arrested for the same offenses and with comparable criminal histories.</w:t>
      </w:r>
      <w:r w:rsidRPr="00D920C9">
        <w:rPr>
          <w:rStyle w:val="FootnoteReference"/>
          <w:rFonts w:asciiTheme="minorHAnsi" w:hAnsiTheme="minorHAnsi"/>
        </w:rPr>
        <w:footnoteReference w:id="306"/>
      </w:r>
      <w:r w:rsidRPr="00D920C9">
        <w:rPr>
          <w:rFonts w:asciiTheme="minorHAnsi" w:hAnsiTheme="minorHAnsi"/>
        </w:rPr>
        <w:t xml:space="preserve"> </w:t>
      </w:r>
      <w:r w:rsidR="00DF4BDC" w:rsidRPr="00D920C9">
        <w:rPr>
          <w:rFonts w:asciiTheme="minorHAnsi" w:hAnsiTheme="minorHAnsi"/>
        </w:rPr>
        <w:t>R</w:t>
      </w:r>
      <w:r w:rsidRPr="00D920C9">
        <w:rPr>
          <w:rFonts w:asciiTheme="minorHAnsi" w:hAnsiTheme="minorHAnsi"/>
        </w:rPr>
        <w:t xml:space="preserve">ace </w:t>
      </w:r>
      <w:r w:rsidR="00D0491C" w:rsidRPr="00D920C9">
        <w:rPr>
          <w:rFonts w:asciiTheme="minorHAnsi" w:hAnsiTheme="minorHAnsi"/>
        </w:rPr>
        <w:t xml:space="preserve">further </w:t>
      </w:r>
      <w:r w:rsidRPr="00D920C9">
        <w:rPr>
          <w:rFonts w:asciiTheme="minorHAnsi" w:hAnsiTheme="minorHAnsi"/>
        </w:rPr>
        <w:t>plays a significant role in the determination of which homicide cases result in death sentences.</w:t>
      </w:r>
      <w:r w:rsidRPr="00D920C9">
        <w:rPr>
          <w:rStyle w:val="FootnoteReference"/>
          <w:rFonts w:asciiTheme="minorHAnsi" w:hAnsiTheme="minorHAnsi"/>
        </w:rPr>
        <w:footnoteReference w:id="307"/>
      </w:r>
    </w:p>
    <w:p w14:paraId="064295E5" w14:textId="77777777" w:rsidR="007B7163" w:rsidRPr="00D920C9" w:rsidRDefault="007B7163" w:rsidP="00E86698">
      <w:pPr>
        <w:pStyle w:val="ListParagraph"/>
        <w:numPr>
          <w:ilvl w:val="0"/>
          <w:numId w:val="9"/>
        </w:numPr>
        <w:spacing w:after="240" w:line="240" w:lineRule="auto"/>
        <w:ind w:left="547" w:hanging="547"/>
        <w:contextualSpacing w:val="0"/>
        <w:jc w:val="both"/>
        <w:rPr>
          <w:rFonts w:asciiTheme="minorHAnsi" w:eastAsia="Times New Roman" w:hAnsiTheme="minorHAnsi"/>
          <w:lang w:eastAsia="es-ES"/>
        </w:rPr>
      </w:pPr>
      <w:bookmarkStart w:id="115" w:name="_Ref507586178"/>
      <w:r w:rsidRPr="00D920C9">
        <w:rPr>
          <w:rFonts w:asciiTheme="minorHAnsi" w:hAnsiTheme="minorHAnsi"/>
        </w:rPr>
        <w:t>T</w:t>
      </w:r>
      <w:r w:rsidR="00650905" w:rsidRPr="00D920C9">
        <w:rPr>
          <w:rFonts w:asciiTheme="minorHAnsi" w:hAnsiTheme="minorHAnsi"/>
        </w:rPr>
        <w:t xml:space="preserve">he Commission </w:t>
      </w:r>
      <w:r w:rsidRPr="00D920C9">
        <w:rPr>
          <w:rFonts w:asciiTheme="minorHAnsi" w:hAnsiTheme="minorHAnsi"/>
        </w:rPr>
        <w:t>recalls</w:t>
      </w:r>
      <w:r w:rsidR="00650905" w:rsidRPr="00D920C9">
        <w:rPr>
          <w:rFonts w:asciiTheme="minorHAnsi" w:hAnsiTheme="minorHAnsi"/>
        </w:rPr>
        <w:t xml:space="preserve"> that the United States has the highest incarceration rate in the world, at about 719 prisoners </w:t>
      </w:r>
      <w:r w:rsidR="004936E2" w:rsidRPr="00D920C9">
        <w:rPr>
          <w:rFonts w:asciiTheme="minorHAnsi" w:hAnsiTheme="minorHAnsi"/>
        </w:rPr>
        <w:t>per</w:t>
      </w:r>
      <w:r w:rsidR="00650905" w:rsidRPr="00D920C9">
        <w:rPr>
          <w:rFonts w:asciiTheme="minorHAnsi" w:hAnsiTheme="minorHAnsi"/>
        </w:rPr>
        <w:t xml:space="preserve"> 100,000 residents</w:t>
      </w:r>
      <w:r w:rsidR="004936E2" w:rsidRPr="00D920C9">
        <w:rPr>
          <w:rFonts w:asciiTheme="minorHAnsi" w:hAnsiTheme="minorHAnsi"/>
        </w:rPr>
        <w:t>,</w:t>
      </w:r>
      <w:r w:rsidR="00650905" w:rsidRPr="00D920C9">
        <w:rPr>
          <w:rFonts w:asciiTheme="minorHAnsi" w:hAnsiTheme="minorHAnsi"/>
          <w:vertAlign w:val="superscript"/>
        </w:rPr>
        <w:footnoteReference w:id="308"/>
      </w:r>
      <w:r w:rsidR="00650905" w:rsidRPr="00D920C9">
        <w:rPr>
          <w:rFonts w:asciiTheme="minorHAnsi" w:hAnsiTheme="minorHAnsi"/>
        </w:rPr>
        <w:t xml:space="preserve"> </w:t>
      </w:r>
      <w:r w:rsidRPr="00D920C9">
        <w:rPr>
          <w:rFonts w:asciiTheme="minorHAnsi" w:eastAsia="Times New Roman" w:hAnsiTheme="minorHAnsi"/>
          <w:lang w:eastAsia="es-ES"/>
        </w:rPr>
        <w:t>more than five times higher than most of the countries in the world.</w:t>
      </w:r>
      <w:r w:rsidRPr="00D920C9">
        <w:rPr>
          <w:rStyle w:val="FootnoteReference"/>
          <w:rFonts w:asciiTheme="minorHAnsi" w:eastAsia="Times New Roman" w:hAnsiTheme="minorHAnsi"/>
          <w:lang w:eastAsia="es-ES"/>
        </w:rPr>
        <w:footnoteReference w:id="309"/>
      </w:r>
      <w:r w:rsidRPr="00D920C9">
        <w:rPr>
          <w:rFonts w:asciiTheme="minorHAnsi" w:eastAsia="Times New Roman" w:hAnsiTheme="minorHAnsi"/>
          <w:lang w:eastAsia="es-ES"/>
        </w:rPr>
        <w:t xml:space="preserve"> </w:t>
      </w:r>
      <w:r w:rsidRPr="00D920C9">
        <w:rPr>
          <w:rFonts w:asciiTheme="minorHAnsi" w:hAnsiTheme="minorHAnsi"/>
          <w:bCs/>
        </w:rPr>
        <w:t>In addition to the</w:t>
      </w:r>
      <w:r w:rsidRPr="00D920C9">
        <w:rPr>
          <w:rFonts w:asciiTheme="minorHAnsi" w:hAnsiTheme="minorHAnsi"/>
        </w:rPr>
        <w:t xml:space="preserve"> 1.3 million people incarcerated in state prisons, about 1 million more are deprived of liberty at any given time in federal prisons, local jails, immigration detention, and other detention centers.</w:t>
      </w:r>
      <w:r w:rsidRPr="00D920C9">
        <w:rPr>
          <w:rFonts w:asciiTheme="minorHAnsi" w:hAnsiTheme="minorHAnsi"/>
          <w:vertAlign w:val="superscript"/>
        </w:rPr>
        <w:footnoteReference w:id="310"/>
      </w:r>
      <w:r w:rsidRPr="00D920C9">
        <w:rPr>
          <w:rFonts w:asciiTheme="minorHAnsi" w:hAnsiTheme="minorHAnsi"/>
        </w:rPr>
        <w:t xml:space="preserve"> The Commission notes, however, that the overall incarceration rate has been falling since 2007—from about 1 in 100 adults to 1 in 115—largely due to state-level reform initiatives.</w:t>
      </w:r>
      <w:r w:rsidRPr="00D920C9">
        <w:rPr>
          <w:rFonts w:asciiTheme="minorHAnsi" w:hAnsiTheme="minorHAnsi"/>
          <w:vertAlign w:val="superscript"/>
        </w:rPr>
        <w:footnoteReference w:id="311"/>
      </w:r>
      <w:r w:rsidRPr="00D920C9">
        <w:rPr>
          <w:rFonts w:asciiTheme="minorHAnsi" w:hAnsiTheme="minorHAnsi"/>
        </w:rPr>
        <w:t xml:space="preserve"> </w:t>
      </w:r>
      <w:r w:rsidRPr="00D920C9">
        <w:rPr>
          <w:rFonts w:asciiTheme="minorHAnsi" w:eastAsia="Times New Roman" w:hAnsiTheme="minorHAnsi"/>
          <w:lang w:eastAsia="es-ES"/>
        </w:rPr>
        <w:t>W</w:t>
      </w:r>
      <w:r w:rsidR="00650905" w:rsidRPr="00D920C9">
        <w:rPr>
          <w:rFonts w:asciiTheme="minorHAnsi" w:hAnsiTheme="minorHAnsi"/>
        </w:rPr>
        <w:t>ithin the incarcerated population, Blacks, Hispanics, and Native Americans are grossly overrepresented relative to their percentage of the total population.</w:t>
      </w:r>
      <w:r w:rsidR="00650905" w:rsidRPr="00D920C9">
        <w:rPr>
          <w:rFonts w:asciiTheme="minorHAnsi" w:hAnsiTheme="minorHAnsi"/>
          <w:vertAlign w:val="superscript"/>
        </w:rPr>
        <w:footnoteReference w:id="312"/>
      </w:r>
      <w:r w:rsidR="00650905" w:rsidRPr="00D920C9">
        <w:rPr>
          <w:rFonts w:asciiTheme="minorHAnsi" w:hAnsiTheme="minorHAnsi"/>
        </w:rPr>
        <w:t xml:space="preserve"> </w:t>
      </w:r>
      <w:r w:rsidR="004936E2" w:rsidRPr="00D920C9">
        <w:rPr>
          <w:rFonts w:asciiTheme="minorHAnsi" w:hAnsiTheme="minorHAnsi"/>
        </w:rPr>
        <w:t>W</w:t>
      </w:r>
      <w:r w:rsidR="00650905" w:rsidRPr="00D920C9">
        <w:rPr>
          <w:rFonts w:asciiTheme="minorHAnsi" w:hAnsiTheme="minorHAnsi"/>
        </w:rPr>
        <w:t>hile African</w:t>
      </w:r>
      <w:r w:rsidR="0096252D" w:rsidRPr="00D920C9">
        <w:rPr>
          <w:rFonts w:asciiTheme="minorHAnsi" w:hAnsiTheme="minorHAnsi"/>
        </w:rPr>
        <w:t xml:space="preserve"> </w:t>
      </w:r>
      <w:r w:rsidR="00650905" w:rsidRPr="00D920C9">
        <w:rPr>
          <w:rFonts w:asciiTheme="minorHAnsi" w:hAnsiTheme="minorHAnsi"/>
        </w:rPr>
        <w:t>Americans comprise 13 percent of the U</w:t>
      </w:r>
      <w:r w:rsidR="0096252D" w:rsidRPr="00D920C9">
        <w:rPr>
          <w:rFonts w:asciiTheme="minorHAnsi" w:hAnsiTheme="minorHAnsi"/>
        </w:rPr>
        <w:t>.</w:t>
      </w:r>
      <w:r w:rsidR="00650905" w:rsidRPr="00D920C9">
        <w:rPr>
          <w:rFonts w:asciiTheme="minorHAnsi" w:hAnsiTheme="minorHAnsi"/>
        </w:rPr>
        <w:t>S</w:t>
      </w:r>
      <w:r w:rsidR="0096252D" w:rsidRPr="00D920C9">
        <w:rPr>
          <w:rFonts w:asciiTheme="minorHAnsi" w:hAnsiTheme="minorHAnsi"/>
        </w:rPr>
        <w:t>.</w:t>
      </w:r>
      <w:r w:rsidR="00650905" w:rsidRPr="00D920C9">
        <w:rPr>
          <w:rFonts w:asciiTheme="minorHAnsi" w:hAnsiTheme="minorHAnsi"/>
        </w:rPr>
        <w:t xml:space="preserve"> population, they represent 38 percent of </w:t>
      </w:r>
      <w:r w:rsidR="00650905" w:rsidRPr="00D920C9">
        <w:rPr>
          <w:rFonts w:asciiTheme="minorHAnsi" w:hAnsiTheme="minorHAnsi"/>
        </w:rPr>
        <w:lastRenderedPageBreak/>
        <w:t>the incarcerated population.</w:t>
      </w:r>
      <w:r w:rsidR="00650905" w:rsidRPr="00D920C9">
        <w:rPr>
          <w:rFonts w:asciiTheme="minorHAnsi" w:hAnsiTheme="minorHAnsi"/>
          <w:vertAlign w:val="superscript"/>
        </w:rPr>
        <w:footnoteReference w:id="313"/>
      </w:r>
      <w:r w:rsidR="00650905" w:rsidRPr="00D920C9">
        <w:rPr>
          <w:rFonts w:asciiTheme="minorHAnsi" w:hAnsiTheme="minorHAnsi"/>
        </w:rPr>
        <w:t xml:space="preserve"> This grave inequality extends to </w:t>
      </w:r>
      <w:r w:rsidR="00650905" w:rsidRPr="00D920C9">
        <w:rPr>
          <w:rFonts w:asciiTheme="minorHAnsi" w:hAnsiTheme="minorHAnsi"/>
          <w:bCs/>
        </w:rPr>
        <w:t>death row as well: African</w:t>
      </w:r>
      <w:r w:rsidR="0096252D" w:rsidRPr="00D920C9">
        <w:rPr>
          <w:rFonts w:asciiTheme="minorHAnsi" w:hAnsiTheme="minorHAnsi"/>
          <w:bCs/>
        </w:rPr>
        <w:t xml:space="preserve"> </w:t>
      </w:r>
      <w:r w:rsidR="00650905" w:rsidRPr="00D920C9">
        <w:rPr>
          <w:rFonts w:asciiTheme="minorHAnsi" w:hAnsiTheme="minorHAnsi"/>
          <w:bCs/>
        </w:rPr>
        <w:t xml:space="preserve">Americans comprise 41.65 percent of the population on death row and 34.5 percent of the defendants executed in the </w:t>
      </w:r>
      <w:r w:rsidR="0096252D" w:rsidRPr="00D920C9">
        <w:rPr>
          <w:rFonts w:asciiTheme="minorHAnsi" w:hAnsiTheme="minorHAnsi"/>
          <w:bCs/>
        </w:rPr>
        <w:t>U.S.</w:t>
      </w:r>
      <w:r w:rsidR="00650905" w:rsidRPr="00D920C9">
        <w:rPr>
          <w:rFonts w:asciiTheme="minorHAnsi" w:hAnsiTheme="minorHAnsi"/>
          <w:bCs/>
        </w:rPr>
        <w:t xml:space="preserve"> since 1976.</w:t>
      </w:r>
      <w:r w:rsidR="00650905" w:rsidRPr="00D920C9">
        <w:rPr>
          <w:rFonts w:asciiTheme="minorHAnsi" w:hAnsiTheme="minorHAnsi"/>
          <w:bCs/>
          <w:vertAlign w:val="superscript"/>
        </w:rPr>
        <w:footnoteReference w:id="314"/>
      </w:r>
      <w:r w:rsidR="00650905" w:rsidRPr="00D920C9">
        <w:rPr>
          <w:rFonts w:asciiTheme="minorHAnsi" w:hAnsiTheme="minorHAnsi"/>
          <w:bCs/>
        </w:rPr>
        <w:t xml:space="preserve"> </w:t>
      </w:r>
      <w:r w:rsidRPr="00D920C9">
        <w:rPr>
          <w:rFonts w:asciiTheme="minorHAnsi" w:hAnsiTheme="minorHAnsi"/>
          <w:bCs/>
        </w:rPr>
        <w:t>In contrast, W</w:t>
      </w:r>
      <w:r w:rsidRPr="00D920C9">
        <w:rPr>
          <w:rFonts w:asciiTheme="minorHAnsi" w:eastAsia="Times New Roman" w:hAnsiTheme="minorHAnsi"/>
          <w:lang w:eastAsia="es-ES"/>
        </w:rPr>
        <w:t xml:space="preserve">hites make up 64 percent of the national population and just 39 percent of the incarcerated population; Hispanics make up 16 percent of the national population and 19 percent of the incarcerated population. </w:t>
      </w:r>
      <w:r w:rsidR="004936E2" w:rsidRPr="00D920C9">
        <w:rPr>
          <w:rFonts w:asciiTheme="minorHAnsi" w:eastAsia="Times New Roman" w:hAnsiTheme="minorHAnsi"/>
          <w:lang w:eastAsia="es-ES"/>
        </w:rPr>
        <w:t>Thus,</w:t>
      </w:r>
      <w:r w:rsidRPr="00D920C9">
        <w:rPr>
          <w:rFonts w:asciiTheme="minorHAnsi" w:eastAsia="Times New Roman" w:hAnsiTheme="minorHAnsi"/>
          <w:lang w:eastAsia="es-ES"/>
        </w:rPr>
        <w:t xml:space="preserve"> while the overall incarceration rate for Whites is 450 per 100,000, the incarceration rate for Blacks is 2,306 per 100,000.</w:t>
      </w:r>
      <w:r w:rsidRPr="00D920C9">
        <w:rPr>
          <w:rStyle w:val="FootnoteReference"/>
          <w:rFonts w:asciiTheme="minorHAnsi" w:eastAsia="Times New Roman" w:hAnsiTheme="minorHAnsi"/>
          <w:lang w:eastAsia="es-ES"/>
        </w:rPr>
        <w:footnoteReference w:id="315"/>
      </w:r>
      <w:r w:rsidRPr="00D920C9">
        <w:rPr>
          <w:rFonts w:asciiTheme="minorHAnsi" w:eastAsia="Times New Roman" w:hAnsiTheme="minorHAnsi"/>
          <w:lang w:eastAsia="es-ES"/>
        </w:rPr>
        <w:t xml:space="preserve"> In state prisons, African Americans are incarcerated across the country at more than five times the rate of whites, and at least ten times the rate in five states.</w:t>
      </w:r>
      <w:r w:rsidRPr="00D920C9">
        <w:rPr>
          <w:rStyle w:val="FootnoteReference"/>
          <w:rFonts w:asciiTheme="minorHAnsi" w:eastAsia="Times New Roman" w:hAnsiTheme="minorHAnsi"/>
          <w:lang w:eastAsia="es-ES"/>
        </w:rPr>
        <w:footnoteReference w:id="316"/>
      </w:r>
      <w:bookmarkEnd w:id="115"/>
      <w:r w:rsidRPr="00D920C9">
        <w:rPr>
          <w:rFonts w:asciiTheme="minorHAnsi" w:hAnsiTheme="minorHAnsi"/>
        </w:rPr>
        <w:t xml:space="preserve">  </w:t>
      </w:r>
    </w:p>
    <w:p w14:paraId="437D1748" w14:textId="4EC83319" w:rsidR="002E13A2" w:rsidRPr="00D920C9" w:rsidRDefault="002E13A2" w:rsidP="00E86698">
      <w:pPr>
        <w:pStyle w:val="ListParagraph"/>
        <w:numPr>
          <w:ilvl w:val="0"/>
          <w:numId w:val="9"/>
        </w:numPr>
        <w:spacing w:after="240" w:line="240" w:lineRule="auto"/>
        <w:ind w:left="547" w:hanging="547"/>
        <w:contextualSpacing w:val="0"/>
        <w:jc w:val="both"/>
        <w:rPr>
          <w:rFonts w:asciiTheme="minorHAnsi" w:eastAsia="Times New Roman" w:hAnsiTheme="minorHAnsi"/>
          <w:lang w:eastAsia="es-ES"/>
        </w:rPr>
      </w:pPr>
      <w:r w:rsidRPr="00D920C9">
        <w:rPr>
          <w:rFonts w:asciiTheme="minorHAnsi" w:eastAsia="Times New Roman" w:hAnsiTheme="minorHAnsi"/>
          <w:lang w:eastAsia="es-ES"/>
        </w:rPr>
        <w:t xml:space="preserve">The Commission reiterates its concern about the </w:t>
      </w:r>
      <w:r w:rsidR="004936E2" w:rsidRPr="00D920C9">
        <w:rPr>
          <w:rFonts w:asciiTheme="minorHAnsi" w:eastAsia="Times New Roman" w:hAnsiTheme="minorHAnsi"/>
          <w:lang w:eastAsia="es-ES"/>
        </w:rPr>
        <w:t>U.S.’</w:t>
      </w:r>
      <w:r w:rsidR="00B63CDE" w:rsidRPr="00D920C9">
        <w:rPr>
          <w:rFonts w:asciiTheme="minorHAnsi" w:eastAsia="Times New Roman" w:hAnsiTheme="minorHAnsi"/>
          <w:lang w:eastAsia="es-ES"/>
        </w:rPr>
        <w:t xml:space="preserve"> high incarceration rate</w:t>
      </w:r>
      <w:r w:rsidRPr="00D920C9">
        <w:rPr>
          <w:rFonts w:asciiTheme="minorHAnsi" w:eastAsia="Times New Roman" w:hAnsiTheme="minorHAnsi"/>
          <w:lang w:eastAsia="es-ES"/>
        </w:rPr>
        <w:t xml:space="preserve"> for non-violent drug crimes. It calls </w:t>
      </w:r>
      <w:r w:rsidR="00B63CDE" w:rsidRPr="00D920C9">
        <w:rPr>
          <w:rFonts w:asciiTheme="minorHAnsi" w:eastAsia="Times New Roman" w:hAnsiTheme="minorHAnsi"/>
          <w:lang w:eastAsia="es-ES"/>
        </w:rPr>
        <w:t>on</w:t>
      </w:r>
      <w:r w:rsidRPr="00D920C9">
        <w:rPr>
          <w:rFonts w:asciiTheme="minorHAnsi" w:eastAsia="Times New Roman" w:hAnsiTheme="minorHAnsi"/>
          <w:lang w:eastAsia="es-ES"/>
        </w:rPr>
        <w:t xml:space="preserve"> the State to establish a </w:t>
      </w:r>
      <w:r w:rsidR="00B63CDE" w:rsidRPr="00D920C9">
        <w:rPr>
          <w:rFonts w:asciiTheme="minorHAnsi" w:eastAsia="Times New Roman" w:hAnsiTheme="minorHAnsi"/>
          <w:lang w:eastAsia="es-ES"/>
        </w:rPr>
        <w:t xml:space="preserve">comprehensive </w:t>
      </w:r>
      <w:r w:rsidRPr="00D920C9">
        <w:rPr>
          <w:rFonts w:asciiTheme="minorHAnsi" w:eastAsia="Times New Roman" w:hAnsiTheme="minorHAnsi"/>
          <w:lang w:eastAsia="es-ES"/>
        </w:rPr>
        <w:t xml:space="preserve">drug policy with </w:t>
      </w:r>
      <w:r w:rsidR="00B63CDE" w:rsidRPr="00D920C9">
        <w:rPr>
          <w:rFonts w:asciiTheme="minorHAnsi" w:eastAsia="Times New Roman" w:hAnsiTheme="minorHAnsi"/>
          <w:lang w:eastAsia="es-ES"/>
        </w:rPr>
        <w:t xml:space="preserve">an </w:t>
      </w:r>
      <w:r w:rsidRPr="00D920C9">
        <w:rPr>
          <w:rFonts w:asciiTheme="minorHAnsi" w:eastAsia="Times New Roman" w:hAnsiTheme="minorHAnsi"/>
          <w:lang w:eastAsia="es-ES"/>
        </w:rPr>
        <w:t>approach focused on social reinsertion, ensur</w:t>
      </w:r>
      <w:r w:rsidR="00BD08E4" w:rsidRPr="00D920C9">
        <w:rPr>
          <w:rFonts w:asciiTheme="minorHAnsi" w:eastAsia="Times New Roman" w:hAnsiTheme="minorHAnsi"/>
          <w:lang w:eastAsia="es-ES"/>
        </w:rPr>
        <w:t>ing</w:t>
      </w:r>
      <w:r w:rsidRPr="00D920C9">
        <w:rPr>
          <w:rFonts w:asciiTheme="minorHAnsi" w:eastAsia="Times New Roman" w:hAnsiTheme="minorHAnsi"/>
          <w:lang w:eastAsia="es-ES"/>
        </w:rPr>
        <w:t xml:space="preserve"> treatment for persons who have been arrested for drug use or possession</w:t>
      </w:r>
      <w:r w:rsidR="00B63CDE" w:rsidRPr="00D920C9">
        <w:rPr>
          <w:rFonts w:asciiTheme="minorHAnsi" w:eastAsia="Times New Roman" w:hAnsiTheme="minorHAnsi"/>
          <w:lang w:eastAsia="es-ES"/>
        </w:rPr>
        <w:t>,</w:t>
      </w:r>
      <w:r w:rsidRPr="00D920C9">
        <w:rPr>
          <w:rFonts w:asciiTheme="minorHAnsi" w:eastAsia="Times New Roman" w:hAnsiTheme="minorHAnsi"/>
          <w:lang w:eastAsia="es-ES"/>
        </w:rPr>
        <w:t xml:space="preserve"> or who have committed minor offenses </w:t>
      </w:r>
      <w:r w:rsidR="00B63CDE" w:rsidRPr="00D920C9">
        <w:rPr>
          <w:rFonts w:asciiTheme="minorHAnsi" w:eastAsia="Times New Roman" w:hAnsiTheme="minorHAnsi"/>
          <w:lang w:eastAsia="es-ES"/>
        </w:rPr>
        <w:t>related to drug use or dependence,</w:t>
      </w:r>
      <w:r w:rsidRPr="00D920C9">
        <w:rPr>
          <w:rFonts w:asciiTheme="minorHAnsi" w:eastAsia="Times New Roman" w:hAnsiTheme="minorHAnsi"/>
          <w:lang w:eastAsia="es-ES"/>
        </w:rPr>
        <w:t xml:space="preserve"> from a public health approach, rather than </w:t>
      </w:r>
      <w:r w:rsidR="00F56BE6" w:rsidRPr="00D920C9">
        <w:rPr>
          <w:rFonts w:asciiTheme="minorHAnsi" w:eastAsia="Times New Roman" w:hAnsiTheme="minorHAnsi"/>
          <w:lang w:eastAsia="es-ES"/>
        </w:rPr>
        <w:t xml:space="preserve">a </w:t>
      </w:r>
      <w:r w:rsidR="00984B0E" w:rsidRPr="00D920C9">
        <w:rPr>
          <w:rFonts w:asciiTheme="minorHAnsi" w:hAnsiTheme="minorHAnsi"/>
        </w:rPr>
        <w:t>logic</w:t>
      </w:r>
      <w:r w:rsidRPr="00D920C9">
        <w:rPr>
          <w:rFonts w:asciiTheme="minorHAnsi" w:eastAsia="Times New Roman" w:hAnsiTheme="minorHAnsi"/>
          <w:lang w:eastAsia="es-ES"/>
        </w:rPr>
        <w:t xml:space="preserve"> of repression</w:t>
      </w:r>
      <w:r w:rsidR="00F56BE6" w:rsidRPr="00D920C9">
        <w:rPr>
          <w:rFonts w:asciiTheme="minorHAnsi" w:eastAsia="Times New Roman" w:hAnsiTheme="minorHAnsi"/>
          <w:lang w:eastAsia="es-ES"/>
        </w:rPr>
        <w:t>,</w:t>
      </w:r>
      <w:r w:rsidRPr="00D920C9">
        <w:rPr>
          <w:rFonts w:asciiTheme="minorHAnsi" w:eastAsia="Times New Roman" w:hAnsiTheme="minorHAnsi"/>
          <w:lang w:eastAsia="es-ES"/>
        </w:rPr>
        <w:t xml:space="preserve"> or criminalization.</w:t>
      </w:r>
      <w:r w:rsidR="00BD08E4" w:rsidRPr="00D920C9">
        <w:rPr>
          <w:rFonts w:asciiTheme="minorHAnsi" w:eastAsia="Times New Roman" w:hAnsiTheme="minorHAnsi"/>
          <w:lang w:eastAsia="es-ES"/>
        </w:rPr>
        <w:t xml:space="preserve"> T</w:t>
      </w:r>
      <w:r w:rsidRPr="00D920C9">
        <w:rPr>
          <w:rFonts w:asciiTheme="minorHAnsi" w:eastAsia="Times New Roman" w:hAnsiTheme="minorHAnsi"/>
          <w:lang w:eastAsia="es-ES"/>
        </w:rPr>
        <w:t>he State should prevent individuals in cases of drug use or possession for personal use from being subjected to custodial measures or entering the criminal justice system.</w:t>
      </w:r>
      <w:r w:rsidRPr="00D920C9">
        <w:rPr>
          <w:rStyle w:val="FootnoteReference"/>
          <w:rFonts w:asciiTheme="minorHAnsi" w:eastAsia="Times New Roman" w:hAnsiTheme="minorHAnsi"/>
          <w:lang w:eastAsia="es-ES"/>
        </w:rPr>
        <w:footnoteReference w:id="317"/>
      </w:r>
    </w:p>
    <w:p w14:paraId="30F2FBA0" w14:textId="77777777" w:rsidR="00B4412C" w:rsidRPr="00D920C9" w:rsidRDefault="002E13A2" w:rsidP="00E86698">
      <w:pPr>
        <w:pStyle w:val="ListParagraph"/>
        <w:numPr>
          <w:ilvl w:val="0"/>
          <w:numId w:val="9"/>
        </w:numPr>
        <w:spacing w:after="240" w:line="240" w:lineRule="auto"/>
        <w:ind w:left="547" w:hanging="547"/>
        <w:contextualSpacing w:val="0"/>
        <w:jc w:val="both"/>
        <w:rPr>
          <w:rFonts w:asciiTheme="minorHAnsi" w:eastAsia="Times New Roman" w:hAnsiTheme="minorHAnsi"/>
          <w:lang w:eastAsia="es-ES"/>
        </w:rPr>
      </w:pPr>
      <w:r w:rsidRPr="00D920C9">
        <w:rPr>
          <w:rFonts w:asciiTheme="minorHAnsi" w:eastAsia="Times New Roman" w:hAnsiTheme="minorHAnsi"/>
          <w:lang w:eastAsia="es-ES"/>
        </w:rPr>
        <w:t xml:space="preserve">The Commission reiterates its </w:t>
      </w:r>
      <w:r w:rsidR="004936E2" w:rsidRPr="00D920C9">
        <w:rPr>
          <w:rFonts w:asciiTheme="minorHAnsi" w:eastAsia="Times New Roman" w:hAnsiTheme="minorHAnsi"/>
          <w:lang w:eastAsia="es-ES"/>
        </w:rPr>
        <w:t>concern</w:t>
      </w:r>
      <w:r w:rsidR="00192BFD" w:rsidRPr="00D920C9">
        <w:rPr>
          <w:rFonts w:asciiTheme="minorHAnsi" w:eastAsia="Times New Roman" w:hAnsiTheme="minorHAnsi"/>
          <w:lang w:eastAsia="es-ES"/>
        </w:rPr>
        <w:t xml:space="preserve"> regarding</w:t>
      </w:r>
      <w:r w:rsidRPr="00D920C9">
        <w:rPr>
          <w:rFonts w:asciiTheme="minorHAnsi" w:eastAsia="Times New Roman" w:hAnsiTheme="minorHAnsi"/>
          <w:lang w:eastAsia="es-ES"/>
        </w:rPr>
        <w:t xml:space="preserve"> detention conditions in the United States.</w:t>
      </w:r>
      <w:r w:rsidR="007631C3" w:rsidRPr="00D920C9">
        <w:rPr>
          <w:rStyle w:val="FootnoteReference"/>
          <w:rFonts w:asciiTheme="minorHAnsi" w:eastAsia="Times New Roman" w:hAnsiTheme="minorHAnsi"/>
          <w:lang w:eastAsia="es-ES"/>
        </w:rPr>
        <w:footnoteReference w:id="318"/>
      </w:r>
      <w:r w:rsidRPr="00D920C9">
        <w:rPr>
          <w:rFonts w:asciiTheme="minorHAnsi" w:eastAsia="Times New Roman" w:hAnsiTheme="minorHAnsi"/>
          <w:lang w:eastAsia="es-ES"/>
        </w:rPr>
        <w:t xml:space="preserve"> </w:t>
      </w:r>
      <w:r w:rsidR="00305744" w:rsidRPr="00D920C9">
        <w:rPr>
          <w:rFonts w:asciiTheme="minorHAnsi" w:eastAsia="Times New Roman" w:hAnsiTheme="minorHAnsi"/>
          <w:lang w:eastAsia="es-ES"/>
        </w:rPr>
        <w:t>D</w:t>
      </w:r>
      <w:r w:rsidR="00B4412C" w:rsidRPr="00D920C9">
        <w:rPr>
          <w:rFonts w:asciiTheme="minorHAnsi" w:eastAsia="Times New Roman" w:hAnsiTheme="minorHAnsi"/>
          <w:lang w:eastAsia="es-ES"/>
        </w:rPr>
        <w:t xml:space="preserve">uring its visit to New Orleans, the </w:t>
      </w:r>
      <w:r w:rsidR="00305744" w:rsidRPr="00D920C9">
        <w:rPr>
          <w:rFonts w:asciiTheme="minorHAnsi" w:eastAsia="Times New Roman" w:hAnsiTheme="minorHAnsi"/>
          <w:lang w:eastAsia="es-ES"/>
        </w:rPr>
        <w:t>delegation</w:t>
      </w:r>
      <w:r w:rsidR="00B4412C" w:rsidRPr="00D920C9">
        <w:rPr>
          <w:rFonts w:asciiTheme="minorHAnsi" w:eastAsia="Times New Roman" w:hAnsiTheme="minorHAnsi"/>
          <w:lang w:eastAsia="es-ES"/>
        </w:rPr>
        <w:t xml:space="preserve"> received testimonies from mothers of </w:t>
      </w:r>
      <w:r w:rsidR="00B63CDE" w:rsidRPr="00D920C9">
        <w:rPr>
          <w:rFonts w:asciiTheme="minorHAnsi" w:eastAsia="Times New Roman" w:hAnsiTheme="minorHAnsi"/>
          <w:lang w:eastAsia="es-ES"/>
        </w:rPr>
        <w:t>black men</w:t>
      </w:r>
      <w:r w:rsidR="00B4412C" w:rsidRPr="00D920C9">
        <w:rPr>
          <w:rFonts w:asciiTheme="minorHAnsi" w:eastAsia="Times New Roman" w:hAnsiTheme="minorHAnsi"/>
          <w:lang w:eastAsia="es-ES"/>
        </w:rPr>
        <w:t xml:space="preserve"> incarcerated in dire conditions, including </w:t>
      </w:r>
      <w:r w:rsidRPr="00D920C9">
        <w:rPr>
          <w:rFonts w:asciiTheme="minorHAnsi" w:eastAsia="Times New Roman" w:hAnsiTheme="minorHAnsi"/>
          <w:lang w:eastAsia="es-ES"/>
        </w:rPr>
        <w:t xml:space="preserve">facing </w:t>
      </w:r>
      <w:r w:rsidR="00B4412C" w:rsidRPr="00D920C9">
        <w:rPr>
          <w:rFonts w:asciiTheme="minorHAnsi" w:eastAsia="Times New Roman" w:hAnsiTheme="minorHAnsi"/>
          <w:lang w:eastAsia="es-ES"/>
        </w:rPr>
        <w:t xml:space="preserve">barriers to </w:t>
      </w:r>
      <w:r w:rsidRPr="00D920C9">
        <w:rPr>
          <w:rFonts w:asciiTheme="minorHAnsi" w:eastAsia="Times New Roman" w:hAnsiTheme="minorHAnsi"/>
          <w:lang w:eastAsia="es-ES"/>
        </w:rPr>
        <w:t>access needed medical services</w:t>
      </w:r>
      <w:r w:rsidR="00B4412C" w:rsidRPr="00D920C9">
        <w:rPr>
          <w:rFonts w:asciiTheme="minorHAnsi" w:eastAsia="Times New Roman" w:hAnsiTheme="minorHAnsi"/>
          <w:lang w:eastAsia="es-ES"/>
        </w:rPr>
        <w:t>.</w:t>
      </w:r>
      <w:r w:rsidR="00B4412C" w:rsidRPr="00D920C9">
        <w:rPr>
          <w:rStyle w:val="FootnoteReference"/>
          <w:rFonts w:asciiTheme="minorHAnsi" w:eastAsia="Times New Roman" w:hAnsiTheme="minorHAnsi"/>
          <w:lang w:eastAsia="es-ES"/>
        </w:rPr>
        <w:footnoteReference w:id="319"/>
      </w:r>
      <w:r w:rsidR="00BB4F84" w:rsidRPr="00D920C9">
        <w:rPr>
          <w:rFonts w:asciiTheme="minorHAnsi" w:eastAsia="Times New Roman" w:hAnsiTheme="minorHAnsi"/>
          <w:lang w:eastAsia="es-ES"/>
        </w:rPr>
        <w:t xml:space="preserve"> </w:t>
      </w:r>
      <w:r w:rsidR="00967B3A" w:rsidRPr="00D920C9">
        <w:rPr>
          <w:rFonts w:asciiTheme="minorHAnsi" w:eastAsia="Times New Roman" w:hAnsiTheme="minorHAnsi"/>
          <w:lang w:eastAsia="es-ES"/>
        </w:rPr>
        <w:t xml:space="preserve">Other human rights </w:t>
      </w:r>
      <w:r w:rsidR="00305744" w:rsidRPr="00D920C9">
        <w:rPr>
          <w:rFonts w:asciiTheme="minorHAnsi" w:eastAsia="Times New Roman" w:hAnsiTheme="minorHAnsi"/>
          <w:lang w:eastAsia="es-ES"/>
        </w:rPr>
        <w:t>bodies</w:t>
      </w:r>
      <w:r w:rsidR="00967B3A" w:rsidRPr="00D920C9">
        <w:rPr>
          <w:rFonts w:asciiTheme="minorHAnsi" w:eastAsia="Times New Roman" w:hAnsiTheme="minorHAnsi"/>
          <w:lang w:eastAsia="es-ES"/>
        </w:rPr>
        <w:t xml:space="preserve"> have indicated serious barriers to accessing medical </w:t>
      </w:r>
      <w:r w:rsidR="00305744" w:rsidRPr="00D920C9">
        <w:rPr>
          <w:rFonts w:asciiTheme="minorHAnsi" w:eastAsia="Times New Roman" w:hAnsiTheme="minorHAnsi"/>
          <w:lang w:eastAsia="es-ES"/>
        </w:rPr>
        <w:t>services</w:t>
      </w:r>
      <w:r w:rsidR="00967B3A" w:rsidRPr="00D920C9">
        <w:rPr>
          <w:rFonts w:asciiTheme="minorHAnsi" w:eastAsia="Times New Roman" w:hAnsiTheme="minorHAnsi"/>
          <w:lang w:eastAsia="es-ES"/>
        </w:rPr>
        <w:t xml:space="preserve">, including mental health treatment, in </w:t>
      </w:r>
      <w:r w:rsidR="00967B3A" w:rsidRPr="00D920C9">
        <w:rPr>
          <w:rFonts w:asciiTheme="minorHAnsi" w:hAnsiTheme="minorHAnsi"/>
        </w:rPr>
        <w:t>detention</w:t>
      </w:r>
      <w:r w:rsidR="00967B3A" w:rsidRPr="00D920C9">
        <w:rPr>
          <w:rFonts w:asciiTheme="minorHAnsi" w:eastAsia="Times New Roman" w:hAnsiTheme="minorHAnsi"/>
          <w:lang w:eastAsia="es-ES"/>
        </w:rPr>
        <w:t>.</w:t>
      </w:r>
      <w:r w:rsidR="00967B3A" w:rsidRPr="00D920C9">
        <w:rPr>
          <w:rStyle w:val="FootnoteReference"/>
          <w:rFonts w:asciiTheme="minorHAnsi" w:eastAsia="Times New Roman" w:hAnsiTheme="minorHAnsi"/>
          <w:lang w:eastAsia="es-ES"/>
        </w:rPr>
        <w:footnoteReference w:id="320"/>
      </w:r>
      <w:r w:rsidR="00967B3A" w:rsidRPr="00D920C9">
        <w:rPr>
          <w:rFonts w:asciiTheme="minorHAnsi" w:eastAsia="Times New Roman" w:hAnsiTheme="minorHAnsi"/>
          <w:lang w:eastAsia="es-ES"/>
        </w:rPr>
        <w:t xml:space="preserve"> </w:t>
      </w:r>
      <w:r w:rsidR="00BB4F84" w:rsidRPr="00D920C9">
        <w:rPr>
          <w:rFonts w:asciiTheme="minorHAnsi" w:eastAsia="Times New Roman" w:hAnsiTheme="minorHAnsi"/>
          <w:lang w:eastAsia="es-ES"/>
        </w:rPr>
        <w:t>Likewise, available information indicates that African Americans are disproportionately subjected to solitary confinement</w:t>
      </w:r>
      <w:r w:rsidR="00967B3A" w:rsidRPr="00D920C9">
        <w:rPr>
          <w:rFonts w:asciiTheme="minorHAnsi" w:eastAsia="Times New Roman" w:hAnsiTheme="minorHAnsi"/>
          <w:lang w:eastAsia="es-ES"/>
        </w:rPr>
        <w:t>.</w:t>
      </w:r>
      <w:r w:rsidR="00BB4F84" w:rsidRPr="00D920C9">
        <w:rPr>
          <w:rStyle w:val="FootnoteReference"/>
          <w:rFonts w:asciiTheme="minorHAnsi" w:eastAsia="Times New Roman" w:hAnsiTheme="minorHAnsi"/>
          <w:lang w:eastAsia="es-ES"/>
        </w:rPr>
        <w:footnoteReference w:id="321"/>
      </w:r>
      <w:r w:rsidR="004D0B9D" w:rsidRPr="00D920C9">
        <w:rPr>
          <w:rFonts w:asciiTheme="minorHAnsi" w:eastAsia="Times New Roman" w:hAnsiTheme="minorHAnsi"/>
          <w:lang w:eastAsia="es-ES"/>
        </w:rPr>
        <w:t xml:space="preserve"> In this regard, the Commission reiterates </w:t>
      </w:r>
      <w:r w:rsidR="00D0491C" w:rsidRPr="00D920C9">
        <w:rPr>
          <w:rFonts w:asciiTheme="minorHAnsi" w:eastAsia="Times New Roman" w:hAnsiTheme="minorHAnsi"/>
          <w:lang w:eastAsia="es-ES"/>
        </w:rPr>
        <w:t xml:space="preserve">that the prohibition of torture and cruel, inhuman, and degrading treatment may not be abrogated and is universal, and </w:t>
      </w:r>
      <w:r w:rsidR="00D0491C" w:rsidRPr="00D920C9">
        <w:rPr>
          <w:rFonts w:asciiTheme="minorHAnsi" w:eastAsia="Times New Roman" w:hAnsiTheme="minorHAnsi"/>
          <w:lang w:eastAsia="es-ES"/>
        </w:rPr>
        <w:lastRenderedPageBreak/>
        <w:t>accordingly, States must develop strong, concrete measures to eliminate the use of prolonged or indefinite isolation under all circumstances</w:t>
      </w:r>
      <w:r w:rsidR="004D0B9D" w:rsidRPr="00D920C9">
        <w:rPr>
          <w:rFonts w:asciiTheme="minorHAnsi" w:eastAsia="Times New Roman" w:hAnsiTheme="minorHAnsi"/>
          <w:lang w:eastAsia="es-ES"/>
        </w:rPr>
        <w:t>.</w:t>
      </w:r>
      <w:r w:rsidR="004D0B9D" w:rsidRPr="00D920C9">
        <w:rPr>
          <w:rStyle w:val="FootnoteReference"/>
          <w:rFonts w:asciiTheme="minorHAnsi" w:eastAsia="Times New Roman" w:hAnsiTheme="minorHAnsi"/>
          <w:lang w:eastAsia="es-ES"/>
        </w:rPr>
        <w:footnoteReference w:id="322"/>
      </w:r>
    </w:p>
    <w:p w14:paraId="74ABF420" w14:textId="77777777" w:rsidR="00B4412C" w:rsidRPr="00D920C9" w:rsidRDefault="002E13A2" w:rsidP="00E86698">
      <w:pPr>
        <w:pStyle w:val="ListParagraph"/>
        <w:numPr>
          <w:ilvl w:val="0"/>
          <w:numId w:val="9"/>
        </w:numPr>
        <w:spacing w:after="240" w:line="240" w:lineRule="auto"/>
        <w:ind w:left="547" w:hanging="547"/>
        <w:contextualSpacing w:val="0"/>
        <w:jc w:val="both"/>
        <w:rPr>
          <w:rFonts w:asciiTheme="minorHAnsi" w:eastAsia="Times New Roman" w:hAnsiTheme="minorHAnsi"/>
          <w:lang w:eastAsia="es-ES"/>
        </w:rPr>
      </w:pPr>
      <w:r w:rsidRPr="00D920C9">
        <w:rPr>
          <w:rFonts w:asciiTheme="minorHAnsi" w:eastAsia="Times New Roman" w:hAnsiTheme="minorHAnsi"/>
          <w:lang w:eastAsia="es-ES"/>
        </w:rPr>
        <w:t>Available information indicates that African Americans</w:t>
      </w:r>
      <w:r w:rsidR="00B4412C" w:rsidRPr="00D920C9">
        <w:rPr>
          <w:rFonts w:asciiTheme="minorHAnsi" w:eastAsia="Times New Roman" w:hAnsiTheme="minorHAnsi"/>
          <w:lang w:eastAsia="es-ES"/>
        </w:rPr>
        <w:t xml:space="preserve"> are also disproportionately often re-incarcerated for probation violations and similar infractions. As of 2015, one-third of the 4.65 million </w:t>
      </w:r>
      <w:r w:rsidR="00F96415" w:rsidRPr="00D920C9">
        <w:rPr>
          <w:rFonts w:asciiTheme="minorHAnsi" w:eastAsia="Times New Roman" w:hAnsiTheme="minorHAnsi"/>
          <w:lang w:eastAsia="es-ES"/>
        </w:rPr>
        <w:t>individuals in the U</w:t>
      </w:r>
      <w:r w:rsidR="00C45A79" w:rsidRPr="00D920C9">
        <w:rPr>
          <w:rFonts w:asciiTheme="minorHAnsi" w:eastAsia="Times New Roman" w:hAnsiTheme="minorHAnsi"/>
          <w:lang w:eastAsia="es-ES"/>
        </w:rPr>
        <w:t>.</w:t>
      </w:r>
      <w:r w:rsidR="00F96415" w:rsidRPr="00D920C9">
        <w:rPr>
          <w:rFonts w:asciiTheme="minorHAnsi" w:eastAsia="Times New Roman" w:hAnsiTheme="minorHAnsi"/>
          <w:lang w:eastAsia="es-ES"/>
        </w:rPr>
        <w:t>S</w:t>
      </w:r>
      <w:r w:rsidR="00C45A79" w:rsidRPr="00D920C9">
        <w:rPr>
          <w:rFonts w:asciiTheme="minorHAnsi" w:eastAsia="Times New Roman" w:hAnsiTheme="minorHAnsi"/>
          <w:lang w:eastAsia="es-ES"/>
        </w:rPr>
        <w:t>.</w:t>
      </w:r>
      <w:r w:rsidR="00B4412C" w:rsidRPr="00D920C9">
        <w:rPr>
          <w:rFonts w:asciiTheme="minorHAnsi" w:eastAsia="Times New Roman" w:hAnsiTheme="minorHAnsi"/>
          <w:lang w:eastAsia="es-ES"/>
        </w:rPr>
        <w:t xml:space="preserve"> who were on some form of parole or probation were Black, while Blacks make up only 13 percent of the U</w:t>
      </w:r>
      <w:r w:rsidR="00C45A79" w:rsidRPr="00D920C9">
        <w:rPr>
          <w:rFonts w:asciiTheme="minorHAnsi" w:eastAsia="Times New Roman" w:hAnsiTheme="minorHAnsi"/>
          <w:lang w:eastAsia="es-ES"/>
        </w:rPr>
        <w:t>.</w:t>
      </w:r>
      <w:r w:rsidR="00B4412C" w:rsidRPr="00D920C9">
        <w:rPr>
          <w:rFonts w:asciiTheme="minorHAnsi" w:eastAsia="Times New Roman" w:hAnsiTheme="minorHAnsi"/>
          <w:lang w:eastAsia="es-ES"/>
        </w:rPr>
        <w:t>S</w:t>
      </w:r>
      <w:r w:rsidR="00C45A79" w:rsidRPr="00D920C9">
        <w:rPr>
          <w:rFonts w:asciiTheme="minorHAnsi" w:eastAsia="Times New Roman" w:hAnsiTheme="minorHAnsi"/>
          <w:lang w:eastAsia="es-ES"/>
        </w:rPr>
        <w:t>.</w:t>
      </w:r>
      <w:r w:rsidR="00B4412C" w:rsidRPr="00D920C9">
        <w:rPr>
          <w:rFonts w:asciiTheme="minorHAnsi" w:eastAsia="Times New Roman" w:hAnsiTheme="minorHAnsi"/>
          <w:lang w:eastAsia="es-ES"/>
        </w:rPr>
        <w:t xml:space="preserve"> population. </w:t>
      </w:r>
      <w:r w:rsidRPr="00D920C9">
        <w:rPr>
          <w:rFonts w:asciiTheme="minorHAnsi" w:eastAsia="Times New Roman" w:hAnsiTheme="minorHAnsi"/>
          <w:lang w:eastAsia="es-ES"/>
        </w:rPr>
        <w:t>African Americans</w:t>
      </w:r>
      <w:r w:rsidR="00B4412C" w:rsidRPr="00D920C9">
        <w:rPr>
          <w:rFonts w:asciiTheme="minorHAnsi" w:eastAsia="Times New Roman" w:hAnsiTheme="minorHAnsi"/>
          <w:lang w:eastAsia="es-ES"/>
        </w:rPr>
        <w:t xml:space="preserve"> are </w:t>
      </w:r>
      <w:r w:rsidR="00F96415" w:rsidRPr="00D920C9">
        <w:rPr>
          <w:rFonts w:asciiTheme="minorHAnsi" w:eastAsia="Times New Roman" w:hAnsiTheme="minorHAnsi"/>
          <w:lang w:eastAsia="es-ES"/>
        </w:rPr>
        <w:t xml:space="preserve">furthermore </w:t>
      </w:r>
      <w:r w:rsidR="00B4412C" w:rsidRPr="00D920C9">
        <w:rPr>
          <w:rFonts w:asciiTheme="minorHAnsi" w:eastAsia="Times New Roman" w:hAnsiTheme="minorHAnsi"/>
          <w:lang w:eastAsia="es-ES"/>
        </w:rPr>
        <w:t>sent</w:t>
      </w:r>
      <w:r w:rsidR="00F96415" w:rsidRPr="00D920C9">
        <w:rPr>
          <w:rFonts w:asciiTheme="minorHAnsi" w:eastAsia="Times New Roman" w:hAnsiTheme="minorHAnsi"/>
          <w:lang w:eastAsia="es-ES"/>
        </w:rPr>
        <w:t xml:space="preserve"> or returned</w:t>
      </w:r>
      <w:r w:rsidR="00B4412C" w:rsidRPr="00D920C9">
        <w:rPr>
          <w:rFonts w:asciiTheme="minorHAnsi" w:eastAsia="Times New Roman" w:hAnsiTheme="minorHAnsi"/>
          <w:lang w:eastAsia="es-ES"/>
        </w:rPr>
        <w:t xml:space="preserve"> to prison for probation and parole violations at much higher rates than </w:t>
      </w:r>
      <w:r w:rsidR="00F96415" w:rsidRPr="00D920C9">
        <w:rPr>
          <w:rFonts w:asciiTheme="minorHAnsi" w:eastAsia="Times New Roman" w:hAnsiTheme="minorHAnsi"/>
          <w:lang w:eastAsia="es-ES"/>
        </w:rPr>
        <w:t>W</w:t>
      </w:r>
      <w:r w:rsidR="00B4412C" w:rsidRPr="00D920C9">
        <w:rPr>
          <w:rFonts w:asciiTheme="minorHAnsi" w:eastAsia="Times New Roman" w:hAnsiTheme="minorHAnsi"/>
          <w:lang w:eastAsia="es-ES"/>
        </w:rPr>
        <w:t>hite</w:t>
      </w:r>
      <w:r w:rsidR="00F96415" w:rsidRPr="00D920C9">
        <w:rPr>
          <w:rFonts w:asciiTheme="minorHAnsi" w:eastAsia="Times New Roman" w:hAnsiTheme="minorHAnsi"/>
          <w:lang w:eastAsia="es-ES"/>
        </w:rPr>
        <w:t>s</w:t>
      </w:r>
      <w:r w:rsidR="00B4412C" w:rsidRPr="00D920C9">
        <w:rPr>
          <w:rFonts w:asciiTheme="minorHAnsi" w:eastAsia="Times New Roman" w:hAnsiTheme="minorHAnsi"/>
          <w:lang w:eastAsia="es-ES"/>
        </w:rPr>
        <w:t>.</w:t>
      </w:r>
      <w:r w:rsidR="00B4412C" w:rsidRPr="00D920C9">
        <w:rPr>
          <w:rStyle w:val="FootnoteReference"/>
          <w:rFonts w:asciiTheme="minorHAnsi" w:eastAsia="Times New Roman" w:hAnsiTheme="minorHAnsi"/>
          <w:lang w:eastAsia="es-ES"/>
        </w:rPr>
        <w:footnoteReference w:id="323"/>
      </w:r>
    </w:p>
    <w:p w14:paraId="03C16903" w14:textId="77777777" w:rsidR="00B4412C" w:rsidRPr="00D920C9" w:rsidRDefault="00B4412C" w:rsidP="003D7958">
      <w:pPr>
        <w:pStyle w:val="Heading4"/>
        <w:ind w:left="540" w:hanging="540"/>
      </w:pPr>
      <w:bookmarkStart w:id="116" w:name="_Toc511837818"/>
      <w:bookmarkStart w:id="117" w:name="_Toc511902991"/>
      <w:bookmarkStart w:id="118" w:name="_Toc517687921"/>
      <w:r w:rsidRPr="00D920C9">
        <w:t xml:space="preserve">Consequences of </w:t>
      </w:r>
      <w:r w:rsidR="0013717A" w:rsidRPr="00D920C9">
        <w:t xml:space="preserve">Contact </w:t>
      </w:r>
      <w:r w:rsidRPr="00D920C9">
        <w:t xml:space="preserve">with </w:t>
      </w:r>
      <w:r w:rsidR="009F3240" w:rsidRPr="00D920C9">
        <w:t xml:space="preserve">the </w:t>
      </w:r>
      <w:r w:rsidR="0013717A" w:rsidRPr="00D920C9">
        <w:t>Criminal Justice System</w:t>
      </w:r>
      <w:bookmarkEnd w:id="116"/>
      <w:bookmarkEnd w:id="117"/>
      <w:bookmarkEnd w:id="118"/>
    </w:p>
    <w:p w14:paraId="2DE65575" w14:textId="77777777" w:rsidR="00B4412C" w:rsidRPr="00D920C9" w:rsidRDefault="00B4412C" w:rsidP="00E86698">
      <w:pPr>
        <w:pStyle w:val="ListParagraph"/>
        <w:numPr>
          <w:ilvl w:val="0"/>
          <w:numId w:val="9"/>
        </w:numPr>
        <w:spacing w:after="240" w:line="240" w:lineRule="auto"/>
        <w:ind w:left="547" w:hanging="547"/>
        <w:contextualSpacing w:val="0"/>
        <w:jc w:val="both"/>
        <w:rPr>
          <w:rFonts w:asciiTheme="minorHAnsi" w:hAnsiTheme="minorHAnsi"/>
        </w:rPr>
      </w:pPr>
      <w:r w:rsidRPr="00D920C9">
        <w:rPr>
          <w:rFonts w:asciiTheme="minorHAnsi" w:hAnsiTheme="minorHAnsi"/>
        </w:rPr>
        <w:t xml:space="preserve">The Commission has received information </w:t>
      </w:r>
      <w:r w:rsidR="00BD08E4" w:rsidRPr="00D920C9">
        <w:rPr>
          <w:rFonts w:asciiTheme="minorHAnsi" w:hAnsiTheme="minorHAnsi"/>
        </w:rPr>
        <w:t>on</w:t>
      </w:r>
      <w:r w:rsidRPr="00D920C9">
        <w:rPr>
          <w:rFonts w:asciiTheme="minorHAnsi" w:hAnsiTheme="minorHAnsi"/>
        </w:rPr>
        <w:t xml:space="preserve"> the long-term consequences of contact with the criminal justice system, </w:t>
      </w:r>
      <w:r w:rsidR="00AB1C48" w:rsidRPr="00D920C9">
        <w:rPr>
          <w:rFonts w:asciiTheme="minorHAnsi" w:hAnsiTheme="minorHAnsi"/>
        </w:rPr>
        <w:t>in</w:t>
      </w:r>
      <w:r w:rsidRPr="00D920C9">
        <w:rPr>
          <w:rFonts w:asciiTheme="minorHAnsi" w:hAnsiTheme="minorHAnsi"/>
        </w:rPr>
        <w:t xml:space="preserve"> particular the lasting impact of felony convictions on access</w:t>
      </w:r>
      <w:r w:rsidR="00BD08E4" w:rsidRPr="00D920C9">
        <w:rPr>
          <w:rFonts w:asciiTheme="minorHAnsi" w:hAnsiTheme="minorHAnsi"/>
        </w:rPr>
        <w:t xml:space="preserve"> to civil and political rights like </w:t>
      </w:r>
      <w:r w:rsidRPr="00D920C9">
        <w:rPr>
          <w:rFonts w:asciiTheme="minorHAnsi" w:hAnsiTheme="minorHAnsi"/>
        </w:rPr>
        <w:t>voting, as well as on access to housing, employment, and public benefits.</w:t>
      </w:r>
      <w:r w:rsidR="00412125" w:rsidRPr="00D920C9">
        <w:rPr>
          <w:rStyle w:val="FootnoteReference"/>
          <w:rFonts w:asciiTheme="minorHAnsi" w:hAnsiTheme="minorHAnsi"/>
        </w:rPr>
        <w:footnoteReference w:id="324"/>
      </w:r>
      <w:r w:rsidR="00AB1C48" w:rsidRPr="00D920C9">
        <w:rPr>
          <w:rFonts w:asciiTheme="minorHAnsi" w:hAnsiTheme="minorHAnsi"/>
        </w:rPr>
        <w:t xml:space="preserve"> This limitation on access to rights as a consequence of a prior criminal record has been described as a kind of second-class citizenship.</w:t>
      </w:r>
      <w:r w:rsidR="00AB1C48" w:rsidRPr="00D920C9">
        <w:rPr>
          <w:rStyle w:val="FootnoteReference"/>
          <w:rFonts w:asciiTheme="minorHAnsi" w:hAnsiTheme="minorHAnsi"/>
        </w:rPr>
        <w:footnoteReference w:id="325"/>
      </w:r>
    </w:p>
    <w:p w14:paraId="78693A46" w14:textId="75A08365" w:rsidR="00804652" w:rsidRPr="00D920C9" w:rsidRDefault="00BD08E4" w:rsidP="00E86698">
      <w:pPr>
        <w:pStyle w:val="ListParagraph"/>
        <w:numPr>
          <w:ilvl w:val="0"/>
          <w:numId w:val="9"/>
        </w:numPr>
        <w:spacing w:after="240" w:line="240" w:lineRule="auto"/>
        <w:ind w:left="547" w:hanging="547"/>
        <w:contextualSpacing w:val="0"/>
        <w:jc w:val="both"/>
        <w:rPr>
          <w:rFonts w:asciiTheme="minorHAnsi" w:hAnsiTheme="minorHAnsi"/>
        </w:rPr>
      </w:pPr>
      <w:r w:rsidRPr="00D920C9">
        <w:rPr>
          <w:rFonts w:asciiTheme="minorHAnsi" w:hAnsiTheme="minorHAnsi"/>
        </w:rPr>
        <w:t>Regarding political rights, t</w:t>
      </w:r>
      <w:r w:rsidR="00F7212C" w:rsidRPr="00D920C9">
        <w:rPr>
          <w:rFonts w:asciiTheme="minorHAnsi" w:hAnsiTheme="minorHAnsi"/>
        </w:rPr>
        <w:t xml:space="preserve">he Commission received information about the </w:t>
      </w:r>
      <w:r w:rsidR="00B751A9" w:rsidRPr="00D920C9">
        <w:rPr>
          <w:rFonts w:asciiTheme="minorHAnsi" w:hAnsiTheme="minorHAnsi"/>
        </w:rPr>
        <w:t>problem</w:t>
      </w:r>
      <w:r w:rsidR="00F7212C" w:rsidRPr="00D920C9">
        <w:rPr>
          <w:rFonts w:asciiTheme="minorHAnsi" w:hAnsiTheme="minorHAnsi"/>
        </w:rPr>
        <w:t xml:space="preserve"> of felony disenfranchisement at public hearings and during its on-site visit. </w:t>
      </w:r>
      <w:r w:rsidR="00C63176" w:rsidRPr="00D920C9">
        <w:rPr>
          <w:rFonts w:asciiTheme="minorHAnsi" w:hAnsiTheme="minorHAnsi"/>
        </w:rPr>
        <w:t>According to information</w:t>
      </w:r>
      <w:r w:rsidR="00F7212C" w:rsidRPr="00D920C9">
        <w:rPr>
          <w:rFonts w:asciiTheme="minorHAnsi" w:hAnsiTheme="minorHAnsi"/>
        </w:rPr>
        <w:t xml:space="preserve"> received</w:t>
      </w:r>
      <w:r w:rsidR="00C63176" w:rsidRPr="00D920C9">
        <w:rPr>
          <w:rFonts w:asciiTheme="minorHAnsi" w:hAnsiTheme="minorHAnsi"/>
        </w:rPr>
        <w:t xml:space="preserve">, an estimated 5.8 million people in the </w:t>
      </w:r>
      <w:r w:rsidR="006D4A9B" w:rsidRPr="00D920C9">
        <w:rPr>
          <w:rFonts w:asciiTheme="minorHAnsi" w:hAnsiTheme="minorHAnsi"/>
        </w:rPr>
        <w:t>U.S.</w:t>
      </w:r>
      <w:r w:rsidR="00C63176" w:rsidRPr="00D920C9">
        <w:rPr>
          <w:rFonts w:asciiTheme="minorHAnsi" w:hAnsiTheme="minorHAnsi"/>
        </w:rPr>
        <w:t xml:space="preserve"> are denied the right to vote due to felony convictions; of these, 2.2 million are </w:t>
      </w:r>
      <w:r w:rsidR="006D4A9B" w:rsidRPr="00D920C9">
        <w:rPr>
          <w:rFonts w:asciiTheme="minorHAnsi" w:hAnsiTheme="minorHAnsi"/>
        </w:rPr>
        <w:t>Black</w:t>
      </w:r>
      <w:r w:rsidR="00C63176" w:rsidRPr="00D920C9">
        <w:rPr>
          <w:rFonts w:asciiTheme="minorHAnsi" w:hAnsiTheme="minorHAnsi"/>
        </w:rPr>
        <w:t xml:space="preserve">. </w:t>
      </w:r>
      <w:r w:rsidR="00BA1059" w:rsidRPr="00D920C9">
        <w:rPr>
          <w:rFonts w:asciiTheme="minorHAnsi" w:hAnsiTheme="minorHAnsi"/>
        </w:rPr>
        <w:t>This means that approximately 7.7 percent of voting-age African Americans are legally prohibited from voting, in contrast with 2.5 percent of the overall population.</w:t>
      </w:r>
      <w:r w:rsidR="00BA1059" w:rsidRPr="00D920C9">
        <w:rPr>
          <w:rStyle w:val="FootnoteReference"/>
          <w:rFonts w:asciiTheme="minorHAnsi" w:hAnsiTheme="minorHAnsi"/>
        </w:rPr>
        <w:footnoteReference w:id="326"/>
      </w:r>
      <w:r w:rsidR="00BA1059" w:rsidRPr="00D920C9">
        <w:rPr>
          <w:rFonts w:asciiTheme="minorHAnsi" w:hAnsiTheme="minorHAnsi"/>
        </w:rPr>
        <w:t xml:space="preserve"> </w:t>
      </w:r>
      <w:r w:rsidR="00522A21" w:rsidRPr="00D920C9">
        <w:rPr>
          <w:rFonts w:asciiTheme="minorHAnsi" w:eastAsia="Times New Roman" w:hAnsiTheme="minorHAnsi"/>
          <w:lang w:eastAsia="es-ES"/>
        </w:rPr>
        <w:t>Likewise, during its visit to Sanford and Miami, Florida in 2015, the Commission was informed about problems of mass incarceration and felony voter disenfranchisement affecting African</w:t>
      </w:r>
      <w:r w:rsidR="0030356C" w:rsidRPr="00D920C9">
        <w:rPr>
          <w:rFonts w:asciiTheme="minorHAnsi" w:eastAsia="Times New Roman" w:hAnsiTheme="minorHAnsi"/>
          <w:lang w:eastAsia="es-ES"/>
        </w:rPr>
        <w:t xml:space="preserve"> </w:t>
      </w:r>
      <w:r w:rsidR="00522A21" w:rsidRPr="00D920C9">
        <w:rPr>
          <w:rFonts w:asciiTheme="minorHAnsi" w:eastAsia="Times New Roman" w:hAnsiTheme="minorHAnsi"/>
          <w:lang w:eastAsia="es-ES"/>
        </w:rPr>
        <w:t xml:space="preserve">Americans, which limits the full exercise of the democratic and citizenship rights of these communities. At </w:t>
      </w:r>
      <w:r w:rsidR="00F56BE6" w:rsidRPr="00D920C9">
        <w:rPr>
          <w:rFonts w:asciiTheme="minorHAnsi" w:eastAsia="Times New Roman" w:hAnsiTheme="minorHAnsi"/>
          <w:lang w:eastAsia="es-ES"/>
        </w:rPr>
        <w:t>that time, the Commission indicated</w:t>
      </w:r>
      <w:r w:rsidR="00522A21" w:rsidRPr="00D920C9">
        <w:rPr>
          <w:rFonts w:asciiTheme="minorHAnsi" w:eastAsia="Times New Roman" w:hAnsiTheme="minorHAnsi"/>
          <w:lang w:eastAsia="es-ES"/>
        </w:rPr>
        <w:t xml:space="preserve"> that the underlying </w:t>
      </w:r>
      <w:r w:rsidR="00F96415" w:rsidRPr="00D920C9">
        <w:rPr>
          <w:rFonts w:asciiTheme="minorHAnsi" w:eastAsia="Times New Roman" w:hAnsiTheme="minorHAnsi"/>
          <w:lang w:eastAsia="es-ES"/>
        </w:rPr>
        <w:t>“</w:t>
      </w:r>
      <w:r w:rsidR="00522A21" w:rsidRPr="00D920C9">
        <w:rPr>
          <w:rFonts w:asciiTheme="minorHAnsi" w:eastAsia="Times New Roman" w:hAnsiTheme="minorHAnsi"/>
          <w:lang w:eastAsia="es-ES"/>
        </w:rPr>
        <w:t xml:space="preserve">convictions themselves are suspect because </w:t>
      </w:r>
      <w:r w:rsidR="00522A21" w:rsidRPr="00D920C9">
        <w:rPr>
          <w:rFonts w:asciiTheme="minorHAnsi" w:eastAsia="Times New Roman" w:hAnsiTheme="minorHAnsi"/>
          <w:lang w:eastAsia="es-ES"/>
        </w:rPr>
        <w:lastRenderedPageBreak/>
        <w:t>of structural racism.</w:t>
      </w:r>
      <w:r w:rsidR="00F96415" w:rsidRPr="00D920C9">
        <w:rPr>
          <w:rFonts w:asciiTheme="minorHAnsi" w:eastAsia="Times New Roman" w:hAnsiTheme="minorHAnsi"/>
          <w:lang w:eastAsia="es-ES"/>
        </w:rPr>
        <w:t>”</w:t>
      </w:r>
      <w:r w:rsidR="00522A21" w:rsidRPr="00D920C9">
        <w:rPr>
          <w:rStyle w:val="FootnoteReference"/>
          <w:rFonts w:asciiTheme="minorHAnsi" w:eastAsia="Times New Roman" w:hAnsiTheme="minorHAnsi"/>
          <w:lang w:eastAsia="es-ES"/>
        </w:rPr>
        <w:footnoteReference w:id="327"/>
      </w:r>
      <w:r w:rsidR="00637A1A" w:rsidRPr="00D920C9">
        <w:rPr>
          <w:rFonts w:asciiTheme="minorHAnsi" w:eastAsia="Times New Roman" w:hAnsiTheme="minorHAnsi"/>
          <w:lang w:eastAsia="es-ES"/>
        </w:rPr>
        <w:t xml:space="preserve"> These problems must further be viewed within the larger context of discrimination in access to voting rights.</w:t>
      </w:r>
      <w:r w:rsidR="00637A1A" w:rsidRPr="00D920C9">
        <w:rPr>
          <w:rStyle w:val="FootnoteReference"/>
          <w:rFonts w:asciiTheme="minorHAnsi" w:eastAsia="Times New Roman" w:hAnsiTheme="minorHAnsi"/>
          <w:lang w:eastAsia="es-ES"/>
        </w:rPr>
        <w:footnoteReference w:id="328"/>
      </w:r>
    </w:p>
    <w:p w14:paraId="77ED8849" w14:textId="1F3382DA" w:rsidR="00AB1C48" w:rsidRPr="00D920C9" w:rsidRDefault="00F7212C" w:rsidP="00E86698">
      <w:pPr>
        <w:pStyle w:val="ListParagraph"/>
        <w:numPr>
          <w:ilvl w:val="0"/>
          <w:numId w:val="9"/>
        </w:numPr>
        <w:spacing w:after="240" w:line="240" w:lineRule="auto"/>
        <w:ind w:left="547" w:hanging="547"/>
        <w:contextualSpacing w:val="0"/>
        <w:jc w:val="both"/>
        <w:rPr>
          <w:rFonts w:asciiTheme="minorHAnsi" w:hAnsiTheme="minorHAnsi"/>
        </w:rPr>
      </w:pPr>
      <w:r w:rsidRPr="00D920C9">
        <w:rPr>
          <w:rFonts w:asciiTheme="minorHAnsi" w:hAnsiTheme="minorHAnsi"/>
        </w:rPr>
        <w:t xml:space="preserve">The Commission </w:t>
      </w:r>
      <w:r w:rsidR="00403286" w:rsidRPr="00D920C9">
        <w:rPr>
          <w:rFonts w:asciiTheme="minorHAnsi" w:hAnsiTheme="minorHAnsi"/>
        </w:rPr>
        <w:t xml:space="preserve">has </w:t>
      </w:r>
      <w:r w:rsidRPr="00D920C9">
        <w:rPr>
          <w:rFonts w:asciiTheme="minorHAnsi" w:hAnsiTheme="minorHAnsi"/>
        </w:rPr>
        <w:t xml:space="preserve">further received information about </w:t>
      </w:r>
      <w:r w:rsidR="00522A21" w:rsidRPr="00D920C9">
        <w:rPr>
          <w:rFonts w:asciiTheme="minorHAnsi" w:hAnsiTheme="minorHAnsi"/>
        </w:rPr>
        <w:t xml:space="preserve">a lack of clarity </w:t>
      </w:r>
      <w:r w:rsidR="00BD08E4" w:rsidRPr="00D920C9">
        <w:rPr>
          <w:rFonts w:asciiTheme="minorHAnsi" w:hAnsiTheme="minorHAnsi"/>
        </w:rPr>
        <w:t>in</w:t>
      </w:r>
      <w:r w:rsidR="00522A21" w:rsidRPr="00D920C9">
        <w:rPr>
          <w:rFonts w:asciiTheme="minorHAnsi" w:hAnsiTheme="minorHAnsi"/>
        </w:rPr>
        <w:t xml:space="preserve"> state laws </w:t>
      </w:r>
      <w:r w:rsidR="00BD08E4" w:rsidRPr="00D920C9">
        <w:rPr>
          <w:rFonts w:asciiTheme="minorHAnsi" w:hAnsiTheme="minorHAnsi"/>
        </w:rPr>
        <w:t>on</w:t>
      </w:r>
      <w:r w:rsidR="00522A21" w:rsidRPr="00D920C9">
        <w:rPr>
          <w:rFonts w:asciiTheme="minorHAnsi" w:hAnsiTheme="minorHAnsi"/>
        </w:rPr>
        <w:t xml:space="preserve"> felony disenfranchisement, and </w:t>
      </w:r>
      <w:r w:rsidRPr="00D920C9">
        <w:rPr>
          <w:rFonts w:asciiTheme="minorHAnsi" w:hAnsiTheme="minorHAnsi"/>
        </w:rPr>
        <w:t xml:space="preserve">proposed federal legislation to </w:t>
      </w:r>
      <w:r w:rsidR="00522A21" w:rsidRPr="00D920C9">
        <w:rPr>
          <w:rFonts w:asciiTheme="minorHAnsi" w:hAnsiTheme="minorHAnsi"/>
        </w:rPr>
        <w:t xml:space="preserve">correct this situation and </w:t>
      </w:r>
      <w:r w:rsidRPr="00D920C9">
        <w:rPr>
          <w:rFonts w:asciiTheme="minorHAnsi" w:hAnsiTheme="minorHAnsi"/>
        </w:rPr>
        <w:t xml:space="preserve">restore voting rights to persons convicted of felonies, including the </w:t>
      </w:r>
      <w:r w:rsidR="00522A21" w:rsidRPr="00D920C9">
        <w:rPr>
          <w:rFonts w:asciiTheme="minorHAnsi" w:hAnsiTheme="minorHAnsi"/>
        </w:rPr>
        <w:t>draft Democracy Restoration Act.</w:t>
      </w:r>
      <w:r w:rsidRPr="00D920C9">
        <w:rPr>
          <w:rStyle w:val="FootnoteReference"/>
          <w:rFonts w:asciiTheme="minorHAnsi" w:hAnsiTheme="minorHAnsi"/>
        </w:rPr>
        <w:footnoteReference w:id="329"/>
      </w:r>
      <w:r w:rsidRPr="00D920C9">
        <w:rPr>
          <w:rFonts w:asciiTheme="minorHAnsi" w:hAnsiTheme="minorHAnsi"/>
        </w:rPr>
        <w:t xml:space="preserve"> </w:t>
      </w:r>
      <w:r w:rsidR="00403286" w:rsidRPr="00D920C9">
        <w:rPr>
          <w:rFonts w:asciiTheme="minorHAnsi" w:hAnsiTheme="minorHAnsi"/>
        </w:rPr>
        <w:t>In this regard, it notes good state</w:t>
      </w:r>
      <w:r w:rsidR="00401DF8" w:rsidRPr="00D920C9">
        <w:rPr>
          <w:rFonts w:asciiTheme="minorHAnsi" w:hAnsiTheme="minorHAnsi"/>
        </w:rPr>
        <w:t>-</w:t>
      </w:r>
      <w:r w:rsidR="00403286" w:rsidRPr="00D920C9">
        <w:rPr>
          <w:rFonts w:asciiTheme="minorHAnsi" w:hAnsiTheme="minorHAnsi"/>
        </w:rPr>
        <w:t>level</w:t>
      </w:r>
      <w:r w:rsidR="00401DF8" w:rsidRPr="00D920C9">
        <w:rPr>
          <w:rFonts w:asciiTheme="minorHAnsi" w:hAnsiTheme="minorHAnsi"/>
        </w:rPr>
        <w:t xml:space="preserve"> </w:t>
      </w:r>
      <w:r w:rsidR="00BD08E4" w:rsidRPr="00D920C9">
        <w:rPr>
          <w:rFonts w:asciiTheme="minorHAnsi" w:hAnsiTheme="minorHAnsi"/>
        </w:rPr>
        <w:t>practices; for example,</w:t>
      </w:r>
      <w:r w:rsidR="00403286" w:rsidRPr="00D920C9">
        <w:rPr>
          <w:rFonts w:asciiTheme="minorHAnsi" w:hAnsiTheme="minorHAnsi"/>
        </w:rPr>
        <w:t xml:space="preserve"> </w:t>
      </w:r>
      <w:r w:rsidR="00BD08E4" w:rsidRPr="00D920C9">
        <w:rPr>
          <w:rFonts w:asciiTheme="minorHAnsi" w:hAnsiTheme="minorHAnsi"/>
        </w:rPr>
        <w:t>in 2016, Virginia</w:t>
      </w:r>
      <w:r w:rsidR="00403286" w:rsidRPr="00D920C9">
        <w:rPr>
          <w:rFonts w:asciiTheme="minorHAnsi" w:hAnsiTheme="minorHAnsi"/>
        </w:rPr>
        <w:t xml:space="preserve"> </w:t>
      </w:r>
      <w:r w:rsidR="00804652" w:rsidRPr="00D920C9">
        <w:rPr>
          <w:rFonts w:asciiTheme="minorHAnsi" w:hAnsiTheme="minorHAnsi"/>
        </w:rPr>
        <w:t xml:space="preserve">restored voting rights </w:t>
      </w:r>
      <w:r w:rsidR="00BD08E4" w:rsidRPr="00D920C9">
        <w:rPr>
          <w:rFonts w:asciiTheme="minorHAnsi" w:hAnsiTheme="minorHAnsi"/>
        </w:rPr>
        <w:t>to</w:t>
      </w:r>
      <w:r w:rsidR="00804652" w:rsidRPr="00D920C9">
        <w:rPr>
          <w:rFonts w:asciiTheme="minorHAnsi" w:hAnsiTheme="minorHAnsi"/>
        </w:rPr>
        <w:t xml:space="preserve"> an estimated 206,000 citizens, disproportionately African American, via gubernatorial Executive Order.</w:t>
      </w:r>
      <w:r w:rsidR="00804652" w:rsidRPr="00D920C9">
        <w:rPr>
          <w:rStyle w:val="FootnoteReference"/>
          <w:rFonts w:asciiTheme="minorHAnsi" w:hAnsiTheme="minorHAnsi"/>
        </w:rPr>
        <w:footnoteReference w:id="330"/>
      </w:r>
      <w:r w:rsidR="00403286" w:rsidRPr="00D920C9">
        <w:rPr>
          <w:rFonts w:asciiTheme="minorHAnsi" w:hAnsiTheme="minorHAnsi"/>
        </w:rPr>
        <w:t xml:space="preserve"> </w:t>
      </w:r>
      <w:r w:rsidR="00804652" w:rsidRPr="00D920C9">
        <w:rPr>
          <w:rFonts w:asciiTheme="minorHAnsi" w:hAnsiTheme="minorHAnsi"/>
        </w:rPr>
        <w:t xml:space="preserve">At that time, the Commission observed that “when conviction </w:t>
      </w:r>
      <w:r w:rsidR="007F7673" w:rsidRPr="00D920C9">
        <w:rPr>
          <w:rFonts w:asciiTheme="minorHAnsi" w:hAnsiTheme="minorHAnsi"/>
        </w:rPr>
        <w:t>[…]</w:t>
      </w:r>
      <w:r w:rsidR="00804652" w:rsidRPr="00D920C9">
        <w:rPr>
          <w:rFonts w:asciiTheme="minorHAnsi" w:hAnsiTheme="minorHAnsi"/>
        </w:rPr>
        <w:t xml:space="preserve"> is a basis for suspending the right to vote, the period of such suspension should be proportionate to the </w:t>
      </w:r>
      <w:proofErr w:type="spellStart"/>
      <w:r w:rsidR="00804652" w:rsidRPr="00D920C9">
        <w:rPr>
          <w:rFonts w:asciiTheme="minorHAnsi" w:hAnsiTheme="minorHAnsi"/>
        </w:rPr>
        <w:t>offen</w:t>
      </w:r>
      <w:proofErr w:type="spellEnd"/>
      <w:r w:rsidR="00804652" w:rsidRPr="00D920C9">
        <w:rPr>
          <w:rFonts w:asciiTheme="minorHAnsi" w:hAnsiTheme="minorHAnsi"/>
        </w:rPr>
        <w:t xml:space="preserve">[s]e and the sentence,” and recommended </w:t>
      </w:r>
      <w:r w:rsidR="00BD08E4" w:rsidRPr="00D920C9">
        <w:rPr>
          <w:rFonts w:asciiTheme="minorHAnsi" w:hAnsiTheme="minorHAnsi"/>
        </w:rPr>
        <w:t>adopting “</w:t>
      </w:r>
      <w:r w:rsidR="00804652" w:rsidRPr="00D920C9">
        <w:rPr>
          <w:rFonts w:asciiTheme="minorHAnsi" w:hAnsiTheme="minorHAnsi"/>
        </w:rPr>
        <w:t xml:space="preserve">appropriate measures in other states to </w:t>
      </w:r>
      <w:r w:rsidR="007F7673" w:rsidRPr="00D920C9">
        <w:rPr>
          <w:rFonts w:asciiTheme="minorHAnsi" w:hAnsiTheme="minorHAnsi"/>
        </w:rPr>
        <w:t>[restore]</w:t>
      </w:r>
      <w:r w:rsidR="00804652" w:rsidRPr="00D920C9">
        <w:rPr>
          <w:rFonts w:asciiTheme="minorHAnsi" w:hAnsiTheme="minorHAnsi"/>
        </w:rPr>
        <w:t xml:space="preserve"> voting rights to citizens who have fully served their sentences and those who have been release on parole”</w:t>
      </w:r>
      <w:r w:rsidR="00F56F74" w:rsidRPr="00D920C9" w:rsidDel="00F56F74">
        <w:rPr>
          <w:rFonts w:asciiTheme="minorHAnsi" w:hAnsiTheme="minorHAnsi"/>
        </w:rPr>
        <w:t xml:space="preserve"> </w:t>
      </w:r>
      <w:r w:rsidR="00064585" w:rsidRPr="00D920C9">
        <w:rPr>
          <w:rFonts w:asciiTheme="minorHAnsi" w:hAnsiTheme="minorHAnsi"/>
        </w:rPr>
        <w:t>particularly in light of the racially discriminatory impact of the policy.</w:t>
      </w:r>
      <w:r w:rsidR="00064585" w:rsidRPr="00D920C9">
        <w:rPr>
          <w:rStyle w:val="FootnoteReference"/>
          <w:rFonts w:asciiTheme="minorHAnsi" w:hAnsiTheme="minorHAnsi"/>
        </w:rPr>
        <w:footnoteReference w:id="331"/>
      </w:r>
      <w:r w:rsidR="00064585" w:rsidRPr="00D920C9">
        <w:rPr>
          <w:rFonts w:asciiTheme="minorHAnsi" w:hAnsiTheme="minorHAnsi"/>
        </w:rPr>
        <w:t xml:space="preserve"> </w:t>
      </w:r>
      <w:r w:rsidR="007F7673" w:rsidRPr="00D920C9">
        <w:rPr>
          <w:rFonts w:asciiTheme="minorHAnsi" w:hAnsiTheme="minorHAnsi"/>
        </w:rPr>
        <w:t>Given</w:t>
      </w:r>
      <w:r w:rsidRPr="00D920C9">
        <w:rPr>
          <w:rFonts w:asciiTheme="minorHAnsi" w:hAnsiTheme="minorHAnsi"/>
        </w:rPr>
        <w:t xml:space="preserve"> the disproportionate impact of felony disenfranchisement on African American communities, and the fundamental importance of the right to vote in a democratic system, the Commission </w:t>
      </w:r>
      <w:r w:rsidR="00BD08E4" w:rsidRPr="00D920C9">
        <w:rPr>
          <w:rFonts w:asciiTheme="minorHAnsi" w:hAnsiTheme="minorHAnsi"/>
        </w:rPr>
        <w:t>reiterates the need for reform</w:t>
      </w:r>
      <w:r w:rsidRPr="00D920C9">
        <w:rPr>
          <w:rFonts w:asciiTheme="minorHAnsi" w:hAnsiTheme="minorHAnsi"/>
        </w:rPr>
        <w:t>.</w:t>
      </w:r>
      <w:r w:rsidR="00AB1C48" w:rsidRPr="00D920C9">
        <w:rPr>
          <w:rStyle w:val="FootnoteReference"/>
          <w:rFonts w:asciiTheme="minorHAnsi" w:hAnsiTheme="minorHAnsi"/>
        </w:rPr>
        <w:footnoteReference w:id="332"/>
      </w:r>
    </w:p>
    <w:p w14:paraId="6E925845" w14:textId="77777777" w:rsidR="007C444E" w:rsidRPr="00D920C9" w:rsidRDefault="00F96415" w:rsidP="00E86698">
      <w:pPr>
        <w:pStyle w:val="ListParagraph"/>
        <w:numPr>
          <w:ilvl w:val="0"/>
          <w:numId w:val="9"/>
        </w:numPr>
        <w:spacing w:after="240" w:line="240" w:lineRule="auto"/>
        <w:ind w:left="547" w:hanging="547"/>
        <w:contextualSpacing w:val="0"/>
        <w:jc w:val="both"/>
        <w:rPr>
          <w:rFonts w:asciiTheme="minorHAnsi" w:hAnsiTheme="minorHAnsi"/>
        </w:rPr>
      </w:pPr>
      <w:bookmarkStart w:id="119" w:name="_Ref504656720"/>
      <w:bookmarkStart w:id="120" w:name="_Ref511835933"/>
      <w:r w:rsidRPr="00D920C9">
        <w:rPr>
          <w:rFonts w:asciiTheme="minorHAnsi" w:hAnsiTheme="minorHAnsi"/>
        </w:rPr>
        <w:t xml:space="preserve">Felony convictions may also limit individuals’ access to work and other economic, social, and cultural rights over the course of their lives. </w:t>
      </w:r>
      <w:r w:rsidR="008538B7" w:rsidRPr="00D920C9">
        <w:rPr>
          <w:rFonts w:asciiTheme="minorHAnsi" w:hAnsiTheme="minorHAnsi"/>
        </w:rPr>
        <w:t>The Commission received information from the State at a public hearing about “a long history of complaints” to the Equal Opportunity Employment Commission (EEOC) of discrimination against formerly incarcerated persons with felony convictions and steps taken by the EEOC to investigate and provide policy guidance on the issue.</w:t>
      </w:r>
      <w:r w:rsidR="008538B7" w:rsidRPr="00D920C9">
        <w:rPr>
          <w:rStyle w:val="FootnoteReference"/>
          <w:rFonts w:asciiTheme="minorHAnsi" w:hAnsiTheme="minorHAnsi"/>
        </w:rPr>
        <w:footnoteReference w:id="333"/>
      </w:r>
      <w:r w:rsidR="008538B7" w:rsidRPr="00D920C9">
        <w:rPr>
          <w:rFonts w:asciiTheme="minorHAnsi" w:hAnsiTheme="minorHAnsi"/>
        </w:rPr>
        <w:t xml:space="preserve"> </w:t>
      </w:r>
      <w:r w:rsidR="00AB1C48" w:rsidRPr="00D920C9">
        <w:rPr>
          <w:rFonts w:asciiTheme="minorHAnsi" w:hAnsiTheme="minorHAnsi"/>
        </w:rPr>
        <w:t>Some information indicat</w:t>
      </w:r>
      <w:r w:rsidR="00044406" w:rsidRPr="00D920C9">
        <w:rPr>
          <w:rFonts w:asciiTheme="minorHAnsi" w:hAnsiTheme="minorHAnsi"/>
        </w:rPr>
        <w:t>es</w:t>
      </w:r>
      <w:r w:rsidR="00AB1C48" w:rsidRPr="00D920C9">
        <w:rPr>
          <w:rFonts w:asciiTheme="minorHAnsi" w:hAnsiTheme="minorHAnsi"/>
        </w:rPr>
        <w:t xml:space="preserve"> </w:t>
      </w:r>
      <w:r w:rsidR="00AB1C48" w:rsidRPr="00D920C9">
        <w:rPr>
          <w:rFonts w:asciiTheme="minorHAnsi" w:hAnsiTheme="minorHAnsi"/>
        </w:rPr>
        <w:lastRenderedPageBreak/>
        <w:t xml:space="preserve">that discrimination against </w:t>
      </w:r>
      <w:r w:rsidR="00044406" w:rsidRPr="00D920C9">
        <w:rPr>
          <w:rFonts w:asciiTheme="minorHAnsi" w:hAnsiTheme="minorHAnsi"/>
        </w:rPr>
        <w:t>black individuals</w:t>
      </w:r>
      <w:r w:rsidR="00AB1C48" w:rsidRPr="00D920C9">
        <w:rPr>
          <w:rFonts w:asciiTheme="minorHAnsi" w:hAnsiTheme="minorHAnsi"/>
        </w:rPr>
        <w:t xml:space="preserve"> with criminal records is likely more severe than against white individuals with criminal records. For example, one study found that white men with a criminal record received more positive responses from employers than black men with no criminal record.</w:t>
      </w:r>
      <w:r w:rsidR="00AB1C48" w:rsidRPr="00D920C9">
        <w:rPr>
          <w:rStyle w:val="FootnoteReference"/>
          <w:rFonts w:asciiTheme="minorHAnsi" w:hAnsiTheme="minorHAnsi"/>
        </w:rPr>
        <w:footnoteReference w:id="334"/>
      </w:r>
      <w:bookmarkEnd w:id="119"/>
      <w:r w:rsidRPr="00D920C9">
        <w:rPr>
          <w:rFonts w:asciiTheme="minorHAnsi" w:hAnsiTheme="minorHAnsi"/>
        </w:rPr>
        <w:t xml:space="preserve"> Likewise, </w:t>
      </w:r>
      <w:r w:rsidR="00E020AC" w:rsidRPr="00D920C9">
        <w:rPr>
          <w:rFonts w:asciiTheme="minorHAnsi" w:hAnsiTheme="minorHAnsi"/>
        </w:rPr>
        <w:t>a variety of laws and policies tend to exclude persons with prior felony convictions for drug crimes from accessing housing</w:t>
      </w:r>
      <w:r w:rsidR="00E020AC" w:rsidRPr="00D920C9">
        <w:rPr>
          <w:rStyle w:val="FootnoteReference"/>
          <w:rFonts w:asciiTheme="minorHAnsi" w:hAnsiTheme="minorHAnsi"/>
        </w:rPr>
        <w:footnoteReference w:id="335"/>
      </w:r>
      <w:r w:rsidR="00E020AC" w:rsidRPr="00D920C9">
        <w:rPr>
          <w:rFonts w:asciiTheme="minorHAnsi" w:hAnsiTheme="minorHAnsi"/>
        </w:rPr>
        <w:t xml:space="preserve"> and public benefits.</w:t>
      </w:r>
      <w:r w:rsidR="00E020AC" w:rsidRPr="00D920C9">
        <w:rPr>
          <w:rStyle w:val="FootnoteReference"/>
          <w:rFonts w:asciiTheme="minorHAnsi" w:hAnsiTheme="minorHAnsi"/>
        </w:rPr>
        <w:footnoteReference w:id="336"/>
      </w:r>
      <w:r w:rsidR="00E020AC" w:rsidRPr="00D920C9">
        <w:rPr>
          <w:rFonts w:asciiTheme="minorHAnsi" w:hAnsiTheme="minorHAnsi"/>
        </w:rPr>
        <w:t xml:space="preserve"> </w:t>
      </w:r>
      <w:r w:rsidRPr="00D920C9">
        <w:rPr>
          <w:rFonts w:asciiTheme="minorHAnsi" w:hAnsiTheme="minorHAnsi"/>
        </w:rPr>
        <w:t>These dispositions have an important effect on poverty and access to rights.</w:t>
      </w:r>
      <w:bookmarkEnd w:id="120"/>
    </w:p>
    <w:p w14:paraId="7F5143BA" w14:textId="77777777" w:rsidR="00B4412C" w:rsidRPr="00D920C9" w:rsidRDefault="00BB4F84" w:rsidP="003D7958">
      <w:pPr>
        <w:pStyle w:val="Heading3"/>
        <w:ind w:left="540" w:hanging="540"/>
      </w:pPr>
      <w:bookmarkStart w:id="121" w:name="_Toc511837819"/>
      <w:bookmarkStart w:id="122" w:name="_Toc511902992"/>
      <w:bookmarkStart w:id="123" w:name="_Toc517687922"/>
      <w:r w:rsidRPr="00D920C9">
        <w:t>Related</w:t>
      </w:r>
      <w:r w:rsidR="00B4412C" w:rsidRPr="00D920C9">
        <w:t xml:space="preserve"> </w:t>
      </w:r>
      <w:r w:rsidR="0013717A" w:rsidRPr="00D920C9">
        <w:t xml:space="preserve">Structural Issues </w:t>
      </w:r>
      <w:r w:rsidR="009F3240" w:rsidRPr="00D920C9">
        <w:t xml:space="preserve">of </w:t>
      </w:r>
      <w:r w:rsidR="0013717A" w:rsidRPr="00D920C9">
        <w:t>Racial Discrimination</w:t>
      </w:r>
      <w:bookmarkEnd w:id="121"/>
      <w:bookmarkEnd w:id="122"/>
      <w:bookmarkEnd w:id="123"/>
    </w:p>
    <w:p w14:paraId="6BA02FBA" w14:textId="77777777" w:rsidR="00412125" w:rsidRPr="00D920C9" w:rsidRDefault="00412125" w:rsidP="00E86698">
      <w:pPr>
        <w:pStyle w:val="ListParagraph"/>
        <w:numPr>
          <w:ilvl w:val="0"/>
          <w:numId w:val="9"/>
        </w:numPr>
        <w:spacing w:after="240" w:line="240" w:lineRule="auto"/>
        <w:ind w:left="547" w:hanging="547"/>
        <w:contextualSpacing w:val="0"/>
        <w:jc w:val="both"/>
        <w:rPr>
          <w:rFonts w:asciiTheme="minorHAnsi" w:hAnsiTheme="minorHAnsi"/>
        </w:rPr>
      </w:pPr>
      <w:r w:rsidRPr="00D920C9">
        <w:rPr>
          <w:rFonts w:asciiTheme="minorHAnsi" w:hAnsiTheme="minorHAnsi"/>
        </w:rPr>
        <w:t xml:space="preserve">As noted throughout this report, racial discrimination against African Americans in the United States is structural and therefore affects virtually every aspect of life. While a complete consideration of the dimensions of structural discrimination against African Americans in the </w:t>
      </w:r>
      <w:r w:rsidR="006D4A9B" w:rsidRPr="00D920C9">
        <w:rPr>
          <w:rFonts w:asciiTheme="minorHAnsi" w:hAnsiTheme="minorHAnsi"/>
        </w:rPr>
        <w:t>U.S.</w:t>
      </w:r>
      <w:r w:rsidRPr="00D920C9">
        <w:rPr>
          <w:rFonts w:asciiTheme="minorHAnsi" w:hAnsiTheme="minorHAnsi"/>
        </w:rPr>
        <w:t xml:space="preserve"> is therefore beyond the scope of this report, this section addresses several issues that are closely connected to the issues of policing and use of force, as well as to the impact of the criminal justice system on African Americans</w:t>
      </w:r>
      <w:r w:rsidR="00BB4F84" w:rsidRPr="00D920C9">
        <w:rPr>
          <w:rFonts w:asciiTheme="minorHAnsi" w:hAnsiTheme="minorHAnsi"/>
        </w:rPr>
        <w:t>.</w:t>
      </w:r>
      <w:r w:rsidRPr="00D920C9">
        <w:rPr>
          <w:rFonts w:asciiTheme="minorHAnsi" w:hAnsiTheme="minorHAnsi"/>
        </w:rPr>
        <w:t xml:space="preserve"> </w:t>
      </w:r>
    </w:p>
    <w:p w14:paraId="7B53E7D4" w14:textId="77777777" w:rsidR="00827804" w:rsidRPr="00D920C9" w:rsidRDefault="00827804" w:rsidP="003D7958">
      <w:pPr>
        <w:pStyle w:val="Heading4"/>
        <w:numPr>
          <w:ilvl w:val="0"/>
          <w:numId w:val="35"/>
        </w:numPr>
        <w:ind w:left="540" w:hanging="540"/>
      </w:pPr>
      <w:bookmarkStart w:id="124" w:name="_Toc511837820"/>
      <w:bookmarkStart w:id="125" w:name="_Toc511902993"/>
      <w:bookmarkStart w:id="126" w:name="_Toc517687923"/>
      <w:r w:rsidRPr="00D920C9">
        <w:t xml:space="preserve">Social </w:t>
      </w:r>
      <w:r w:rsidR="0013717A" w:rsidRPr="00D920C9">
        <w:t>Context</w:t>
      </w:r>
      <w:r w:rsidRPr="00D920C9">
        <w:t xml:space="preserve">: </w:t>
      </w:r>
      <w:r w:rsidR="0013717A" w:rsidRPr="00D920C9">
        <w:t>Stigma, Hate Speech</w:t>
      </w:r>
      <w:r w:rsidRPr="00D920C9">
        <w:t xml:space="preserve">, and </w:t>
      </w:r>
      <w:r w:rsidR="0013717A" w:rsidRPr="00D920C9">
        <w:t>Hate Crimes</w:t>
      </w:r>
      <w:bookmarkEnd w:id="124"/>
      <w:bookmarkEnd w:id="125"/>
      <w:bookmarkEnd w:id="126"/>
    </w:p>
    <w:p w14:paraId="5CF1BA8E" w14:textId="56581EDD" w:rsidR="003731DE" w:rsidRPr="00D920C9" w:rsidRDefault="00827804" w:rsidP="00E86698">
      <w:pPr>
        <w:pStyle w:val="ListParagraph"/>
        <w:numPr>
          <w:ilvl w:val="0"/>
          <w:numId w:val="9"/>
        </w:numPr>
        <w:spacing w:after="240" w:line="240" w:lineRule="auto"/>
        <w:ind w:left="547" w:hanging="547"/>
        <w:contextualSpacing w:val="0"/>
        <w:jc w:val="both"/>
        <w:rPr>
          <w:rFonts w:asciiTheme="minorHAnsi" w:hAnsiTheme="minorHAnsi"/>
        </w:rPr>
      </w:pPr>
      <w:bookmarkStart w:id="127" w:name="_Ref507431987"/>
      <w:r w:rsidRPr="00D920C9">
        <w:rPr>
          <w:rFonts w:asciiTheme="minorHAnsi" w:hAnsiTheme="minorHAnsi"/>
        </w:rPr>
        <w:t xml:space="preserve">The Commission is </w:t>
      </w:r>
      <w:r w:rsidR="00C42B87" w:rsidRPr="00D920C9">
        <w:rPr>
          <w:rFonts w:asciiTheme="minorHAnsi" w:hAnsiTheme="minorHAnsi"/>
        </w:rPr>
        <w:t>seriously</w:t>
      </w:r>
      <w:r w:rsidRPr="00D920C9">
        <w:rPr>
          <w:rFonts w:asciiTheme="minorHAnsi" w:hAnsiTheme="minorHAnsi"/>
        </w:rPr>
        <w:t xml:space="preserve"> concerned by reports of rising numbers of hate crimes and by alarming increases in hate speech in the </w:t>
      </w:r>
      <w:r w:rsidR="006D4A9B" w:rsidRPr="00D920C9">
        <w:rPr>
          <w:rFonts w:asciiTheme="minorHAnsi" w:hAnsiTheme="minorHAnsi"/>
        </w:rPr>
        <w:t>U.S</w:t>
      </w:r>
      <w:r w:rsidRPr="00D920C9">
        <w:rPr>
          <w:rFonts w:asciiTheme="minorHAnsi" w:hAnsiTheme="minorHAnsi"/>
        </w:rPr>
        <w:t xml:space="preserve">. This increase has been particularly marked </w:t>
      </w:r>
      <w:r w:rsidR="00044406" w:rsidRPr="00D920C9">
        <w:rPr>
          <w:rFonts w:asciiTheme="minorHAnsi" w:hAnsiTheme="minorHAnsi"/>
        </w:rPr>
        <w:t>in</w:t>
      </w:r>
      <w:r w:rsidR="00F56BE6" w:rsidRPr="00D920C9">
        <w:rPr>
          <w:rFonts w:asciiTheme="minorHAnsi" w:hAnsiTheme="minorHAnsi"/>
        </w:rPr>
        <w:t xml:space="preserve"> </w:t>
      </w:r>
      <w:r w:rsidRPr="00D920C9">
        <w:rPr>
          <w:rFonts w:asciiTheme="minorHAnsi" w:hAnsiTheme="minorHAnsi"/>
        </w:rPr>
        <w:t>2016 and 2017. The Federal Bureau of Investigation (FBI) recently reported a five-year high in hate crimes, with 6,121 in 2016—a five percent increase over 2015, which saw 5,818 such crimes reported.</w:t>
      </w:r>
      <w:r w:rsidRPr="00D920C9">
        <w:rPr>
          <w:rStyle w:val="FootnoteReference"/>
          <w:rFonts w:asciiTheme="minorHAnsi" w:hAnsiTheme="minorHAnsi"/>
        </w:rPr>
        <w:footnoteReference w:id="337"/>
      </w:r>
      <w:r w:rsidRPr="00D920C9">
        <w:rPr>
          <w:rFonts w:asciiTheme="minorHAnsi" w:hAnsiTheme="minorHAnsi"/>
        </w:rPr>
        <w:t xml:space="preserve"> It is relevant to note, however, that 88 percent of participating law enforcement agencies reported no hate crimes in their jurisdictions, represent</w:t>
      </w:r>
      <w:r w:rsidR="00454092" w:rsidRPr="00D920C9">
        <w:rPr>
          <w:rFonts w:asciiTheme="minorHAnsi" w:hAnsiTheme="minorHAnsi"/>
        </w:rPr>
        <w:t>ing</w:t>
      </w:r>
      <w:r w:rsidRPr="00D920C9">
        <w:rPr>
          <w:rFonts w:asciiTheme="minorHAnsi" w:hAnsiTheme="minorHAnsi"/>
        </w:rPr>
        <w:t xml:space="preserve"> an ongoing challenge for data collection efforts. In comparison, the Bureau of Justice Statistics, a government entity that is also part of the </w:t>
      </w:r>
      <w:r w:rsidR="00044406" w:rsidRPr="00D920C9">
        <w:rPr>
          <w:rFonts w:asciiTheme="minorHAnsi" w:hAnsiTheme="minorHAnsi"/>
        </w:rPr>
        <w:t>DOJ</w:t>
      </w:r>
      <w:r w:rsidRPr="00D920C9">
        <w:rPr>
          <w:rFonts w:asciiTheme="minorHAnsi" w:hAnsiTheme="minorHAnsi"/>
        </w:rPr>
        <w:t xml:space="preserve">, estimates an annual average of 250,000 </w:t>
      </w:r>
      <w:r w:rsidR="00454092" w:rsidRPr="00D920C9">
        <w:rPr>
          <w:rFonts w:asciiTheme="minorHAnsi" w:hAnsiTheme="minorHAnsi"/>
        </w:rPr>
        <w:t xml:space="preserve">hate </w:t>
      </w:r>
      <w:r w:rsidR="00454092" w:rsidRPr="00D920C9">
        <w:rPr>
          <w:rFonts w:asciiTheme="minorHAnsi" w:hAnsiTheme="minorHAnsi"/>
        </w:rPr>
        <w:lastRenderedPageBreak/>
        <w:t xml:space="preserve">crime </w:t>
      </w:r>
      <w:r w:rsidRPr="00D920C9">
        <w:rPr>
          <w:rFonts w:asciiTheme="minorHAnsi" w:hAnsiTheme="minorHAnsi"/>
        </w:rPr>
        <w:t>incidents, about 40 times the number reported by the FBI.</w:t>
      </w:r>
      <w:r w:rsidRPr="00D920C9">
        <w:rPr>
          <w:rStyle w:val="FootnoteReference"/>
          <w:rFonts w:asciiTheme="minorHAnsi" w:hAnsiTheme="minorHAnsi"/>
        </w:rPr>
        <w:footnoteReference w:id="338"/>
      </w:r>
      <w:r w:rsidRPr="00D920C9">
        <w:rPr>
          <w:rFonts w:asciiTheme="minorHAnsi" w:hAnsiTheme="minorHAnsi"/>
        </w:rPr>
        <w:t xml:space="preserve"> </w:t>
      </w:r>
      <w:r w:rsidR="00137FBC" w:rsidRPr="00D920C9">
        <w:rPr>
          <w:rFonts w:asciiTheme="minorHAnsi" w:hAnsiTheme="minorHAnsi"/>
        </w:rPr>
        <w:t>The FBI found that about 58 percent of reported hate crimes in 2016 were motivated on the basis of race, ethnicity, or national origin</w:t>
      </w:r>
      <w:r w:rsidR="00D1452B" w:rsidRPr="00D920C9">
        <w:rPr>
          <w:rFonts w:asciiTheme="minorHAnsi" w:hAnsiTheme="minorHAnsi"/>
        </w:rPr>
        <w:t>.</w:t>
      </w:r>
      <w:r w:rsidR="00D1452B" w:rsidRPr="00D920C9">
        <w:rPr>
          <w:rStyle w:val="FootnoteReference"/>
          <w:rFonts w:asciiTheme="minorHAnsi" w:hAnsiTheme="minorHAnsi"/>
        </w:rPr>
        <w:footnoteReference w:id="339"/>
      </w:r>
      <w:r w:rsidR="00137FBC" w:rsidRPr="00D920C9">
        <w:rPr>
          <w:rFonts w:asciiTheme="minorHAnsi" w:hAnsiTheme="minorHAnsi"/>
        </w:rPr>
        <w:t xml:space="preserve"> </w:t>
      </w:r>
      <w:r w:rsidR="00693EDF" w:rsidRPr="00D920C9">
        <w:rPr>
          <w:rFonts w:asciiTheme="minorHAnsi" w:hAnsiTheme="minorHAnsi"/>
        </w:rPr>
        <w:t>The Commission expresses concern about the reported difficulty of prosecuting and, as appropriate, achieving convictions for hate crimes owing to a variety of factors, including gaps in state laws and lack of federal resources to prosecute, as well as the difficulty of proving the perpetrator’s specific intent (</w:t>
      </w:r>
      <w:proofErr w:type="spellStart"/>
      <w:r w:rsidR="00693EDF" w:rsidRPr="00D920C9">
        <w:rPr>
          <w:rFonts w:asciiTheme="minorHAnsi" w:hAnsiTheme="minorHAnsi"/>
          <w:i/>
        </w:rPr>
        <w:t>dolo</w:t>
      </w:r>
      <w:proofErr w:type="spellEnd"/>
      <w:r w:rsidR="00693EDF" w:rsidRPr="00D920C9">
        <w:rPr>
          <w:rFonts w:asciiTheme="minorHAnsi" w:hAnsiTheme="minorHAnsi"/>
        </w:rPr>
        <w:t>) to commit a hate crime.</w:t>
      </w:r>
      <w:r w:rsidR="00693EDF" w:rsidRPr="00D920C9">
        <w:rPr>
          <w:rStyle w:val="FootnoteReference"/>
          <w:rFonts w:asciiTheme="minorHAnsi" w:hAnsiTheme="minorHAnsi"/>
        </w:rPr>
        <w:footnoteReference w:id="340"/>
      </w:r>
      <w:r w:rsidR="00693EDF" w:rsidRPr="00D920C9">
        <w:rPr>
          <w:rFonts w:asciiTheme="minorHAnsi" w:hAnsiTheme="minorHAnsi"/>
        </w:rPr>
        <w:t xml:space="preserve"> </w:t>
      </w:r>
      <w:r w:rsidR="002038BC" w:rsidRPr="00D920C9">
        <w:rPr>
          <w:rFonts w:asciiTheme="minorHAnsi" w:hAnsiTheme="minorHAnsi"/>
        </w:rPr>
        <w:t>The Commission considers that this wider social context of increasing expressions of h</w:t>
      </w:r>
      <w:r w:rsidR="0030356C" w:rsidRPr="00D920C9">
        <w:rPr>
          <w:rFonts w:asciiTheme="minorHAnsi" w:hAnsiTheme="minorHAnsi"/>
        </w:rPr>
        <w:t xml:space="preserve">ate and bigotry against African </w:t>
      </w:r>
      <w:r w:rsidR="002038BC" w:rsidRPr="00D920C9">
        <w:rPr>
          <w:rFonts w:asciiTheme="minorHAnsi" w:hAnsiTheme="minorHAnsi"/>
        </w:rPr>
        <w:t xml:space="preserve">Americans </w:t>
      </w:r>
      <w:r w:rsidR="004B7C27" w:rsidRPr="00D920C9">
        <w:rPr>
          <w:rFonts w:asciiTheme="minorHAnsi" w:hAnsiTheme="minorHAnsi"/>
        </w:rPr>
        <w:t xml:space="preserve">(as well as </w:t>
      </w:r>
      <w:r w:rsidR="002038BC" w:rsidRPr="00D920C9">
        <w:rPr>
          <w:rFonts w:asciiTheme="minorHAnsi" w:hAnsiTheme="minorHAnsi"/>
        </w:rPr>
        <w:t xml:space="preserve">other </w:t>
      </w:r>
      <w:r w:rsidR="004B7C27" w:rsidRPr="00D920C9">
        <w:rPr>
          <w:rFonts w:asciiTheme="minorHAnsi" w:hAnsiTheme="minorHAnsi"/>
        </w:rPr>
        <w:t xml:space="preserve">historically marginalized </w:t>
      </w:r>
      <w:r w:rsidR="002038BC" w:rsidRPr="00D920C9">
        <w:rPr>
          <w:rFonts w:asciiTheme="minorHAnsi" w:hAnsiTheme="minorHAnsi"/>
        </w:rPr>
        <w:t>groups, including Muslims, immigrants, and Jews</w:t>
      </w:r>
      <w:r w:rsidR="004B7C27" w:rsidRPr="00D920C9">
        <w:rPr>
          <w:rFonts w:asciiTheme="minorHAnsi" w:hAnsiTheme="minorHAnsi"/>
        </w:rPr>
        <w:t>)</w:t>
      </w:r>
      <w:r w:rsidR="002038BC" w:rsidRPr="00D920C9">
        <w:rPr>
          <w:rFonts w:asciiTheme="minorHAnsi" w:hAnsiTheme="minorHAnsi"/>
        </w:rPr>
        <w:t>, cannot be separated from the other situations of discrimin</w:t>
      </w:r>
      <w:r w:rsidR="00693EDF" w:rsidRPr="00D920C9">
        <w:rPr>
          <w:rFonts w:asciiTheme="minorHAnsi" w:hAnsiTheme="minorHAnsi"/>
        </w:rPr>
        <w:t>ation considered in this report, in particular as they affect State obligations with respect to non-discrimination and equal protection of the law.</w:t>
      </w:r>
      <w:bookmarkEnd w:id="127"/>
    </w:p>
    <w:p w14:paraId="408ED43E" w14:textId="3BCA071B" w:rsidR="009E4764" w:rsidRPr="00D920C9" w:rsidRDefault="003731DE" w:rsidP="00E86698">
      <w:pPr>
        <w:pStyle w:val="ListParagraph"/>
        <w:numPr>
          <w:ilvl w:val="0"/>
          <w:numId w:val="9"/>
        </w:numPr>
        <w:spacing w:after="240" w:line="240" w:lineRule="auto"/>
        <w:ind w:left="547" w:hanging="547"/>
        <w:contextualSpacing w:val="0"/>
        <w:jc w:val="both"/>
        <w:rPr>
          <w:rFonts w:asciiTheme="minorHAnsi" w:hAnsiTheme="minorHAnsi"/>
        </w:rPr>
      </w:pPr>
      <w:r w:rsidRPr="00D920C9">
        <w:rPr>
          <w:rFonts w:asciiTheme="minorHAnsi" w:hAnsiTheme="minorHAnsi"/>
        </w:rPr>
        <w:t>Within this context</w:t>
      </w:r>
      <w:r w:rsidR="00F56F74" w:rsidRPr="00D920C9">
        <w:rPr>
          <w:rFonts w:asciiTheme="minorHAnsi" w:hAnsiTheme="minorHAnsi"/>
        </w:rPr>
        <w:t xml:space="preserve"> of</w:t>
      </w:r>
      <w:r w:rsidRPr="00D920C9">
        <w:rPr>
          <w:rFonts w:asciiTheme="minorHAnsi" w:hAnsiTheme="minorHAnsi"/>
        </w:rPr>
        <w:t xml:space="preserve"> </w:t>
      </w:r>
      <w:r w:rsidR="004B7C27" w:rsidRPr="00D920C9">
        <w:rPr>
          <w:rFonts w:asciiTheme="minorHAnsi" w:hAnsiTheme="minorHAnsi"/>
        </w:rPr>
        <w:t xml:space="preserve">shocking </w:t>
      </w:r>
      <w:r w:rsidRPr="00D920C9">
        <w:rPr>
          <w:rFonts w:asciiTheme="minorHAnsi" w:hAnsiTheme="minorHAnsi"/>
        </w:rPr>
        <w:t>expressions of hate, the massacre perpetrated at the Emanuel African Methodist Episcopal Church (a historically Black church) in Charleston, South Carolina, in April 2015, in which a white supremacist gunman murdered nine Black parishioners during Sunday services, stand</w:t>
      </w:r>
      <w:r w:rsidR="00F56F74" w:rsidRPr="00D920C9">
        <w:rPr>
          <w:rFonts w:asciiTheme="minorHAnsi" w:hAnsiTheme="minorHAnsi"/>
        </w:rPr>
        <w:t>s</w:t>
      </w:r>
      <w:r w:rsidRPr="00D920C9">
        <w:rPr>
          <w:rFonts w:asciiTheme="minorHAnsi" w:hAnsiTheme="minorHAnsi"/>
        </w:rPr>
        <w:t xml:space="preserve"> out.</w:t>
      </w:r>
      <w:r w:rsidRPr="00D920C9">
        <w:rPr>
          <w:rStyle w:val="FootnoteReference"/>
          <w:rFonts w:asciiTheme="minorHAnsi" w:hAnsiTheme="minorHAnsi"/>
        </w:rPr>
        <w:footnoteReference w:id="341"/>
      </w:r>
      <w:r w:rsidR="007C2C1A" w:rsidRPr="00D920C9">
        <w:rPr>
          <w:rFonts w:asciiTheme="minorHAnsi" w:hAnsiTheme="minorHAnsi"/>
        </w:rPr>
        <w:t xml:space="preserve"> The shooter’s white supremacist beliefs are well-documented;</w:t>
      </w:r>
      <w:r w:rsidR="007C2C1A" w:rsidRPr="00D920C9">
        <w:rPr>
          <w:rStyle w:val="FootnoteReference"/>
          <w:rFonts w:asciiTheme="minorHAnsi" w:hAnsiTheme="minorHAnsi"/>
        </w:rPr>
        <w:footnoteReference w:id="342"/>
      </w:r>
      <w:r w:rsidR="007C2C1A" w:rsidRPr="00D920C9">
        <w:rPr>
          <w:rFonts w:asciiTheme="minorHAnsi" w:hAnsiTheme="minorHAnsi"/>
        </w:rPr>
        <w:t xml:space="preserve"> t</w:t>
      </w:r>
      <w:r w:rsidRPr="00D920C9">
        <w:rPr>
          <w:rFonts w:asciiTheme="minorHAnsi" w:hAnsiTheme="minorHAnsi"/>
        </w:rPr>
        <w:t>h</w:t>
      </w:r>
      <w:r w:rsidR="007C2C1A" w:rsidRPr="00D920C9">
        <w:rPr>
          <w:rFonts w:asciiTheme="minorHAnsi" w:hAnsiTheme="minorHAnsi"/>
        </w:rPr>
        <w:t>e</w:t>
      </w:r>
      <w:r w:rsidRPr="00D920C9">
        <w:rPr>
          <w:rFonts w:asciiTheme="minorHAnsi" w:hAnsiTheme="minorHAnsi"/>
        </w:rPr>
        <w:t xml:space="preserve"> crime was prosecuted as a federal hate crime, and the shooter was sentenced to death in the federal proceedings</w:t>
      </w:r>
      <w:r w:rsidR="002038BC" w:rsidRPr="00D920C9">
        <w:rPr>
          <w:rFonts w:asciiTheme="minorHAnsi" w:hAnsiTheme="minorHAnsi"/>
        </w:rPr>
        <w:t xml:space="preserve"> and nine life sentences in state proceedings</w:t>
      </w:r>
      <w:r w:rsidRPr="00D920C9">
        <w:rPr>
          <w:rFonts w:asciiTheme="minorHAnsi" w:hAnsiTheme="minorHAnsi"/>
        </w:rPr>
        <w:t>.</w:t>
      </w:r>
      <w:r w:rsidRPr="00D920C9">
        <w:rPr>
          <w:rStyle w:val="FootnoteReference"/>
          <w:rFonts w:asciiTheme="minorHAnsi" w:hAnsiTheme="minorHAnsi"/>
        </w:rPr>
        <w:footnoteReference w:id="343"/>
      </w:r>
      <w:r w:rsidRPr="00D920C9">
        <w:rPr>
          <w:rFonts w:asciiTheme="minorHAnsi" w:hAnsiTheme="minorHAnsi"/>
        </w:rPr>
        <w:t xml:space="preserve"> </w:t>
      </w:r>
      <w:r w:rsidR="007C2C1A" w:rsidRPr="00D920C9">
        <w:rPr>
          <w:rFonts w:asciiTheme="minorHAnsi" w:hAnsiTheme="minorHAnsi"/>
        </w:rPr>
        <w:t>This tragedy also contributed to a renewed movement to remove the Confederate flag from display in public buildings in states like South Carolina.</w:t>
      </w:r>
      <w:r w:rsidR="007C2C1A" w:rsidRPr="00D920C9">
        <w:rPr>
          <w:rStyle w:val="FootnoteReference"/>
          <w:rFonts w:asciiTheme="minorHAnsi" w:hAnsiTheme="minorHAnsi"/>
        </w:rPr>
        <w:footnoteReference w:id="344"/>
      </w:r>
    </w:p>
    <w:p w14:paraId="427135A0" w14:textId="77777777" w:rsidR="00E65534" w:rsidRPr="00D920C9" w:rsidRDefault="00710238" w:rsidP="00E86698">
      <w:pPr>
        <w:pStyle w:val="ListParagraph"/>
        <w:numPr>
          <w:ilvl w:val="0"/>
          <w:numId w:val="9"/>
        </w:numPr>
        <w:spacing w:after="240" w:line="240" w:lineRule="auto"/>
        <w:ind w:left="547" w:hanging="547"/>
        <w:contextualSpacing w:val="0"/>
        <w:jc w:val="both"/>
        <w:rPr>
          <w:rFonts w:asciiTheme="minorHAnsi" w:eastAsiaTheme="minorHAnsi" w:hAnsiTheme="minorHAnsi"/>
          <w:b/>
          <w:bCs/>
        </w:rPr>
      </w:pPr>
      <w:r w:rsidRPr="00D920C9">
        <w:rPr>
          <w:rFonts w:asciiTheme="minorHAnsi" w:hAnsiTheme="minorHAnsi"/>
        </w:rPr>
        <w:t xml:space="preserve">The Commission underscores </w:t>
      </w:r>
      <w:r w:rsidR="00554A51" w:rsidRPr="00D920C9">
        <w:rPr>
          <w:rFonts w:asciiTheme="minorHAnsi" w:hAnsiTheme="minorHAnsi"/>
        </w:rPr>
        <w:t>as well</w:t>
      </w:r>
      <w:r w:rsidRPr="00D920C9">
        <w:rPr>
          <w:rFonts w:asciiTheme="minorHAnsi" w:hAnsiTheme="minorHAnsi"/>
        </w:rPr>
        <w:t xml:space="preserve"> the events that took place in Charlottesville, Virginia on August 11-12, 2017, where hundreds of persons belonging to white nationalist groups gathered for a rally entitled “Unite t</w:t>
      </w:r>
      <w:r w:rsidR="00E65534" w:rsidRPr="00D920C9">
        <w:rPr>
          <w:rFonts w:asciiTheme="minorHAnsi" w:hAnsiTheme="minorHAnsi"/>
        </w:rPr>
        <w:t>he Right.”</w:t>
      </w:r>
      <w:r w:rsidR="00E65534" w:rsidRPr="00D920C9">
        <w:rPr>
          <w:rStyle w:val="FootnoteReference"/>
          <w:rFonts w:asciiTheme="minorHAnsi" w:hAnsiTheme="minorHAnsi"/>
        </w:rPr>
        <w:footnoteReference w:id="345"/>
      </w:r>
      <w:r w:rsidRPr="00D920C9">
        <w:rPr>
          <w:rFonts w:asciiTheme="minorHAnsi" w:hAnsiTheme="minorHAnsi"/>
        </w:rPr>
        <w:t xml:space="preserve"> The persons represented a number of white supremacist hate groups, including Neo-Nazis and the Ku Klux Klan, and expressed bigotry and hatred against groups including </w:t>
      </w:r>
      <w:r w:rsidR="00044406" w:rsidRPr="00D920C9">
        <w:rPr>
          <w:rFonts w:asciiTheme="minorHAnsi" w:hAnsiTheme="minorHAnsi"/>
        </w:rPr>
        <w:t>Blacks</w:t>
      </w:r>
      <w:r w:rsidRPr="00D920C9">
        <w:rPr>
          <w:rFonts w:asciiTheme="minorHAnsi" w:hAnsiTheme="minorHAnsi"/>
        </w:rPr>
        <w:t xml:space="preserve">, Jews, and immigrants. Violent clashes erupted during the events in Charlottesville on August 12, and one </w:t>
      </w:r>
      <w:r w:rsidRPr="00D920C9">
        <w:rPr>
          <w:rFonts w:asciiTheme="minorHAnsi" w:hAnsiTheme="minorHAnsi"/>
        </w:rPr>
        <w:lastRenderedPageBreak/>
        <w:t xml:space="preserve">“Unite the Right” protester drove a car into a crowd of counter-protesters, killing one counter-protester, Heather </w:t>
      </w:r>
      <w:proofErr w:type="spellStart"/>
      <w:r w:rsidRPr="00D920C9">
        <w:rPr>
          <w:rFonts w:asciiTheme="minorHAnsi" w:hAnsiTheme="minorHAnsi"/>
        </w:rPr>
        <w:t>Heyer</w:t>
      </w:r>
      <w:proofErr w:type="spellEnd"/>
      <w:r w:rsidRPr="00D920C9">
        <w:rPr>
          <w:rFonts w:asciiTheme="minorHAnsi" w:hAnsiTheme="minorHAnsi"/>
        </w:rPr>
        <w:t xml:space="preserve">. At least nineteen other counter-protesters were injured, including DeAndre Harris, </w:t>
      </w:r>
      <w:r w:rsidR="00A53AB4" w:rsidRPr="00D920C9">
        <w:rPr>
          <w:rFonts w:asciiTheme="minorHAnsi" w:hAnsiTheme="minorHAnsi"/>
        </w:rPr>
        <w:t xml:space="preserve">an African American man </w:t>
      </w:r>
      <w:r w:rsidRPr="00D920C9">
        <w:rPr>
          <w:rFonts w:asciiTheme="minorHAnsi" w:hAnsiTheme="minorHAnsi"/>
        </w:rPr>
        <w:t>who was violently beaten</w:t>
      </w:r>
      <w:r w:rsidR="00554A51" w:rsidRPr="00D920C9">
        <w:rPr>
          <w:rFonts w:asciiTheme="minorHAnsi" w:hAnsiTheme="minorHAnsi"/>
        </w:rPr>
        <w:t xml:space="preserve"> </w:t>
      </w:r>
      <w:r w:rsidR="00A53AB4" w:rsidRPr="00D920C9">
        <w:rPr>
          <w:rFonts w:asciiTheme="minorHAnsi" w:hAnsiTheme="minorHAnsi"/>
        </w:rPr>
        <w:t xml:space="preserve">by white supremacists </w:t>
      </w:r>
      <w:r w:rsidR="00554A51" w:rsidRPr="00D920C9">
        <w:rPr>
          <w:rFonts w:asciiTheme="minorHAnsi" w:hAnsiTheme="minorHAnsi"/>
        </w:rPr>
        <w:t>while police apparently looked on</w:t>
      </w:r>
      <w:r w:rsidRPr="00D920C9">
        <w:rPr>
          <w:rFonts w:asciiTheme="minorHAnsi" w:hAnsiTheme="minorHAnsi"/>
        </w:rPr>
        <w:t>.</w:t>
      </w:r>
      <w:r w:rsidRPr="00D920C9">
        <w:rPr>
          <w:rStyle w:val="FootnoteReference"/>
          <w:rFonts w:asciiTheme="minorHAnsi" w:hAnsiTheme="minorHAnsi"/>
        </w:rPr>
        <w:footnoteReference w:id="346"/>
      </w:r>
      <w:r w:rsidR="00E65534" w:rsidRPr="00D920C9">
        <w:rPr>
          <w:rFonts w:asciiTheme="minorHAnsi" w:hAnsiTheme="minorHAnsi"/>
        </w:rPr>
        <w:t xml:space="preserve"> Counter-protesters present at the rally and media organizations have since questioned the role of the police at the rally, stating that police stood by while white nationalists beat them, that few were arrested, and that almost none have been convicted to date.</w:t>
      </w:r>
      <w:r w:rsidR="00E65534" w:rsidRPr="00D920C9">
        <w:rPr>
          <w:rStyle w:val="FootnoteReference"/>
          <w:rFonts w:asciiTheme="minorHAnsi" w:hAnsiTheme="minorHAnsi"/>
        </w:rPr>
        <w:footnoteReference w:id="347"/>
      </w:r>
      <w:r w:rsidR="00E65534" w:rsidRPr="00D920C9">
        <w:rPr>
          <w:rFonts w:asciiTheme="minorHAnsi" w:hAnsiTheme="minorHAnsi"/>
        </w:rPr>
        <w:t xml:space="preserve"> The Commission notes that criminal charges have been brought against some of the rally participants accused of the killing and wounding, respectively, of Heather </w:t>
      </w:r>
      <w:proofErr w:type="spellStart"/>
      <w:r w:rsidR="00E65534" w:rsidRPr="00D920C9">
        <w:rPr>
          <w:rFonts w:asciiTheme="minorHAnsi" w:hAnsiTheme="minorHAnsi"/>
        </w:rPr>
        <w:t>Heyer</w:t>
      </w:r>
      <w:proofErr w:type="spellEnd"/>
      <w:r w:rsidR="00E65534" w:rsidRPr="00D920C9">
        <w:rPr>
          <w:rFonts w:asciiTheme="minorHAnsi" w:hAnsiTheme="minorHAnsi"/>
        </w:rPr>
        <w:t xml:space="preserve"> and DeAndre Harris, and </w:t>
      </w:r>
      <w:r w:rsidR="00554A51" w:rsidRPr="00D920C9">
        <w:rPr>
          <w:rFonts w:asciiTheme="minorHAnsi" w:hAnsiTheme="minorHAnsi"/>
        </w:rPr>
        <w:t xml:space="preserve">reiterates </w:t>
      </w:r>
      <w:r w:rsidR="00044406" w:rsidRPr="00D920C9">
        <w:rPr>
          <w:rFonts w:asciiTheme="minorHAnsi" w:hAnsiTheme="minorHAnsi"/>
        </w:rPr>
        <w:t>the need</w:t>
      </w:r>
      <w:r w:rsidR="00E65534" w:rsidRPr="00D920C9">
        <w:rPr>
          <w:rFonts w:asciiTheme="minorHAnsi" w:hAnsiTheme="minorHAnsi"/>
        </w:rPr>
        <w:t xml:space="preserve"> t</w:t>
      </w:r>
      <w:r w:rsidR="00044406" w:rsidRPr="00D920C9">
        <w:rPr>
          <w:rFonts w:asciiTheme="minorHAnsi" w:hAnsiTheme="minorHAnsi"/>
        </w:rPr>
        <w:t xml:space="preserve">o ensure the full investigation, </w:t>
      </w:r>
      <w:r w:rsidR="00E65534" w:rsidRPr="00D920C9">
        <w:rPr>
          <w:rFonts w:asciiTheme="minorHAnsi" w:hAnsiTheme="minorHAnsi"/>
        </w:rPr>
        <w:t xml:space="preserve">prosecution </w:t>
      </w:r>
      <w:r w:rsidR="00044406" w:rsidRPr="00D920C9">
        <w:rPr>
          <w:rFonts w:asciiTheme="minorHAnsi" w:hAnsiTheme="minorHAnsi"/>
        </w:rPr>
        <w:t xml:space="preserve">and, as appropriate, punishment </w:t>
      </w:r>
      <w:r w:rsidR="00E65534" w:rsidRPr="00D920C9">
        <w:rPr>
          <w:rFonts w:asciiTheme="minorHAnsi" w:hAnsiTheme="minorHAnsi"/>
        </w:rPr>
        <w:t>of these events.</w:t>
      </w:r>
      <w:r w:rsidR="00E65534" w:rsidRPr="00D920C9">
        <w:rPr>
          <w:rStyle w:val="FootnoteReference"/>
          <w:rFonts w:asciiTheme="minorHAnsi" w:hAnsiTheme="minorHAnsi"/>
        </w:rPr>
        <w:footnoteReference w:id="348"/>
      </w:r>
      <w:r w:rsidR="003731DE" w:rsidRPr="00D920C9">
        <w:rPr>
          <w:rFonts w:asciiTheme="minorHAnsi" w:hAnsiTheme="minorHAnsi"/>
        </w:rPr>
        <w:t xml:space="preserve">  </w:t>
      </w:r>
    </w:p>
    <w:p w14:paraId="0C231292" w14:textId="77777777" w:rsidR="00E10369" w:rsidRPr="00D920C9" w:rsidRDefault="00E10369" w:rsidP="00E86698">
      <w:pPr>
        <w:pStyle w:val="ListParagraph"/>
        <w:numPr>
          <w:ilvl w:val="0"/>
          <w:numId w:val="9"/>
        </w:numPr>
        <w:spacing w:after="240" w:line="240" w:lineRule="auto"/>
        <w:ind w:left="547" w:hanging="547"/>
        <w:contextualSpacing w:val="0"/>
        <w:jc w:val="both"/>
        <w:rPr>
          <w:rFonts w:asciiTheme="minorHAnsi" w:hAnsiTheme="minorHAnsi"/>
        </w:rPr>
      </w:pPr>
      <w:r w:rsidRPr="00D920C9">
        <w:rPr>
          <w:rFonts w:asciiTheme="minorHAnsi" w:hAnsiTheme="minorHAnsi"/>
        </w:rPr>
        <w:t>The Commission further notes that the “Unite the Right” rally was held to protest the city’s plan to remove a Confederate-era monument from the city's former courthouse.</w:t>
      </w:r>
      <w:r w:rsidR="00046663" w:rsidRPr="00D920C9">
        <w:rPr>
          <w:rStyle w:val="FootnoteReference"/>
          <w:rFonts w:asciiTheme="minorHAnsi" w:hAnsiTheme="minorHAnsi"/>
        </w:rPr>
        <w:footnoteReference w:id="349"/>
      </w:r>
      <w:r w:rsidRPr="00D920C9">
        <w:rPr>
          <w:rFonts w:asciiTheme="minorHAnsi" w:hAnsiTheme="minorHAnsi"/>
        </w:rPr>
        <w:t xml:space="preserve"> That monument, like many others located across the country,</w:t>
      </w:r>
      <w:r w:rsidR="00046663" w:rsidRPr="00D920C9">
        <w:rPr>
          <w:rStyle w:val="FootnoteReference"/>
          <w:rFonts w:asciiTheme="minorHAnsi" w:hAnsiTheme="minorHAnsi"/>
        </w:rPr>
        <w:footnoteReference w:id="350"/>
      </w:r>
      <w:r w:rsidRPr="00D920C9">
        <w:rPr>
          <w:rFonts w:asciiTheme="minorHAnsi" w:hAnsiTheme="minorHAnsi"/>
        </w:rPr>
        <w:t xml:space="preserve"> pays tribute to political leaders who were advocates of slavery, perhaps the most serious human rights violation ever perpetrated in the </w:t>
      </w:r>
      <w:r w:rsidR="006D4A9B" w:rsidRPr="00D920C9">
        <w:rPr>
          <w:rFonts w:asciiTheme="minorHAnsi" w:hAnsiTheme="minorHAnsi"/>
        </w:rPr>
        <w:t>U.S</w:t>
      </w:r>
      <w:r w:rsidRPr="00D920C9">
        <w:rPr>
          <w:rFonts w:asciiTheme="minorHAnsi" w:hAnsiTheme="minorHAnsi"/>
        </w:rPr>
        <w:t>. The ongoing disputes over these monuments highlight the State’s incomplete obligation to promote memory, truth and justice for serious human rights violations committed against Afro-descendants in the U.S. Inter-American standards make clear that States must acknowledge serious human rights violations and crimes against humanity, promote the right to truth, and promote proper reparations for victims</w:t>
      </w:r>
      <w:r w:rsidR="004B7C27" w:rsidRPr="00D920C9">
        <w:rPr>
          <w:rFonts w:asciiTheme="minorHAnsi" w:hAnsiTheme="minorHAnsi"/>
        </w:rPr>
        <w:t>, including guaranteeing the non-repetition of violations</w:t>
      </w:r>
      <w:r w:rsidRPr="00D920C9">
        <w:rPr>
          <w:rFonts w:asciiTheme="minorHAnsi" w:hAnsiTheme="minorHAnsi"/>
        </w:rPr>
        <w:t>.</w:t>
      </w:r>
      <w:r w:rsidR="00046663" w:rsidRPr="00D920C9">
        <w:rPr>
          <w:rFonts w:asciiTheme="minorHAnsi" w:hAnsiTheme="minorHAnsi"/>
          <w:vertAlign w:val="superscript"/>
        </w:rPr>
        <w:footnoteReference w:id="351"/>
      </w:r>
      <w:r w:rsidRPr="00D920C9">
        <w:rPr>
          <w:rFonts w:asciiTheme="minorHAnsi" w:hAnsiTheme="minorHAnsi"/>
        </w:rPr>
        <w:t xml:space="preserve"> This includes removing public tributes to those responsible for serious human rights violations, and promoting the memory of the victims, which is also a type of symbolic reparation. </w:t>
      </w:r>
    </w:p>
    <w:p w14:paraId="388C1D8B" w14:textId="77777777" w:rsidR="001C00F6" w:rsidRPr="00D920C9" w:rsidRDefault="001C00F6" w:rsidP="003D7958">
      <w:pPr>
        <w:pStyle w:val="Heading4"/>
        <w:ind w:left="540" w:hanging="540"/>
      </w:pPr>
      <w:bookmarkStart w:id="128" w:name="_Toc511837821"/>
      <w:bookmarkStart w:id="129" w:name="_Toc511902994"/>
      <w:bookmarkStart w:id="130" w:name="_Toc517687924"/>
      <w:r w:rsidRPr="00D920C9">
        <w:lastRenderedPageBreak/>
        <w:t xml:space="preserve">“Stand Your Ground” </w:t>
      </w:r>
      <w:r w:rsidR="0013717A" w:rsidRPr="00D920C9">
        <w:t xml:space="preserve">Laws </w:t>
      </w:r>
      <w:r w:rsidRPr="00D920C9">
        <w:t xml:space="preserve">and </w:t>
      </w:r>
      <w:r w:rsidR="0013717A" w:rsidRPr="00D920C9">
        <w:t xml:space="preserve">Violence </w:t>
      </w:r>
      <w:r w:rsidRPr="00D920C9">
        <w:t xml:space="preserve">by </w:t>
      </w:r>
      <w:r w:rsidR="0013717A" w:rsidRPr="00D920C9">
        <w:t>Private Citizens</w:t>
      </w:r>
      <w:bookmarkEnd w:id="128"/>
      <w:bookmarkEnd w:id="129"/>
      <w:bookmarkEnd w:id="130"/>
    </w:p>
    <w:p w14:paraId="7256214E" w14:textId="77777777" w:rsidR="001C00F6" w:rsidRPr="00D920C9" w:rsidRDefault="001C00F6" w:rsidP="00E86698">
      <w:pPr>
        <w:pStyle w:val="ListParagraph"/>
        <w:numPr>
          <w:ilvl w:val="0"/>
          <w:numId w:val="9"/>
        </w:numPr>
        <w:spacing w:after="240" w:line="240" w:lineRule="auto"/>
        <w:ind w:left="547" w:hanging="547"/>
        <w:contextualSpacing w:val="0"/>
        <w:jc w:val="both"/>
        <w:rPr>
          <w:rFonts w:asciiTheme="minorHAnsi" w:eastAsia="Times New Roman" w:hAnsiTheme="minorHAnsi"/>
          <w:lang w:eastAsia="es-ES"/>
        </w:rPr>
      </w:pPr>
      <w:bookmarkStart w:id="131" w:name="_Ref507167635"/>
      <w:r w:rsidRPr="00D920C9">
        <w:rPr>
          <w:rFonts w:asciiTheme="minorHAnsi" w:hAnsiTheme="minorHAnsi" w:cs="Arial"/>
          <w:lang w:val="en"/>
        </w:rPr>
        <w:t xml:space="preserve">The Commission is concerned by the continued existence of “Stand Your Ground” (SYG) laws, which permit civilians to use deadly force against other civilians in circumstances other than strict self-defense, in at least 29 states of the </w:t>
      </w:r>
      <w:r w:rsidR="00044406" w:rsidRPr="00D920C9">
        <w:rPr>
          <w:rFonts w:asciiTheme="minorHAnsi" w:hAnsiTheme="minorHAnsi" w:cs="Arial"/>
          <w:lang w:val="en"/>
        </w:rPr>
        <w:t>U.S</w:t>
      </w:r>
      <w:r w:rsidRPr="00D920C9">
        <w:rPr>
          <w:rFonts w:asciiTheme="minorHAnsi" w:hAnsiTheme="minorHAnsi" w:cs="Arial"/>
          <w:lang w:val="en"/>
        </w:rPr>
        <w:t xml:space="preserve">. </w:t>
      </w:r>
      <w:r w:rsidRPr="00D920C9">
        <w:rPr>
          <w:rFonts w:asciiTheme="minorHAnsi" w:eastAsia="Times New Roman" w:hAnsiTheme="minorHAnsi"/>
          <w:lang w:eastAsia="es-ES"/>
        </w:rPr>
        <w:t xml:space="preserve">Many </w:t>
      </w:r>
      <w:r w:rsidRPr="00D920C9">
        <w:rPr>
          <w:rFonts w:asciiTheme="minorHAnsi" w:hAnsiTheme="minorHAnsi"/>
        </w:rPr>
        <w:t>state</w:t>
      </w:r>
      <w:r w:rsidRPr="00D920C9">
        <w:rPr>
          <w:rFonts w:asciiTheme="minorHAnsi" w:eastAsia="Times New Roman" w:hAnsiTheme="minorHAnsi"/>
          <w:lang w:eastAsia="es-ES"/>
        </w:rPr>
        <w:t xml:space="preserve"> laws apply an objective and reasonable standard to the exercise of self-defense, which, </w:t>
      </w:r>
      <w:r w:rsidR="00044406" w:rsidRPr="00D920C9">
        <w:rPr>
          <w:rFonts w:asciiTheme="minorHAnsi" w:eastAsia="Times New Roman" w:hAnsiTheme="minorHAnsi"/>
          <w:lang w:eastAsia="es-ES"/>
        </w:rPr>
        <w:t>under</w:t>
      </w:r>
      <w:r w:rsidRPr="00D920C9">
        <w:rPr>
          <w:rFonts w:asciiTheme="minorHAnsi" w:eastAsia="Times New Roman" w:hAnsiTheme="minorHAnsi"/>
          <w:lang w:eastAsia="es-ES"/>
        </w:rPr>
        <w:t xml:space="preserve"> international law, must embrace exceptionality, necessity and proportionality.</w:t>
      </w:r>
      <w:r w:rsidRPr="00D920C9">
        <w:rPr>
          <w:rStyle w:val="FootnoteReference"/>
          <w:rFonts w:asciiTheme="minorHAnsi" w:eastAsia="Times New Roman" w:hAnsiTheme="minorHAnsi"/>
          <w:lang w:eastAsia="es-ES"/>
        </w:rPr>
        <w:footnoteReference w:id="352"/>
      </w:r>
      <w:r w:rsidRPr="00D920C9">
        <w:rPr>
          <w:rFonts w:asciiTheme="minorHAnsi" w:eastAsia="Times New Roman" w:hAnsiTheme="minorHAnsi"/>
          <w:lang w:eastAsia="es-ES"/>
        </w:rPr>
        <w:t xml:space="preserve"> However, states that adopt SYG laws permit an individual to “stand his or her ground” and meet force with force, including deadly force.</w:t>
      </w:r>
      <w:r w:rsidRPr="00D920C9">
        <w:rPr>
          <w:rStyle w:val="FootnoteReference"/>
          <w:rFonts w:asciiTheme="minorHAnsi" w:eastAsia="Times New Roman" w:hAnsiTheme="minorHAnsi"/>
          <w:lang w:eastAsia="es-ES"/>
        </w:rPr>
        <w:footnoteReference w:id="353"/>
      </w:r>
      <w:r w:rsidRPr="00D920C9">
        <w:rPr>
          <w:rFonts w:asciiTheme="minorHAnsi" w:eastAsia="Times New Roman" w:hAnsiTheme="minorHAnsi"/>
          <w:lang w:eastAsia="es-ES"/>
        </w:rPr>
        <w:t xml:space="preserve"> </w:t>
      </w:r>
      <w:r w:rsidRPr="00D920C9">
        <w:rPr>
          <w:rFonts w:asciiTheme="minorHAnsi" w:hAnsiTheme="minorHAnsi"/>
          <w:lang w:val="en"/>
        </w:rPr>
        <w:t>SYG laws generally state that, under certain circumstances outside one’s own home,</w:t>
      </w:r>
      <w:r w:rsidRPr="00D920C9">
        <w:rPr>
          <w:rStyle w:val="FootnoteReference"/>
          <w:rFonts w:asciiTheme="minorHAnsi" w:hAnsiTheme="minorHAnsi"/>
          <w:lang w:val="en"/>
        </w:rPr>
        <w:footnoteReference w:id="354"/>
      </w:r>
      <w:r w:rsidRPr="00D920C9">
        <w:rPr>
          <w:rFonts w:asciiTheme="minorHAnsi" w:hAnsiTheme="minorHAnsi"/>
          <w:lang w:val="en"/>
        </w:rPr>
        <w:t xml:space="preserve"> individuals may use force to defend themselves without first attempting to retreat from the danger. These laws thus authorize individuals to defend themselves using disproportional force that as a result is unjustified, and provide a legal defense to the crime of homicide </w:t>
      </w:r>
      <w:r w:rsidR="00554A51" w:rsidRPr="00D920C9">
        <w:rPr>
          <w:rFonts w:asciiTheme="minorHAnsi" w:hAnsiTheme="minorHAnsi"/>
          <w:lang w:val="en"/>
        </w:rPr>
        <w:t>and</w:t>
      </w:r>
      <w:r w:rsidRPr="00D920C9">
        <w:rPr>
          <w:rFonts w:asciiTheme="minorHAnsi" w:hAnsiTheme="minorHAnsi"/>
          <w:lang w:val="en"/>
        </w:rPr>
        <w:t xml:space="preserve"> to civil liability for homicides.</w:t>
      </w:r>
      <w:bookmarkEnd w:id="131"/>
    </w:p>
    <w:p w14:paraId="6D4895EF" w14:textId="77777777" w:rsidR="001C00F6" w:rsidRPr="00D920C9" w:rsidRDefault="001C00F6" w:rsidP="00E86698">
      <w:pPr>
        <w:pStyle w:val="ListParagraph"/>
        <w:numPr>
          <w:ilvl w:val="0"/>
          <w:numId w:val="9"/>
        </w:numPr>
        <w:spacing w:after="240" w:line="240" w:lineRule="auto"/>
        <w:ind w:left="547" w:hanging="547"/>
        <w:contextualSpacing w:val="0"/>
        <w:jc w:val="both"/>
        <w:rPr>
          <w:rFonts w:asciiTheme="minorHAnsi" w:eastAsia="Times New Roman" w:hAnsiTheme="minorHAnsi"/>
          <w:lang w:eastAsia="es-ES"/>
        </w:rPr>
      </w:pPr>
      <w:r w:rsidRPr="00D920C9">
        <w:rPr>
          <w:rFonts w:asciiTheme="minorHAnsi" w:eastAsia="Times New Roman" w:hAnsiTheme="minorHAnsi"/>
          <w:lang w:eastAsia="es-ES"/>
        </w:rPr>
        <w:t>The Commission has received information indicating a link between the introduction of SYG laws and increases in homicide rates across multiple states.</w:t>
      </w:r>
      <w:r w:rsidRPr="00D920C9">
        <w:rPr>
          <w:rStyle w:val="FootnoteReference"/>
          <w:rFonts w:asciiTheme="minorHAnsi" w:eastAsia="Times New Roman" w:hAnsiTheme="minorHAnsi"/>
          <w:lang w:eastAsia="es-ES"/>
        </w:rPr>
        <w:footnoteReference w:id="355"/>
      </w:r>
      <w:r w:rsidRPr="00D920C9">
        <w:rPr>
          <w:rFonts w:asciiTheme="minorHAnsi" w:eastAsia="Times New Roman" w:hAnsiTheme="minorHAnsi"/>
          <w:lang w:eastAsia="es-ES"/>
        </w:rPr>
        <w:t xml:space="preserve"> </w:t>
      </w:r>
      <w:r w:rsidR="00E5336C" w:rsidRPr="00D920C9">
        <w:rPr>
          <w:rFonts w:asciiTheme="minorHAnsi" w:eastAsia="Times New Roman" w:hAnsiTheme="minorHAnsi"/>
          <w:lang w:eastAsia="es-ES"/>
        </w:rPr>
        <w:t>In</w:t>
      </w:r>
      <w:r w:rsidRPr="00D920C9">
        <w:rPr>
          <w:rFonts w:asciiTheme="minorHAnsi" w:eastAsia="Times New Roman" w:hAnsiTheme="minorHAnsi"/>
          <w:lang w:eastAsia="es-ES"/>
        </w:rPr>
        <w:t xml:space="preserve"> this context, the U</w:t>
      </w:r>
      <w:r w:rsidR="00C45A79" w:rsidRPr="00D920C9">
        <w:rPr>
          <w:rFonts w:asciiTheme="minorHAnsi" w:eastAsia="Times New Roman" w:hAnsiTheme="minorHAnsi"/>
          <w:lang w:eastAsia="es-ES"/>
        </w:rPr>
        <w:t>.</w:t>
      </w:r>
      <w:r w:rsidRPr="00D920C9">
        <w:rPr>
          <w:rFonts w:asciiTheme="minorHAnsi" w:eastAsia="Times New Roman" w:hAnsiTheme="minorHAnsi"/>
          <w:lang w:eastAsia="es-ES"/>
        </w:rPr>
        <w:t>S</w:t>
      </w:r>
      <w:r w:rsidR="00C45A79" w:rsidRPr="00D920C9">
        <w:rPr>
          <w:rFonts w:asciiTheme="minorHAnsi" w:eastAsia="Times New Roman" w:hAnsiTheme="minorHAnsi"/>
          <w:lang w:eastAsia="es-ES"/>
        </w:rPr>
        <w:t>.</w:t>
      </w:r>
      <w:r w:rsidRPr="00D920C9">
        <w:rPr>
          <w:rFonts w:asciiTheme="minorHAnsi" w:eastAsia="Times New Roman" w:hAnsiTheme="minorHAnsi"/>
          <w:lang w:eastAsia="es-ES"/>
        </w:rPr>
        <w:t xml:space="preserve"> Commission on Civil Rights, </w:t>
      </w:r>
      <w:r w:rsidR="00297DCD" w:rsidRPr="00D920C9">
        <w:rPr>
          <w:rFonts w:asciiTheme="minorHAnsi" w:eastAsia="Times New Roman" w:hAnsiTheme="minorHAnsi"/>
          <w:lang w:eastAsia="es-ES"/>
        </w:rPr>
        <w:t>appointed by</w:t>
      </w:r>
      <w:r w:rsidRPr="00D920C9">
        <w:rPr>
          <w:rFonts w:asciiTheme="minorHAnsi" w:eastAsia="Times New Roman" w:hAnsiTheme="minorHAnsi"/>
          <w:lang w:eastAsia="es-ES"/>
        </w:rPr>
        <w:t xml:space="preserve"> Congress, found</w:t>
      </w:r>
      <w:r w:rsidR="00E5336C" w:rsidRPr="00D920C9">
        <w:rPr>
          <w:rFonts w:asciiTheme="minorHAnsi" w:eastAsia="Times New Roman" w:hAnsiTheme="minorHAnsi"/>
          <w:lang w:eastAsia="es-ES"/>
        </w:rPr>
        <w:t xml:space="preserve"> in a study</w:t>
      </w:r>
      <w:r w:rsidRPr="00D920C9">
        <w:rPr>
          <w:rFonts w:asciiTheme="minorHAnsi" w:eastAsia="Times New Roman" w:hAnsiTheme="minorHAnsi"/>
          <w:lang w:eastAsia="es-ES"/>
        </w:rPr>
        <w:t xml:space="preserve"> that SYG statutes benefit Whites more than Blacks, are unnecessary</w:t>
      </w:r>
      <w:r w:rsidR="00554A51" w:rsidRPr="00D920C9">
        <w:rPr>
          <w:rFonts w:asciiTheme="minorHAnsi" w:eastAsia="Times New Roman" w:hAnsiTheme="minorHAnsi"/>
          <w:lang w:eastAsia="es-ES"/>
        </w:rPr>
        <w:t>,</w:t>
      </w:r>
      <w:r w:rsidRPr="00D920C9">
        <w:rPr>
          <w:rFonts w:asciiTheme="minorHAnsi" w:eastAsia="Times New Roman" w:hAnsiTheme="minorHAnsi"/>
          <w:lang w:eastAsia="es-ES"/>
        </w:rPr>
        <w:t xml:space="preserve"> and cause non-white men to live in fear.</w:t>
      </w:r>
      <w:r w:rsidRPr="00D920C9">
        <w:rPr>
          <w:rStyle w:val="FootnoteReference"/>
          <w:rFonts w:asciiTheme="minorHAnsi" w:eastAsia="Times New Roman" w:hAnsiTheme="minorHAnsi"/>
          <w:lang w:eastAsia="es-ES"/>
        </w:rPr>
        <w:footnoteReference w:id="356"/>
      </w:r>
      <w:r w:rsidRPr="00D920C9">
        <w:rPr>
          <w:rFonts w:asciiTheme="minorHAnsi" w:eastAsia="Times New Roman" w:hAnsiTheme="minorHAnsi"/>
          <w:lang w:eastAsia="es-ES"/>
        </w:rPr>
        <w:t xml:space="preserve"> The experts indicated that racially biased application of SYG laws should be attributed to racism and bias already "rampant" in the criminal justice system.</w:t>
      </w:r>
      <w:r w:rsidRPr="00D920C9">
        <w:rPr>
          <w:rStyle w:val="FootnoteReference"/>
          <w:rFonts w:asciiTheme="minorHAnsi" w:eastAsia="Times New Roman" w:hAnsiTheme="minorHAnsi"/>
          <w:lang w:eastAsia="es-ES"/>
        </w:rPr>
        <w:footnoteReference w:id="357"/>
      </w:r>
      <w:r w:rsidRPr="00D920C9">
        <w:rPr>
          <w:rFonts w:asciiTheme="minorHAnsi" w:eastAsia="Times New Roman" w:hAnsiTheme="minorHAnsi"/>
          <w:lang w:eastAsia="es-ES"/>
        </w:rPr>
        <w:t xml:space="preserve"> </w:t>
      </w:r>
    </w:p>
    <w:p w14:paraId="14ACE18C" w14:textId="77777777" w:rsidR="001C00F6" w:rsidRPr="00D920C9" w:rsidRDefault="001C00F6" w:rsidP="00E86698">
      <w:pPr>
        <w:pStyle w:val="ListParagraph"/>
        <w:numPr>
          <w:ilvl w:val="0"/>
          <w:numId w:val="9"/>
        </w:numPr>
        <w:spacing w:after="240" w:line="240" w:lineRule="auto"/>
        <w:ind w:left="547" w:hanging="547"/>
        <w:contextualSpacing w:val="0"/>
        <w:jc w:val="both"/>
        <w:rPr>
          <w:rFonts w:asciiTheme="minorHAnsi" w:eastAsia="Times New Roman" w:hAnsiTheme="minorHAnsi"/>
          <w:lang w:eastAsia="es-ES"/>
        </w:rPr>
      </w:pPr>
      <w:r w:rsidRPr="00D920C9">
        <w:rPr>
          <w:rFonts w:asciiTheme="minorHAnsi" w:eastAsia="Times New Roman" w:hAnsiTheme="minorHAnsi"/>
          <w:lang w:eastAsia="es-ES"/>
        </w:rPr>
        <w:t>The Commission was informed at a</w:t>
      </w:r>
      <w:r w:rsidR="00305744" w:rsidRPr="00D920C9">
        <w:rPr>
          <w:rFonts w:asciiTheme="minorHAnsi" w:eastAsia="Times New Roman" w:hAnsiTheme="minorHAnsi"/>
          <w:lang w:eastAsia="es-ES"/>
        </w:rPr>
        <w:t xml:space="preserve"> 2014</w:t>
      </w:r>
      <w:r w:rsidRPr="00D920C9">
        <w:rPr>
          <w:rFonts w:asciiTheme="minorHAnsi" w:eastAsia="Times New Roman" w:hAnsiTheme="minorHAnsi"/>
          <w:lang w:eastAsia="es-ES"/>
        </w:rPr>
        <w:t xml:space="preserve"> hearing about inconsistent and discriminatory application of SYG laws, and received </w:t>
      </w:r>
      <w:r w:rsidRPr="00D920C9">
        <w:rPr>
          <w:rFonts w:asciiTheme="minorHAnsi" w:hAnsiTheme="minorHAnsi"/>
        </w:rPr>
        <w:t xml:space="preserve">firsthand accounts </w:t>
      </w:r>
      <w:r w:rsidR="00305744" w:rsidRPr="00D920C9">
        <w:rPr>
          <w:rFonts w:asciiTheme="minorHAnsi" w:hAnsiTheme="minorHAnsi"/>
        </w:rPr>
        <w:t>about the</w:t>
      </w:r>
      <w:r w:rsidRPr="00D920C9">
        <w:rPr>
          <w:rFonts w:asciiTheme="minorHAnsi" w:hAnsiTheme="minorHAnsi"/>
        </w:rPr>
        <w:t xml:space="preserve"> impact</w:t>
      </w:r>
      <w:r w:rsidR="00305744" w:rsidRPr="00D920C9">
        <w:rPr>
          <w:rFonts w:asciiTheme="minorHAnsi" w:hAnsiTheme="minorHAnsi"/>
        </w:rPr>
        <w:t xml:space="preserve"> of these laws</w:t>
      </w:r>
      <w:r w:rsidRPr="00D920C9">
        <w:rPr>
          <w:rFonts w:asciiTheme="minorHAnsi" w:hAnsiTheme="minorHAnsi"/>
        </w:rPr>
        <w:t>.</w:t>
      </w:r>
      <w:r w:rsidRPr="00D920C9">
        <w:rPr>
          <w:rFonts w:asciiTheme="minorHAnsi" w:eastAsia="Times New Roman" w:hAnsiTheme="minorHAnsi"/>
          <w:lang w:eastAsia="es-ES"/>
        </w:rPr>
        <w:t xml:space="preserve"> Petitioners argued that these laws </w:t>
      </w:r>
      <w:r w:rsidRPr="00D920C9">
        <w:rPr>
          <w:rFonts w:asciiTheme="minorHAnsi" w:hAnsiTheme="minorHAnsi"/>
        </w:rPr>
        <w:t xml:space="preserve">negatively and disproportionately affect African Americans and other </w:t>
      </w:r>
      <w:r w:rsidR="004B7C27" w:rsidRPr="00D920C9">
        <w:rPr>
          <w:rFonts w:asciiTheme="minorHAnsi" w:hAnsiTheme="minorHAnsi"/>
        </w:rPr>
        <w:lastRenderedPageBreak/>
        <w:t>historically marginalized groups</w:t>
      </w:r>
      <w:r w:rsidRPr="00D920C9">
        <w:rPr>
          <w:rFonts w:asciiTheme="minorHAnsi" w:eastAsia="Times New Roman" w:hAnsiTheme="minorHAnsi"/>
          <w:lang w:eastAsia="es-ES"/>
        </w:rPr>
        <w:t xml:space="preserve"> by legitimizing a “shoot first” mindset that is used against </w:t>
      </w:r>
      <w:r w:rsidR="00297DCD" w:rsidRPr="00D920C9">
        <w:rPr>
          <w:rFonts w:asciiTheme="minorHAnsi" w:eastAsia="Times New Roman" w:hAnsiTheme="minorHAnsi"/>
          <w:lang w:eastAsia="es-ES"/>
        </w:rPr>
        <w:t>black</w:t>
      </w:r>
      <w:r w:rsidRPr="00D920C9">
        <w:rPr>
          <w:rFonts w:asciiTheme="minorHAnsi" w:eastAsia="Times New Roman" w:hAnsiTheme="minorHAnsi"/>
          <w:lang w:eastAsia="es-ES"/>
        </w:rPr>
        <w:t xml:space="preserve"> victims, based on biases and prejudices against them.</w:t>
      </w:r>
      <w:r w:rsidRPr="00D920C9">
        <w:rPr>
          <w:rFonts w:asciiTheme="minorHAnsi" w:hAnsiTheme="minorHAnsi"/>
          <w:vertAlign w:val="superscript"/>
        </w:rPr>
        <w:footnoteReference w:id="358"/>
      </w:r>
      <w:r w:rsidRPr="00D920C9">
        <w:rPr>
          <w:rFonts w:asciiTheme="minorHAnsi" w:hAnsiTheme="minorHAnsi"/>
        </w:rPr>
        <w:t xml:space="preserve"> In this regard, Ron Davis, the father of Jordan Davis, </w:t>
      </w:r>
      <w:r w:rsidR="00297DCD" w:rsidRPr="00D920C9">
        <w:rPr>
          <w:rFonts w:asciiTheme="minorHAnsi" w:hAnsiTheme="minorHAnsi"/>
        </w:rPr>
        <w:t>a black</w:t>
      </w:r>
      <w:r w:rsidRPr="00D920C9">
        <w:rPr>
          <w:rFonts w:asciiTheme="minorHAnsi" w:hAnsiTheme="minorHAnsi"/>
        </w:rPr>
        <w:t xml:space="preserve"> teenager murdered on November 23, 2012 in Jacksonville, Florida,</w:t>
      </w:r>
      <w:r w:rsidR="00297DCD" w:rsidRPr="00D920C9">
        <w:rPr>
          <w:rStyle w:val="FootnoteReference"/>
          <w:rFonts w:asciiTheme="minorHAnsi" w:hAnsiTheme="minorHAnsi"/>
        </w:rPr>
        <w:footnoteReference w:id="359"/>
      </w:r>
      <w:r w:rsidRPr="00D920C9">
        <w:rPr>
          <w:rFonts w:asciiTheme="minorHAnsi" w:hAnsiTheme="minorHAnsi"/>
        </w:rPr>
        <w:t xml:space="preserve"> stated at the hearing:</w:t>
      </w:r>
    </w:p>
    <w:tbl>
      <w:tblPr>
        <w:tblStyle w:val="TableGrid"/>
        <w:tblW w:w="0" w:type="auto"/>
        <w:jc w:val="right"/>
        <w:tblLook w:val="04A0" w:firstRow="1" w:lastRow="0" w:firstColumn="1" w:lastColumn="0" w:noHBand="0" w:noVBand="1"/>
      </w:tblPr>
      <w:tblGrid>
        <w:gridCol w:w="7848"/>
      </w:tblGrid>
      <w:tr w:rsidR="0087747F" w:rsidRPr="00D920C9" w14:paraId="7C23AFD4" w14:textId="77777777" w:rsidTr="0087747F">
        <w:trPr>
          <w:jc w:val="right"/>
        </w:trPr>
        <w:tc>
          <w:tcPr>
            <w:tcW w:w="9029" w:type="dxa"/>
            <w:shd w:val="clear" w:color="auto" w:fill="D9D9D9" w:themeFill="background1" w:themeFillShade="D9"/>
          </w:tcPr>
          <w:p w14:paraId="39F4B72B" w14:textId="3AE0AA8E" w:rsidR="0087747F" w:rsidRPr="00D920C9" w:rsidRDefault="0087747F" w:rsidP="001167CB">
            <w:pPr>
              <w:pStyle w:val="ListParagraph"/>
              <w:spacing w:after="240" w:line="240" w:lineRule="auto"/>
              <w:ind w:left="288" w:right="288"/>
              <w:contextualSpacing w:val="0"/>
              <w:jc w:val="both"/>
              <w:rPr>
                <w:rFonts w:asciiTheme="minorHAnsi" w:hAnsiTheme="minorHAnsi"/>
              </w:rPr>
            </w:pPr>
            <w:r w:rsidRPr="00D920C9">
              <w:rPr>
                <w:rFonts w:asciiTheme="minorHAnsi" w:hAnsiTheme="minorHAnsi"/>
              </w:rPr>
              <w:br/>
              <w:t>These laws take into account the fears of other people and the biases of other people over the life of your unarmed child or loved one. It is what they think you have, you don’t have to have a weapon as long as I think you having a weapon then it is reasonable to the shooter and that is all they have to prove [...] We all have certain biases. [...] Maybe you don’t have African American friends, Hispanic friends, so you might have a bias in your mind, [when you walk down the street and you see people of color hanging out on the corner] you have a little bias that [says] you know, “maybe I should cross the street.” [...] You don’t allow, however, your citizens to take guns out and shoot people and kill people based on these biases, based on these fears.</w:t>
            </w:r>
            <w:r w:rsidRPr="00D920C9">
              <w:rPr>
                <w:rStyle w:val="FootnoteReference"/>
                <w:rFonts w:asciiTheme="minorHAnsi" w:hAnsiTheme="minorHAnsi"/>
              </w:rPr>
              <w:footnoteReference w:id="360"/>
            </w:r>
          </w:p>
        </w:tc>
      </w:tr>
    </w:tbl>
    <w:p w14:paraId="2240DAD4" w14:textId="77777777" w:rsidR="0087747F" w:rsidRPr="00D920C9" w:rsidRDefault="0087747F" w:rsidP="0087747F">
      <w:pPr>
        <w:spacing w:after="0" w:line="240" w:lineRule="auto"/>
        <w:jc w:val="both"/>
        <w:rPr>
          <w:rFonts w:asciiTheme="minorHAnsi" w:eastAsia="Times New Roman" w:hAnsiTheme="minorHAnsi"/>
          <w:lang w:eastAsia="es-ES"/>
        </w:rPr>
      </w:pPr>
    </w:p>
    <w:p w14:paraId="32069F4C" w14:textId="77777777" w:rsidR="001C00F6" w:rsidRPr="00D920C9" w:rsidRDefault="001C00F6" w:rsidP="00E86698">
      <w:pPr>
        <w:pStyle w:val="ListParagraph"/>
        <w:numPr>
          <w:ilvl w:val="0"/>
          <w:numId w:val="9"/>
        </w:numPr>
        <w:spacing w:after="240" w:line="240" w:lineRule="auto"/>
        <w:ind w:left="547" w:hanging="547"/>
        <w:contextualSpacing w:val="0"/>
        <w:jc w:val="both"/>
        <w:rPr>
          <w:rFonts w:asciiTheme="minorHAnsi" w:eastAsia="Times New Roman" w:hAnsiTheme="minorHAnsi"/>
        </w:rPr>
      </w:pPr>
      <w:r w:rsidRPr="00D920C9">
        <w:rPr>
          <w:rFonts w:asciiTheme="minorHAnsi" w:hAnsiTheme="minorHAnsi"/>
        </w:rPr>
        <w:t>Sabrina Fulton, mother of Trayvon Martin,</w:t>
      </w:r>
      <w:r w:rsidR="00297DCD" w:rsidRPr="00D920C9">
        <w:rPr>
          <w:rStyle w:val="FootnoteReference"/>
          <w:rFonts w:asciiTheme="minorHAnsi" w:hAnsiTheme="minorHAnsi"/>
        </w:rPr>
        <w:footnoteReference w:id="361"/>
      </w:r>
      <w:r w:rsidRPr="00D920C9">
        <w:rPr>
          <w:rFonts w:asciiTheme="minorHAnsi" w:hAnsiTheme="minorHAnsi"/>
        </w:rPr>
        <w:t xml:space="preserve"> stated at the hearing:</w:t>
      </w:r>
    </w:p>
    <w:tbl>
      <w:tblPr>
        <w:tblStyle w:val="TableGrid"/>
        <w:tblW w:w="0" w:type="auto"/>
        <w:jc w:val="right"/>
        <w:tblLook w:val="04A0" w:firstRow="1" w:lastRow="0" w:firstColumn="1" w:lastColumn="0" w:noHBand="0" w:noVBand="1"/>
      </w:tblPr>
      <w:tblGrid>
        <w:gridCol w:w="7848"/>
      </w:tblGrid>
      <w:tr w:rsidR="0087747F" w:rsidRPr="00D920C9" w14:paraId="15C9E443" w14:textId="77777777" w:rsidTr="00A70C45">
        <w:trPr>
          <w:jc w:val="right"/>
        </w:trPr>
        <w:tc>
          <w:tcPr>
            <w:tcW w:w="9029" w:type="dxa"/>
            <w:shd w:val="clear" w:color="auto" w:fill="D9D9D9" w:themeFill="background1" w:themeFillShade="D9"/>
          </w:tcPr>
          <w:p w14:paraId="0777B0E5" w14:textId="0D135C6D" w:rsidR="0087747F" w:rsidRPr="00D920C9" w:rsidRDefault="00A70C45" w:rsidP="001167CB">
            <w:pPr>
              <w:pStyle w:val="ListParagraph"/>
              <w:spacing w:after="240" w:line="240" w:lineRule="auto"/>
              <w:ind w:left="288" w:right="288"/>
              <w:contextualSpacing w:val="0"/>
              <w:jc w:val="both"/>
              <w:rPr>
                <w:rFonts w:asciiTheme="minorHAnsi" w:eastAsia="Times New Roman" w:hAnsiTheme="minorHAnsi"/>
              </w:rPr>
            </w:pPr>
            <w:r w:rsidRPr="00D920C9">
              <w:rPr>
                <w:rFonts w:asciiTheme="minorHAnsi" w:hAnsiTheme="minorHAnsi"/>
              </w:rPr>
              <w:br/>
              <w:t xml:space="preserve">It is very difficult as a parent to relate to a law that gives a person with a gun so much authority [...] When a 17-year-old child is in a gated community simply walking from the store, with no weapon, only a drink and candy, and is in danger, that poses a problem for me as a mother and should pose a problem for other mothers and fathers as well. What this law is saying to us is that there is nothing we can tell our teenagers now. How many of our teenagers walk home from the store, from the park, from the school and have to worry now about someone perceiving them to be a criminal? [...] So I stand and hopefully I am the voice of many of those concerned parents that say this has to stop, this gun violence has to stop, </w:t>
            </w:r>
            <w:r w:rsidR="0004388D">
              <w:rPr>
                <w:rFonts w:asciiTheme="minorHAnsi" w:hAnsiTheme="minorHAnsi"/>
              </w:rPr>
              <w:br/>
            </w:r>
            <w:r w:rsidR="0004388D">
              <w:rPr>
                <w:rFonts w:asciiTheme="minorHAnsi" w:hAnsiTheme="minorHAnsi"/>
              </w:rPr>
              <w:br/>
            </w:r>
            <w:r w:rsidRPr="00D920C9">
              <w:rPr>
                <w:rFonts w:asciiTheme="minorHAnsi" w:hAnsiTheme="minorHAnsi"/>
              </w:rPr>
              <w:lastRenderedPageBreak/>
              <w:t>this method of ‘let’s shoot first and ask questions later’ has to stop [...] There has to be a better way.”</w:t>
            </w:r>
            <w:r w:rsidRPr="00D920C9">
              <w:rPr>
                <w:rStyle w:val="FootnoteReference"/>
                <w:rFonts w:asciiTheme="minorHAnsi" w:hAnsiTheme="minorHAnsi"/>
              </w:rPr>
              <w:footnoteReference w:id="362"/>
            </w:r>
          </w:p>
        </w:tc>
      </w:tr>
    </w:tbl>
    <w:p w14:paraId="03F1D8F7" w14:textId="77777777" w:rsidR="0087747F" w:rsidRPr="00D920C9" w:rsidRDefault="0087747F" w:rsidP="0087747F">
      <w:pPr>
        <w:spacing w:after="0" w:line="240" w:lineRule="auto"/>
        <w:jc w:val="both"/>
        <w:rPr>
          <w:rFonts w:asciiTheme="minorHAnsi" w:eastAsia="Times New Roman" w:hAnsiTheme="minorHAnsi"/>
        </w:rPr>
      </w:pPr>
    </w:p>
    <w:p w14:paraId="5459F26F" w14:textId="77777777" w:rsidR="001C00F6" w:rsidRPr="00D920C9" w:rsidRDefault="001C00F6" w:rsidP="00E86698">
      <w:pPr>
        <w:pStyle w:val="ListParagraph"/>
        <w:numPr>
          <w:ilvl w:val="0"/>
          <w:numId w:val="9"/>
        </w:numPr>
        <w:spacing w:after="240" w:line="240" w:lineRule="auto"/>
        <w:ind w:left="547" w:hanging="547"/>
        <w:contextualSpacing w:val="0"/>
        <w:jc w:val="both"/>
        <w:rPr>
          <w:rFonts w:asciiTheme="minorHAnsi" w:eastAsia="Times New Roman" w:hAnsiTheme="minorHAnsi"/>
        </w:rPr>
      </w:pPr>
      <w:r w:rsidRPr="00D920C9">
        <w:rPr>
          <w:rFonts w:asciiTheme="minorHAnsi" w:eastAsia="Times New Roman" w:hAnsiTheme="minorHAnsi"/>
        </w:rPr>
        <w:t>The Commission received concerning information about apparent different application of SYG laws to white men and black women. In particular, Marissa Alexander</w:t>
      </w:r>
      <w:r w:rsidR="00297DCD" w:rsidRPr="00D920C9">
        <w:rPr>
          <w:rFonts w:asciiTheme="minorHAnsi" w:eastAsia="Times New Roman" w:hAnsiTheme="minorHAnsi"/>
        </w:rPr>
        <w:t>’s case</w:t>
      </w:r>
      <w:r w:rsidRPr="00D920C9">
        <w:rPr>
          <w:rFonts w:asciiTheme="minorHAnsi" w:eastAsia="Times New Roman" w:hAnsiTheme="minorHAnsi"/>
        </w:rPr>
        <w:t xml:space="preserve"> was brought to the Commission’s attention. Alexander was convicted for firing a warning shot at her husband</w:t>
      </w:r>
      <w:r w:rsidR="00CD4F86" w:rsidRPr="00D920C9">
        <w:rPr>
          <w:rFonts w:asciiTheme="minorHAnsi" w:eastAsia="Times New Roman" w:hAnsiTheme="minorHAnsi"/>
        </w:rPr>
        <w:t>, who</w:t>
      </w:r>
      <w:r w:rsidRPr="00D920C9">
        <w:rPr>
          <w:rFonts w:asciiTheme="minorHAnsi" w:eastAsia="Times New Roman" w:hAnsiTheme="minorHAnsi"/>
        </w:rPr>
        <w:t xml:space="preserve"> had threatened her nine days after giving birth to their child</w:t>
      </w:r>
      <w:r w:rsidR="00CD4F86" w:rsidRPr="00D920C9">
        <w:rPr>
          <w:rFonts w:asciiTheme="minorHAnsi" w:eastAsia="Times New Roman" w:hAnsiTheme="minorHAnsi"/>
        </w:rPr>
        <w:t>, inside their home</w:t>
      </w:r>
      <w:r w:rsidRPr="00D920C9">
        <w:rPr>
          <w:rFonts w:asciiTheme="minorHAnsi" w:eastAsia="Times New Roman" w:hAnsiTheme="minorHAnsi"/>
        </w:rPr>
        <w:t xml:space="preserve">. After the judge rejected her </w:t>
      </w:r>
      <w:r w:rsidRPr="00D920C9">
        <w:rPr>
          <w:rFonts w:asciiTheme="minorHAnsi" w:hAnsiTheme="minorHAnsi"/>
        </w:rPr>
        <w:t>invocation</w:t>
      </w:r>
      <w:r w:rsidRPr="00D920C9">
        <w:rPr>
          <w:rFonts w:asciiTheme="minorHAnsi" w:eastAsia="Times New Roman" w:hAnsiTheme="minorHAnsi"/>
        </w:rPr>
        <w:t xml:space="preserve"> of the </w:t>
      </w:r>
      <w:r w:rsidR="00CD4F86" w:rsidRPr="00D920C9">
        <w:rPr>
          <w:rFonts w:asciiTheme="minorHAnsi" w:eastAsia="Times New Roman" w:hAnsiTheme="minorHAnsi"/>
        </w:rPr>
        <w:t>SYG</w:t>
      </w:r>
      <w:r w:rsidRPr="00D920C9">
        <w:rPr>
          <w:rFonts w:asciiTheme="minorHAnsi" w:eastAsia="Times New Roman" w:hAnsiTheme="minorHAnsi"/>
        </w:rPr>
        <w:t xml:space="preserve"> defense, she was initially sentenced to 20 years in prison under a Florida mandatory sentencing law. The rejection of the SYG defense in her case was widely denounced by civil society as discriminatory, as “Black women are often characterized in court proceedings as aggressive, emasculating, and incapable of being victimized.”</w:t>
      </w:r>
      <w:r w:rsidRPr="00D920C9">
        <w:rPr>
          <w:rStyle w:val="FootnoteReference"/>
          <w:rFonts w:asciiTheme="minorHAnsi" w:eastAsia="Times New Roman" w:hAnsiTheme="minorHAnsi"/>
        </w:rPr>
        <w:footnoteReference w:id="363"/>
      </w:r>
      <w:r w:rsidRPr="00D920C9">
        <w:rPr>
          <w:rFonts w:asciiTheme="minorHAnsi" w:eastAsia="Times New Roman" w:hAnsiTheme="minorHAnsi"/>
        </w:rPr>
        <w:t xml:space="preserve"> Alexander’s initial conviction was ultimately overturned and she was released from supervision in 2017.</w:t>
      </w:r>
      <w:r w:rsidRPr="00D920C9">
        <w:rPr>
          <w:rStyle w:val="FootnoteReference"/>
          <w:rFonts w:asciiTheme="minorHAnsi" w:eastAsia="Times New Roman" w:hAnsiTheme="minorHAnsi"/>
        </w:rPr>
        <w:footnoteReference w:id="364"/>
      </w:r>
    </w:p>
    <w:p w14:paraId="19B68171" w14:textId="77777777" w:rsidR="001C00F6" w:rsidRPr="00D920C9" w:rsidRDefault="001C00F6" w:rsidP="00E86698">
      <w:pPr>
        <w:pStyle w:val="ListParagraph"/>
        <w:numPr>
          <w:ilvl w:val="0"/>
          <w:numId w:val="9"/>
        </w:numPr>
        <w:spacing w:after="240" w:line="240" w:lineRule="auto"/>
        <w:ind w:left="547" w:hanging="547"/>
        <w:contextualSpacing w:val="0"/>
        <w:jc w:val="both"/>
        <w:rPr>
          <w:rFonts w:asciiTheme="minorHAnsi" w:eastAsia="Times New Roman" w:hAnsiTheme="minorHAnsi"/>
        </w:rPr>
      </w:pPr>
      <w:r w:rsidRPr="00D920C9">
        <w:rPr>
          <w:rFonts w:asciiTheme="minorHAnsi" w:eastAsia="Times New Roman" w:hAnsiTheme="minorHAnsi"/>
          <w:lang w:eastAsia="es-ES"/>
        </w:rPr>
        <w:t>The Commission received additional i</w:t>
      </w:r>
      <w:r w:rsidR="00E5336C" w:rsidRPr="00D920C9">
        <w:rPr>
          <w:rFonts w:asciiTheme="minorHAnsi" w:eastAsia="Times New Roman" w:hAnsiTheme="minorHAnsi"/>
          <w:lang w:eastAsia="es-ES"/>
        </w:rPr>
        <w:t xml:space="preserve">nformation about the inconsistent and discriminatory application of SYG laws </w:t>
      </w:r>
      <w:r w:rsidR="00E5336C" w:rsidRPr="00D920C9">
        <w:rPr>
          <w:rFonts w:asciiTheme="minorHAnsi" w:hAnsiTheme="minorHAnsi"/>
        </w:rPr>
        <w:t>during</w:t>
      </w:r>
      <w:r w:rsidR="00E5336C" w:rsidRPr="00D920C9">
        <w:rPr>
          <w:rFonts w:asciiTheme="minorHAnsi" w:eastAsia="Times New Roman" w:hAnsiTheme="minorHAnsi"/>
          <w:lang w:eastAsia="es-ES"/>
        </w:rPr>
        <w:t xml:space="preserve"> its 2015 visit to</w:t>
      </w:r>
      <w:r w:rsidRPr="00D920C9">
        <w:rPr>
          <w:rFonts w:asciiTheme="minorHAnsi" w:eastAsia="Times New Roman" w:hAnsiTheme="minorHAnsi"/>
          <w:lang w:eastAsia="es-ES"/>
        </w:rPr>
        <w:t xml:space="preserve"> Orlando and Sanford, Florida.</w:t>
      </w:r>
      <w:r w:rsidRPr="00D920C9">
        <w:rPr>
          <w:rStyle w:val="FootnoteReference"/>
          <w:rFonts w:asciiTheme="minorHAnsi" w:eastAsia="Times New Roman" w:hAnsiTheme="minorHAnsi"/>
          <w:lang w:eastAsia="es-ES"/>
        </w:rPr>
        <w:footnoteReference w:id="365"/>
      </w:r>
      <w:r w:rsidRPr="00D920C9">
        <w:rPr>
          <w:rFonts w:asciiTheme="minorHAnsi" w:eastAsia="Times New Roman" w:hAnsiTheme="minorHAnsi"/>
          <w:lang w:eastAsia="es-ES"/>
        </w:rPr>
        <w:t xml:space="preserve"> </w:t>
      </w:r>
      <w:r w:rsidR="00297DCD" w:rsidRPr="00D920C9">
        <w:rPr>
          <w:rFonts w:asciiTheme="minorHAnsi" w:eastAsia="Times New Roman" w:hAnsiTheme="minorHAnsi"/>
          <w:lang w:eastAsia="es-ES"/>
        </w:rPr>
        <w:t xml:space="preserve">In light of the </w:t>
      </w:r>
      <w:r w:rsidR="00E5336C" w:rsidRPr="00D920C9">
        <w:rPr>
          <w:rFonts w:asciiTheme="minorHAnsi" w:eastAsia="Times New Roman" w:hAnsiTheme="minorHAnsi"/>
          <w:lang w:eastAsia="es-ES"/>
        </w:rPr>
        <w:t>information addressed above</w:t>
      </w:r>
      <w:r w:rsidR="00297DCD" w:rsidRPr="00D920C9">
        <w:rPr>
          <w:rFonts w:asciiTheme="minorHAnsi" w:eastAsia="Times New Roman" w:hAnsiTheme="minorHAnsi"/>
          <w:lang w:eastAsia="es-ES"/>
        </w:rPr>
        <w:t xml:space="preserve">, the Commission </w:t>
      </w:r>
      <w:r w:rsidR="00E5336C" w:rsidRPr="00D920C9">
        <w:rPr>
          <w:rFonts w:asciiTheme="minorHAnsi" w:eastAsia="Times New Roman" w:hAnsiTheme="minorHAnsi"/>
          <w:lang w:eastAsia="es-ES"/>
        </w:rPr>
        <w:t>calls for the</w:t>
      </w:r>
      <w:r w:rsidR="00297DCD" w:rsidRPr="00D920C9">
        <w:rPr>
          <w:rFonts w:asciiTheme="minorHAnsi" w:eastAsia="Times New Roman" w:hAnsiTheme="minorHAnsi"/>
          <w:lang w:eastAsia="es-ES"/>
        </w:rPr>
        <w:t xml:space="preserve"> revis</w:t>
      </w:r>
      <w:r w:rsidR="00E5336C" w:rsidRPr="00D920C9">
        <w:rPr>
          <w:rFonts w:asciiTheme="minorHAnsi" w:eastAsia="Times New Roman" w:hAnsiTheme="minorHAnsi"/>
          <w:lang w:eastAsia="es-ES"/>
        </w:rPr>
        <w:t>ion</w:t>
      </w:r>
      <w:r w:rsidR="00297DCD" w:rsidRPr="00D920C9">
        <w:rPr>
          <w:rFonts w:asciiTheme="minorHAnsi" w:eastAsia="Times New Roman" w:hAnsiTheme="minorHAnsi"/>
          <w:lang w:eastAsia="es-ES"/>
        </w:rPr>
        <w:t xml:space="preserve"> Stand Your Ground laws and eliminat</w:t>
      </w:r>
      <w:r w:rsidR="00E5336C" w:rsidRPr="00D920C9">
        <w:rPr>
          <w:rFonts w:asciiTheme="minorHAnsi" w:eastAsia="Times New Roman" w:hAnsiTheme="minorHAnsi"/>
          <w:lang w:eastAsia="es-ES"/>
        </w:rPr>
        <w:t>ion of</w:t>
      </w:r>
      <w:r w:rsidR="00297DCD" w:rsidRPr="00D920C9">
        <w:rPr>
          <w:rFonts w:asciiTheme="minorHAnsi" w:eastAsia="Times New Roman" w:hAnsiTheme="minorHAnsi"/>
          <w:lang w:eastAsia="es-ES"/>
        </w:rPr>
        <w:t xml:space="preserve"> racial bias in legal proceedings.</w:t>
      </w:r>
      <w:r w:rsidR="00297DCD" w:rsidRPr="00D920C9">
        <w:rPr>
          <w:rStyle w:val="FootnoteReference"/>
          <w:rFonts w:asciiTheme="minorHAnsi" w:eastAsia="Times New Roman" w:hAnsiTheme="minorHAnsi"/>
          <w:lang w:eastAsia="es-ES"/>
        </w:rPr>
        <w:footnoteReference w:id="366"/>
      </w:r>
    </w:p>
    <w:p w14:paraId="09907BDC" w14:textId="77777777" w:rsidR="009F3240" w:rsidRPr="00D920C9" w:rsidRDefault="009F3240" w:rsidP="003D7958">
      <w:pPr>
        <w:pStyle w:val="Heading4"/>
        <w:ind w:left="540" w:hanging="540"/>
      </w:pPr>
      <w:bookmarkStart w:id="132" w:name="_Toc511837822"/>
      <w:bookmarkStart w:id="133" w:name="_Toc511902995"/>
      <w:bookmarkStart w:id="134" w:name="_Toc517687925"/>
      <w:r w:rsidRPr="00D920C9">
        <w:t xml:space="preserve">Intersectional </w:t>
      </w:r>
      <w:r w:rsidR="0013717A" w:rsidRPr="00D920C9">
        <w:t>Discrimination</w:t>
      </w:r>
      <w:r w:rsidRPr="00D920C9">
        <w:t xml:space="preserve">: </w:t>
      </w:r>
      <w:r w:rsidR="0013717A" w:rsidRPr="00D920C9">
        <w:t>Women</w:t>
      </w:r>
      <w:r w:rsidRPr="00D920C9">
        <w:t xml:space="preserve">, </w:t>
      </w:r>
      <w:r w:rsidR="0013717A" w:rsidRPr="00D920C9">
        <w:t xml:space="preserve">Persons </w:t>
      </w:r>
      <w:r w:rsidRPr="00D920C9">
        <w:t xml:space="preserve">with </w:t>
      </w:r>
      <w:r w:rsidR="0013717A" w:rsidRPr="00D920C9">
        <w:t>Disabilities</w:t>
      </w:r>
      <w:r w:rsidRPr="00D920C9">
        <w:t xml:space="preserve">, and LGBTI </w:t>
      </w:r>
      <w:r w:rsidR="0013717A" w:rsidRPr="00D920C9">
        <w:t>Persons</w:t>
      </w:r>
      <w:bookmarkEnd w:id="132"/>
      <w:bookmarkEnd w:id="133"/>
      <w:bookmarkEnd w:id="134"/>
    </w:p>
    <w:p w14:paraId="06EC560E" w14:textId="77777777" w:rsidR="009F3240" w:rsidRPr="00D920C9" w:rsidRDefault="009F3240" w:rsidP="00E86698">
      <w:pPr>
        <w:pStyle w:val="ListParagraph"/>
        <w:numPr>
          <w:ilvl w:val="0"/>
          <w:numId w:val="9"/>
        </w:numPr>
        <w:spacing w:after="240" w:line="240" w:lineRule="auto"/>
        <w:ind w:left="547" w:hanging="547"/>
        <w:contextualSpacing w:val="0"/>
        <w:jc w:val="both"/>
        <w:rPr>
          <w:rFonts w:asciiTheme="minorHAnsi" w:hAnsiTheme="minorHAnsi"/>
          <w:bCs/>
        </w:rPr>
      </w:pPr>
      <w:r w:rsidRPr="00D920C9">
        <w:rPr>
          <w:rFonts w:asciiTheme="minorHAnsi" w:hAnsiTheme="minorHAnsi"/>
          <w:bCs/>
        </w:rPr>
        <w:t>The Commission recalls that discrimination on the basis of race is inseparable from and may be aggravated by discrimination on the basis of other aspects of identity. In</w:t>
      </w:r>
      <w:r w:rsidR="00C11EFB" w:rsidRPr="00D920C9">
        <w:rPr>
          <w:rFonts w:asciiTheme="minorHAnsi" w:hAnsiTheme="minorHAnsi"/>
          <w:bCs/>
        </w:rPr>
        <w:t xml:space="preserve"> the context of police violence</w:t>
      </w:r>
      <w:r w:rsidR="00762508" w:rsidRPr="00D920C9">
        <w:rPr>
          <w:rFonts w:asciiTheme="minorHAnsi" w:hAnsiTheme="minorHAnsi"/>
          <w:bCs/>
        </w:rPr>
        <w:t xml:space="preserve">, the Commission has received substantial information indicating that factors including gender, disability (in particular mental illness), situation of homelessness, </w:t>
      </w:r>
      <w:r w:rsidR="000E7B9C" w:rsidRPr="00D920C9">
        <w:rPr>
          <w:rFonts w:asciiTheme="minorHAnsi" w:hAnsiTheme="minorHAnsi"/>
          <w:bCs/>
        </w:rPr>
        <w:t xml:space="preserve">age, </w:t>
      </w:r>
      <w:r w:rsidR="00762508" w:rsidRPr="00D920C9">
        <w:rPr>
          <w:rFonts w:asciiTheme="minorHAnsi" w:hAnsiTheme="minorHAnsi"/>
          <w:bCs/>
        </w:rPr>
        <w:t xml:space="preserve">and LGBTI </w:t>
      </w:r>
      <w:r w:rsidR="0086378B" w:rsidRPr="00D920C9">
        <w:rPr>
          <w:rFonts w:asciiTheme="minorHAnsi" w:hAnsiTheme="minorHAnsi"/>
          <w:bCs/>
        </w:rPr>
        <w:t>identity</w:t>
      </w:r>
      <w:r w:rsidRPr="00D920C9">
        <w:rPr>
          <w:rFonts w:asciiTheme="minorHAnsi" w:hAnsiTheme="minorHAnsi"/>
          <w:bCs/>
        </w:rPr>
        <w:t>, may have</w:t>
      </w:r>
      <w:r w:rsidR="00762508" w:rsidRPr="00D920C9">
        <w:rPr>
          <w:rFonts w:asciiTheme="minorHAnsi" w:hAnsiTheme="minorHAnsi"/>
          <w:bCs/>
        </w:rPr>
        <w:t xml:space="preserve"> a differential impact</w:t>
      </w:r>
      <w:r w:rsidRPr="00D920C9">
        <w:rPr>
          <w:rFonts w:asciiTheme="minorHAnsi" w:hAnsiTheme="minorHAnsi"/>
          <w:bCs/>
        </w:rPr>
        <w:t xml:space="preserve"> on a person’s interaction with law enforcement and the justice system.</w:t>
      </w:r>
    </w:p>
    <w:p w14:paraId="33AE143A" w14:textId="77777777" w:rsidR="00762508" w:rsidRPr="00D920C9" w:rsidRDefault="00C86DEC" w:rsidP="00E86698">
      <w:pPr>
        <w:pStyle w:val="ListParagraph"/>
        <w:numPr>
          <w:ilvl w:val="0"/>
          <w:numId w:val="9"/>
        </w:numPr>
        <w:spacing w:after="240" w:line="240" w:lineRule="auto"/>
        <w:ind w:left="547" w:hanging="547"/>
        <w:contextualSpacing w:val="0"/>
        <w:jc w:val="both"/>
        <w:rPr>
          <w:rFonts w:asciiTheme="minorHAnsi" w:hAnsiTheme="minorHAnsi"/>
          <w:bCs/>
        </w:rPr>
      </w:pPr>
      <w:r w:rsidRPr="00D920C9">
        <w:rPr>
          <w:rFonts w:asciiTheme="minorHAnsi" w:hAnsiTheme="minorHAnsi"/>
          <w:bCs/>
        </w:rPr>
        <w:t xml:space="preserve">As regards gender, the Commission notes that information indicating the differential impact of discrimination in policing </w:t>
      </w:r>
      <w:r w:rsidRPr="00D920C9">
        <w:rPr>
          <w:rFonts w:asciiTheme="minorHAnsi" w:hAnsiTheme="minorHAnsi"/>
        </w:rPr>
        <w:t>and</w:t>
      </w:r>
      <w:r w:rsidRPr="00D920C9">
        <w:rPr>
          <w:rFonts w:asciiTheme="minorHAnsi" w:hAnsiTheme="minorHAnsi"/>
          <w:bCs/>
        </w:rPr>
        <w:t xml:space="preserve"> the justice system on </w:t>
      </w:r>
      <w:r w:rsidRPr="00D920C9">
        <w:rPr>
          <w:rFonts w:asciiTheme="minorHAnsi" w:hAnsiTheme="minorHAnsi"/>
          <w:bCs/>
        </w:rPr>
        <w:lastRenderedPageBreak/>
        <w:t xml:space="preserve">women. </w:t>
      </w:r>
      <w:r w:rsidR="00B74EEE" w:rsidRPr="00D920C9">
        <w:rPr>
          <w:rFonts w:asciiTheme="minorHAnsi" w:hAnsiTheme="minorHAnsi"/>
          <w:bCs/>
        </w:rPr>
        <w:t xml:space="preserve">In addition to being victims of police brutality and killings, they are also disproportionately affected by sexual violence perpetrated by police officers, and </w:t>
      </w:r>
      <w:r w:rsidR="00B74EEE" w:rsidRPr="00D920C9">
        <w:rPr>
          <w:rFonts w:asciiTheme="minorHAnsi" w:hAnsiTheme="minorHAnsi"/>
        </w:rPr>
        <w:t>experience harassment and barriers to justice for family members who are victims of police violence.</w:t>
      </w:r>
      <w:r w:rsidRPr="00D920C9">
        <w:rPr>
          <w:rStyle w:val="FootnoteReference"/>
          <w:rFonts w:asciiTheme="minorHAnsi" w:hAnsiTheme="minorHAnsi"/>
        </w:rPr>
        <w:footnoteReference w:id="367"/>
      </w:r>
      <w:r w:rsidRPr="00D920C9">
        <w:rPr>
          <w:rFonts w:asciiTheme="minorHAnsi" w:hAnsiTheme="minorHAnsi"/>
        </w:rPr>
        <w:t xml:space="preserve"> </w:t>
      </w:r>
      <w:r w:rsidR="00762508" w:rsidRPr="00D920C9">
        <w:rPr>
          <w:rFonts w:asciiTheme="minorHAnsi" w:hAnsiTheme="minorHAnsi"/>
          <w:bCs/>
        </w:rPr>
        <w:t xml:space="preserve">During its 2015 visit to New Orleans, Louisiana, the </w:t>
      </w:r>
      <w:r w:rsidRPr="00D920C9">
        <w:rPr>
          <w:rFonts w:asciiTheme="minorHAnsi" w:hAnsiTheme="minorHAnsi"/>
          <w:bCs/>
        </w:rPr>
        <w:t>Commission</w:t>
      </w:r>
      <w:r w:rsidR="00762508" w:rsidRPr="00D920C9">
        <w:rPr>
          <w:rFonts w:asciiTheme="minorHAnsi" w:hAnsiTheme="minorHAnsi"/>
          <w:bCs/>
        </w:rPr>
        <w:t xml:space="preserve"> was also informed </w:t>
      </w:r>
      <w:r w:rsidRPr="00D920C9">
        <w:rPr>
          <w:rFonts w:asciiTheme="minorHAnsi" w:hAnsiTheme="minorHAnsi"/>
          <w:bCs/>
        </w:rPr>
        <w:t>about</w:t>
      </w:r>
      <w:r w:rsidR="00762508" w:rsidRPr="00D920C9">
        <w:rPr>
          <w:rFonts w:asciiTheme="minorHAnsi" w:hAnsiTheme="minorHAnsi"/>
          <w:bCs/>
        </w:rPr>
        <w:t xml:space="preserve"> serious problems with sexual assault investigations by the police, stemming from the fact that many police officers do not believe in </w:t>
      </w:r>
      <w:r w:rsidR="000E7B9C" w:rsidRPr="00D920C9">
        <w:rPr>
          <w:rFonts w:asciiTheme="minorHAnsi" w:hAnsiTheme="minorHAnsi"/>
          <w:bCs/>
        </w:rPr>
        <w:t xml:space="preserve">such a thing as </w:t>
      </w:r>
      <w:r w:rsidR="00762508" w:rsidRPr="00D920C9">
        <w:rPr>
          <w:rFonts w:asciiTheme="minorHAnsi" w:hAnsiTheme="minorHAnsi"/>
          <w:bCs/>
        </w:rPr>
        <w:t xml:space="preserve">non-violent rape. At that time, the Commission considered that the situation evidences the need for better training on </w:t>
      </w:r>
      <w:r w:rsidR="00E5336C" w:rsidRPr="00D920C9">
        <w:rPr>
          <w:rFonts w:asciiTheme="minorHAnsi" w:hAnsiTheme="minorHAnsi"/>
          <w:bCs/>
        </w:rPr>
        <w:t>the</w:t>
      </w:r>
      <w:r w:rsidR="00762508" w:rsidRPr="00D920C9">
        <w:rPr>
          <w:rFonts w:asciiTheme="minorHAnsi" w:hAnsiTheme="minorHAnsi"/>
          <w:bCs/>
        </w:rPr>
        <w:t xml:space="preserve"> proper recei</w:t>
      </w:r>
      <w:r w:rsidR="00E5336C" w:rsidRPr="00D920C9">
        <w:rPr>
          <w:rFonts w:asciiTheme="minorHAnsi" w:hAnsiTheme="minorHAnsi"/>
          <w:bCs/>
        </w:rPr>
        <w:t>pt</w:t>
      </w:r>
      <w:r w:rsidR="00762508" w:rsidRPr="00D920C9">
        <w:rPr>
          <w:rFonts w:asciiTheme="minorHAnsi" w:hAnsiTheme="minorHAnsi"/>
          <w:bCs/>
        </w:rPr>
        <w:t xml:space="preserve"> and investiga</w:t>
      </w:r>
      <w:r w:rsidR="00E5336C" w:rsidRPr="00D920C9">
        <w:rPr>
          <w:rFonts w:asciiTheme="minorHAnsi" w:hAnsiTheme="minorHAnsi"/>
          <w:bCs/>
        </w:rPr>
        <w:t>tion of</w:t>
      </w:r>
      <w:r w:rsidR="00762508" w:rsidRPr="00D920C9">
        <w:rPr>
          <w:rFonts w:asciiTheme="minorHAnsi" w:hAnsiTheme="minorHAnsi"/>
          <w:bCs/>
        </w:rPr>
        <w:t xml:space="preserve"> complaints.</w:t>
      </w:r>
      <w:r w:rsidR="00762508" w:rsidRPr="00D920C9">
        <w:rPr>
          <w:rStyle w:val="FootnoteReference"/>
          <w:rFonts w:asciiTheme="minorHAnsi" w:hAnsiTheme="minorHAnsi"/>
          <w:bCs/>
        </w:rPr>
        <w:footnoteReference w:id="368"/>
      </w:r>
      <w:r w:rsidR="0086378B" w:rsidRPr="00D920C9">
        <w:rPr>
          <w:rFonts w:asciiTheme="minorHAnsi" w:hAnsiTheme="minorHAnsi"/>
          <w:bCs/>
        </w:rPr>
        <w:t xml:space="preserve"> The Commission notes that black women may </w:t>
      </w:r>
      <w:r w:rsidR="00E5336C" w:rsidRPr="00D920C9">
        <w:rPr>
          <w:rFonts w:asciiTheme="minorHAnsi" w:hAnsiTheme="minorHAnsi"/>
          <w:bCs/>
        </w:rPr>
        <w:t>also</w:t>
      </w:r>
      <w:r w:rsidR="0086378B" w:rsidRPr="00D920C9">
        <w:rPr>
          <w:rFonts w:asciiTheme="minorHAnsi" w:hAnsiTheme="minorHAnsi"/>
          <w:bCs/>
        </w:rPr>
        <w:t xml:space="preserve"> be disproportionately affected in the aftermath of police killings</w:t>
      </w:r>
      <w:r w:rsidR="00970B76" w:rsidRPr="00D920C9">
        <w:rPr>
          <w:rFonts w:asciiTheme="minorHAnsi" w:hAnsiTheme="minorHAnsi"/>
          <w:bCs/>
        </w:rPr>
        <w:t xml:space="preserve"> as they seek justice for their </w:t>
      </w:r>
      <w:r w:rsidR="00E5336C" w:rsidRPr="00D920C9">
        <w:rPr>
          <w:rFonts w:asciiTheme="minorHAnsi" w:hAnsiTheme="minorHAnsi"/>
          <w:bCs/>
        </w:rPr>
        <w:t>loved ones</w:t>
      </w:r>
      <w:r w:rsidR="004B7C27" w:rsidRPr="00D920C9">
        <w:rPr>
          <w:rFonts w:asciiTheme="minorHAnsi" w:hAnsiTheme="minorHAnsi"/>
          <w:bCs/>
        </w:rPr>
        <w:t>, and in light of the economic impact that killings of family members may have on their households</w:t>
      </w:r>
      <w:r w:rsidR="00970B76" w:rsidRPr="00D920C9">
        <w:rPr>
          <w:rFonts w:asciiTheme="minorHAnsi" w:hAnsiTheme="minorHAnsi"/>
          <w:bCs/>
        </w:rPr>
        <w:t>.</w:t>
      </w:r>
    </w:p>
    <w:p w14:paraId="384AD74D" w14:textId="77777777" w:rsidR="000E7B9C" w:rsidRPr="00D920C9" w:rsidRDefault="000E7B9C" w:rsidP="00E86698">
      <w:pPr>
        <w:pStyle w:val="ListParagraph"/>
        <w:numPr>
          <w:ilvl w:val="0"/>
          <w:numId w:val="9"/>
        </w:numPr>
        <w:spacing w:after="240" w:line="240" w:lineRule="auto"/>
        <w:ind w:left="547" w:hanging="547"/>
        <w:contextualSpacing w:val="0"/>
        <w:jc w:val="both"/>
        <w:rPr>
          <w:rFonts w:asciiTheme="minorHAnsi" w:hAnsiTheme="minorHAnsi"/>
          <w:bCs/>
        </w:rPr>
      </w:pPr>
      <w:r w:rsidRPr="00D920C9">
        <w:rPr>
          <w:rFonts w:asciiTheme="minorHAnsi" w:hAnsiTheme="minorHAnsi"/>
          <w:bCs/>
        </w:rPr>
        <w:t>Available information indicates that mental illness plays a disproportionate role in cases of police brutality and police killings.</w:t>
      </w:r>
      <w:r w:rsidR="004B7C27" w:rsidRPr="00D920C9">
        <w:rPr>
          <w:rStyle w:val="FootnoteReference"/>
          <w:rFonts w:asciiTheme="minorHAnsi" w:hAnsiTheme="minorHAnsi"/>
          <w:bCs/>
        </w:rPr>
        <w:footnoteReference w:id="369"/>
      </w:r>
      <w:r w:rsidRPr="00D920C9">
        <w:rPr>
          <w:rFonts w:asciiTheme="minorHAnsi" w:hAnsiTheme="minorHAnsi"/>
          <w:bCs/>
        </w:rPr>
        <w:t xml:space="preserve"> </w:t>
      </w:r>
      <w:r w:rsidR="001365E4" w:rsidRPr="00D920C9">
        <w:rPr>
          <w:rFonts w:asciiTheme="minorHAnsi" w:hAnsiTheme="minorHAnsi"/>
          <w:bCs/>
        </w:rPr>
        <w:t>For example,</w:t>
      </w:r>
      <w:r w:rsidRPr="00D920C9">
        <w:rPr>
          <w:rFonts w:asciiTheme="minorHAnsi" w:hAnsiTheme="minorHAnsi"/>
          <w:bCs/>
        </w:rPr>
        <w:t xml:space="preserve"> the </w:t>
      </w:r>
      <w:r w:rsidRPr="00D920C9">
        <w:rPr>
          <w:rFonts w:asciiTheme="minorHAnsi" w:hAnsiTheme="minorHAnsi"/>
          <w:bCs/>
          <w:i/>
        </w:rPr>
        <w:t>Fatal Force</w:t>
      </w:r>
      <w:r w:rsidRPr="00D920C9">
        <w:rPr>
          <w:rFonts w:asciiTheme="minorHAnsi" w:hAnsiTheme="minorHAnsi"/>
          <w:bCs/>
        </w:rPr>
        <w:t xml:space="preserve"> database of police killings found that </w:t>
      </w:r>
      <w:r w:rsidR="001365E4" w:rsidRPr="00D920C9">
        <w:rPr>
          <w:rFonts w:asciiTheme="minorHAnsi" w:hAnsiTheme="minorHAnsi"/>
          <w:bCs/>
        </w:rPr>
        <w:t xml:space="preserve">in </w:t>
      </w:r>
      <w:r w:rsidRPr="00D920C9">
        <w:rPr>
          <w:rFonts w:asciiTheme="minorHAnsi" w:hAnsiTheme="minorHAnsi"/>
          <w:bCs/>
        </w:rPr>
        <w:t xml:space="preserve">one-fourth of reported killings </w:t>
      </w:r>
      <w:r w:rsidR="001365E4" w:rsidRPr="00D920C9">
        <w:rPr>
          <w:rFonts w:asciiTheme="minorHAnsi" w:hAnsiTheme="minorHAnsi"/>
          <w:bCs/>
        </w:rPr>
        <w:t>in 2015, 2016, and 2017</w:t>
      </w:r>
      <w:r w:rsidRPr="00D920C9">
        <w:rPr>
          <w:rFonts w:asciiTheme="minorHAnsi" w:hAnsiTheme="minorHAnsi"/>
          <w:bCs/>
        </w:rPr>
        <w:t>, the victims displayed signs of or were diagnosed with mental illness.</w:t>
      </w:r>
      <w:r w:rsidRPr="00D920C9">
        <w:rPr>
          <w:rStyle w:val="FootnoteReference"/>
          <w:rFonts w:asciiTheme="minorHAnsi" w:hAnsiTheme="minorHAnsi"/>
          <w:bCs/>
        </w:rPr>
        <w:footnoteReference w:id="370"/>
      </w:r>
      <w:r w:rsidR="001C40B1" w:rsidRPr="00D920C9">
        <w:rPr>
          <w:rFonts w:asciiTheme="minorHAnsi" w:hAnsiTheme="minorHAnsi"/>
          <w:bCs/>
        </w:rPr>
        <w:t xml:space="preserve"> Within this high number, media sources and civil society highlight that many of those </w:t>
      </w:r>
      <w:r w:rsidR="001C40B1" w:rsidRPr="00D920C9">
        <w:rPr>
          <w:rFonts w:asciiTheme="minorHAnsi" w:hAnsiTheme="minorHAnsi"/>
        </w:rPr>
        <w:t>killed</w:t>
      </w:r>
      <w:r w:rsidR="001C40B1" w:rsidRPr="00D920C9">
        <w:rPr>
          <w:rFonts w:asciiTheme="minorHAnsi" w:hAnsiTheme="minorHAnsi"/>
          <w:bCs/>
        </w:rPr>
        <w:t xml:space="preserve"> by police were reportedly experiencing mental health crises, causing family members or others to call the police seeking help. For example, </w:t>
      </w:r>
      <w:proofErr w:type="spellStart"/>
      <w:r w:rsidR="001C40B1" w:rsidRPr="00D920C9">
        <w:rPr>
          <w:rFonts w:asciiTheme="minorHAnsi" w:hAnsiTheme="minorHAnsi"/>
          <w:bCs/>
        </w:rPr>
        <w:t>Lavall</w:t>
      </w:r>
      <w:proofErr w:type="spellEnd"/>
      <w:r w:rsidR="001C40B1" w:rsidRPr="00D920C9">
        <w:rPr>
          <w:rFonts w:asciiTheme="minorHAnsi" w:hAnsiTheme="minorHAnsi"/>
          <w:bCs/>
        </w:rPr>
        <w:t xml:space="preserve"> Hall was killed by Miami Gardens police on the night of February 5, 2015 after his mother called police upon finding him outside in the cold almost naked and waving a broomstick. Hall was schizophrenic, and had been taken to a mental hospital less than a week earlier.</w:t>
      </w:r>
      <w:r w:rsidR="001C40B1" w:rsidRPr="00D920C9">
        <w:rPr>
          <w:rStyle w:val="FootnoteReference"/>
          <w:rFonts w:asciiTheme="minorHAnsi" w:hAnsiTheme="minorHAnsi"/>
          <w:bCs/>
        </w:rPr>
        <w:footnoteReference w:id="371"/>
      </w:r>
      <w:r w:rsidR="001C40B1" w:rsidRPr="00D920C9">
        <w:rPr>
          <w:rFonts w:asciiTheme="minorHAnsi" w:hAnsiTheme="minorHAnsi"/>
          <w:bCs/>
        </w:rPr>
        <w:t xml:space="preserve"> Civil society groups have voiced concerns that these kinds of killings are highly preventable, and result from a lack of adequate police training and mental health care services to appropriately respond to mental health crises without violence.</w:t>
      </w:r>
      <w:r w:rsidR="001C40B1" w:rsidRPr="00D920C9">
        <w:rPr>
          <w:rStyle w:val="FootnoteReference"/>
          <w:rFonts w:asciiTheme="minorHAnsi" w:hAnsiTheme="minorHAnsi"/>
          <w:bCs/>
        </w:rPr>
        <w:footnoteReference w:id="372"/>
      </w:r>
      <w:r w:rsidR="00A53AB4" w:rsidRPr="00D920C9">
        <w:rPr>
          <w:rFonts w:asciiTheme="minorHAnsi" w:hAnsiTheme="minorHAnsi"/>
          <w:bCs/>
        </w:rPr>
        <w:t xml:space="preserve"> D</w:t>
      </w:r>
      <w:r w:rsidR="00CE2418" w:rsidRPr="00D920C9">
        <w:rPr>
          <w:rFonts w:asciiTheme="minorHAnsi" w:hAnsiTheme="minorHAnsi"/>
          <w:bCs/>
        </w:rPr>
        <w:t>uring a December 2017 hearing</w:t>
      </w:r>
      <w:r w:rsidR="00710109" w:rsidRPr="00D920C9">
        <w:rPr>
          <w:rFonts w:asciiTheme="minorHAnsi" w:hAnsiTheme="minorHAnsi"/>
          <w:bCs/>
        </w:rPr>
        <w:t>,</w:t>
      </w:r>
      <w:r w:rsidR="00CE2418" w:rsidRPr="00D920C9">
        <w:rPr>
          <w:rFonts w:asciiTheme="minorHAnsi" w:hAnsiTheme="minorHAnsi"/>
          <w:bCs/>
        </w:rPr>
        <w:t xml:space="preserve"> the Commission received information about the </w:t>
      </w:r>
      <w:r w:rsidR="00CE2418" w:rsidRPr="00D920C9">
        <w:rPr>
          <w:rFonts w:asciiTheme="minorHAnsi" w:hAnsiTheme="minorHAnsi"/>
          <w:bCs/>
        </w:rPr>
        <w:lastRenderedPageBreak/>
        <w:t xml:space="preserve">police killing of Dontre Hamilton, a 23-year-old </w:t>
      </w:r>
      <w:r w:rsidR="00970B76" w:rsidRPr="00D920C9">
        <w:rPr>
          <w:rFonts w:asciiTheme="minorHAnsi" w:hAnsiTheme="minorHAnsi"/>
          <w:bCs/>
        </w:rPr>
        <w:t xml:space="preserve">black </w:t>
      </w:r>
      <w:r w:rsidR="00CE2418" w:rsidRPr="00D920C9">
        <w:rPr>
          <w:rFonts w:asciiTheme="minorHAnsi" w:hAnsiTheme="minorHAnsi"/>
          <w:bCs/>
        </w:rPr>
        <w:t>man with a history of mental illness, in Milwaukee, Wisconsin in 2014.</w:t>
      </w:r>
      <w:r w:rsidR="00CE2418" w:rsidRPr="00D920C9">
        <w:rPr>
          <w:rStyle w:val="FootnoteReference"/>
          <w:rFonts w:asciiTheme="minorHAnsi" w:hAnsiTheme="minorHAnsi"/>
          <w:bCs/>
        </w:rPr>
        <w:footnoteReference w:id="373"/>
      </w:r>
      <w:r w:rsidR="00CE2418" w:rsidRPr="00D920C9">
        <w:rPr>
          <w:rFonts w:asciiTheme="minorHAnsi" w:hAnsiTheme="minorHAnsi"/>
          <w:bCs/>
        </w:rPr>
        <w:t xml:space="preserve"> </w:t>
      </w:r>
    </w:p>
    <w:p w14:paraId="2A3283D5" w14:textId="77777777" w:rsidR="000E7B9C" w:rsidRPr="00D920C9" w:rsidRDefault="00CE2418" w:rsidP="00E86698">
      <w:pPr>
        <w:pStyle w:val="ListParagraph"/>
        <w:numPr>
          <w:ilvl w:val="0"/>
          <w:numId w:val="9"/>
        </w:numPr>
        <w:spacing w:after="240" w:line="240" w:lineRule="auto"/>
        <w:ind w:left="547" w:hanging="547"/>
        <w:contextualSpacing w:val="0"/>
        <w:jc w:val="both"/>
        <w:rPr>
          <w:rFonts w:asciiTheme="minorHAnsi" w:hAnsiTheme="minorHAnsi"/>
          <w:bCs/>
        </w:rPr>
      </w:pPr>
      <w:r w:rsidRPr="00D920C9">
        <w:rPr>
          <w:rFonts w:asciiTheme="minorHAnsi" w:hAnsiTheme="minorHAnsi"/>
          <w:bCs/>
        </w:rPr>
        <w:t xml:space="preserve">The Commission has also received information that individuals experiencing homelessness are disproportionately impacted by police violence. </w:t>
      </w:r>
      <w:r w:rsidR="00841F00" w:rsidRPr="00D920C9">
        <w:rPr>
          <w:rFonts w:asciiTheme="minorHAnsi" w:hAnsiTheme="minorHAnsi"/>
          <w:bCs/>
        </w:rPr>
        <w:t>D</w:t>
      </w:r>
      <w:r w:rsidR="000E7B9C" w:rsidRPr="00D920C9">
        <w:rPr>
          <w:rFonts w:asciiTheme="minorHAnsi" w:hAnsiTheme="minorHAnsi"/>
          <w:bCs/>
        </w:rPr>
        <w:t>uring an October 2015</w:t>
      </w:r>
      <w:r w:rsidR="009F3240" w:rsidRPr="00D920C9">
        <w:rPr>
          <w:rFonts w:asciiTheme="minorHAnsi" w:hAnsiTheme="minorHAnsi"/>
          <w:bCs/>
        </w:rPr>
        <w:t xml:space="preserve"> </w:t>
      </w:r>
      <w:r w:rsidR="000E7B9C" w:rsidRPr="00D920C9">
        <w:rPr>
          <w:rFonts w:asciiTheme="minorHAnsi" w:hAnsiTheme="minorHAnsi"/>
          <w:bCs/>
        </w:rPr>
        <w:t>hearing on racism in the U</w:t>
      </w:r>
      <w:r w:rsidR="00C45A79" w:rsidRPr="00D920C9">
        <w:rPr>
          <w:rFonts w:asciiTheme="minorHAnsi" w:hAnsiTheme="minorHAnsi"/>
          <w:bCs/>
        </w:rPr>
        <w:t>.</w:t>
      </w:r>
      <w:r w:rsidR="000E7B9C" w:rsidRPr="00D920C9">
        <w:rPr>
          <w:rFonts w:asciiTheme="minorHAnsi" w:hAnsiTheme="minorHAnsi"/>
          <w:bCs/>
        </w:rPr>
        <w:t>S</w:t>
      </w:r>
      <w:r w:rsidR="00C45A79" w:rsidRPr="00D920C9">
        <w:rPr>
          <w:rFonts w:asciiTheme="minorHAnsi" w:hAnsiTheme="minorHAnsi"/>
          <w:bCs/>
        </w:rPr>
        <w:t>.</w:t>
      </w:r>
      <w:r w:rsidR="000E7B9C" w:rsidRPr="00D920C9">
        <w:rPr>
          <w:rFonts w:asciiTheme="minorHAnsi" w:hAnsiTheme="minorHAnsi"/>
          <w:bCs/>
        </w:rPr>
        <w:t xml:space="preserve"> justice system,</w:t>
      </w:r>
      <w:r w:rsidR="009F3240" w:rsidRPr="00D920C9">
        <w:rPr>
          <w:rFonts w:asciiTheme="minorHAnsi" w:hAnsiTheme="minorHAnsi"/>
          <w:bCs/>
        </w:rPr>
        <w:t xml:space="preserve"> Mark </w:t>
      </w:r>
      <w:proofErr w:type="spellStart"/>
      <w:r w:rsidR="009F3240" w:rsidRPr="00D920C9">
        <w:rPr>
          <w:rFonts w:asciiTheme="minorHAnsi" w:hAnsiTheme="minorHAnsi"/>
        </w:rPr>
        <w:t>Fancher</w:t>
      </w:r>
      <w:proofErr w:type="spellEnd"/>
      <w:r w:rsidR="000E7B9C" w:rsidRPr="00D920C9">
        <w:rPr>
          <w:rFonts w:asciiTheme="minorHAnsi" w:hAnsiTheme="minorHAnsi"/>
          <w:bCs/>
        </w:rPr>
        <w:t xml:space="preserve"> of the</w:t>
      </w:r>
      <w:r w:rsidR="009F3240" w:rsidRPr="00D920C9">
        <w:rPr>
          <w:rFonts w:asciiTheme="minorHAnsi" w:hAnsiTheme="minorHAnsi"/>
          <w:bCs/>
        </w:rPr>
        <w:t xml:space="preserve"> ACLU of Michigan</w:t>
      </w:r>
      <w:r w:rsidR="000E7B9C" w:rsidRPr="00D920C9">
        <w:rPr>
          <w:rFonts w:asciiTheme="minorHAnsi" w:hAnsiTheme="minorHAnsi"/>
          <w:bCs/>
        </w:rPr>
        <w:t xml:space="preserve"> brought to the attention the case of Milton Hall, a mentally ill man</w:t>
      </w:r>
      <w:r w:rsidRPr="00D920C9">
        <w:rPr>
          <w:rFonts w:asciiTheme="minorHAnsi" w:hAnsiTheme="minorHAnsi"/>
          <w:bCs/>
        </w:rPr>
        <w:t xml:space="preserve"> experiencing homelessness</w:t>
      </w:r>
      <w:r w:rsidR="000E7B9C" w:rsidRPr="00D920C9">
        <w:rPr>
          <w:rFonts w:asciiTheme="minorHAnsi" w:hAnsiTheme="minorHAnsi"/>
          <w:bCs/>
        </w:rPr>
        <w:t xml:space="preserve"> killed by police in Milwaukee, Michigan</w:t>
      </w:r>
      <w:r w:rsidR="009F3240" w:rsidRPr="00D920C9">
        <w:rPr>
          <w:rFonts w:asciiTheme="minorHAnsi" w:hAnsiTheme="minorHAnsi"/>
          <w:bCs/>
        </w:rPr>
        <w:t xml:space="preserve">: </w:t>
      </w:r>
    </w:p>
    <w:tbl>
      <w:tblPr>
        <w:tblStyle w:val="TableGrid"/>
        <w:tblW w:w="0" w:type="auto"/>
        <w:shd w:val="clear" w:color="auto" w:fill="D9D9D9" w:themeFill="background1" w:themeFillShade="D9"/>
        <w:tblLook w:val="04A0" w:firstRow="1" w:lastRow="0" w:firstColumn="1" w:lastColumn="0" w:noHBand="0" w:noVBand="1"/>
      </w:tblPr>
      <w:tblGrid>
        <w:gridCol w:w="7848"/>
      </w:tblGrid>
      <w:tr w:rsidR="00625D97" w14:paraId="112241E7" w14:textId="77777777" w:rsidTr="00625D97">
        <w:tc>
          <w:tcPr>
            <w:tcW w:w="7848" w:type="dxa"/>
            <w:shd w:val="clear" w:color="auto" w:fill="D9D9D9" w:themeFill="background1" w:themeFillShade="D9"/>
          </w:tcPr>
          <w:p w14:paraId="2AB587AA" w14:textId="75397C16" w:rsidR="00625D97" w:rsidRDefault="00625D97" w:rsidP="00625D97">
            <w:pPr>
              <w:spacing w:after="240" w:line="240" w:lineRule="auto"/>
              <w:ind w:left="288" w:right="288"/>
              <w:jc w:val="both"/>
              <w:rPr>
                <w:rFonts w:asciiTheme="minorHAnsi" w:hAnsiTheme="minorHAnsi"/>
                <w:bCs/>
              </w:rPr>
            </w:pPr>
            <w:r>
              <w:rPr>
                <w:rFonts w:asciiTheme="minorHAnsi" w:hAnsiTheme="minorHAnsi"/>
                <w:bCs/>
              </w:rPr>
              <w:br/>
            </w:r>
            <w:r w:rsidRPr="00D920C9">
              <w:rPr>
                <w:rFonts w:asciiTheme="minorHAnsi" w:hAnsiTheme="minorHAnsi"/>
                <w:bCs/>
              </w:rPr>
              <w:t>A little more than two years ago, Milton Hall, a 49-year-old homeless man who suffered from a mental illness got into an argument with a store clerk. He left the building, and while standing in the parking lot, he was surrounded by eight police officers. [...] Officers shot 46 bullets at Mr. Hall, and continued to shoot at his body even after it fell. In the face of such graphic evidence, neither local prosecutors nor the [DOJ] attempted to prosecute the officers involved. The Justice Department claimed “there was not sufficient evidence of misconduct to give rise to a federal criminal prosecution.” [...] In this case, a firing squad-type shooting was not only reckless, but was clearly unjustified and grossly violated Mr. Hall’s basic human rights. [...] The communities that continue to be victimized by these acts of police violence need answers to the question of why the federal government is failing to hold officers accountable for fatal police shootings.</w:t>
            </w:r>
            <w:r w:rsidRPr="00D920C9">
              <w:rPr>
                <w:rStyle w:val="FootnoteReference"/>
                <w:rFonts w:asciiTheme="minorHAnsi" w:hAnsiTheme="minorHAnsi"/>
                <w:bCs/>
              </w:rPr>
              <w:footnoteReference w:id="374"/>
            </w:r>
          </w:p>
        </w:tc>
      </w:tr>
    </w:tbl>
    <w:p w14:paraId="642018F4" w14:textId="77777777" w:rsidR="00B31D4A" w:rsidRPr="00D920C9" w:rsidRDefault="00B31D4A" w:rsidP="00625D97">
      <w:pPr>
        <w:spacing w:after="0" w:line="240" w:lineRule="auto"/>
        <w:jc w:val="both"/>
        <w:rPr>
          <w:rFonts w:asciiTheme="minorHAnsi" w:hAnsiTheme="minorHAnsi"/>
          <w:bCs/>
        </w:rPr>
      </w:pPr>
    </w:p>
    <w:p w14:paraId="48B764DC" w14:textId="77777777" w:rsidR="009F3240" w:rsidRPr="00D920C9" w:rsidRDefault="00B05A07" w:rsidP="00E86698">
      <w:pPr>
        <w:pStyle w:val="ListParagraph"/>
        <w:numPr>
          <w:ilvl w:val="0"/>
          <w:numId w:val="9"/>
        </w:numPr>
        <w:spacing w:after="240" w:line="240" w:lineRule="auto"/>
        <w:ind w:left="547" w:hanging="547"/>
        <w:contextualSpacing w:val="0"/>
        <w:jc w:val="both"/>
        <w:rPr>
          <w:rFonts w:asciiTheme="minorHAnsi" w:hAnsiTheme="minorHAnsi"/>
          <w:bCs/>
        </w:rPr>
      </w:pPr>
      <w:r w:rsidRPr="00D920C9">
        <w:rPr>
          <w:rFonts w:asciiTheme="minorHAnsi" w:hAnsiTheme="minorHAnsi"/>
          <w:bCs/>
        </w:rPr>
        <w:t>The Commission notes that police killings tend to disproportionate</w:t>
      </w:r>
      <w:r w:rsidR="00710109" w:rsidRPr="00D920C9">
        <w:rPr>
          <w:rFonts w:asciiTheme="minorHAnsi" w:hAnsiTheme="minorHAnsi"/>
          <w:bCs/>
        </w:rPr>
        <w:t>ly</w:t>
      </w:r>
      <w:r w:rsidRPr="00D920C9">
        <w:rPr>
          <w:rFonts w:asciiTheme="minorHAnsi" w:hAnsiTheme="minorHAnsi"/>
          <w:bCs/>
        </w:rPr>
        <w:t xml:space="preserve"> impact young </w:t>
      </w:r>
      <w:r w:rsidR="00693E7E" w:rsidRPr="00D920C9">
        <w:rPr>
          <w:rFonts w:asciiTheme="minorHAnsi" w:hAnsiTheme="minorHAnsi"/>
          <w:bCs/>
        </w:rPr>
        <w:t>African Americans</w:t>
      </w:r>
      <w:r w:rsidRPr="00D920C9">
        <w:rPr>
          <w:rFonts w:asciiTheme="minorHAnsi" w:hAnsiTheme="minorHAnsi"/>
          <w:bCs/>
        </w:rPr>
        <w:t xml:space="preserve">, including adolescents, who are frequently portrayed by officers and by the media as </w:t>
      </w:r>
      <w:r w:rsidR="00E31585" w:rsidRPr="00D920C9">
        <w:rPr>
          <w:rFonts w:asciiTheme="minorHAnsi" w:hAnsiTheme="minorHAnsi"/>
          <w:bCs/>
        </w:rPr>
        <w:t>appearing “like adults” as a way to justify the use of lethal force against them</w:t>
      </w:r>
      <w:r w:rsidRPr="00D920C9">
        <w:rPr>
          <w:rFonts w:asciiTheme="minorHAnsi" w:hAnsiTheme="minorHAnsi"/>
          <w:bCs/>
        </w:rPr>
        <w:t xml:space="preserve">. For example, Cleveland police killed twelve-year-old </w:t>
      </w:r>
      <w:proofErr w:type="spellStart"/>
      <w:r w:rsidRPr="00D920C9">
        <w:rPr>
          <w:rFonts w:asciiTheme="minorHAnsi" w:hAnsiTheme="minorHAnsi"/>
          <w:bCs/>
        </w:rPr>
        <w:t>Tamir</w:t>
      </w:r>
      <w:proofErr w:type="spellEnd"/>
      <w:r w:rsidRPr="00D920C9">
        <w:rPr>
          <w:rFonts w:asciiTheme="minorHAnsi" w:hAnsiTheme="minorHAnsi"/>
          <w:bCs/>
        </w:rPr>
        <w:t xml:space="preserve"> Rice </w:t>
      </w:r>
      <w:r w:rsidR="00FA1E78" w:rsidRPr="00D920C9">
        <w:rPr>
          <w:rFonts w:asciiTheme="minorHAnsi" w:hAnsiTheme="minorHAnsi"/>
          <w:bCs/>
        </w:rPr>
        <w:t xml:space="preserve">while responding to a 911 call reporting that someone at the park had a gun, </w:t>
      </w:r>
      <w:r w:rsidR="00E31585" w:rsidRPr="00D920C9">
        <w:rPr>
          <w:rFonts w:asciiTheme="minorHAnsi" w:hAnsiTheme="minorHAnsi"/>
          <w:bCs/>
        </w:rPr>
        <w:t>though the caller expressed that they</w:t>
      </w:r>
      <w:r w:rsidR="00FA1E78" w:rsidRPr="00D920C9">
        <w:rPr>
          <w:rFonts w:asciiTheme="minorHAnsi" w:hAnsiTheme="minorHAnsi"/>
          <w:bCs/>
        </w:rPr>
        <w:t xml:space="preserve"> might be a “juvenile” and the gun might be “fake</w:t>
      </w:r>
      <w:r w:rsidR="00A36D70" w:rsidRPr="00D920C9">
        <w:rPr>
          <w:rFonts w:asciiTheme="minorHAnsi" w:hAnsiTheme="minorHAnsi"/>
          <w:bCs/>
        </w:rPr>
        <w:t>.</w:t>
      </w:r>
      <w:r w:rsidR="00FA1E78" w:rsidRPr="00D920C9">
        <w:rPr>
          <w:rFonts w:asciiTheme="minorHAnsi" w:hAnsiTheme="minorHAnsi"/>
          <w:bCs/>
        </w:rPr>
        <w:t>”</w:t>
      </w:r>
      <w:r w:rsidR="00FA1E78" w:rsidRPr="00D920C9">
        <w:rPr>
          <w:rStyle w:val="FootnoteReference"/>
          <w:rFonts w:asciiTheme="minorHAnsi" w:hAnsiTheme="minorHAnsi"/>
          <w:bCs/>
        </w:rPr>
        <w:footnoteReference w:id="375"/>
      </w:r>
      <w:r w:rsidR="00FA1E78" w:rsidRPr="00D920C9">
        <w:rPr>
          <w:rFonts w:asciiTheme="minorHAnsi" w:hAnsiTheme="minorHAnsi"/>
          <w:bCs/>
        </w:rPr>
        <w:t xml:space="preserve"> </w:t>
      </w:r>
      <w:r w:rsidRPr="00D920C9">
        <w:rPr>
          <w:rFonts w:asciiTheme="minorHAnsi" w:hAnsiTheme="minorHAnsi"/>
          <w:bCs/>
        </w:rPr>
        <w:t xml:space="preserve">Similarly, the officer who shot Michael Brown later defended his actions by saying that he perceived </w:t>
      </w:r>
      <w:r w:rsidR="00A36D70" w:rsidRPr="00D920C9">
        <w:rPr>
          <w:rFonts w:asciiTheme="minorHAnsi" w:hAnsiTheme="minorHAnsi"/>
          <w:bCs/>
        </w:rPr>
        <w:t>the 18</w:t>
      </w:r>
      <w:r w:rsidRPr="00D920C9">
        <w:rPr>
          <w:rFonts w:asciiTheme="minorHAnsi" w:hAnsiTheme="minorHAnsi"/>
          <w:bCs/>
        </w:rPr>
        <w:t>-year-old Brown as looking “like a demon,” and that compared with Brown, he “felt like a five-year-old holding onto Hulk Hogan.”</w:t>
      </w:r>
      <w:r w:rsidRPr="00D920C9">
        <w:rPr>
          <w:rStyle w:val="FootnoteReference"/>
          <w:rFonts w:asciiTheme="minorHAnsi" w:hAnsiTheme="minorHAnsi"/>
          <w:bCs/>
        </w:rPr>
        <w:footnoteReference w:id="376"/>
      </w:r>
      <w:r w:rsidRPr="00D920C9">
        <w:rPr>
          <w:rFonts w:asciiTheme="minorHAnsi" w:hAnsiTheme="minorHAnsi"/>
          <w:bCs/>
        </w:rPr>
        <w:t xml:space="preserve"> </w:t>
      </w:r>
      <w:r w:rsidR="00A36D70" w:rsidRPr="00D920C9">
        <w:rPr>
          <w:rFonts w:asciiTheme="minorHAnsi" w:hAnsiTheme="minorHAnsi"/>
          <w:bCs/>
        </w:rPr>
        <w:t xml:space="preserve">Similarly, during its visit </w:t>
      </w:r>
      <w:r w:rsidR="00710109" w:rsidRPr="00D920C9">
        <w:rPr>
          <w:rFonts w:asciiTheme="minorHAnsi" w:hAnsiTheme="minorHAnsi"/>
          <w:bCs/>
        </w:rPr>
        <w:t>to</w:t>
      </w:r>
      <w:r w:rsidR="00A36D70" w:rsidRPr="00D920C9">
        <w:rPr>
          <w:rFonts w:asciiTheme="minorHAnsi" w:hAnsiTheme="minorHAnsi"/>
          <w:bCs/>
        </w:rPr>
        <w:t xml:space="preserve"> New Orleans, the Commission </w:t>
      </w:r>
      <w:r w:rsidR="009F3240" w:rsidRPr="00D920C9">
        <w:rPr>
          <w:rFonts w:asciiTheme="minorHAnsi" w:hAnsiTheme="minorHAnsi"/>
        </w:rPr>
        <w:t>received</w:t>
      </w:r>
      <w:r w:rsidR="009F3240" w:rsidRPr="00D920C9">
        <w:rPr>
          <w:rFonts w:asciiTheme="minorHAnsi" w:hAnsiTheme="minorHAnsi"/>
          <w:bCs/>
        </w:rPr>
        <w:t xml:space="preserve"> reports of several cases of police excessive use of force against </w:t>
      </w:r>
      <w:r w:rsidR="00710109" w:rsidRPr="00D920C9">
        <w:rPr>
          <w:rFonts w:asciiTheme="minorHAnsi" w:hAnsiTheme="minorHAnsi"/>
          <w:bCs/>
        </w:rPr>
        <w:t>Black</w:t>
      </w:r>
      <w:r w:rsidR="009F3240" w:rsidRPr="00D920C9">
        <w:rPr>
          <w:rFonts w:asciiTheme="minorHAnsi" w:hAnsiTheme="minorHAnsi"/>
          <w:bCs/>
        </w:rPr>
        <w:t xml:space="preserve"> </w:t>
      </w:r>
      <w:r w:rsidR="00970B76" w:rsidRPr="00D920C9">
        <w:rPr>
          <w:rFonts w:asciiTheme="minorHAnsi" w:hAnsiTheme="minorHAnsi"/>
          <w:bCs/>
        </w:rPr>
        <w:t>children</w:t>
      </w:r>
      <w:r w:rsidR="00A36D70" w:rsidRPr="00D920C9">
        <w:rPr>
          <w:rFonts w:asciiTheme="minorHAnsi" w:hAnsiTheme="minorHAnsi"/>
          <w:bCs/>
        </w:rPr>
        <w:t xml:space="preserve">, </w:t>
      </w:r>
      <w:r w:rsidR="00710109" w:rsidRPr="00D920C9">
        <w:rPr>
          <w:rFonts w:asciiTheme="minorHAnsi" w:hAnsiTheme="minorHAnsi"/>
          <w:bCs/>
        </w:rPr>
        <w:t>and</w:t>
      </w:r>
      <w:r w:rsidR="00A36D70" w:rsidRPr="00D920C9">
        <w:rPr>
          <w:rFonts w:asciiTheme="minorHAnsi" w:hAnsiTheme="minorHAnsi"/>
          <w:bCs/>
        </w:rPr>
        <w:t xml:space="preserve"> information about </w:t>
      </w:r>
      <w:r w:rsidR="00710109" w:rsidRPr="00D920C9">
        <w:rPr>
          <w:rFonts w:asciiTheme="minorHAnsi" w:hAnsiTheme="minorHAnsi"/>
          <w:bCs/>
        </w:rPr>
        <w:t>their treatment</w:t>
      </w:r>
      <w:r w:rsidR="009F3240" w:rsidRPr="00D920C9">
        <w:rPr>
          <w:rFonts w:asciiTheme="minorHAnsi" w:hAnsiTheme="minorHAnsi"/>
          <w:bCs/>
        </w:rPr>
        <w:t xml:space="preserve"> as adults in the </w:t>
      </w:r>
      <w:r w:rsidR="009F3240" w:rsidRPr="00D920C9">
        <w:rPr>
          <w:rFonts w:asciiTheme="minorHAnsi" w:hAnsiTheme="minorHAnsi"/>
          <w:bCs/>
        </w:rPr>
        <w:lastRenderedPageBreak/>
        <w:t>justice system.</w:t>
      </w:r>
      <w:r w:rsidR="009F3240" w:rsidRPr="00D920C9">
        <w:rPr>
          <w:rStyle w:val="FootnoteReference"/>
          <w:rFonts w:asciiTheme="minorHAnsi" w:hAnsiTheme="minorHAnsi"/>
          <w:bCs/>
        </w:rPr>
        <w:footnoteReference w:id="377"/>
      </w:r>
      <w:r w:rsidR="00E31585" w:rsidRPr="00D920C9">
        <w:rPr>
          <w:rFonts w:asciiTheme="minorHAnsi" w:hAnsiTheme="minorHAnsi"/>
          <w:bCs/>
        </w:rPr>
        <w:t xml:space="preserve"> </w:t>
      </w:r>
      <w:r w:rsidR="007F7673" w:rsidRPr="00D920C9">
        <w:rPr>
          <w:rFonts w:asciiTheme="minorHAnsi" w:hAnsiTheme="minorHAnsi"/>
          <w:bCs/>
        </w:rPr>
        <w:t>T</w:t>
      </w:r>
      <w:r w:rsidR="00E31585" w:rsidRPr="00D920C9">
        <w:rPr>
          <w:rFonts w:asciiTheme="minorHAnsi" w:hAnsiTheme="minorHAnsi"/>
          <w:bCs/>
        </w:rPr>
        <w:t xml:space="preserve">he Commission </w:t>
      </w:r>
      <w:r w:rsidR="00DE6ADF" w:rsidRPr="00D920C9">
        <w:rPr>
          <w:rFonts w:asciiTheme="minorHAnsi" w:hAnsiTheme="minorHAnsi"/>
          <w:bCs/>
        </w:rPr>
        <w:t>has previously highlighted “the stigmatization and discriminatory treatment meted out by State agents to certain social groups blamed for the lack of security, including male adolescents, persons pertaining to traditionally excluded and poor groups, and Afro</w:t>
      </w:r>
      <w:r w:rsidR="00F96415" w:rsidRPr="00D920C9">
        <w:rPr>
          <w:rFonts w:asciiTheme="minorHAnsi" w:hAnsiTheme="minorHAnsi"/>
          <w:bCs/>
        </w:rPr>
        <w:t>-</w:t>
      </w:r>
      <w:r w:rsidR="00DE6ADF" w:rsidRPr="00D920C9">
        <w:rPr>
          <w:rFonts w:asciiTheme="minorHAnsi" w:hAnsiTheme="minorHAnsi"/>
          <w:bCs/>
        </w:rPr>
        <w:t>descendants” as a worrying trend.</w:t>
      </w:r>
      <w:r w:rsidR="00DE6ADF" w:rsidRPr="00D920C9">
        <w:rPr>
          <w:rStyle w:val="FootnoteReference"/>
          <w:rFonts w:asciiTheme="minorHAnsi" w:hAnsiTheme="minorHAnsi"/>
          <w:bCs/>
        </w:rPr>
        <w:footnoteReference w:id="378"/>
      </w:r>
    </w:p>
    <w:p w14:paraId="3EA53340" w14:textId="77777777" w:rsidR="00762508" w:rsidRPr="00D920C9" w:rsidRDefault="00E12219" w:rsidP="00E86698">
      <w:pPr>
        <w:pStyle w:val="ListParagraph"/>
        <w:numPr>
          <w:ilvl w:val="0"/>
          <w:numId w:val="9"/>
        </w:numPr>
        <w:spacing w:after="240" w:line="240" w:lineRule="auto"/>
        <w:ind w:left="547" w:hanging="547"/>
        <w:contextualSpacing w:val="0"/>
        <w:jc w:val="both"/>
        <w:rPr>
          <w:rFonts w:asciiTheme="minorHAnsi" w:hAnsiTheme="minorHAnsi"/>
          <w:bCs/>
        </w:rPr>
      </w:pPr>
      <w:r w:rsidRPr="00D920C9">
        <w:rPr>
          <w:rFonts w:asciiTheme="minorHAnsi" w:hAnsiTheme="minorHAnsi"/>
          <w:bCs/>
        </w:rPr>
        <w:t xml:space="preserve">The Commission has also received information about police violence against transgender individuals. </w:t>
      </w:r>
      <w:r w:rsidR="00762508" w:rsidRPr="00D920C9">
        <w:rPr>
          <w:rFonts w:asciiTheme="minorHAnsi" w:hAnsiTheme="minorHAnsi"/>
          <w:bCs/>
        </w:rPr>
        <w:t xml:space="preserve">According to </w:t>
      </w:r>
      <w:proofErr w:type="gramStart"/>
      <w:r w:rsidR="00762508" w:rsidRPr="00D920C9">
        <w:rPr>
          <w:rFonts w:asciiTheme="minorHAnsi" w:hAnsiTheme="minorHAnsi"/>
          <w:bCs/>
        </w:rPr>
        <w:t>an</w:t>
      </w:r>
      <w:proofErr w:type="gramEnd"/>
      <w:r w:rsidR="00762508" w:rsidRPr="00D920C9">
        <w:rPr>
          <w:rFonts w:asciiTheme="minorHAnsi" w:hAnsiTheme="minorHAnsi"/>
          <w:bCs/>
        </w:rPr>
        <w:t xml:space="preserve"> 2011 national survey, 60% of all </w:t>
      </w:r>
      <w:r w:rsidR="00970B76" w:rsidRPr="00D920C9">
        <w:rPr>
          <w:rFonts w:asciiTheme="minorHAnsi" w:hAnsiTheme="minorHAnsi"/>
          <w:bCs/>
        </w:rPr>
        <w:t>b</w:t>
      </w:r>
      <w:r w:rsidR="00762508" w:rsidRPr="00D920C9">
        <w:rPr>
          <w:rFonts w:asciiTheme="minorHAnsi" w:hAnsiTheme="minorHAnsi"/>
          <w:bCs/>
        </w:rPr>
        <w:t xml:space="preserve">lack transgender individuals who interacted with police </w:t>
      </w:r>
      <w:r w:rsidR="00762508" w:rsidRPr="00D920C9">
        <w:rPr>
          <w:rFonts w:asciiTheme="minorHAnsi" w:hAnsiTheme="minorHAnsi"/>
        </w:rPr>
        <w:t>reported</w:t>
      </w:r>
      <w:r w:rsidR="00762508" w:rsidRPr="00D920C9">
        <w:rPr>
          <w:rFonts w:asciiTheme="minorHAnsi" w:hAnsiTheme="minorHAnsi"/>
          <w:bCs/>
        </w:rPr>
        <w:t xml:space="preserve"> experiencing harassment or physical or sexual assault, compared to 24% of white transgender individuals</w:t>
      </w:r>
      <w:r w:rsidR="000E7B9C" w:rsidRPr="00D920C9">
        <w:rPr>
          <w:rFonts w:asciiTheme="minorHAnsi" w:hAnsiTheme="minorHAnsi"/>
          <w:bCs/>
        </w:rPr>
        <w:t>.</w:t>
      </w:r>
      <w:r w:rsidR="000E7B9C" w:rsidRPr="00D920C9">
        <w:rPr>
          <w:rStyle w:val="FootnoteReference"/>
          <w:rFonts w:asciiTheme="minorHAnsi" w:hAnsiTheme="minorHAnsi"/>
          <w:bCs/>
        </w:rPr>
        <w:footnoteReference w:id="379"/>
      </w:r>
      <w:r w:rsidR="00DE6ADF" w:rsidRPr="00D920C9">
        <w:rPr>
          <w:rFonts w:asciiTheme="minorHAnsi" w:hAnsiTheme="minorHAnsi"/>
          <w:bCs/>
        </w:rPr>
        <w:t xml:space="preserve"> </w:t>
      </w:r>
      <w:r w:rsidRPr="00D920C9">
        <w:rPr>
          <w:rFonts w:asciiTheme="minorHAnsi" w:hAnsiTheme="minorHAnsi"/>
          <w:bCs/>
        </w:rPr>
        <w:t>Another study showed that</w:t>
      </w:r>
      <w:r w:rsidR="00DE6ADF" w:rsidRPr="00D920C9">
        <w:rPr>
          <w:rFonts w:asciiTheme="minorHAnsi" w:hAnsiTheme="minorHAnsi"/>
          <w:bCs/>
        </w:rPr>
        <w:t xml:space="preserve"> more than one-fifth (22%) of transgender people who had interacted with police reported police harassment, and 6% of transgender individuals reported that they experienced bias-motivated assault by officers. </w:t>
      </w:r>
      <w:r w:rsidRPr="00D920C9">
        <w:rPr>
          <w:rFonts w:asciiTheme="minorHAnsi" w:hAnsiTheme="minorHAnsi"/>
          <w:bCs/>
        </w:rPr>
        <w:t xml:space="preserve">These numbers were much higher for </w:t>
      </w:r>
      <w:r w:rsidR="00710109" w:rsidRPr="00D920C9">
        <w:rPr>
          <w:rFonts w:asciiTheme="minorHAnsi" w:hAnsiTheme="minorHAnsi"/>
          <w:bCs/>
        </w:rPr>
        <w:t>black</w:t>
      </w:r>
      <w:r w:rsidR="00DE6ADF" w:rsidRPr="00D920C9">
        <w:rPr>
          <w:rFonts w:asciiTheme="minorHAnsi" w:hAnsiTheme="minorHAnsi"/>
          <w:bCs/>
        </w:rPr>
        <w:t xml:space="preserve"> transgender people</w:t>
      </w:r>
      <w:r w:rsidRPr="00D920C9">
        <w:rPr>
          <w:rFonts w:asciiTheme="minorHAnsi" w:hAnsiTheme="minorHAnsi"/>
          <w:bCs/>
        </w:rPr>
        <w:t>, who</w:t>
      </w:r>
      <w:r w:rsidR="00DE6ADF" w:rsidRPr="00D920C9">
        <w:rPr>
          <w:rFonts w:asciiTheme="minorHAnsi" w:hAnsiTheme="minorHAnsi"/>
          <w:bCs/>
        </w:rPr>
        <w:t xml:space="preserve"> reported much higher rates of biased harassment and assault (38% and 15%)</w:t>
      </w:r>
      <w:r w:rsidR="00F20EE7" w:rsidRPr="00D920C9">
        <w:rPr>
          <w:rFonts w:asciiTheme="minorHAnsi" w:hAnsiTheme="minorHAnsi"/>
          <w:bCs/>
        </w:rPr>
        <w:t>, respectively</w:t>
      </w:r>
      <w:r w:rsidR="00DE6ADF" w:rsidRPr="00D920C9">
        <w:rPr>
          <w:rFonts w:asciiTheme="minorHAnsi" w:hAnsiTheme="minorHAnsi"/>
          <w:bCs/>
        </w:rPr>
        <w:t>.</w:t>
      </w:r>
      <w:r w:rsidRPr="00D920C9">
        <w:rPr>
          <w:rStyle w:val="FootnoteReference"/>
          <w:rFonts w:asciiTheme="minorHAnsi" w:hAnsiTheme="minorHAnsi"/>
          <w:bCs/>
        </w:rPr>
        <w:footnoteReference w:id="380"/>
      </w:r>
    </w:p>
    <w:p w14:paraId="62ABE43B" w14:textId="77777777" w:rsidR="00B4412C" w:rsidRPr="00D920C9" w:rsidRDefault="00710109" w:rsidP="00E86698">
      <w:pPr>
        <w:pStyle w:val="ListParagraph"/>
        <w:numPr>
          <w:ilvl w:val="0"/>
          <w:numId w:val="9"/>
        </w:numPr>
        <w:spacing w:after="240" w:line="240" w:lineRule="auto"/>
        <w:ind w:left="547" w:hanging="547"/>
        <w:contextualSpacing w:val="0"/>
        <w:jc w:val="both"/>
        <w:rPr>
          <w:rFonts w:asciiTheme="minorHAnsi" w:hAnsiTheme="minorHAnsi"/>
        </w:rPr>
      </w:pPr>
      <w:r w:rsidRPr="00D920C9">
        <w:rPr>
          <w:rFonts w:asciiTheme="minorHAnsi" w:hAnsiTheme="minorHAnsi"/>
          <w:bCs/>
        </w:rPr>
        <w:t>G</w:t>
      </w:r>
      <w:r w:rsidR="00F20EE7" w:rsidRPr="00D920C9">
        <w:rPr>
          <w:rFonts w:asciiTheme="minorHAnsi" w:hAnsiTheme="minorHAnsi"/>
          <w:bCs/>
        </w:rPr>
        <w:t xml:space="preserve">iven the </w:t>
      </w:r>
      <w:r w:rsidR="00454092" w:rsidRPr="00D920C9">
        <w:rPr>
          <w:rFonts w:asciiTheme="minorHAnsi" w:hAnsiTheme="minorHAnsi"/>
          <w:bCs/>
        </w:rPr>
        <w:t xml:space="preserve">disproportionate impact of police violence on persons with mental illnesses and disabilities, youth, LGBTI </w:t>
      </w:r>
      <w:r w:rsidR="00454092" w:rsidRPr="00D920C9">
        <w:rPr>
          <w:rFonts w:asciiTheme="minorHAnsi" w:hAnsiTheme="minorHAnsi"/>
        </w:rPr>
        <w:t>individuals</w:t>
      </w:r>
      <w:r w:rsidR="00454092" w:rsidRPr="00D920C9">
        <w:rPr>
          <w:rFonts w:asciiTheme="minorHAnsi" w:hAnsiTheme="minorHAnsi"/>
          <w:bCs/>
        </w:rPr>
        <w:t>, and women</w:t>
      </w:r>
      <w:r w:rsidR="00F20EE7" w:rsidRPr="00D920C9">
        <w:rPr>
          <w:rFonts w:asciiTheme="minorHAnsi" w:hAnsiTheme="minorHAnsi"/>
          <w:bCs/>
        </w:rPr>
        <w:t xml:space="preserve">, </w:t>
      </w:r>
      <w:r w:rsidRPr="00D920C9">
        <w:rPr>
          <w:rFonts w:asciiTheme="minorHAnsi" w:hAnsiTheme="minorHAnsi"/>
          <w:bCs/>
        </w:rPr>
        <w:t xml:space="preserve">the Commission calls for </w:t>
      </w:r>
      <w:r w:rsidR="00454092" w:rsidRPr="00D920C9">
        <w:rPr>
          <w:rFonts w:asciiTheme="minorHAnsi" w:hAnsiTheme="minorHAnsi"/>
          <w:bCs/>
        </w:rPr>
        <w:t>additional</w:t>
      </w:r>
      <w:r w:rsidR="00F20EE7" w:rsidRPr="00D920C9">
        <w:rPr>
          <w:rFonts w:asciiTheme="minorHAnsi" w:hAnsiTheme="minorHAnsi"/>
          <w:bCs/>
        </w:rPr>
        <w:t xml:space="preserve"> research</w:t>
      </w:r>
      <w:r w:rsidR="00454092" w:rsidRPr="00D920C9">
        <w:rPr>
          <w:rFonts w:asciiTheme="minorHAnsi" w:hAnsiTheme="minorHAnsi"/>
          <w:bCs/>
        </w:rPr>
        <w:t xml:space="preserve"> and investigation</w:t>
      </w:r>
      <w:r w:rsidR="00F20EE7" w:rsidRPr="00D920C9">
        <w:rPr>
          <w:rFonts w:asciiTheme="minorHAnsi" w:hAnsiTheme="minorHAnsi"/>
          <w:bCs/>
        </w:rPr>
        <w:t xml:space="preserve"> </w:t>
      </w:r>
      <w:r w:rsidR="00454092" w:rsidRPr="00D920C9">
        <w:rPr>
          <w:rFonts w:asciiTheme="minorHAnsi" w:hAnsiTheme="minorHAnsi"/>
          <w:bCs/>
        </w:rPr>
        <w:t>to evaluate the scope, nature, and differential effects of police violence against these groups</w:t>
      </w:r>
      <w:r w:rsidR="00795650" w:rsidRPr="00D920C9">
        <w:rPr>
          <w:rFonts w:asciiTheme="minorHAnsi" w:hAnsiTheme="minorHAnsi"/>
          <w:bCs/>
        </w:rPr>
        <w:t xml:space="preserve"> and formulate effective public policy to prevent violence and mitigate its effects.</w:t>
      </w:r>
    </w:p>
    <w:p w14:paraId="775F9E4C" w14:textId="77777777" w:rsidR="00B4412C" w:rsidRPr="00D920C9" w:rsidRDefault="009F3240" w:rsidP="003D7958">
      <w:pPr>
        <w:pStyle w:val="Heading4"/>
        <w:ind w:left="540" w:hanging="540"/>
      </w:pPr>
      <w:bookmarkStart w:id="135" w:name="_Toc511837823"/>
      <w:bookmarkStart w:id="136" w:name="_Toc511902996"/>
      <w:bookmarkStart w:id="137" w:name="_Toc517687926"/>
      <w:r w:rsidRPr="00D920C9">
        <w:t xml:space="preserve">Poverty and </w:t>
      </w:r>
      <w:r w:rsidR="0013717A" w:rsidRPr="00D920C9">
        <w:t xml:space="preserve">Access </w:t>
      </w:r>
      <w:r w:rsidRPr="00D920C9">
        <w:t xml:space="preserve">to </w:t>
      </w:r>
      <w:r w:rsidR="0013717A" w:rsidRPr="00D920C9">
        <w:t>Health</w:t>
      </w:r>
      <w:r w:rsidRPr="00D920C9">
        <w:t xml:space="preserve">, </w:t>
      </w:r>
      <w:r w:rsidR="0013717A" w:rsidRPr="00D920C9">
        <w:t>Education</w:t>
      </w:r>
      <w:r w:rsidRPr="00D920C9">
        <w:t xml:space="preserve">, </w:t>
      </w:r>
      <w:r w:rsidR="0013717A" w:rsidRPr="00D920C9">
        <w:t>Housing</w:t>
      </w:r>
      <w:r w:rsidRPr="00D920C9">
        <w:t xml:space="preserve">, </w:t>
      </w:r>
      <w:r w:rsidR="0013717A" w:rsidRPr="00D920C9">
        <w:t>Work</w:t>
      </w:r>
      <w:r w:rsidRPr="00D920C9">
        <w:t xml:space="preserve">, and other </w:t>
      </w:r>
      <w:r w:rsidR="0013717A" w:rsidRPr="00D920C9">
        <w:t>Rights</w:t>
      </w:r>
      <w:bookmarkEnd w:id="135"/>
      <w:bookmarkEnd w:id="136"/>
      <w:bookmarkEnd w:id="137"/>
    </w:p>
    <w:p w14:paraId="2A48B4E9" w14:textId="77777777" w:rsidR="001B3BF3" w:rsidRPr="00D920C9" w:rsidRDefault="00710109" w:rsidP="00E86698">
      <w:pPr>
        <w:pStyle w:val="ListParagraph"/>
        <w:numPr>
          <w:ilvl w:val="0"/>
          <w:numId w:val="9"/>
        </w:numPr>
        <w:spacing w:after="240" w:line="240" w:lineRule="auto"/>
        <w:ind w:left="547" w:hanging="547"/>
        <w:contextualSpacing w:val="0"/>
        <w:jc w:val="both"/>
        <w:rPr>
          <w:rFonts w:asciiTheme="minorHAnsi" w:hAnsiTheme="minorHAnsi"/>
        </w:rPr>
      </w:pPr>
      <w:r w:rsidRPr="00D920C9">
        <w:rPr>
          <w:rFonts w:asciiTheme="minorHAnsi" w:hAnsiTheme="minorHAnsi"/>
        </w:rPr>
        <w:t>P</w:t>
      </w:r>
      <w:r w:rsidR="001B3BF3" w:rsidRPr="00D920C9">
        <w:rPr>
          <w:rFonts w:asciiTheme="minorHAnsi" w:hAnsiTheme="minorHAnsi"/>
        </w:rPr>
        <w:t>ervasive racial discrimination in policing and the criminal justice system exists in a context of structural discrimination that affects virtually every aspect of life.</w:t>
      </w:r>
      <w:r w:rsidR="00F20EE7" w:rsidRPr="00D920C9">
        <w:rPr>
          <w:rStyle w:val="FootnoteReference"/>
          <w:rFonts w:asciiTheme="minorHAnsi" w:hAnsiTheme="minorHAnsi"/>
        </w:rPr>
        <w:footnoteReference w:id="381"/>
      </w:r>
      <w:r w:rsidR="001B3BF3" w:rsidRPr="00D920C9">
        <w:rPr>
          <w:rFonts w:asciiTheme="minorHAnsi" w:hAnsiTheme="minorHAnsi"/>
        </w:rPr>
        <w:t xml:space="preserve"> </w:t>
      </w:r>
      <w:r w:rsidR="0044226C" w:rsidRPr="00D920C9">
        <w:rPr>
          <w:rFonts w:asciiTheme="minorHAnsi" w:hAnsiTheme="minorHAnsi"/>
        </w:rPr>
        <w:t xml:space="preserve">As the Commission has previously noted, historic discrimination and the structural situation of poverty in which many African Americans live </w:t>
      </w:r>
      <w:r w:rsidR="004049C5" w:rsidRPr="00D920C9">
        <w:rPr>
          <w:rFonts w:asciiTheme="minorHAnsi" w:hAnsiTheme="minorHAnsi"/>
        </w:rPr>
        <w:t>is central to</w:t>
      </w:r>
      <w:r w:rsidR="0044226C" w:rsidRPr="00D920C9">
        <w:rPr>
          <w:rFonts w:asciiTheme="minorHAnsi" w:hAnsiTheme="minorHAnsi"/>
        </w:rPr>
        <w:t xml:space="preserve"> many of the problems </w:t>
      </w:r>
      <w:r w:rsidR="00DA69CF" w:rsidRPr="00D920C9">
        <w:rPr>
          <w:rFonts w:asciiTheme="minorHAnsi" w:hAnsiTheme="minorHAnsi"/>
        </w:rPr>
        <w:t xml:space="preserve">addressed in this report, including </w:t>
      </w:r>
      <w:r w:rsidR="0044226C" w:rsidRPr="00D920C9">
        <w:rPr>
          <w:rFonts w:asciiTheme="minorHAnsi" w:hAnsiTheme="minorHAnsi"/>
        </w:rPr>
        <w:t xml:space="preserve">overrepresentation in arrests and </w:t>
      </w:r>
      <w:r w:rsidR="00DA69CF" w:rsidRPr="00D920C9">
        <w:rPr>
          <w:rFonts w:asciiTheme="minorHAnsi" w:hAnsiTheme="minorHAnsi"/>
        </w:rPr>
        <w:t xml:space="preserve">in the </w:t>
      </w:r>
      <w:r w:rsidR="0044226C" w:rsidRPr="00D920C9">
        <w:rPr>
          <w:rFonts w:asciiTheme="minorHAnsi" w:hAnsiTheme="minorHAnsi"/>
        </w:rPr>
        <w:t>prison system, and unequal access to justice.</w:t>
      </w:r>
      <w:r w:rsidR="00DA69CF" w:rsidRPr="00D920C9">
        <w:rPr>
          <w:rStyle w:val="FootnoteReference"/>
          <w:rFonts w:asciiTheme="minorHAnsi" w:hAnsiTheme="minorHAnsi"/>
        </w:rPr>
        <w:footnoteReference w:id="382"/>
      </w:r>
      <w:r w:rsidR="0044226C" w:rsidRPr="00D920C9">
        <w:rPr>
          <w:rFonts w:asciiTheme="minorHAnsi" w:hAnsiTheme="minorHAnsi"/>
        </w:rPr>
        <w:t xml:space="preserve"> </w:t>
      </w:r>
      <w:r w:rsidR="004049C5" w:rsidRPr="00D920C9">
        <w:rPr>
          <w:rFonts w:asciiTheme="minorHAnsi" w:hAnsiTheme="minorHAnsi"/>
        </w:rPr>
        <w:t>T</w:t>
      </w:r>
      <w:r w:rsidR="00DA69CF" w:rsidRPr="00D920C9">
        <w:rPr>
          <w:rFonts w:asciiTheme="minorHAnsi" w:hAnsiTheme="minorHAnsi"/>
        </w:rPr>
        <w:t>he Commission has considered that</w:t>
      </w:r>
      <w:r w:rsidR="0044226C" w:rsidRPr="00D920C9">
        <w:rPr>
          <w:rFonts w:asciiTheme="minorHAnsi" w:hAnsiTheme="minorHAnsi"/>
        </w:rPr>
        <w:t xml:space="preserve"> the </w:t>
      </w:r>
      <w:r w:rsidR="0044226C" w:rsidRPr="00D920C9">
        <w:rPr>
          <w:rFonts w:asciiTheme="minorHAnsi" w:hAnsiTheme="minorHAnsi"/>
        </w:rPr>
        <w:lastRenderedPageBreak/>
        <w:t xml:space="preserve">enduring situation of poverty of many </w:t>
      </w:r>
      <w:r w:rsidR="004049C5" w:rsidRPr="00D920C9">
        <w:rPr>
          <w:rFonts w:asciiTheme="minorHAnsi" w:hAnsiTheme="minorHAnsi"/>
        </w:rPr>
        <w:t>black</w:t>
      </w:r>
      <w:r w:rsidR="0044226C" w:rsidRPr="00D920C9">
        <w:rPr>
          <w:rFonts w:asciiTheme="minorHAnsi" w:hAnsiTheme="minorHAnsi"/>
        </w:rPr>
        <w:t xml:space="preserve"> </w:t>
      </w:r>
      <w:r w:rsidRPr="00D920C9">
        <w:rPr>
          <w:rFonts w:asciiTheme="minorHAnsi" w:hAnsiTheme="minorHAnsi"/>
        </w:rPr>
        <w:t>communities</w:t>
      </w:r>
      <w:r w:rsidR="0044226C" w:rsidRPr="00D920C9">
        <w:rPr>
          <w:rFonts w:asciiTheme="minorHAnsi" w:hAnsiTheme="minorHAnsi"/>
        </w:rPr>
        <w:t xml:space="preserve"> exacerbates their disproportionate abuse and </w:t>
      </w:r>
      <w:r w:rsidR="00DA69CF" w:rsidRPr="00D920C9">
        <w:rPr>
          <w:rFonts w:asciiTheme="minorHAnsi" w:hAnsiTheme="minorHAnsi"/>
        </w:rPr>
        <w:t>mis</w:t>
      </w:r>
      <w:r w:rsidR="0044226C" w:rsidRPr="00D920C9">
        <w:rPr>
          <w:rFonts w:asciiTheme="minorHAnsi" w:hAnsiTheme="minorHAnsi"/>
        </w:rPr>
        <w:t xml:space="preserve">treatment </w:t>
      </w:r>
      <w:r w:rsidR="00F20EE7" w:rsidRPr="00D920C9">
        <w:rPr>
          <w:rFonts w:asciiTheme="minorHAnsi" w:hAnsiTheme="minorHAnsi"/>
        </w:rPr>
        <w:t>at</w:t>
      </w:r>
      <w:r w:rsidR="0044226C" w:rsidRPr="00D920C9">
        <w:rPr>
          <w:rFonts w:asciiTheme="minorHAnsi" w:hAnsiTheme="minorHAnsi"/>
        </w:rPr>
        <w:t xml:space="preserve"> the hands of the criminal justice system and the police, which in turn aborts efforts to overcome such poverty.</w:t>
      </w:r>
      <w:r w:rsidR="0044226C" w:rsidRPr="00D920C9">
        <w:rPr>
          <w:rStyle w:val="FootnoteReference"/>
          <w:rFonts w:asciiTheme="minorHAnsi" w:hAnsiTheme="minorHAnsi"/>
        </w:rPr>
        <w:footnoteReference w:id="383"/>
      </w:r>
      <w:r w:rsidR="00DA69CF" w:rsidRPr="00D920C9">
        <w:rPr>
          <w:rFonts w:asciiTheme="minorHAnsi" w:hAnsiTheme="minorHAnsi"/>
        </w:rPr>
        <w:t xml:space="preserve"> </w:t>
      </w:r>
      <w:r w:rsidR="00A02B96" w:rsidRPr="00D920C9">
        <w:rPr>
          <w:rFonts w:asciiTheme="minorHAnsi" w:hAnsiTheme="minorHAnsi"/>
        </w:rPr>
        <w:t xml:space="preserve">Thus, </w:t>
      </w:r>
      <w:r w:rsidR="001B3BF3" w:rsidRPr="00D920C9">
        <w:rPr>
          <w:rFonts w:asciiTheme="minorHAnsi" w:hAnsiTheme="minorHAnsi"/>
        </w:rPr>
        <w:t>while African</w:t>
      </w:r>
      <w:r w:rsidR="0030356C" w:rsidRPr="00D920C9">
        <w:rPr>
          <w:rFonts w:asciiTheme="minorHAnsi" w:hAnsiTheme="minorHAnsi"/>
        </w:rPr>
        <w:t xml:space="preserve"> </w:t>
      </w:r>
      <w:r w:rsidR="001B3BF3" w:rsidRPr="00D920C9">
        <w:rPr>
          <w:rFonts w:asciiTheme="minorHAnsi" w:hAnsiTheme="minorHAnsi"/>
        </w:rPr>
        <w:t>Americans in general are disproportionately affected by police violence and discrimination in the justice system,</w:t>
      </w:r>
      <w:r w:rsidR="001B3BF3" w:rsidRPr="00D920C9">
        <w:rPr>
          <w:rStyle w:val="FootnoteReference"/>
          <w:rFonts w:asciiTheme="minorHAnsi" w:hAnsiTheme="minorHAnsi"/>
        </w:rPr>
        <w:footnoteReference w:id="384"/>
      </w:r>
      <w:r w:rsidR="00A913B1" w:rsidRPr="00D920C9">
        <w:rPr>
          <w:rFonts w:asciiTheme="minorHAnsi" w:hAnsiTheme="minorHAnsi"/>
        </w:rPr>
        <w:t xml:space="preserve"> it is poor African American communities that are </w:t>
      </w:r>
      <w:r w:rsidR="00841F00" w:rsidRPr="00D920C9">
        <w:rPr>
          <w:rFonts w:asciiTheme="minorHAnsi" w:hAnsiTheme="minorHAnsi"/>
        </w:rPr>
        <w:t xml:space="preserve">most </w:t>
      </w:r>
      <w:r w:rsidR="00A913B1" w:rsidRPr="00D920C9">
        <w:rPr>
          <w:rFonts w:asciiTheme="minorHAnsi" w:hAnsiTheme="minorHAnsi"/>
        </w:rPr>
        <w:t>impacted.</w:t>
      </w:r>
    </w:p>
    <w:p w14:paraId="42510651" w14:textId="507F5C44" w:rsidR="00B4412C" w:rsidRPr="00D920C9" w:rsidRDefault="0016547D" w:rsidP="00E86698">
      <w:pPr>
        <w:pStyle w:val="ListParagraph"/>
        <w:numPr>
          <w:ilvl w:val="0"/>
          <w:numId w:val="9"/>
        </w:numPr>
        <w:spacing w:after="240" w:line="240" w:lineRule="auto"/>
        <w:ind w:left="547" w:hanging="547"/>
        <w:contextualSpacing w:val="0"/>
        <w:jc w:val="both"/>
        <w:rPr>
          <w:rFonts w:asciiTheme="minorHAnsi" w:hAnsiTheme="minorHAnsi"/>
        </w:rPr>
      </w:pPr>
      <w:bookmarkStart w:id="138" w:name="_Ref511150077"/>
      <w:r w:rsidRPr="00D920C9">
        <w:rPr>
          <w:rFonts w:asciiTheme="minorHAnsi" w:hAnsiTheme="minorHAnsi"/>
        </w:rPr>
        <w:t>Information indicates that while African Americans make up 13 percent of the U</w:t>
      </w:r>
      <w:r w:rsidR="00C45A79" w:rsidRPr="00D920C9">
        <w:rPr>
          <w:rFonts w:asciiTheme="minorHAnsi" w:hAnsiTheme="minorHAnsi"/>
        </w:rPr>
        <w:t>.</w:t>
      </w:r>
      <w:r w:rsidRPr="00D920C9">
        <w:rPr>
          <w:rFonts w:asciiTheme="minorHAnsi" w:hAnsiTheme="minorHAnsi"/>
        </w:rPr>
        <w:t>S</w:t>
      </w:r>
      <w:r w:rsidR="00C45A79" w:rsidRPr="00D920C9">
        <w:rPr>
          <w:rFonts w:asciiTheme="minorHAnsi" w:hAnsiTheme="minorHAnsi"/>
        </w:rPr>
        <w:t>.</w:t>
      </w:r>
      <w:r w:rsidRPr="00D920C9">
        <w:rPr>
          <w:rFonts w:asciiTheme="minorHAnsi" w:hAnsiTheme="minorHAnsi"/>
        </w:rPr>
        <w:t xml:space="preserve"> population, they make up 23 percent of those officially in poverty and 39 percent of </w:t>
      </w:r>
      <w:r w:rsidR="00F20EE7" w:rsidRPr="00D920C9">
        <w:rPr>
          <w:rFonts w:asciiTheme="minorHAnsi" w:hAnsiTheme="minorHAnsi"/>
        </w:rPr>
        <w:t>those experiencing homelessness</w:t>
      </w:r>
      <w:r w:rsidRPr="00D920C9">
        <w:rPr>
          <w:rFonts w:asciiTheme="minorHAnsi" w:hAnsiTheme="minorHAnsi"/>
        </w:rPr>
        <w:t>.</w:t>
      </w:r>
      <w:r w:rsidRPr="00D920C9">
        <w:rPr>
          <w:rStyle w:val="FootnoteReference"/>
          <w:rFonts w:asciiTheme="minorHAnsi" w:hAnsiTheme="minorHAnsi"/>
        </w:rPr>
        <w:footnoteReference w:id="385"/>
      </w:r>
      <w:r w:rsidRPr="00D920C9">
        <w:rPr>
          <w:rFonts w:asciiTheme="minorHAnsi" w:hAnsiTheme="minorHAnsi"/>
        </w:rPr>
        <w:t xml:space="preserve"> </w:t>
      </w:r>
      <w:r w:rsidR="00A02B96" w:rsidRPr="00D920C9">
        <w:rPr>
          <w:rFonts w:asciiTheme="minorHAnsi" w:hAnsiTheme="minorHAnsi"/>
        </w:rPr>
        <w:t>E</w:t>
      </w:r>
      <w:r w:rsidR="00A913B1" w:rsidRPr="00D920C9">
        <w:rPr>
          <w:rFonts w:asciiTheme="minorHAnsi" w:hAnsiTheme="minorHAnsi"/>
        </w:rPr>
        <w:t xml:space="preserve">vidence indicates that </w:t>
      </w:r>
      <w:r w:rsidR="00770625" w:rsidRPr="00D920C9">
        <w:rPr>
          <w:rFonts w:asciiTheme="minorHAnsi" w:hAnsiTheme="minorHAnsi"/>
        </w:rPr>
        <w:t xml:space="preserve">poor </w:t>
      </w:r>
      <w:r w:rsidR="00A02B96" w:rsidRPr="00D920C9">
        <w:rPr>
          <w:rFonts w:asciiTheme="minorHAnsi" w:hAnsiTheme="minorHAnsi"/>
        </w:rPr>
        <w:t>black</w:t>
      </w:r>
      <w:r w:rsidR="00770625" w:rsidRPr="00D920C9">
        <w:rPr>
          <w:rFonts w:asciiTheme="minorHAnsi" w:hAnsiTheme="minorHAnsi"/>
        </w:rPr>
        <w:t xml:space="preserve"> communities (and other </w:t>
      </w:r>
      <w:r w:rsidR="00A02B96" w:rsidRPr="00D920C9">
        <w:rPr>
          <w:rFonts w:asciiTheme="minorHAnsi" w:hAnsiTheme="minorHAnsi"/>
        </w:rPr>
        <w:t>historically marginalized communities</w:t>
      </w:r>
      <w:r w:rsidR="00770625" w:rsidRPr="00D920C9">
        <w:rPr>
          <w:rFonts w:asciiTheme="minorHAnsi" w:hAnsiTheme="minorHAnsi"/>
        </w:rPr>
        <w:t>) are disproportionately targeted by over-policing practices—both “Broken Window”-type policing and policing for profit. This makes them more likely both to be the victims of police brutality, and to be arrested. Once arrested, they are less likely to be able to make bail, and thus more likely to have their family and work lives disrupted by pretrial detention and more likely to re-offend prior to their court dates. Because they are less likely to be able to afford a lawyer, they are more likely to be represented by public defender offices that provide a lower level of service</w:t>
      </w:r>
      <w:r w:rsidR="00543FF0" w:rsidRPr="00D920C9">
        <w:rPr>
          <w:rFonts w:asciiTheme="minorHAnsi" w:hAnsiTheme="minorHAnsi"/>
        </w:rPr>
        <w:t xml:space="preserve"> due to limited resources</w:t>
      </w:r>
      <w:r w:rsidR="00770625" w:rsidRPr="00D920C9">
        <w:rPr>
          <w:rFonts w:asciiTheme="minorHAnsi" w:hAnsiTheme="minorHAnsi"/>
        </w:rPr>
        <w:t>. They are statistically more likely to take plea deals, including pleading guilty to be able to leave pretrial detention, and more likely to serve longer prison sentences.</w:t>
      </w:r>
      <w:r w:rsidR="00770625" w:rsidRPr="00D920C9">
        <w:rPr>
          <w:rStyle w:val="FootnoteReference"/>
          <w:rFonts w:asciiTheme="minorHAnsi" w:hAnsiTheme="minorHAnsi"/>
        </w:rPr>
        <w:footnoteReference w:id="386"/>
      </w:r>
      <w:r w:rsidR="00770625" w:rsidRPr="00D920C9">
        <w:rPr>
          <w:rFonts w:asciiTheme="minorHAnsi" w:hAnsiTheme="minorHAnsi"/>
        </w:rPr>
        <w:t xml:space="preserve">  As a result, </w:t>
      </w:r>
      <w:r w:rsidR="00B4412C" w:rsidRPr="00D920C9">
        <w:rPr>
          <w:rFonts w:asciiTheme="minorHAnsi" w:hAnsiTheme="minorHAnsi"/>
        </w:rPr>
        <w:t xml:space="preserve">mass incarceration </w:t>
      </w:r>
      <w:r w:rsidR="00770625" w:rsidRPr="00D920C9">
        <w:rPr>
          <w:rFonts w:asciiTheme="minorHAnsi" w:hAnsiTheme="minorHAnsi"/>
        </w:rPr>
        <w:t>can be described as</w:t>
      </w:r>
      <w:r w:rsidR="00B4412C" w:rsidRPr="00D920C9">
        <w:rPr>
          <w:rFonts w:asciiTheme="minorHAnsi" w:hAnsiTheme="minorHAnsi"/>
        </w:rPr>
        <w:t xml:space="preserve"> a “racially, spatially and socioeconomically targeted phenomenon that disproportionately afflicts lower-class African</w:t>
      </w:r>
      <w:r w:rsidR="0030356C" w:rsidRPr="00D920C9">
        <w:rPr>
          <w:rFonts w:asciiTheme="minorHAnsi" w:hAnsiTheme="minorHAnsi"/>
        </w:rPr>
        <w:t xml:space="preserve"> </w:t>
      </w:r>
      <w:r w:rsidR="00B4412C" w:rsidRPr="00D920C9">
        <w:rPr>
          <w:rFonts w:asciiTheme="minorHAnsi" w:hAnsiTheme="minorHAnsi"/>
        </w:rPr>
        <w:t>American and Hispanic residents of degraded urban spaces</w:t>
      </w:r>
      <w:r w:rsidR="00770625" w:rsidRPr="00D920C9">
        <w:rPr>
          <w:rFonts w:asciiTheme="minorHAnsi" w:hAnsiTheme="minorHAnsi"/>
        </w:rPr>
        <w:t>.</w:t>
      </w:r>
      <w:r w:rsidR="00B4412C" w:rsidRPr="00D920C9">
        <w:rPr>
          <w:rFonts w:asciiTheme="minorHAnsi" w:hAnsiTheme="minorHAnsi"/>
        </w:rPr>
        <w:t>”</w:t>
      </w:r>
      <w:r w:rsidR="00770625" w:rsidRPr="00D920C9">
        <w:rPr>
          <w:rStyle w:val="FootnoteReference"/>
          <w:rFonts w:asciiTheme="minorHAnsi" w:hAnsiTheme="minorHAnsi"/>
        </w:rPr>
        <w:footnoteReference w:id="387"/>
      </w:r>
      <w:bookmarkEnd w:id="138"/>
    </w:p>
    <w:p w14:paraId="396C29B1" w14:textId="77777777" w:rsidR="00B4412C" w:rsidRPr="00D920C9" w:rsidRDefault="00B4412C" w:rsidP="00E86698">
      <w:pPr>
        <w:pStyle w:val="ListParagraph"/>
        <w:numPr>
          <w:ilvl w:val="0"/>
          <w:numId w:val="9"/>
        </w:numPr>
        <w:spacing w:after="240" w:line="240" w:lineRule="auto"/>
        <w:ind w:left="547" w:hanging="547"/>
        <w:contextualSpacing w:val="0"/>
        <w:jc w:val="both"/>
        <w:rPr>
          <w:rFonts w:asciiTheme="minorHAnsi" w:hAnsiTheme="minorHAnsi"/>
        </w:rPr>
      </w:pPr>
      <w:r w:rsidRPr="00D920C9">
        <w:rPr>
          <w:rFonts w:asciiTheme="minorHAnsi" w:hAnsiTheme="minorHAnsi"/>
        </w:rPr>
        <w:t xml:space="preserve">The Commission </w:t>
      </w:r>
      <w:r w:rsidR="00637E41" w:rsidRPr="00D920C9">
        <w:rPr>
          <w:rFonts w:asciiTheme="minorHAnsi" w:hAnsiTheme="minorHAnsi"/>
        </w:rPr>
        <w:t>notes that the</w:t>
      </w:r>
      <w:r w:rsidR="004049C5" w:rsidRPr="00D920C9">
        <w:rPr>
          <w:rFonts w:asciiTheme="minorHAnsi" w:hAnsiTheme="minorHAnsi"/>
        </w:rPr>
        <w:t>se</w:t>
      </w:r>
      <w:r w:rsidR="00637E41" w:rsidRPr="00D920C9">
        <w:rPr>
          <w:rFonts w:asciiTheme="minorHAnsi" w:hAnsiTheme="minorHAnsi"/>
        </w:rPr>
        <w:t xml:space="preserve"> issues may be aggravated in the context of drug use and dependence. It has</w:t>
      </w:r>
      <w:r w:rsidR="00A02B96" w:rsidRPr="00D920C9">
        <w:rPr>
          <w:rFonts w:asciiTheme="minorHAnsi" w:hAnsiTheme="minorHAnsi"/>
        </w:rPr>
        <w:t xml:space="preserve"> previously stated that to</w:t>
      </w:r>
      <w:r w:rsidR="00180E33" w:rsidRPr="00D920C9">
        <w:rPr>
          <w:rFonts w:asciiTheme="minorHAnsi" w:hAnsiTheme="minorHAnsi"/>
        </w:rPr>
        <w:t xml:space="preserve"> avoid the criminalization of addiction and </w:t>
      </w:r>
      <w:r w:rsidRPr="00D920C9">
        <w:rPr>
          <w:rFonts w:asciiTheme="minorHAnsi" w:hAnsiTheme="minorHAnsi"/>
        </w:rPr>
        <w:t>avoid recidivism</w:t>
      </w:r>
      <w:r w:rsidR="00A02B96" w:rsidRPr="00D920C9">
        <w:rPr>
          <w:rFonts w:asciiTheme="minorHAnsi" w:hAnsiTheme="minorHAnsi"/>
        </w:rPr>
        <w:t>,</w:t>
      </w:r>
      <w:r w:rsidR="00637E41" w:rsidRPr="00D920C9">
        <w:rPr>
          <w:rFonts w:asciiTheme="minorHAnsi" w:hAnsiTheme="minorHAnsi"/>
        </w:rPr>
        <w:t xml:space="preserve"> </w:t>
      </w:r>
      <w:r w:rsidRPr="00D920C9">
        <w:rPr>
          <w:rFonts w:asciiTheme="minorHAnsi" w:hAnsiTheme="minorHAnsi"/>
        </w:rPr>
        <w:t>“States should have a social and community support network that includes education, employment, housing, and health programs [...] [T]</w:t>
      </w:r>
      <w:proofErr w:type="spellStart"/>
      <w:r w:rsidRPr="00D920C9">
        <w:rPr>
          <w:rFonts w:asciiTheme="minorHAnsi" w:hAnsiTheme="minorHAnsi"/>
        </w:rPr>
        <w:t>hese</w:t>
      </w:r>
      <w:proofErr w:type="spellEnd"/>
      <w:r w:rsidRPr="00D920C9">
        <w:rPr>
          <w:rFonts w:asciiTheme="minorHAnsi" w:hAnsiTheme="minorHAnsi"/>
        </w:rPr>
        <w:t xml:space="preserve"> models should have the assistance of various institutions and a multidisciplinary team with an integral view of the beneficiaries’ psychosocial health.”</w:t>
      </w:r>
      <w:r w:rsidRPr="00D920C9">
        <w:rPr>
          <w:rStyle w:val="FootnoteReference"/>
          <w:rFonts w:asciiTheme="minorHAnsi" w:hAnsiTheme="minorHAnsi"/>
        </w:rPr>
        <w:footnoteReference w:id="388"/>
      </w:r>
      <w:r w:rsidRPr="00D920C9">
        <w:rPr>
          <w:rFonts w:asciiTheme="minorHAnsi" w:hAnsiTheme="minorHAnsi"/>
        </w:rPr>
        <w:t xml:space="preserve"> The </w:t>
      </w:r>
      <w:r w:rsidRPr="00D920C9">
        <w:rPr>
          <w:rFonts w:asciiTheme="minorHAnsi" w:hAnsiTheme="minorHAnsi"/>
        </w:rPr>
        <w:lastRenderedPageBreak/>
        <w:t>Commission notes with concern that the</w:t>
      </w:r>
      <w:r w:rsidR="004049C5" w:rsidRPr="00D920C9">
        <w:rPr>
          <w:rFonts w:asciiTheme="minorHAnsi" w:hAnsiTheme="minorHAnsi"/>
        </w:rPr>
        <w:t xml:space="preserve"> U.S.’ current legal framework </w:t>
      </w:r>
      <w:r w:rsidR="00180E33" w:rsidRPr="00D920C9">
        <w:rPr>
          <w:rFonts w:asciiTheme="minorHAnsi" w:hAnsiTheme="minorHAnsi"/>
        </w:rPr>
        <w:t xml:space="preserve">not only extensively criminalizes drug possession but also, </w:t>
      </w:r>
      <w:r w:rsidRPr="00D920C9">
        <w:rPr>
          <w:rFonts w:asciiTheme="minorHAnsi" w:hAnsiTheme="minorHAnsi"/>
        </w:rPr>
        <w:t>through a variety of laws and policies</w:t>
      </w:r>
      <w:r w:rsidR="00180E33" w:rsidRPr="00D920C9">
        <w:rPr>
          <w:rFonts w:asciiTheme="minorHAnsi" w:hAnsiTheme="minorHAnsi"/>
        </w:rPr>
        <w:t>,</w:t>
      </w:r>
      <w:r w:rsidRPr="00D920C9">
        <w:rPr>
          <w:rFonts w:asciiTheme="minorHAnsi" w:hAnsiTheme="minorHAnsi"/>
        </w:rPr>
        <w:t xml:space="preserve"> </w:t>
      </w:r>
      <w:r w:rsidR="00FD3DC0" w:rsidRPr="00D920C9">
        <w:rPr>
          <w:rFonts w:asciiTheme="minorHAnsi" w:hAnsiTheme="minorHAnsi"/>
        </w:rPr>
        <w:t>tends to exclude</w:t>
      </w:r>
      <w:r w:rsidRPr="00D920C9">
        <w:rPr>
          <w:rFonts w:asciiTheme="minorHAnsi" w:hAnsiTheme="minorHAnsi"/>
        </w:rPr>
        <w:t xml:space="preserve"> persons with prior felony convictions from accessing housing and public benefits and </w:t>
      </w:r>
      <w:r w:rsidR="00180E33" w:rsidRPr="00D920C9">
        <w:rPr>
          <w:rFonts w:asciiTheme="minorHAnsi" w:hAnsiTheme="minorHAnsi"/>
        </w:rPr>
        <w:t>does not effectively prevent</w:t>
      </w:r>
      <w:r w:rsidRPr="00D920C9">
        <w:rPr>
          <w:rFonts w:asciiTheme="minorHAnsi" w:hAnsiTheme="minorHAnsi"/>
        </w:rPr>
        <w:t xml:space="preserve"> employment discrimination against such individuals,</w:t>
      </w:r>
      <w:r w:rsidRPr="00D920C9">
        <w:rPr>
          <w:rStyle w:val="FootnoteReference"/>
          <w:rFonts w:asciiTheme="minorHAnsi" w:hAnsiTheme="minorHAnsi"/>
        </w:rPr>
        <w:footnoteReference w:id="389"/>
      </w:r>
      <w:r w:rsidRPr="00D920C9">
        <w:rPr>
          <w:rFonts w:asciiTheme="minorHAnsi" w:hAnsiTheme="minorHAnsi"/>
        </w:rPr>
        <w:t xml:space="preserve"> mak</w:t>
      </w:r>
      <w:r w:rsidR="004238D7" w:rsidRPr="00D920C9">
        <w:rPr>
          <w:rFonts w:asciiTheme="minorHAnsi" w:hAnsiTheme="minorHAnsi"/>
        </w:rPr>
        <w:t>ing</w:t>
      </w:r>
      <w:r w:rsidRPr="00D920C9">
        <w:rPr>
          <w:rFonts w:asciiTheme="minorHAnsi" w:hAnsiTheme="minorHAnsi"/>
        </w:rPr>
        <w:t xml:space="preserve"> following this recommendation difficult if not impossible in many cases. The Commission calls on the State to reform these laws and policies to enable it to address problems of drug addiction from a public health perspective and ensure access to and effective enjoyment of economic, social, cultural, and environmental rights to all individuals subject to its jurisdiction, without discrimination. </w:t>
      </w:r>
    </w:p>
    <w:p w14:paraId="05884418" w14:textId="77777777" w:rsidR="001F1D81" w:rsidRPr="00D920C9" w:rsidRDefault="009F3240" w:rsidP="00625D97">
      <w:pPr>
        <w:pStyle w:val="Heading2"/>
        <w:ind w:left="540" w:hanging="540"/>
      </w:pPr>
      <w:bookmarkStart w:id="139" w:name="_Toc511837824"/>
      <w:bookmarkStart w:id="140" w:name="_Toc511902997"/>
      <w:bookmarkStart w:id="141" w:name="_Toc517687927"/>
      <w:r w:rsidRPr="00D920C9">
        <w:t xml:space="preserve">Information </w:t>
      </w:r>
      <w:r w:rsidR="00E020AC" w:rsidRPr="00D920C9">
        <w:t>about</w:t>
      </w:r>
      <w:r w:rsidRPr="00D920C9">
        <w:t xml:space="preserve"> </w:t>
      </w:r>
      <w:r w:rsidR="0013717A" w:rsidRPr="00D920C9">
        <w:t>Federal Initiatives</w:t>
      </w:r>
      <w:bookmarkEnd w:id="139"/>
      <w:bookmarkEnd w:id="140"/>
      <w:bookmarkEnd w:id="141"/>
    </w:p>
    <w:p w14:paraId="57A9098F" w14:textId="1EB90641" w:rsidR="00CD3242" w:rsidRPr="00D920C9" w:rsidRDefault="00597062" w:rsidP="00E86698">
      <w:pPr>
        <w:pStyle w:val="ListParagraph"/>
        <w:numPr>
          <w:ilvl w:val="0"/>
          <w:numId w:val="9"/>
        </w:numPr>
        <w:spacing w:after="240" w:line="240" w:lineRule="auto"/>
        <w:ind w:left="547" w:hanging="547"/>
        <w:contextualSpacing w:val="0"/>
        <w:jc w:val="both"/>
        <w:rPr>
          <w:rFonts w:asciiTheme="minorHAnsi" w:hAnsiTheme="minorHAnsi"/>
          <w:szCs w:val="20"/>
        </w:rPr>
      </w:pPr>
      <w:r w:rsidRPr="00D920C9">
        <w:rPr>
          <w:rFonts w:asciiTheme="minorHAnsi" w:hAnsiTheme="minorHAnsi" w:cs="Times"/>
          <w:szCs w:val="20"/>
        </w:rPr>
        <w:t xml:space="preserve">The IACHR has received information in recent years from the </w:t>
      </w:r>
      <w:r w:rsidR="004238D7" w:rsidRPr="00D920C9">
        <w:rPr>
          <w:rFonts w:asciiTheme="minorHAnsi" w:hAnsiTheme="minorHAnsi" w:cs="Times"/>
          <w:szCs w:val="20"/>
        </w:rPr>
        <w:t>State</w:t>
      </w:r>
      <w:r w:rsidRPr="00D920C9">
        <w:rPr>
          <w:rFonts w:asciiTheme="minorHAnsi" w:hAnsiTheme="minorHAnsi" w:cs="Times"/>
          <w:szCs w:val="20"/>
        </w:rPr>
        <w:t xml:space="preserve"> </w:t>
      </w:r>
      <w:r w:rsidR="004238D7" w:rsidRPr="00D920C9">
        <w:rPr>
          <w:rFonts w:asciiTheme="minorHAnsi" w:hAnsiTheme="minorHAnsi" w:cs="Times"/>
          <w:szCs w:val="20"/>
        </w:rPr>
        <w:t>and other sources about</w:t>
      </w:r>
      <w:r w:rsidRPr="00D920C9">
        <w:rPr>
          <w:rFonts w:asciiTheme="minorHAnsi" w:hAnsiTheme="minorHAnsi" w:cs="Times"/>
          <w:szCs w:val="20"/>
        </w:rPr>
        <w:t xml:space="preserve"> policing practices and reform initiatives</w:t>
      </w:r>
      <w:r w:rsidR="004238D7" w:rsidRPr="00D920C9">
        <w:rPr>
          <w:rFonts w:asciiTheme="minorHAnsi" w:hAnsiTheme="minorHAnsi" w:cs="Times"/>
          <w:szCs w:val="20"/>
        </w:rPr>
        <w:t>. While information about State actions is contained throughout the report,</w:t>
      </w:r>
      <w:r w:rsidR="004238D7" w:rsidRPr="00D920C9">
        <w:rPr>
          <w:rStyle w:val="FootnoteReference"/>
          <w:rFonts w:asciiTheme="minorHAnsi" w:hAnsiTheme="minorHAnsi" w:cs="Times"/>
          <w:szCs w:val="20"/>
        </w:rPr>
        <w:footnoteReference w:id="390"/>
      </w:r>
      <w:r w:rsidR="004238D7" w:rsidRPr="00D920C9">
        <w:rPr>
          <w:rFonts w:asciiTheme="minorHAnsi" w:hAnsiTheme="minorHAnsi" w:cs="Times"/>
          <w:szCs w:val="20"/>
        </w:rPr>
        <w:t xml:space="preserve"> the </w:t>
      </w:r>
      <w:r w:rsidR="004238D7" w:rsidRPr="00D920C9">
        <w:rPr>
          <w:rFonts w:asciiTheme="minorHAnsi" w:hAnsiTheme="minorHAnsi"/>
        </w:rPr>
        <w:t>Commission</w:t>
      </w:r>
      <w:r w:rsidR="004238D7" w:rsidRPr="00D920C9">
        <w:rPr>
          <w:rFonts w:asciiTheme="minorHAnsi" w:hAnsiTheme="minorHAnsi" w:cs="Times"/>
          <w:szCs w:val="20"/>
        </w:rPr>
        <w:t xml:space="preserve"> </w:t>
      </w:r>
      <w:r w:rsidR="00EE6D22" w:rsidRPr="00D920C9">
        <w:rPr>
          <w:rFonts w:asciiTheme="minorHAnsi" w:hAnsiTheme="minorHAnsi" w:cs="Times"/>
          <w:szCs w:val="20"/>
        </w:rPr>
        <w:t>finds</w:t>
      </w:r>
      <w:r w:rsidR="004238D7" w:rsidRPr="00D920C9">
        <w:rPr>
          <w:rFonts w:asciiTheme="minorHAnsi" w:hAnsiTheme="minorHAnsi" w:cs="Times"/>
          <w:szCs w:val="20"/>
        </w:rPr>
        <w:t xml:space="preserve"> it useful to </w:t>
      </w:r>
      <w:r w:rsidR="00EE6D22" w:rsidRPr="00D920C9">
        <w:rPr>
          <w:rFonts w:asciiTheme="minorHAnsi" w:hAnsiTheme="minorHAnsi" w:cs="Times"/>
          <w:szCs w:val="20"/>
        </w:rPr>
        <w:t>consider</w:t>
      </w:r>
      <w:r w:rsidR="004238D7" w:rsidRPr="00D920C9">
        <w:rPr>
          <w:rFonts w:asciiTheme="minorHAnsi" w:hAnsiTheme="minorHAnsi" w:cs="Times"/>
          <w:szCs w:val="20"/>
        </w:rPr>
        <w:t xml:space="preserve"> here the </w:t>
      </w:r>
      <w:r w:rsidR="00EE6D22" w:rsidRPr="00D920C9">
        <w:rPr>
          <w:rFonts w:asciiTheme="minorHAnsi" w:hAnsiTheme="minorHAnsi" w:cs="Times"/>
          <w:szCs w:val="20"/>
        </w:rPr>
        <w:t xml:space="preserve">federal </w:t>
      </w:r>
      <w:r w:rsidR="004238D7" w:rsidRPr="00D920C9">
        <w:rPr>
          <w:rFonts w:asciiTheme="minorHAnsi" w:hAnsiTheme="minorHAnsi" w:cs="Times"/>
          <w:szCs w:val="20"/>
        </w:rPr>
        <w:t xml:space="preserve">actions and initiatives that it </w:t>
      </w:r>
      <w:r w:rsidR="00EE6D22" w:rsidRPr="00D920C9">
        <w:rPr>
          <w:rFonts w:asciiTheme="minorHAnsi" w:hAnsiTheme="minorHAnsi" w:cs="Times"/>
          <w:szCs w:val="20"/>
        </w:rPr>
        <w:t>sees as</w:t>
      </w:r>
      <w:r w:rsidR="004238D7" w:rsidRPr="00D920C9">
        <w:rPr>
          <w:rFonts w:asciiTheme="minorHAnsi" w:hAnsiTheme="minorHAnsi" w:cs="Times"/>
          <w:szCs w:val="20"/>
        </w:rPr>
        <w:t xml:space="preserve"> most relevant to the issue of police violence,</w:t>
      </w:r>
      <w:r w:rsidRPr="00D920C9">
        <w:rPr>
          <w:rFonts w:asciiTheme="minorHAnsi" w:hAnsiTheme="minorHAnsi" w:cs="Times"/>
          <w:szCs w:val="20"/>
        </w:rPr>
        <w:t xml:space="preserve"> including prominently the President</w:t>
      </w:r>
      <w:r w:rsidR="007B00C7" w:rsidRPr="00D920C9">
        <w:rPr>
          <w:rFonts w:asciiTheme="minorHAnsi" w:hAnsiTheme="minorHAnsi" w:cs="Times"/>
          <w:szCs w:val="20"/>
        </w:rPr>
        <w:t xml:space="preserve"> Obama’s</w:t>
      </w:r>
      <w:r w:rsidRPr="00D920C9">
        <w:rPr>
          <w:rFonts w:asciiTheme="minorHAnsi" w:hAnsiTheme="minorHAnsi" w:cs="Times"/>
          <w:szCs w:val="20"/>
        </w:rPr>
        <w:t xml:space="preserve"> Task Force on 21</w:t>
      </w:r>
      <w:r w:rsidRPr="00D920C9">
        <w:rPr>
          <w:rFonts w:asciiTheme="minorHAnsi" w:hAnsiTheme="minorHAnsi" w:cs="Times"/>
          <w:szCs w:val="20"/>
          <w:vertAlign w:val="superscript"/>
        </w:rPr>
        <w:t>st</w:t>
      </w:r>
      <w:r w:rsidRPr="00D920C9">
        <w:rPr>
          <w:rFonts w:asciiTheme="minorHAnsi" w:hAnsiTheme="minorHAnsi" w:cs="Times"/>
          <w:szCs w:val="20"/>
        </w:rPr>
        <w:t xml:space="preserve"> Century Policing (concluded in 2015) and investigations of local police departments by the </w:t>
      </w:r>
      <w:r w:rsidR="004238D7" w:rsidRPr="00D920C9">
        <w:rPr>
          <w:rFonts w:asciiTheme="minorHAnsi" w:hAnsiTheme="minorHAnsi" w:cs="Times"/>
          <w:szCs w:val="20"/>
        </w:rPr>
        <w:t>DOJ</w:t>
      </w:r>
      <w:r w:rsidRPr="00D920C9">
        <w:rPr>
          <w:rFonts w:asciiTheme="minorHAnsi" w:hAnsiTheme="minorHAnsi" w:cs="Times"/>
          <w:szCs w:val="20"/>
        </w:rPr>
        <w:t xml:space="preserve"> Ci</w:t>
      </w:r>
      <w:r w:rsidR="004238D7" w:rsidRPr="00D920C9">
        <w:rPr>
          <w:rFonts w:asciiTheme="minorHAnsi" w:hAnsiTheme="minorHAnsi" w:cs="Times"/>
          <w:szCs w:val="20"/>
        </w:rPr>
        <w:t>vil Rights Division</w:t>
      </w:r>
      <w:r w:rsidRPr="00D920C9">
        <w:rPr>
          <w:rFonts w:asciiTheme="minorHAnsi" w:hAnsiTheme="minorHAnsi" w:cs="Times"/>
          <w:szCs w:val="20"/>
        </w:rPr>
        <w:t>.</w:t>
      </w:r>
    </w:p>
    <w:p w14:paraId="0AE09FAC" w14:textId="52C67D90" w:rsidR="00772E4F" w:rsidRPr="00D920C9" w:rsidRDefault="00597062" w:rsidP="00365773">
      <w:pPr>
        <w:pStyle w:val="Heading3"/>
        <w:numPr>
          <w:ilvl w:val="0"/>
          <w:numId w:val="36"/>
        </w:numPr>
        <w:ind w:left="540" w:hanging="540"/>
      </w:pPr>
      <w:bookmarkStart w:id="142" w:name="_Toc511837825"/>
      <w:bookmarkStart w:id="143" w:name="_Toc511902998"/>
      <w:bookmarkStart w:id="144" w:name="_Toc517687928"/>
      <w:r w:rsidRPr="00D920C9">
        <w:t xml:space="preserve">Actions and </w:t>
      </w:r>
      <w:r w:rsidR="0013717A" w:rsidRPr="00D920C9">
        <w:t xml:space="preserve">Initiatives </w:t>
      </w:r>
      <w:r w:rsidRPr="00D920C9">
        <w:t xml:space="preserve">by the </w:t>
      </w:r>
      <w:r w:rsidR="00385CAC" w:rsidRPr="00D920C9">
        <w:t>Department of Justice</w:t>
      </w:r>
      <w:bookmarkEnd w:id="142"/>
      <w:bookmarkEnd w:id="143"/>
      <w:bookmarkEnd w:id="144"/>
    </w:p>
    <w:p w14:paraId="665A5276" w14:textId="77777777" w:rsidR="00597062" w:rsidRPr="00D920C9" w:rsidRDefault="00597062" w:rsidP="00E86698">
      <w:pPr>
        <w:pStyle w:val="ListParagraph"/>
        <w:numPr>
          <w:ilvl w:val="0"/>
          <w:numId w:val="9"/>
        </w:numPr>
        <w:spacing w:after="240" w:line="240" w:lineRule="auto"/>
        <w:ind w:left="547" w:hanging="547"/>
        <w:contextualSpacing w:val="0"/>
        <w:jc w:val="both"/>
        <w:rPr>
          <w:rFonts w:asciiTheme="minorHAnsi" w:hAnsiTheme="minorHAnsi"/>
          <w:szCs w:val="20"/>
        </w:rPr>
      </w:pPr>
      <w:r w:rsidRPr="00D920C9">
        <w:rPr>
          <w:rFonts w:asciiTheme="minorHAnsi" w:hAnsiTheme="minorHAnsi"/>
          <w:szCs w:val="20"/>
        </w:rPr>
        <w:t xml:space="preserve">The Commission has received information about Department of Justice (DOJ) investigations of police departments for possible violations of federal law. The DOJ Civil Rights Division is competent to conduct both criminal investigations against law enforcement officers for possible violations of the law, as well as civil “pattern or practice” investigations of state and local law enforcement agencies. These investigations may be initiated where there is evidence of a pattern or practice by the law enforcement agency that systemically violates federally protected rights. The </w:t>
      </w:r>
      <w:r w:rsidR="00E020AC" w:rsidRPr="00D920C9">
        <w:rPr>
          <w:rFonts w:asciiTheme="minorHAnsi" w:hAnsiTheme="minorHAnsi"/>
          <w:szCs w:val="20"/>
        </w:rPr>
        <w:t>division</w:t>
      </w:r>
      <w:r w:rsidRPr="00D920C9">
        <w:rPr>
          <w:rFonts w:asciiTheme="minorHAnsi" w:hAnsiTheme="minorHAnsi"/>
          <w:szCs w:val="20"/>
        </w:rPr>
        <w:t xml:space="preserve"> investigates law enforcement agencies across the country for problems including use of excessive force; unlawful stops, searches, or arrests; and discriminatory policing on the basis of race, ethnicity, national origin, gender, and sexual orientation. </w:t>
      </w:r>
      <w:r w:rsidR="00770A68" w:rsidRPr="00D920C9">
        <w:rPr>
          <w:rFonts w:asciiTheme="minorHAnsi" w:hAnsiTheme="minorHAnsi"/>
          <w:szCs w:val="20"/>
        </w:rPr>
        <w:t xml:space="preserve">Since 2009, the DOJ </w:t>
      </w:r>
      <w:r w:rsidR="00E020AC" w:rsidRPr="00D920C9">
        <w:rPr>
          <w:rFonts w:asciiTheme="minorHAnsi" w:hAnsiTheme="minorHAnsi"/>
          <w:szCs w:val="20"/>
        </w:rPr>
        <w:t xml:space="preserve">has </w:t>
      </w:r>
      <w:r w:rsidR="00770A68" w:rsidRPr="00D920C9">
        <w:rPr>
          <w:rFonts w:asciiTheme="minorHAnsi" w:hAnsiTheme="minorHAnsi"/>
          <w:szCs w:val="20"/>
        </w:rPr>
        <w:t xml:space="preserve">opened 25 </w:t>
      </w:r>
      <w:r w:rsidR="00770A68" w:rsidRPr="00D920C9">
        <w:rPr>
          <w:rFonts w:asciiTheme="minorHAnsi" w:hAnsiTheme="minorHAnsi"/>
          <w:szCs w:val="20"/>
        </w:rPr>
        <w:lastRenderedPageBreak/>
        <w:t>investigations into law enforcement agencies and has been enforcing 14 consent decrees.</w:t>
      </w:r>
      <w:r w:rsidR="00770A68" w:rsidRPr="00D920C9">
        <w:rPr>
          <w:rStyle w:val="FootnoteReference"/>
          <w:rFonts w:asciiTheme="minorHAnsi" w:hAnsiTheme="minorHAnsi"/>
          <w:szCs w:val="20"/>
        </w:rPr>
        <w:footnoteReference w:id="391"/>
      </w:r>
    </w:p>
    <w:p w14:paraId="321A75EC" w14:textId="77777777" w:rsidR="00597062" w:rsidRPr="00D920C9" w:rsidRDefault="00597062" w:rsidP="00E86698">
      <w:pPr>
        <w:pStyle w:val="ListParagraph"/>
        <w:numPr>
          <w:ilvl w:val="0"/>
          <w:numId w:val="9"/>
        </w:numPr>
        <w:spacing w:after="240" w:line="240" w:lineRule="auto"/>
        <w:ind w:left="547" w:hanging="547"/>
        <w:contextualSpacing w:val="0"/>
        <w:jc w:val="both"/>
        <w:rPr>
          <w:rFonts w:asciiTheme="minorHAnsi" w:hAnsiTheme="minorHAnsi"/>
          <w:szCs w:val="20"/>
        </w:rPr>
      </w:pPr>
      <w:bookmarkStart w:id="145" w:name="_Ref507171111"/>
      <w:r w:rsidRPr="00D920C9">
        <w:rPr>
          <w:rFonts w:asciiTheme="minorHAnsi" w:hAnsiTheme="minorHAnsi"/>
          <w:szCs w:val="20"/>
        </w:rPr>
        <w:t xml:space="preserve">The DOJ </w:t>
      </w:r>
      <w:r w:rsidR="004238D7" w:rsidRPr="00D920C9">
        <w:rPr>
          <w:rFonts w:asciiTheme="minorHAnsi" w:hAnsiTheme="minorHAnsi"/>
          <w:szCs w:val="20"/>
        </w:rPr>
        <w:t>also</w:t>
      </w:r>
      <w:r w:rsidRPr="00D920C9">
        <w:rPr>
          <w:rFonts w:asciiTheme="minorHAnsi" w:hAnsiTheme="minorHAnsi"/>
          <w:szCs w:val="20"/>
        </w:rPr>
        <w:t xml:space="preserve"> issues guidance on federal law to law enforcement agencies. The Commission notes the recent publication of updated “</w:t>
      </w:r>
      <w:r w:rsidRPr="00D920C9">
        <w:rPr>
          <w:rFonts w:asciiTheme="minorHAnsi" w:hAnsiTheme="minorHAnsi"/>
          <w:szCs w:val="20"/>
          <w:lang w:val="en-GB" w:eastAsia="es-ES"/>
        </w:rPr>
        <w:t>Guidance for Federal Law Enforcement Agencies Regarding the Use of Race, Ethnicity, Gender, National Origin, Religion, Sexual Orientation, or Gender Identity.”</w:t>
      </w:r>
      <w:r w:rsidRPr="00D920C9">
        <w:rPr>
          <w:rFonts w:asciiTheme="minorHAnsi" w:hAnsiTheme="minorHAnsi"/>
          <w:szCs w:val="20"/>
          <w:vertAlign w:val="superscript"/>
          <w:lang w:val="en-GB" w:eastAsia="es-ES"/>
        </w:rPr>
        <w:footnoteReference w:id="392"/>
      </w:r>
      <w:bookmarkEnd w:id="145"/>
    </w:p>
    <w:p w14:paraId="3C2ABEA5" w14:textId="7BE48F02" w:rsidR="009F3240" w:rsidRPr="00D920C9" w:rsidRDefault="00385CAC" w:rsidP="00365773">
      <w:pPr>
        <w:pStyle w:val="Heading3"/>
      </w:pPr>
      <w:bookmarkStart w:id="146" w:name="_Toc511837826"/>
      <w:bookmarkStart w:id="147" w:name="_Toc511902999"/>
      <w:bookmarkStart w:id="148" w:name="_Toc517687929"/>
      <w:r w:rsidRPr="00D920C9">
        <w:t>P</w:t>
      </w:r>
      <w:r w:rsidR="001238D1" w:rsidRPr="00D920C9">
        <w:t>resident Obama’s</w:t>
      </w:r>
      <w:r w:rsidRPr="00D920C9">
        <w:t xml:space="preserve"> Task Force on 21st Century Policing</w:t>
      </w:r>
      <w:bookmarkEnd w:id="146"/>
      <w:bookmarkEnd w:id="147"/>
      <w:bookmarkEnd w:id="148"/>
    </w:p>
    <w:p w14:paraId="4EE08699" w14:textId="7F8571E8" w:rsidR="009F3240" w:rsidRPr="00D920C9" w:rsidRDefault="009F3240" w:rsidP="00E86698">
      <w:pPr>
        <w:pStyle w:val="ListParagraph"/>
        <w:numPr>
          <w:ilvl w:val="0"/>
          <w:numId w:val="9"/>
        </w:numPr>
        <w:spacing w:after="240" w:line="240" w:lineRule="auto"/>
        <w:ind w:left="547" w:hanging="547"/>
        <w:contextualSpacing w:val="0"/>
        <w:jc w:val="both"/>
        <w:rPr>
          <w:rFonts w:asciiTheme="minorHAnsi" w:hAnsiTheme="minorHAnsi"/>
          <w:szCs w:val="20"/>
          <w:lang w:val="en"/>
        </w:rPr>
      </w:pPr>
      <w:r w:rsidRPr="00D920C9">
        <w:rPr>
          <w:rFonts w:asciiTheme="minorHAnsi" w:hAnsiTheme="minorHAnsi"/>
          <w:szCs w:val="20"/>
          <w:lang w:val="en-GB" w:eastAsia="es-ES"/>
        </w:rPr>
        <w:t xml:space="preserve">The Commission </w:t>
      </w:r>
      <w:r w:rsidR="00597062" w:rsidRPr="00D920C9">
        <w:rPr>
          <w:rFonts w:asciiTheme="minorHAnsi" w:hAnsiTheme="minorHAnsi"/>
          <w:szCs w:val="20"/>
          <w:lang w:val="en-GB" w:eastAsia="es-ES"/>
        </w:rPr>
        <w:t xml:space="preserve">has received information about the </w:t>
      </w:r>
      <w:r w:rsidR="001238D1" w:rsidRPr="00D920C9">
        <w:rPr>
          <w:rFonts w:asciiTheme="minorHAnsi" w:hAnsiTheme="minorHAnsi"/>
          <w:szCs w:val="20"/>
          <w:lang w:val="en-GB" w:eastAsia="es-ES"/>
        </w:rPr>
        <w:t xml:space="preserve">results of </w:t>
      </w:r>
      <w:r w:rsidR="00597062" w:rsidRPr="00D920C9">
        <w:rPr>
          <w:rFonts w:asciiTheme="minorHAnsi" w:hAnsiTheme="minorHAnsi"/>
          <w:szCs w:val="20"/>
          <w:lang w:val="en-GB" w:eastAsia="es-ES"/>
        </w:rPr>
        <w:t>President</w:t>
      </w:r>
      <w:r w:rsidR="001238D1" w:rsidRPr="00D920C9">
        <w:rPr>
          <w:rFonts w:asciiTheme="minorHAnsi" w:hAnsiTheme="minorHAnsi"/>
          <w:szCs w:val="20"/>
          <w:lang w:val="en-GB" w:eastAsia="es-ES"/>
        </w:rPr>
        <w:t xml:space="preserve"> Obama</w:t>
      </w:r>
      <w:r w:rsidR="00597062" w:rsidRPr="00D920C9">
        <w:rPr>
          <w:rFonts w:asciiTheme="minorHAnsi" w:hAnsiTheme="minorHAnsi"/>
          <w:szCs w:val="20"/>
          <w:lang w:val="en-GB" w:eastAsia="es-ES"/>
        </w:rPr>
        <w:t xml:space="preserve">’s </w:t>
      </w:r>
      <w:r w:rsidRPr="00D920C9">
        <w:rPr>
          <w:rFonts w:asciiTheme="minorHAnsi" w:hAnsiTheme="minorHAnsi"/>
          <w:szCs w:val="20"/>
        </w:rPr>
        <w:t xml:space="preserve">Task Force on 21st Century </w:t>
      </w:r>
      <w:r w:rsidR="00597062" w:rsidRPr="00D920C9">
        <w:rPr>
          <w:rFonts w:asciiTheme="minorHAnsi" w:hAnsiTheme="minorHAnsi"/>
          <w:szCs w:val="20"/>
        </w:rPr>
        <w:t>Policing,</w:t>
      </w:r>
      <w:r w:rsidRPr="00D920C9">
        <w:rPr>
          <w:rFonts w:asciiTheme="minorHAnsi" w:hAnsiTheme="minorHAnsi"/>
          <w:szCs w:val="20"/>
          <w:vertAlign w:val="superscript"/>
        </w:rPr>
        <w:footnoteReference w:id="393"/>
      </w:r>
      <w:r w:rsidR="00597062" w:rsidRPr="00D920C9">
        <w:rPr>
          <w:rFonts w:asciiTheme="minorHAnsi" w:hAnsiTheme="minorHAnsi"/>
          <w:szCs w:val="20"/>
        </w:rPr>
        <w:t xml:space="preserve"> which concluded in 2015. </w:t>
      </w:r>
      <w:r w:rsidR="001238D1" w:rsidRPr="00D920C9">
        <w:rPr>
          <w:rFonts w:asciiTheme="minorHAnsi" w:hAnsiTheme="minorHAnsi"/>
          <w:szCs w:val="20"/>
          <w:lang w:val="en-GB" w:eastAsia="es-ES"/>
        </w:rPr>
        <w:t>The Task Force issued</w:t>
      </w:r>
      <w:r w:rsidR="00597062" w:rsidRPr="00D920C9">
        <w:rPr>
          <w:rFonts w:asciiTheme="minorHAnsi" w:hAnsiTheme="minorHAnsi"/>
          <w:szCs w:val="20"/>
          <w:lang w:val="en-GB" w:eastAsia="es-ES"/>
        </w:rPr>
        <w:t xml:space="preserve"> a number of recommendations to law enforcement agencies in the </w:t>
      </w:r>
      <w:r w:rsidR="006D4A9B" w:rsidRPr="00D920C9">
        <w:rPr>
          <w:rFonts w:asciiTheme="minorHAnsi" w:hAnsiTheme="minorHAnsi"/>
          <w:szCs w:val="20"/>
          <w:lang w:val="en-GB" w:eastAsia="es-ES"/>
        </w:rPr>
        <w:t>U.S.</w:t>
      </w:r>
      <w:r w:rsidR="00597062" w:rsidRPr="00D920C9">
        <w:rPr>
          <w:rFonts w:asciiTheme="minorHAnsi" w:hAnsiTheme="minorHAnsi"/>
          <w:szCs w:val="20"/>
          <w:lang w:val="en-GB" w:eastAsia="es-ES"/>
        </w:rPr>
        <w:t xml:space="preserve"> aimed at building community trust in the police and fostering legitimacy. The Commission notes that the Task Force recognized the need for </w:t>
      </w:r>
      <w:r w:rsidR="00597062" w:rsidRPr="00D920C9">
        <w:rPr>
          <w:rFonts w:asciiTheme="minorHAnsi" w:hAnsiTheme="minorHAnsi"/>
          <w:szCs w:val="20"/>
        </w:rPr>
        <w:t>law enforcement agencies to “acknowledge the role of policing in past and present injustice and discrimination and how it is a hurdle to the promotion of community trust,”</w:t>
      </w:r>
      <w:r w:rsidR="00597062" w:rsidRPr="00D920C9">
        <w:rPr>
          <w:rFonts w:asciiTheme="minorHAnsi" w:hAnsiTheme="minorHAnsi"/>
          <w:szCs w:val="20"/>
          <w:vertAlign w:val="superscript"/>
        </w:rPr>
        <w:footnoteReference w:id="394"/>
      </w:r>
      <w:r w:rsidR="00597062" w:rsidRPr="00D920C9">
        <w:rPr>
          <w:rFonts w:asciiTheme="minorHAnsi" w:hAnsiTheme="minorHAnsi"/>
          <w:szCs w:val="20"/>
          <w:lang w:val="en-GB" w:eastAsia="es-ES"/>
        </w:rPr>
        <w:t xml:space="preserve"> and calls on agencies to “</w:t>
      </w:r>
      <w:r w:rsidR="00597062" w:rsidRPr="00D920C9">
        <w:rPr>
          <w:rFonts w:asciiTheme="minorHAnsi" w:hAnsiTheme="minorHAnsi"/>
          <w:szCs w:val="20"/>
        </w:rPr>
        <w:t>adopt and enforce policies prohibiting profiling and discrimination based on race, ethnicity, national origin, religion, age, gender, gender identity/expression, sexual orientation, immigration status, disability, housing status, occupation, or language fluency.”</w:t>
      </w:r>
      <w:r w:rsidR="00597062" w:rsidRPr="00D920C9">
        <w:rPr>
          <w:rFonts w:asciiTheme="minorHAnsi" w:hAnsiTheme="minorHAnsi"/>
          <w:szCs w:val="20"/>
          <w:vertAlign w:val="superscript"/>
        </w:rPr>
        <w:footnoteReference w:id="395"/>
      </w:r>
    </w:p>
    <w:p w14:paraId="16988070" w14:textId="77777777" w:rsidR="000B4690" w:rsidRPr="00D920C9" w:rsidRDefault="000B4690" w:rsidP="00E86698">
      <w:pPr>
        <w:pStyle w:val="ListParagraph"/>
        <w:numPr>
          <w:ilvl w:val="0"/>
          <w:numId w:val="9"/>
        </w:numPr>
        <w:spacing w:after="240" w:line="240" w:lineRule="auto"/>
        <w:ind w:left="547" w:hanging="547"/>
        <w:contextualSpacing w:val="0"/>
        <w:jc w:val="both"/>
        <w:rPr>
          <w:rFonts w:asciiTheme="minorHAnsi" w:hAnsiTheme="minorHAnsi"/>
          <w:sz w:val="24"/>
        </w:rPr>
      </w:pPr>
      <w:r w:rsidRPr="00D920C9">
        <w:rPr>
          <w:rFonts w:asciiTheme="minorHAnsi" w:hAnsiTheme="minorHAnsi"/>
          <w:szCs w:val="20"/>
        </w:rPr>
        <w:t xml:space="preserve">The Commission has received information that in line with the recommendations of the Task Force and other reform initiatives, </w:t>
      </w:r>
      <w:r w:rsidRPr="00D920C9">
        <w:rPr>
          <w:rFonts w:asciiTheme="minorHAnsi" w:hAnsiTheme="minorHAnsi" w:cstheme="minorHAnsi"/>
          <w:szCs w:val="20"/>
        </w:rPr>
        <w:t xml:space="preserve">several new state laws have been passed in recent years with the aim of addressing excessive use of force, including the creation of joint legislative task forces on the use of deadly </w:t>
      </w:r>
      <w:r w:rsidRPr="00D920C9">
        <w:rPr>
          <w:rFonts w:asciiTheme="minorHAnsi" w:hAnsiTheme="minorHAnsi"/>
        </w:rPr>
        <w:t>force</w:t>
      </w:r>
      <w:r w:rsidRPr="00D920C9">
        <w:rPr>
          <w:rFonts w:asciiTheme="minorHAnsi" w:hAnsiTheme="minorHAnsi" w:cstheme="minorHAnsi"/>
          <w:szCs w:val="20"/>
        </w:rPr>
        <w:t xml:space="preserve"> (Washington state),</w:t>
      </w:r>
      <w:r w:rsidRPr="00D920C9">
        <w:rPr>
          <w:rStyle w:val="FootnoteReference"/>
          <w:rFonts w:asciiTheme="minorHAnsi" w:hAnsiTheme="minorHAnsi" w:cstheme="minorHAnsi"/>
          <w:szCs w:val="20"/>
        </w:rPr>
        <w:footnoteReference w:id="396"/>
      </w:r>
      <w:r w:rsidRPr="00D920C9">
        <w:rPr>
          <w:rFonts w:asciiTheme="minorHAnsi" w:hAnsiTheme="minorHAnsi" w:cstheme="minorHAnsi"/>
          <w:szCs w:val="20"/>
        </w:rPr>
        <w:t xml:space="preserve"> statewide legal and practical training (Utah),</w:t>
      </w:r>
      <w:r w:rsidRPr="00D920C9">
        <w:rPr>
          <w:rStyle w:val="FootnoteReference"/>
          <w:rFonts w:asciiTheme="minorHAnsi" w:hAnsiTheme="minorHAnsi" w:cstheme="minorHAnsi"/>
          <w:szCs w:val="20"/>
        </w:rPr>
        <w:footnoteReference w:id="397"/>
      </w:r>
      <w:r w:rsidRPr="00D920C9">
        <w:rPr>
          <w:rFonts w:asciiTheme="minorHAnsi" w:hAnsiTheme="minorHAnsi" w:cstheme="minorHAnsi"/>
          <w:szCs w:val="20"/>
        </w:rPr>
        <w:t xml:space="preserve"> and a ban on chokeholds and other forms of potentially lethal violence (Colorado and Connecticut), among others.</w:t>
      </w:r>
      <w:r w:rsidRPr="00D920C9">
        <w:rPr>
          <w:rStyle w:val="FootnoteReference"/>
          <w:rFonts w:asciiTheme="minorHAnsi" w:hAnsiTheme="minorHAnsi" w:cstheme="minorHAnsi"/>
          <w:szCs w:val="20"/>
        </w:rPr>
        <w:footnoteReference w:id="398"/>
      </w:r>
      <w:r w:rsidRPr="00D920C9">
        <w:rPr>
          <w:rFonts w:asciiTheme="minorHAnsi" w:hAnsiTheme="minorHAnsi" w:cstheme="minorHAnsi"/>
          <w:szCs w:val="20"/>
        </w:rPr>
        <w:t xml:space="preserve"> The Commission notes that none of these reported laws effectively bring </w:t>
      </w:r>
      <w:r w:rsidRPr="00D920C9">
        <w:rPr>
          <w:rFonts w:asciiTheme="minorHAnsi" w:hAnsiTheme="minorHAnsi" w:cstheme="minorHAnsi"/>
          <w:szCs w:val="20"/>
        </w:rPr>
        <w:lastRenderedPageBreak/>
        <w:t xml:space="preserve">states </w:t>
      </w:r>
      <w:proofErr w:type="gramStart"/>
      <w:r w:rsidR="00957F22" w:rsidRPr="00D920C9">
        <w:rPr>
          <w:rFonts w:asciiTheme="minorHAnsi" w:hAnsiTheme="minorHAnsi" w:cstheme="minorHAnsi"/>
          <w:szCs w:val="20"/>
        </w:rPr>
        <w:t xml:space="preserve">into </w:t>
      </w:r>
      <w:proofErr w:type="gramEnd"/>
      <w:r w:rsidRPr="00D920C9">
        <w:rPr>
          <w:rStyle w:val="FootnoteReference"/>
          <w:rFonts w:asciiTheme="minorHAnsi" w:hAnsiTheme="minorHAnsi" w:cstheme="minorHAnsi"/>
          <w:szCs w:val="20"/>
          <w:vertAlign w:val="baseline"/>
        </w:rPr>
        <w:t>compliance with international standards; nonetheless, the Commission considers that they represent progress in the right direction</w:t>
      </w:r>
      <w:r w:rsidRPr="00D920C9">
        <w:rPr>
          <w:rFonts w:asciiTheme="minorHAnsi" w:hAnsiTheme="minorHAnsi" w:cstheme="minorHAnsi"/>
          <w:szCs w:val="20"/>
        </w:rPr>
        <w:t>.</w:t>
      </w:r>
    </w:p>
    <w:p w14:paraId="73840EE4" w14:textId="77777777" w:rsidR="00385CAC" w:rsidRPr="00D920C9" w:rsidRDefault="00385CAC" w:rsidP="00365773">
      <w:pPr>
        <w:pStyle w:val="Heading3"/>
      </w:pPr>
      <w:bookmarkStart w:id="149" w:name="_Toc511837827"/>
      <w:bookmarkStart w:id="150" w:name="_Toc511903000"/>
      <w:bookmarkStart w:id="151" w:name="_Toc517687930"/>
      <w:r w:rsidRPr="00D920C9">
        <w:t xml:space="preserve">Community </w:t>
      </w:r>
      <w:r w:rsidR="0013717A" w:rsidRPr="00D920C9">
        <w:t xml:space="preserve">Policing </w:t>
      </w:r>
      <w:r w:rsidRPr="00D920C9">
        <w:t xml:space="preserve">and other </w:t>
      </w:r>
      <w:r w:rsidR="0013717A" w:rsidRPr="00D920C9">
        <w:t>Initiatives</w:t>
      </w:r>
      <w:bookmarkEnd w:id="149"/>
      <w:bookmarkEnd w:id="150"/>
      <w:bookmarkEnd w:id="151"/>
    </w:p>
    <w:p w14:paraId="2C3C489A" w14:textId="77777777" w:rsidR="001767CD" w:rsidRPr="00D920C9" w:rsidRDefault="000B4690" w:rsidP="00E86698">
      <w:pPr>
        <w:pStyle w:val="ListParagraph"/>
        <w:numPr>
          <w:ilvl w:val="0"/>
          <w:numId w:val="9"/>
        </w:numPr>
        <w:spacing w:after="240" w:line="240" w:lineRule="auto"/>
        <w:ind w:left="547" w:hanging="547"/>
        <w:contextualSpacing w:val="0"/>
        <w:jc w:val="both"/>
        <w:rPr>
          <w:rFonts w:asciiTheme="minorHAnsi" w:eastAsia="Times New Roman" w:hAnsiTheme="minorHAnsi"/>
          <w:szCs w:val="20"/>
          <w:lang w:eastAsia="es-ES"/>
        </w:rPr>
      </w:pPr>
      <w:r w:rsidRPr="00D920C9">
        <w:rPr>
          <w:rFonts w:asciiTheme="minorHAnsi" w:eastAsia="Times New Roman" w:hAnsiTheme="minorHAnsi"/>
          <w:szCs w:val="20"/>
          <w:lang w:eastAsia="es-ES"/>
        </w:rPr>
        <w:t>T</w:t>
      </w:r>
      <w:r w:rsidR="001767CD" w:rsidRPr="00D920C9">
        <w:rPr>
          <w:rFonts w:asciiTheme="minorHAnsi" w:eastAsia="Times New Roman" w:hAnsiTheme="minorHAnsi"/>
          <w:szCs w:val="20"/>
          <w:lang w:eastAsia="es-ES"/>
        </w:rPr>
        <w:t xml:space="preserve">he State </w:t>
      </w:r>
      <w:r w:rsidRPr="00D920C9">
        <w:rPr>
          <w:rFonts w:asciiTheme="minorHAnsi" w:eastAsia="Times New Roman" w:hAnsiTheme="minorHAnsi"/>
          <w:szCs w:val="20"/>
          <w:lang w:eastAsia="es-ES"/>
        </w:rPr>
        <w:t xml:space="preserve">additionally </w:t>
      </w:r>
      <w:r w:rsidR="001767CD" w:rsidRPr="00D920C9">
        <w:rPr>
          <w:rFonts w:asciiTheme="minorHAnsi" w:eastAsia="Times New Roman" w:hAnsiTheme="minorHAnsi"/>
          <w:szCs w:val="20"/>
          <w:lang w:eastAsia="es-ES"/>
        </w:rPr>
        <w:t xml:space="preserve">informed the Commission during public hearings in 2014 about </w:t>
      </w:r>
      <w:r w:rsidRPr="00D920C9">
        <w:rPr>
          <w:rFonts w:asciiTheme="minorHAnsi" w:eastAsia="Times New Roman" w:hAnsiTheme="minorHAnsi"/>
          <w:szCs w:val="20"/>
          <w:lang w:eastAsia="es-ES"/>
        </w:rPr>
        <w:t xml:space="preserve">various </w:t>
      </w:r>
      <w:r w:rsidR="001767CD" w:rsidRPr="00D920C9">
        <w:rPr>
          <w:rFonts w:asciiTheme="minorHAnsi" w:eastAsia="Times New Roman" w:hAnsiTheme="minorHAnsi"/>
          <w:szCs w:val="20"/>
          <w:lang w:eastAsia="es-ES"/>
        </w:rPr>
        <w:t>initiatives to promote diversity in police recruiting and hiring, based on the belief that a more diverse police force will increase police legitimacy and decrease bias in policing.</w:t>
      </w:r>
      <w:r w:rsidR="001767CD" w:rsidRPr="00D920C9">
        <w:rPr>
          <w:rStyle w:val="FootnoteReference"/>
          <w:rFonts w:asciiTheme="minorHAnsi" w:eastAsia="Times New Roman" w:hAnsiTheme="minorHAnsi"/>
          <w:szCs w:val="20"/>
          <w:lang w:eastAsia="es-ES"/>
        </w:rPr>
        <w:footnoteReference w:id="399"/>
      </w:r>
      <w:r w:rsidRPr="00D920C9">
        <w:rPr>
          <w:rFonts w:asciiTheme="minorHAnsi" w:eastAsia="Times New Roman" w:hAnsiTheme="minorHAnsi"/>
          <w:szCs w:val="20"/>
          <w:lang w:eastAsia="es-ES"/>
        </w:rPr>
        <w:t xml:space="preserve"> This, in line with a finding of the President’s Task Force </w:t>
      </w:r>
      <w:r w:rsidRPr="00D920C9">
        <w:rPr>
          <w:rFonts w:asciiTheme="minorHAnsi" w:hAnsiTheme="minorHAnsi"/>
        </w:rPr>
        <w:t>that</w:t>
      </w:r>
      <w:r w:rsidRPr="00D920C9">
        <w:rPr>
          <w:rFonts w:asciiTheme="minorHAnsi" w:eastAsia="Times New Roman" w:hAnsiTheme="minorHAnsi"/>
          <w:szCs w:val="20"/>
          <w:lang w:eastAsia="es-ES"/>
        </w:rPr>
        <w:t xml:space="preserve"> “people are more likely to obey the law when they believe that those who are enforcing it have the legitimate authority to tell them what to do </w:t>
      </w:r>
      <w:r w:rsidR="004049C5" w:rsidRPr="00D920C9">
        <w:rPr>
          <w:rFonts w:asciiTheme="minorHAnsi" w:eastAsia="Times New Roman" w:hAnsiTheme="minorHAnsi"/>
          <w:szCs w:val="20"/>
          <w:lang w:eastAsia="es-ES"/>
        </w:rPr>
        <w:t>[…]</w:t>
      </w:r>
      <w:r w:rsidRPr="00D920C9">
        <w:rPr>
          <w:rFonts w:asciiTheme="minorHAnsi" w:eastAsia="Times New Roman" w:hAnsiTheme="minorHAnsi"/>
          <w:szCs w:val="20"/>
          <w:lang w:eastAsia="es-ES"/>
        </w:rPr>
        <w:t xml:space="preserve"> The public confers legitimacy only on those they believe are acting in procedurally just ways.”</w:t>
      </w:r>
      <w:r w:rsidRPr="00D920C9">
        <w:rPr>
          <w:rStyle w:val="FootnoteReference"/>
          <w:rFonts w:asciiTheme="minorHAnsi" w:eastAsia="Times New Roman" w:hAnsiTheme="minorHAnsi"/>
          <w:szCs w:val="20"/>
          <w:lang w:eastAsia="es-ES"/>
        </w:rPr>
        <w:footnoteReference w:id="400"/>
      </w:r>
    </w:p>
    <w:p w14:paraId="1FB9F485" w14:textId="77777777" w:rsidR="000B4690" w:rsidRPr="00D920C9" w:rsidRDefault="007A656C" w:rsidP="00E86698">
      <w:pPr>
        <w:pStyle w:val="ListParagraph"/>
        <w:numPr>
          <w:ilvl w:val="0"/>
          <w:numId w:val="9"/>
        </w:numPr>
        <w:spacing w:after="240" w:line="240" w:lineRule="auto"/>
        <w:ind w:left="547" w:hanging="547"/>
        <w:contextualSpacing w:val="0"/>
        <w:jc w:val="both"/>
        <w:rPr>
          <w:rFonts w:asciiTheme="minorHAnsi" w:eastAsia="Times New Roman" w:hAnsiTheme="minorHAnsi"/>
          <w:szCs w:val="20"/>
          <w:lang w:eastAsia="es-ES"/>
        </w:rPr>
      </w:pPr>
      <w:r w:rsidRPr="00D920C9">
        <w:rPr>
          <w:rFonts w:asciiTheme="minorHAnsi" w:eastAsia="Times New Roman" w:hAnsiTheme="minorHAnsi"/>
          <w:szCs w:val="20"/>
          <w:lang w:eastAsia="es-ES"/>
        </w:rPr>
        <w:t>The Commission has also received information about the initiatives of the Office of Community Oriented Policing Services, among others, to promote community policing and other police reform.</w:t>
      </w:r>
      <w:r w:rsidRPr="00D920C9">
        <w:rPr>
          <w:rStyle w:val="FootnoteReference"/>
          <w:rFonts w:asciiTheme="minorHAnsi" w:eastAsia="Times New Roman" w:hAnsiTheme="minorHAnsi"/>
          <w:szCs w:val="20"/>
          <w:lang w:eastAsia="es-ES"/>
        </w:rPr>
        <w:footnoteReference w:id="401"/>
      </w:r>
      <w:r w:rsidRPr="00D920C9">
        <w:rPr>
          <w:rFonts w:asciiTheme="minorHAnsi" w:eastAsia="Times New Roman" w:hAnsiTheme="minorHAnsi"/>
          <w:szCs w:val="20"/>
          <w:lang w:eastAsia="es-ES"/>
        </w:rPr>
        <w:t xml:space="preserve"> </w:t>
      </w:r>
      <w:r w:rsidR="000B4690" w:rsidRPr="00D920C9">
        <w:rPr>
          <w:rFonts w:asciiTheme="minorHAnsi" w:eastAsia="Times New Roman" w:hAnsiTheme="minorHAnsi"/>
          <w:szCs w:val="20"/>
          <w:lang w:eastAsia="es-ES"/>
        </w:rPr>
        <w:t>The Commission</w:t>
      </w:r>
      <w:r w:rsidRPr="00D920C9">
        <w:rPr>
          <w:rFonts w:asciiTheme="minorHAnsi" w:eastAsia="Times New Roman" w:hAnsiTheme="minorHAnsi"/>
          <w:szCs w:val="20"/>
          <w:lang w:eastAsia="es-ES"/>
        </w:rPr>
        <w:t xml:space="preserve"> additionally</w:t>
      </w:r>
      <w:r w:rsidR="000B4690" w:rsidRPr="00D920C9">
        <w:rPr>
          <w:rFonts w:asciiTheme="minorHAnsi" w:eastAsia="Times New Roman" w:hAnsiTheme="minorHAnsi"/>
          <w:szCs w:val="20"/>
          <w:lang w:eastAsia="es-ES"/>
        </w:rPr>
        <w:t xml:space="preserve"> received information that </w:t>
      </w:r>
      <w:r w:rsidRPr="00D920C9">
        <w:rPr>
          <w:rFonts w:asciiTheme="minorHAnsi" w:eastAsia="Times New Roman" w:hAnsiTheme="minorHAnsi"/>
          <w:szCs w:val="20"/>
          <w:lang w:eastAsia="es-ES"/>
        </w:rPr>
        <w:t>in</w:t>
      </w:r>
      <w:r w:rsidR="00770A68" w:rsidRPr="00D920C9">
        <w:rPr>
          <w:rFonts w:asciiTheme="minorHAnsi" w:eastAsia="Times New Roman" w:hAnsiTheme="minorHAnsi"/>
          <w:szCs w:val="20"/>
          <w:lang w:eastAsia="es-ES"/>
        </w:rPr>
        <w:t xml:space="preserve"> September</w:t>
      </w:r>
      <w:r w:rsidRPr="00D920C9">
        <w:rPr>
          <w:rFonts w:asciiTheme="minorHAnsi" w:eastAsia="Times New Roman" w:hAnsiTheme="minorHAnsi"/>
          <w:szCs w:val="20"/>
          <w:lang w:eastAsia="es-ES"/>
        </w:rPr>
        <w:t xml:space="preserve"> </w:t>
      </w:r>
      <w:r w:rsidR="00770A68" w:rsidRPr="00D920C9">
        <w:rPr>
          <w:rFonts w:asciiTheme="minorHAnsi" w:eastAsia="Times New Roman" w:hAnsiTheme="minorHAnsi"/>
          <w:szCs w:val="20"/>
          <w:lang w:eastAsia="es-ES"/>
        </w:rPr>
        <w:t>2017, Attorney General Jeff Sessions announced significant changes to its Collaborative Reform Initiative for Technical Assistance program</w:t>
      </w:r>
      <w:r w:rsidR="00BB63B9" w:rsidRPr="00D920C9">
        <w:rPr>
          <w:rFonts w:asciiTheme="minorHAnsi" w:eastAsia="Times New Roman" w:hAnsiTheme="minorHAnsi"/>
          <w:szCs w:val="20"/>
          <w:lang w:eastAsia="es-ES"/>
        </w:rPr>
        <w:t>, citing the “adversarial relationship between DOJ and the participating law enforcement agencies” created by DOJ investigations and civil suits</w:t>
      </w:r>
      <w:r w:rsidR="00770A68" w:rsidRPr="00D920C9">
        <w:rPr>
          <w:rFonts w:asciiTheme="minorHAnsi" w:eastAsia="Times New Roman" w:hAnsiTheme="minorHAnsi"/>
          <w:szCs w:val="20"/>
          <w:lang w:eastAsia="es-ES"/>
        </w:rPr>
        <w:t>.</w:t>
      </w:r>
      <w:r w:rsidR="00770A68" w:rsidRPr="00D920C9">
        <w:rPr>
          <w:rStyle w:val="FootnoteReference"/>
          <w:rFonts w:asciiTheme="minorHAnsi" w:eastAsia="Times New Roman" w:hAnsiTheme="minorHAnsi"/>
          <w:szCs w:val="20"/>
          <w:lang w:eastAsia="es-ES"/>
        </w:rPr>
        <w:footnoteReference w:id="402"/>
      </w:r>
      <w:r w:rsidR="000B4690" w:rsidRPr="00D920C9">
        <w:rPr>
          <w:rFonts w:asciiTheme="minorHAnsi" w:eastAsia="Times New Roman" w:hAnsiTheme="minorHAnsi"/>
          <w:szCs w:val="20"/>
          <w:lang w:eastAsia="es-ES"/>
        </w:rPr>
        <w:t xml:space="preserve"> This program previously </w:t>
      </w:r>
      <w:r w:rsidR="00770A68" w:rsidRPr="00D920C9">
        <w:rPr>
          <w:rFonts w:asciiTheme="minorHAnsi" w:eastAsia="Times New Roman" w:hAnsiTheme="minorHAnsi"/>
          <w:szCs w:val="20"/>
          <w:lang w:eastAsia="es-ES"/>
        </w:rPr>
        <w:t xml:space="preserve">provided resources to law enforcement agencies to address </w:t>
      </w:r>
      <w:r w:rsidR="000B4690" w:rsidRPr="00D920C9">
        <w:rPr>
          <w:rFonts w:asciiTheme="minorHAnsi" w:eastAsia="Times New Roman" w:hAnsiTheme="minorHAnsi"/>
          <w:szCs w:val="20"/>
          <w:lang w:eastAsia="es-ES"/>
        </w:rPr>
        <w:t xml:space="preserve">issues of </w:t>
      </w:r>
      <w:r w:rsidR="00770A68" w:rsidRPr="00D920C9">
        <w:rPr>
          <w:rFonts w:asciiTheme="minorHAnsi" w:eastAsia="Times New Roman" w:hAnsiTheme="minorHAnsi"/>
          <w:szCs w:val="20"/>
          <w:lang w:eastAsia="es-ES"/>
        </w:rPr>
        <w:t>excessive force, biased policing, and poor police-community relations</w:t>
      </w:r>
      <w:r w:rsidR="000B4690" w:rsidRPr="00D920C9">
        <w:rPr>
          <w:rFonts w:asciiTheme="minorHAnsi" w:eastAsia="Times New Roman" w:hAnsiTheme="minorHAnsi"/>
          <w:szCs w:val="20"/>
          <w:lang w:eastAsia="es-ES"/>
        </w:rPr>
        <w:t>; u</w:t>
      </w:r>
      <w:r w:rsidR="00770A68" w:rsidRPr="00D920C9">
        <w:rPr>
          <w:rFonts w:asciiTheme="minorHAnsi" w:eastAsia="Times New Roman" w:hAnsiTheme="minorHAnsi"/>
          <w:szCs w:val="20"/>
          <w:lang w:eastAsia="es-ES"/>
        </w:rPr>
        <w:t xml:space="preserve">nder the </w:t>
      </w:r>
      <w:r w:rsidR="000B4690" w:rsidRPr="00D920C9">
        <w:rPr>
          <w:rFonts w:asciiTheme="minorHAnsi" w:eastAsia="Times New Roman" w:hAnsiTheme="minorHAnsi"/>
          <w:szCs w:val="20"/>
          <w:lang w:eastAsia="es-ES"/>
        </w:rPr>
        <w:t>announced changes, the program will now</w:t>
      </w:r>
      <w:r w:rsidR="00770A68" w:rsidRPr="00D920C9">
        <w:rPr>
          <w:rFonts w:asciiTheme="minorHAnsi" w:eastAsia="Times New Roman" w:hAnsiTheme="minorHAnsi"/>
          <w:szCs w:val="20"/>
          <w:lang w:eastAsia="es-ES"/>
        </w:rPr>
        <w:t xml:space="preserve"> focus on </w:t>
      </w:r>
      <w:r w:rsidR="00BB63B9" w:rsidRPr="00D920C9">
        <w:rPr>
          <w:rFonts w:asciiTheme="minorHAnsi" w:eastAsia="Times New Roman" w:hAnsiTheme="minorHAnsi"/>
          <w:szCs w:val="20"/>
          <w:lang w:eastAsia="es-ES"/>
        </w:rPr>
        <w:t>“best practices, crime reduction, and the needs of the field as specifically requested by law enforcement agencies.”</w:t>
      </w:r>
      <w:r w:rsidR="00D70F37" w:rsidRPr="00D920C9">
        <w:rPr>
          <w:rStyle w:val="FootnoteReference"/>
          <w:rFonts w:asciiTheme="minorHAnsi" w:eastAsia="Times New Roman" w:hAnsiTheme="minorHAnsi"/>
          <w:szCs w:val="20"/>
          <w:lang w:eastAsia="es-ES"/>
        </w:rPr>
        <w:footnoteReference w:id="403"/>
      </w:r>
      <w:r w:rsidR="00D70F37" w:rsidRPr="00D920C9">
        <w:rPr>
          <w:rFonts w:asciiTheme="minorHAnsi" w:eastAsia="Times New Roman" w:hAnsiTheme="minorHAnsi"/>
          <w:szCs w:val="20"/>
          <w:lang w:eastAsia="es-ES"/>
        </w:rPr>
        <w:t xml:space="preserve"> </w:t>
      </w:r>
    </w:p>
    <w:p w14:paraId="3BE64B1D" w14:textId="77777777" w:rsidR="009F3240" w:rsidRPr="00D920C9" w:rsidRDefault="009F3240" w:rsidP="00625D97">
      <w:pPr>
        <w:pStyle w:val="Heading2"/>
        <w:ind w:left="540" w:hanging="540"/>
      </w:pPr>
      <w:bookmarkStart w:id="152" w:name="_Toc511837828"/>
      <w:bookmarkStart w:id="153" w:name="_Toc511903001"/>
      <w:bookmarkStart w:id="154" w:name="_Toc517687931"/>
      <w:r w:rsidRPr="00D920C9">
        <w:t>Considerations of the Commission</w:t>
      </w:r>
      <w:bookmarkEnd w:id="152"/>
      <w:bookmarkEnd w:id="153"/>
      <w:bookmarkEnd w:id="154"/>
    </w:p>
    <w:p w14:paraId="0CDC653D" w14:textId="77777777" w:rsidR="008742CB" w:rsidRPr="00D920C9" w:rsidRDefault="00597062" w:rsidP="00E86698">
      <w:pPr>
        <w:pStyle w:val="ListParagraph"/>
        <w:numPr>
          <w:ilvl w:val="0"/>
          <w:numId w:val="9"/>
        </w:numPr>
        <w:spacing w:after="240" w:line="240" w:lineRule="auto"/>
        <w:ind w:left="547" w:hanging="547"/>
        <w:contextualSpacing w:val="0"/>
        <w:jc w:val="both"/>
        <w:rPr>
          <w:rFonts w:asciiTheme="minorHAnsi" w:hAnsiTheme="minorHAnsi"/>
          <w:szCs w:val="20"/>
        </w:rPr>
      </w:pPr>
      <w:r w:rsidRPr="00D920C9">
        <w:rPr>
          <w:rFonts w:asciiTheme="minorHAnsi" w:hAnsiTheme="minorHAnsi" w:cs="Times"/>
          <w:szCs w:val="20"/>
        </w:rPr>
        <w:t>While State initiatives in recent years, including the work of the President’s Task Force on 21</w:t>
      </w:r>
      <w:r w:rsidRPr="00D920C9">
        <w:rPr>
          <w:rFonts w:asciiTheme="minorHAnsi" w:hAnsiTheme="minorHAnsi" w:cs="Times"/>
          <w:szCs w:val="20"/>
          <w:vertAlign w:val="superscript"/>
        </w:rPr>
        <w:t>st</w:t>
      </w:r>
      <w:r w:rsidRPr="00D920C9">
        <w:rPr>
          <w:rFonts w:asciiTheme="minorHAnsi" w:hAnsiTheme="minorHAnsi" w:cs="Times"/>
          <w:szCs w:val="20"/>
        </w:rPr>
        <w:t xml:space="preserve"> Century Policing and </w:t>
      </w:r>
      <w:r w:rsidR="00AE5038" w:rsidRPr="00D920C9">
        <w:rPr>
          <w:rFonts w:asciiTheme="minorHAnsi" w:hAnsiTheme="minorHAnsi" w:cs="Times"/>
          <w:szCs w:val="20"/>
        </w:rPr>
        <w:t>DOJ</w:t>
      </w:r>
      <w:r w:rsidRPr="00D920C9">
        <w:rPr>
          <w:rFonts w:asciiTheme="minorHAnsi" w:hAnsiTheme="minorHAnsi" w:cs="Times"/>
          <w:szCs w:val="20"/>
        </w:rPr>
        <w:t xml:space="preserve"> Civil Rights Division </w:t>
      </w:r>
      <w:r w:rsidRPr="00D920C9">
        <w:rPr>
          <w:rFonts w:asciiTheme="minorHAnsi" w:hAnsiTheme="minorHAnsi"/>
        </w:rPr>
        <w:t>investigations</w:t>
      </w:r>
      <w:r w:rsidRPr="00D920C9">
        <w:rPr>
          <w:rFonts w:asciiTheme="minorHAnsi" w:hAnsiTheme="minorHAnsi" w:cs="Times"/>
          <w:szCs w:val="20"/>
        </w:rPr>
        <w:t xml:space="preserve"> of police departments, among others, have signaled positive political will to address the problems described in this </w:t>
      </w:r>
      <w:r w:rsidR="00E020AC" w:rsidRPr="00D920C9">
        <w:rPr>
          <w:rFonts w:asciiTheme="minorHAnsi" w:hAnsiTheme="minorHAnsi" w:cs="Times"/>
          <w:szCs w:val="20"/>
        </w:rPr>
        <w:t>report</w:t>
      </w:r>
      <w:r w:rsidRPr="00D920C9">
        <w:rPr>
          <w:rFonts w:asciiTheme="minorHAnsi" w:hAnsiTheme="minorHAnsi" w:cs="Times"/>
          <w:szCs w:val="20"/>
        </w:rPr>
        <w:t xml:space="preserve">, the </w:t>
      </w:r>
      <w:r w:rsidRPr="00D920C9">
        <w:rPr>
          <w:rFonts w:asciiTheme="minorHAnsi" w:hAnsiTheme="minorHAnsi" w:cs="Times"/>
          <w:szCs w:val="20"/>
        </w:rPr>
        <w:lastRenderedPageBreak/>
        <w:t>Commission notes with concern recent policy developments in the area of policing that it considers may endanger the full enjoyment of human rights of African</w:t>
      </w:r>
      <w:r w:rsidR="0030356C" w:rsidRPr="00D920C9">
        <w:rPr>
          <w:rFonts w:asciiTheme="minorHAnsi" w:hAnsiTheme="minorHAnsi" w:cs="Times"/>
          <w:szCs w:val="20"/>
        </w:rPr>
        <w:t xml:space="preserve"> </w:t>
      </w:r>
      <w:r w:rsidRPr="00D920C9">
        <w:rPr>
          <w:rFonts w:asciiTheme="minorHAnsi" w:hAnsiTheme="minorHAnsi" w:cs="Times"/>
          <w:szCs w:val="20"/>
        </w:rPr>
        <w:t xml:space="preserve">Americans and other </w:t>
      </w:r>
      <w:r w:rsidR="00841F00" w:rsidRPr="00D920C9">
        <w:rPr>
          <w:rFonts w:asciiTheme="minorHAnsi" w:hAnsiTheme="minorHAnsi" w:cs="Times"/>
          <w:szCs w:val="20"/>
        </w:rPr>
        <w:t>historically marginalized groups</w:t>
      </w:r>
      <w:r w:rsidRPr="00D920C9">
        <w:rPr>
          <w:rFonts w:asciiTheme="minorHAnsi" w:hAnsiTheme="minorHAnsi" w:cs="Times"/>
          <w:szCs w:val="20"/>
        </w:rPr>
        <w:t xml:space="preserve"> in the United States. </w:t>
      </w:r>
    </w:p>
    <w:p w14:paraId="7E24967F" w14:textId="77777777" w:rsidR="008742CB" w:rsidRPr="00D920C9" w:rsidRDefault="00597062" w:rsidP="00E86698">
      <w:pPr>
        <w:pStyle w:val="ListParagraph"/>
        <w:numPr>
          <w:ilvl w:val="0"/>
          <w:numId w:val="9"/>
        </w:numPr>
        <w:spacing w:after="240" w:line="240" w:lineRule="auto"/>
        <w:ind w:left="547" w:hanging="547"/>
        <w:contextualSpacing w:val="0"/>
        <w:jc w:val="both"/>
        <w:rPr>
          <w:rFonts w:asciiTheme="minorHAnsi" w:hAnsiTheme="minorHAnsi"/>
          <w:szCs w:val="20"/>
        </w:rPr>
      </w:pPr>
      <w:r w:rsidRPr="00D920C9">
        <w:rPr>
          <w:rFonts w:asciiTheme="minorHAnsi" w:hAnsiTheme="minorHAnsi" w:cs="Times"/>
          <w:szCs w:val="20"/>
        </w:rPr>
        <w:t xml:space="preserve">First, </w:t>
      </w:r>
      <w:r w:rsidR="008742CB" w:rsidRPr="00D920C9">
        <w:rPr>
          <w:rFonts w:asciiTheme="minorHAnsi" w:hAnsiTheme="minorHAnsi" w:cs="Times"/>
          <w:szCs w:val="20"/>
        </w:rPr>
        <w:t>the Commission is concerned by the stated position of the Executive</w:t>
      </w:r>
      <w:r w:rsidR="002355CD" w:rsidRPr="00D920C9">
        <w:rPr>
          <w:rFonts w:asciiTheme="minorHAnsi" w:hAnsiTheme="minorHAnsi" w:cs="Times"/>
          <w:szCs w:val="20"/>
        </w:rPr>
        <w:t xml:space="preserve"> branch</w:t>
      </w:r>
      <w:r w:rsidR="008742CB" w:rsidRPr="00D920C9">
        <w:rPr>
          <w:rFonts w:asciiTheme="minorHAnsi" w:hAnsiTheme="minorHAnsi" w:cs="Times"/>
          <w:szCs w:val="20"/>
        </w:rPr>
        <w:t xml:space="preserve"> to decrease federal oversight of police. </w:t>
      </w:r>
      <w:r w:rsidR="008742CB" w:rsidRPr="00D920C9">
        <w:rPr>
          <w:rFonts w:asciiTheme="minorHAnsi" w:hAnsiTheme="minorHAnsi"/>
          <w:szCs w:val="20"/>
        </w:rPr>
        <w:t xml:space="preserve">On January 20, 2017, the day that President Trump entered office, the White House </w:t>
      </w:r>
      <w:r w:rsidR="00E020AC" w:rsidRPr="00D920C9">
        <w:rPr>
          <w:rFonts w:asciiTheme="minorHAnsi" w:hAnsiTheme="minorHAnsi"/>
          <w:szCs w:val="20"/>
        </w:rPr>
        <w:t>released</w:t>
      </w:r>
      <w:r w:rsidR="008742CB" w:rsidRPr="00D920C9">
        <w:rPr>
          <w:rFonts w:asciiTheme="minorHAnsi" w:hAnsiTheme="minorHAnsi"/>
          <w:szCs w:val="20"/>
        </w:rPr>
        <w:t xml:space="preserve"> a statement</w:t>
      </w:r>
      <w:r w:rsidR="002355CD" w:rsidRPr="00D920C9">
        <w:rPr>
          <w:rFonts w:asciiTheme="minorHAnsi" w:hAnsiTheme="minorHAnsi"/>
          <w:szCs w:val="20"/>
        </w:rPr>
        <w:t xml:space="preserve"> considering</w:t>
      </w:r>
      <w:r w:rsidR="008742CB" w:rsidRPr="00D920C9">
        <w:rPr>
          <w:rFonts w:asciiTheme="minorHAnsi" w:hAnsiTheme="minorHAnsi"/>
          <w:szCs w:val="20"/>
        </w:rPr>
        <w:t xml:space="preserve"> that “[t]he dangerous anti-police atmosphere in America is wrong” and a promise to “end it.”</w:t>
      </w:r>
      <w:r w:rsidR="008742CB" w:rsidRPr="00D920C9">
        <w:rPr>
          <w:rStyle w:val="FootnoteReference"/>
          <w:rFonts w:asciiTheme="minorHAnsi" w:hAnsiTheme="minorHAnsi"/>
          <w:szCs w:val="20"/>
        </w:rPr>
        <w:footnoteReference w:id="404"/>
      </w:r>
      <w:r w:rsidR="008742CB" w:rsidRPr="00D920C9">
        <w:rPr>
          <w:rFonts w:asciiTheme="minorHAnsi" w:hAnsiTheme="minorHAnsi"/>
          <w:szCs w:val="20"/>
        </w:rPr>
        <w:t xml:space="preserve"> I</w:t>
      </w:r>
      <w:r w:rsidRPr="00D920C9">
        <w:rPr>
          <w:rFonts w:asciiTheme="minorHAnsi" w:hAnsiTheme="minorHAnsi" w:cs="Times"/>
          <w:szCs w:val="20"/>
        </w:rPr>
        <w:t xml:space="preserve">n </w:t>
      </w:r>
      <w:r w:rsidRPr="00D920C9">
        <w:rPr>
          <w:rFonts w:asciiTheme="minorHAnsi" w:hAnsiTheme="minorHAnsi"/>
        </w:rPr>
        <w:t>April</w:t>
      </w:r>
      <w:r w:rsidRPr="00D920C9">
        <w:rPr>
          <w:rFonts w:asciiTheme="minorHAnsi" w:hAnsiTheme="minorHAnsi" w:cs="Times"/>
          <w:szCs w:val="20"/>
        </w:rPr>
        <w:t>, Attorney General</w:t>
      </w:r>
      <w:r w:rsidR="008742CB" w:rsidRPr="00D920C9">
        <w:rPr>
          <w:rFonts w:asciiTheme="minorHAnsi" w:hAnsiTheme="minorHAnsi" w:cs="Times"/>
          <w:szCs w:val="20"/>
        </w:rPr>
        <w:t xml:space="preserve"> Jeff Sessions</w:t>
      </w:r>
      <w:r w:rsidRPr="00D920C9">
        <w:rPr>
          <w:rFonts w:asciiTheme="minorHAnsi" w:hAnsiTheme="minorHAnsi" w:cs="Times"/>
          <w:szCs w:val="20"/>
        </w:rPr>
        <w:t xml:space="preserve"> announced </w:t>
      </w:r>
      <w:r w:rsidR="008742CB" w:rsidRPr="00D920C9">
        <w:rPr>
          <w:rFonts w:asciiTheme="minorHAnsi" w:hAnsiTheme="minorHAnsi" w:cs="Times"/>
          <w:szCs w:val="20"/>
        </w:rPr>
        <w:t xml:space="preserve">a </w:t>
      </w:r>
      <w:r w:rsidRPr="00D920C9">
        <w:rPr>
          <w:rFonts w:asciiTheme="minorHAnsi" w:hAnsiTheme="minorHAnsi" w:cs="Times"/>
          <w:szCs w:val="20"/>
        </w:rPr>
        <w:t>policy to “pull back” on civil rights lawsuits and investigations against police despite evide</w:t>
      </w:r>
      <w:r w:rsidR="008742CB" w:rsidRPr="00D920C9">
        <w:rPr>
          <w:rFonts w:asciiTheme="minorHAnsi" w:hAnsiTheme="minorHAnsi" w:cs="Times"/>
          <w:szCs w:val="20"/>
        </w:rPr>
        <w:t>nce of pervasive, systemic bias,</w:t>
      </w:r>
      <w:r w:rsidRPr="00D920C9">
        <w:rPr>
          <w:rStyle w:val="FootnoteReference"/>
          <w:rFonts w:asciiTheme="minorHAnsi" w:hAnsiTheme="minorHAnsi" w:cs="Times"/>
          <w:szCs w:val="20"/>
        </w:rPr>
        <w:footnoteReference w:id="405"/>
      </w:r>
      <w:r w:rsidR="008742CB" w:rsidRPr="00D920C9">
        <w:rPr>
          <w:rFonts w:asciiTheme="minorHAnsi" w:hAnsiTheme="minorHAnsi" w:cs="Times"/>
          <w:szCs w:val="20"/>
        </w:rPr>
        <w:t xml:space="preserve"> calling for </w:t>
      </w:r>
      <w:r w:rsidR="008742CB" w:rsidRPr="00D920C9">
        <w:rPr>
          <w:rFonts w:asciiTheme="minorHAnsi" w:hAnsiTheme="minorHAnsi"/>
          <w:szCs w:val="20"/>
        </w:rPr>
        <w:t>“proactive policing” and an end to “harmful federal intrusion in the daily work of local police.”</w:t>
      </w:r>
      <w:r w:rsidR="008742CB" w:rsidRPr="00D920C9">
        <w:rPr>
          <w:rStyle w:val="FootnoteReference"/>
          <w:rFonts w:asciiTheme="minorHAnsi" w:hAnsiTheme="minorHAnsi"/>
          <w:szCs w:val="20"/>
        </w:rPr>
        <w:footnoteReference w:id="406"/>
      </w:r>
      <w:r w:rsidR="008742CB" w:rsidRPr="00D920C9">
        <w:rPr>
          <w:rFonts w:asciiTheme="minorHAnsi" w:hAnsiTheme="minorHAnsi"/>
          <w:szCs w:val="20"/>
        </w:rPr>
        <w:t xml:space="preserve"> </w:t>
      </w:r>
      <w:r w:rsidRPr="00D920C9">
        <w:rPr>
          <w:rFonts w:asciiTheme="minorHAnsi" w:hAnsiTheme="minorHAnsi" w:cs="Times"/>
          <w:szCs w:val="20"/>
        </w:rPr>
        <w:t xml:space="preserve"> </w:t>
      </w:r>
    </w:p>
    <w:p w14:paraId="5CAE6EF6" w14:textId="77777777" w:rsidR="008742CB" w:rsidRPr="00D920C9" w:rsidRDefault="008742CB" w:rsidP="00E86698">
      <w:pPr>
        <w:pStyle w:val="ListParagraph"/>
        <w:numPr>
          <w:ilvl w:val="0"/>
          <w:numId w:val="9"/>
        </w:numPr>
        <w:spacing w:after="240" w:line="240" w:lineRule="auto"/>
        <w:ind w:left="547" w:hanging="547"/>
        <w:contextualSpacing w:val="0"/>
        <w:jc w:val="both"/>
        <w:rPr>
          <w:rFonts w:asciiTheme="minorHAnsi" w:hAnsiTheme="minorHAnsi"/>
          <w:szCs w:val="20"/>
        </w:rPr>
      </w:pPr>
      <w:r w:rsidRPr="00D920C9">
        <w:rPr>
          <w:rFonts w:asciiTheme="minorHAnsi" w:hAnsiTheme="minorHAnsi"/>
          <w:szCs w:val="20"/>
        </w:rPr>
        <w:t>Information received by the Commission during its 166</w:t>
      </w:r>
      <w:r w:rsidRPr="00D920C9">
        <w:rPr>
          <w:rFonts w:asciiTheme="minorHAnsi" w:hAnsiTheme="minorHAnsi"/>
          <w:szCs w:val="20"/>
          <w:vertAlign w:val="superscript"/>
        </w:rPr>
        <w:t>th</w:t>
      </w:r>
      <w:r w:rsidRPr="00D920C9">
        <w:rPr>
          <w:rFonts w:asciiTheme="minorHAnsi" w:hAnsiTheme="minorHAnsi"/>
          <w:szCs w:val="20"/>
        </w:rPr>
        <w:t xml:space="preserve"> Period of Sessions in December 2017 indicates that the DOJ </w:t>
      </w:r>
      <w:r w:rsidR="003D6D7A" w:rsidRPr="00D920C9">
        <w:rPr>
          <w:rFonts w:asciiTheme="minorHAnsi" w:hAnsiTheme="minorHAnsi"/>
          <w:szCs w:val="20"/>
        </w:rPr>
        <w:t>may be</w:t>
      </w:r>
      <w:r w:rsidRPr="00D920C9">
        <w:rPr>
          <w:rFonts w:asciiTheme="minorHAnsi" w:hAnsiTheme="minorHAnsi"/>
          <w:szCs w:val="20"/>
        </w:rPr>
        <w:t xml:space="preserve"> effectively “pulling back” from enforcement of the laws it is required to enforce.</w:t>
      </w:r>
      <w:r w:rsidRPr="00D920C9">
        <w:rPr>
          <w:rStyle w:val="FootnoteReference"/>
          <w:rFonts w:asciiTheme="minorHAnsi" w:hAnsiTheme="minorHAnsi"/>
          <w:szCs w:val="20"/>
        </w:rPr>
        <w:footnoteReference w:id="407"/>
      </w:r>
      <w:r w:rsidRPr="00D920C9">
        <w:rPr>
          <w:rFonts w:asciiTheme="minorHAnsi" w:hAnsiTheme="minorHAnsi"/>
          <w:szCs w:val="20"/>
        </w:rPr>
        <w:t xml:space="preserve"> </w:t>
      </w:r>
      <w:r w:rsidR="007A656C" w:rsidRPr="00D920C9">
        <w:rPr>
          <w:rFonts w:asciiTheme="minorHAnsi" w:hAnsiTheme="minorHAnsi"/>
          <w:szCs w:val="20"/>
        </w:rPr>
        <w:t xml:space="preserve">The Commission received information that </w:t>
      </w:r>
      <w:r w:rsidRPr="00D920C9">
        <w:rPr>
          <w:rFonts w:asciiTheme="minorHAnsi" w:hAnsiTheme="minorHAnsi"/>
          <w:szCs w:val="20"/>
        </w:rPr>
        <w:t>the DOJ has been reviewing its procedures for addressing police misconduct</w:t>
      </w:r>
      <w:r w:rsidR="007A656C" w:rsidRPr="00D920C9">
        <w:rPr>
          <w:rFonts w:asciiTheme="minorHAnsi" w:hAnsiTheme="minorHAnsi"/>
          <w:szCs w:val="20"/>
        </w:rPr>
        <w:t xml:space="preserve"> to permit high-level review of agreements between the DOJ Civil Rights Division and police departments by </w:t>
      </w:r>
      <w:r w:rsidR="007A656C" w:rsidRPr="00D920C9">
        <w:rPr>
          <w:rFonts w:asciiTheme="minorHAnsi" w:hAnsiTheme="minorHAnsi"/>
        </w:rPr>
        <w:t>deputies</w:t>
      </w:r>
      <w:r w:rsidR="007A656C" w:rsidRPr="00D920C9">
        <w:rPr>
          <w:rFonts w:asciiTheme="minorHAnsi" w:hAnsiTheme="minorHAnsi"/>
          <w:szCs w:val="20"/>
        </w:rPr>
        <w:t xml:space="preserve"> of the Attorney General,</w:t>
      </w:r>
      <w:r w:rsidRPr="00D920C9">
        <w:rPr>
          <w:rStyle w:val="FootnoteReference"/>
          <w:rFonts w:asciiTheme="minorHAnsi" w:hAnsiTheme="minorHAnsi"/>
          <w:szCs w:val="20"/>
        </w:rPr>
        <w:footnoteReference w:id="408"/>
      </w:r>
      <w:r w:rsidR="007A656C" w:rsidRPr="00D920C9">
        <w:rPr>
          <w:rFonts w:asciiTheme="minorHAnsi" w:hAnsiTheme="minorHAnsi"/>
          <w:szCs w:val="20"/>
        </w:rPr>
        <w:t xml:space="preserve"> provoking concern from civil society groups that</w:t>
      </w:r>
      <w:r w:rsidRPr="00D920C9">
        <w:rPr>
          <w:rFonts w:asciiTheme="minorHAnsi" w:hAnsiTheme="minorHAnsi"/>
          <w:szCs w:val="20"/>
        </w:rPr>
        <w:t xml:space="preserve"> </w:t>
      </w:r>
      <w:r w:rsidR="007A656C" w:rsidRPr="00D920C9">
        <w:rPr>
          <w:rFonts w:asciiTheme="minorHAnsi" w:hAnsiTheme="minorHAnsi"/>
          <w:szCs w:val="20"/>
        </w:rPr>
        <w:t xml:space="preserve">the current administration </w:t>
      </w:r>
      <w:r w:rsidRPr="00D920C9">
        <w:rPr>
          <w:rFonts w:asciiTheme="minorHAnsi" w:hAnsiTheme="minorHAnsi"/>
          <w:szCs w:val="20"/>
        </w:rPr>
        <w:t xml:space="preserve">is seeking to modify or undo existing consent decrees </w:t>
      </w:r>
      <w:r w:rsidR="007A656C" w:rsidRPr="00D920C9">
        <w:rPr>
          <w:rFonts w:asciiTheme="minorHAnsi" w:hAnsiTheme="minorHAnsi"/>
          <w:szCs w:val="20"/>
        </w:rPr>
        <w:t xml:space="preserve">previously negotiated with </w:t>
      </w:r>
      <w:r w:rsidR="00841F00" w:rsidRPr="00D920C9">
        <w:rPr>
          <w:rFonts w:asciiTheme="minorHAnsi" w:hAnsiTheme="minorHAnsi"/>
          <w:szCs w:val="20"/>
        </w:rPr>
        <w:t xml:space="preserve">municipalities </w:t>
      </w:r>
      <w:r w:rsidR="007A656C" w:rsidRPr="00D920C9">
        <w:rPr>
          <w:rFonts w:asciiTheme="minorHAnsi" w:hAnsiTheme="minorHAnsi"/>
          <w:szCs w:val="20"/>
        </w:rPr>
        <w:t xml:space="preserve">to </w:t>
      </w:r>
      <w:r w:rsidRPr="00D920C9">
        <w:rPr>
          <w:rFonts w:asciiTheme="minorHAnsi" w:hAnsiTheme="minorHAnsi"/>
          <w:szCs w:val="20"/>
        </w:rPr>
        <w:t xml:space="preserve">address constitutional violations </w:t>
      </w:r>
      <w:r w:rsidR="007A656C" w:rsidRPr="00D920C9">
        <w:rPr>
          <w:rFonts w:asciiTheme="minorHAnsi" w:hAnsiTheme="minorHAnsi"/>
          <w:szCs w:val="20"/>
        </w:rPr>
        <w:t>found by the DOJ</w:t>
      </w:r>
      <w:r w:rsidRPr="00D920C9">
        <w:rPr>
          <w:rFonts w:asciiTheme="minorHAnsi" w:hAnsiTheme="minorHAnsi"/>
          <w:szCs w:val="20"/>
        </w:rPr>
        <w:t>.</w:t>
      </w:r>
      <w:r w:rsidR="007A656C" w:rsidRPr="00D920C9">
        <w:rPr>
          <w:rStyle w:val="FootnoteReference"/>
          <w:rFonts w:asciiTheme="minorHAnsi" w:hAnsiTheme="minorHAnsi"/>
          <w:szCs w:val="20"/>
        </w:rPr>
        <w:footnoteReference w:id="409"/>
      </w:r>
      <w:r w:rsidR="007A656C" w:rsidRPr="00D920C9">
        <w:rPr>
          <w:rFonts w:asciiTheme="minorHAnsi" w:hAnsiTheme="minorHAnsi"/>
          <w:szCs w:val="20"/>
        </w:rPr>
        <w:t xml:space="preserve"> </w:t>
      </w:r>
      <w:r w:rsidR="00BB63B9" w:rsidRPr="00D920C9">
        <w:rPr>
          <w:rFonts w:asciiTheme="minorHAnsi" w:hAnsiTheme="minorHAnsi"/>
          <w:szCs w:val="20"/>
        </w:rPr>
        <w:t xml:space="preserve">Following </w:t>
      </w:r>
      <w:r w:rsidR="003D6D7A" w:rsidRPr="00D920C9">
        <w:rPr>
          <w:rFonts w:asciiTheme="minorHAnsi" w:hAnsiTheme="minorHAnsi"/>
          <w:szCs w:val="20"/>
        </w:rPr>
        <w:t>the announcement of this policy change</w:t>
      </w:r>
      <w:r w:rsidR="00BB63B9" w:rsidRPr="00D920C9">
        <w:rPr>
          <w:rFonts w:asciiTheme="minorHAnsi" w:hAnsiTheme="minorHAnsi"/>
          <w:szCs w:val="20"/>
        </w:rPr>
        <w:t>, the DOJ attempted to postpone the implementation of a consent decree in Baltimore, despite the city’s own support for the measure,</w:t>
      </w:r>
      <w:r w:rsidR="00BB63B9" w:rsidRPr="00D920C9">
        <w:rPr>
          <w:rStyle w:val="FootnoteReference"/>
          <w:rFonts w:asciiTheme="minorHAnsi" w:hAnsiTheme="minorHAnsi"/>
          <w:szCs w:val="20"/>
        </w:rPr>
        <w:footnoteReference w:id="410"/>
      </w:r>
      <w:r w:rsidR="00BB63B9" w:rsidRPr="00D920C9">
        <w:rPr>
          <w:rFonts w:asciiTheme="minorHAnsi" w:hAnsiTheme="minorHAnsi"/>
          <w:szCs w:val="20"/>
        </w:rPr>
        <w:t xml:space="preserve"> and accepted Chicago’s decision to abandon the consent decree process,</w:t>
      </w:r>
      <w:r w:rsidR="00BB63B9" w:rsidRPr="00D920C9">
        <w:rPr>
          <w:rStyle w:val="FootnoteReference"/>
          <w:rFonts w:asciiTheme="minorHAnsi" w:hAnsiTheme="minorHAnsi"/>
          <w:szCs w:val="20"/>
        </w:rPr>
        <w:footnoteReference w:id="411"/>
      </w:r>
      <w:r w:rsidR="00BB63B9" w:rsidRPr="00D920C9">
        <w:rPr>
          <w:rFonts w:asciiTheme="minorHAnsi" w:hAnsiTheme="minorHAnsi"/>
          <w:szCs w:val="20"/>
        </w:rPr>
        <w:t xml:space="preserve"> in spite of evidence gathered by the DOJ that those police departments had </w:t>
      </w:r>
      <w:r w:rsidR="00BB63B9" w:rsidRPr="00D920C9">
        <w:rPr>
          <w:rFonts w:asciiTheme="minorHAnsi" w:hAnsiTheme="minorHAnsi"/>
          <w:szCs w:val="20"/>
        </w:rPr>
        <w:lastRenderedPageBreak/>
        <w:t>engaged in a pattern of discrimination that harmed the safety and civil rights of their residents.</w:t>
      </w:r>
      <w:r w:rsidR="00BB63B9" w:rsidRPr="00D920C9">
        <w:rPr>
          <w:rStyle w:val="FootnoteReference"/>
          <w:rFonts w:asciiTheme="minorHAnsi" w:hAnsiTheme="minorHAnsi"/>
          <w:szCs w:val="20"/>
        </w:rPr>
        <w:footnoteReference w:id="412"/>
      </w:r>
      <w:r w:rsidR="00BB63B9" w:rsidRPr="00D920C9">
        <w:rPr>
          <w:rFonts w:asciiTheme="minorHAnsi" w:hAnsiTheme="minorHAnsi"/>
          <w:szCs w:val="20"/>
        </w:rPr>
        <w:t xml:space="preserve"> </w:t>
      </w:r>
      <w:r w:rsidR="007A656C" w:rsidRPr="00D920C9">
        <w:rPr>
          <w:rFonts w:asciiTheme="minorHAnsi" w:hAnsiTheme="minorHAnsi"/>
          <w:szCs w:val="20"/>
        </w:rPr>
        <w:t xml:space="preserve">In general, the Commission has received reports of broad concern that the </w:t>
      </w:r>
      <w:r w:rsidRPr="00D920C9">
        <w:rPr>
          <w:rFonts w:asciiTheme="minorHAnsi" w:hAnsiTheme="minorHAnsi"/>
          <w:szCs w:val="20"/>
        </w:rPr>
        <w:t xml:space="preserve">DOJ </w:t>
      </w:r>
      <w:r w:rsidR="007A656C" w:rsidRPr="00D920C9">
        <w:rPr>
          <w:rFonts w:asciiTheme="minorHAnsi" w:hAnsiTheme="minorHAnsi"/>
          <w:szCs w:val="20"/>
        </w:rPr>
        <w:t xml:space="preserve">may be </w:t>
      </w:r>
      <w:r w:rsidRPr="00D920C9">
        <w:rPr>
          <w:rFonts w:asciiTheme="minorHAnsi" w:hAnsiTheme="minorHAnsi"/>
          <w:szCs w:val="20"/>
        </w:rPr>
        <w:t>dismantling critical struc</w:t>
      </w:r>
      <w:r w:rsidR="007A656C" w:rsidRPr="00D920C9">
        <w:rPr>
          <w:rFonts w:asciiTheme="minorHAnsi" w:hAnsiTheme="minorHAnsi"/>
          <w:szCs w:val="20"/>
        </w:rPr>
        <w:t xml:space="preserve">tures and abandoning tools that it has used for decades </w:t>
      </w:r>
      <w:r w:rsidRPr="00D920C9">
        <w:rPr>
          <w:rFonts w:asciiTheme="minorHAnsi" w:hAnsiTheme="minorHAnsi"/>
          <w:szCs w:val="20"/>
        </w:rPr>
        <w:t>to protect people from poli</w:t>
      </w:r>
      <w:r w:rsidR="007A656C" w:rsidRPr="00D920C9">
        <w:rPr>
          <w:rFonts w:asciiTheme="minorHAnsi" w:hAnsiTheme="minorHAnsi"/>
          <w:szCs w:val="20"/>
        </w:rPr>
        <w:t>ce brutality and discrimination</w:t>
      </w:r>
      <w:r w:rsidRPr="00D920C9">
        <w:rPr>
          <w:rFonts w:asciiTheme="minorHAnsi" w:hAnsiTheme="minorHAnsi"/>
          <w:szCs w:val="20"/>
        </w:rPr>
        <w:t>.</w:t>
      </w:r>
      <w:r w:rsidRPr="00D920C9">
        <w:rPr>
          <w:rStyle w:val="FootnoteReference"/>
          <w:rFonts w:asciiTheme="minorHAnsi" w:hAnsiTheme="minorHAnsi"/>
          <w:szCs w:val="20"/>
        </w:rPr>
        <w:footnoteReference w:id="413"/>
      </w:r>
    </w:p>
    <w:p w14:paraId="2AE3B1B4" w14:textId="41038527" w:rsidR="00597062" w:rsidRPr="00D920C9" w:rsidRDefault="00597062" w:rsidP="00E86698">
      <w:pPr>
        <w:pStyle w:val="ListParagraph"/>
        <w:numPr>
          <w:ilvl w:val="0"/>
          <w:numId w:val="9"/>
        </w:numPr>
        <w:spacing w:after="240" w:line="240" w:lineRule="auto"/>
        <w:ind w:left="547" w:hanging="547"/>
        <w:contextualSpacing w:val="0"/>
        <w:jc w:val="both"/>
        <w:rPr>
          <w:rFonts w:asciiTheme="minorHAnsi" w:hAnsiTheme="minorHAnsi"/>
          <w:szCs w:val="20"/>
        </w:rPr>
      </w:pPr>
      <w:bookmarkStart w:id="155" w:name="_Ref507405452"/>
      <w:r w:rsidRPr="00D920C9">
        <w:rPr>
          <w:rFonts w:asciiTheme="minorHAnsi" w:hAnsiTheme="minorHAnsi" w:cs="Times"/>
          <w:szCs w:val="20"/>
        </w:rPr>
        <w:t xml:space="preserve">Second, the Commission considers </w:t>
      </w:r>
      <w:r w:rsidRPr="00D920C9">
        <w:rPr>
          <w:rFonts w:asciiTheme="minorHAnsi" w:hAnsiTheme="minorHAnsi"/>
          <w:szCs w:val="20"/>
        </w:rPr>
        <w:t xml:space="preserve">the </w:t>
      </w:r>
      <w:r w:rsidRPr="00D920C9">
        <w:rPr>
          <w:rFonts w:asciiTheme="minorHAnsi" w:hAnsiTheme="minorHAnsi"/>
        </w:rPr>
        <w:t>President’s</w:t>
      </w:r>
      <w:r w:rsidRPr="00D920C9">
        <w:rPr>
          <w:rFonts w:asciiTheme="minorHAnsi" w:hAnsiTheme="minorHAnsi"/>
          <w:szCs w:val="20"/>
        </w:rPr>
        <w:t xml:space="preserve"> decision to revoke, via Executive Order, </w:t>
      </w:r>
      <w:r w:rsidR="003D6D7A" w:rsidRPr="00D920C9">
        <w:rPr>
          <w:rFonts w:asciiTheme="minorHAnsi" w:hAnsiTheme="minorHAnsi"/>
          <w:szCs w:val="20"/>
        </w:rPr>
        <w:t>the</w:t>
      </w:r>
      <w:r w:rsidRPr="00D920C9">
        <w:rPr>
          <w:rFonts w:asciiTheme="minorHAnsi" w:hAnsiTheme="minorHAnsi"/>
          <w:szCs w:val="20"/>
        </w:rPr>
        <w:t xml:space="preserve"> previous measure that banned the sale of military surplus equipment to local police departments</w:t>
      </w:r>
      <w:r w:rsidR="00F56F74" w:rsidRPr="00D920C9">
        <w:rPr>
          <w:rFonts w:asciiTheme="minorHAnsi" w:hAnsiTheme="minorHAnsi"/>
          <w:szCs w:val="20"/>
        </w:rPr>
        <w:t xml:space="preserve">, </w:t>
      </w:r>
      <w:r w:rsidR="00A24443" w:rsidRPr="00D920C9">
        <w:rPr>
          <w:rFonts w:asciiTheme="minorHAnsi" w:hAnsiTheme="minorHAnsi"/>
          <w:szCs w:val="20"/>
        </w:rPr>
        <w:t xml:space="preserve">due to considering </w:t>
      </w:r>
      <w:r w:rsidR="00F56F74" w:rsidRPr="00D920C9">
        <w:rPr>
          <w:rFonts w:asciiTheme="minorHAnsi" w:hAnsiTheme="minorHAnsi"/>
          <w:szCs w:val="20"/>
        </w:rPr>
        <w:t>this</w:t>
      </w:r>
      <w:r w:rsidRPr="00D920C9">
        <w:rPr>
          <w:rFonts w:asciiTheme="minorHAnsi" w:hAnsiTheme="minorHAnsi"/>
          <w:szCs w:val="20"/>
        </w:rPr>
        <w:t xml:space="preserve"> to be negative and pose risks to basic rights.</w:t>
      </w:r>
      <w:r w:rsidRPr="00D920C9">
        <w:rPr>
          <w:rStyle w:val="FootnoteReference"/>
          <w:rFonts w:asciiTheme="minorHAnsi" w:hAnsiTheme="minorHAnsi"/>
          <w:szCs w:val="20"/>
        </w:rPr>
        <w:footnoteReference w:id="414"/>
      </w:r>
      <w:bookmarkEnd w:id="155"/>
      <w:r w:rsidRPr="00D920C9">
        <w:rPr>
          <w:rFonts w:asciiTheme="minorHAnsi" w:hAnsiTheme="minorHAnsi"/>
          <w:szCs w:val="20"/>
        </w:rPr>
        <w:t xml:space="preserve"> </w:t>
      </w:r>
    </w:p>
    <w:p w14:paraId="7C25142A" w14:textId="77777777" w:rsidR="000B4690" w:rsidRPr="00D920C9" w:rsidRDefault="000B4690" w:rsidP="00E86698">
      <w:pPr>
        <w:pStyle w:val="ListParagraph"/>
        <w:numPr>
          <w:ilvl w:val="0"/>
          <w:numId w:val="9"/>
        </w:numPr>
        <w:spacing w:after="240" w:line="240" w:lineRule="auto"/>
        <w:ind w:left="547" w:hanging="547"/>
        <w:contextualSpacing w:val="0"/>
        <w:jc w:val="both"/>
        <w:rPr>
          <w:rFonts w:asciiTheme="minorHAnsi" w:eastAsia="Times New Roman" w:hAnsiTheme="minorHAnsi"/>
          <w:szCs w:val="20"/>
          <w:lang w:eastAsia="es-ES"/>
        </w:rPr>
      </w:pPr>
      <w:r w:rsidRPr="00D920C9">
        <w:rPr>
          <w:rFonts w:asciiTheme="minorHAnsi" w:hAnsiTheme="minorHAnsi"/>
          <w:szCs w:val="20"/>
        </w:rPr>
        <w:t xml:space="preserve">As noted </w:t>
      </w:r>
      <w:r w:rsidR="002355CD" w:rsidRPr="00D920C9">
        <w:rPr>
          <w:rFonts w:asciiTheme="minorHAnsi" w:hAnsiTheme="minorHAnsi"/>
          <w:szCs w:val="20"/>
        </w:rPr>
        <w:t>above</w:t>
      </w:r>
      <w:r w:rsidRPr="00D920C9">
        <w:rPr>
          <w:rFonts w:asciiTheme="minorHAnsi" w:hAnsiTheme="minorHAnsi"/>
          <w:szCs w:val="20"/>
        </w:rPr>
        <w:t>, t</w:t>
      </w:r>
      <w:r w:rsidRPr="00D920C9">
        <w:rPr>
          <w:rFonts w:asciiTheme="minorHAnsi" w:eastAsia="Times New Roman" w:hAnsiTheme="minorHAnsi"/>
          <w:szCs w:val="20"/>
          <w:lang w:eastAsia="es-ES"/>
        </w:rPr>
        <w:t>he DOJ issued new guidance on racial profiling in 2014,</w:t>
      </w:r>
      <w:r w:rsidRPr="00D920C9">
        <w:rPr>
          <w:rStyle w:val="FootnoteReference"/>
          <w:rFonts w:asciiTheme="minorHAnsi" w:eastAsia="Times New Roman" w:hAnsiTheme="minorHAnsi"/>
          <w:szCs w:val="20"/>
          <w:lang w:eastAsia="es-ES"/>
        </w:rPr>
        <w:footnoteReference w:id="415"/>
      </w:r>
      <w:r w:rsidRPr="00D920C9">
        <w:rPr>
          <w:rFonts w:asciiTheme="minorHAnsi" w:eastAsia="Times New Roman" w:hAnsiTheme="minorHAnsi"/>
          <w:szCs w:val="20"/>
          <w:lang w:eastAsia="es-ES"/>
        </w:rPr>
        <w:t xml:space="preserve"> a move that human rights groups had long called for to correct the loosely-drafted 2003 guidance to provide guidance and improve oversight of local police departments.</w:t>
      </w:r>
      <w:r w:rsidRPr="00D920C9">
        <w:rPr>
          <w:rStyle w:val="FootnoteReference"/>
          <w:rFonts w:asciiTheme="minorHAnsi" w:eastAsia="Times New Roman" w:hAnsiTheme="minorHAnsi"/>
          <w:szCs w:val="20"/>
          <w:lang w:eastAsia="es-ES"/>
        </w:rPr>
        <w:footnoteReference w:id="416"/>
      </w:r>
      <w:r w:rsidRPr="00D920C9">
        <w:rPr>
          <w:rFonts w:asciiTheme="minorHAnsi" w:eastAsia="Times New Roman" w:hAnsiTheme="minorHAnsi"/>
          <w:szCs w:val="20"/>
          <w:lang w:eastAsia="es-ES"/>
        </w:rPr>
        <w:t xml:space="preserve"> Among other things, this new guidance expanded protection from profiling on the basis of religion and national origin, as the</w:t>
      </w:r>
      <w:r w:rsidR="00352483" w:rsidRPr="00D920C9">
        <w:rPr>
          <w:rFonts w:asciiTheme="minorHAnsi" w:eastAsia="Times New Roman" w:hAnsiTheme="minorHAnsi"/>
          <w:szCs w:val="20"/>
          <w:lang w:eastAsia="es-ES"/>
        </w:rPr>
        <w:t xml:space="preserve"> U.N. </w:t>
      </w:r>
      <w:r w:rsidRPr="00D920C9">
        <w:rPr>
          <w:rFonts w:asciiTheme="minorHAnsi" w:eastAsia="Times New Roman" w:hAnsiTheme="minorHAnsi"/>
          <w:szCs w:val="20"/>
          <w:lang w:eastAsia="es-ES"/>
        </w:rPr>
        <w:t>Human Rights Committee, among others, had called for.</w:t>
      </w:r>
      <w:r w:rsidRPr="00D920C9">
        <w:rPr>
          <w:rStyle w:val="FootnoteReference"/>
          <w:rFonts w:asciiTheme="minorHAnsi" w:eastAsia="Times New Roman" w:hAnsiTheme="minorHAnsi"/>
          <w:szCs w:val="20"/>
          <w:lang w:eastAsia="es-ES"/>
        </w:rPr>
        <w:footnoteReference w:id="417"/>
      </w:r>
      <w:r w:rsidRPr="00D920C9">
        <w:rPr>
          <w:rFonts w:asciiTheme="minorHAnsi" w:eastAsia="Times New Roman" w:hAnsiTheme="minorHAnsi"/>
          <w:szCs w:val="20"/>
          <w:lang w:eastAsia="es-ES"/>
        </w:rPr>
        <w:t xml:space="preserve"> However, the Commission notes that this new guidance received substantial criticism from civil society groups for providing substantial carve-outs to permit racial profiling by the Transportation Security Administration (TSA) and Customs and Border Protection (CBP), contradicting the stated goals of the new guidance.</w:t>
      </w:r>
      <w:r w:rsidRPr="00D920C9">
        <w:rPr>
          <w:rStyle w:val="FootnoteReference"/>
          <w:rFonts w:asciiTheme="minorHAnsi" w:eastAsia="Times New Roman" w:hAnsiTheme="minorHAnsi"/>
          <w:szCs w:val="20"/>
          <w:lang w:eastAsia="es-ES"/>
        </w:rPr>
        <w:footnoteReference w:id="418"/>
      </w:r>
    </w:p>
    <w:p w14:paraId="35837DEE" w14:textId="77777777" w:rsidR="00365773" w:rsidRPr="00D920C9" w:rsidRDefault="00365773" w:rsidP="00007A36">
      <w:pPr>
        <w:pStyle w:val="Heading1"/>
        <w:sectPr w:rsidR="00365773" w:rsidRPr="00D920C9" w:rsidSect="001E4747">
          <w:headerReference w:type="default" r:id="rId28"/>
          <w:footerReference w:type="default" r:id="rId29"/>
          <w:type w:val="oddPage"/>
          <w:pgSz w:w="10080" w:h="14400" w:code="1"/>
          <w:pgMar w:top="1152" w:right="1152" w:bottom="1152" w:left="1296" w:header="720" w:footer="720" w:gutter="0"/>
          <w:cols w:space="708"/>
          <w:docGrid w:linePitch="360"/>
        </w:sectPr>
      </w:pPr>
      <w:bookmarkStart w:id="156" w:name="_Toc511837829"/>
    </w:p>
    <w:p w14:paraId="433BD1BA" w14:textId="59DE858E" w:rsidR="003F5BAC" w:rsidRPr="00A0401B" w:rsidRDefault="003F5BAC" w:rsidP="00007A36">
      <w:pPr>
        <w:pStyle w:val="CAP1"/>
      </w:pPr>
      <w:bookmarkStart w:id="157" w:name="_Toc511903002"/>
      <w:bookmarkStart w:id="158" w:name="_Toc517687932"/>
      <w:r w:rsidRPr="00A0401B">
        <w:lastRenderedPageBreak/>
        <w:t xml:space="preserve">CHAPTER </w:t>
      </w:r>
      <w:r>
        <w:t>3</w:t>
      </w:r>
    </w:p>
    <w:p w14:paraId="048DC4A6" w14:textId="7B99349E" w:rsidR="003F5BAC" w:rsidRDefault="003F5BAC" w:rsidP="003F5BAC">
      <w:pPr>
        <w:pStyle w:val="CAP2"/>
        <w:sectPr w:rsidR="003F5BAC" w:rsidSect="003F5BAC">
          <w:headerReference w:type="default" r:id="rId30"/>
          <w:footerReference w:type="default" r:id="rId31"/>
          <w:headerReference w:type="first" r:id="rId32"/>
          <w:type w:val="oddPage"/>
          <w:pgSz w:w="10080" w:h="14400" w:code="13"/>
          <w:pgMar w:top="1152" w:right="1152" w:bottom="1152" w:left="1296" w:header="720" w:footer="720" w:gutter="0"/>
          <w:cols w:space="708"/>
          <w:vAlign w:val="center"/>
          <w:docGrid w:linePitch="360"/>
        </w:sectPr>
      </w:pPr>
      <w:r w:rsidRPr="003F5BAC">
        <w:t>INTER-AMERICAN AND INTERNATIONAL OBLIGATIONS OF THE UNITED STATES REGARDING NON-DISCRIMINATION, USE OF FORCE, AND ACCESS TO JUSTICE</w:t>
      </w:r>
    </w:p>
    <w:p w14:paraId="1082D1E1" w14:textId="6C6F7A8C" w:rsidR="00B4412C" w:rsidRPr="00D920C9" w:rsidRDefault="00365773" w:rsidP="00007A36">
      <w:pPr>
        <w:pStyle w:val="Heading1"/>
      </w:pPr>
      <w:r w:rsidRPr="00D920C9">
        <w:lastRenderedPageBreak/>
        <w:t>INTER-AMERICAN AND INTERNATIONAL OBLIGATIONS OF THE UNITED STATES REGARDING NON-DISCRIMINATION, USE OF FORCE, AND ACCESS TO JUSTICE</w:t>
      </w:r>
      <w:bookmarkEnd w:id="156"/>
      <w:bookmarkEnd w:id="157"/>
      <w:bookmarkEnd w:id="158"/>
    </w:p>
    <w:p w14:paraId="05BA63FB" w14:textId="7D881ACB" w:rsidR="00502230" w:rsidRPr="00D920C9" w:rsidRDefault="00B4412C" w:rsidP="00E86698">
      <w:pPr>
        <w:pStyle w:val="ListParagraph"/>
        <w:numPr>
          <w:ilvl w:val="0"/>
          <w:numId w:val="9"/>
        </w:numPr>
        <w:spacing w:after="240" w:line="240" w:lineRule="auto"/>
        <w:ind w:left="547" w:hanging="547"/>
        <w:contextualSpacing w:val="0"/>
        <w:jc w:val="both"/>
        <w:rPr>
          <w:rFonts w:asciiTheme="minorHAnsi" w:hAnsiTheme="minorHAnsi"/>
          <w:szCs w:val="20"/>
          <w:lang w:val="en-GB"/>
        </w:rPr>
      </w:pPr>
      <w:r w:rsidRPr="00D920C9">
        <w:rPr>
          <w:rFonts w:asciiTheme="minorHAnsi" w:hAnsiTheme="minorHAnsi"/>
          <w:szCs w:val="20"/>
        </w:rPr>
        <w:t>This section examines</w:t>
      </w:r>
      <w:r w:rsidR="002355CD" w:rsidRPr="00D920C9">
        <w:rPr>
          <w:rFonts w:asciiTheme="minorHAnsi" w:hAnsiTheme="minorHAnsi"/>
          <w:szCs w:val="20"/>
        </w:rPr>
        <w:t xml:space="preserve"> the situation of Afro-descendants in the United States in light of</w:t>
      </w:r>
      <w:r w:rsidRPr="00D920C9">
        <w:rPr>
          <w:rFonts w:asciiTheme="minorHAnsi" w:hAnsiTheme="minorHAnsi"/>
          <w:szCs w:val="20"/>
        </w:rPr>
        <w:t xml:space="preserve"> key international human rights principles </w:t>
      </w:r>
      <w:r w:rsidR="002355CD" w:rsidRPr="00D920C9">
        <w:rPr>
          <w:rFonts w:asciiTheme="minorHAnsi" w:hAnsiTheme="minorHAnsi"/>
          <w:szCs w:val="20"/>
        </w:rPr>
        <w:t>regarding non-discrimination, use of force, and access to justice</w:t>
      </w:r>
      <w:r w:rsidR="004049C5" w:rsidRPr="00D920C9">
        <w:rPr>
          <w:rFonts w:asciiTheme="minorHAnsi" w:hAnsiTheme="minorHAnsi"/>
          <w:szCs w:val="20"/>
        </w:rPr>
        <w:t>.</w:t>
      </w:r>
    </w:p>
    <w:p w14:paraId="5A9A5359" w14:textId="5C1C098A" w:rsidR="00502230" w:rsidRPr="00D920C9" w:rsidRDefault="00254A03" w:rsidP="00E86698">
      <w:pPr>
        <w:pStyle w:val="ListParagraph"/>
        <w:numPr>
          <w:ilvl w:val="0"/>
          <w:numId w:val="9"/>
        </w:numPr>
        <w:spacing w:after="240" w:line="240" w:lineRule="auto"/>
        <w:ind w:left="547" w:hanging="547"/>
        <w:contextualSpacing w:val="0"/>
        <w:jc w:val="both"/>
        <w:rPr>
          <w:rFonts w:asciiTheme="minorHAnsi" w:hAnsiTheme="minorHAnsi"/>
          <w:szCs w:val="20"/>
          <w:lang w:val="en-GB"/>
        </w:rPr>
      </w:pPr>
      <w:r w:rsidRPr="00D920C9">
        <w:rPr>
          <w:rFonts w:asciiTheme="minorHAnsi" w:hAnsiTheme="minorHAnsi"/>
          <w:szCs w:val="20"/>
        </w:rPr>
        <w:t>On</w:t>
      </w:r>
      <w:r w:rsidR="0070368F" w:rsidRPr="00D920C9">
        <w:rPr>
          <w:rFonts w:asciiTheme="minorHAnsi" w:hAnsiTheme="minorHAnsi"/>
          <w:szCs w:val="20"/>
        </w:rPr>
        <w:t xml:space="preserve"> non-discrimination, the Commission considers that</w:t>
      </w:r>
      <w:r w:rsidR="00B4412C" w:rsidRPr="00D920C9">
        <w:rPr>
          <w:rFonts w:asciiTheme="minorHAnsi" w:hAnsiTheme="minorHAnsi"/>
          <w:szCs w:val="20"/>
        </w:rPr>
        <w:t xml:space="preserve"> all government and police actions </w:t>
      </w:r>
      <w:r w:rsidR="00366CED" w:rsidRPr="00D920C9">
        <w:rPr>
          <w:rFonts w:asciiTheme="minorHAnsi" w:hAnsiTheme="minorHAnsi"/>
          <w:szCs w:val="20"/>
        </w:rPr>
        <w:t xml:space="preserve">must </w:t>
      </w:r>
      <w:r w:rsidR="00B4412C" w:rsidRPr="00D920C9">
        <w:rPr>
          <w:rFonts w:asciiTheme="minorHAnsi" w:hAnsiTheme="minorHAnsi"/>
          <w:szCs w:val="20"/>
        </w:rPr>
        <w:t xml:space="preserve">be guided by and executed in harmony with the obligations of non-discrimination and </w:t>
      </w:r>
      <w:r w:rsidR="00C74F36" w:rsidRPr="00D920C9">
        <w:rPr>
          <w:rFonts w:asciiTheme="minorHAnsi" w:hAnsiTheme="minorHAnsi"/>
          <w:szCs w:val="20"/>
        </w:rPr>
        <w:t>equal protection of and before the law</w:t>
      </w:r>
      <w:r w:rsidR="00B4412C" w:rsidRPr="00D920C9">
        <w:rPr>
          <w:rFonts w:asciiTheme="minorHAnsi" w:hAnsiTheme="minorHAnsi"/>
          <w:szCs w:val="20"/>
        </w:rPr>
        <w:t>.</w:t>
      </w:r>
      <w:r w:rsidR="00C45605" w:rsidRPr="00D920C9">
        <w:rPr>
          <w:rFonts w:asciiTheme="minorHAnsi" w:hAnsiTheme="minorHAnsi"/>
          <w:szCs w:val="20"/>
        </w:rPr>
        <w:t xml:space="preserve"> </w:t>
      </w:r>
      <w:r w:rsidRPr="00D920C9">
        <w:rPr>
          <w:rFonts w:asciiTheme="minorHAnsi" w:hAnsiTheme="minorHAnsi"/>
          <w:szCs w:val="20"/>
        </w:rPr>
        <w:t>T</w:t>
      </w:r>
      <w:r w:rsidR="00C45605" w:rsidRPr="00D920C9">
        <w:rPr>
          <w:rFonts w:asciiTheme="minorHAnsi" w:hAnsiTheme="minorHAnsi"/>
          <w:szCs w:val="20"/>
        </w:rPr>
        <w:t xml:space="preserve">he Commission highlights that laws and practices that have a discriminatory effect (disparate </w:t>
      </w:r>
      <w:r w:rsidR="00C45605" w:rsidRPr="00D920C9">
        <w:rPr>
          <w:rFonts w:asciiTheme="minorHAnsi" w:hAnsiTheme="minorHAnsi"/>
        </w:rPr>
        <w:t>impact</w:t>
      </w:r>
      <w:r w:rsidR="00C45605" w:rsidRPr="00D920C9">
        <w:rPr>
          <w:rFonts w:asciiTheme="minorHAnsi" w:hAnsiTheme="minorHAnsi"/>
          <w:szCs w:val="20"/>
        </w:rPr>
        <w:t xml:space="preserve">) are prohibited under international law, even if they are not facially discriminatory. </w:t>
      </w:r>
      <w:r w:rsidR="00502230" w:rsidRPr="00D920C9">
        <w:rPr>
          <w:rFonts w:asciiTheme="minorHAnsi" w:hAnsiTheme="minorHAnsi"/>
          <w:szCs w:val="20"/>
        </w:rPr>
        <w:t>Furthermore, it notes that racial profiling practices may amount to inhumane or degrading treatment under international law.</w:t>
      </w:r>
    </w:p>
    <w:p w14:paraId="6D7C5BE4" w14:textId="0D2C2E5E" w:rsidR="00502230" w:rsidRPr="00D920C9" w:rsidRDefault="00254A03" w:rsidP="00E86698">
      <w:pPr>
        <w:pStyle w:val="ListParagraph"/>
        <w:numPr>
          <w:ilvl w:val="0"/>
          <w:numId w:val="9"/>
        </w:numPr>
        <w:spacing w:after="240" w:line="240" w:lineRule="auto"/>
        <w:ind w:left="547" w:hanging="547"/>
        <w:contextualSpacing w:val="0"/>
        <w:jc w:val="both"/>
        <w:rPr>
          <w:rFonts w:asciiTheme="minorHAnsi" w:hAnsiTheme="minorHAnsi"/>
        </w:rPr>
      </w:pPr>
      <w:r w:rsidRPr="00D920C9">
        <w:rPr>
          <w:rFonts w:asciiTheme="minorHAnsi" w:hAnsiTheme="minorHAnsi"/>
          <w:szCs w:val="20"/>
        </w:rPr>
        <w:t>On</w:t>
      </w:r>
      <w:r w:rsidR="0070368F" w:rsidRPr="00D920C9">
        <w:rPr>
          <w:rFonts w:asciiTheme="minorHAnsi" w:hAnsiTheme="minorHAnsi"/>
          <w:szCs w:val="20"/>
        </w:rPr>
        <w:t xml:space="preserve"> use of force, the Commission </w:t>
      </w:r>
      <w:r w:rsidR="00366CED" w:rsidRPr="00D920C9">
        <w:rPr>
          <w:rFonts w:asciiTheme="minorHAnsi" w:hAnsiTheme="minorHAnsi"/>
          <w:szCs w:val="20"/>
        </w:rPr>
        <w:t>reiterates</w:t>
      </w:r>
      <w:r w:rsidR="0070368F" w:rsidRPr="00D920C9">
        <w:rPr>
          <w:rFonts w:asciiTheme="minorHAnsi" w:hAnsiTheme="minorHAnsi"/>
          <w:szCs w:val="20"/>
        </w:rPr>
        <w:t xml:space="preserve"> that</w:t>
      </w:r>
      <w:r w:rsidR="00B4412C" w:rsidRPr="00D920C9">
        <w:rPr>
          <w:rFonts w:asciiTheme="minorHAnsi" w:hAnsiTheme="minorHAnsi"/>
          <w:szCs w:val="20"/>
        </w:rPr>
        <w:t xml:space="preserve"> </w:t>
      </w:r>
      <w:r w:rsidR="00C45605" w:rsidRPr="00D920C9">
        <w:rPr>
          <w:rFonts w:asciiTheme="minorHAnsi" w:hAnsiTheme="minorHAnsi"/>
          <w:szCs w:val="20"/>
        </w:rPr>
        <w:t xml:space="preserve">the protection against arbitrary deprivations of life applies to the entire State structure—including federal, state, and local government entities—and to all actions of police officers, both in situations of normality and unrest. To this end, </w:t>
      </w:r>
      <w:r w:rsidR="00B4412C" w:rsidRPr="00D920C9">
        <w:rPr>
          <w:rFonts w:asciiTheme="minorHAnsi" w:hAnsiTheme="minorHAnsi"/>
          <w:szCs w:val="20"/>
        </w:rPr>
        <w:t>police us</w:t>
      </w:r>
      <w:r w:rsidR="00C45605" w:rsidRPr="00D920C9">
        <w:rPr>
          <w:rFonts w:asciiTheme="minorHAnsi" w:hAnsiTheme="minorHAnsi"/>
          <w:szCs w:val="20"/>
        </w:rPr>
        <w:t xml:space="preserve">e of force in the </w:t>
      </w:r>
      <w:r w:rsidR="006D4A9B" w:rsidRPr="00D920C9">
        <w:rPr>
          <w:rFonts w:asciiTheme="minorHAnsi" w:hAnsiTheme="minorHAnsi"/>
          <w:szCs w:val="20"/>
        </w:rPr>
        <w:t>U.S.</w:t>
      </w:r>
      <w:r w:rsidR="00B4412C" w:rsidRPr="00D920C9">
        <w:rPr>
          <w:rFonts w:asciiTheme="minorHAnsi" w:hAnsiTheme="minorHAnsi"/>
          <w:szCs w:val="20"/>
        </w:rPr>
        <w:t xml:space="preserve"> </w:t>
      </w:r>
      <w:r w:rsidR="00C45605" w:rsidRPr="00D920C9">
        <w:rPr>
          <w:rFonts w:asciiTheme="minorHAnsi" w:hAnsiTheme="minorHAnsi"/>
          <w:szCs w:val="20"/>
        </w:rPr>
        <w:t>must</w:t>
      </w:r>
      <w:r w:rsidR="00B4412C" w:rsidRPr="00D920C9">
        <w:rPr>
          <w:rFonts w:asciiTheme="minorHAnsi" w:hAnsiTheme="minorHAnsi"/>
          <w:szCs w:val="20"/>
        </w:rPr>
        <w:t xml:space="preserve"> be guided by the principle of </w:t>
      </w:r>
      <w:r w:rsidR="00366CED" w:rsidRPr="00D920C9">
        <w:rPr>
          <w:rFonts w:asciiTheme="minorHAnsi" w:hAnsiTheme="minorHAnsi"/>
          <w:szCs w:val="20"/>
        </w:rPr>
        <w:t>necessity</w:t>
      </w:r>
      <w:r w:rsidR="00B4412C" w:rsidRPr="00D920C9">
        <w:rPr>
          <w:rFonts w:asciiTheme="minorHAnsi" w:hAnsiTheme="minorHAnsi"/>
          <w:szCs w:val="20"/>
        </w:rPr>
        <w:t xml:space="preserve"> and used only when other methods have been exhausted and failed.</w:t>
      </w:r>
      <w:r w:rsidR="00C45605" w:rsidRPr="00D920C9">
        <w:rPr>
          <w:rFonts w:asciiTheme="minorHAnsi" w:hAnsiTheme="minorHAnsi"/>
          <w:szCs w:val="20"/>
        </w:rPr>
        <w:t xml:space="preserve"> The Commission calls on the United States to bring its domestic law in line with international standards in </w:t>
      </w:r>
      <w:r w:rsidR="00C45605" w:rsidRPr="00D920C9">
        <w:rPr>
          <w:rFonts w:asciiTheme="minorHAnsi" w:hAnsiTheme="minorHAnsi"/>
        </w:rPr>
        <w:t xml:space="preserve">this area. </w:t>
      </w:r>
      <w:r w:rsidR="00502230" w:rsidRPr="00D920C9">
        <w:rPr>
          <w:rFonts w:asciiTheme="minorHAnsi" w:hAnsiTheme="minorHAnsi"/>
        </w:rPr>
        <w:t>The Commission</w:t>
      </w:r>
      <w:r w:rsidR="00C45605" w:rsidRPr="00D920C9">
        <w:rPr>
          <w:rFonts w:asciiTheme="minorHAnsi" w:hAnsiTheme="minorHAnsi"/>
        </w:rPr>
        <w:t xml:space="preserve"> further highlights that excessive use of force by police may amount to cruel, inhuman, or degrading treatment or torture under certain circumstances</w:t>
      </w:r>
      <w:r w:rsidR="00B4412C" w:rsidRPr="00D920C9">
        <w:rPr>
          <w:rFonts w:asciiTheme="minorHAnsi" w:hAnsiTheme="minorHAnsi"/>
        </w:rPr>
        <w:t xml:space="preserve">. </w:t>
      </w:r>
      <w:r w:rsidR="00502230" w:rsidRPr="00D920C9">
        <w:rPr>
          <w:rFonts w:asciiTheme="minorHAnsi" w:hAnsiTheme="minorHAnsi"/>
        </w:rPr>
        <w:t>Finally, the Commission underscores the need to safeguard the basic human rights of protesters, including their rights to life and physical and psychological integrity</w:t>
      </w:r>
      <w:r w:rsidR="00795650" w:rsidRPr="00D920C9">
        <w:rPr>
          <w:rFonts w:asciiTheme="minorHAnsi" w:hAnsiTheme="minorHAnsi"/>
        </w:rPr>
        <w:t>.</w:t>
      </w:r>
    </w:p>
    <w:p w14:paraId="56DE1C82" w14:textId="34C395A7" w:rsidR="00B4412C" w:rsidRPr="00D920C9" w:rsidRDefault="00254A03" w:rsidP="00E86698">
      <w:pPr>
        <w:pStyle w:val="ListParagraph"/>
        <w:numPr>
          <w:ilvl w:val="0"/>
          <w:numId w:val="9"/>
        </w:numPr>
        <w:spacing w:after="240" w:line="240" w:lineRule="auto"/>
        <w:ind w:left="547" w:hanging="547"/>
        <w:contextualSpacing w:val="0"/>
        <w:jc w:val="both"/>
        <w:rPr>
          <w:rFonts w:asciiTheme="minorHAnsi" w:hAnsiTheme="minorHAnsi"/>
        </w:rPr>
      </w:pPr>
      <w:r w:rsidRPr="00D920C9">
        <w:rPr>
          <w:rFonts w:asciiTheme="minorHAnsi" w:hAnsiTheme="minorHAnsi"/>
        </w:rPr>
        <w:t>On</w:t>
      </w:r>
      <w:r w:rsidR="0070368F" w:rsidRPr="00D920C9">
        <w:rPr>
          <w:rFonts w:asciiTheme="minorHAnsi" w:hAnsiTheme="minorHAnsi"/>
        </w:rPr>
        <w:t xml:space="preserve"> access to justice, the Commission </w:t>
      </w:r>
      <w:r w:rsidR="00366CED" w:rsidRPr="00D920C9">
        <w:rPr>
          <w:rFonts w:asciiTheme="minorHAnsi" w:hAnsiTheme="minorHAnsi"/>
        </w:rPr>
        <w:t>recalls</w:t>
      </w:r>
      <w:r w:rsidR="0070368F" w:rsidRPr="00D920C9">
        <w:rPr>
          <w:rFonts w:asciiTheme="minorHAnsi" w:hAnsiTheme="minorHAnsi"/>
        </w:rPr>
        <w:t xml:space="preserve"> that</w:t>
      </w:r>
      <w:r w:rsidR="00B4412C" w:rsidRPr="00D920C9">
        <w:rPr>
          <w:rFonts w:asciiTheme="minorHAnsi" w:hAnsiTheme="minorHAnsi"/>
        </w:rPr>
        <w:t xml:space="preserve"> the government—federal, state, and local—is responsible for </w:t>
      </w:r>
      <w:r w:rsidR="00C45605" w:rsidRPr="00D920C9">
        <w:rPr>
          <w:rFonts w:asciiTheme="minorHAnsi" w:hAnsiTheme="minorHAnsi"/>
        </w:rPr>
        <w:t xml:space="preserve">ensuring access to justice, including exercising due diligence in the </w:t>
      </w:r>
      <w:r w:rsidR="00502230" w:rsidRPr="00D920C9">
        <w:rPr>
          <w:rFonts w:asciiTheme="minorHAnsi" w:hAnsiTheme="minorHAnsi"/>
        </w:rPr>
        <w:t xml:space="preserve">independent and impartial </w:t>
      </w:r>
      <w:r w:rsidR="00C45605" w:rsidRPr="00D920C9">
        <w:rPr>
          <w:rFonts w:asciiTheme="minorHAnsi" w:hAnsiTheme="minorHAnsi"/>
        </w:rPr>
        <w:t xml:space="preserve">investigation and prosecution of </w:t>
      </w:r>
      <w:r w:rsidR="00502230" w:rsidRPr="00D920C9">
        <w:rPr>
          <w:rFonts w:asciiTheme="minorHAnsi" w:hAnsiTheme="minorHAnsi"/>
        </w:rPr>
        <w:t xml:space="preserve">police abuses, and ensuring accountability and punishment of all those responsible for a violation; establishing adequate, </w:t>
      </w:r>
      <w:r w:rsidR="00B4412C" w:rsidRPr="00D920C9">
        <w:rPr>
          <w:rFonts w:asciiTheme="minorHAnsi" w:hAnsiTheme="minorHAnsi"/>
        </w:rPr>
        <w:t>effective</w:t>
      </w:r>
      <w:r w:rsidR="00502230" w:rsidRPr="00D920C9">
        <w:rPr>
          <w:rFonts w:asciiTheme="minorHAnsi" w:hAnsiTheme="minorHAnsi"/>
        </w:rPr>
        <w:t>, and accessible</w:t>
      </w:r>
      <w:r w:rsidR="00B4412C" w:rsidRPr="00D920C9">
        <w:rPr>
          <w:rFonts w:asciiTheme="minorHAnsi" w:hAnsiTheme="minorHAnsi"/>
        </w:rPr>
        <w:t xml:space="preserve"> legal remedies</w:t>
      </w:r>
      <w:r w:rsidR="00C45605" w:rsidRPr="00D920C9">
        <w:rPr>
          <w:rFonts w:asciiTheme="minorHAnsi" w:hAnsiTheme="minorHAnsi"/>
        </w:rPr>
        <w:t xml:space="preserve"> for police violence</w:t>
      </w:r>
      <w:r w:rsidR="00502230" w:rsidRPr="00D920C9">
        <w:rPr>
          <w:rFonts w:asciiTheme="minorHAnsi" w:hAnsiTheme="minorHAnsi"/>
        </w:rPr>
        <w:t>;</w:t>
      </w:r>
      <w:r w:rsidR="00B4412C" w:rsidRPr="00D920C9">
        <w:rPr>
          <w:rFonts w:asciiTheme="minorHAnsi" w:hAnsiTheme="minorHAnsi"/>
        </w:rPr>
        <w:t xml:space="preserve"> and </w:t>
      </w:r>
      <w:r w:rsidR="00502230" w:rsidRPr="00D920C9">
        <w:rPr>
          <w:rFonts w:asciiTheme="minorHAnsi" w:hAnsiTheme="minorHAnsi"/>
        </w:rPr>
        <w:t xml:space="preserve">ensuring reparations for </w:t>
      </w:r>
      <w:r w:rsidR="00502230" w:rsidRPr="00D920C9">
        <w:rPr>
          <w:rFonts w:asciiTheme="minorHAnsi" w:hAnsiTheme="minorHAnsi"/>
        </w:rPr>
        <w:lastRenderedPageBreak/>
        <w:t>victims</w:t>
      </w:r>
      <w:r w:rsidR="00B4412C" w:rsidRPr="00D920C9">
        <w:rPr>
          <w:rFonts w:asciiTheme="minorHAnsi" w:hAnsiTheme="minorHAnsi"/>
        </w:rPr>
        <w:t xml:space="preserve">. The Commission recalls that impunity fosters an environment in which police violence and abuses are tolerated and expected, and serves to </w:t>
      </w:r>
      <w:r w:rsidR="00366CED" w:rsidRPr="00D920C9">
        <w:rPr>
          <w:rFonts w:asciiTheme="minorHAnsi" w:hAnsiTheme="minorHAnsi"/>
        </w:rPr>
        <w:t>perpetuate and even promote</w:t>
      </w:r>
      <w:r w:rsidR="00B4412C" w:rsidRPr="00D920C9">
        <w:rPr>
          <w:rFonts w:asciiTheme="minorHAnsi" w:hAnsiTheme="minorHAnsi"/>
        </w:rPr>
        <w:t xml:space="preserve"> disparate treatment towards</w:t>
      </w:r>
      <w:r w:rsidR="007940E7" w:rsidRPr="00D920C9">
        <w:rPr>
          <w:rFonts w:asciiTheme="minorHAnsi" w:hAnsiTheme="minorHAnsi"/>
        </w:rPr>
        <w:t xml:space="preserve"> </w:t>
      </w:r>
      <w:r w:rsidR="00366CED" w:rsidRPr="00D920C9">
        <w:rPr>
          <w:rFonts w:asciiTheme="minorHAnsi" w:hAnsiTheme="minorHAnsi"/>
        </w:rPr>
        <w:t>people</w:t>
      </w:r>
      <w:r w:rsidR="003444DA" w:rsidRPr="00D920C9">
        <w:rPr>
          <w:rFonts w:asciiTheme="minorHAnsi" w:hAnsiTheme="minorHAnsi"/>
        </w:rPr>
        <w:t xml:space="preserve"> and </w:t>
      </w:r>
      <w:r w:rsidR="007940E7" w:rsidRPr="00D920C9">
        <w:rPr>
          <w:rFonts w:asciiTheme="minorHAnsi" w:hAnsiTheme="minorHAnsi"/>
        </w:rPr>
        <w:t>groups historically subjected to discrimination and exclusion</w:t>
      </w:r>
      <w:r w:rsidR="00366CED" w:rsidRPr="00D920C9">
        <w:rPr>
          <w:rFonts w:asciiTheme="minorHAnsi" w:hAnsiTheme="minorHAnsi"/>
        </w:rPr>
        <w:t xml:space="preserve"> based on race</w:t>
      </w:r>
      <w:r w:rsidR="007940E7" w:rsidRPr="00D920C9">
        <w:rPr>
          <w:rFonts w:asciiTheme="minorHAnsi" w:hAnsiTheme="minorHAnsi"/>
        </w:rPr>
        <w:t>.</w:t>
      </w:r>
      <w:r w:rsidR="00B4412C" w:rsidRPr="00D920C9">
        <w:rPr>
          <w:rFonts w:asciiTheme="minorHAnsi" w:hAnsiTheme="minorHAnsi"/>
        </w:rPr>
        <w:t xml:space="preserve"> </w:t>
      </w:r>
    </w:p>
    <w:p w14:paraId="21F8899C" w14:textId="4E50F55E" w:rsidR="00B4412C" w:rsidRPr="00D920C9" w:rsidRDefault="00B4412C" w:rsidP="00E86698">
      <w:pPr>
        <w:pStyle w:val="ListParagraph"/>
        <w:numPr>
          <w:ilvl w:val="0"/>
          <w:numId w:val="9"/>
        </w:numPr>
        <w:spacing w:after="240" w:line="240" w:lineRule="auto"/>
        <w:ind w:left="547" w:hanging="547"/>
        <w:contextualSpacing w:val="0"/>
        <w:jc w:val="both"/>
        <w:rPr>
          <w:rFonts w:asciiTheme="minorHAnsi" w:hAnsiTheme="minorHAnsi"/>
        </w:rPr>
      </w:pPr>
      <w:r w:rsidRPr="00D920C9">
        <w:rPr>
          <w:rFonts w:asciiTheme="minorHAnsi" w:hAnsiTheme="minorHAnsi"/>
        </w:rPr>
        <w:t xml:space="preserve">In order to comply with the principles laid out </w:t>
      </w:r>
      <w:r w:rsidR="0070368F" w:rsidRPr="00D920C9">
        <w:rPr>
          <w:rFonts w:asciiTheme="minorHAnsi" w:hAnsiTheme="minorHAnsi"/>
        </w:rPr>
        <w:t>here</w:t>
      </w:r>
      <w:r w:rsidRPr="00D920C9">
        <w:rPr>
          <w:rFonts w:asciiTheme="minorHAnsi" w:hAnsiTheme="minorHAnsi"/>
        </w:rPr>
        <w:t xml:space="preserve">, the State—at the federal, state, and local levels—has the obligation to enact laws </w:t>
      </w:r>
      <w:r w:rsidR="0070368F" w:rsidRPr="00D920C9">
        <w:rPr>
          <w:rFonts w:asciiTheme="minorHAnsi" w:hAnsiTheme="minorHAnsi"/>
        </w:rPr>
        <w:t>that</w:t>
      </w:r>
      <w:r w:rsidRPr="00D920C9">
        <w:rPr>
          <w:rFonts w:asciiTheme="minorHAnsi" w:hAnsiTheme="minorHAnsi"/>
        </w:rPr>
        <w:t xml:space="preserve"> comply with international law. State agents must know and follow </w:t>
      </w:r>
      <w:r w:rsidR="00502230" w:rsidRPr="00D920C9">
        <w:rPr>
          <w:rFonts w:asciiTheme="minorHAnsi" w:hAnsiTheme="minorHAnsi"/>
        </w:rPr>
        <w:t>both the spirit and letter of these rules</w:t>
      </w:r>
      <w:r w:rsidRPr="00D920C9">
        <w:rPr>
          <w:rFonts w:asciiTheme="minorHAnsi" w:hAnsiTheme="minorHAnsi"/>
        </w:rPr>
        <w:t>.</w:t>
      </w:r>
      <w:r w:rsidRPr="00D920C9">
        <w:rPr>
          <w:rFonts w:asciiTheme="minorHAnsi" w:hAnsiTheme="minorHAnsi"/>
          <w:vertAlign w:val="superscript"/>
        </w:rPr>
        <w:footnoteReference w:id="419"/>
      </w:r>
    </w:p>
    <w:p w14:paraId="56C3EC1A" w14:textId="77777777" w:rsidR="00B4412C" w:rsidRPr="00D920C9" w:rsidRDefault="00B4412C" w:rsidP="00E86698">
      <w:pPr>
        <w:pStyle w:val="ListParagraph"/>
        <w:numPr>
          <w:ilvl w:val="0"/>
          <w:numId w:val="9"/>
        </w:numPr>
        <w:spacing w:after="240" w:line="240" w:lineRule="auto"/>
        <w:ind w:left="547" w:hanging="547"/>
        <w:contextualSpacing w:val="0"/>
        <w:jc w:val="both"/>
        <w:rPr>
          <w:rFonts w:asciiTheme="minorHAnsi" w:hAnsiTheme="minorHAnsi"/>
          <w:szCs w:val="20"/>
          <w:lang w:val="en-GB"/>
        </w:rPr>
      </w:pPr>
      <w:r w:rsidRPr="00D920C9">
        <w:rPr>
          <w:rFonts w:asciiTheme="minorHAnsi" w:hAnsiTheme="minorHAnsi"/>
        </w:rPr>
        <w:t>Finally, the Commission reiterates that discrimination against African</w:t>
      </w:r>
      <w:r w:rsidR="0030356C" w:rsidRPr="00D920C9">
        <w:rPr>
          <w:rFonts w:asciiTheme="minorHAnsi" w:hAnsiTheme="minorHAnsi"/>
        </w:rPr>
        <w:t xml:space="preserve"> </w:t>
      </w:r>
      <w:r w:rsidRPr="00D920C9">
        <w:rPr>
          <w:rFonts w:asciiTheme="minorHAnsi" w:hAnsiTheme="minorHAnsi"/>
        </w:rPr>
        <w:t xml:space="preserve">Americans and </w:t>
      </w:r>
      <w:r w:rsidR="00841F00" w:rsidRPr="00D920C9">
        <w:rPr>
          <w:rFonts w:asciiTheme="minorHAnsi" w:hAnsiTheme="minorHAnsi"/>
        </w:rPr>
        <w:t>historically marginalized groups</w:t>
      </w:r>
      <w:r w:rsidRPr="00D920C9">
        <w:rPr>
          <w:rFonts w:asciiTheme="minorHAnsi" w:hAnsiTheme="minorHAnsi"/>
        </w:rPr>
        <w:t xml:space="preserve"> in policing and the larger criminal justice system is one facet of a larger context of historical, structural discrimination. As such, measures adopted at any level of government to address discriminatory policing</w:t>
      </w:r>
      <w:r w:rsidRPr="00D920C9">
        <w:rPr>
          <w:rFonts w:asciiTheme="minorHAnsi" w:hAnsiTheme="minorHAnsi"/>
          <w:szCs w:val="20"/>
        </w:rPr>
        <w:t xml:space="preserve"> and excessive use of force should also be paired with effective measures to redress historical and structural discrimination in all areas of public life, in order to ensure the full enjoyment of human rights of all persons subject to U</w:t>
      </w:r>
      <w:r w:rsidR="00AE5038" w:rsidRPr="00D920C9">
        <w:rPr>
          <w:rFonts w:asciiTheme="minorHAnsi" w:hAnsiTheme="minorHAnsi"/>
          <w:szCs w:val="20"/>
        </w:rPr>
        <w:t>.</w:t>
      </w:r>
      <w:r w:rsidRPr="00D920C9">
        <w:rPr>
          <w:rFonts w:asciiTheme="minorHAnsi" w:hAnsiTheme="minorHAnsi"/>
          <w:szCs w:val="20"/>
        </w:rPr>
        <w:t>S</w:t>
      </w:r>
      <w:r w:rsidR="00AE5038" w:rsidRPr="00D920C9">
        <w:rPr>
          <w:rFonts w:asciiTheme="minorHAnsi" w:hAnsiTheme="minorHAnsi"/>
          <w:szCs w:val="20"/>
        </w:rPr>
        <w:t>.</w:t>
      </w:r>
      <w:r w:rsidRPr="00D920C9">
        <w:rPr>
          <w:rFonts w:asciiTheme="minorHAnsi" w:hAnsiTheme="minorHAnsi"/>
          <w:szCs w:val="20"/>
        </w:rPr>
        <w:t xml:space="preserve"> jurisdiction without discrimination on the basis of race, color, ethnicity, national origin</w:t>
      </w:r>
      <w:r w:rsidR="0070368F" w:rsidRPr="00D920C9">
        <w:rPr>
          <w:rFonts w:asciiTheme="minorHAnsi" w:hAnsiTheme="minorHAnsi"/>
          <w:szCs w:val="20"/>
        </w:rPr>
        <w:t>, or any other prohibited ground</w:t>
      </w:r>
      <w:r w:rsidRPr="00D920C9">
        <w:rPr>
          <w:rFonts w:asciiTheme="minorHAnsi" w:hAnsiTheme="minorHAnsi"/>
          <w:szCs w:val="20"/>
        </w:rPr>
        <w:t>.</w:t>
      </w:r>
    </w:p>
    <w:p w14:paraId="354597C2" w14:textId="77777777" w:rsidR="00B4412C" w:rsidRPr="00D920C9" w:rsidRDefault="00B4412C" w:rsidP="00226E45">
      <w:pPr>
        <w:pStyle w:val="Heading2"/>
        <w:numPr>
          <w:ilvl w:val="0"/>
          <w:numId w:val="14"/>
        </w:numPr>
        <w:ind w:left="547" w:hanging="547"/>
      </w:pPr>
      <w:bookmarkStart w:id="159" w:name="_Toc511837830"/>
      <w:bookmarkStart w:id="160" w:name="_Toc511903003"/>
      <w:bookmarkStart w:id="161" w:name="_Toc517687933"/>
      <w:r w:rsidRPr="00D920C9">
        <w:t xml:space="preserve">International Framework regarding </w:t>
      </w:r>
      <w:r w:rsidR="0013717A" w:rsidRPr="00D920C9">
        <w:t xml:space="preserve">Equality </w:t>
      </w:r>
      <w:r w:rsidRPr="00D920C9">
        <w:t xml:space="preserve">and </w:t>
      </w:r>
      <w:r w:rsidR="0013717A" w:rsidRPr="00D920C9">
        <w:t>Non-Discrimination</w:t>
      </w:r>
      <w:bookmarkEnd w:id="159"/>
      <w:bookmarkEnd w:id="160"/>
      <w:bookmarkEnd w:id="161"/>
    </w:p>
    <w:p w14:paraId="49DBC00C" w14:textId="77777777" w:rsidR="00B4412C" w:rsidRPr="00D920C9" w:rsidRDefault="00B4412C" w:rsidP="00E86698">
      <w:pPr>
        <w:pStyle w:val="ListParagraph"/>
        <w:numPr>
          <w:ilvl w:val="0"/>
          <w:numId w:val="9"/>
        </w:numPr>
        <w:spacing w:after="240" w:line="240" w:lineRule="auto"/>
        <w:ind w:left="547" w:hanging="547"/>
        <w:contextualSpacing w:val="0"/>
        <w:jc w:val="both"/>
        <w:rPr>
          <w:rFonts w:asciiTheme="minorHAnsi" w:hAnsiTheme="minorHAnsi"/>
        </w:rPr>
      </w:pPr>
      <w:r w:rsidRPr="00D920C9">
        <w:rPr>
          <w:rFonts w:asciiTheme="minorHAnsi" w:hAnsiTheme="minorHAnsi"/>
          <w:szCs w:val="20"/>
        </w:rPr>
        <w:t>The right to equality and non-discrimination contained in Article II of the American Declaration is a fundamental principle of the inter-American system of human rights,</w:t>
      </w:r>
      <w:r w:rsidRPr="00D920C9">
        <w:rPr>
          <w:rFonts w:asciiTheme="minorHAnsi" w:hAnsiTheme="minorHAnsi"/>
          <w:szCs w:val="20"/>
          <w:vertAlign w:val="superscript"/>
        </w:rPr>
        <w:footnoteReference w:id="420"/>
      </w:r>
      <w:r w:rsidRPr="00D920C9">
        <w:rPr>
          <w:rFonts w:asciiTheme="minorHAnsi" w:hAnsiTheme="minorHAnsi"/>
          <w:szCs w:val="20"/>
        </w:rPr>
        <w:t xml:space="preserve"> as</w:t>
      </w:r>
      <w:r w:rsidR="00795813" w:rsidRPr="00D920C9">
        <w:rPr>
          <w:rFonts w:asciiTheme="minorHAnsi" w:hAnsiTheme="minorHAnsi"/>
          <w:szCs w:val="20"/>
        </w:rPr>
        <w:t xml:space="preserve"> </w:t>
      </w:r>
      <w:r w:rsidRPr="00D920C9">
        <w:rPr>
          <w:rFonts w:asciiTheme="minorHAnsi" w:hAnsiTheme="minorHAnsi"/>
          <w:szCs w:val="20"/>
        </w:rPr>
        <w:t>in the universal and other regional human rights systems.</w:t>
      </w:r>
      <w:r w:rsidRPr="00D920C9">
        <w:rPr>
          <w:rStyle w:val="FootnoteReference"/>
          <w:rFonts w:asciiTheme="minorHAnsi" w:hAnsiTheme="minorHAnsi"/>
          <w:szCs w:val="20"/>
        </w:rPr>
        <w:footnoteReference w:id="421"/>
      </w:r>
      <w:r w:rsidRPr="00D920C9">
        <w:rPr>
          <w:rFonts w:asciiTheme="minorHAnsi" w:hAnsiTheme="minorHAnsi"/>
          <w:szCs w:val="20"/>
        </w:rPr>
        <w:t xml:space="preserve"> This principle provides that “all persons are equal before the law and have the rights and duties established in [the American] Declaration, without distinction as to race, sex, language, creed or any other factor.” </w:t>
      </w:r>
      <w:r w:rsidR="00015DB4" w:rsidRPr="00D920C9">
        <w:rPr>
          <w:rFonts w:asciiTheme="minorHAnsi" w:hAnsiTheme="minorHAnsi"/>
          <w:szCs w:val="20"/>
        </w:rPr>
        <w:t xml:space="preserve">This right is further contained in a number of </w:t>
      </w:r>
      <w:r w:rsidR="0070368F" w:rsidRPr="00D920C9">
        <w:rPr>
          <w:rFonts w:asciiTheme="minorHAnsi" w:hAnsiTheme="minorHAnsi"/>
          <w:szCs w:val="20"/>
        </w:rPr>
        <w:t>other inter-</w:t>
      </w:r>
      <w:r w:rsidR="0070368F" w:rsidRPr="00D920C9">
        <w:rPr>
          <w:rFonts w:asciiTheme="minorHAnsi" w:hAnsiTheme="minorHAnsi"/>
        </w:rPr>
        <w:t>American instruments, including</w:t>
      </w:r>
      <w:r w:rsidR="00015DB4" w:rsidRPr="00D920C9">
        <w:rPr>
          <w:rFonts w:asciiTheme="minorHAnsi" w:hAnsiTheme="minorHAnsi"/>
        </w:rPr>
        <w:t xml:space="preserve"> </w:t>
      </w:r>
      <w:r w:rsidRPr="00D920C9">
        <w:rPr>
          <w:rFonts w:asciiTheme="minorHAnsi" w:hAnsiTheme="minorHAnsi"/>
        </w:rPr>
        <w:t xml:space="preserve">the American Convention on Human Rights, the Inter-American Convention against Racism, Racial Discrimination and </w:t>
      </w:r>
      <w:r w:rsidRPr="00D920C9">
        <w:rPr>
          <w:rFonts w:asciiTheme="minorHAnsi" w:hAnsiTheme="minorHAnsi"/>
        </w:rPr>
        <w:lastRenderedPageBreak/>
        <w:t xml:space="preserve">Related Forms of Intolerance, </w:t>
      </w:r>
      <w:r w:rsidR="00015DB4" w:rsidRPr="00D920C9">
        <w:rPr>
          <w:rFonts w:asciiTheme="minorHAnsi" w:hAnsiTheme="minorHAnsi"/>
        </w:rPr>
        <w:t xml:space="preserve">the Inter-American Convention on the Prevention, Punishment, and Eradication of Violence Against Women (“Convention of </w:t>
      </w:r>
      <w:proofErr w:type="spellStart"/>
      <w:r w:rsidRPr="00D920C9">
        <w:rPr>
          <w:rFonts w:asciiTheme="minorHAnsi" w:hAnsiTheme="minorHAnsi"/>
        </w:rPr>
        <w:t>Belém</w:t>
      </w:r>
      <w:proofErr w:type="spellEnd"/>
      <w:r w:rsidRPr="00D920C9">
        <w:rPr>
          <w:rFonts w:asciiTheme="minorHAnsi" w:hAnsiTheme="minorHAnsi"/>
        </w:rPr>
        <w:t xml:space="preserve"> do Para</w:t>
      </w:r>
      <w:r w:rsidR="00015DB4" w:rsidRPr="00D920C9">
        <w:rPr>
          <w:rFonts w:asciiTheme="minorHAnsi" w:hAnsiTheme="minorHAnsi"/>
        </w:rPr>
        <w:t>”)</w:t>
      </w:r>
      <w:r w:rsidRPr="00D920C9">
        <w:rPr>
          <w:rFonts w:asciiTheme="minorHAnsi" w:hAnsiTheme="minorHAnsi"/>
        </w:rPr>
        <w:t xml:space="preserve">, </w:t>
      </w:r>
      <w:r w:rsidR="00015DB4" w:rsidRPr="00D920C9">
        <w:rPr>
          <w:rFonts w:asciiTheme="minorHAnsi" w:hAnsiTheme="minorHAnsi"/>
        </w:rPr>
        <w:t>the Inter-American Convention on the Elimination of All Forms of Discrimination Against Persons with Disabilities, and the Inter-American Convention on Protecting the Human Rights of Older Persons</w:t>
      </w:r>
      <w:r w:rsidR="0070368F" w:rsidRPr="00D920C9">
        <w:rPr>
          <w:rFonts w:asciiTheme="minorHAnsi" w:hAnsiTheme="minorHAnsi"/>
        </w:rPr>
        <w:t>, among others</w:t>
      </w:r>
      <w:r w:rsidR="00015DB4" w:rsidRPr="00D920C9">
        <w:rPr>
          <w:rFonts w:asciiTheme="minorHAnsi" w:hAnsiTheme="minorHAnsi"/>
        </w:rPr>
        <w:t>.</w:t>
      </w:r>
    </w:p>
    <w:p w14:paraId="0E636CA5" w14:textId="12E1FEDA" w:rsidR="00015DB4" w:rsidRPr="00D920C9" w:rsidRDefault="00015DB4" w:rsidP="00E86698">
      <w:pPr>
        <w:pStyle w:val="ListParagraph"/>
        <w:numPr>
          <w:ilvl w:val="0"/>
          <w:numId w:val="9"/>
        </w:numPr>
        <w:spacing w:after="240" w:line="240" w:lineRule="auto"/>
        <w:ind w:left="547" w:hanging="547"/>
        <w:contextualSpacing w:val="0"/>
        <w:jc w:val="both"/>
        <w:rPr>
          <w:rFonts w:asciiTheme="minorHAnsi" w:hAnsiTheme="minorHAnsi"/>
        </w:rPr>
      </w:pPr>
      <w:r w:rsidRPr="00D920C9">
        <w:rPr>
          <w:rFonts w:asciiTheme="minorHAnsi" w:hAnsiTheme="minorHAnsi"/>
        </w:rPr>
        <w:t xml:space="preserve">Article 3.1 of the OAS Charter </w:t>
      </w:r>
      <w:r w:rsidR="002C4575" w:rsidRPr="00D920C9">
        <w:rPr>
          <w:rFonts w:asciiTheme="minorHAnsi" w:hAnsiTheme="minorHAnsi"/>
        </w:rPr>
        <w:t>reaffirms</w:t>
      </w:r>
      <w:r w:rsidRPr="00D920C9">
        <w:rPr>
          <w:rFonts w:asciiTheme="minorHAnsi" w:hAnsiTheme="minorHAnsi"/>
        </w:rPr>
        <w:t xml:space="preserve"> “the fundamental rights of the individual without distinction as to race, nationality, creed or sex.</w:t>
      </w:r>
      <w:r w:rsidR="00920904" w:rsidRPr="00D920C9">
        <w:rPr>
          <w:rFonts w:asciiTheme="minorHAnsi" w:hAnsiTheme="minorHAnsi"/>
        </w:rPr>
        <w:t>”</w:t>
      </w:r>
      <w:r w:rsidR="005C39DF" w:rsidRPr="00D920C9">
        <w:rPr>
          <w:rFonts w:asciiTheme="minorHAnsi" w:hAnsiTheme="minorHAnsi"/>
        </w:rPr>
        <w:t xml:space="preserve"> Likewise, </w:t>
      </w:r>
      <w:r w:rsidRPr="00D920C9">
        <w:rPr>
          <w:rFonts w:asciiTheme="minorHAnsi" w:hAnsiTheme="minorHAnsi"/>
        </w:rPr>
        <w:t xml:space="preserve">Article 9 of the Inter–American Democratic Charter establishes that: </w:t>
      </w:r>
    </w:p>
    <w:p w14:paraId="174BB914" w14:textId="77777777" w:rsidR="009F3240" w:rsidRPr="00D920C9" w:rsidRDefault="00015DB4" w:rsidP="00365773">
      <w:pPr>
        <w:pStyle w:val="ListParagraph"/>
        <w:spacing w:after="240" w:line="240" w:lineRule="auto"/>
        <w:ind w:left="1166" w:right="619"/>
        <w:contextualSpacing w:val="0"/>
        <w:jc w:val="both"/>
        <w:rPr>
          <w:rFonts w:asciiTheme="minorHAnsi" w:hAnsiTheme="minorHAnsi"/>
          <w:szCs w:val="18"/>
        </w:rPr>
      </w:pPr>
      <w:r w:rsidRPr="00D920C9">
        <w:rPr>
          <w:rFonts w:asciiTheme="minorHAnsi" w:hAnsiTheme="minorHAnsi"/>
          <w:szCs w:val="18"/>
        </w:rPr>
        <w:t>The elimination of all forms of discrimination, especially gender, ethnic and race discrimination, as well as diverse forms of intolerance, the promotion and protection of human rights of indigenous peoples and migrants, and respect for ethnic, cultural and religious diversity in the Americas contribute to strengthening democracy and citizen participation.</w:t>
      </w:r>
    </w:p>
    <w:p w14:paraId="4F080483" w14:textId="666DC81A" w:rsidR="005C39DF" w:rsidRPr="00D920C9" w:rsidRDefault="005C39DF" w:rsidP="00E86698">
      <w:pPr>
        <w:pStyle w:val="ListParagraph"/>
        <w:numPr>
          <w:ilvl w:val="0"/>
          <w:numId w:val="9"/>
        </w:numPr>
        <w:spacing w:after="240" w:line="240" w:lineRule="auto"/>
        <w:ind w:left="547" w:hanging="547"/>
        <w:contextualSpacing w:val="0"/>
        <w:jc w:val="both"/>
        <w:rPr>
          <w:rFonts w:asciiTheme="minorHAnsi" w:eastAsia="Times New Roman" w:hAnsiTheme="minorHAnsi"/>
          <w:szCs w:val="20"/>
        </w:rPr>
      </w:pPr>
      <w:r w:rsidRPr="00D920C9">
        <w:rPr>
          <w:rFonts w:asciiTheme="minorHAnsi" w:hAnsiTheme="minorHAnsi"/>
          <w:szCs w:val="20"/>
        </w:rPr>
        <w:t xml:space="preserve">Article 1 of the </w:t>
      </w:r>
      <w:r w:rsidRPr="00D920C9">
        <w:rPr>
          <w:rFonts w:asciiTheme="minorHAnsi" w:hAnsiTheme="minorHAnsi"/>
        </w:rPr>
        <w:t>International</w:t>
      </w:r>
      <w:r w:rsidRPr="00D920C9">
        <w:rPr>
          <w:rFonts w:asciiTheme="minorHAnsi" w:hAnsiTheme="minorHAnsi"/>
          <w:szCs w:val="20"/>
        </w:rPr>
        <w:t xml:space="preserve"> Convention on the Elimination of All Forms of Racial Discrimination</w:t>
      </w:r>
      <w:r w:rsidR="00F801A3" w:rsidRPr="00D920C9">
        <w:rPr>
          <w:rFonts w:asciiTheme="minorHAnsi" w:hAnsiTheme="minorHAnsi"/>
          <w:szCs w:val="20"/>
        </w:rPr>
        <w:t xml:space="preserve"> (ICERD)</w:t>
      </w:r>
      <w:r w:rsidRPr="00D920C9">
        <w:rPr>
          <w:rFonts w:asciiTheme="minorHAnsi" w:hAnsiTheme="minorHAnsi"/>
          <w:szCs w:val="20"/>
        </w:rPr>
        <w:t>, to which the United States is Party, defines discrimination as</w:t>
      </w:r>
      <w:r w:rsidR="0004388D">
        <w:rPr>
          <w:rFonts w:asciiTheme="minorHAnsi" w:hAnsiTheme="minorHAnsi"/>
          <w:szCs w:val="20"/>
        </w:rPr>
        <w:t>:</w:t>
      </w:r>
      <w:r w:rsidRPr="00D920C9">
        <w:rPr>
          <w:rFonts w:asciiTheme="minorHAnsi" w:hAnsiTheme="minorHAnsi"/>
          <w:szCs w:val="20"/>
        </w:rPr>
        <w:t xml:space="preserve"> </w:t>
      </w:r>
    </w:p>
    <w:p w14:paraId="01A2040A" w14:textId="77777777" w:rsidR="005C39DF" w:rsidRPr="00D920C9" w:rsidRDefault="005C39DF" w:rsidP="00365773">
      <w:pPr>
        <w:pStyle w:val="ListParagraph"/>
        <w:spacing w:after="240" w:line="240" w:lineRule="auto"/>
        <w:ind w:left="1166" w:right="619"/>
        <w:contextualSpacing w:val="0"/>
        <w:jc w:val="both"/>
        <w:rPr>
          <w:rFonts w:asciiTheme="minorHAnsi" w:hAnsiTheme="minorHAnsi"/>
          <w:szCs w:val="18"/>
        </w:rPr>
      </w:pPr>
      <w:r w:rsidRPr="00D920C9">
        <w:rPr>
          <w:rFonts w:asciiTheme="minorHAnsi" w:hAnsiTheme="minorHAnsi"/>
          <w:szCs w:val="18"/>
        </w:rPr>
        <w:t>any distinction, exclusion, restriction or preference based on race, color, descent, or national or ethnic origin which has the purpose or effect of nullifying or impairing the recognition, enjoyment or exercise, on an equal footing, of human rights and fundamental freedoms in the political, economic, social, cultural or any other field of public life.</w:t>
      </w:r>
      <w:r w:rsidRPr="00D920C9">
        <w:rPr>
          <w:rFonts w:asciiTheme="minorHAnsi" w:hAnsiTheme="minorHAnsi"/>
          <w:szCs w:val="18"/>
          <w:vertAlign w:val="superscript"/>
        </w:rPr>
        <w:footnoteReference w:id="422"/>
      </w:r>
    </w:p>
    <w:p w14:paraId="6A73802C" w14:textId="77777777" w:rsidR="00954BCF" w:rsidRPr="00D920C9" w:rsidRDefault="00954BCF" w:rsidP="00E86698">
      <w:pPr>
        <w:pStyle w:val="ListParagraph"/>
        <w:numPr>
          <w:ilvl w:val="0"/>
          <w:numId w:val="9"/>
        </w:numPr>
        <w:spacing w:after="240" w:line="240" w:lineRule="auto"/>
        <w:ind w:left="547" w:hanging="547"/>
        <w:contextualSpacing w:val="0"/>
        <w:jc w:val="both"/>
        <w:rPr>
          <w:rFonts w:asciiTheme="minorHAnsi" w:eastAsia="Times New Roman" w:hAnsiTheme="minorHAnsi"/>
          <w:szCs w:val="20"/>
        </w:rPr>
      </w:pPr>
      <w:r w:rsidRPr="00D920C9">
        <w:rPr>
          <w:rFonts w:asciiTheme="minorHAnsi" w:hAnsiTheme="minorHAnsi"/>
          <w:szCs w:val="20"/>
        </w:rPr>
        <w:t xml:space="preserve">Article 2.2 of the UNESCO </w:t>
      </w:r>
      <w:r w:rsidRPr="00D920C9">
        <w:rPr>
          <w:rFonts w:asciiTheme="minorHAnsi" w:hAnsiTheme="minorHAnsi"/>
        </w:rPr>
        <w:t>Declaration</w:t>
      </w:r>
      <w:r w:rsidRPr="00D920C9">
        <w:rPr>
          <w:rFonts w:asciiTheme="minorHAnsi" w:hAnsiTheme="minorHAnsi"/>
          <w:szCs w:val="20"/>
        </w:rPr>
        <w:t xml:space="preserve"> on Race and Racial Prejudice establishes that: </w:t>
      </w:r>
    </w:p>
    <w:p w14:paraId="6C090BF9" w14:textId="77777777" w:rsidR="00B4412C" w:rsidRPr="00D920C9" w:rsidRDefault="00954BCF" w:rsidP="00C91E4F">
      <w:pPr>
        <w:autoSpaceDE w:val="0"/>
        <w:autoSpaceDN w:val="0"/>
        <w:adjustRightInd w:val="0"/>
        <w:spacing w:after="240" w:line="240" w:lineRule="auto"/>
        <w:ind w:left="1166" w:right="619"/>
        <w:jc w:val="both"/>
        <w:rPr>
          <w:rFonts w:asciiTheme="minorHAnsi" w:hAnsiTheme="minorHAnsi"/>
          <w:szCs w:val="18"/>
        </w:rPr>
      </w:pPr>
      <w:r w:rsidRPr="00D920C9">
        <w:rPr>
          <w:rFonts w:asciiTheme="minorHAnsi" w:hAnsiTheme="minorHAnsi"/>
          <w:szCs w:val="18"/>
        </w:rPr>
        <w:t>[r]</w:t>
      </w:r>
      <w:proofErr w:type="spellStart"/>
      <w:r w:rsidRPr="00D920C9">
        <w:rPr>
          <w:rFonts w:asciiTheme="minorHAnsi" w:hAnsiTheme="minorHAnsi"/>
          <w:szCs w:val="18"/>
        </w:rPr>
        <w:t>acism</w:t>
      </w:r>
      <w:proofErr w:type="spellEnd"/>
      <w:r w:rsidRPr="00D920C9">
        <w:rPr>
          <w:rFonts w:asciiTheme="minorHAnsi" w:hAnsiTheme="minorHAnsi"/>
          <w:szCs w:val="18"/>
        </w:rPr>
        <w:t xml:space="preserve"> includes racist ideologies, prejudiced attitudes, discriminatory behavior, structural arrangements and institutionalized practices resulting in racial inequality as well as the fallacious notion that discriminatory relations between groups are morally and scientifically justifiable; it is reflected in discriminatory provisions in legislation or regulations and </w:t>
      </w:r>
      <w:r w:rsidRPr="00D920C9">
        <w:rPr>
          <w:rFonts w:asciiTheme="minorHAnsi" w:hAnsiTheme="minorHAnsi"/>
          <w:szCs w:val="18"/>
        </w:rPr>
        <w:lastRenderedPageBreak/>
        <w:t>discriminatory practices as well as in anti-social beliefs and acts; it hinders the development of its victims, perverts those who practice it, divides nations internally, impedes international co-operation and gives rise to political tensions between peoples; it is contrary to the fundamental principles of international law and, consequently, seriously disturbs international peace and security.</w:t>
      </w:r>
    </w:p>
    <w:p w14:paraId="321D3031" w14:textId="77777777" w:rsidR="00DF3CCA" w:rsidRPr="00D920C9" w:rsidRDefault="00B4412C" w:rsidP="00E86698">
      <w:pPr>
        <w:pStyle w:val="ListParagraph"/>
        <w:numPr>
          <w:ilvl w:val="0"/>
          <w:numId w:val="9"/>
        </w:numPr>
        <w:spacing w:after="240" w:line="240" w:lineRule="auto"/>
        <w:ind w:left="547" w:hanging="547"/>
        <w:contextualSpacing w:val="0"/>
        <w:jc w:val="both"/>
        <w:rPr>
          <w:rFonts w:asciiTheme="minorHAnsi" w:eastAsia="Times New Roman" w:hAnsiTheme="minorHAnsi"/>
          <w:szCs w:val="20"/>
        </w:rPr>
      </w:pPr>
      <w:r w:rsidRPr="00D920C9">
        <w:rPr>
          <w:rFonts w:asciiTheme="minorHAnsi" w:hAnsiTheme="minorHAnsi"/>
          <w:szCs w:val="20"/>
        </w:rPr>
        <w:t xml:space="preserve"> </w:t>
      </w:r>
      <w:bookmarkStart w:id="162" w:name="_Ref507675636"/>
      <w:r w:rsidR="00ED5CD3" w:rsidRPr="00D920C9">
        <w:rPr>
          <w:rFonts w:asciiTheme="minorHAnsi" w:eastAsia="Times New Roman" w:hAnsiTheme="minorHAnsi"/>
          <w:szCs w:val="20"/>
        </w:rPr>
        <w:t>In light of the fundamental nature of these rights and their extensive consolidation in law</w:t>
      </w:r>
      <w:r w:rsidR="005C39DF" w:rsidRPr="00D920C9">
        <w:rPr>
          <w:rFonts w:asciiTheme="minorHAnsi" w:eastAsia="Times New Roman" w:hAnsiTheme="minorHAnsi"/>
          <w:szCs w:val="20"/>
        </w:rPr>
        <w:t xml:space="preserve">, the Inter-American Court has considered that the principles of equality before the law, equal protection of the law, and non‐discrimination constitute </w:t>
      </w:r>
      <w:r w:rsidR="005C39DF" w:rsidRPr="00D920C9">
        <w:rPr>
          <w:rFonts w:asciiTheme="minorHAnsi" w:eastAsia="Times New Roman" w:hAnsiTheme="minorHAnsi"/>
          <w:i/>
          <w:szCs w:val="20"/>
        </w:rPr>
        <w:t xml:space="preserve">jus </w:t>
      </w:r>
      <w:proofErr w:type="spellStart"/>
      <w:r w:rsidR="005C39DF" w:rsidRPr="00D920C9">
        <w:rPr>
          <w:rFonts w:asciiTheme="minorHAnsi" w:eastAsia="Times New Roman" w:hAnsiTheme="minorHAnsi"/>
          <w:i/>
          <w:szCs w:val="20"/>
        </w:rPr>
        <w:t>cogens</w:t>
      </w:r>
      <w:proofErr w:type="spellEnd"/>
      <w:r w:rsidR="005C39DF" w:rsidRPr="00D920C9">
        <w:rPr>
          <w:rFonts w:asciiTheme="minorHAnsi" w:eastAsia="Times New Roman" w:hAnsiTheme="minorHAnsi"/>
          <w:szCs w:val="20"/>
        </w:rPr>
        <w:t xml:space="preserve"> norms:</w:t>
      </w:r>
      <w:bookmarkEnd w:id="162"/>
    </w:p>
    <w:p w14:paraId="24CE8E76" w14:textId="77777777" w:rsidR="005C39DF" w:rsidRPr="00D920C9" w:rsidRDefault="005C39DF" w:rsidP="00365773">
      <w:pPr>
        <w:pStyle w:val="ListParagraph"/>
        <w:spacing w:after="240" w:line="240" w:lineRule="auto"/>
        <w:ind w:left="1166" w:right="619"/>
        <w:contextualSpacing w:val="0"/>
        <w:jc w:val="both"/>
        <w:rPr>
          <w:rFonts w:asciiTheme="minorHAnsi" w:hAnsiTheme="minorHAnsi"/>
          <w:szCs w:val="18"/>
        </w:rPr>
      </w:pPr>
      <w:r w:rsidRPr="00D920C9">
        <w:rPr>
          <w:rFonts w:asciiTheme="minorHAnsi" w:hAnsiTheme="minorHAnsi"/>
          <w:szCs w:val="18"/>
        </w:rPr>
        <w:t xml:space="preserve">because the whole legal structure of national and international public order rests on it [...] Nowadays, no legal act that is in conflict with this fundamental principle is acceptable, and discriminatory treatment of any person, owing to gender, race, color, language, religion or belief, political or other opinion, national, ethnic or social origin, nationality, age, economic situation, property, civil status, birth or any other status is unacceptable. This principle (equality and non‐discrimination) forms part of general international law. At the existing stage of the development of international law, the fundamental principle of equality and non‐discrimination has entered the realm of jus </w:t>
      </w:r>
      <w:proofErr w:type="spellStart"/>
      <w:r w:rsidRPr="00D920C9">
        <w:rPr>
          <w:rFonts w:asciiTheme="minorHAnsi" w:hAnsiTheme="minorHAnsi"/>
          <w:szCs w:val="18"/>
        </w:rPr>
        <w:t>cogens</w:t>
      </w:r>
      <w:proofErr w:type="spellEnd"/>
      <w:r w:rsidRPr="00D920C9">
        <w:rPr>
          <w:rFonts w:asciiTheme="minorHAnsi" w:hAnsiTheme="minorHAnsi"/>
          <w:szCs w:val="18"/>
        </w:rPr>
        <w:t>.</w:t>
      </w:r>
      <w:r w:rsidRPr="00D920C9">
        <w:rPr>
          <w:rFonts w:asciiTheme="minorHAnsi" w:hAnsiTheme="minorHAnsi"/>
          <w:vertAlign w:val="superscript"/>
        </w:rPr>
        <w:footnoteReference w:id="423"/>
      </w:r>
    </w:p>
    <w:p w14:paraId="5059A6A1" w14:textId="274BEBD5" w:rsidR="00D0153A" w:rsidRPr="00D920C9" w:rsidRDefault="00A60699" w:rsidP="00E86698">
      <w:pPr>
        <w:pStyle w:val="ListParagraph"/>
        <w:numPr>
          <w:ilvl w:val="0"/>
          <w:numId w:val="9"/>
        </w:numPr>
        <w:spacing w:after="240" w:line="240" w:lineRule="auto"/>
        <w:ind w:left="547" w:hanging="547"/>
        <w:contextualSpacing w:val="0"/>
        <w:jc w:val="both"/>
        <w:rPr>
          <w:rFonts w:asciiTheme="minorHAnsi" w:hAnsiTheme="minorHAnsi"/>
        </w:rPr>
      </w:pPr>
      <w:r w:rsidRPr="00D920C9">
        <w:rPr>
          <w:rFonts w:asciiTheme="minorHAnsi" w:hAnsiTheme="minorHAnsi"/>
          <w:szCs w:val="20"/>
        </w:rPr>
        <w:t xml:space="preserve">The Commission </w:t>
      </w:r>
      <w:r w:rsidR="003444DA" w:rsidRPr="00D920C9">
        <w:rPr>
          <w:rFonts w:asciiTheme="minorHAnsi" w:hAnsiTheme="minorHAnsi"/>
          <w:szCs w:val="20"/>
        </w:rPr>
        <w:t xml:space="preserve">considers </w:t>
      </w:r>
      <w:r w:rsidRPr="00D920C9">
        <w:rPr>
          <w:rFonts w:asciiTheme="minorHAnsi" w:hAnsiTheme="minorHAnsi"/>
          <w:szCs w:val="20"/>
        </w:rPr>
        <w:t>there are</w:t>
      </w:r>
      <w:r w:rsidR="002C4575" w:rsidRPr="00D920C9">
        <w:rPr>
          <w:rFonts w:asciiTheme="minorHAnsi" w:hAnsiTheme="minorHAnsi"/>
          <w:szCs w:val="20"/>
        </w:rPr>
        <w:t xml:space="preserve"> complementary ways of understanding the obligations that the right</w:t>
      </w:r>
      <w:r w:rsidR="002C524C" w:rsidRPr="00D920C9">
        <w:rPr>
          <w:rFonts w:asciiTheme="minorHAnsi" w:hAnsiTheme="minorHAnsi"/>
          <w:szCs w:val="20"/>
        </w:rPr>
        <w:t>s</w:t>
      </w:r>
      <w:r w:rsidR="002C4575" w:rsidRPr="00D920C9">
        <w:rPr>
          <w:rFonts w:asciiTheme="minorHAnsi" w:hAnsiTheme="minorHAnsi"/>
          <w:szCs w:val="20"/>
        </w:rPr>
        <w:t xml:space="preserve"> to equality and non-discrimination</w:t>
      </w:r>
      <w:r w:rsidR="002C524C" w:rsidRPr="00D920C9">
        <w:rPr>
          <w:rFonts w:asciiTheme="minorHAnsi" w:hAnsiTheme="minorHAnsi"/>
          <w:szCs w:val="20"/>
        </w:rPr>
        <w:t xml:space="preserve"> entail</w:t>
      </w:r>
      <w:r w:rsidR="00E10C66" w:rsidRPr="00D920C9">
        <w:rPr>
          <w:rFonts w:asciiTheme="minorHAnsi" w:hAnsiTheme="minorHAnsi"/>
          <w:szCs w:val="20"/>
        </w:rPr>
        <w:t xml:space="preserve"> for States</w:t>
      </w:r>
      <w:r w:rsidR="0025402C" w:rsidRPr="00D920C9">
        <w:rPr>
          <w:rFonts w:asciiTheme="minorHAnsi" w:hAnsiTheme="minorHAnsi"/>
          <w:szCs w:val="20"/>
        </w:rPr>
        <w:t>.</w:t>
      </w:r>
      <w:r w:rsidRPr="00D920C9">
        <w:rPr>
          <w:rStyle w:val="FootnoteReference"/>
          <w:rFonts w:asciiTheme="minorHAnsi" w:hAnsiTheme="minorHAnsi"/>
          <w:szCs w:val="20"/>
        </w:rPr>
        <w:footnoteReference w:id="424"/>
      </w:r>
      <w:r w:rsidRPr="00D920C9">
        <w:rPr>
          <w:rFonts w:asciiTheme="minorHAnsi" w:hAnsiTheme="minorHAnsi"/>
          <w:szCs w:val="20"/>
        </w:rPr>
        <w:t xml:space="preserve"> </w:t>
      </w:r>
      <w:r w:rsidR="003444DA" w:rsidRPr="00D920C9">
        <w:rPr>
          <w:rFonts w:asciiTheme="minorHAnsi" w:hAnsiTheme="minorHAnsi"/>
          <w:szCs w:val="20"/>
        </w:rPr>
        <w:t xml:space="preserve"> States are obligated to prohibit arbitrary treatment</w:t>
      </w:r>
      <w:r w:rsidR="00432CEC" w:rsidRPr="00D920C9">
        <w:rPr>
          <w:rFonts w:asciiTheme="minorHAnsi" w:hAnsiTheme="minorHAnsi"/>
          <w:szCs w:val="20"/>
        </w:rPr>
        <w:t>—</w:t>
      </w:r>
      <w:r w:rsidR="00432CEC" w:rsidRPr="00D920C9">
        <w:rPr>
          <w:rFonts w:asciiTheme="minorHAnsi" w:hAnsiTheme="minorHAnsi"/>
        </w:rPr>
        <w:t xml:space="preserve">including </w:t>
      </w:r>
      <w:r w:rsidR="003444DA" w:rsidRPr="00D920C9">
        <w:rPr>
          <w:rFonts w:asciiTheme="minorHAnsi" w:hAnsiTheme="minorHAnsi"/>
        </w:rPr>
        <w:t>distinction, exclusion, restriction, or preference</w:t>
      </w:r>
      <w:r w:rsidR="00432CEC" w:rsidRPr="00D920C9">
        <w:rPr>
          <w:rFonts w:asciiTheme="minorHAnsi" w:hAnsiTheme="minorHAnsi"/>
        </w:rPr>
        <w:t>—</w:t>
      </w:r>
      <w:r w:rsidR="003444DA" w:rsidRPr="00D920C9">
        <w:rPr>
          <w:rFonts w:asciiTheme="minorHAnsi" w:hAnsiTheme="minorHAnsi"/>
        </w:rPr>
        <w:t xml:space="preserve">and must also ensure </w:t>
      </w:r>
      <w:r w:rsidRPr="00D920C9">
        <w:rPr>
          <w:rFonts w:asciiTheme="minorHAnsi" w:hAnsiTheme="minorHAnsi"/>
        </w:rPr>
        <w:t>conditions of true equality for groups that have historically</w:t>
      </w:r>
      <w:r w:rsidR="003444DA" w:rsidRPr="00D920C9">
        <w:rPr>
          <w:rFonts w:asciiTheme="minorHAnsi" w:hAnsiTheme="minorHAnsi"/>
        </w:rPr>
        <w:t xml:space="preserve"> suffered marginalization and discrimination.</w:t>
      </w:r>
      <w:r w:rsidRPr="00D920C9">
        <w:rPr>
          <w:rFonts w:asciiTheme="minorHAnsi" w:hAnsiTheme="minorHAnsi"/>
          <w:vertAlign w:val="superscript"/>
        </w:rPr>
        <w:footnoteReference w:id="425"/>
      </w:r>
      <w:r w:rsidR="00947EAE" w:rsidRPr="00D920C9">
        <w:rPr>
          <w:rFonts w:asciiTheme="minorHAnsi" w:hAnsiTheme="minorHAnsi"/>
        </w:rPr>
        <w:t xml:space="preserve"> </w:t>
      </w:r>
      <w:r w:rsidR="00445121" w:rsidRPr="00D920C9">
        <w:rPr>
          <w:rFonts w:asciiTheme="minorHAnsi" w:hAnsiTheme="minorHAnsi"/>
        </w:rPr>
        <w:t xml:space="preserve"> States have the obligation to adopt the measures necessary to recognize and guarantee the effective equality of all persons before the law; to abstain from introducing in their legal framework regulations that are discriminatory towards certain groups either on their face or in practice; and to combat discriminatory practices.</w:t>
      </w:r>
      <w:r w:rsidR="00445121" w:rsidRPr="00D920C9">
        <w:rPr>
          <w:rFonts w:asciiTheme="minorHAnsi" w:hAnsiTheme="minorHAnsi"/>
          <w:vertAlign w:val="superscript"/>
        </w:rPr>
        <w:footnoteReference w:id="426"/>
      </w:r>
      <w:r w:rsidR="00445121" w:rsidRPr="00D920C9">
        <w:rPr>
          <w:rFonts w:asciiTheme="minorHAnsi" w:hAnsiTheme="minorHAnsi"/>
        </w:rPr>
        <w:t xml:space="preserve"> </w:t>
      </w:r>
    </w:p>
    <w:p w14:paraId="1A5A4FE6" w14:textId="77777777" w:rsidR="00641F9C" w:rsidRPr="00D920C9" w:rsidRDefault="00445121" w:rsidP="00E86698">
      <w:pPr>
        <w:pStyle w:val="ListParagraph"/>
        <w:numPr>
          <w:ilvl w:val="0"/>
          <w:numId w:val="9"/>
        </w:numPr>
        <w:spacing w:after="240" w:line="240" w:lineRule="auto"/>
        <w:ind w:left="547" w:hanging="547"/>
        <w:contextualSpacing w:val="0"/>
        <w:jc w:val="both"/>
        <w:rPr>
          <w:rFonts w:asciiTheme="minorHAnsi" w:eastAsia="Times New Roman" w:hAnsiTheme="minorHAnsi"/>
          <w:szCs w:val="20"/>
        </w:rPr>
      </w:pPr>
      <w:r w:rsidRPr="00D920C9">
        <w:rPr>
          <w:rFonts w:asciiTheme="minorHAnsi" w:hAnsiTheme="minorHAnsi"/>
        </w:rPr>
        <w:lastRenderedPageBreak/>
        <w:t>In this regard, a State’s breach of the right to equal protection of the law does not need to be intentional.</w:t>
      </w:r>
      <w:r w:rsidRPr="00D920C9">
        <w:rPr>
          <w:rFonts w:asciiTheme="minorHAnsi" w:hAnsiTheme="minorHAnsi"/>
          <w:vertAlign w:val="superscript"/>
        </w:rPr>
        <w:footnoteReference w:id="427"/>
      </w:r>
      <w:r w:rsidRPr="00D920C9">
        <w:rPr>
          <w:rFonts w:asciiTheme="minorHAnsi" w:hAnsiTheme="minorHAnsi"/>
        </w:rPr>
        <w:t xml:space="preserve"> The Commission has underscored that laws and policies should be examined to ensure that they comply with the principles</w:t>
      </w:r>
      <w:r w:rsidRPr="00D920C9">
        <w:rPr>
          <w:rFonts w:asciiTheme="minorHAnsi" w:hAnsiTheme="minorHAnsi"/>
          <w:szCs w:val="20"/>
        </w:rPr>
        <w:t xml:space="preserve"> of equality and non-discrimination; this analysis should assess their potential discriminatory </w:t>
      </w:r>
      <w:r w:rsidR="00641F9C" w:rsidRPr="00D920C9">
        <w:rPr>
          <w:rFonts w:asciiTheme="minorHAnsi" w:hAnsiTheme="minorHAnsi"/>
          <w:szCs w:val="20"/>
        </w:rPr>
        <w:t>effect</w:t>
      </w:r>
      <w:r w:rsidRPr="00D920C9">
        <w:rPr>
          <w:rFonts w:asciiTheme="minorHAnsi" w:hAnsiTheme="minorHAnsi"/>
          <w:szCs w:val="20"/>
        </w:rPr>
        <w:t>, even when their formulation or wording appears neutral, or they apply without textual distinctions.</w:t>
      </w:r>
      <w:r w:rsidRPr="00D920C9">
        <w:rPr>
          <w:rStyle w:val="FootnoteReference"/>
          <w:rFonts w:asciiTheme="minorHAnsi" w:hAnsiTheme="minorHAnsi"/>
          <w:color w:val="000000"/>
          <w:szCs w:val="20"/>
        </w:rPr>
        <w:footnoteReference w:id="428"/>
      </w:r>
      <w:r w:rsidRPr="00D920C9">
        <w:rPr>
          <w:rFonts w:asciiTheme="minorHAnsi" w:eastAsia="Times New Roman" w:hAnsiTheme="minorHAnsi"/>
          <w:szCs w:val="20"/>
        </w:rPr>
        <w:t xml:space="preserve"> </w:t>
      </w:r>
    </w:p>
    <w:p w14:paraId="15B7E321" w14:textId="3F352236" w:rsidR="003444DA" w:rsidRPr="00D920C9" w:rsidRDefault="00641F9C" w:rsidP="00E86698">
      <w:pPr>
        <w:pStyle w:val="ListParagraph"/>
        <w:numPr>
          <w:ilvl w:val="0"/>
          <w:numId w:val="9"/>
        </w:numPr>
        <w:spacing w:after="240" w:line="240" w:lineRule="auto"/>
        <w:ind w:left="547" w:hanging="547"/>
        <w:contextualSpacing w:val="0"/>
        <w:jc w:val="both"/>
        <w:rPr>
          <w:rFonts w:asciiTheme="minorHAnsi" w:eastAsia="Times New Roman" w:hAnsiTheme="minorHAnsi"/>
          <w:szCs w:val="20"/>
        </w:rPr>
      </w:pPr>
      <w:r w:rsidRPr="00D920C9">
        <w:rPr>
          <w:rFonts w:asciiTheme="minorHAnsi" w:eastAsia="Times New Roman" w:hAnsiTheme="minorHAnsi"/>
          <w:bCs/>
        </w:rPr>
        <w:t xml:space="preserve">The Commission has previously recognized that while Article II does not prohibit all distinctions in treatment </w:t>
      </w:r>
      <w:r w:rsidRPr="00D920C9">
        <w:rPr>
          <w:rFonts w:asciiTheme="minorHAnsi" w:hAnsiTheme="minorHAnsi"/>
        </w:rPr>
        <w:t>in</w:t>
      </w:r>
      <w:r w:rsidRPr="00D920C9">
        <w:rPr>
          <w:rFonts w:asciiTheme="minorHAnsi" w:eastAsia="Times New Roman" w:hAnsiTheme="minorHAnsi"/>
          <w:bCs/>
        </w:rPr>
        <w:t xml:space="preserve"> the enjoyment of protected rights and freedoms, it does require that any permissible distinctions be based upon objective and reasonable justification, that they further a legitimate objective, “regard being had to the principles which normally prevail in democratic societies, and that the means are reasonable and proportionate to the end sought.”</w:t>
      </w:r>
      <w:r w:rsidRPr="00D920C9">
        <w:rPr>
          <w:rStyle w:val="FootnoteReference"/>
          <w:rFonts w:asciiTheme="minorHAnsi" w:eastAsia="Times New Roman" w:hAnsiTheme="minorHAnsi"/>
          <w:bCs/>
        </w:rPr>
        <w:footnoteReference w:id="429"/>
      </w:r>
      <w:r w:rsidRPr="00D920C9">
        <w:rPr>
          <w:rFonts w:asciiTheme="minorHAnsi" w:eastAsia="Times New Roman" w:hAnsiTheme="minorHAnsi"/>
          <w:bCs/>
        </w:rPr>
        <w:t xml:space="preserve"> The Commission also takes into account evolving standards in the area of discrimination, and considers that what has been expressed by the Human Rights Committee under the ICCPR is equally applicable in the inter-American system</w:t>
      </w:r>
      <w:r w:rsidR="004007E0" w:rsidRPr="00D920C9">
        <w:rPr>
          <w:rFonts w:asciiTheme="minorHAnsi" w:eastAsia="Times New Roman" w:hAnsiTheme="minorHAnsi"/>
          <w:bCs/>
        </w:rPr>
        <w:t>:</w:t>
      </w:r>
    </w:p>
    <w:p w14:paraId="4A9121C9" w14:textId="0FE7EEF4" w:rsidR="00641F9C" w:rsidRPr="00D920C9" w:rsidRDefault="00E10C66" w:rsidP="00777FAE">
      <w:pPr>
        <w:tabs>
          <w:tab w:val="left" w:pos="90"/>
        </w:tabs>
        <w:spacing w:after="240" w:line="240" w:lineRule="auto"/>
        <w:ind w:left="1170" w:right="630"/>
        <w:jc w:val="both"/>
        <w:rPr>
          <w:rFonts w:asciiTheme="minorHAnsi" w:eastAsia="Times New Roman" w:hAnsiTheme="minorHAnsi"/>
        </w:rPr>
      </w:pPr>
      <w:r w:rsidRPr="00D920C9">
        <w:rPr>
          <w:rFonts w:asciiTheme="minorHAnsi" w:eastAsia="Times New Roman" w:hAnsiTheme="minorHAnsi"/>
          <w:bCs/>
        </w:rPr>
        <w:t>[T]</w:t>
      </w:r>
      <w:r w:rsidR="00641F9C" w:rsidRPr="00D920C9">
        <w:rPr>
          <w:rFonts w:asciiTheme="minorHAnsi" w:eastAsia="Times New Roman" w:hAnsiTheme="minorHAnsi"/>
          <w:bCs/>
        </w:rPr>
        <w:t>he term “discrimination” as used in the Covenant should be understood to imply any distinction, exclusion, restriction, or preference which is based on any ground such as race, color, sex, language, religion, political or other opinion, national or social origin, property, birth or other status, and which has the purpose or effect of nullifying or impairing the recognition, enjoyment or exercise by all persons, on an equal footing, of all rights and freedoms.</w:t>
      </w:r>
      <w:r w:rsidR="00641F9C" w:rsidRPr="00D920C9">
        <w:rPr>
          <w:rStyle w:val="FootnoteReference"/>
          <w:rFonts w:asciiTheme="minorHAnsi" w:eastAsia="Times New Roman" w:hAnsiTheme="minorHAnsi"/>
          <w:bCs/>
        </w:rPr>
        <w:footnoteReference w:id="430"/>
      </w:r>
      <w:r w:rsidR="00641F9C" w:rsidRPr="00D920C9">
        <w:rPr>
          <w:rFonts w:asciiTheme="minorHAnsi" w:eastAsia="Times New Roman" w:hAnsiTheme="minorHAnsi"/>
          <w:bCs/>
        </w:rPr>
        <w:t xml:space="preserve"> </w:t>
      </w:r>
    </w:p>
    <w:p w14:paraId="3CC9E9B8" w14:textId="77777777" w:rsidR="00100386" w:rsidRPr="00D920C9" w:rsidRDefault="00641F9C" w:rsidP="00E86698">
      <w:pPr>
        <w:pStyle w:val="ListParagraph"/>
        <w:numPr>
          <w:ilvl w:val="0"/>
          <w:numId w:val="9"/>
        </w:numPr>
        <w:spacing w:after="240" w:line="240" w:lineRule="auto"/>
        <w:ind w:left="547" w:hanging="547"/>
        <w:contextualSpacing w:val="0"/>
        <w:jc w:val="both"/>
        <w:rPr>
          <w:rFonts w:asciiTheme="minorHAnsi" w:hAnsiTheme="minorHAnsi"/>
        </w:rPr>
      </w:pPr>
      <w:r w:rsidRPr="00D920C9">
        <w:rPr>
          <w:rFonts w:asciiTheme="minorHAnsi" w:eastAsia="Times New Roman" w:hAnsiTheme="minorHAnsi"/>
          <w:szCs w:val="20"/>
        </w:rPr>
        <w:t>Based on the</w:t>
      </w:r>
      <w:r w:rsidR="004007E0" w:rsidRPr="00D920C9">
        <w:rPr>
          <w:rFonts w:asciiTheme="minorHAnsi" w:eastAsia="Times New Roman" w:hAnsiTheme="minorHAnsi"/>
          <w:szCs w:val="20"/>
        </w:rPr>
        <w:t>se</w:t>
      </w:r>
      <w:r w:rsidRPr="00D920C9">
        <w:rPr>
          <w:rFonts w:asciiTheme="minorHAnsi" w:eastAsia="Times New Roman" w:hAnsiTheme="minorHAnsi"/>
          <w:szCs w:val="20"/>
        </w:rPr>
        <w:t xml:space="preserve"> principles, a</w:t>
      </w:r>
      <w:r w:rsidR="002C524C" w:rsidRPr="00D920C9">
        <w:rPr>
          <w:rFonts w:asciiTheme="minorHAnsi" w:eastAsia="Times New Roman" w:hAnsiTheme="minorHAnsi"/>
          <w:szCs w:val="20"/>
        </w:rPr>
        <w:t xml:space="preserve">rbitrary treatment and distinctions on the basis of race are prohibited under </w:t>
      </w:r>
      <w:r w:rsidRPr="00D920C9">
        <w:rPr>
          <w:rFonts w:asciiTheme="minorHAnsi" w:eastAsia="Times New Roman" w:hAnsiTheme="minorHAnsi"/>
          <w:szCs w:val="20"/>
        </w:rPr>
        <w:t>international human rights</w:t>
      </w:r>
      <w:r w:rsidR="002C524C" w:rsidRPr="00D920C9">
        <w:rPr>
          <w:rFonts w:asciiTheme="minorHAnsi" w:eastAsia="Times New Roman" w:hAnsiTheme="minorHAnsi"/>
          <w:szCs w:val="20"/>
        </w:rPr>
        <w:t xml:space="preserve"> law</w:t>
      </w:r>
      <w:r w:rsidRPr="00D920C9">
        <w:rPr>
          <w:rFonts w:asciiTheme="minorHAnsi" w:eastAsia="Times New Roman" w:hAnsiTheme="minorHAnsi"/>
          <w:szCs w:val="20"/>
        </w:rPr>
        <w:t>, and should be prevented</w:t>
      </w:r>
      <w:r w:rsidR="002C524C" w:rsidRPr="00D920C9">
        <w:rPr>
          <w:rFonts w:asciiTheme="minorHAnsi" w:eastAsia="Times New Roman" w:hAnsiTheme="minorHAnsi"/>
          <w:szCs w:val="20"/>
        </w:rPr>
        <w:t xml:space="preserve">. </w:t>
      </w:r>
      <w:r w:rsidRPr="00D920C9">
        <w:rPr>
          <w:rFonts w:asciiTheme="minorHAnsi" w:hAnsiTheme="minorHAnsi"/>
          <w:szCs w:val="20"/>
        </w:rPr>
        <w:t>R</w:t>
      </w:r>
      <w:r w:rsidR="00DF3CCA" w:rsidRPr="00D920C9">
        <w:rPr>
          <w:rFonts w:asciiTheme="minorHAnsi" w:hAnsiTheme="minorHAnsi"/>
          <w:szCs w:val="20"/>
        </w:rPr>
        <w:t>ace-based restrictions must be ba</w:t>
      </w:r>
      <w:r w:rsidR="00125C81" w:rsidRPr="00D920C9">
        <w:rPr>
          <w:rFonts w:asciiTheme="minorHAnsi" w:hAnsiTheme="minorHAnsi"/>
          <w:szCs w:val="20"/>
        </w:rPr>
        <w:t xml:space="preserve">sed on very compelling reasons; on this issue, </w:t>
      </w:r>
      <w:r w:rsidR="00DF3CCA" w:rsidRPr="00D920C9">
        <w:rPr>
          <w:rFonts w:asciiTheme="minorHAnsi" w:hAnsiTheme="minorHAnsi"/>
          <w:szCs w:val="20"/>
        </w:rPr>
        <w:t>there is a “presumption of invalidity” and the burden of proof rests with the State.</w:t>
      </w:r>
      <w:r w:rsidR="00DF3CCA" w:rsidRPr="00D920C9">
        <w:rPr>
          <w:rFonts w:asciiTheme="minorHAnsi" w:hAnsiTheme="minorHAnsi"/>
          <w:szCs w:val="20"/>
          <w:vertAlign w:val="superscript"/>
        </w:rPr>
        <w:footnoteReference w:id="431"/>
      </w:r>
      <w:r w:rsidR="00DF3CCA" w:rsidRPr="00D920C9">
        <w:rPr>
          <w:rFonts w:asciiTheme="minorHAnsi" w:hAnsiTheme="minorHAnsi"/>
          <w:szCs w:val="20"/>
        </w:rPr>
        <w:t xml:space="preserve"> The Commission has underscored that laws and policies should be examined to </w:t>
      </w:r>
      <w:r w:rsidR="00DF3CCA" w:rsidRPr="00D920C9">
        <w:rPr>
          <w:rFonts w:asciiTheme="minorHAnsi" w:hAnsiTheme="minorHAnsi"/>
        </w:rPr>
        <w:t xml:space="preserve">ensure that they comply with the principles of equality and non-discrimination; this analysis should assess </w:t>
      </w:r>
      <w:r w:rsidR="00DF3CCA" w:rsidRPr="00D920C9">
        <w:rPr>
          <w:rFonts w:asciiTheme="minorHAnsi" w:hAnsiTheme="minorHAnsi"/>
        </w:rPr>
        <w:lastRenderedPageBreak/>
        <w:t xml:space="preserve">the potential discriminatory </w:t>
      </w:r>
      <w:r w:rsidR="00DE1C7C" w:rsidRPr="00D920C9">
        <w:rPr>
          <w:rFonts w:asciiTheme="minorHAnsi" w:hAnsiTheme="minorHAnsi"/>
        </w:rPr>
        <w:t>effect</w:t>
      </w:r>
      <w:r w:rsidR="00DF3CCA" w:rsidRPr="00D920C9">
        <w:rPr>
          <w:rFonts w:asciiTheme="minorHAnsi" w:hAnsiTheme="minorHAnsi"/>
        </w:rPr>
        <w:t xml:space="preserve"> of even facially neutral provisions.</w:t>
      </w:r>
      <w:r w:rsidR="00DF3CCA" w:rsidRPr="00D920C9">
        <w:rPr>
          <w:rFonts w:asciiTheme="minorHAnsi" w:hAnsiTheme="minorHAnsi"/>
          <w:vertAlign w:val="superscript"/>
        </w:rPr>
        <w:footnoteReference w:id="432"/>
      </w:r>
      <w:r w:rsidR="00A60699" w:rsidRPr="00D920C9">
        <w:rPr>
          <w:rFonts w:asciiTheme="minorHAnsi" w:hAnsiTheme="minorHAnsi"/>
        </w:rPr>
        <w:t xml:space="preserve"> </w:t>
      </w:r>
      <w:r w:rsidR="00076270" w:rsidRPr="00D920C9">
        <w:rPr>
          <w:rFonts w:asciiTheme="minorHAnsi" w:hAnsiTheme="minorHAnsi"/>
        </w:rPr>
        <w:t xml:space="preserve">This, in light of the fact </w:t>
      </w:r>
      <w:r w:rsidR="00100386" w:rsidRPr="00D920C9">
        <w:rPr>
          <w:rFonts w:asciiTheme="minorHAnsi" w:hAnsiTheme="minorHAnsi"/>
        </w:rPr>
        <w:t>that States are not only obligated to provide for equal protection of the law,  but must also adopt the legislative, policy and other measures necessary to guarantee the effective enjoyment of the rights protected under Article II of the American Declaration.</w:t>
      </w:r>
      <w:r w:rsidR="00100386" w:rsidRPr="00D920C9">
        <w:rPr>
          <w:rFonts w:asciiTheme="minorHAnsi" w:hAnsiTheme="minorHAnsi"/>
          <w:vertAlign w:val="superscript"/>
        </w:rPr>
        <w:footnoteReference w:id="433"/>
      </w:r>
    </w:p>
    <w:p w14:paraId="4A389BDB" w14:textId="7C3C2F09" w:rsidR="00E10C66" w:rsidRPr="00D920C9" w:rsidRDefault="00E10C66" w:rsidP="00E86698">
      <w:pPr>
        <w:pStyle w:val="ListParagraph"/>
        <w:numPr>
          <w:ilvl w:val="0"/>
          <w:numId w:val="9"/>
        </w:numPr>
        <w:spacing w:after="240" w:line="240" w:lineRule="auto"/>
        <w:ind w:left="547" w:hanging="547"/>
        <w:contextualSpacing w:val="0"/>
        <w:jc w:val="both"/>
        <w:rPr>
          <w:rFonts w:asciiTheme="minorHAnsi" w:hAnsiTheme="minorHAnsi"/>
          <w:szCs w:val="18"/>
        </w:rPr>
      </w:pPr>
      <w:r w:rsidRPr="00D920C9">
        <w:rPr>
          <w:rFonts w:asciiTheme="minorHAnsi" w:hAnsiTheme="minorHAnsi"/>
        </w:rPr>
        <w:t>The Commission observes that while the United States’ legal framework effectively prohibits facial discrimination in</w:t>
      </w:r>
      <w:r w:rsidRPr="00D920C9">
        <w:rPr>
          <w:rFonts w:asciiTheme="minorHAnsi" w:hAnsiTheme="minorHAnsi"/>
          <w:szCs w:val="18"/>
        </w:rPr>
        <w:t xml:space="preserve"> law, it largely does not prohibit the disparate impact of facially neutral policies except in very limited legal circumstances. In general, measures to prevent, protect against, and remedy the effects of indirect discrimination exist only where provided for by statute</w:t>
      </w:r>
      <w:r w:rsidR="00B16ED2" w:rsidRPr="00D920C9">
        <w:rPr>
          <w:rFonts w:asciiTheme="minorHAnsi" w:hAnsiTheme="minorHAnsi"/>
          <w:szCs w:val="18"/>
        </w:rPr>
        <w:t>, including for claims of employment, housing, and age discrimination</w:t>
      </w:r>
      <w:r w:rsidRPr="00D920C9">
        <w:rPr>
          <w:rFonts w:asciiTheme="minorHAnsi" w:hAnsiTheme="minorHAnsi"/>
          <w:szCs w:val="18"/>
        </w:rPr>
        <w:t>.</w:t>
      </w:r>
      <w:r w:rsidRPr="00D920C9">
        <w:rPr>
          <w:rFonts w:asciiTheme="minorHAnsi" w:hAnsiTheme="minorHAnsi"/>
          <w:szCs w:val="18"/>
          <w:vertAlign w:val="superscript"/>
        </w:rPr>
        <w:footnoteReference w:id="434"/>
      </w:r>
    </w:p>
    <w:p w14:paraId="09A13F53" w14:textId="3A02D469" w:rsidR="00B16ED2" w:rsidRPr="00D920C9" w:rsidRDefault="00B16ED2" w:rsidP="00E86698">
      <w:pPr>
        <w:pStyle w:val="ListParagraph"/>
        <w:numPr>
          <w:ilvl w:val="0"/>
          <w:numId w:val="9"/>
        </w:numPr>
        <w:spacing w:after="240" w:line="240" w:lineRule="auto"/>
        <w:ind w:left="547" w:hanging="547"/>
        <w:contextualSpacing w:val="0"/>
        <w:jc w:val="both"/>
        <w:rPr>
          <w:rFonts w:asciiTheme="minorHAnsi" w:hAnsiTheme="minorHAnsi"/>
        </w:rPr>
      </w:pPr>
      <w:r w:rsidRPr="00D920C9">
        <w:rPr>
          <w:rFonts w:asciiTheme="minorHAnsi" w:hAnsiTheme="minorHAnsi"/>
          <w:szCs w:val="18"/>
        </w:rPr>
        <w:t xml:space="preserve">The Commission expresses its deep concern that U.S. law does not prohibit disparate impact in the criminal justice system. Here, the case </w:t>
      </w:r>
      <w:proofErr w:type="spellStart"/>
      <w:r w:rsidRPr="00D920C9">
        <w:rPr>
          <w:rFonts w:asciiTheme="minorHAnsi" w:hAnsiTheme="minorHAnsi"/>
          <w:i/>
          <w:szCs w:val="18"/>
        </w:rPr>
        <w:t>McCleskey</w:t>
      </w:r>
      <w:proofErr w:type="spellEnd"/>
      <w:r w:rsidRPr="00D920C9">
        <w:rPr>
          <w:rFonts w:asciiTheme="minorHAnsi" w:hAnsiTheme="minorHAnsi"/>
          <w:i/>
          <w:szCs w:val="18"/>
        </w:rPr>
        <w:t xml:space="preserve"> v. Kemp</w:t>
      </w:r>
      <w:r w:rsidRPr="00D920C9">
        <w:rPr>
          <w:rFonts w:asciiTheme="minorHAnsi" w:hAnsiTheme="minorHAnsi"/>
          <w:szCs w:val="18"/>
        </w:rPr>
        <w:t xml:space="preserve"> is illustrative.</w:t>
      </w:r>
      <w:r w:rsidRPr="00D920C9">
        <w:rPr>
          <w:rFonts w:asciiTheme="minorHAnsi" w:hAnsiTheme="minorHAnsi"/>
          <w:szCs w:val="18"/>
          <w:vertAlign w:val="superscript"/>
        </w:rPr>
        <w:footnoteReference w:id="435"/>
      </w:r>
      <w:r w:rsidRPr="00D920C9">
        <w:rPr>
          <w:rFonts w:asciiTheme="minorHAnsi" w:hAnsiTheme="minorHAnsi"/>
          <w:szCs w:val="18"/>
        </w:rPr>
        <w:t xml:space="preserve"> In </w:t>
      </w:r>
      <w:proofErr w:type="spellStart"/>
      <w:r w:rsidRPr="00D920C9">
        <w:rPr>
          <w:rFonts w:asciiTheme="minorHAnsi" w:hAnsiTheme="minorHAnsi"/>
          <w:i/>
          <w:szCs w:val="18"/>
        </w:rPr>
        <w:t>McCleskey</w:t>
      </w:r>
      <w:proofErr w:type="spellEnd"/>
      <w:r w:rsidRPr="00D920C9">
        <w:rPr>
          <w:rFonts w:asciiTheme="minorHAnsi" w:hAnsiTheme="minorHAnsi"/>
          <w:szCs w:val="18"/>
        </w:rPr>
        <w:t>, the Supreme Court held that the "racially disproportionate impact" of the application of the death penalty in Georgia, which the Court accepted as proven by a comprehensive scientific study, was not sufficient to overturn a death sentence without additionally proving a "discriminatory purpose"—that is, evidence of conscious, intentional bias.</w:t>
      </w:r>
      <w:r w:rsidRPr="00D920C9">
        <w:rPr>
          <w:rFonts w:asciiTheme="minorHAnsi" w:hAnsiTheme="minorHAnsi"/>
          <w:szCs w:val="18"/>
          <w:vertAlign w:val="superscript"/>
        </w:rPr>
        <w:footnoteReference w:id="436"/>
      </w:r>
      <w:r w:rsidRPr="00D920C9">
        <w:rPr>
          <w:rFonts w:asciiTheme="minorHAnsi" w:hAnsiTheme="minorHAnsi"/>
          <w:szCs w:val="18"/>
        </w:rPr>
        <w:t xml:space="preserve"> This holding, which moreover involves the fundamental right to life subject to the imposition of the death penalty, directly contradicts the international standard, which does not require discrimination to be purposive, conscious or intentional to violate human rights. In light of the state of federal law on this issue, the Commission notes as a positive approach the example of North Carolina’s Racial Justice Act (introduced in 2011 and subsequently repealed in 2013), which permitted capital defendants to challenge their sentences on grounds of racial bias.</w:t>
      </w:r>
      <w:r w:rsidRPr="00D920C9">
        <w:rPr>
          <w:rFonts w:asciiTheme="minorHAnsi" w:hAnsiTheme="minorHAnsi"/>
          <w:szCs w:val="18"/>
          <w:vertAlign w:val="superscript"/>
        </w:rPr>
        <w:footnoteReference w:id="437"/>
      </w:r>
      <w:r w:rsidRPr="00D920C9">
        <w:rPr>
          <w:rFonts w:asciiTheme="minorHAnsi" w:hAnsiTheme="minorHAnsi"/>
          <w:szCs w:val="18"/>
        </w:rPr>
        <w:t xml:space="preserve"> The Commission recalls that the obligation to guarantee </w:t>
      </w:r>
      <w:r w:rsidRPr="00D920C9">
        <w:rPr>
          <w:rFonts w:asciiTheme="minorHAnsi" w:hAnsiTheme="minorHAnsi"/>
          <w:szCs w:val="18"/>
        </w:rPr>
        <w:lastRenderedPageBreak/>
        <w:t xml:space="preserve">equality and non-discrimination, as with all </w:t>
      </w:r>
      <w:r w:rsidRPr="00D920C9">
        <w:rPr>
          <w:rFonts w:asciiTheme="minorHAnsi" w:hAnsiTheme="minorHAnsi"/>
        </w:rPr>
        <w:t>human rights norms, applies to all levels of government—federal, state, and local.</w:t>
      </w:r>
    </w:p>
    <w:p w14:paraId="2B91115A" w14:textId="2E6D3E2F" w:rsidR="00B16ED2" w:rsidRPr="00D920C9" w:rsidRDefault="00B16ED2" w:rsidP="00E86698">
      <w:pPr>
        <w:pStyle w:val="ListParagraph"/>
        <w:numPr>
          <w:ilvl w:val="0"/>
          <w:numId w:val="9"/>
        </w:numPr>
        <w:spacing w:after="240" w:line="240" w:lineRule="auto"/>
        <w:ind w:left="547" w:hanging="547"/>
        <w:contextualSpacing w:val="0"/>
        <w:jc w:val="both"/>
        <w:rPr>
          <w:rFonts w:asciiTheme="minorHAnsi" w:hAnsiTheme="minorHAnsi"/>
        </w:rPr>
      </w:pPr>
      <w:r w:rsidRPr="00D920C9">
        <w:rPr>
          <w:rFonts w:asciiTheme="minorHAnsi" w:hAnsiTheme="minorHAnsi"/>
        </w:rPr>
        <w:t>In this sense, the Commission notes and echoes concerns by the CERD about the limited scope and applicability of the disparate impact doctrine in the U.S.; in particular, that it is out of line with the State’s duty to “prohibit and eliminate racial discrimination in all its forms, including practices and legislation that may not be discriminatory in purpose, but are discriminatory in effect.”</w:t>
      </w:r>
      <w:r w:rsidRPr="00D920C9">
        <w:rPr>
          <w:rFonts w:asciiTheme="minorHAnsi" w:hAnsiTheme="minorHAnsi"/>
          <w:vertAlign w:val="superscript"/>
        </w:rPr>
        <w:footnoteReference w:id="438"/>
      </w:r>
      <w:r w:rsidRPr="00D920C9">
        <w:rPr>
          <w:rFonts w:asciiTheme="minorHAnsi" w:hAnsiTheme="minorHAnsi"/>
        </w:rPr>
        <w:t xml:space="preserve"> The Commission reiterates the United States’ obligation to adopt all legal and administrative measures necessary, including legal reform, in order to recognize and guarantee the effective equality of all persons before the law.</w:t>
      </w:r>
      <w:r w:rsidRPr="00D920C9">
        <w:rPr>
          <w:rFonts w:asciiTheme="minorHAnsi" w:hAnsiTheme="minorHAnsi"/>
          <w:vertAlign w:val="superscript"/>
        </w:rPr>
        <w:footnoteReference w:id="439"/>
      </w:r>
      <w:r w:rsidRPr="00D920C9">
        <w:rPr>
          <w:rFonts w:asciiTheme="minorHAnsi" w:hAnsiTheme="minorHAnsi"/>
        </w:rPr>
        <w:t xml:space="preserve"> The Commission additionally reiterates the obligation of the State to take special measures to ensure conditions of true equality for African Americans and other historically marginalized groups.</w:t>
      </w:r>
    </w:p>
    <w:p w14:paraId="29181F8C" w14:textId="162B7037" w:rsidR="00932FE3" w:rsidRPr="00D920C9" w:rsidRDefault="00B16ED2" w:rsidP="00E86698">
      <w:pPr>
        <w:pStyle w:val="ListParagraph"/>
        <w:numPr>
          <w:ilvl w:val="0"/>
          <w:numId w:val="9"/>
        </w:numPr>
        <w:spacing w:after="240" w:line="240" w:lineRule="auto"/>
        <w:ind w:left="547" w:hanging="547"/>
        <w:contextualSpacing w:val="0"/>
        <w:jc w:val="both"/>
        <w:rPr>
          <w:rFonts w:asciiTheme="minorHAnsi" w:hAnsiTheme="minorHAnsi"/>
        </w:rPr>
      </w:pPr>
      <w:r w:rsidRPr="00D920C9">
        <w:rPr>
          <w:rFonts w:asciiTheme="minorHAnsi" w:hAnsiTheme="minorHAnsi"/>
        </w:rPr>
        <w:t>Likewise, the Commission highlights that i</w:t>
      </w:r>
      <w:r w:rsidR="002C524C" w:rsidRPr="00D920C9">
        <w:rPr>
          <w:rFonts w:asciiTheme="minorHAnsi" w:hAnsiTheme="minorHAnsi"/>
        </w:rPr>
        <w:t>nstitutionalized discriminatory law enforcement practices that result in differential treatment on the basis of race, ethnicity, national origin, or other suspect category, including “Stop and Frisk” programs and patterns of policing and police use of force that have a disproportionate impact on historically marginalized groups, are</w:t>
      </w:r>
      <w:r w:rsidR="004007E0" w:rsidRPr="00D920C9">
        <w:rPr>
          <w:rFonts w:asciiTheme="minorHAnsi" w:hAnsiTheme="minorHAnsi"/>
        </w:rPr>
        <w:t xml:space="preserve"> </w:t>
      </w:r>
      <w:r w:rsidR="002C524C" w:rsidRPr="00D920C9">
        <w:rPr>
          <w:rFonts w:asciiTheme="minorHAnsi" w:hAnsiTheme="minorHAnsi"/>
        </w:rPr>
        <w:t>presumptively incompatible with the American Declaration as a form of racial discrimination, and under certain circumstances may additionally constitute a violation of the prohibition on inhuman and degrading treatment.</w:t>
      </w:r>
      <w:r w:rsidR="00932FE3" w:rsidRPr="00D920C9">
        <w:rPr>
          <w:rFonts w:asciiTheme="minorHAnsi" w:hAnsiTheme="minorHAnsi"/>
        </w:rPr>
        <w:t xml:space="preserve"> </w:t>
      </w:r>
      <w:r w:rsidR="00DE1C7C" w:rsidRPr="00D920C9">
        <w:rPr>
          <w:rFonts w:asciiTheme="minorHAnsi" w:hAnsiTheme="minorHAnsi"/>
        </w:rPr>
        <w:t>The</w:t>
      </w:r>
      <w:r w:rsidR="002C524C" w:rsidRPr="00D920C9">
        <w:rPr>
          <w:rFonts w:asciiTheme="minorHAnsi" w:hAnsiTheme="minorHAnsi"/>
        </w:rPr>
        <w:t xml:space="preserve"> CERD has previously found that “States Parties must take all necessary steps to prevent interrogations, arrests and searches that are in reality based solely on physical appearance, color, characteristics, race or ethnicity, or some other profile that makes an individual subject to a higher degree of suspicion”</w:t>
      </w:r>
      <w:r w:rsidR="002C524C" w:rsidRPr="00D920C9">
        <w:rPr>
          <w:rFonts w:asciiTheme="minorHAnsi" w:hAnsiTheme="minorHAnsi"/>
          <w:vertAlign w:val="superscript"/>
        </w:rPr>
        <w:footnoteReference w:id="440"/>
      </w:r>
      <w:r w:rsidR="002C524C" w:rsidRPr="00D920C9">
        <w:rPr>
          <w:rFonts w:asciiTheme="minorHAnsi" w:hAnsiTheme="minorHAnsi"/>
        </w:rPr>
        <w:t xml:space="preserve"> In this respect, the U.S. is obligated to take positive steps to eradicate policies that have a discriminatory impact.</w:t>
      </w:r>
      <w:bookmarkStart w:id="163" w:name="_Ref507148005"/>
    </w:p>
    <w:p w14:paraId="1D7F0053" w14:textId="55D916B8" w:rsidR="00394165" w:rsidRPr="00D920C9" w:rsidRDefault="00704B88" w:rsidP="00E86698">
      <w:pPr>
        <w:pStyle w:val="ListParagraph"/>
        <w:numPr>
          <w:ilvl w:val="0"/>
          <w:numId w:val="9"/>
        </w:numPr>
        <w:spacing w:after="240" w:line="240" w:lineRule="auto"/>
        <w:ind w:left="547" w:hanging="547"/>
        <w:contextualSpacing w:val="0"/>
        <w:jc w:val="both"/>
        <w:rPr>
          <w:rFonts w:asciiTheme="minorHAnsi" w:eastAsia="Times New Roman" w:hAnsiTheme="minorHAnsi"/>
          <w:szCs w:val="20"/>
        </w:rPr>
      </w:pPr>
      <w:r w:rsidRPr="00D920C9">
        <w:rPr>
          <w:rFonts w:asciiTheme="minorHAnsi" w:hAnsiTheme="minorHAnsi"/>
        </w:rPr>
        <w:t>In light of the complementary obligations to prohibit</w:t>
      </w:r>
      <w:r w:rsidR="00DE1C7C" w:rsidRPr="00D920C9">
        <w:rPr>
          <w:rFonts w:asciiTheme="minorHAnsi" w:hAnsiTheme="minorHAnsi"/>
        </w:rPr>
        <w:t xml:space="preserve"> racial</w:t>
      </w:r>
      <w:r w:rsidRPr="00D920C9">
        <w:rPr>
          <w:rFonts w:asciiTheme="minorHAnsi" w:hAnsiTheme="minorHAnsi"/>
        </w:rPr>
        <w:t xml:space="preserve"> discrimination and guarantee equality,</w:t>
      </w:r>
      <w:r w:rsidR="00DE1C7C" w:rsidRPr="00D920C9">
        <w:rPr>
          <w:rFonts w:asciiTheme="minorHAnsi" w:hAnsiTheme="minorHAnsi"/>
        </w:rPr>
        <w:t xml:space="preserve"> the Commission reiterates the need for States</w:t>
      </w:r>
      <w:r w:rsidR="00DE1C7C" w:rsidRPr="00D920C9">
        <w:rPr>
          <w:rFonts w:asciiTheme="minorHAnsi" w:eastAsia="Times New Roman" w:hAnsiTheme="minorHAnsi"/>
          <w:szCs w:val="20"/>
          <w:lang w:eastAsia="es-ES"/>
        </w:rPr>
        <w:t xml:space="preserve"> to recognize</w:t>
      </w:r>
      <w:r w:rsidR="007A45D9" w:rsidRPr="00D920C9">
        <w:rPr>
          <w:rFonts w:asciiTheme="minorHAnsi" w:eastAsia="Times New Roman" w:hAnsiTheme="minorHAnsi"/>
          <w:szCs w:val="20"/>
          <w:lang w:eastAsia="es-ES"/>
        </w:rPr>
        <w:t xml:space="preserve"> and address</w:t>
      </w:r>
      <w:r w:rsidR="00DE1C7C" w:rsidRPr="00D920C9">
        <w:rPr>
          <w:rFonts w:asciiTheme="minorHAnsi" w:eastAsia="Times New Roman" w:hAnsiTheme="minorHAnsi"/>
          <w:szCs w:val="20"/>
          <w:lang w:eastAsia="es-ES"/>
        </w:rPr>
        <w:t xml:space="preserve"> the existence of police profiling and practices </w:t>
      </w:r>
      <w:r w:rsidR="00394165" w:rsidRPr="00D920C9">
        <w:rPr>
          <w:rFonts w:asciiTheme="minorHAnsi" w:eastAsia="Times New Roman" w:hAnsiTheme="minorHAnsi"/>
          <w:szCs w:val="20"/>
          <w:lang w:eastAsia="es-ES"/>
        </w:rPr>
        <w:t>which are harmful to</w:t>
      </w:r>
      <w:r w:rsidR="00DE1C7C" w:rsidRPr="00D920C9">
        <w:rPr>
          <w:rFonts w:asciiTheme="minorHAnsi" w:eastAsia="Times New Roman" w:hAnsiTheme="minorHAnsi"/>
          <w:szCs w:val="20"/>
          <w:lang w:eastAsia="es-ES"/>
        </w:rPr>
        <w:t xml:space="preserve"> </w:t>
      </w:r>
      <w:r w:rsidR="007A45D9" w:rsidRPr="00D920C9">
        <w:rPr>
          <w:rFonts w:asciiTheme="minorHAnsi" w:eastAsia="Times New Roman" w:hAnsiTheme="minorHAnsi"/>
          <w:szCs w:val="20"/>
          <w:lang w:eastAsia="es-ES"/>
        </w:rPr>
        <w:t>historically marginalized groups</w:t>
      </w:r>
      <w:r w:rsidR="00394165" w:rsidRPr="00D920C9">
        <w:rPr>
          <w:rFonts w:asciiTheme="minorHAnsi" w:eastAsia="Times New Roman" w:hAnsiTheme="minorHAnsi"/>
          <w:szCs w:val="20"/>
          <w:lang w:eastAsia="es-ES"/>
        </w:rPr>
        <w:t>.</w:t>
      </w:r>
      <w:r w:rsidR="00394165" w:rsidRPr="00D920C9">
        <w:rPr>
          <w:rStyle w:val="FootnoteReference"/>
          <w:rFonts w:asciiTheme="minorHAnsi" w:eastAsia="Times New Roman" w:hAnsiTheme="minorHAnsi"/>
          <w:szCs w:val="20"/>
          <w:lang w:eastAsia="es-ES"/>
        </w:rPr>
        <w:footnoteReference w:id="441"/>
      </w:r>
      <w:r w:rsidR="00394165" w:rsidRPr="00D920C9">
        <w:rPr>
          <w:rFonts w:asciiTheme="minorHAnsi" w:eastAsia="Times New Roman" w:hAnsiTheme="minorHAnsi"/>
          <w:szCs w:val="20"/>
          <w:lang w:eastAsia="es-ES"/>
        </w:rPr>
        <w:t xml:space="preserve"> This entails the adoption of</w:t>
      </w:r>
      <w:r w:rsidR="00DE1C7C" w:rsidRPr="00D920C9">
        <w:rPr>
          <w:rFonts w:asciiTheme="minorHAnsi" w:eastAsia="Times New Roman" w:hAnsiTheme="minorHAnsi"/>
          <w:szCs w:val="20"/>
          <w:lang w:eastAsia="es-ES"/>
        </w:rPr>
        <w:t xml:space="preserve"> effective prevention p</w:t>
      </w:r>
      <w:r w:rsidR="00394165" w:rsidRPr="00D920C9">
        <w:rPr>
          <w:rFonts w:asciiTheme="minorHAnsi" w:eastAsia="Times New Roman" w:hAnsiTheme="minorHAnsi"/>
          <w:szCs w:val="20"/>
          <w:lang w:eastAsia="es-ES"/>
        </w:rPr>
        <w:t>olicies and steps, and implementation of</w:t>
      </w:r>
      <w:r w:rsidR="00DE1C7C" w:rsidRPr="00D920C9">
        <w:rPr>
          <w:rFonts w:asciiTheme="minorHAnsi" w:eastAsia="Times New Roman" w:hAnsiTheme="minorHAnsi"/>
          <w:szCs w:val="20"/>
          <w:lang w:eastAsia="es-ES"/>
        </w:rPr>
        <w:t xml:space="preserve"> appropriate</w:t>
      </w:r>
      <w:r w:rsidR="00394165" w:rsidRPr="00D920C9">
        <w:rPr>
          <w:rFonts w:asciiTheme="minorHAnsi" w:eastAsia="Times New Roman" w:hAnsiTheme="minorHAnsi"/>
          <w:szCs w:val="20"/>
          <w:lang w:eastAsia="es-ES"/>
        </w:rPr>
        <w:t xml:space="preserve"> and independent</w:t>
      </w:r>
      <w:r w:rsidR="00DE1C7C" w:rsidRPr="00D920C9">
        <w:rPr>
          <w:rFonts w:asciiTheme="minorHAnsi" w:eastAsia="Times New Roman" w:hAnsiTheme="minorHAnsi"/>
          <w:szCs w:val="20"/>
          <w:lang w:eastAsia="es-ES"/>
        </w:rPr>
        <w:t xml:space="preserve"> accountability mechanisms for police officer</w:t>
      </w:r>
      <w:r w:rsidR="00394165" w:rsidRPr="00D920C9">
        <w:rPr>
          <w:rFonts w:asciiTheme="minorHAnsi" w:eastAsia="Times New Roman" w:hAnsiTheme="minorHAnsi"/>
          <w:szCs w:val="20"/>
          <w:lang w:eastAsia="es-ES"/>
        </w:rPr>
        <w:t xml:space="preserve">s </w:t>
      </w:r>
      <w:r w:rsidR="00394165" w:rsidRPr="00D920C9">
        <w:rPr>
          <w:rFonts w:asciiTheme="minorHAnsi" w:eastAsia="Times New Roman" w:hAnsiTheme="minorHAnsi"/>
          <w:szCs w:val="20"/>
          <w:lang w:eastAsia="es-ES"/>
        </w:rPr>
        <w:lastRenderedPageBreak/>
        <w:t>who</w:t>
      </w:r>
      <w:r w:rsidR="00DE1C7C" w:rsidRPr="00D920C9">
        <w:rPr>
          <w:rFonts w:asciiTheme="minorHAnsi" w:eastAsia="Times New Roman" w:hAnsiTheme="minorHAnsi"/>
          <w:szCs w:val="20"/>
          <w:lang w:eastAsia="es-ES"/>
        </w:rPr>
        <w:t xml:space="preserve"> engage in these practices. Additionally, the Commission highlights </w:t>
      </w:r>
      <w:r w:rsidR="007A45D9" w:rsidRPr="00D920C9">
        <w:rPr>
          <w:rFonts w:asciiTheme="minorHAnsi" w:eastAsia="Times New Roman" w:hAnsiTheme="minorHAnsi"/>
          <w:szCs w:val="20"/>
          <w:lang w:eastAsia="es-ES"/>
        </w:rPr>
        <w:t>the importance of</w:t>
      </w:r>
      <w:r w:rsidR="00DE1C7C" w:rsidRPr="00D920C9">
        <w:rPr>
          <w:rFonts w:asciiTheme="minorHAnsi" w:eastAsia="Times New Roman" w:hAnsiTheme="minorHAnsi"/>
          <w:szCs w:val="20"/>
          <w:lang w:eastAsia="es-ES"/>
        </w:rPr>
        <w:t xml:space="preserve"> police officer training guided by the principles of legality, absolute necessity, and proportionality in the use of force, and the design of protocols </w:t>
      </w:r>
      <w:r w:rsidR="00394165" w:rsidRPr="00D920C9">
        <w:rPr>
          <w:rFonts w:asciiTheme="minorHAnsi" w:eastAsia="Times New Roman" w:hAnsiTheme="minorHAnsi"/>
          <w:szCs w:val="20"/>
          <w:lang w:eastAsia="es-ES"/>
        </w:rPr>
        <w:t xml:space="preserve">which are consonant with </w:t>
      </w:r>
      <w:r w:rsidR="00DE1C7C" w:rsidRPr="00D920C9">
        <w:rPr>
          <w:rFonts w:asciiTheme="minorHAnsi" w:eastAsia="Times New Roman" w:hAnsiTheme="minorHAnsi"/>
          <w:szCs w:val="20"/>
          <w:lang w:eastAsia="es-ES"/>
        </w:rPr>
        <w:t xml:space="preserve">US human rights obligations.  </w:t>
      </w:r>
      <w:r w:rsidRPr="00D920C9">
        <w:rPr>
          <w:rFonts w:asciiTheme="minorHAnsi" w:eastAsia="Times New Roman" w:hAnsiTheme="minorHAnsi"/>
          <w:szCs w:val="20"/>
          <w:lang w:eastAsia="es-ES"/>
        </w:rPr>
        <w:t xml:space="preserve"> </w:t>
      </w:r>
      <w:bookmarkEnd w:id="163"/>
      <w:r w:rsidR="00394165" w:rsidRPr="00D920C9">
        <w:rPr>
          <w:rFonts w:asciiTheme="minorHAnsi" w:eastAsia="Times New Roman" w:hAnsiTheme="minorHAnsi"/>
          <w:szCs w:val="20"/>
          <w:lang w:eastAsia="es-ES"/>
        </w:rPr>
        <w:t xml:space="preserve"> </w:t>
      </w:r>
      <w:bookmarkStart w:id="164" w:name="_Ref507148897"/>
      <w:bookmarkStart w:id="165" w:name="_Ref507148911"/>
      <w:bookmarkStart w:id="166" w:name="_Ref507148915"/>
      <w:bookmarkStart w:id="167" w:name="_Ref507148919"/>
      <w:bookmarkStart w:id="168" w:name="_Ref507148925"/>
      <w:bookmarkStart w:id="169" w:name="_Toc511837832"/>
      <w:bookmarkStart w:id="170" w:name="_Toc511903005"/>
    </w:p>
    <w:p w14:paraId="2C3C280D" w14:textId="111E1B46" w:rsidR="00B4412C" w:rsidRPr="00D920C9" w:rsidRDefault="00B4412C" w:rsidP="00226E45">
      <w:pPr>
        <w:pStyle w:val="Heading2"/>
        <w:numPr>
          <w:ilvl w:val="0"/>
          <w:numId w:val="14"/>
        </w:numPr>
        <w:ind w:left="547" w:hanging="547"/>
      </w:pPr>
      <w:bookmarkStart w:id="171" w:name="_Toc517687934"/>
      <w:r w:rsidRPr="00D920C9">
        <w:t xml:space="preserve">International </w:t>
      </w:r>
      <w:r w:rsidR="0013717A" w:rsidRPr="00D920C9">
        <w:t xml:space="preserve">Framework </w:t>
      </w:r>
      <w:r w:rsidRPr="00D920C9">
        <w:t xml:space="preserve">regarding the </w:t>
      </w:r>
      <w:r w:rsidR="0013717A" w:rsidRPr="00D920C9">
        <w:t xml:space="preserve">Use </w:t>
      </w:r>
      <w:r w:rsidRPr="00D920C9">
        <w:t xml:space="preserve">of </w:t>
      </w:r>
      <w:r w:rsidR="0013717A" w:rsidRPr="00D920C9">
        <w:t>Force</w:t>
      </w:r>
      <w:r w:rsidRPr="00D920C9">
        <w:t xml:space="preserve">: </w:t>
      </w:r>
      <w:r w:rsidR="0013717A" w:rsidRPr="00D920C9">
        <w:t>Legality</w:t>
      </w:r>
      <w:r w:rsidRPr="00D920C9">
        <w:t xml:space="preserve">, </w:t>
      </w:r>
      <w:r w:rsidR="00893A6A" w:rsidRPr="00D920C9">
        <w:t xml:space="preserve">Absolute </w:t>
      </w:r>
      <w:r w:rsidR="0013717A" w:rsidRPr="00D920C9">
        <w:rPr>
          <w:bCs/>
          <w:iCs/>
        </w:rPr>
        <w:t>Necessity</w:t>
      </w:r>
      <w:r w:rsidRPr="00D920C9">
        <w:rPr>
          <w:bCs/>
          <w:iCs/>
        </w:rPr>
        <w:t xml:space="preserve">, and </w:t>
      </w:r>
      <w:r w:rsidR="0013717A" w:rsidRPr="00D920C9">
        <w:rPr>
          <w:bCs/>
          <w:iCs/>
        </w:rPr>
        <w:t>Proportionality</w:t>
      </w:r>
      <w:bookmarkEnd w:id="164"/>
      <w:bookmarkEnd w:id="165"/>
      <w:bookmarkEnd w:id="166"/>
      <w:bookmarkEnd w:id="167"/>
      <w:bookmarkEnd w:id="168"/>
      <w:bookmarkEnd w:id="169"/>
      <w:bookmarkEnd w:id="170"/>
      <w:bookmarkEnd w:id="171"/>
    </w:p>
    <w:p w14:paraId="1AD94188" w14:textId="01249104" w:rsidR="00B4412C" w:rsidRPr="00D920C9" w:rsidRDefault="00D36670" w:rsidP="00E86698">
      <w:pPr>
        <w:pStyle w:val="ListParagraph"/>
        <w:numPr>
          <w:ilvl w:val="0"/>
          <w:numId w:val="9"/>
        </w:numPr>
        <w:spacing w:after="240" w:line="240" w:lineRule="auto"/>
        <w:ind w:left="547" w:hanging="547"/>
        <w:contextualSpacing w:val="0"/>
        <w:jc w:val="both"/>
        <w:rPr>
          <w:rFonts w:asciiTheme="minorHAnsi" w:hAnsiTheme="minorHAnsi"/>
        </w:rPr>
      </w:pPr>
      <w:bookmarkStart w:id="172" w:name="_Ref507675715"/>
      <w:r w:rsidRPr="00D920C9">
        <w:rPr>
          <w:rFonts w:asciiTheme="minorHAnsi" w:hAnsiTheme="minorHAnsi"/>
          <w:szCs w:val="20"/>
        </w:rPr>
        <w:t>E</w:t>
      </w:r>
      <w:r w:rsidR="00B4412C" w:rsidRPr="00D920C9">
        <w:rPr>
          <w:rFonts w:asciiTheme="minorHAnsi" w:hAnsiTheme="minorHAnsi"/>
          <w:szCs w:val="20"/>
        </w:rPr>
        <w:t>very State in the Americas has the obligation to guarantee security and to safeguard public order,</w:t>
      </w:r>
      <w:r w:rsidR="00B4412C" w:rsidRPr="00D920C9">
        <w:rPr>
          <w:rFonts w:asciiTheme="minorHAnsi" w:hAnsiTheme="minorHAnsi"/>
          <w:szCs w:val="20"/>
          <w:vertAlign w:val="superscript"/>
        </w:rPr>
        <w:footnoteReference w:id="442"/>
      </w:r>
      <w:r w:rsidR="00B4412C" w:rsidRPr="00D920C9">
        <w:rPr>
          <w:rFonts w:asciiTheme="minorHAnsi" w:hAnsiTheme="minorHAnsi"/>
          <w:szCs w:val="20"/>
        </w:rPr>
        <w:t xml:space="preserve"> and therefore the power to use force in order to guarantee these ends</w:t>
      </w:r>
      <w:r w:rsidRPr="00D920C9">
        <w:rPr>
          <w:rFonts w:asciiTheme="minorHAnsi" w:hAnsiTheme="minorHAnsi"/>
          <w:szCs w:val="20"/>
        </w:rPr>
        <w:t>; however,</w:t>
      </w:r>
      <w:r w:rsidR="00B4412C" w:rsidRPr="00D920C9">
        <w:rPr>
          <w:rFonts w:asciiTheme="minorHAnsi" w:hAnsiTheme="minorHAnsi"/>
          <w:szCs w:val="20"/>
        </w:rPr>
        <w:t xml:space="preserve"> this power is limited by the observance of human rights.</w:t>
      </w:r>
      <w:r w:rsidR="00B4412C" w:rsidRPr="00D920C9">
        <w:rPr>
          <w:rFonts w:asciiTheme="minorHAnsi" w:hAnsiTheme="minorHAnsi"/>
          <w:szCs w:val="20"/>
          <w:vertAlign w:val="superscript"/>
        </w:rPr>
        <w:footnoteReference w:id="443"/>
      </w:r>
      <w:r w:rsidR="00B4412C" w:rsidRPr="00D920C9">
        <w:rPr>
          <w:rFonts w:asciiTheme="minorHAnsi" w:hAnsiTheme="minorHAnsi"/>
          <w:szCs w:val="20"/>
        </w:rPr>
        <w:t xml:space="preserve"> The fundamental rights to </w:t>
      </w:r>
      <w:r w:rsidRPr="00D920C9">
        <w:rPr>
          <w:rFonts w:asciiTheme="minorHAnsi" w:hAnsiTheme="minorHAnsi"/>
          <w:szCs w:val="20"/>
        </w:rPr>
        <w:t>life and personal security,</w:t>
      </w:r>
      <w:r w:rsidRPr="00D920C9">
        <w:rPr>
          <w:rStyle w:val="FootnoteReference"/>
          <w:rFonts w:asciiTheme="minorHAnsi" w:hAnsiTheme="minorHAnsi"/>
          <w:szCs w:val="20"/>
        </w:rPr>
        <w:footnoteReference w:id="444"/>
      </w:r>
      <w:r w:rsidRPr="00D920C9">
        <w:rPr>
          <w:rFonts w:asciiTheme="minorHAnsi" w:hAnsiTheme="minorHAnsi"/>
          <w:szCs w:val="20"/>
        </w:rPr>
        <w:t xml:space="preserve"> equality before the law,</w:t>
      </w:r>
      <w:r w:rsidRPr="00D920C9">
        <w:rPr>
          <w:rStyle w:val="FootnoteReference"/>
          <w:rFonts w:asciiTheme="minorHAnsi" w:hAnsiTheme="minorHAnsi"/>
          <w:szCs w:val="20"/>
        </w:rPr>
        <w:footnoteReference w:id="445"/>
      </w:r>
      <w:r w:rsidRPr="00D920C9">
        <w:rPr>
          <w:rFonts w:asciiTheme="minorHAnsi" w:hAnsiTheme="minorHAnsi"/>
          <w:szCs w:val="20"/>
        </w:rPr>
        <w:t xml:space="preserve"> due process of law,</w:t>
      </w:r>
      <w:r w:rsidRPr="00D920C9">
        <w:rPr>
          <w:rStyle w:val="FootnoteReference"/>
          <w:rFonts w:asciiTheme="minorHAnsi" w:hAnsiTheme="minorHAnsi"/>
          <w:szCs w:val="20"/>
        </w:rPr>
        <w:footnoteReference w:id="446"/>
      </w:r>
      <w:r w:rsidRPr="00D920C9">
        <w:rPr>
          <w:rFonts w:asciiTheme="minorHAnsi" w:hAnsiTheme="minorHAnsi"/>
          <w:szCs w:val="20"/>
        </w:rPr>
        <w:t xml:space="preserve"> and the right to be free from torture and ill-treatment,</w:t>
      </w:r>
      <w:r w:rsidRPr="00D920C9">
        <w:rPr>
          <w:rStyle w:val="FootnoteReference"/>
          <w:rFonts w:asciiTheme="minorHAnsi" w:hAnsiTheme="minorHAnsi"/>
          <w:szCs w:val="20"/>
        </w:rPr>
        <w:footnoteReference w:id="447"/>
      </w:r>
      <w:r w:rsidRPr="00D920C9">
        <w:rPr>
          <w:rFonts w:asciiTheme="minorHAnsi" w:hAnsiTheme="minorHAnsi"/>
          <w:szCs w:val="20"/>
        </w:rPr>
        <w:t xml:space="preserve"> among others,</w:t>
      </w:r>
      <w:r w:rsidR="00C71DC0" w:rsidRPr="00D920C9">
        <w:rPr>
          <w:rFonts w:asciiTheme="minorHAnsi" w:hAnsiTheme="minorHAnsi"/>
          <w:szCs w:val="20"/>
        </w:rPr>
        <w:t xml:space="preserve"> </w:t>
      </w:r>
      <w:r w:rsidR="00893A6A" w:rsidRPr="00D920C9">
        <w:rPr>
          <w:rFonts w:asciiTheme="minorHAnsi" w:hAnsiTheme="minorHAnsi"/>
          <w:szCs w:val="20"/>
        </w:rPr>
        <w:t>require</w:t>
      </w:r>
      <w:r w:rsidR="00C71DC0" w:rsidRPr="00D920C9">
        <w:rPr>
          <w:rFonts w:asciiTheme="minorHAnsi" w:hAnsiTheme="minorHAnsi"/>
          <w:szCs w:val="20"/>
        </w:rPr>
        <w:t xml:space="preserve"> not only the State’s obligation </w:t>
      </w:r>
      <w:r w:rsidR="007770E4" w:rsidRPr="00D920C9">
        <w:rPr>
          <w:rFonts w:asciiTheme="minorHAnsi" w:hAnsiTheme="minorHAnsi"/>
          <w:szCs w:val="20"/>
        </w:rPr>
        <w:t>to</w:t>
      </w:r>
      <w:r w:rsidR="00C71DC0" w:rsidRPr="00D920C9">
        <w:rPr>
          <w:rFonts w:asciiTheme="minorHAnsi" w:hAnsiTheme="minorHAnsi"/>
          <w:szCs w:val="20"/>
        </w:rPr>
        <w:t xml:space="preserve"> refrain from </w:t>
      </w:r>
      <w:r w:rsidR="007770E4" w:rsidRPr="00D920C9">
        <w:rPr>
          <w:rFonts w:asciiTheme="minorHAnsi" w:hAnsiTheme="minorHAnsi"/>
          <w:szCs w:val="20"/>
        </w:rPr>
        <w:t>infringing those rights, but</w:t>
      </w:r>
      <w:r w:rsidR="00C71DC0" w:rsidRPr="00D920C9">
        <w:rPr>
          <w:rFonts w:asciiTheme="minorHAnsi" w:hAnsiTheme="minorHAnsi"/>
          <w:szCs w:val="20"/>
        </w:rPr>
        <w:t xml:space="preserve"> also demand </w:t>
      </w:r>
      <w:r w:rsidR="007770E4" w:rsidRPr="00D920C9">
        <w:rPr>
          <w:rFonts w:asciiTheme="minorHAnsi" w:hAnsiTheme="minorHAnsi"/>
          <w:szCs w:val="20"/>
        </w:rPr>
        <w:t xml:space="preserve">the protection and </w:t>
      </w:r>
      <w:r w:rsidR="007770E4" w:rsidRPr="00D920C9">
        <w:rPr>
          <w:rFonts w:asciiTheme="minorHAnsi" w:hAnsiTheme="minorHAnsi"/>
        </w:rPr>
        <w:t>preservation of</w:t>
      </w:r>
      <w:r w:rsidR="00C71DC0" w:rsidRPr="00D920C9">
        <w:rPr>
          <w:rFonts w:asciiTheme="minorHAnsi" w:hAnsiTheme="minorHAnsi"/>
        </w:rPr>
        <w:t xml:space="preserve"> those rights. Thus, the State’s actions in discharging its duties of securi</w:t>
      </w:r>
      <w:r w:rsidR="0025402C" w:rsidRPr="00D920C9">
        <w:rPr>
          <w:rFonts w:asciiTheme="minorHAnsi" w:hAnsiTheme="minorHAnsi"/>
        </w:rPr>
        <w:t>ty and law and order must safeguard</w:t>
      </w:r>
      <w:r w:rsidR="00C71DC0" w:rsidRPr="00D920C9">
        <w:rPr>
          <w:rFonts w:asciiTheme="minorHAnsi" w:hAnsiTheme="minorHAnsi"/>
        </w:rPr>
        <w:t xml:space="preserve"> that any risk to </w:t>
      </w:r>
      <w:r w:rsidR="00893A6A" w:rsidRPr="00D920C9">
        <w:rPr>
          <w:rFonts w:asciiTheme="minorHAnsi" w:hAnsiTheme="minorHAnsi"/>
        </w:rPr>
        <w:t>basic</w:t>
      </w:r>
      <w:r w:rsidR="00C71DC0" w:rsidRPr="00D920C9">
        <w:rPr>
          <w:rFonts w:asciiTheme="minorHAnsi" w:hAnsiTheme="minorHAnsi"/>
        </w:rPr>
        <w:t xml:space="preserve"> rights is minimized by </w:t>
      </w:r>
      <w:r w:rsidR="00893A6A" w:rsidRPr="00D920C9">
        <w:rPr>
          <w:rFonts w:asciiTheme="minorHAnsi" w:hAnsiTheme="minorHAnsi"/>
        </w:rPr>
        <w:t xml:space="preserve">ensuring </w:t>
      </w:r>
      <w:r w:rsidR="00C71DC0" w:rsidRPr="00D920C9">
        <w:rPr>
          <w:rFonts w:asciiTheme="minorHAnsi" w:hAnsiTheme="minorHAnsi"/>
        </w:rPr>
        <w:t>in strict compliance with the international principles and standards set out below</w:t>
      </w:r>
      <w:r w:rsidR="00B4412C" w:rsidRPr="00D920C9">
        <w:rPr>
          <w:rFonts w:asciiTheme="minorHAnsi" w:hAnsiTheme="minorHAnsi"/>
        </w:rPr>
        <w:t>.</w:t>
      </w:r>
      <w:r w:rsidR="00B4412C" w:rsidRPr="00D920C9">
        <w:rPr>
          <w:rFonts w:asciiTheme="minorHAnsi" w:hAnsiTheme="minorHAnsi"/>
          <w:vertAlign w:val="superscript"/>
        </w:rPr>
        <w:footnoteReference w:id="448"/>
      </w:r>
      <w:bookmarkEnd w:id="172"/>
      <w:r w:rsidR="00B4412C" w:rsidRPr="00D920C9">
        <w:rPr>
          <w:rFonts w:asciiTheme="minorHAnsi" w:hAnsiTheme="minorHAnsi"/>
        </w:rPr>
        <w:t xml:space="preserve"> </w:t>
      </w:r>
    </w:p>
    <w:p w14:paraId="1BB3CAD6" w14:textId="6D1F5D85" w:rsidR="001B5BAA" w:rsidRPr="00D920C9" w:rsidRDefault="00B4412C" w:rsidP="00E86698">
      <w:pPr>
        <w:pStyle w:val="ListParagraph"/>
        <w:numPr>
          <w:ilvl w:val="0"/>
          <w:numId w:val="9"/>
        </w:numPr>
        <w:spacing w:after="240" w:line="240" w:lineRule="auto"/>
        <w:ind w:left="547" w:hanging="547"/>
        <w:contextualSpacing w:val="0"/>
        <w:jc w:val="both"/>
        <w:rPr>
          <w:rFonts w:asciiTheme="minorHAnsi" w:hAnsiTheme="minorHAnsi"/>
        </w:rPr>
      </w:pPr>
      <w:r w:rsidRPr="00D920C9">
        <w:rPr>
          <w:rFonts w:asciiTheme="minorHAnsi" w:hAnsiTheme="minorHAnsi"/>
        </w:rPr>
        <w:t xml:space="preserve">The use of force </w:t>
      </w:r>
      <w:r w:rsidR="00893A6A" w:rsidRPr="00D920C9">
        <w:rPr>
          <w:rFonts w:asciiTheme="minorHAnsi" w:hAnsiTheme="minorHAnsi"/>
        </w:rPr>
        <w:t>must</w:t>
      </w:r>
      <w:r w:rsidRPr="00D920C9">
        <w:rPr>
          <w:rFonts w:asciiTheme="minorHAnsi" w:hAnsiTheme="minorHAnsi"/>
        </w:rPr>
        <w:t xml:space="preserve"> be guided by the principles of legality, </w:t>
      </w:r>
      <w:r w:rsidR="00893A6A" w:rsidRPr="00D920C9">
        <w:rPr>
          <w:rFonts w:asciiTheme="minorHAnsi" w:hAnsiTheme="minorHAnsi"/>
        </w:rPr>
        <w:t>absolute</w:t>
      </w:r>
      <w:r w:rsidR="00D06953" w:rsidRPr="00D920C9">
        <w:rPr>
          <w:rFonts w:asciiTheme="minorHAnsi" w:hAnsiTheme="minorHAnsi"/>
        </w:rPr>
        <w:t xml:space="preserve"> </w:t>
      </w:r>
      <w:r w:rsidRPr="00D920C9">
        <w:rPr>
          <w:rFonts w:asciiTheme="minorHAnsi" w:hAnsiTheme="minorHAnsi"/>
        </w:rPr>
        <w:t>necessity</w:t>
      </w:r>
      <w:r w:rsidR="00893A6A" w:rsidRPr="00D920C9">
        <w:rPr>
          <w:rFonts w:asciiTheme="minorHAnsi" w:hAnsiTheme="minorHAnsi"/>
        </w:rPr>
        <w:t>, and proportionality</w:t>
      </w:r>
      <w:r w:rsidRPr="00D920C9">
        <w:rPr>
          <w:rFonts w:asciiTheme="minorHAnsi" w:hAnsiTheme="minorHAnsi"/>
        </w:rPr>
        <w:t>.</w:t>
      </w:r>
      <w:r w:rsidRPr="00D920C9">
        <w:rPr>
          <w:rFonts w:asciiTheme="minorHAnsi" w:hAnsiTheme="minorHAnsi"/>
          <w:vertAlign w:val="superscript"/>
        </w:rPr>
        <w:footnoteReference w:id="449"/>
      </w:r>
      <w:r w:rsidRPr="00D920C9">
        <w:rPr>
          <w:rFonts w:asciiTheme="minorHAnsi" w:hAnsiTheme="minorHAnsi"/>
        </w:rPr>
        <w:t xml:space="preserve"> In conjunction, these principles lead to the conclusion that “use of force is a last resort that is to be limited both qualitatively and quantitatively, employed solely to prevent a more serious occurrence than the one that prompted the State to intervene.”</w:t>
      </w:r>
      <w:r w:rsidRPr="00D920C9">
        <w:rPr>
          <w:rFonts w:asciiTheme="minorHAnsi" w:hAnsiTheme="minorHAnsi"/>
          <w:vertAlign w:val="superscript"/>
        </w:rPr>
        <w:footnoteReference w:id="450"/>
      </w:r>
      <w:r w:rsidRPr="00D920C9">
        <w:rPr>
          <w:rFonts w:asciiTheme="minorHAnsi" w:hAnsiTheme="minorHAnsi"/>
        </w:rPr>
        <w:t xml:space="preserve"> </w:t>
      </w:r>
    </w:p>
    <w:p w14:paraId="5B7931B5" w14:textId="77777777" w:rsidR="00B4412C" w:rsidRPr="00D920C9" w:rsidRDefault="001B5BAA" w:rsidP="00E86698">
      <w:pPr>
        <w:pStyle w:val="ListParagraph"/>
        <w:numPr>
          <w:ilvl w:val="0"/>
          <w:numId w:val="9"/>
        </w:numPr>
        <w:spacing w:after="240" w:line="240" w:lineRule="auto"/>
        <w:ind w:left="547" w:hanging="547"/>
        <w:contextualSpacing w:val="0"/>
        <w:jc w:val="both"/>
        <w:rPr>
          <w:rFonts w:asciiTheme="minorHAnsi" w:hAnsiTheme="minorHAnsi"/>
          <w:szCs w:val="20"/>
        </w:rPr>
      </w:pPr>
      <w:r w:rsidRPr="00D920C9">
        <w:rPr>
          <w:rFonts w:asciiTheme="minorHAnsi" w:hAnsiTheme="minorHAnsi"/>
        </w:rPr>
        <w:lastRenderedPageBreak/>
        <w:t>According to the</w:t>
      </w:r>
      <w:r w:rsidR="00352483" w:rsidRPr="00D920C9">
        <w:rPr>
          <w:rFonts w:asciiTheme="minorHAnsi" w:hAnsiTheme="minorHAnsi"/>
        </w:rPr>
        <w:t xml:space="preserve"> U.N. </w:t>
      </w:r>
      <w:r w:rsidRPr="00D920C9">
        <w:rPr>
          <w:rFonts w:asciiTheme="minorHAnsi" w:hAnsiTheme="minorHAnsi"/>
        </w:rPr>
        <w:t>Code of Conduct for Law Enforcement Officials (“U</w:t>
      </w:r>
      <w:r w:rsidR="00352483" w:rsidRPr="00D920C9">
        <w:rPr>
          <w:rFonts w:asciiTheme="minorHAnsi" w:hAnsiTheme="minorHAnsi"/>
        </w:rPr>
        <w:t>.</w:t>
      </w:r>
      <w:r w:rsidRPr="00D920C9">
        <w:rPr>
          <w:rFonts w:asciiTheme="minorHAnsi" w:hAnsiTheme="minorHAnsi"/>
        </w:rPr>
        <w:t>N</w:t>
      </w:r>
      <w:r w:rsidR="00352483" w:rsidRPr="00D920C9">
        <w:rPr>
          <w:rFonts w:asciiTheme="minorHAnsi" w:hAnsiTheme="minorHAnsi"/>
        </w:rPr>
        <w:t>.</w:t>
      </w:r>
      <w:r w:rsidRPr="00D920C9">
        <w:rPr>
          <w:rFonts w:asciiTheme="minorHAnsi" w:hAnsiTheme="minorHAnsi"/>
        </w:rPr>
        <w:t xml:space="preserve"> Code of Conduct”), adopted by the</w:t>
      </w:r>
      <w:r w:rsidR="00352483" w:rsidRPr="00D920C9">
        <w:rPr>
          <w:rFonts w:asciiTheme="minorHAnsi" w:hAnsiTheme="minorHAnsi"/>
        </w:rPr>
        <w:t xml:space="preserve"> U.N. </w:t>
      </w:r>
      <w:r w:rsidRPr="00D920C9">
        <w:rPr>
          <w:rFonts w:asciiTheme="minorHAnsi" w:hAnsiTheme="minorHAnsi"/>
        </w:rPr>
        <w:t>General Assembly in 1979, and the</w:t>
      </w:r>
      <w:r w:rsidR="00352483" w:rsidRPr="00D920C9">
        <w:rPr>
          <w:rFonts w:asciiTheme="minorHAnsi" w:hAnsiTheme="minorHAnsi"/>
        </w:rPr>
        <w:t xml:space="preserve"> U.N. </w:t>
      </w:r>
      <w:r w:rsidRPr="00D920C9">
        <w:rPr>
          <w:rFonts w:asciiTheme="minorHAnsi" w:hAnsiTheme="minorHAnsi"/>
        </w:rPr>
        <w:t>Basic Principles on the Use of Force and Firearms by Law Enforcement Officials</w:t>
      </w:r>
      <w:r w:rsidRPr="00D920C9">
        <w:rPr>
          <w:rFonts w:asciiTheme="minorHAnsi" w:eastAsia="Times New Roman" w:hAnsiTheme="minorHAnsi"/>
          <w:szCs w:val="20"/>
          <w:lang w:eastAsia="es-ES"/>
        </w:rPr>
        <w:t xml:space="preserve"> (“U</w:t>
      </w:r>
      <w:r w:rsidR="00352483" w:rsidRPr="00D920C9">
        <w:rPr>
          <w:rFonts w:asciiTheme="minorHAnsi" w:eastAsia="Times New Roman" w:hAnsiTheme="minorHAnsi"/>
          <w:szCs w:val="20"/>
          <w:lang w:eastAsia="es-ES"/>
        </w:rPr>
        <w:t>.</w:t>
      </w:r>
      <w:r w:rsidRPr="00D920C9">
        <w:rPr>
          <w:rFonts w:asciiTheme="minorHAnsi" w:eastAsia="Times New Roman" w:hAnsiTheme="minorHAnsi"/>
          <w:szCs w:val="20"/>
          <w:lang w:eastAsia="es-ES"/>
        </w:rPr>
        <w:t>N</w:t>
      </w:r>
      <w:r w:rsidR="00352483" w:rsidRPr="00D920C9">
        <w:rPr>
          <w:rFonts w:asciiTheme="minorHAnsi" w:eastAsia="Times New Roman" w:hAnsiTheme="minorHAnsi"/>
          <w:szCs w:val="20"/>
          <w:lang w:eastAsia="es-ES"/>
        </w:rPr>
        <w:t>.</w:t>
      </w:r>
      <w:r w:rsidRPr="00D920C9">
        <w:rPr>
          <w:rFonts w:asciiTheme="minorHAnsi" w:eastAsia="Times New Roman" w:hAnsiTheme="minorHAnsi"/>
          <w:szCs w:val="20"/>
          <w:lang w:eastAsia="es-ES"/>
        </w:rPr>
        <w:t xml:space="preserve"> Basic Principles”) of 1990,</w:t>
      </w:r>
      <w:r w:rsidR="00CA648A" w:rsidRPr="00D920C9">
        <w:rPr>
          <w:rFonts w:asciiTheme="minorHAnsi" w:eastAsia="Times New Roman" w:hAnsiTheme="minorHAnsi"/>
          <w:szCs w:val="20"/>
          <w:lang w:eastAsia="es-ES"/>
        </w:rPr>
        <w:t xml:space="preserve"> law enforcement officials may use force only when strictly necessary.</w:t>
      </w:r>
      <w:r w:rsidR="00CA648A" w:rsidRPr="00D920C9">
        <w:rPr>
          <w:rStyle w:val="FootnoteReference"/>
          <w:rFonts w:asciiTheme="minorHAnsi" w:eastAsia="Times New Roman" w:hAnsiTheme="minorHAnsi"/>
          <w:szCs w:val="20"/>
          <w:lang w:eastAsia="es-ES"/>
        </w:rPr>
        <w:footnoteReference w:id="451"/>
      </w:r>
      <w:r w:rsidR="00CA648A" w:rsidRPr="00D920C9">
        <w:rPr>
          <w:rFonts w:asciiTheme="minorHAnsi" w:eastAsia="Times New Roman" w:hAnsiTheme="minorHAnsi"/>
          <w:szCs w:val="20"/>
          <w:lang w:eastAsia="es-ES"/>
        </w:rPr>
        <w:t xml:space="preserve"> According to the Basic Principles: </w:t>
      </w:r>
      <w:r w:rsidRPr="00D920C9">
        <w:rPr>
          <w:rFonts w:asciiTheme="minorHAnsi" w:eastAsia="Times New Roman" w:hAnsiTheme="minorHAnsi"/>
          <w:szCs w:val="20"/>
          <w:lang w:eastAsia="es-ES"/>
        </w:rPr>
        <w:t xml:space="preserve"> </w:t>
      </w:r>
    </w:p>
    <w:p w14:paraId="5374CEE9" w14:textId="77777777" w:rsidR="00B4412C" w:rsidRPr="00D920C9" w:rsidRDefault="00B4412C" w:rsidP="00CF0731">
      <w:pPr>
        <w:autoSpaceDE w:val="0"/>
        <w:autoSpaceDN w:val="0"/>
        <w:adjustRightInd w:val="0"/>
        <w:spacing w:after="240" w:line="240" w:lineRule="auto"/>
        <w:ind w:left="1166" w:right="619"/>
        <w:jc w:val="both"/>
        <w:rPr>
          <w:rFonts w:asciiTheme="minorHAnsi" w:eastAsia="Cambria" w:hAnsiTheme="minorHAnsi"/>
          <w:szCs w:val="18"/>
        </w:rPr>
      </w:pPr>
      <w:r w:rsidRPr="00D920C9">
        <w:rPr>
          <w:rFonts w:asciiTheme="minorHAnsi" w:eastAsia="Cambria" w:hAnsiTheme="minorHAnsi"/>
          <w:szCs w:val="18"/>
        </w:rPr>
        <w:t>Law enforcement officials shall not use firearms against persons except in self-</w:t>
      </w:r>
      <w:proofErr w:type="spellStart"/>
      <w:r w:rsidRPr="00D920C9">
        <w:rPr>
          <w:rFonts w:asciiTheme="minorHAnsi" w:eastAsia="Cambria" w:hAnsiTheme="minorHAnsi"/>
          <w:szCs w:val="18"/>
        </w:rPr>
        <w:t>defen</w:t>
      </w:r>
      <w:proofErr w:type="spellEnd"/>
      <w:r w:rsidRPr="00D920C9">
        <w:rPr>
          <w:rFonts w:asciiTheme="minorHAnsi" w:eastAsia="Cambria" w:hAnsiTheme="minorHAnsi"/>
          <w:szCs w:val="18"/>
        </w:rPr>
        <w:t xml:space="preserve">[s]e or </w:t>
      </w:r>
      <w:proofErr w:type="spellStart"/>
      <w:r w:rsidRPr="00D920C9">
        <w:rPr>
          <w:rFonts w:asciiTheme="minorHAnsi" w:eastAsia="Cambria" w:hAnsiTheme="minorHAnsi"/>
          <w:szCs w:val="18"/>
        </w:rPr>
        <w:t>defen</w:t>
      </w:r>
      <w:proofErr w:type="spellEnd"/>
      <w:r w:rsidRPr="00D920C9">
        <w:rPr>
          <w:rFonts w:asciiTheme="minorHAnsi" w:eastAsia="Cambria" w:hAnsiTheme="minorHAnsi"/>
          <w:szCs w:val="18"/>
        </w:rPr>
        <w:t>[s]e of others against the imminent threat of death or serious injury, to prevent the perpetration of a particularly serious crime involving grave threat to life, to arrest a person presenting such a danger and resisting their authority, or to prevent his or her escape, and only when less extreme means are insufficient to achieve these objectives. In any event, intentional lethal use of firearms may only be made when strictly unavoidable in order to protect life.</w:t>
      </w:r>
      <w:r w:rsidRPr="00D920C9">
        <w:rPr>
          <w:rStyle w:val="FootnoteReference"/>
          <w:rFonts w:asciiTheme="minorHAnsi" w:eastAsia="Cambria" w:hAnsiTheme="minorHAnsi"/>
          <w:szCs w:val="18"/>
        </w:rPr>
        <w:footnoteReference w:id="452"/>
      </w:r>
    </w:p>
    <w:p w14:paraId="43329889" w14:textId="77777777" w:rsidR="00B4412C" w:rsidRPr="00D920C9" w:rsidRDefault="00B4412C" w:rsidP="00E86698">
      <w:pPr>
        <w:pStyle w:val="ListParagraph"/>
        <w:numPr>
          <w:ilvl w:val="0"/>
          <w:numId w:val="9"/>
        </w:numPr>
        <w:spacing w:after="240" w:line="240" w:lineRule="auto"/>
        <w:ind w:left="547" w:hanging="547"/>
        <w:contextualSpacing w:val="0"/>
        <w:jc w:val="both"/>
        <w:rPr>
          <w:rFonts w:asciiTheme="minorHAnsi" w:hAnsiTheme="minorHAnsi"/>
        </w:rPr>
      </w:pPr>
      <w:r w:rsidRPr="00D920C9">
        <w:rPr>
          <w:rFonts w:asciiTheme="minorHAnsi" w:hAnsiTheme="minorHAnsi"/>
          <w:szCs w:val="20"/>
        </w:rPr>
        <w:t xml:space="preserve">As a threshold matter, the principle of </w:t>
      </w:r>
      <w:r w:rsidRPr="00D920C9">
        <w:rPr>
          <w:rFonts w:asciiTheme="minorHAnsi" w:hAnsiTheme="minorHAnsi"/>
          <w:i/>
          <w:szCs w:val="20"/>
        </w:rPr>
        <w:t>legality</w:t>
      </w:r>
      <w:r w:rsidRPr="00D920C9">
        <w:rPr>
          <w:rFonts w:asciiTheme="minorHAnsi" w:hAnsiTheme="minorHAnsi"/>
          <w:szCs w:val="20"/>
        </w:rPr>
        <w:t xml:space="preserve"> requires that the exceptional use of lethal force by State agents be regulated by law in a sufficiently clear manner, and interpreted narrowly so as to minimize its use in every circumstance.</w:t>
      </w:r>
      <w:r w:rsidRPr="00D920C9">
        <w:rPr>
          <w:rStyle w:val="FootnoteReference"/>
          <w:rFonts w:asciiTheme="minorHAnsi" w:hAnsiTheme="minorHAnsi"/>
          <w:szCs w:val="20"/>
        </w:rPr>
        <w:footnoteReference w:id="453"/>
      </w:r>
      <w:r w:rsidRPr="00D920C9">
        <w:rPr>
          <w:rFonts w:asciiTheme="minorHAnsi" w:hAnsiTheme="minorHAnsi"/>
          <w:szCs w:val="20"/>
        </w:rPr>
        <w:t xml:space="preserve"> Domestic regulation is of particular importance in this context; as the Special Rapporteur on Extrajudicial Executions has stated, “</w:t>
      </w:r>
      <w:r w:rsidR="00D9152E" w:rsidRPr="00D920C9">
        <w:rPr>
          <w:rFonts w:asciiTheme="minorHAnsi" w:hAnsiTheme="minorHAnsi"/>
          <w:szCs w:val="20"/>
        </w:rPr>
        <w:t>[t]</w:t>
      </w:r>
      <w:r w:rsidRPr="00D920C9">
        <w:rPr>
          <w:rFonts w:asciiTheme="minorHAnsi" w:hAnsiTheme="minorHAnsi"/>
          <w:szCs w:val="20"/>
        </w:rPr>
        <w:t xml:space="preserve">he specific relevance of domestic law stems from the fact that the laws of each State remain the first line and in many cases effectively the last line of </w:t>
      </w:r>
      <w:proofErr w:type="spellStart"/>
      <w:r w:rsidRPr="00D920C9">
        <w:rPr>
          <w:rFonts w:asciiTheme="minorHAnsi" w:hAnsiTheme="minorHAnsi"/>
          <w:szCs w:val="20"/>
        </w:rPr>
        <w:t>defen</w:t>
      </w:r>
      <w:proofErr w:type="spellEnd"/>
      <w:r w:rsidRPr="00D920C9">
        <w:rPr>
          <w:rFonts w:asciiTheme="minorHAnsi" w:hAnsiTheme="minorHAnsi"/>
          <w:szCs w:val="20"/>
        </w:rPr>
        <w:t xml:space="preserve">[s]e for the protection of the right to life,” because the content of internal law frames and </w:t>
      </w:r>
      <w:r w:rsidRPr="00D920C9">
        <w:rPr>
          <w:rFonts w:asciiTheme="minorHAnsi" w:hAnsiTheme="minorHAnsi"/>
        </w:rPr>
        <w:t>determines legal liability and available remedies for the excessive use of force.</w:t>
      </w:r>
      <w:r w:rsidRPr="00D920C9">
        <w:rPr>
          <w:rFonts w:asciiTheme="minorHAnsi" w:hAnsiTheme="minorHAnsi"/>
          <w:vertAlign w:val="superscript"/>
        </w:rPr>
        <w:footnoteReference w:id="454"/>
      </w:r>
      <w:r w:rsidRPr="00D920C9">
        <w:rPr>
          <w:rFonts w:asciiTheme="minorHAnsi" w:hAnsiTheme="minorHAnsi"/>
        </w:rPr>
        <w:t xml:space="preserve"> </w:t>
      </w:r>
      <w:r w:rsidR="0073426B" w:rsidRPr="00D920C9">
        <w:rPr>
          <w:rFonts w:asciiTheme="minorHAnsi" w:hAnsiTheme="minorHAnsi"/>
        </w:rPr>
        <w:t>In this regard, the Inter-American Court has established the State obligation to adapt domestic legislation and “to ensure that its security forces, which are entitled to use legitimate force, respect the right to life of those who a</w:t>
      </w:r>
      <w:r w:rsidR="00C46BFA" w:rsidRPr="00D920C9">
        <w:rPr>
          <w:rFonts w:asciiTheme="minorHAnsi" w:hAnsiTheme="minorHAnsi"/>
        </w:rPr>
        <w:t>re under its jurisdiction.”</w:t>
      </w:r>
      <w:r w:rsidR="00C46BFA" w:rsidRPr="00D920C9">
        <w:rPr>
          <w:rFonts w:asciiTheme="minorHAnsi" w:hAnsiTheme="minorHAnsi"/>
          <w:vertAlign w:val="superscript"/>
        </w:rPr>
        <w:footnoteReference w:id="455"/>
      </w:r>
      <w:r w:rsidR="00C46BFA" w:rsidRPr="00D920C9">
        <w:rPr>
          <w:rFonts w:asciiTheme="minorHAnsi" w:hAnsiTheme="minorHAnsi"/>
        </w:rPr>
        <w:t xml:space="preserve"> Likewise, “t</w:t>
      </w:r>
      <w:r w:rsidR="0073426B" w:rsidRPr="00D920C9">
        <w:rPr>
          <w:rFonts w:asciiTheme="minorHAnsi" w:hAnsiTheme="minorHAnsi"/>
        </w:rPr>
        <w:t xml:space="preserve">he State must be clear when defining domestic policies on the use of force </w:t>
      </w:r>
      <w:r w:rsidR="0073426B" w:rsidRPr="00D920C9">
        <w:rPr>
          <w:rFonts w:asciiTheme="minorHAnsi" w:hAnsiTheme="minorHAnsi"/>
        </w:rPr>
        <w:lastRenderedPageBreak/>
        <w:t>and pursue strategies to implement the Principles on the Use of Fo</w:t>
      </w:r>
      <w:r w:rsidR="00C46BFA" w:rsidRPr="00D920C9">
        <w:rPr>
          <w:rFonts w:asciiTheme="minorHAnsi" w:hAnsiTheme="minorHAnsi"/>
        </w:rPr>
        <w:t>rce and the Code of Conduct.”</w:t>
      </w:r>
      <w:r w:rsidR="00C46BFA" w:rsidRPr="00D920C9">
        <w:rPr>
          <w:rFonts w:asciiTheme="minorHAnsi" w:hAnsiTheme="minorHAnsi"/>
          <w:vertAlign w:val="superscript"/>
        </w:rPr>
        <w:footnoteReference w:id="456"/>
      </w:r>
    </w:p>
    <w:p w14:paraId="07129C16" w14:textId="14AE86B5" w:rsidR="00B4412C" w:rsidRPr="00D920C9" w:rsidRDefault="00B4412C" w:rsidP="001167CB">
      <w:pPr>
        <w:pStyle w:val="ListParagraph"/>
        <w:numPr>
          <w:ilvl w:val="0"/>
          <w:numId w:val="9"/>
        </w:numPr>
        <w:spacing w:after="240" w:line="240" w:lineRule="auto"/>
        <w:ind w:left="547" w:hanging="547"/>
        <w:contextualSpacing w:val="0"/>
        <w:jc w:val="both"/>
        <w:rPr>
          <w:rFonts w:asciiTheme="minorHAnsi" w:hAnsiTheme="minorHAnsi"/>
          <w:szCs w:val="20"/>
        </w:rPr>
      </w:pPr>
      <w:bookmarkStart w:id="173" w:name="_Ref507172647"/>
      <w:r w:rsidRPr="00D920C9">
        <w:rPr>
          <w:rFonts w:asciiTheme="minorHAnsi" w:hAnsiTheme="minorHAnsi"/>
        </w:rPr>
        <w:t>The principle of legality also requires</w:t>
      </w:r>
      <w:r w:rsidRPr="00D920C9">
        <w:rPr>
          <w:rFonts w:asciiTheme="minorHAnsi" w:hAnsiTheme="minorHAnsi"/>
          <w:szCs w:val="20"/>
        </w:rPr>
        <w:t xml:space="preserve"> the regulation of the types of firearms and ammunition permitted.  The United Nations </w:t>
      </w:r>
      <w:r w:rsidRPr="00D920C9">
        <w:rPr>
          <w:rFonts w:asciiTheme="minorHAnsi" w:hAnsiTheme="minorHAnsi"/>
          <w:i/>
          <w:szCs w:val="20"/>
        </w:rPr>
        <w:t>Principles on the Use of Force</w:t>
      </w:r>
      <w:r w:rsidRPr="00D920C9">
        <w:rPr>
          <w:rFonts w:asciiTheme="minorHAnsi" w:hAnsiTheme="minorHAnsi"/>
          <w:szCs w:val="20"/>
        </w:rPr>
        <w:t xml:space="preserve"> state that these regulations should:</w:t>
      </w:r>
      <w:bookmarkEnd w:id="173"/>
      <w:r w:rsidRPr="00D920C9">
        <w:rPr>
          <w:rFonts w:asciiTheme="minorHAnsi" w:hAnsiTheme="minorHAnsi"/>
          <w:szCs w:val="20"/>
        </w:rPr>
        <w:t xml:space="preserve"> </w:t>
      </w:r>
    </w:p>
    <w:p w14:paraId="6FFAA313" w14:textId="77777777" w:rsidR="00B4412C" w:rsidRPr="00D920C9" w:rsidRDefault="00B4412C" w:rsidP="00C91E4F">
      <w:pPr>
        <w:pStyle w:val="ListParagraph"/>
        <w:numPr>
          <w:ilvl w:val="0"/>
          <w:numId w:val="10"/>
        </w:numPr>
        <w:spacing w:after="120" w:line="240" w:lineRule="auto"/>
        <w:ind w:left="1170" w:hanging="630"/>
        <w:contextualSpacing w:val="0"/>
        <w:jc w:val="both"/>
        <w:rPr>
          <w:rFonts w:asciiTheme="minorHAnsi" w:hAnsiTheme="minorHAnsi"/>
          <w:szCs w:val="18"/>
        </w:rPr>
      </w:pPr>
      <w:r w:rsidRPr="00D920C9">
        <w:rPr>
          <w:rFonts w:asciiTheme="minorHAnsi" w:hAnsiTheme="minorHAnsi"/>
          <w:szCs w:val="18"/>
        </w:rPr>
        <w:t>Specify the circumstances under which law enforcement officials are authorized to carry firearms and prescribe the types of firearms and ammunition permitted;</w:t>
      </w:r>
    </w:p>
    <w:p w14:paraId="7D4EFABF" w14:textId="77777777" w:rsidR="00B4412C" w:rsidRPr="00D920C9" w:rsidRDefault="00B4412C" w:rsidP="00C91E4F">
      <w:pPr>
        <w:pStyle w:val="ListParagraph"/>
        <w:numPr>
          <w:ilvl w:val="0"/>
          <w:numId w:val="10"/>
        </w:numPr>
        <w:spacing w:after="120" w:line="240" w:lineRule="auto"/>
        <w:ind w:left="1170" w:hanging="630"/>
        <w:contextualSpacing w:val="0"/>
        <w:jc w:val="both"/>
        <w:rPr>
          <w:rFonts w:asciiTheme="minorHAnsi" w:hAnsiTheme="minorHAnsi"/>
          <w:szCs w:val="18"/>
        </w:rPr>
      </w:pPr>
      <w:r w:rsidRPr="00D920C9">
        <w:rPr>
          <w:rFonts w:asciiTheme="minorHAnsi" w:hAnsiTheme="minorHAnsi"/>
          <w:szCs w:val="18"/>
        </w:rPr>
        <w:t xml:space="preserve">Ensure that firearms are used only in appropriate circumstances and in a manner likely to decrease the risk of unnecessary harm; </w:t>
      </w:r>
    </w:p>
    <w:p w14:paraId="59F6727D" w14:textId="77777777" w:rsidR="00B4412C" w:rsidRPr="00D920C9" w:rsidRDefault="00B4412C" w:rsidP="00C91E4F">
      <w:pPr>
        <w:pStyle w:val="ListParagraph"/>
        <w:numPr>
          <w:ilvl w:val="0"/>
          <w:numId w:val="10"/>
        </w:numPr>
        <w:spacing w:after="120" w:line="240" w:lineRule="auto"/>
        <w:ind w:left="1170" w:hanging="630"/>
        <w:contextualSpacing w:val="0"/>
        <w:jc w:val="both"/>
        <w:rPr>
          <w:rFonts w:asciiTheme="minorHAnsi" w:hAnsiTheme="minorHAnsi"/>
          <w:szCs w:val="18"/>
        </w:rPr>
      </w:pPr>
      <w:r w:rsidRPr="00D920C9">
        <w:rPr>
          <w:rFonts w:asciiTheme="minorHAnsi" w:hAnsiTheme="minorHAnsi"/>
          <w:szCs w:val="18"/>
        </w:rPr>
        <w:t xml:space="preserve">Prohibit the use of those firearms and ammunition that cause unwarranted injury or present an unwarranted risk; </w:t>
      </w:r>
    </w:p>
    <w:p w14:paraId="5E92FE0C" w14:textId="77777777" w:rsidR="00B4412C" w:rsidRPr="00D920C9" w:rsidRDefault="00B4412C" w:rsidP="00C91E4F">
      <w:pPr>
        <w:pStyle w:val="ListParagraph"/>
        <w:numPr>
          <w:ilvl w:val="0"/>
          <w:numId w:val="10"/>
        </w:numPr>
        <w:spacing w:after="120" w:line="240" w:lineRule="auto"/>
        <w:ind w:left="1170" w:hanging="630"/>
        <w:contextualSpacing w:val="0"/>
        <w:jc w:val="both"/>
        <w:rPr>
          <w:rFonts w:asciiTheme="minorHAnsi" w:hAnsiTheme="minorHAnsi"/>
          <w:szCs w:val="18"/>
        </w:rPr>
      </w:pPr>
      <w:r w:rsidRPr="00D920C9">
        <w:rPr>
          <w:rFonts w:asciiTheme="minorHAnsi" w:hAnsiTheme="minorHAnsi"/>
          <w:szCs w:val="18"/>
        </w:rPr>
        <w:t xml:space="preserve">Regulate the control, storage and issuing of firearms, including procedures for ensuring that law enforcement officials are accountable for the firearms and ammunition issued to them; </w:t>
      </w:r>
    </w:p>
    <w:p w14:paraId="48290DFE" w14:textId="77777777" w:rsidR="00B4412C" w:rsidRPr="00D920C9" w:rsidRDefault="00B4412C" w:rsidP="00C91E4F">
      <w:pPr>
        <w:pStyle w:val="ListParagraph"/>
        <w:numPr>
          <w:ilvl w:val="0"/>
          <w:numId w:val="10"/>
        </w:numPr>
        <w:spacing w:after="120" w:line="240" w:lineRule="auto"/>
        <w:ind w:left="1170" w:hanging="630"/>
        <w:contextualSpacing w:val="0"/>
        <w:jc w:val="both"/>
        <w:rPr>
          <w:rFonts w:asciiTheme="minorHAnsi" w:hAnsiTheme="minorHAnsi"/>
          <w:szCs w:val="18"/>
        </w:rPr>
      </w:pPr>
      <w:r w:rsidRPr="00D920C9">
        <w:rPr>
          <w:rFonts w:asciiTheme="minorHAnsi" w:hAnsiTheme="minorHAnsi"/>
          <w:szCs w:val="18"/>
        </w:rPr>
        <w:t xml:space="preserve">Provide for warnings to be given, if appropriate, when firearms are to be discharged; </w:t>
      </w:r>
    </w:p>
    <w:p w14:paraId="6A0A97DF" w14:textId="77777777" w:rsidR="00B4412C" w:rsidRPr="00D920C9" w:rsidRDefault="00B4412C" w:rsidP="00C91E4F">
      <w:pPr>
        <w:pStyle w:val="ListParagraph"/>
        <w:numPr>
          <w:ilvl w:val="0"/>
          <w:numId w:val="10"/>
        </w:numPr>
        <w:spacing w:after="240" w:line="240" w:lineRule="auto"/>
        <w:ind w:left="1170" w:hanging="630"/>
        <w:contextualSpacing w:val="0"/>
        <w:jc w:val="both"/>
        <w:rPr>
          <w:rFonts w:asciiTheme="minorHAnsi" w:hAnsiTheme="minorHAnsi"/>
          <w:szCs w:val="18"/>
        </w:rPr>
      </w:pPr>
      <w:r w:rsidRPr="00D920C9">
        <w:rPr>
          <w:rFonts w:asciiTheme="minorHAnsi" w:hAnsiTheme="minorHAnsi"/>
          <w:szCs w:val="18"/>
        </w:rPr>
        <w:t>Provide for a system of reporting whenever law enforcement officials use firearms in the performance of their duty.</w:t>
      </w:r>
      <w:r w:rsidRPr="00D920C9">
        <w:rPr>
          <w:rStyle w:val="FootnoteReference"/>
          <w:rFonts w:asciiTheme="minorHAnsi" w:hAnsiTheme="minorHAnsi"/>
          <w:szCs w:val="18"/>
        </w:rPr>
        <w:footnoteReference w:id="457"/>
      </w:r>
    </w:p>
    <w:p w14:paraId="3371349B" w14:textId="35358BA9" w:rsidR="00C12FC7" w:rsidRPr="00D920C9" w:rsidRDefault="00442729" w:rsidP="00E86698">
      <w:pPr>
        <w:pStyle w:val="ListParagraph"/>
        <w:numPr>
          <w:ilvl w:val="0"/>
          <w:numId w:val="9"/>
        </w:numPr>
        <w:spacing w:after="240" w:line="240" w:lineRule="auto"/>
        <w:ind w:left="547" w:hanging="547"/>
        <w:contextualSpacing w:val="0"/>
        <w:jc w:val="both"/>
        <w:rPr>
          <w:rFonts w:asciiTheme="minorHAnsi" w:hAnsiTheme="minorHAnsi"/>
        </w:rPr>
      </w:pPr>
      <w:r w:rsidRPr="00D920C9">
        <w:rPr>
          <w:rFonts w:asciiTheme="minorHAnsi" w:hAnsiTheme="minorHAnsi"/>
          <w:szCs w:val="20"/>
        </w:rPr>
        <w:t xml:space="preserve">The principle of </w:t>
      </w:r>
      <w:r w:rsidR="002E7A5A" w:rsidRPr="00D920C9">
        <w:rPr>
          <w:rFonts w:asciiTheme="minorHAnsi" w:hAnsiTheme="minorHAnsi"/>
          <w:i/>
          <w:szCs w:val="20"/>
        </w:rPr>
        <w:t>absolute</w:t>
      </w:r>
      <w:r w:rsidR="002E7A5A" w:rsidRPr="00D920C9">
        <w:rPr>
          <w:rFonts w:asciiTheme="minorHAnsi" w:hAnsiTheme="minorHAnsi"/>
          <w:szCs w:val="20"/>
        </w:rPr>
        <w:t xml:space="preserve"> </w:t>
      </w:r>
      <w:r w:rsidRPr="00D920C9">
        <w:rPr>
          <w:rFonts w:asciiTheme="minorHAnsi" w:hAnsiTheme="minorHAnsi"/>
          <w:i/>
          <w:szCs w:val="20"/>
        </w:rPr>
        <w:t>necessity</w:t>
      </w:r>
      <w:r w:rsidRPr="00D920C9">
        <w:rPr>
          <w:rFonts w:asciiTheme="minorHAnsi" w:hAnsiTheme="minorHAnsi"/>
          <w:szCs w:val="20"/>
        </w:rPr>
        <w:t xml:space="preserve"> requires that officers </w:t>
      </w:r>
      <w:r w:rsidR="00C12FC7" w:rsidRPr="00D920C9">
        <w:rPr>
          <w:rFonts w:asciiTheme="minorHAnsi" w:hAnsiTheme="minorHAnsi"/>
          <w:szCs w:val="20"/>
        </w:rPr>
        <w:t>apply nonviolent means before resorting to the use of force and firearms i</w:t>
      </w:r>
      <w:r w:rsidR="00C12FC7" w:rsidRPr="00D920C9">
        <w:rPr>
          <w:rFonts w:asciiTheme="minorHAnsi" w:eastAsia="Times New Roman" w:hAnsiTheme="minorHAnsi"/>
          <w:szCs w:val="20"/>
          <w:lang w:eastAsia="es-ES"/>
        </w:rPr>
        <w:t>n carrying out their duty</w:t>
      </w:r>
      <w:r w:rsidR="00C12FC7" w:rsidRPr="00D920C9">
        <w:rPr>
          <w:rFonts w:asciiTheme="minorHAnsi" w:hAnsiTheme="minorHAnsi"/>
          <w:szCs w:val="20"/>
        </w:rPr>
        <w:t xml:space="preserve">, and </w:t>
      </w:r>
      <w:r w:rsidR="00C12FC7" w:rsidRPr="00D920C9">
        <w:rPr>
          <w:rFonts w:asciiTheme="minorHAnsi" w:eastAsia="Times New Roman" w:hAnsiTheme="minorHAnsi"/>
          <w:szCs w:val="20"/>
          <w:lang w:eastAsia="es-ES"/>
        </w:rPr>
        <w:t xml:space="preserve">use force only if other means </w:t>
      </w:r>
      <w:r w:rsidR="00910DA6" w:rsidRPr="00D920C9">
        <w:rPr>
          <w:rFonts w:asciiTheme="minorHAnsi" w:eastAsia="Times New Roman" w:hAnsiTheme="minorHAnsi"/>
          <w:szCs w:val="20"/>
          <w:lang w:eastAsia="es-ES"/>
        </w:rPr>
        <w:t>are</w:t>
      </w:r>
      <w:r w:rsidR="00C12FC7" w:rsidRPr="00D920C9">
        <w:rPr>
          <w:rFonts w:asciiTheme="minorHAnsi" w:eastAsia="Times New Roman" w:hAnsiTheme="minorHAnsi"/>
          <w:szCs w:val="20"/>
          <w:lang w:eastAsia="es-ES"/>
        </w:rPr>
        <w:t xml:space="preserve"> ineffective or lack any promise of achieving the intended result.</w:t>
      </w:r>
      <w:r w:rsidR="00C12FC7" w:rsidRPr="00D920C9">
        <w:rPr>
          <w:rFonts w:asciiTheme="minorHAnsi" w:eastAsia="Times New Roman" w:hAnsiTheme="minorHAnsi"/>
          <w:szCs w:val="20"/>
          <w:vertAlign w:val="superscript"/>
          <w:lang w:eastAsia="es-ES"/>
        </w:rPr>
        <w:footnoteReference w:id="458"/>
      </w:r>
      <w:r w:rsidR="00C12FC7" w:rsidRPr="00D920C9">
        <w:rPr>
          <w:rFonts w:asciiTheme="minorHAnsi" w:eastAsia="Times New Roman" w:hAnsiTheme="minorHAnsi"/>
          <w:szCs w:val="20"/>
          <w:lang w:eastAsia="es-ES"/>
        </w:rPr>
        <w:t xml:space="preserve"> Thus, it is necessary to </w:t>
      </w:r>
      <w:r w:rsidRPr="00D920C9">
        <w:rPr>
          <w:rFonts w:asciiTheme="minorHAnsi" w:eastAsia="Times New Roman" w:hAnsiTheme="minorHAnsi"/>
          <w:szCs w:val="20"/>
          <w:lang w:eastAsia="es-ES"/>
        </w:rPr>
        <w:t xml:space="preserve">verify whether other less harmful means exist </w:t>
      </w:r>
      <w:r w:rsidRPr="00D920C9">
        <w:rPr>
          <w:rFonts w:asciiTheme="minorHAnsi" w:hAnsiTheme="minorHAnsi"/>
        </w:rPr>
        <w:t xml:space="preserve">to safeguard the life and integrity of the </w:t>
      </w:r>
      <w:r w:rsidR="0043644A" w:rsidRPr="00D920C9">
        <w:rPr>
          <w:rFonts w:asciiTheme="minorHAnsi" w:hAnsiTheme="minorHAnsi"/>
        </w:rPr>
        <w:t xml:space="preserve">person or </w:t>
      </w:r>
      <w:r w:rsidRPr="00D920C9">
        <w:rPr>
          <w:rFonts w:asciiTheme="minorHAnsi" w:hAnsiTheme="minorHAnsi"/>
        </w:rPr>
        <w:t>person</w:t>
      </w:r>
      <w:r w:rsidR="00910DA6" w:rsidRPr="00D920C9">
        <w:rPr>
          <w:rFonts w:asciiTheme="minorHAnsi" w:hAnsiTheme="minorHAnsi"/>
        </w:rPr>
        <w:t>s whom</w:t>
      </w:r>
      <w:r w:rsidRPr="00D920C9">
        <w:rPr>
          <w:rFonts w:asciiTheme="minorHAnsi" w:hAnsiTheme="minorHAnsi"/>
        </w:rPr>
        <w:t xml:space="preserve"> the officer seeks to protect under the circumstances of each case.</w:t>
      </w:r>
      <w:r w:rsidRPr="00D920C9">
        <w:rPr>
          <w:rFonts w:asciiTheme="minorHAnsi" w:hAnsiTheme="minorHAnsi"/>
          <w:vertAlign w:val="superscript"/>
        </w:rPr>
        <w:footnoteReference w:id="459"/>
      </w:r>
      <w:r w:rsidRPr="00D920C9">
        <w:rPr>
          <w:rFonts w:asciiTheme="minorHAnsi" w:hAnsiTheme="minorHAnsi"/>
        </w:rPr>
        <w:t xml:space="preserve"> This requirement cannot be met where the person does not represent a direct danger, “even when the failure to use force results in the loss of the opportunity to capture them.”</w:t>
      </w:r>
      <w:r w:rsidRPr="00D920C9">
        <w:rPr>
          <w:rFonts w:asciiTheme="minorHAnsi" w:hAnsiTheme="minorHAnsi"/>
          <w:vertAlign w:val="superscript"/>
        </w:rPr>
        <w:footnoteReference w:id="460"/>
      </w:r>
      <w:r w:rsidRPr="00D920C9">
        <w:rPr>
          <w:rFonts w:asciiTheme="minorHAnsi" w:hAnsiTheme="minorHAnsi"/>
        </w:rPr>
        <w:t xml:space="preserve"> </w:t>
      </w:r>
    </w:p>
    <w:p w14:paraId="18FBFC0C" w14:textId="623B95E7" w:rsidR="00442729" w:rsidRPr="00D920C9" w:rsidRDefault="00442729" w:rsidP="00E86698">
      <w:pPr>
        <w:pStyle w:val="ListParagraph"/>
        <w:numPr>
          <w:ilvl w:val="0"/>
          <w:numId w:val="9"/>
        </w:numPr>
        <w:spacing w:after="240" w:line="240" w:lineRule="auto"/>
        <w:ind w:left="547" w:hanging="547"/>
        <w:contextualSpacing w:val="0"/>
        <w:jc w:val="both"/>
        <w:rPr>
          <w:rFonts w:asciiTheme="minorHAnsi" w:hAnsiTheme="minorHAnsi"/>
        </w:rPr>
      </w:pPr>
      <w:r w:rsidRPr="00D920C9">
        <w:rPr>
          <w:rFonts w:asciiTheme="minorHAnsi" w:hAnsiTheme="minorHAnsi"/>
        </w:rPr>
        <w:t>The principle of proportionality requires that law enforcement officers</w:t>
      </w:r>
      <w:r w:rsidR="00814641" w:rsidRPr="00D920C9">
        <w:rPr>
          <w:rFonts w:asciiTheme="minorHAnsi" w:hAnsiTheme="minorHAnsi"/>
        </w:rPr>
        <w:t xml:space="preserve"> “apply a standard of differentiated use of force, determining the level of cooperation, resistance, or aggressiveness of the person involved and, on </w:t>
      </w:r>
      <w:r w:rsidR="00814641" w:rsidRPr="00D920C9">
        <w:rPr>
          <w:rFonts w:asciiTheme="minorHAnsi" w:hAnsiTheme="minorHAnsi"/>
        </w:rPr>
        <w:lastRenderedPageBreak/>
        <w:t>this basis, use tactics of negotiation, control or use of force, as appropriate.”</w:t>
      </w:r>
      <w:r w:rsidR="00814641" w:rsidRPr="00D920C9">
        <w:rPr>
          <w:rFonts w:asciiTheme="minorHAnsi" w:hAnsiTheme="minorHAnsi"/>
          <w:vertAlign w:val="superscript"/>
        </w:rPr>
        <w:footnoteReference w:id="461"/>
      </w:r>
      <w:r w:rsidR="00C12FC7" w:rsidRPr="00D920C9">
        <w:rPr>
          <w:rFonts w:asciiTheme="minorHAnsi" w:hAnsiTheme="minorHAnsi"/>
        </w:rPr>
        <w:t xml:space="preserve"> Thus, law enforcement officials</w:t>
      </w:r>
      <w:r w:rsidR="00160213" w:rsidRPr="00D920C9">
        <w:rPr>
          <w:rFonts w:asciiTheme="minorHAnsi" w:hAnsiTheme="minorHAnsi"/>
        </w:rPr>
        <w:t xml:space="preserve"> should exercise moderation in their actions</w:t>
      </w:r>
      <w:r w:rsidR="00C12FC7" w:rsidRPr="00D920C9">
        <w:rPr>
          <w:rFonts w:asciiTheme="minorHAnsi" w:hAnsiTheme="minorHAnsi"/>
        </w:rPr>
        <w:t xml:space="preserve"> in an effort to minimize the harm and injuries that may result from their intervention, guarantee immediate assistance to the persons negatively impacted, and endeavor to inform next-of-kin or loved ones of the situation as soon as possible.</w:t>
      </w:r>
      <w:r w:rsidR="00C12FC7" w:rsidRPr="00D920C9">
        <w:rPr>
          <w:rFonts w:asciiTheme="minorHAnsi" w:hAnsiTheme="minorHAnsi"/>
          <w:vertAlign w:val="superscript"/>
        </w:rPr>
        <w:footnoteReference w:id="462"/>
      </w:r>
      <w:r w:rsidR="00C12FC7" w:rsidRPr="00D920C9">
        <w:rPr>
          <w:rFonts w:asciiTheme="minorHAnsi" w:hAnsiTheme="minorHAnsi"/>
        </w:rPr>
        <w:t xml:space="preserve"> Circumstances including “the level of intensity and danger of the threat; the attitude of the individual; the conditions of the surrounding area</w:t>
      </w:r>
      <w:r w:rsidR="00910DA6" w:rsidRPr="00D920C9">
        <w:rPr>
          <w:rFonts w:asciiTheme="minorHAnsi" w:hAnsiTheme="minorHAnsi"/>
        </w:rPr>
        <w:t>;</w:t>
      </w:r>
      <w:r w:rsidR="00C12FC7" w:rsidRPr="00D920C9">
        <w:rPr>
          <w:rFonts w:asciiTheme="minorHAnsi" w:hAnsiTheme="minorHAnsi"/>
        </w:rPr>
        <w:t xml:space="preserve"> and the means available to the agent to deal with the specific situation” are relevant to evaluating the proportionality of interventions by the law enforcement agents.</w:t>
      </w:r>
      <w:r w:rsidR="00160213" w:rsidRPr="00D920C9">
        <w:rPr>
          <w:rFonts w:asciiTheme="minorHAnsi" w:hAnsiTheme="minorHAnsi"/>
          <w:vertAlign w:val="superscript"/>
        </w:rPr>
        <w:footnoteReference w:id="463"/>
      </w:r>
    </w:p>
    <w:p w14:paraId="160114C1" w14:textId="77777777" w:rsidR="001F1D81" w:rsidRPr="00D920C9" w:rsidRDefault="00C71DC0" w:rsidP="00E86698">
      <w:pPr>
        <w:pStyle w:val="ListParagraph"/>
        <w:numPr>
          <w:ilvl w:val="0"/>
          <w:numId w:val="9"/>
        </w:numPr>
        <w:spacing w:after="240" w:line="240" w:lineRule="auto"/>
        <w:ind w:left="547" w:hanging="547"/>
        <w:contextualSpacing w:val="0"/>
        <w:jc w:val="both"/>
        <w:rPr>
          <w:rFonts w:asciiTheme="minorHAnsi" w:hAnsiTheme="minorHAnsi"/>
        </w:rPr>
      </w:pPr>
      <w:r w:rsidRPr="00D920C9">
        <w:rPr>
          <w:rFonts w:asciiTheme="minorHAnsi" w:hAnsiTheme="minorHAnsi"/>
        </w:rPr>
        <w:t>T</w:t>
      </w:r>
      <w:r w:rsidR="00B4412C" w:rsidRPr="00D920C9">
        <w:rPr>
          <w:rFonts w:asciiTheme="minorHAnsi" w:hAnsiTheme="minorHAnsi"/>
        </w:rPr>
        <w:t>he use of lethal force (i.e. force that has the capacity to cause death) by law enforcement officers is legitimate only to save the life of a person or to protect a person from serious injury.</w:t>
      </w:r>
      <w:r w:rsidR="00B4412C" w:rsidRPr="00D920C9">
        <w:rPr>
          <w:rFonts w:asciiTheme="minorHAnsi" w:hAnsiTheme="minorHAnsi"/>
          <w:vertAlign w:val="superscript"/>
        </w:rPr>
        <w:footnoteReference w:id="464"/>
      </w:r>
      <w:r w:rsidR="00B4412C" w:rsidRPr="00D920C9">
        <w:rPr>
          <w:rFonts w:asciiTheme="minorHAnsi" w:hAnsiTheme="minorHAnsi"/>
        </w:rPr>
        <w:t xml:space="preserve"> This means that if lethal force is used in furtherance of any objective other than saving life or limb, it will be considered excessive.</w:t>
      </w:r>
      <w:r w:rsidR="00B4412C" w:rsidRPr="00D920C9">
        <w:rPr>
          <w:rFonts w:asciiTheme="minorHAnsi" w:hAnsiTheme="minorHAnsi"/>
          <w:vertAlign w:val="superscript"/>
        </w:rPr>
        <w:footnoteReference w:id="465"/>
      </w:r>
      <w:r w:rsidR="00B4412C" w:rsidRPr="00D920C9">
        <w:rPr>
          <w:rFonts w:asciiTheme="minorHAnsi" w:hAnsiTheme="minorHAnsi"/>
        </w:rPr>
        <w:t xml:space="preserve"> Similarly, Christof </w:t>
      </w:r>
      <w:proofErr w:type="spellStart"/>
      <w:r w:rsidR="00B4412C" w:rsidRPr="00D920C9">
        <w:rPr>
          <w:rFonts w:asciiTheme="minorHAnsi" w:hAnsiTheme="minorHAnsi"/>
        </w:rPr>
        <w:t>Heyns</w:t>
      </w:r>
      <w:proofErr w:type="spellEnd"/>
      <w:r w:rsidR="00B4412C" w:rsidRPr="00D920C9">
        <w:rPr>
          <w:rFonts w:asciiTheme="minorHAnsi" w:hAnsiTheme="minorHAnsi"/>
        </w:rPr>
        <w:t xml:space="preserve">, </w:t>
      </w:r>
      <w:r w:rsidR="007B6526" w:rsidRPr="00D920C9">
        <w:rPr>
          <w:rFonts w:asciiTheme="minorHAnsi" w:hAnsiTheme="minorHAnsi"/>
        </w:rPr>
        <w:t>former</w:t>
      </w:r>
      <w:r w:rsidR="00352483" w:rsidRPr="00D920C9">
        <w:rPr>
          <w:rFonts w:asciiTheme="minorHAnsi" w:hAnsiTheme="minorHAnsi"/>
        </w:rPr>
        <w:t xml:space="preserve"> U.N. </w:t>
      </w:r>
      <w:r w:rsidR="00B4412C" w:rsidRPr="00D920C9">
        <w:rPr>
          <w:rFonts w:asciiTheme="minorHAnsi" w:hAnsiTheme="minorHAnsi"/>
        </w:rPr>
        <w:t>Special Rapporteur on extrajudicial executions, has stated before the Commission that the use of lethal force is legitimate, proportional, and necessary only if it is the means of last resort available to protect another life. Therefore, the use of lethal force will not be justified when seeking, for example, to protect property, avoid non-serious injury, or re-establish public order.</w:t>
      </w:r>
      <w:r w:rsidR="00B4412C" w:rsidRPr="00D920C9">
        <w:rPr>
          <w:rFonts w:asciiTheme="minorHAnsi" w:hAnsiTheme="minorHAnsi"/>
          <w:vertAlign w:val="superscript"/>
        </w:rPr>
        <w:footnoteReference w:id="466"/>
      </w:r>
    </w:p>
    <w:p w14:paraId="4285F306" w14:textId="0A36EB96" w:rsidR="007E3C35" w:rsidRPr="00D920C9" w:rsidRDefault="007E3C35" w:rsidP="00E86698">
      <w:pPr>
        <w:pStyle w:val="ListParagraph"/>
        <w:numPr>
          <w:ilvl w:val="0"/>
          <w:numId w:val="9"/>
        </w:numPr>
        <w:spacing w:after="240" w:line="240" w:lineRule="auto"/>
        <w:ind w:left="547" w:hanging="547"/>
        <w:contextualSpacing w:val="0"/>
        <w:jc w:val="both"/>
        <w:rPr>
          <w:rFonts w:asciiTheme="minorHAnsi" w:hAnsiTheme="minorHAnsi"/>
          <w:szCs w:val="20"/>
        </w:rPr>
      </w:pPr>
      <w:bookmarkStart w:id="174" w:name="_Ref507172452"/>
      <w:r w:rsidRPr="00D920C9">
        <w:rPr>
          <w:rFonts w:asciiTheme="minorHAnsi" w:hAnsiTheme="minorHAnsi"/>
        </w:rPr>
        <w:t xml:space="preserve">Regarding </w:t>
      </w:r>
      <w:r w:rsidR="00890AAC" w:rsidRPr="00D920C9">
        <w:rPr>
          <w:rFonts w:asciiTheme="minorHAnsi" w:hAnsiTheme="minorHAnsi"/>
        </w:rPr>
        <w:t>potential</w:t>
      </w:r>
      <w:r w:rsidRPr="00D920C9">
        <w:rPr>
          <w:rFonts w:asciiTheme="minorHAnsi" w:hAnsiTheme="minorHAnsi"/>
        </w:rPr>
        <w:t xml:space="preserve"> State responsibility for human rights</w:t>
      </w:r>
      <w:r w:rsidR="00920904" w:rsidRPr="00D920C9">
        <w:rPr>
          <w:rFonts w:asciiTheme="minorHAnsi" w:hAnsiTheme="minorHAnsi"/>
        </w:rPr>
        <w:t xml:space="preserve"> violations</w:t>
      </w:r>
      <w:r w:rsidRPr="00D920C9">
        <w:rPr>
          <w:rFonts w:asciiTheme="minorHAnsi" w:hAnsiTheme="minorHAnsi"/>
        </w:rPr>
        <w:t xml:space="preserve">, such as </w:t>
      </w:r>
      <w:r w:rsidR="00920904" w:rsidRPr="00D920C9">
        <w:rPr>
          <w:rFonts w:asciiTheme="minorHAnsi" w:hAnsiTheme="minorHAnsi"/>
        </w:rPr>
        <w:t xml:space="preserve">in </w:t>
      </w:r>
      <w:r w:rsidRPr="00D920C9">
        <w:rPr>
          <w:rFonts w:asciiTheme="minorHAnsi" w:hAnsiTheme="minorHAnsi"/>
        </w:rPr>
        <w:t xml:space="preserve">cases of police violence </w:t>
      </w:r>
      <w:r w:rsidR="00920904" w:rsidRPr="00D920C9">
        <w:rPr>
          <w:rFonts w:asciiTheme="minorHAnsi" w:hAnsiTheme="minorHAnsi"/>
        </w:rPr>
        <w:t>or</w:t>
      </w:r>
      <w:r w:rsidRPr="00D920C9">
        <w:rPr>
          <w:rFonts w:asciiTheme="minorHAnsi" w:hAnsiTheme="minorHAnsi"/>
        </w:rPr>
        <w:t xml:space="preserve"> killings, the Commission recalls that under international law, any </w:t>
      </w:r>
      <w:r w:rsidR="00125C81" w:rsidRPr="00D920C9">
        <w:rPr>
          <w:rFonts w:asciiTheme="minorHAnsi" w:hAnsiTheme="minorHAnsi"/>
        </w:rPr>
        <w:t>violation of</w:t>
      </w:r>
      <w:r w:rsidRPr="00D920C9">
        <w:rPr>
          <w:rFonts w:asciiTheme="minorHAnsi" w:hAnsiTheme="minorHAnsi"/>
        </w:rPr>
        <w:t xml:space="preserve"> human rights </w:t>
      </w:r>
      <w:r w:rsidR="00890AAC" w:rsidRPr="00D920C9">
        <w:rPr>
          <w:rFonts w:asciiTheme="minorHAnsi" w:hAnsiTheme="minorHAnsi"/>
        </w:rPr>
        <w:t xml:space="preserve">that </w:t>
      </w:r>
      <w:r w:rsidR="00D44603" w:rsidRPr="00D920C9">
        <w:rPr>
          <w:rFonts w:asciiTheme="minorHAnsi" w:hAnsiTheme="minorHAnsi"/>
        </w:rPr>
        <w:t>is</w:t>
      </w:r>
      <w:r w:rsidR="00890AAC" w:rsidRPr="00D920C9">
        <w:rPr>
          <w:rFonts w:asciiTheme="minorHAnsi" w:hAnsiTheme="minorHAnsi"/>
        </w:rPr>
        <w:t xml:space="preserve"> attribut</w:t>
      </w:r>
      <w:r w:rsidR="00D44603" w:rsidRPr="00D920C9">
        <w:rPr>
          <w:rFonts w:asciiTheme="minorHAnsi" w:hAnsiTheme="minorHAnsi"/>
        </w:rPr>
        <w:t>abl</w:t>
      </w:r>
      <w:r w:rsidR="00890AAC" w:rsidRPr="00D920C9">
        <w:rPr>
          <w:rFonts w:asciiTheme="minorHAnsi" w:hAnsiTheme="minorHAnsi"/>
        </w:rPr>
        <w:t>e</w:t>
      </w:r>
      <w:r w:rsidRPr="00D920C9">
        <w:rPr>
          <w:rFonts w:asciiTheme="minorHAnsi" w:hAnsiTheme="minorHAnsi"/>
        </w:rPr>
        <w:t xml:space="preserve"> to actions or omissions</w:t>
      </w:r>
      <w:r w:rsidRPr="00D920C9">
        <w:rPr>
          <w:rFonts w:asciiTheme="minorHAnsi" w:hAnsiTheme="minorHAnsi"/>
          <w:szCs w:val="20"/>
        </w:rPr>
        <w:t xml:space="preserve"> by any State agent constitutes an act attributable to the State, irrespective of that agent’s </w:t>
      </w:r>
      <w:r w:rsidR="007425E9" w:rsidRPr="00D920C9">
        <w:rPr>
          <w:rFonts w:asciiTheme="minorHAnsi" w:hAnsiTheme="minorHAnsi"/>
          <w:szCs w:val="20"/>
        </w:rPr>
        <w:t xml:space="preserve">hierarchy </w:t>
      </w:r>
      <w:r w:rsidRPr="00D920C9">
        <w:rPr>
          <w:rFonts w:asciiTheme="minorHAnsi" w:hAnsiTheme="minorHAnsi"/>
          <w:szCs w:val="20"/>
        </w:rPr>
        <w:t xml:space="preserve">and </w:t>
      </w:r>
      <w:r w:rsidR="00920904" w:rsidRPr="00D920C9">
        <w:rPr>
          <w:rFonts w:asciiTheme="minorHAnsi" w:hAnsiTheme="minorHAnsi"/>
          <w:szCs w:val="20"/>
        </w:rPr>
        <w:t>whether</w:t>
      </w:r>
      <w:r w:rsidRPr="00D920C9">
        <w:rPr>
          <w:rFonts w:asciiTheme="minorHAnsi" w:hAnsiTheme="minorHAnsi"/>
          <w:szCs w:val="20"/>
        </w:rPr>
        <w:t xml:space="preserve"> th</w:t>
      </w:r>
      <w:r w:rsidR="00920904" w:rsidRPr="00D920C9">
        <w:rPr>
          <w:rFonts w:asciiTheme="minorHAnsi" w:hAnsiTheme="minorHAnsi"/>
          <w:szCs w:val="20"/>
        </w:rPr>
        <w:t>e</w:t>
      </w:r>
      <w:r w:rsidRPr="00D920C9">
        <w:rPr>
          <w:rFonts w:asciiTheme="minorHAnsi" w:hAnsiTheme="minorHAnsi"/>
          <w:szCs w:val="20"/>
        </w:rPr>
        <w:t xml:space="preserve"> agent is acting outside the </w:t>
      </w:r>
      <w:r w:rsidR="00890AAC" w:rsidRPr="00D920C9">
        <w:rPr>
          <w:rFonts w:asciiTheme="minorHAnsi" w:hAnsiTheme="minorHAnsi"/>
          <w:szCs w:val="20"/>
        </w:rPr>
        <w:t>scope</w:t>
      </w:r>
      <w:r w:rsidRPr="00D920C9">
        <w:rPr>
          <w:rFonts w:asciiTheme="minorHAnsi" w:hAnsiTheme="minorHAnsi"/>
          <w:szCs w:val="20"/>
        </w:rPr>
        <w:t xml:space="preserve"> of his/her </w:t>
      </w:r>
      <w:r w:rsidR="00920904" w:rsidRPr="00D920C9">
        <w:rPr>
          <w:rFonts w:asciiTheme="minorHAnsi" w:hAnsiTheme="minorHAnsi"/>
          <w:szCs w:val="20"/>
        </w:rPr>
        <w:t>authority</w:t>
      </w:r>
      <w:r w:rsidRPr="00D920C9">
        <w:rPr>
          <w:rFonts w:asciiTheme="minorHAnsi" w:hAnsiTheme="minorHAnsi"/>
          <w:szCs w:val="20"/>
        </w:rPr>
        <w:t>.</w:t>
      </w:r>
      <w:r w:rsidRPr="00D920C9">
        <w:rPr>
          <w:rStyle w:val="FootnoteReference"/>
          <w:rFonts w:asciiTheme="minorHAnsi" w:hAnsiTheme="minorHAnsi"/>
          <w:szCs w:val="20"/>
        </w:rPr>
        <w:footnoteReference w:id="467"/>
      </w:r>
      <w:r w:rsidRPr="00D920C9">
        <w:rPr>
          <w:rFonts w:asciiTheme="minorHAnsi" w:hAnsiTheme="minorHAnsi"/>
          <w:szCs w:val="20"/>
        </w:rPr>
        <w:t xml:space="preserve"> </w:t>
      </w:r>
      <w:r w:rsidR="00920904" w:rsidRPr="00D920C9">
        <w:rPr>
          <w:rFonts w:asciiTheme="minorHAnsi" w:hAnsiTheme="minorHAnsi"/>
          <w:szCs w:val="20"/>
        </w:rPr>
        <w:t>T</w:t>
      </w:r>
      <w:r w:rsidRPr="00D920C9">
        <w:rPr>
          <w:rFonts w:asciiTheme="minorHAnsi" w:hAnsiTheme="minorHAnsi"/>
          <w:szCs w:val="20"/>
        </w:rPr>
        <w:t>o establish whether a human rights violation has been committed, it is not necessary to determine, as it is in domestic criminal law, the guilt of the perpetrators or their intent</w:t>
      </w:r>
      <w:r w:rsidR="00920904" w:rsidRPr="00D920C9">
        <w:rPr>
          <w:rFonts w:asciiTheme="minorHAnsi" w:hAnsiTheme="minorHAnsi"/>
          <w:szCs w:val="20"/>
        </w:rPr>
        <w:t xml:space="preserve">, or </w:t>
      </w:r>
      <w:r w:rsidRPr="00D920C9">
        <w:rPr>
          <w:rFonts w:asciiTheme="minorHAnsi" w:hAnsiTheme="minorHAnsi"/>
          <w:szCs w:val="20"/>
        </w:rPr>
        <w:t>to individually identify the agents</w:t>
      </w:r>
      <w:r w:rsidR="00890AAC" w:rsidRPr="00D920C9">
        <w:rPr>
          <w:rFonts w:asciiTheme="minorHAnsi" w:hAnsiTheme="minorHAnsi"/>
          <w:szCs w:val="20"/>
        </w:rPr>
        <w:t>.</w:t>
      </w:r>
      <w:r w:rsidRPr="00D920C9">
        <w:rPr>
          <w:rFonts w:asciiTheme="minorHAnsi" w:hAnsiTheme="minorHAnsi"/>
          <w:szCs w:val="20"/>
        </w:rPr>
        <w:t xml:space="preserve"> It is sufficient that a State </w:t>
      </w:r>
      <w:r w:rsidRPr="00D920C9">
        <w:rPr>
          <w:rFonts w:asciiTheme="minorHAnsi" w:hAnsiTheme="minorHAnsi"/>
          <w:szCs w:val="20"/>
        </w:rPr>
        <w:lastRenderedPageBreak/>
        <w:t>obligation exists and that the State failed to comply with it.</w:t>
      </w:r>
      <w:r w:rsidRPr="00D920C9">
        <w:rPr>
          <w:rStyle w:val="FootnoteReference"/>
          <w:rFonts w:asciiTheme="minorHAnsi" w:hAnsiTheme="minorHAnsi"/>
          <w:szCs w:val="20"/>
        </w:rPr>
        <w:footnoteReference w:id="468"/>
      </w:r>
      <w:r w:rsidRPr="00D920C9">
        <w:rPr>
          <w:rFonts w:asciiTheme="minorHAnsi" w:hAnsiTheme="minorHAnsi"/>
          <w:szCs w:val="20"/>
        </w:rPr>
        <w:t xml:space="preserve"> By the same token, </w:t>
      </w:r>
      <w:r w:rsidR="00890AAC" w:rsidRPr="00D920C9">
        <w:rPr>
          <w:rFonts w:asciiTheme="minorHAnsi" w:hAnsiTheme="minorHAnsi"/>
          <w:szCs w:val="20"/>
        </w:rPr>
        <w:t>States are obligated to organize their</w:t>
      </w:r>
      <w:r w:rsidRPr="00D920C9">
        <w:rPr>
          <w:rFonts w:asciiTheme="minorHAnsi" w:hAnsiTheme="minorHAnsi"/>
          <w:szCs w:val="20"/>
        </w:rPr>
        <w:t xml:space="preserve"> government</w:t>
      </w:r>
      <w:r w:rsidR="00890AAC" w:rsidRPr="00D920C9">
        <w:rPr>
          <w:rFonts w:asciiTheme="minorHAnsi" w:hAnsiTheme="minorHAnsi"/>
          <w:szCs w:val="20"/>
        </w:rPr>
        <w:t>s</w:t>
      </w:r>
      <w:r w:rsidRPr="00D920C9">
        <w:rPr>
          <w:rFonts w:asciiTheme="minorHAnsi" w:hAnsiTheme="minorHAnsi"/>
          <w:szCs w:val="20"/>
        </w:rPr>
        <w:t>—federal, state, and local—</w:t>
      </w:r>
      <w:r w:rsidR="00890AAC" w:rsidRPr="00D920C9">
        <w:rPr>
          <w:rFonts w:asciiTheme="minorHAnsi" w:hAnsiTheme="minorHAnsi"/>
          <w:szCs w:val="20"/>
        </w:rPr>
        <w:t>and, in general, all the structures through which public power is exercised, to ensure the full enjoyment of human rights of all persons subject to their jurisdiction</w:t>
      </w:r>
      <w:r w:rsidRPr="00D920C9">
        <w:rPr>
          <w:rFonts w:asciiTheme="minorHAnsi" w:hAnsiTheme="minorHAnsi"/>
          <w:szCs w:val="20"/>
        </w:rPr>
        <w:t>.</w:t>
      </w:r>
      <w:r w:rsidR="002963FF" w:rsidRPr="00D920C9">
        <w:rPr>
          <w:rStyle w:val="FootnoteReference"/>
          <w:rFonts w:asciiTheme="minorHAnsi" w:hAnsiTheme="minorHAnsi"/>
          <w:szCs w:val="20"/>
        </w:rPr>
        <w:footnoteReference w:id="469"/>
      </w:r>
      <w:bookmarkEnd w:id="174"/>
    </w:p>
    <w:p w14:paraId="27C90EE3" w14:textId="1E2A3727" w:rsidR="00B4412C" w:rsidRPr="00D920C9" w:rsidRDefault="002C70C0" w:rsidP="00226E45">
      <w:pPr>
        <w:pStyle w:val="Heading3"/>
        <w:numPr>
          <w:ilvl w:val="0"/>
          <w:numId w:val="44"/>
        </w:numPr>
        <w:ind w:left="547" w:hanging="547"/>
      </w:pPr>
      <w:bookmarkStart w:id="175" w:name="_Toc511837833"/>
      <w:bookmarkStart w:id="176" w:name="_Toc511903006"/>
      <w:bookmarkStart w:id="177" w:name="_Toc517687935"/>
      <w:r w:rsidRPr="00D920C9">
        <w:t>Domestic L</w:t>
      </w:r>
      <w:r w:rsidR="00B4412C" w:rsidRPr="00D920C9">
        <w:t xml:space="preserve">egal </w:t>
      </w:r>
      <w:r w:rsidR="003A6706" w:rsidRPr="00D920C9">
        <w:t xml:space="preserve">Framework Governing Use </w:t>
      </w:r>
      <w:r w:rsidR="00B4412C" w:rsidRPr="00D920C9">
        <w:t xml:space="preserve">of </w:t>
      </w:r>
      <w:r w:rsidR="003A6706" w:rsidRPr="00D920C9">
        <w:t>Force</w:t>
      </w:r>
      <w:bookmarkEnd w:id="175"/>
      <w:bookmarkEnd w:id="176"/>
      <w:bookmarkEnd w:id="177"/>
    </w:p>
    <w:p w14:paraId="674CEEE8" w14:textId="472E93D8" w:rsidR="0065599A" w:rsidRPr="00D920C9" w:rsidRDefault="0065599A" w:rsidP="00E86698">
      <w:pPr>
        <w:pStyle w:val="ListParagraph"/>
        <w:numPr>
          <w:ilvl w:val="0"/>
          <w:numId w:val="9"/>
        </w:numPr>
        <w:spacing w:after="240" w:line="240" w:lineRule="auto"/>
        <w:ind w:left="547" w:hanging="547"/>
        <w:contextualSpacing w:val="0"/>
        <w:jc w:val="both"/>
        <w:rPr>
          <w:rFonts w:asciiTheme="minorHAnsi" w:hAnsiTheme="minorHAnsi"/>
        </w:rPr>
      </w:pPr>
      <w:bookmarkStart w:id="178" w:name="_Ref507675769"/>
      <w:r w:rsidRPr="00D920C9">
        <w:rPr>
          <w:rFonts w:asciiTheme="minorHAnsi" w:eastAsia="Times New Roman" w:hAnsiTheme="minorHAnsi"/>
          <w:szCs w:val="20"/>
          <w:lang w:eastAsia="es-ES"/>
        </w:rPr>
        <w:t>International bodies have repeatedly noted that the United States’ legal framework for use of force does not comply with international law, and have called for compliance with the</w:t>
      </w:r>
      <w:r w:rsidR="00352483" w:rsidRPr="00D920C9">
        <w:rPr>
          <w:rFonts w:asciiTheme="minorHAnsi" w:eastAsia="Times New Roman" w:hAnsiTheme="minorHAnsi"/>
          <w:szCs w:val="20"/>
          <w:lang w:eastAsia="es-ES"/>
        </w:rPr>
        <w:t xml:space="preserve"> U.N. </w:t>
      </w:r>
      <w:r w:rsidRPr="00D920C9">
        <w:rPr>
          <w:rFonts w:asciiTheme="minorHAnsi" w:eastAsia="Times New Roman" w:hAnsiTheme="minorHAnsi"/>
          <w:szCs w:val="20"/>
          <w:lang w:eastAsia="es-ES"/>
        </w:rPr>
        <w:t>Basic Principles.</w:t>
      </w:r>
      <w:r w:rsidRPr="00D920C9">
        <w:rPr>
          <w:rStyle w:val="FootnoteReference"/>
          <w:rFonts w:asciiTheme="minorHAnsi" w:eastAsia="Times New Roman" w:hAnsiTheme="minorHAnsi"/>
          <w:szCs w:val="20"/>
          <w:lang w:eastAsia="es-ES"/>
        </w:rPr>
        <w:footnoteReference w:id="470"/>
      </w:r>
      <w:r w:rsidRPr="00D920C9">
        <w:rPr>
          <w:rFonts w:asciiTheme="minorHAnsi" w:eastAsia="Times New Roman" w:hAnsiTheme="minorHAnsi"/>
          <w:szCs w:val="20"/>
          <w:lang w:eastAsia="es-ES"/>
        </w:rPr>
        <w:t xml:space="preserve"> </w:t>
      </w:r>
      <w:r w:rsidR="00DE44CE" w:rsidRPr="00D920C9">
        <w:rPr>
          <w:rFonts w:asciiTheme="minorHAnsi" w:eastAsia="Times New Roman" w:hAnsiTheme="minorHAnsi"/>
          <w:szCs w:val="20"/>
          <w:lang w:eastAsia="es-ES"/>
        </w:rPr>
        <w:t xml:space="preserve">The Inter-American </w:t>
      </w:r>
      <w:r w:rsidR="00DE44CE" w:rsidRPr="00D920C9">
        <w:rPr>
          <w:rFonts w:asciiTheme="minorHAnsi" w:hAnsiTheme="minorHAnsi"/>
        </w:rPr>
        <w:t>Commission reiterates this call to bring the U</w:t>
      </w:r>
      <w:r w:rsidR="00352483" w:rsidRPr="00D920C9">
        <w:rPr>
          <w:rFonts w:asciiTheme="minorHAnsi" w:hAnsiTheme="minorHAnsi"/>
        </w:rPr>
        <w:t>.</w:t>
      </w:r>
      <w:r w:rsidR="00DE44CE" w:rsidRPr="00D920C9">
        <w:rPr>
          <w:rFonts w:asciiTheme="minorHAnsi" w:hAnsiTheme="minorHAnsi"/>
        </w:rPr>
        <w:t>S</w:t>
      </w:r>
      <w:r w:rsidR="00352483" w:rsidRPr="00D920C9">
        <w:rPr>
          <w:rFonts w:asciiTheme="minorHAnsi" w:hAnsiTheme="minorHAnsi"/>
        </w:rPr>
        <w:t>.</w:t>
      </w:r>
      <w:r w:rsidR="00F97B50" w:rsidRPr="00D920C9">
        <w:rPr>
          <w:rFonts w:asciiTheme="minorHAnsi" w:hAnsiTheme="minorHAnsi"/>
        </w:rPr>
        <w:t xml:space="preserve">’ domestic law in </w:t>
      </w:r>
      <w:r w:rsidR="00DE44CE" w:rsidRPr="00D920C9">
        <w:rPr>
          <w:rFonts w:asciiTheme="minorHAnsi" w:hAnsiTheme="minorHAnsi"/>
        </w:rPr>
        <w:t>line with international law governing the use of force.</w:t>
      </w:r>
      <w:bookmarkEnd w:id="178"/>
    </w:p>
    <w:p w14:paraId="0A022BFE" w14:textId="29565E52" w:rsidR="0065599A" w:rsidRPr="00D920C9" w:rsidRDefault="003B7CBA" w:rsidP="00E86698">
      <w:pPr>
        <w:pStyle w:val="ListParagraph"/>
        <w:numPr>
          <w:ilvl w:val="0"/>
          <w:numId w:val="9"/>
        </w:numPr>
        <w:spacing w:after="240" w:line="240" w:lineRule="auto"/>
        <w:ind w:left="547" w:hanging="547"/>
        <w:contextualSpacing w:val="0"/>
        <w:jc w:val="both"/>
        <w:rPr>
          <w:rFonts w:asciiTheme="minorHAnsi" w:eastAsia="Times New Roman" w:hAnsiTheme="minorHAnsi"/>
          <w:szCs w:val="20"/>
          <w:lang w:eastAsia="es-ES"/>
        </w:rPr>
      </w:pPr>
      <w:r w:rsidRPr="00D920C9">
        <w:rPr>
          <w:rFonts w:asciiTheme="minorHAnsi" w:hAnsiTheme="minorHAnsi"/>
        </w:rPr>
        <w:t>T</w:t>
      </w:r>
      <w:r w:rsidR="00D70F37" w:rsidRPr="00D920C9">
        <w:rPr>
          <w:rFonts w:asciiTheme="minorHAnsi" w:hAnsiTheme="minorHAnsi"/>
        </w:rPr>
        <w:t xml:space="preserve">he </w:t>
      </w:r>
      <w:r w:rsidR="00352483" w:rsidRPr="00D920C9">
        <w:rPr>
          <w:rFonts w:asciiTheme="minorHAnsi" w:hAnsiTheme="minorHAnsi"/>
        </w:rPr>
        <w:t>U.S.</w:t>
      </w:r>
      <w:r w:rsidR="00D70F37" w:rsidRPr="00D920C9">
        <w:rPr>
          <w:rFonts w:asciiTheme="minorHAnsi" w:hAnsiTheme="minorHAnsi"/>
        </w:rPr>
        <w:t xml:space="preserve"> Supreme Court has established </w:t>
      </w:r>
      <w:r w:rsidR="00907F77" w:rsidRPr="00D920C9">
        <w:rPr>
          <w:rFonts w:asciiTheme="minorHAnsi" w:hAnsiTheme="minorHAnsi"/>
        </w:rPr>
        <w:t xml:space="preserve">in a series of cases that </w:t>
      </w:r>
      <w:r w:rsidR="00D70F37" w:rsidRPr="00D920C9">
        <w:rPr>
          <w:rFonts w:asciiTheme="minorHAnsi" w:hAnsiTheme="minorHAnsi"/>
        </w:rPr>
        <w:t xml:space="preserve">the Constitutional </w:t>
      </w:r>
      <w:r w:rsidRPr="00D920C9">
        <w:rPr>
          <w:rFonts w:asciiTheme="minorHAnsi" w:hAnsiTheme="minorHAnsi"/>
        </w:rPr>
        <w:t xml:space="preserve">standard for use of force </w:t>
      </w:r>
      <w:r w:rsidR="00907F77" w:rsidRPr="00D920C9">
        <w:rPr>
          <w:rFonts w:asciiTheme="minorHAnsi" w:hAnsiTheme="minorHAnsi"/>
        </w:rPr>
        <w:t>is</w:t>
      </w:r>
      <w:r w:rsidR="00D70F37" w:rsidRPr="00D920C9">
        <w:rPr>
          <w:rFonts w:asciiTheme="minorHAnsi" w:hAnsiTheme="minorHAnsi"/>
        </w:rPr>
        <w:t xml:space="preserve"> one of “reasonableness</w:t>
      </w:r>
      <w:r w:rsidRPr="00D920C9">
        <w:rPr>
          <w:rFonts w:asciiTheme="minorHAnsi" w:hAnsiTheme="minorHAnsi"/>
        </w:rPr>
        <w:t>,</w:t>
      </w:r>
      <w:r w:rsidR="00D70F37" w:rsidRPr="00D920C9">
        <w:rPr>
          <w:rFonts w:asciiTheme="minorHAnsi" w:hAnsiTheme="minorHAnsi"/>
        </w:rPr>
        <w:t xml:space="preserve">” </w:t>
      </w:r>
      <w:r w:rsidR="00907F77" w:rsidRPr="00D920C9">
        <w:rPr>
          <w:rFonts w:asciiTheme="minorHAnsi" w:hAnsiTheme="minorHAnsi"/>
        </w:rPr>
        <w:t xml:space="preserve">without </w:t>
      </w:r>
      <w:r w:rsidR="00DE44CE" w:rsidRPr="00D920C9">
        <w:rPr>
          <w:rFonts w:asciiTheme="minorHAnsi" w:hAnsiTheme="minorHAnsi"/>
        </w:rPr>
        <w:t xml:space="preserve">distinguishing between the use of lethal and non-lethal force, and without clearly establishing </w:t>
      </w:r>
      <w:r w:rsidR="00910DA6" w:rsidRPr="00D920C9">
        <w:rPr>
          <w:rFonts w:asciiTheme="minorHAnsi" w:hAnsiTheme="minorHAnsi"/>
        </w:rPr>
        <w:t>absolute</w:t>
      </w:r>
      <w:r w:rsidR="007A45D9" w:rsidRPr="00D920C9">
        <w:rPr>
          <w:rFonts w:asciiTheme="minorHAnsi" w:hAnsiTheme="minorHAnsi"/>
        </w:rPr>
        <w:t xml:space="preserve"> </w:t>
      </w:r>
      <w:r w:rsidR="00DE44CE" w:rsidRPr="00D920C9">
        <w:rPr>
          <w:rFonts w:asciiTheme="minorHAnsi" w:hAnsiTheme="minorHAnsi"/>
        </w:rPr>
        <w:t>necessity, and proportionality as guiding principles</w:t>
      </w:r>
      <w:r w:rsidR="00D70F37" w:rsidRPr="00D920C9">
        <w:rPr>
          <w:rFonts w:asciiTheme="minorHAnsi" w:hAnsiTheme="minorHAnsi"/>
        </w:rPr>
        <w:t>.</w:t>
      </w:r>
      <w:r w:rsidR="00D70F37" w:rsidRPr="00D920C9">
        <w:rPr>
          <w:rFonts w:asciiTheme="minorHAnsi" w:hAnsiTheme="minorHAnsi"/>
          <w:vertAlign w:val="superscript"/>
        </w:rPr>
        <w:footnoteReference w:id="471"/>
      </w:r>
      <w:r w:rsidR="00DE44CE" w:rsidRPr="00D920C9">
        <w:rPr>
          <w:rFonts w:asciiTheme="minorHAnsi" w:hAnsiTheme="minorHAnsi"/>
        </w:rPr>
        <w:t xml:space="preserve"> Among other things, this precludes the application of the strict proportionality test to the use of lethal force, as required by the</w:t>
      </w:r>
      <w:r w:rsidR="00352483" w:rsidRPr="00D920C9">
        <w:rPr>
          <w:rFonts w:asciiTheme="minorHAnsi" w:hAnsiTheme="minorHAnsi"/>
        </w:rPr>
        <w:t xml:space="preserve"> U.N. </w:t>
      </w:r>
      <w:r w:rsidR="00DE44CE" w:rsidRPr="00D920C9">
        <w:rPr>
          <w:rFonts w:asciiTheme="minorHAnsi" w:hAnsiTheme="minorHAnsi"/>
        </w:rPr>
        <w:t>Basic Principles.</w:t>
      </w:r>
      <w:r w:rsidR="00DE44CE" w:rsidRPr="00D920C9">
        <w:rPr>
          <w:rFonts w:asciiTheme="minorHAnsi" w:hAnsiTheme="minorHAnsi"/>
          <w:vertAlign w:val="superscript"/>
        </w:rPr>
        <w:footnoteReference w:id="472"/>
      </w:r>
      <w:r w:rsidR="00FC1912" w:rsidRPr="00D920C9">
        <w:rPr>
          <w:rFonts w:asciiTheme="minorHAnsi" w:hAnsiTheme="minorHAnsi"/>
        </w:rPr>
        <w:t xml:space="preserve"> In particular</w:t>
      </w:r>
      <w:r w:rsidR="00394B2D" w:rsidRPr="00D920C9">
        <w:rPr>
          <w:rFonts w:asciiTheme="minorHAnsi" w:hAnsiTheme="minorHAnsi"/>
        </w:rPr>
        <w:t xml:space="preserve">, </w:t>
      </w:r>
      <w:r w:rsidR="00DE44CE" w:rsidRPr="00D920C9">
        <w:rPr>
          <w:rFonts w:asciiTheme="minorHAnsi" w:hAnsiTheme="minorHAnsi"/>
        </w:rPr>
        <w:t>t</w:t>
      </w:r>
      <w:r w:rsidR="0065599A" w:rsidRPr="00D920C9">
        <w:rPr>
          <w:rFonts w:asciiTheme="minorHAnsi" w:hAnsiTheme="minorHAnsi"/>
        </w:rPr>
        <w:t>he Supreme Court case</w:t>
      </w:r>
      <w:r w:rsidR="00B4412C" w:rsidRPr="00D920C9">
        <w:rPr>
          <w:rFonts w:asciiTheme="minorHAnsi" w:hAnsiTheme="minorHAnsi"/>
        </w:rPr>
        <w:t xml:space="preserve"> Tennessee v. Garne</w:t>
      </w:r>
      <w:r w:rsidR="0065599A" w:rsidRPr="00D920C9">
        <w:rPr>
          <w:rFonts w:asciiTheme="minorHAnsi" w:hAnsiTheme="minorHAnsi"/>
        </w:rPr>
        <w:t xml:space="preserve">r </w:t>
      </w:r>
      <w:r w:rsidR="00DE44CE" w:rsidRPr="00D920C9">
        <w:rPr>
          <w:rFonts w:asciiTheme="minorHAnsi" w:hAnsiTheme="minorHAnsi"/>
        </w:rPr>
        <w:t>addressed</w:t>
      </w:r>
      <w:r w:rsidR="00B4412C" w:rsidRPr="00D920C9">
        <w:rPr>
          <w:rFonts w:asciiTheme="minorHAnsi" w:hAnsiTheme="minorHAnsi"/>
        </w:rPr>
        <w:t xml:space="preserve"> the constitutionality of the use of deadly force to prevent the escape of an apparently unarmed suspected felon. The court concluded that deadly force “may not be used unless it is necessary to prevent the escape and the officer has probable cause to believe that the suspect poses </w:t>
      </w:r>
      <w:r w:rsidR="00B4412C" w:rsidRPr="00D920C9">
        <w:rPr>
          <w:rFonts w:asciiTheme="minorHAnsi" w:hAnsiTheme="minorHAnsi"/>
        </w:rPr>
        <w:lastRenderedPageBreak/>
        <w:t>a significant</w:t>
      </w:r>
      <w:r w:rsidR="00B4412C" w:rsidRPr="00D920C9">
        <w:rPr>
          <w:rFonts w:asciiTheme="minorHAnsi" w:hAnsiTheme="minorHAnsi"/>
          <w:szCs w:val="20"/>
        </w:rPr>
        <w:t xml:space="preserve"> threat of death or serious physical injury to the officer or others.”</w:t>
      </w:r>
      <w:r w:rsidR="00B4412C" w:rsidRPr="00D920C9">
        <w:rPr>
          <w:rStyle w:val="FootnoteReference"/>
          <w:rFonts w:asciiTheme="minorHAnsi" w:hAnsiTheme="minorHAnsi"/>
          <w:szCs w:val="20"/>
        </w:rPr>
        <w:footnoteReference w:id="473"/>
      </w:r>
      <w:r w:rsidR="00B4412C" w:rsidRPr="00D920C9">
        <w:rPr>
          <w:rFonts w:asciiTheme="minorHAnsi" w:hAnsiTheme="minorHAnsi"/>
          <w:szCs w:val="20"/>
        </w:rPr>
        <w:t xml:space="preserve"> </w:t>
      </w:r>
      <w:r w:rsidR="0065599A" w:rsidRPr="00D920C9">
        <w:rPr>
          <w:rFonts w:asciiTheme="minorHAnsi" w:eastAsia="Times New Roman" w:hAnsiTheme="minorHAnsi"/>
          <w:szCs w:val="20"/>
        </w:rPr>
        <w:t xml:space="preserve">Subsequently, the Supreme Court held in </w:t>
      </w:r>
      <w:r w:rsidR="0065599A" w:rsidRPr="00D920C9">
        <w:rPr>
          <w:rFonts w:asciiTheme="minorHAnsi" w:eastAsia="Times New Roman" w:hAnsiTheme="minorHAnsi"/>
          <w:i/>
          <w:szCs w:val="20"/>
        </w:rPr>
        <w:t>Graham v. Connor</w:t>
      </w:r>
      <w:r w:rsidR="0065599A" w:rsidRPr="00D920C9">
        <w:rPr>
          <w:rFonts w:asciiTheme="minorHAnsi" w:eastAsia="Times New Roman" w:hAnsiTheme="minorHAnsi"/>
          <w:szCs w:val="20"/>
        </w:rPr>
        <w:t xml:space="preserve"> that </w:t>
      </w:r>
      <w:r w:rsidR="001869CA" w:rsidRPr="00D920C9">
        <w:rPr>
          <w:rFonts w:asciiTheme="minorHAnsi" w:eastAsia="Times New Roman" w:hAnsiTheme="minorHAnsi"/>
          <w:szCs w:val="20"/>
        </w:rPr>
        <w:t>the “reasonableness” inquiry</w:t>
      </w:r>
      <w:r w:rsidR="00907F77" w:rsidRPr="00D920C9">
        <w:rPr>
          <w:rFonts w:asciiTheme="minorHAnsi" w:eastAsia="Times New Roman" w:hAnsiTheme="minorHAnsi"/>
          <w:szCs w:val="20"/>
        </w:rPr>
        <w:t xml:space="preserve"> required under </w:t>
      </w:r>
      <w:r w:rsidR="00907F77" w:rsidRPr="00D920C9">
        <w:rPr>
          <w:rFonts w:asciiTheme="minorHAnsi" w:eastAsia="Times New Roman" w:hAnsiTheme="minorHAnsi"/>
          <w:i/>
          <w:szCs w:val="20"/>
        </w:rPr>
        <w:t>Garner</w:t>
      </w:r>
      <w:r w:rsidR="003309FE" w:rsidRPr="00D920C9">
        <w:rPr>
          <w:rFonts w:asciiTheme="minorHAnsi" w:eastAsia="Times New Roman" w:hAnsiTheme="minorHAnsi"/>
          <w:szCs w:val="20"/>
        </w:rPr>
        <w:t xml:space="preserve"> looks to the</w:t>
      </w:r>
      <w:r w:rsidR="00907F77" w:rsidRPr="00D920C9">
        <w:rPr>
          <w:rFonts w:asciiTheme="minorHAnsi" w:eastAsia="Times New Roman" w:hAnsiTheme="minorHAnsi"/>
          <w:szCs w:val="20"/>
        </w:rPr>
        <w:t xml:space="preserve"> objective reasonableness of use of force under the circumstances, without regard to the officer’s subjective motives or intention.</w:t>
      </w:r>
      <w:r w:rsidR="00907F77" w:rsidRPr="00D920C9">
        <w:rPr>
          <w:rStyle w:val="FootnoteReference"/>
          <w:rFonts w:asciiTheme="minorHAnsi" w:eastAsia="Times New Roman" w:hAnsiTheme="minorHAnsi"/>
          <w:szCs w:val="20"/>
        </w:rPr>
        <w:footnoteReference w:id="474"/>
      </w:r>
      <w:r w:rsidR="00907F77" w:rsidRPr="00D920C9">
        <w:rPr>
          <w:rFonts w:asciiTheme="minorHAnsi" w:eastAsia="Times New Roman" w:hAnsiTheme="minorHAnsi"/>
          <w:szCs w:val="20"/>
        </w:rPr>
        <w:t xml:space="preserve"> It “requires careful attention to the facts and circumstances of each particular case, including the severity of the crime at issue, whether the suspect poses an immediate threat to the safety of the officers or of others, and whether he is actively resisting arrest or attempting to evade arrest by flight.”</w:t>
      </w:r>
      <w:r w:rsidR="00907F77" w:rsidRPr="00D920C9">
        <w:rPr>
          <w:rStyle w:val="FootnoteReference"/>
          <w:rFonts w:asciiTheme="minorHAnsi" w:eastAsia="Times New Roman" w:hAnsiTheme="minorHAnsi"/>
          <w:szCs w:val="20"/>
        </w:rPr>
        <w:footnoteReference w:id="475"/>
      </w:r>
      <w:r w:rsidR="00907F77" w:rsidRPr="00D920C9">
        <w:rPr>
          <w:rFonts w:asciiTheme="minorHAnsi" w:eastAsia="Times New Roman" w:hAnsiTheme="minorHAnsi"/>
          <w:szCs w:val="20"/>
        </w:rPr>
        <w:t xml:space="preserve"> Significantly, this analysis does not require differentiation between the use of lethal and non-lethal force, and does not identify the elements of necessity and proportionality. </w:t>
      </w:r>
      <w:r w:rsidR="00D44603" w:rsidRPr="00D920C9">
        <w:rPr>
          <w:rFonts w:asciiTheme="minorHAnsi" w:eastAsia="Times New Roman" w:hAnsiTheme="minorHAnsi"/>
          <w:szCs w:val="20"/>
        </w:rPr>
        <w:t>The Court subsequently clarified in</w:t>
      </w:r>
      <w:r w:rsidR="00907F77" w:rsidRPr="00D920C9">
        <w:rPr>
          <w:rFonts w:asciiTheme="minorHAnsi" w:eastAsia="Times New Roman" w:hAnsiTheme="minorHAnsi"/>
          <w:szCs w:val="20"/>
        </w:rPr>
        <w:t xml:space="preserve"> </w:t>
      </w:r>
      <w:r w:rsidR="00907F77" w:rsidRPr="00D920C9">
        <w:rPr>
          <w:rFonts w:asciiTheme="minorHAnsi" w:eastAsia="Times New Roman" w:hAnsiTheme="minorHAnsi"/>
          <w:i/>
          <w:szCs w:val="20"/>
        </w:rPr>
        <w:t>Scott v. Harris</w:t>
      </w:r>
      <w:r w:rsidR="00907F77" w:rsidRPr="00D920C9">
        <w:rPr>
          <w:rFonts w:asciiTheme="minorHAnsi" w:eastAsia="Times New Roman" w:hAnsiTheme="minorHAnsi"/>
          <w:szCs w:val="20"/>
        </w:rPr>
        <w:t xml:space="preserve"> that “</w:t>
      </w:r>
      <w:r w:rsidR="00907F77" w:rsidRPr="00D920C9">
        <w:rPr>
          <w:rFonts w:asciiTheme="minorHAnsi" w:eastAsia="Times New Roman" w:hAnsiTheme="minorHAnsi"/>
          <w:i/>
          <w:szCs w:val="20"/>
        </w:rPr>
        <w:t xml:space="preserve">Garner </w:t>
      </w:r>
      <w:r w:rsidR="00907F77" w:rsidRPr="00D920C9">
        <w:rPr>
          <w:rFonts w:asciiTheme="minorHAnsi" w:eastAsia="Times New Roman" w:hAnsiTheme="minorHAnsi"/>
          <w:szCs w:val="20"/>
        </w:rPr>
        <w:t>did not establish a magical on/off switch that triggers rigid preconditions whenever an officer’s actions constitute ‘deadly force.’”</w:t>
      </w:r>
      <w:r w:rsidR="00907F77" w:rsidRPr="00D920C9">
        <w:rPr>
          <w:rStyle w:val="FootnoteReference"/>
          <w:rFonts w:asciiTheme="minorHAnsi" w:eastAsia="Times New Roman" w:hAnsiTheme="minorHAnsi"/>
          <w:szCs w:val="20"/>
        </w:rPr>
        <w:footnoteReference w:id="476"/>
      </w:r>
      <w:r w:rsidR="00907F77" w:rsidRPr="00D920C9">
        <w:rPr>
          <w:rFonts w:asciiTheme="minorHAnsi" w:eastAsia="Times New Roman" w:hAnsiTheme="minorHAnsi"/>
          <w:szCs w:val="20"/>
        </w:rPr>
        <w:t xml:space="preserve"> The failure to apply different standards to the use of lethal versus non-lethal force clearly runs contrary to the</w:t>
      </w:r>
      <w:r w:rsidR="00352483" w:rsidRPr="00D920C9">
        <w:rPr>
          <w:rFonts w:asciiTheme="minorHAnsi" w:eastAsia="Times New Roman" w:hAnsiTheme="minorHAnsi"/>
          <w:szCs w:val="20"/>
        </w:rPr>
        <w:t xml:space="preserve"> U.N. </w:t>
      </w:r>
      <w:r w:rsidR="00907F77" w:rsidRPr="00D920C9">
        <w:rPr>
          <w:rFonts w:asciiTheme="minorHAnsi" w:eastAsia="Times New Roman" w:hAnsiTheme="minorHAnsi"/>
          <w:szCs w:val="20"/>
        </w:rPr>
        <w:t>Basic Principles</w:t>
      </w:r>
      <w:r w:rsidR="00947EAE" w:rsidRPr="00D920C9">
        <w:rPr>
          <w:rFonts w:asciiTheme="minorHAnsi" w:eastAsia="Times New Roman" w:hAnsiTheme="minorHAnsi"/>
          <w:szCs w:val="20"/>
        </w:rPr>
        <w:t xml:space="preserve"> and the standards of the inter-American human rights system</w:t>
      </w:r>
      <w:r w:rsidR="00907F77" w:rsidRPr="00D920C9">
        <w:rPr>
          <w:rFonts w:asciiTheme="minorHAnsi" w:eastAsia="Times New Roman" w:hAnsiTheme="minorHAnsi"/>
          <w:szCs w:val="20"/>
        </w:rPr>
        <w:t>.</w:t>
      </w:r>
      <w:r w:rsidR="00907F77" w:rsidRPr="00D920C9">
        <w:rPr>
          <w:rStyle w:val="FootnoteReference"/>
          <w:rFonts w:asciiTheme="minorHAnsi" w:eastAsia="Times New Roman" w:hAnsiTheme="minorHAnsi"/>
          <w:szCs w:val="20"/>
        </w:rPr>
        <w:footnoteReference w:id="477"/>
      </w:r>
    </w:p>
    <w:p w14:paraId="105E6287" w14:textId="5174479D" w:rsidR="00B4412C" w:rsidRPr="00D920C9" w:rsidRDefault="00B4412C" w:rsidP="00E86698">
      <w:pPr>
        <w:pStyle w:val="ListParagraph"/>
        <w:numPr>
          <w:ilvl w:val="0"/>
          <w:numId w:val="9"/>
        </w:numPr>
        <w:spacing w:after="240" w:line="240" w:lineRule="auto"/>
        <w:ind w:left="547" w:hanging="547"/>
        <w:contextualSpacing w:val="0"/>
        <w:jc w:val="both"/>
        <w:rPr>
          <w:rFonts w:asciiTheme="minorHAnsi" w:hAnsiTheme="minorHAnsi"/>
        </w:rPr>
      </w:pPr>
      <w:r w:rsidRPr="00D920C9">
        <w:rPr>
          <w:rFonts w:asciiTheme="minorHAnsi" w:eastAsia="Times New Roman" w:hAnsiTheme="minorHAnsi"/>
          <w:szCs w:val="20"/>
          <w:lang w:eastAsia="es-ES"/>
        </w:rPr>
        <w:t xml:space="preserve"> Information received by the Commission indicates that U</w:t>
      </w:r>
      <w:r w:rsidR="00125C81" w:rsidRPr="00D920C9">
        <w:rPr>
          <w:rFonts w:asciiTheme="minorHAnsi" w:eastAsia="Times New Roman" w:hAnsiTheme="minorHAnsi"/>
          <w:szCs w:val="20"/>
          <w:lang w:eastAsia="es-ES"/>
        </w:rPr>
        <w:t>.</w:t>
      </w:r>
      <w:r w:rsidRPr="00D920C9">
        <w:rPr>
          <w:rFonts w:asciiTheme="minorHAnsi" w:eastAsia="Times New Roman" w:hAnsiTheme="minorHAnsi"/>
          <w:szCs w:val="20"/>
          <w:lang w:eastAsia="es-ES"/>
        </w:rPr>
        <w:t>S</w:t>
      </w:r>
      <w:r w:rsidR="00125C81" w:rsidRPr="00D920C9">
        <w:rPr>
          <w:rFonts w:asciiTheme="minorHAnsi" w:eastAsia="Times New Roman" w:hAnsiTheme="minorHAnsi"/>
          <w:szCs w:val="20"/>
          <w:lang w:eastAsia="es-ES"/>
        </w:rPr>
        <w:t>.</w:t>
      </w:r>
      <w:r w:rsidR="006567E3" w:rsidRPr="00D920C9">
        <w:rPr>
          <w:rFonts w:asciiTheme="minorHAnsi" w:eastAsia="Times New Roman" w:hAnsiTheme="minorHAnsi"/>
          <w:szCs w:val="20"/>
          <w:lang w:eastAsia="es-ES"/>
        </w:rPr>
        <w:t xml:space="preserve"> state</w:t>
      </w:r>
      <w:r w:rsidRPr="00D920C9">
        <w:rPr>
          <w:rFonts w:asciiTheme="minorHAnsi" w:eastAsia="Times New Roman" w:hAnsiTheme="minorHAnsi"/>
          <w:szCs w:val="20"/>
          <w:lang w:eastAsia="es-ES"/>
        </w:rPr>
        <w:t xml:space="preserve"> laws fail to meet international standards as well. For example, U</w:t>
      </w:r>
      <w:r w:rsidR="00125C81" w:rsidRPr="00D920C9">
        <w:rPr>
          <w:rFonts w:asciiTheme="minorHAnsi" w:eastAsia="Times New Roman" w:hAnsiTheme="minorHAnsi"/>
          <w:szCs w:val="20"/>
          <w:lang w:eastAsia="es-ES"/>
        </w:rPr>
        <w:t>.</w:t>
      </w:r>
      <w:r w:rsidRPr="00D920C9">
        <w:rPr>
          <w:rFonts w:asciiTheme="minorHAnsi" w:eastAsia="Times New Roman" w:hAnsiTheme="minorHAnsi"/>
          <w:szCs w:val="20"/>
          <w:lang w:eastAsia="es-ES"/>
        </w:rPr>
        <w:t>S</w:t>
      </w:r>
      <w:r w:rsidR="00125C81" w:rsidRPr="00D920C9">
        <w:rPr>
          <w:rFonts w:asciiTheme="minorHAnsi" w:eastAsia="Times New Roman" w:hAnsiTheme="minorHAnsi"/>
          <w:szCs w:val="20"/>
          <w:lang w:eastAsia="es-ES"/>
        </w:rPr>
        <w:t>.</w:t>
      </w:r>
      <w:r w:rsidRPr="00D920C9">
        <w:rPr>
          <w:rFonts w:asciiTheme="minorHAnsi" w:eastAsia="Times New Roman" w:hAnsiTheme="minorHAnsi"/>
          <w:szCs w:val="20"/>
          <w:lang w:eastAsia="es-ES"/>
        </w:rPr>
        <w:t xml:space="preserve"> laws do not include provisions requiring the use of non-violent means prior to resorting to the </w:t>
      </w:r>
      <w:r w:rsidRPr="00D920C9">
        <w:rPr>
          <w:rFonts w:asciiTheme="minorHAnsi" w:hAnsiTheme="minorHAnsi"/>
        </w:rPr>
        <w:t>use of force, requiring that lethal force be used as a last resort, or requiring that a warning be given prior to the use of lethal force.</w:t>
      </w:r>
      <w:r w:rsidRPr="00D920C9">
        <w:rPr>
          <w:rFonts w:asciiTheme="minorHAnsi" w:hAnsiTheme="minorHAnsi"/>
          <w:vertAlign w:val="superscript"/>
        </w:rPr>
        <w:footnoteReference w:id="478"/>
      </w:r>
      <w:r w:rsidRPr="00D920C9">
        <w:rPr>
          <w:rFonts w:asciiTheme="minorHAnsi" w:hAnsiTheme="minorHAnsi"/>
        </w:rPr>
        <w:t xml:space="preserve"> The Commission notes with concern that</w:t>
      </w:r>
      <w:r w:rsidR="003309FE" w:rsidRPr="00D920C9">
        <w:rPr>
          <w:rFonts w:asciiTheme="minorHAnsi" w:hAnsiTheme="minorHAnsi"/>
        </w:rPr>
        <w:t>,</w:t>
      </w:r>
      <w:r w:rsidRPr="00D920C9">
        <w:rPr>
          <w:rFonts w:asciiTheme="minorHAnsi" w:hAnsiTheme="minorHAnsi"/>
        </w:rPr>
        <w:t xml:space="preserve"> in general, state laws do not clearly and objectively define the situations in which the use of lethal force is authorized, and leave a </w:t>
      </w:r>
      <w:r w:rsidR="00FF46FD" w:rsidRPr="00D920C9">
        <w:rPr>
          <w:rFonts w:asciiTheme="minorHAnsi" w:hAnsiTheme="minorHAnsi"/>
        </w:rPr>
        <w:t>large</w:t>
      </w:r>
      <w:r w:rsidRPr="00D920C9">
        <w:rPr>
          <w:rFonts w:asciiTheme="minorHAnsi" w:hAnsiTheme="minorHAnsi"/>
        </w:rPr>
        <w:t xml:space="preserve"> margin of discretion to the understanding of police officers.</w:t>
      </w:r>
      <w:r w:rsidRPr="00D920C9">
        <w:rPr>
          <w:rFonts w:asciiTheme="minorHAnsi" w:hAnsiTheme="minorHAnsi"/>
          <w:vertAlign w:val="superscript"/>
        </w:rPr>
        <w:footnoteReference w:id="479"/>
      </w:r>
      <w:r w:rsidRPr="00D920C9">
        <w:rPr>
          <w:rFonts w:asciiTheme="minorHAnsi" w:hAnsiTheme="minorHAnsi"/>
        </w:rPr>
        <w:t xml:space="preserve"> </w:t>
      </w:r>
    </w:p>
    <w:p w14:paraId="0FF691D0" w14:textId="4F626CAB" w:rsidR="009B7EE9" w:rsidRPr="00D920C9" w:rsidRDefault="009B7EE9" w:rsidP="00E86698">
      <w:pPr>
        <w:pStyle w:val="ListParagraph"/>
        <w:numPr>
          <w:ilvl w:val="0"/>
          <w:numId w:val="9"/>
        </w:numPr>
        <w:spacing w:after="240" w:line="240" w:lineRule="auto"/>
        <w:ind w:left="547" w:hanging="547"/>
        <w:contextualSpacing w:val="0"/>
        <w:jc w:val="both"/>
        <w:rPr>
          <w:rFonts w:asciiTheme="minorHAnsi" w:eastAsia="Times New Roman" w:hAnsiTheme="minorHAnsi"/>
          <w:szCs w:val="20"/>
          <w:lang w:eastAsia="es-ES"/>
        </w:rPr>
      </w:pPr>
      <w:bookmarkStart w:id="179" w:name="_Ref507675772"/>
      <w:r w:rsidRPr="00D920C9">
        <w:rPr>
          <w:rFonts w:asciiTheme="minorHAnsi" w:hAnsiTheme="minorHAnsi"/>
        </w:rPr>
        <w:t xml:space="preserve">The Commission observes with concern that the failure of domestic use of force laws to comply with international standards fundamentally </w:t>
      </w:r>
      <w:r w:rsidR="00D1734A" w:rsidRPr="00D920C9">
        <w:rPr>
          <w:rFonts w:asciiTheme="minorHAnsi" w:hAnsiTheme="minorHAnsi"/>
        </w:rPr>
        <w:t>limits</w:t>
      </w:r>
      <w:r w:rsidRPr="00D920C9">
        <w:rPr>
          <w:rFonts w:asciiTheme="minorHAnsi" w:hAnsiTheme="minorHAnsi"/>
        </w:rPr>
        <w:t xml:space="preserve"> the possibility of effectively investigating, prosecuting, and punishing the excessive use of force by law enforcement agents.</w:t>
      </w:r>
      <w:r w:rsidRPr="00D920C9">
        <w:rPr>
          <w:rFonts w:asciiTheme="minorHAnsi" w:hAnsiTheme="minorHAnsi"/>
          <w:vertAlign w:val="superscript"/>
        </w:rPr>
        <w:footnoteReference w:id="480"/>
      </w:r>
      <w:r w:rsidRPr="00D920C9">
        <w:rPr>
          <w:rFonts w:asciiTheme="minorHAnsi" w:hAnsiTheme="minorHAnsi"/>
        </w:rPr>
        <w:t xml:space="preserve"> Where the law does not effectively prohibit the violation of internationally-recognized rights, it is similarly unable to </w:t>
      </w:r>
      <w:r w:rsidR="00D1734A" w:rsidRPr="00D920C9">
        <w:rPr>
          <w:rFonts w:asciiTheme="minorHAnsi" w:hAnsiTheme="minorHAnsi"/>
        </w:rPr>
        <w:t xml:space="preserve">later </w:t>
      </w:r>
      <w:r w:rsidRPr="00D920C9">
        <w:rPr>
          <w:rFonts w:asciiTheme="minorHAnsi" w:hAnsiTheme="minorHAnsi"/>
        </w:rPr>
        <w:t xml:space="preserve">declare the existence of and punish such </w:t>
      </w:r>
      <w:r w:rsidRPr="00D920C9">
        <w:rPr>
          <w:rFonts w:asciiTheme="minorHAnsi" w:hAnsiTheme="minorHAnsi"/>
        </w:rPr>
        <w:lastRenderedPageBreak/>
        <w:t>violations.</w:t>
      </w:r>
      <w:r w:rsidR="00A00DF4" w:rsidRPr="00D920C9">
        <w:rPr>
          <w:rFonts w:asciiTheme="minorHAnsi" w:hAnsiTheme="minorHAnsi"/>
          <w:vertAlign w:val="superscript"/>
        </w:rPr>
        <w:footnoteReference w:id="481"/>
      </w:r>
      <w:r w:rsidRPr="00D920C9">
        <w:rPr>
          <w:rFonts w:asciiTheme="minorHAnsi" w:hAnsiTheme="minorHAnsi"/>
        </w:rPr>
        <w:t xml:space="preserve"> </w:t>
      </w:r>
      <w:r w:rsidR="00A00DF4" w:rsidRPr="00D920C9">
        <w:rPr>
          <w:rFonts w:asciiTheme="minorHAnsi" w:hAnsiTheme="minorHAnsi"/>
        </w:rPr>
        <w:t>This may create a situation where there is no domestic remedy available for a</w:t>
      </w:r>
      <w:r w:rsidR="00A00DF4" w:rsidRPr="00D920C9">
        <w:rPr>
          <w:rFonts w:asciiTheme="minorHAnsi" w:eastAsia="Times New Roman" w:hAnsiTheme="minorHAnsi"/>
          <w:szCs w:val="20"/>
          <w:lang w:eastAsia="es-ES"/>
        </w:rPr>
        <w:t xml:space="preserve"> human rights violation. </w:t>
      </w:r>
      <w:r w:rsidRPr="00D920C9">
        <w:rPr>
          <w:rFonts w:asciiTheme="minorHAnsi" w:eastAsia="Times New Roman" w:hAnsiTheme="minorHAnsi"/>
          <w:szCs w:val="20"/>
          <w:lang w:eastAsia="es-ES"/>
        </w:rPr>
        <w:t xml:space="preserve">Given its fundamental importance </w:t>
      </w:r>
      <w:r w:rsidR="00A00DF4" w:rsidRPr="00D920C9">
        <w:rPr>
          <w:rFonts w:asciiTheme="minorHAnsi" w:eastAsia="Times New Roman" w:hAnsiTheme="minorHAnsi"/>
          <w:szCs w:val="20"/>
          <w:lang w:eastAsia="es-ES"/>
        </w:rPr>
        <w:t xml:space="preserve">for </w:t>
      </w:r>
      <w:r w:rsidR="009F40FB" w:rsidRPr="00D920C9">
        <w:rPr>
          <w:rFonts w:asciiTheme="minorHAnsi" w:eastAsia="Times New Roman" w:hAnsiTheme="minorHAnsi"/>
          <w:szCs w:val="20"/>
          <w:lang w:eastAsia="es-ES"/>
        </w:rPr>
        <w:t>prevention, investigation, prosecution, and punishment of excessive use of force, the Commission calls on the federal and state governments to urgently undertake to reform their laws governing the use of force to bring them in line with international standards, in order to comply with the principle of legality and in line with the</w:t>
      </w:r>
      <w:r w:rsidR="00352483" w:rsidRPr="00D920C9">
        <w:rPr>
          <w:rFonts w:asciiTheme="minorHAnsi" w:eastAsia="Times New Roman" w:hAnsiTheme="minorHAnsi"/>
          <w:szCs w:val="20"/>
          <w:lang w:eastAsia="es-ES"/>
        </w:rPr>
        <w:t xml:space="preserve"> U.N. </w:t>
      </w:r>
      <w:r w:rsidR="009F40FB" w:rsidRPr="00D920C9">
        <w:rPr>
          <w:rFonts w:asciiTheme="minorHAnsi" w:eastAsia="Times New Roman" w:hAnsiTheme="minorHAnsi"/>
          <w:szCs w:val="20"/>
          <w:lang w:eastAsia="es-ES"/>
        </w:rPr>
        <w:t>Basic Principles and the State’s obligations under the American Declaration.</w:t>
      </w:r>
      <w:bookmarkEnd w:id="179"/>
    </w:p>
    <w:p w14:paraId="3F8638BE" w14:textId="4E712A6A" w:rsidR="003B4D7F" w:rsidRPr="00D920C9" w:rsidRDefault="007151EF" w:rsidP="00226E45">
      <w:pPr>
        <w:pStyle w:val="Heading3"/>
        <w:numPr>
          <w:ilvl w:val="0"/>
          <w:numId w:val="44"/>
        </w:numPr>
        <w:ind w:left="547" w:hanging="547"/>
      </w:pPr>
      <w:bookmarkStart w:id="180" w:name="_Toc511837834"/>
      <w:bookmarkStart w:id="181" w:name="_Toc511903007"/>
      <w:bookmarkStart w:id="182" w:name="_Toc517687936"/>
      <w:r w:rsidRPr="00D920C9">
        <w:t xml:space="preserve">Institutional </w:t>
      </w:r>
      <w:r w:rsidR="003A6706" w:rsidRPr="00D920C9">
        <w:t xml:space="preserve">Reform </w:t>
      </w:r>
      <w:r w:rsidRPr="00D920C9">
        <w:t>and</w:t>
      </w:r>
      <w:r w:rsidR="00B4412C" w:rsidRPr="00D920C9">
        <w:t xml:space="preserve"> </w:t>
      </w:r>
      <w:r w:rsidR="003A6706" w:rsidRPr="00D920C9">
        <w:t xml:space="preserve">Guidelines </w:t>
      </w:r>
      <w:r w:rsidR="00B4412C" w:rsidRPr="00D920C9">
        <w:t xml:space="preserve">for </w:t>
      </w:r>
      <w:r w:rsidR="003A6706" w:rsidRPr="00D920C9">
        <w:t>Policing</w:t>
      </w:r>
      <w:bookmarkEnd w:id="180"/>
      <w:bookmarkEnd w:id="181"/>
      <w:bookmarkEnd w:id="182"/>
    </w:p>
    <w:p w14:paraId="1B3BA758" w14:textId="4C6BAB62" w:rsidR="007425E9" w:rsidRPr="00D920C9" w:rsidRDefault="007425E9" w:rsidP="00E86698">
      <w:pPr>
        <w:pStyle w:val="ListParagraph"/>
        <w:numPr>
          <w:ilvl w:val="0"/>
          <w:numId w:val="9"/>
        </w:numPr>
        <w:spacing w:after="240" w:line="240" w:lineRule="auto"/>
        <w:ind w:left="547" w:hanging="547"/>
        <w:contextualSpacing w:val="0"/>
        <w:jc w:val="both"/>
        <w:rPr>
          <w:rFonts w:asciiTheme="minorHAnsi" w:hAnsiTheme="minorHAnsi"/>
          <w:szCs w:val="20"/>
        </w:rPr>
      </w:pPr>
      <w:r w:rsidRPr="00D920C9">
        <w:rPr>
          <w:rFonts w:asciiTheme="minorHAnsi" w:hAnsiTheme="minorHAnsi"/>
          <w:szCs w:val="20"/>
        </w:rPr>
        <w:t xml:space="preserve">The Commission notes that many issues relating to the excessive use of force by police may be </w:t>
      </w:r>
      <w:r w:rsidR="00FF46FD" w:rsidRPr="00D920C9">
        <w:rPr>
          <w:rFonts w:asciiTheme="minorHAnsi" w:hAnsiTheme="minorHAnsi"/>
          <w:szCs w:val="20"/>
        </w:rPr>
        <w:t>framed</w:t>
      </w:r>
      <w:r w:rsidRPr="00D920C9">
        <w:rPr>
          <w:rFonts w:asciiTheme="minorHAnsi" w:hAnsiTheme="minorHAnsi"/>
          <w:szCs w:val="20"/>
        </w:rPr>
        <w:t xml:space="preserve"> as a failure of the State to </w:t>
      </w:r>
      <w:r w:rsidRPr="00D920C9">
        <w:rPr>
          <w:rFonts w:asciiTheme="minorHAnsi" w:hAnsiTheme="minorHAnsi"/>
        </w:rPr>
        <w:t>prevent</w:t>
      </w:r>
      <w:r w:rsidRPr="00D920C9">
        <w:rPr>
          <w:rFonts w:asciiTheme="minorHAnsi" w:hAnsiTheme="minorHAnsi"/>
          <w:szCs w:val="20"/>
        </w:rPr>
        <w:t xml:space="preserve"> violations.</w:t>
      </w:r>
      <w:r w:rsidR="00FF46FD" w:rsidRPr="00D920C9">
        <w:rPr>
          <w:rStyle w:val="FootnoteReference"/>
          <w:rFonts w:asciiTheme="minorHAnsi" w:hAnsiTheme="minorHAnsi"/>
          <w:szCs w:val="20"/>
        </w:rPr>
        <w:footnoteReference w:id="482"/>
      </w:r>
      <w:r w:rsidRPr="00D920C9">
        <w:rPr>
          <w:rFonts w:asciiTheme="minorHAnsi" w:hAnsiTheme="minorHAnsi"/>
          <w:szCs w:val="20"/>
        </w:rPr>
        <w:t xml:space="preserve"> In this section, the Commission details some pertinent guidelines regarding the training and internal regulation of police forces intended to prevent the excessive use of force and thus protect individuals from cruel, inhuman, or degrading treatment or torture as well as arbitrary deprivations of the right to life.</w:t>
      </w:r>
    </w:p>
    <w:p w14:paraId="5A8FA37F" w14:textId="0BF66306" w:rsidR="00B4412C" w:rsidRPr="00D920C9" w:rsidRDefault="003B4D7F" w:rsidP="00226E45">
      <w:pPr>
        <w:pStyle w:val="Heading4"/>
        <w:keepNext w:val="0"/>
        <w:keepLines w:val="0"/>
        <w:numPr>
          <w:ilvl w:val="0"/>
          <w:numId w:val="37"/>
        </w:numPr>
        <w:ind w:left="547" w:hanging="547"/>
      </w:pPr>
      <w:bookmarkStart w:id="183" w:name="_Toc511837835"/>
      <w:bookmarkStart w:id="184" w:name="_Toc511903008"/>
      <w:bookmarkStart w:id="185" w:name="_Toc517687937"/>
      <w:r w:rsidRPr="00D920C9">
        <w:t xml:space="preserve">Hiring and </w:t>
      </w:r>
      <w:r w:rsidR="003A6706" w:rsidRPr="00D920C9">
        <w:t xml:space="preserve">Training </w:t>
      </w:r>
      <w:r w:rsidRPr="00D920C9">
        <w:t xml:space="preserve">of </w:t>
      </w:r>
      <w:r w:rsidR="003A6706" w:rsidRPr="00D920C9">
        <w:t>Police</w:t>
      </w:r>
      <w:bookmarkEnd w:id="183"/>
      <w:bookmarkEnd w:id="184"/>
      <w:bookmarkEnd w:id="185"/>
    </w:p>
    <w:p w14:paraId="538038BF" w14:textId="599AA6B7" w:rsidR="00765C8B" w:rsidRPr="00D920C9" w:rsidRDefault="00765C8B" w:rsidP="00E86698">
      <w:pPr>
        <w:pStyle w:val="ListParagraph"/>
        <w:numPr>
          <w:ilvl w:val="0"/>
          <w:numId w:val="9"/>
        </w:numPr>
        <w:spacing w:after="240" w:line="240" w:lineRule="auto"/>
        <w:ind w:left="547" w:hanging="547"/>
        <w:contextualSpacing w:val="0"/>
        <w:jc w:val="both"/>
        <w:rPr>
          <w:rFonts w:asciiTheme="minorHAnsi" w:hAnsiTheme="minorHAnsi"/>
        </w:rPr>
      </w:pPr>
      <w:r w:rsidRPr="00D920C9">
        <w:rPr>
          <w:rFonts w:asciiTheme="minorHAnsi" w:hAnsiTheme="minorHAnsi"/>
          <w:szCs w:val="20"/>
        </w:rPr>
        <w:t>The Inter-American Commission has previously observed the importance of proper police training and departmental policies for preventing the excessive use of force,</w:t>
      </w:r>
      <w:r w:rsidR="003309FE" w:rsidRPr="00D920C9">
        <w:rPr>
          <w:rFonts w:asciiTheme="minorHAnsi" w:hAnsiTheme="minorHAnsi"/>
          <w:szCs w:val="20"/>
        </w:rPr>
        <w:t xml:space="preserve"> indicating</w:t>
      </w:r>
      <w:r w:rsidR="00FC1912" w:rsidRPr="00D920C9">
        <w:rPr>
          <w:rFonts w:asciiTheme="minorHAnsi" w:hAnsiTheme="minorHAnsi"/>
          <w:szCs w:val="20"/>
        </w:rPr>
        <w:t xml:space="preserve"> </w:t>
      </w:r>
      <w:r w:rsidRPr="00D920C9">
        <w:rPr>
          <w:rFonts w:asciiTheme="minorHAnsi" w:hAnsiTheme="minorHAnsi"/>
          <w:szCs w:val="20"/>
        </w:rPr>
        <w:t xml:space="preserve">that States must “educate and train </w:t>
      </w:r>
      <w:r w:rsidRPr="00D920C9">
        <w:rPr>
          <w:rFonts w:asciiTheme="minorHAnsi" w:hAnsiTheme="minorHAnsi"/>
        </w:rPr>
        <w:t>the members of their armed forces and security agencies pursuant to the principles and provisions on protection of human rights and the limits to which the use of weapons by law enforcement officials is subject.”</w:t>
      </w:r>
      <w:r w:rsidRPr="00D920C9">
        <w:rPr>
          <w:rFonts w:asciiTheme="minorHAnsi" w:hAnsiTheme="minorHAnsi"/>
          <w:vertAlign w:val="superscript"/>
        </w:rPr>
        <w:footnoteReference w:id="483"/>
      </w:r>
      <w:r w:rsidRPr="00D920C9">
        <w:rPr>
          <w:rFonts w:asciiTheme="minorHAnsi" w:hAnsiTheme="minorHAnsi"/>
        </w:rPr>
        <w:t xml:space="preserve"> </w:t>
      </w:r>
    </w:p>
    <w:p w14:paraId="790DC9A8" w14:textId="77777777" w:rsidR="00765C8B" w:rsidRPr="00D920C9" w:rsidRDefault="00765C8B" w:rsidP="00E86698">
      <w:pPr>
        <w:pStyle w:val="ListParagraph"/>
        <w:numPr>
          <w:ilvl w:val="0"/>
          <w:numId w:val="9"/>
        </w:numPr>
        <w:spacing w:after="240" w:line="240" w:lineRule="auto"/>
        <w:ind w:left="547" w:hanging="547"/>
        <w:contextualSpacing w:val="0"/>
        <w:jc w:val="both"/>
        <w:rPr>
          <w:rFonts w:asciiTheme="minorHAnsi" w:hAnsiTheme="minorHAnsi"/>
        </w:rPr>
      </w:pPr>
      <w:r w:rsidRPr="00D920C9">
        <w:rPr>
          <w:rFonts w:asciiTheme="minorHAnsi" w:hAnsiTheme="minorHAnsi"/>
        </w:rPr>
        <w:t xml:space="preserve">As a preliminary issue, it is important to have rigorous and transparent processes for selecting personnel, together with the offer of fair and competitive salaries and labor and social benefits that make it possible to </w:t>
      </w:r>
      <w:r w:rsidRPr="00D920C9">
        <w:rPr>
          <w:rFonts w:asciiTheme="minorHAnsi" w:hAnsiTheme="minorHAnsi"/>
        </w:rPr>
        <w:lastRenderedPageBreak/>
        <w:t xml:space="preserve">identify </w:t>
      </w:r>
      <w:r w:rsidR="00FF46FD" w:rsidRPr="00D920C9">
        <w:rPr>
          <w:rFonts w:asciiTheme="minorHAnsi" w:hAnsiTheme="minorHAnsi"/>
        </w:rPr>
        <w:t>and hire officers</w:t>
      </w:r>
      <w:r w:rsidRPr="00D920C9">
        <w:rPr>
          <w:rFonts w:asciiTheme="minorHAnsi" w:hAnsiTheme="minorHAnsi"/>
        </w:rPr>
        <w:t xml:space="preserve"> who “have appropriate moral, psychological and physical qualities for the effective exercise of their functions.”</w:t>
      </w:r>
      <w:r w:rsidRPr="00D920C9">
        <w:rPr>
          <w:rFonts w:asciiTheme="minorHAnsi" w:hAnsiTheme="minorHAnsi"/>
          <w:vertAlign w:val="superscript"/>
        </w:rPr>
        <w:footnoteReference w:id="484"/>
      </w:r>
      <w:r w:rsidRPr="00D920C9">
        <w:rPr>
          <w:rFonts w:asciiTheme="minorHAnsi" w:hAnsiTheme="minorHAnsi"/>
        </w:rPr>
        <w:t xml:space="preserve"> In this respect, the</w:t>
      </w:r>
      <w:r w:rsidR="00352483" w:rsidRPr="00D920C9">
        <w:rPr>
          <w:rFonts w:asciiTheme="minorHAnsi" w:hAnsiTheme="minorHAnsi"/>
        </w:rPr>
        <w:t xml:space="preserve"> U.N. </w:t>
      </w:r>
      <w:r w:rsidRPr="00D920C9">
        <w:rPr>
          <w:rFonts w:asciiTheme="minorHAnsi" w:hAnsiTheme="minorHAnsi"/>
        </w:rPr>
        <w:t>Basic Principles additionally require States to “ensure that all law enforcement officials are selected by proper screening procedures [...] and receive continuous and thorough professional training. Their continued fitness to perform these functions should be subject to periodic review.”</w:t>
      </w:r>
      <w:r w:rsidRPr="00D920C9">
        <w:rPr>
          <w:rFonts w:asciiTheme="minorHAnsi" w:hAnsiTheme="minorHAnsi"/>
          <w:vertAlign w:val="superscript"/>
        </w:rPr>
        <w:footnoteReference w:id="485"/>
      </w:r>
    </w:p>
    <w:p w14:paraId="20FE1CCE" w14:textId="77777777" w:rsidR="00765C8B" w:rsidRPr="00D920C9" w:rsidRDefault="000F6CA9" w:rsidP="00E86698">
      <w:pPr>
        <w:pStyle w:val="ListParagraph"/>
        <w:numPr>
          <w:ilvl w:val="0"/>
          <w:numId w:val="9"/>
        </w:numPr>
        <w:spacing w:after="240" w:line="240" w:lineRule="auto"/>
        <w:ind w:left="547" w:hanging="547"/>
        <w:contextualSpacing w:val="0"/>
        <w:jc w:val="both"/>
        <w:rPr>
          <w:rFonts w:asciiTheme="minorHAnsi" w:eastAsia="Times New Roman" w:hAnsiTheme="minorHAnsi"/>
          <w:szCs w:val="20"/>
        </w:rPr>
      </w:pPr>
      <w:r w:rsidRPr="00D920C9">
        <w:rPr>
          <w:rFonts w:asciiTheme="minorHAnsi" w:hAnsiTheme="minorHAnsi"/>
        </w:rPr>
        <w:t xml:space="preserve">Furthermore, the Basic Principles state that training shall focus </w:t>
      </w:r>
      <w:r w:rsidR="0098507B" w:rsidRPr="00D920C9">
        <w:rPr>
          <w:rFonts w:asciiTheme="minorHAnsi" w:hAnsiTheme="minorHAnsi"/>
        </w:rPr>
        <w:t xml:space="preserve">special attention </w:t>
      </w:r>
      <w:r w:rsidRPr="00D920C9">
        <w:rPr>
          <w:rFonts w:asciiTheme="minorHAnsi" w:hAnsiTheme="minorHAnsi"/>
        </w:rPr>
        <w:t>on</w:t>
      </w:r>
      <w:r w:rsidR="0098507B" w:rsidRPr="00D920C9">
        <w:rPr>
          <w:rFonts w:asciiTheme="minorHAnsi" w:hAnsiTheme="minorHAnsi"/>
        </w:rPr>
        <w:t xml:space="preserve"> </w:t>
      </w:r>
      <w:r w:rsidRPr="00D920C9">
        <w:rPr>
          <w:rFonts w:asciiTheme="minorHAnsi" w:hAnsiTheme="minorHAnsi"/>
        </w:rPr>
        <w:t>“</w:t>
      </w:r>
      <w:r w:rsidR="0098507B" w:rsidRPr="00D920C9">
        <w:rPr>
          <w:rFonts w:asciiTheme="minorHAnsi" w:hAnsiTheme="minorHAnsi"/>
        </w:rPr>
        <w:t xml:space="preserve">police ethics and human rights, especially in the investigative process, alternatives to the use of force and firearms, including the peaceful settlement of conflicts, the understanding of crowd </w:t>
      </w:r>
      <w:r w:rsidRPr="00D920C9">
        <w:rPr>
          <w:rFonts w:asciiTheme="minorHAnsi" w:hAnsiTheme="minorHAnsi"/>
        </w:rPr>
        <w:t>behavior</w:t>
      </w:r>
      <w:r w:rsidR="0098507B" w:rsidRPr="00D920C9">
        <w:rPr>
          <w:rFonts w:asciiTheme="minorHAnsi" w:hAnsiTheme="minorHAnsi"/>
        </w:rPr>
        <w:t>, and the methods of persuasion, negotiation and mediation, as well as to technical means, with a view to limiting the use of force and</w:t>
      </w:r>
      <w:r w:rsidR="0098507B" w:rsidRPr="00D920C9">
        <w:rPr>
          <w:rFonts w:asciiTheme="minorHAnsi" w:eastAsia="Times New Roman" w:hAnsiTheme="minorHAnsi"/>
          <w:szCs w:val="20"/>
        </w:rPr>
        <w:t xml:space="preserve"> firearms.</w:t>
      </w:r>
      <w:r w:rsidRPr="00D920C9">
        <w:rPr>
          <w:rFonts w:asciiTheme="minorHAnsi" w:eastAsia="Times New Roman" w:hAnsiTheme="minorHAnsi"/>
          <w:szCs w:val="20"/>
        </w:rPr>
        <w:t>”</w:t>
      </w:r>
      <w:r w:rsidRPr="00D920C9">
        <w:rPr>
          <w:rStyle w:val="FootnoteReference"/>
          <w:rFonts w:asciiTheme="minorHAnsi" w:eastAsia="Times New Roman" w:hAnsiTheme="minorHAnsi"/>
          <w:szCs w:val="20"/>
        </w:rPr>
        <w:footnoteReference w:id="486"/>
      </w:r>
      <w:r w:rsidRPr="00D920C9">
        <w:rPr>
          <w:rFonts w:asciiTheme="minorHAnsi" w:eastAsia="Times New Roman" w:hAnsiTheme="minorHAnsi"/>
          <w:szCs w:val="20"/>
        </w:rPr>
        <w:t xml:space="preserve"> Agency </w:t>
      </w:r>
      <w:r w:rsidR="0098507B" w:rsidRPr="00D920C9">
        <w:rPr>
          <w:rFonts w:asciiTheme="minorHAnsi" w:eastAsia="Times New Roman" w:hAnsiTheme="minorHAnsi"/>
          <w:szCs w:val="20"/>
        </w:rPr>
        <w:t>training programs and operational procedures</w:t>
      </w:r>
      <w:r w:rsidRPr="00D920C9">
        <w:rPr>
          <w:rFonts w:asciiTheme="minorHAnsi" w:eastAsia="Times New Roman" w:hAnsiTheme="minorHAnsi"/>
          <w:szCs w:val="20"/>
        </w:rPr>
        <w:t xml:space="preserve"> should be periodically reviewed</w:t>
      </w:r>
      <w:r w:rsidR="0098507B" w:rsidRPr="00D920C9">
        <w:rPr>
          <w:rFonts w:asciiTheme="minorHAnsi" w:eastAsia="Times New Roman" w:hAnsiTheme="minorHAnsi"/>
          <w:szCs w:val="20"/>
        </w:rPr>
        <w:t xml:space="preserve"> in the light of particular incidents.</w:t>
      </w:r>
      <w:r w:rsidRPr="00D920C9">
        <w:rPr>
          <w:rStyle w:val="FootnoteReference"/>
          <w:rFonts w:asciiTheme="minorHAnsi" w:eastAsia="Times New Roman" w:hAnsiTheme="minorHAnsi"/>
          <w:szCs w:val="20"/>
        </w:rPr>
        <w:footnoteReference w:id="487"/>
      </w:r>
      <w:r w:rsidR="009A4A80" w:rsidRPr="00D920C9">
        <w:rPr>
          <w:rFonts w:asciiTheme="minorHAnsi" w:eastAsia="Times New Roman" w:hAnsiTheme="minorHAnsi"/>
          <w:szCs w:val="20"/>
        </w:rPr>
        <w:t xml:space="preserve"> </w:t>
      </w:r>
      <w:r w:rsidR="009A4A80" w:rsidRPr="00D920C9">
        <w:rPr>
          <w:rFonts w:asciiTheme="minorHAnsi" w:hAnsiTheme="minorHAnsi"/>
          <w:szCs w:val="20"/>
        </w:rPr>
        <w:t>The CERD has additionally stated that law enforcement officials should be trained “to ensure that in the performance of their duties they respect as well as protect human dignity and maintain and uphold the human rights of all persons without distinction as to race, color or national or ethnic origin.”</w:t>
      </w:r>
      <w:r w:rsidR="009A4A80" w:rsidRPr="00D920C9">
        <w:rPr>
          <w:rFonts w:asciiTheme="minorHAnsi" w:hAnsiTheme="minorHAnsi"/>
          <w:szCs w:val="20"/>
          <w:vertAlign w:val="superscript"/>
        </w:rPr>
        <w:footnoteReference w:id="488"/>
      </w:r>
      <w:r w:rsidR="009A4A80" w:rsidRPr="00D920C9">
        <w:rPr>
          <w:rFonts w:asciiTheme="minorHAnsi" w:hAnsiTheme="minorHAnsi"/>
          <w:szCs w:val="20"/>
        </w:rPr>
        <w:t xml:space="preserve"> This training must also address</w:t>
      </w:r>
      <w:r w:rsidR="009A4A80" w:rsidRPr="00D920C9">
        <w:rPr>
          <w:rFonts w:asciiTheme="minorHAnsi" w:hAnsiTheme="minorHAnsi" w:cs="TimesNewRoman"/>
          <w:szCs w:val="20"/>
        </w:rPr>
        <w:t xml:space="preserve"> respect for human rights, racial tolerance, and tools for working in multicultural environments, for law enforcement officials, justice operators, and related professions.</w:t>
      </w:r>
      <w:r w:rsidR="009A4A80" w:rsidRPr="00D920C9">
        <w:rPr>
          <w:rFonts w:asciiTheme="minorHAnsi" w:hAnsiTheme="minorHAnsi" w:cs="TimesNewRoman"/>
          <w:szCs w:val="20"/>
          <w:vertAlign w:val="superscript"/>
        </w:rPr>
        <w:footnoteReference w:id="489"/>
      </w:r>
    </w:p>
    <w:p w14:paraId="4FA3DE88" w14:textId="1CFAABB3" w:rsidR="00765C8B" w:rsidRPr="00D920C9" w:rsidRDefault="00765C8B" w:rsidP="00E86698">
      <w:pPr>
        <w:pStyle w:val="ListParagraph"/>
        <w:numPr>
          <w:ilvl w:val="0"/>
          <w:numId w:val="9"/>
        </w:numPr>
        <w:spacing w:after="240" w:line="240" w:lineRule="auto"/>
        <w:ind w:left="547" w:hanging="547"/>
        <w:contextualSpacing w:val="0"/>
        <w:jc w:val="both"/>
        <w:rPr>
          <w:rFonts w:asciiTheme="minorHAnsi" w:hAnsiTheme="minorHAnsi"/>
        </w:rPr>
      </w:pPr>
      <w:r w:rsidRPr="00D920C9">
        <w:rPr>
          <w:rFonts w:asciiTheme="minorHAnsi" w:eastAsia="Times New Roman" w:hAnsiTheme="minorHAnsi"/>
          <w:szCs w:val="20"/>
        </w:rPr>
        <w:t>Additionally, the Basic Principles require that “</w:t>
      </w:r>
      <w:r w:rsidRPr="00D920C9">
        <w:rPr>
          <w:rFonts w:asciiTheme="minorHAnsi" w:hAnsiTheme="minorHAnsi"/>
        </w:rPr>
        <w:t xml:space="preserve">all law enforcement officials </w:t>
      </w:r>
      <w:r w:rsidR="00C63972" w:rsidRPr="00D920C9">
        <w:rPr>
          <w:rFonts w:asciiTheme="minorHAnsi" w:hAnsiTheme="minorHAnsi"/>
        </w:rPr>
        <w:t>[be]</w:t>
      </w:r>
      <w:r w:rsidRPr="00D920C9">
        <w:rPr>
          <w:rFonts w:asciiTheme="minorHAnsi" w:hAnsiTheme="minorHAnsi"/>
        </w:rPr>
        <w:t xml:space="preserve"> provided with training and</w:t>
      </w:r>
      <w:r w:rsidR="00FC1912" w:rsidRPr="00D920C9">
        <w:rPr>
          <w:rFonts w:asciiTheme="minorHAnsi" w:hAnsiTheme="minorHAnsi"/>
        </w:rPr>
        <w:t xml:space="preserve"> […]</w:t>
      </w:r>
      <w:r w:rsidRPr="00D920C9">
        <w:rPr>
          <w:rFonts w:asciiTheme="minorHAnsi" w:hAnsiTheme="minorHAnsi"/>
        </w:rPr>
        <w:t xml:space="preserve"> tested in accordance with appropriate proficiency standards in the use of force,” and that only those law enforcement officials who complete special training in use of firearms be allowed to carry them.</w:t>
      </w:r>
      <w:r w:rsidRPr="00D920C9">
        <w:rPr>
          <w:rFonts w:asciiTheme="minorHAnsi" w:hAnsiTheme="minorHAnsi"/>
          <w:vertAlign w:val="superscript"/>
        </w:rPr>
        <w:footnoteReference w:id="490"/>
      </w:r>
    </w:p>
    <w:p w14:paraId="5C9CDD1F" w14:textId="6ABD05FD" w:rsidR="00F504E6" w:rsidRPr="00D920C9" w:rsidRDefault="00765C8B" w:rsidP="00E86698">
      <w:pPr>
        <w:pStyle w:val="ListParagraph"/>
        <w:numPr>
          <w:ilvl w:val="0"/>
          <w:numId w:val="9"/>
        </w:numPr>
        <w:spacing w:after="240" w:line="240" w:lineRule="auto"/>
        <w:ind w:left="547" w:hanging="547"/>
        <w:contextualSpacing w:val="0"/>
        <w:jc w:val="both"/>
        <w:rPr>
          <w:rFonts w:asciiTheme="minorHAnsi" w:hAnsiTheme="minorHAnsi"/>
        </w:rPr>
      </w:pPr>
      <w:r w:rsidRPr="00D920C9">
        <w:rPr>
          <w:rFonts w:asciiTheme="minorHAnsi" w:hAnsiTheme="minorHAnsi"/>
        </w:rPr>
        <w:t xml:space="preserve">The Commission has previously emphasized the importance of training in the gradual escalation in force </w:t>
      </w:r>
      <w:r w:rsidR="00C63972" w:rsidRPr="00D920C9">
        <w:rPr>
          <w:rFonts w:asciiTheme="minorHAnsi" w:hAnsiTheme="minorHAnsi"/>
        </w:rPr>
        <w:t>when</w:t>
      </w:r>
      <w:r w:rsidRPr="00D920C9">
        <w:rPr>
          <w:rFonts w:asciiTheme="minorHAnsi" w:hAnsiTheme="minorHAnsi"/>
        </w:rPr>
        <w:t xml:space="preserve"> </w:t>
      </w:r>
      <w:r w:rsidR="00BA1747" w:rsidRPr="00D920C9">
        <w:rPr>
          <w:rFonts w:asciiTheme="minorHAnsi" w:hAnsiTheme="minorHAnsi"/>
        </w:rPr>
        <w:t xml:space="preserve">it meets required standards </w:t>
      </w:r>
      <w:r w:rsidRPr="00D920C9">
        <w:rPr>
          <w:rFonts w:asciiTheme="minorHAnsi" w:hAnsiTheme="minorHAnsi"/>
        </w:rPr>
        <w:t>of legality, absolute necessity, and proportionality.</w:t>
      </w:r>
      <w:r w:rsidRPr="00D920C9">
        <w:rPr>
          <w:rFonts w:asciiTheme="minorHAnsi" w:hAnsiTheme="minorHAnsi"/>
          <w:vertAlign w:val="superscript"/>
        </w:rPr>
        <w:footnoteReference w:id="491"/>
      </w:r>
      <w:r w:rsidRPr="00D920C9">
        <w:rPr>
          <w:rFonts w:asciiTheme="minorHAnsi" w:hAnsiTheme="minorHAnsi"/>
        </w:rPr>
        <w:t xml:space="preserve"> </w:t>
      </w:r>
      <w:r w:rsidR="009A4A80" w:rsidRPr="00D920C9">
        <w:rPr>
          <w:rFonts w:asciiTheme="minorHAnsi" w:hAnsiTheme="minorHAnsi"/>
        </w:rPr>
        <w:t>The Commission observes that</w:t>
      </w:r>
      <w:r w:rsidR="002C70C0" w:rsidRPr="00D920C9">
        <w:rPr>
          <w:rFonts w:asciiTheme="minorHAnsi" w:hAnsiTheme="minorHAnsi"/>
        </w:rPr>
        <w:t xml:space="preserve"> </w:t>
      </w:r>
      <w:r w:rsidR="00085370" w:rsidRPr="00D920C9">
        <w:rPr>
          <w:rFonts w:asciiTheme="minorHAnsi" w:hAnsiTheme="minorHAnsi"/>
        </w:rPr>
        <w:t>President</w:t>
      </w:r>
      <w:r w:rsidR="002C70C0" w:rsidRPr="00D920C9">
        <w:rPr>
          <w:rFonts w:asciiTheme="minorHAnsi" w:hAnsiTheme="minorHAnsi"/>
        </w:rPr>
        <w:t xml:space="preserve"> Obama</w:t>
      </w:r>
      <w:r w:rsidR="00085370" w:rsidRPr="00D920C9">
        <w:rPr>
          <w:rFonts w:asciiTheme="minorHAnsi" w:hAnsiTheme="minorHAnsi"/>
        </w:rPr>
        <w:t>’s Task Force recommendations regarding the use of force, which includ</w:t>
      </w:r>
      <w:r w:rsidR="000D7DD2" w:rsidRPr="00D920C9">
        <w:rPr>
          <w:rFonts w:asciiTheme="minorHAnsi" w:hAnsiTheme="minorHAnsi"/>
        </w:rPr>
        <w:t xml:space="preserve">e creating agency use of force policies for training that </w:t>
      </w:r>
      <w:r w:rsidR="000D7DD2" w:rsidRPr="00D920C9">
        <w:rPr>
          <w:rFonts w:asciiTheme="minorHAnsi" w:hAnsiTheme="minorHAnsi"/>
        </w:rPr>
        <w:lastRenderedPageBreak/>
        <w:t>emphasize</w:t>
      </w:r>
      <w:r w:rsidR="00BA1747" w:rsidRPr="00D920C9">
        <w:rPr>
          <w:rFonts w:asciiTheme="minorHAnsi" w:hAnsiTheme="minorHAnsi"/>
        </w:rPr>
        <w:t>s</w:t>
      </w:r>
      <w:r w:rsidR="000D7DD2" w:rsidRPr="00D920C9">
        <w:rPr>
          <w:rFonts w:asciiTheme="minorHAnsi" w:hAnsiTheme="minorHAnsi"/>
        </w:rPr>
        <w:t xml:space="preserve"> </w:t>
      </w:r>
      <w:r w:rsidR="00C63972" w:rsidRPr="00D920C9">
        <w:rPr>
          <w:rFonts w:asciiTheme="minorHAnsi" w:hAnsiTheme="minorHAnsi"/>
        </w:rPr>
        <w:t xml:space="preserve">the use of less </w:t>
      </w:r>
      <w:r w:rsidR="009A4A80" w:rsidRPr="00D920C9">
        <w:rPr>
          <w:rFonts w:asciiTheme="minorHAnsi" w:hAnsiTheme="minorHAnsi"/>
        </w:rPr>
        <w:t xml:space="preserve">lethal technologies, </w:t>
      </w:r>
      <w:r w:rsidR="000D7DD2" w:rsidRPr="00D920C9">
        <w:rPr>
          <w:rFonts w:asciiTheme="minorHAnsi" w:hAnsiTheme="minorHAnsi"/>
        </w:rPr>
        <w:t>de-escalation</w:t>
      </w:r>
      <w:r w:rsidR="009A4A80" w:rsidRPr="00D920C9">
        <w:rPr>
          <w:rFonts w:asciiTheme="minorHAnsi" w:hAnsiTheme="minorHAnsi"/>
        </w:rPr>
        <w:t>,</w:t>
      </w:r>
      <w:r w:rsidR="000D7DD2" w:rsidRPr="00D920C9">
        <w:rPr>
          <w:rFonts w:asciiTheme="minorHAnsi" w:hAnsiTheme="minorHAnsi"/>
        </w:rPr>
        <w:t xml:space="preserve"> and alternatives to arrest or summons in situations where appropriate</w:t>
      </w:r>
      <w:r w:rsidR="009A4A80" w:rsidRPr="00D920C9">
        <w:rPr>
          <w:rFonts w:asciiTheme="minorHAnsi" w:hAnsiTheme="minorHAnsi"/>
        </w:rPr>
        <w:t>,</w:t>
      </w:r>
      <w:r w:rsidR="009A4A80" w:rsidRPr="00D920C9">
        <w:rPr>
          <w:rFonts w:asciiTheme="minorHAnsi" w:hAnsiTheme="minorHAnsi"/>
          <w:vertAlign w:val="superscript"/>
        </w:rPr>
        <w:footnoteReference w:id="492"/>
      </w:r>
      <w:r w:rsidR="009A4A80" w:rsidRPr="00D920C9">
        <w:rPr>
          <w:rFonts w:asciiTheme="minorHAnsi" w:hAnsiTheme="minorHAnsi"/>
        </w:rPr>
        <w:t xml:space="preserve"> would represent positive development</w:t>
      </w:r>
      <w:r w:rsidR="00BA1747" w:rsidRPr="00D920C9">
        <w:rPr>
          <w:rFonts w:asciiTheme="minorHAnsi" w:hAnsiTheme="minorHAnsi"/>
        </w:rPr>
        <w:t>s</w:t>
      </w:r>
      <w:r w:rsidR="009A4A80" w:rsidRPr="00D920C9">
        <w:rPr>
          <w:rFonts w:asciiTheme="minorHAnsi" w:hAnsiTheme="minorHAnsi"/>
        </w:rPr>
        <w:t xml:space="preserve"> in this regard.</w:t>
      </w:r>
      <w:r w:rsidR="000D7DD2" w:rsidRPr="00D920C9">
        <w:rPr>
          <w:rFonts w:asciiTheme="minorHAnsi" w:hAnsiTheme="minorHAnsi"/>
        </w:rPr>
        <w:t xml:space="preserve"> </w:t>
      </w:r>
    </w:p>
    <w:p w14:paraId="08DBE6AD" w14:textId="77777777" w:rsidR="00567CB0" w:rsidRPr="00D920C9" w:rsidRDefault="00567CB0" w:rsidP="00E86698">
      <w:pPr>
        <w:pStyle w:val="ListParagraph"/>
        <w:numPr>
          <w:ilvl w:val="0"/>
          <w:numId w:val="9"/>
        </w:numPr>
        <w:spacing w:after="240" w:line="240" w:lineRule="auto"/>
        <w:ind w:left="547" w:hanging="547"/>
        <w:contextualSpacing w:val="0"/>
        <w:jc w:val="both"/>
        <w:rPr>
          <w:rFonts w:asciiTheme="minorHAnsi" w:eastAsia="Times New Roman" w:hAnsiTheme="minorHAnsi"/>
          <w:szCs w:val="20"/>
        </w:rPr>
      </w:pPr>
      <w:r w:rsidRPr="00D920C9">
        <w:rPr>
          <w:rFonts w:asciiTheme="minorHAnsi" w:hAnsiTheme="minorHAnsi"/>
        </w:rPr>
        <w:t>The Commission observes that the approximately 18,000 law enforcement agencies in the United States are</w:t>
      </w:r>
      <w:r w:rsidR="00E7659C" w:rsidRPr="00D920C9">
        <w:rPr>
          <w:rFonts w:asciiTheme="minorHAnsi" w:hAnsiTheme="minorHAnsi"/>
        </w:rPr>
        <w:t xml:space="preserve"> almost all state and local agencies.</w:t>
      </w:r>
      <w:r w:rsidR="005E484F" w:rsidRPr="00D920C9">
        <w:rPr>
          <w:rFonts w:asciiTheme="minorHAnsi" w:hAnsiTheme="minorHAnsi"/>
          <w:vertAlign w:val="superscript"/>
        </w:rPr>
        <w:footnoteReference w:id="493"/>
      </w:r>
      <w:r w:rsidR="00E7659C" w:rsidRPr="00D920C9">
        <w:rPr>
          <w:rFonts w:asciiTheme="minorHAnsi" w:hAnsiTheme="minorHAnsi"/>
        </w:rPr>
        <w:t xml:space="preserve"> In this </w:t>
      </w:r>
      <w:r w:rsidR="007F7673" w:rsidRPr="00D920C9">
        <w:rPr>
          <w:rFonts w:asciiTheme="minorHAnsi" w:hAnsiTheme="minorHAnsi"/>
        </w:rPr>
        <w:t>context</w:t>
      </w:r>
      <w:r w:rsidR="00E7659C" w:rsidRPr="00D920C9">
        <w:rPr>
          <w:rFonts w:asciiTheme="minorHAnsi" w:hAnsiTheme="minorHAnsi"/>
        </w:rPr>
        <w:t>, it reiterates the obligation of all levels of government, including state and local, to observe international human rights standards and bring their laws, policies, and practices in line with international law.</w:t>
      </w:r>
      <w:r w:rsidRPr="00D920C9">
        <w:rPr>
          <w:rFonts w:asciiTheme="minorHAnsi" w:hAnsiTheme="minorHAnsi"/>
        </w:rPr>
        <w:t xml:space="preserve"> </w:t>
      </w:r>
      <w:r w:rsidR="00E7659C" w:rsidRPr="00D920C9">
        <w:rPr>
          <w:rFonts w:asciiTheme="minorHAnsi" w:hAnsiTheme="minorHAnsi"/>
        </w:rPr>
        <w:t>In light of this situation</w:t>
      </w:r>
      <w:r w:rsidRPr="00D920C9">
        <w:rPr>
          <w:rFonts w:asciiTheme="minorHAnsi" w:hAnsiTheme="minorHAnsi"/>
        </w:rPr>
        <w:t xml:space="preserve">, the Commission reiterates the importance of </w:t>
      </w:r>
      <w:r w:rsidR="00E7659C" w:rsidRPr="00D920C9">
        <w:rPr>
          <w:rFonts w:asciiTheme="minorHAnsi" w:hAnsiTheme="minorHAnsi"/>
        </w:rPr>
        <w:t>establishing police training programs that include training in: the definition of force, use of force, and permissible use of lethal force; de-escalation tactics, in order to comply with the principle of necessity; alternatives to use of lethal force, including less lethal weapons; instruction in non-discrimination and implicit bias spanning all aspects of policing, from patrols to arrests to use of force. The Commission additionally notes information it has received indicating a lack of p</w:t>
      </w:r>
      <w:r w:rsidR="00E7659C" w:rsidRPr="00D920C9">
        <w:rPr>
          <w:rFonts w:asciiTheme="minorHAnsi" w:eastAsia="Times New Roman" w:hAnsiTheme="minorHAnsi"/>
          <w:szCs w:val="20"/>
        </w:rPr>
        <w:t>ublicly available information from many local police departments, including of major cities, about the nature and scope of their police training and policies.</w:t>
      </w:r>
      <w:r w:rsidR="00E7659C" w:rsidRPr="00D920C9">
        <w:rPr>
          <w:rStyle w:val="FootnoteReference"/>
          <w:rFonts w:asciiTheme="minorHAnsi" w:eastAsia="Times New Roman" w:hAnsiTheme="minorHAnsi"/>
          <w:szCs w:val="20"/>
        </w:rPr>
        <w:footnoteReference w:id="494"/>
      </w:r>
      <w:r w:rsidR="00E7659C" w:rsidRPr="00D920C9">
        <w:rPr>
          <w:rFonts w:asciiTheme="minorHAnsi" w:eastAsia="Times New Roman" w:hAnsiTheme="minorHAnsi"/>
          <w:szCs w:val="20"/>
        </w:rPr>
        <w:t xml:space="preserve"> In this regard, the Commission calls for greater active transparency from these bodies in order to facilitate monitoring of compliance with human rights norms regarding police training and use of force policies.</w:t>
      </w:r>
    </w:p>
    <w:p w14:paraId="772D2A59" w14:textId="5C218D15" w:rsidR="003B4D7F" w:rsidRPr="00D920C9" w:rsidRDefault="00EC0A9F" w:rsidP="00226E45">
      <w:pPr>
        <w:pStyle w:val="Heading4"/>
        <w:keepNext w:val="0"/>
        <w:keepLines w:val="0"/>
        <w:ind w:left="547" w:hanging="547"/>
      </w:pPr>
      <w:bookmarkStart w:id="186" w:name="_Toc511837836"/>
      <w:bookmarkStart w:id="187" w:name="_Toc511903009"/>
      <w:bookmarkStart w:id="188" w:name="_Toc517687938"/>
      <w:r w:rsidRPr="00D920C9">
        <w:t>Adoption</w:t>
      </w:r>
      <w:r w:rsidR="00534AD6" w:rsidRPr="00D920C9">
        <w:t xml:space="preserve"> of </w:t>
      </w:r>
      <w:r w:rsidR="003A6706" w:rsidRPr="00D920C9">
        <w:t xml:space="preserve">Protocols </w:t>
      </w:r>
      <w:r w:rsidR="003B4D7F" w:rsidRPr="00D920C9">
        <w:t xml:space="preserve">regarding the </w:t>
      </w:r>
      <w:r w:rsidR="003A6706" w:rsidRPr="00D920C9">
        <w:t xml:space="preserve">Use </w:t>
      </w:r>
      <w:r w:rsidR="003B4D7F" w:rsidRPr="00D920C9">
        <w:t xml:space="preserve">of </w:t>
      </w:r>
      <w:r w:rsidR="003A6706" w:rsidRPr="00D920C9">
        <w:t>Force</w:t>
      </w:r>
      <w:bookmarkEnd w:id="186"/>
      <w:bookmarkEnd w:id="187"/>
      <w:bookmarkEnd w:id="188"/>
    </w:p>
    <w:p w14:paraId="1ABE9EAE" w14:textId="27529694" w:rsidR="0019471C" w:rsidRPr="00D920C9" w:rsidRDefault="0019471C" w:rsidP="00E86698">
      <w:pPr>
        <w:pStyle w:val="ListParagraph"/>
        <w:numPr>
          <w:ilvl w:val="0"/>
          <w:numId w:val="9"/>
        </w:numPr>
        <w:spacing w:after="240" w:line="240" w:lineRule="auto"/>
        <w:ind w:left="547" w:hanging="547"/>
        <w:contextualSpacing w:val="0"/>
        <w:jc w:val="both"/>
        <w:rPr>
          <w:rFonts w:asciiTheme="minorHAnsi" w:hAnsiTheme="minorHAnsi"/>
        </w:rPr>
      </w:pPr>
      <w:bookmarkStart w:id="189" w:name="_Ref507675995"/>
      <w:r w:rsidRPr="00D920C9">
        <w:rPr>
          <w:rFonts w:asciiTheme="minorHAnsi" w:eastAsia="Times New Roman" w:hAnsiTheme="minorHAnsi"/>
          <w:szCs w:val="20"/>
        </w:rPr>
        <w:t xml:space="preserve">The IACHR recalls that under international law, the use of lethal weapons is considered a last resort, when less extreme </w:t>
      </w:r>
      <w:r w:rsidRPr="00D920C9">
        <w:rPr>
          <w:rFonts w:asciiTheme="minorHAnsi" w:hAnsiTheme="minorHAnsi"/>
        </w:rPr>
        <w:t xml:space="preserve">measures would be insufficient. </w:t>
      </w:r>
      <w:r w:rsidR="00EC0A9F" w:rsidRPr="00D920C9">
        <w:rPr>
          <w:rFonts w:asciiTheme="minorHAnsi" w:hAnsiTheme="minorHAnsi"/>
        </w:rPr>
        <w:t>T</w:t>
      </w:r>
      <w:r w:rsidRPr="00D920C9">
        <w:rPr>
          <w:rFonts w:asciiTheme="minorHAnsi" w:hAnsiTheme="minorHAnsi"/>
        </w:rPr>
        <w:t xml:space="preserve">his obligation takes on a special character in operations and in situations </w:t>
      </w:r>
      <w:r w:rsidR="00C63972" w:rsidRPr="00D920C9">
        <w:rPr>
          <w:rFonts w:asciiTheme="minorHAnsi" w:hAnsiTheme="minorHAnsi"/>
        </w:rPr>
        <w:t>that</w:t>
      </w:r>
      <w:r w:rsidRPr="00D920C9">
        <w:rPr>
          <w:rFonts w:asciiTheme="minorHAnsi" w:hAnsiTheme="minorHAnsi"/>
        </w:rPr>
        <w:t xml:space="preserve"> by their nature endanger the fundamental rights of persons.</w:t>
      </w:r>
      <w:r w:rsidRPr="00D920C9">
        <w:rPr>
          <w:rFonts w:asciiTheme="minorHAnsi" w:hAnsiTheme="minorHAnsi"/>
          <w:vertAlign w:val="superscript"/>
        </w:rPr>
        <w:footnoteReference w:id="495"/>
      </w:r>
      <w:r w:rsidRPr="00D920C9">
        <w:rPr>
          <w:rFonts w:asciiTheme="minorHAnsi" w:hAnsiTheme="minorHAnsi"/>
        </w:rPr>
        <w:t xml:space="preserve"> These principles should be fully incorporated into departmental use of force policies, in line with the obligation of all levels of government to observe and protect human rights obligations.</w:t>
      </w:r>
      <w:bookmarkEnd w:id="189"/>
    </w:p>
    <w:p w14:paraId="1DDA46EA" w14:textId="7B401545" w:rsidR="00C63972" w:rsidRPr="00D920C9" w:rsidRDefault="00C63972" w:rsidP="00E86698">
      <w:pPr>
        <w:pStyle w:val="ListParagraph"/>
        <w:numPr>
          <w:ilvl w:val="0"/>
          <w:numId w:val="9"/>
        </w:numPr>
        <w:spacing w:after="240" w:line="240" w:lineRule="auto"/>
        <w:ind w:left="547" w:hanging="547"/>
        <w:contextualSpacing w:val="0"/>
        <w:jc w:val="both"/>
        <w:rPr>
          <w:rFonts w:asciiTheme="minorHAnsi" w:eastAsia="Times New Roman" w:hAnsiTheme="minorHAnsi"/>
          <w:szCs w:val="20"/>
        </w:rPr>
      </w:pPr>
      <w:bookmarkStart w:id="190" w:name="_Ref507405694"/>
      <w:r w:rsidRPr="00D920C9">
        <w:rPr>
          <w:rFonts w:asciiTheme="minorHAnsi" w:hAnsiTheme="minorHAnsi"/>
        </w:rPr>
        <w:t xml:space="preserve">Given the expansion in the manufacture and sale of less lethal weapons, </w:t>
      </w:r>
      <w:r w:rsidR="007774FA" w:rsidRPr="00D920C9">
        <w:rPr>
          <w:rFonts w:asciiTheme="minorHAnsi" w:hAnsiTheme="minorHAnsi"/>
        </w:rPr>
        <w:t xml:space="preserve">and </w:t>
      </w:r>
      <w:r w:rsidRPr="00D920C9">
        <w:rPr>
          <w:rFonts w:asciiTheme="minorHAnsi" w:hAnsiTheme="minorHAnsi"/>
        </w:rPr>
        <w:t>their varied characteristics, mechanisms for causing harm, and risks associated with their use, clear and appropriate rules are essential. This is because the lethality of the weapon depend</w:t>
      </w:r>
      <w:r w:rsidR="007774FA" w:rsidRPr="00D920C9">
        <w:rPr>
          <w:rFonts w:asciiTheme="minorHAnsi" w:hAnsiTheme="minorHAnsi"/>
        </w:rPr>
        <w:t>s</w:t>
      </w:r>
      <w:r w:rsidRPr="00D920C9">
        <w:rPr>
          <w:rFonts w:asciiTheme="minorHAnsi" w:hAnsiTheme="minorHAnsi"/>
        </w:rPr>
        <w:t xml:space="preserve"> on its use, the context in </w:t>
      </w:r>
      <w:r w:rsidRPr="00D920C9">
        <w:rPr>
          <w:rFonts w:asciiTheme="minorHAnsi" w:hAnsiTheme="minorHAnsi"/>
        </w:rPr>
        <w:lastRenderedPageBreak/>
        <w:t>which it is used, and the particular conditions of the person using it.</w:t>
      </w:r>
      <w:r w:rsidRPr="00D920C9">
        <w:rPr>
          <w:rFonts w:asciiTheme="minorHAnsi" w:hAnsiTheme="minorHAnsi"/>
          <w:vertAlign w:val="superscript"/>
        </w:rPr>
        <w:footnoteReference w:id="496"/>
      </w:r>
      <w:r w:rsidRPr="00D920C9">
        <w:rPr>
          <w:rFonts w:asciiTheme="minorHAnsi" w:hAnsiTheme="minorHAnsi"/>
        </w:rPr>
        <w:t xml:space="preserve"> The IACHR has previously observed that “almost any use of force against the human person can under certain circumstances lead to loss of life or serious</w:t>
      </w:r>
      <w:r w:rsidRPr="00D920C9">
        <w:rPr>
          <w:rFonts w:asciiTheme="minorHAnsi" w:eastAsia="Times New Roman" w:hAnsiTheme="minorHAnsi"/>
          <w:szCs w:val="20"/>
        </w:rPr>
        <w:t xml:space="preserve"> injury,” and in many cases, negative impacts on physical integrity or life have been caused by the misuse of such weapons.</w:t>
      </w:r>
      <w:r w:rsidRPr="00D920C9">
        <w:rPr>
          <w:rStyle w:val="FootnoteReference"/>
          <w:rFonts w:asciiTheme="minorHAnsi" w:eastAsia="Times New Roman" w:hAnsiTheme="minorHAnsi"/>
          <w:szCs w:val="20"/>
        </w:rPr>
        <w:footnoteReference w:id="497"/>
      </w:r>
      <w:r w:rsidRPr="00D920C9">
        <w:rPr>
          <w:rFonts w:asciiTheme="minorHAnsi" w:eastAsia="Times New Roman" w:hAnsiTheme="minorHAnsi"/>
          <w:szCs w:val="20"/>
        </w:rPr>
        <w:t xml:space="preserve"> For example, rubber munitions shot from a short distance at the upper body, tear gas fired at bodies, irritant gases used against children and the elderly, and Tasers used against persons with heart conditions may all cause serious injury or death.</w:t>
      </w:r>
      <w:r w:rsidRPr="00D920C9">
        <w:rPr>
          <w:rStyle w:val="FootnoteReference"/>
          <w:rFonts w:asciiTheme="minorHAnsi" w:eastAsia="Times New Roman" w:hAnsiTheme="minorHAnsi"/>
          <w:szCs w:val="20"/>
        </w:rPr>
        <w:footnoteReference w:id="498"/>
      </w:r>
      <w:r w:rsidRPr="00D920C9">
        <w:rPr>
          <w:rFonts w:asciiTheme="minorHAnsi" w:eastAsia="Times New Roman" w:hAnsiTheme="minorHAnsi"/>
          <w:szCs w:val="20"/>
        </w:rPr>
        <w:t xml:space="preserve"> The IACHR recalls that </w:t>
      </w:r>
      <w:r w:rsidR="007774FA" w:rsidRPr="00D920C9">
        <w:rPr>
          <w:rFonts w:asciiTheme="minorHAnsi" w:eastAsia="Times New Roman" w:hAnsiTheme="minorHAnsi"/>
          <w:szCs w:val="20"/>
        </w:rPr>
        <w:t>several</w:t>
      </w:r>
      <w:r w:rsidRPr="00D920C9">
        <w:rPr>
          <w:rFonts w:asciiTheme="minorHAnsi" w:eastAsia="Times New Roman" w:hAnsiTheme="minorHAnsi"/>
          <w:szCs w:val="20"/>
        </w:rPr>
        <w:t xml:space="preserve"> cases cited in this report resulted </w:t>
      </w:r>
      <w:r w:rsidR="007B6526" w:rsidRPr="00D920C9">
        <w:rPr>
          <w:rFonts w:asciiTheme="minorHAnsi" w:eastAsia="Times New Roman" w:hAnsiTheme="minorHAnsi"/>
          <w:szCs w:val="20"/>
        </w:rPr>
        <w:t>from</w:t>
      </w:r>
      <w:r w:rsidRPr="00D920C9">
        <w:rPr>
          <w:rFonts w:asciiTheme="minorHAnsi" w:eastAsia="Times New Roman" w:hAnsiTheme="minorHAnsi"/>
          <w:szCs w:val="20"/>
        </w:rPr>
        <w:t xml:space="preserve"> </w:t>
      </w:r>
      <w:r w:rsidR="00464244" w:rsidRPr="00D920C9">
        <w:rPr>
          <w:rFonts w:asciiTheme="minorHAnsi" w:eastAsia="Times New Roman" w:hAnsiTheme="minorHAnsi"/>
          <w:szCs w:val="20"/>
        </w:rPr>
        <w:t>causes other than shootings, such as the use of prohibited chokeholds or “rough rides</w:t>
      </w:r>
      <w:r w:rsidRPr="00D920C9">
        <w:rPr>
          <w:rFonts w:asciiTheme="minorHAnsi" w:eastAsia="Times New Roman" w:hAnsiTheme="minorHAnsi"/>
          <w:szCs w:val="20"/>
        </w:rPr>
        <w:t>.</w:t>
      </w:r>
      <w:r w:rsidR="00464244" w:rsidRPr="00D920C9">
        <w:rPr>
          <w:rFonts w:asciiTheme="minorHAnsi" w:eastAsia="Times New Roman" w:hAnsiTheme="minorHAnsi"/>
          <w:szCs w:val="20"/>
        </w:rPr>
        <w:t>”</w:t>
      </w:r>
      <w:r w:rsidRPr="00D920C9">
        <w:rPr>
          <w:rStyle w:val="FootnoteReference"/>
          <w:rFonts w:asciiTheme="minorHAnsi" w:eastAsia="Times New Roman" w:hAnsiTheme="minorHAnsi"/>
          <w:szCs w:val="20"/>
        </w:rPr>
        <w:footnoteReference w:id="499"/>
      </w:r>
      <w:bookmarkEnd w:id="190"/>
    </w:p>
    <w:p w14:paraId="59DF4058" w14:textId="786FECAD" w:rsidR="00206055" w:rsidRPr="00D920C9" w:rsidRDefault="00C13594" w:rsidP="00E86698">
      <w:pPr>
        <w:pStyle w:val="ListParagraph"/>
        <w:numPr>
          <w:ilvl w:val="0"/>
          <w:numId w:val="9"/>
        </w:numPr>
        <w:spacing w:after="240" w:line="240" w:lineRule="auto"/>
        <w:ind w:left="547" w:hanging="547"/>
        <w:contextualSpacing w:val="0"/>
        <w:jc w:val="both"/>
        <w:rPr>
          <w:rFonts w:asciiTheme="minorHAnsi" w:hAnsiTheme="minorHAnsi"/>
        </w:rPr>
      </w:pPr>
      <w:bookmarkStart w:id="191" w:name="_Ref507405696"/>
      <w:r w:rsidRPr="00D920C9">
        <w:rPr>
          <w:rFonts w:asciiTheme="minorHAnsi" w:eastAsia="Times New Roman" w:hAnsiTheme="minorHAnsi"/>
          <w:szCs w:val="20"/>
        </w:rPr>
        <w:t xml:space="preserve">In addition to the need to bring domestic laws regarding the use of lethal force in line with international law and create appropriate protocols to ensure compliance, the Commission </w:t>
      </w:r>
      <w:r w:rsidR="00206055" w:rsidRPr="00D920C9">
        <w:rPr>
          <w:rFonts w:asciiTheme="minorHAnsi" w:eastAsia="Times New Roman" w:hAnsiTheme="minorHAnsi"/>
          <w:szCs w:val="20"/>
        </w:rPr>
        <w:t xml:space="preserve">emphasizes the need to develop normative provisions, protocols, and manuals that consider prohibitions </w:t>
      </w:r>
      <w:r w:rsidRPr="00D920C9">
        <w:rPr>
          <w:rFonts w:asciiTheme="minorHAnsi" w:eastAsia="Times New Roman" w:hAnsiTheme="minorHAnsi"/>
          <w:szCs w:val="20"/>
        </w:rPr>
        <w:t>on</w:t>
      </w:r>
      <w:r w:rsidR="00206055" w:rsidRPr="00D920C9">
        <w:rPr>
          <w:rFonts w:asciiTheme="minorHAnsi" w:eastAsia="Times New Roman" w:hAnsiTheme="minorHAnsi"/>
          <w:szCs w:val="20"/>
        </w:rPr>
        <w:t xml:space="preserve"> </w:t>
      </w:r>
      <w:r w:rsidRPr="00D920C9">
        <w:rPr>
          <w:rFonts w:asciiTheme="minorHAnsi" w:eastAsia="Times New Roman" w:hAnsiTheme="minorHAnsi"/>
          <w:szCs w:val="20"/>
        </w:rPr>
        <w:t>the use of</w:t>
      </w:r>
      <w:r w:rsidR="00C63972" w:rsidRPr="00D920C9">
        <w:rPr>
          <w:rFonts w:asciiTheme="minorHAnsi" w:eastAsia="Times New Roman" w:hAnsiTheme="minorHAnsi"/>
          <w:szCs w:val="20"/>
        </w:rPr>
        <w:t xml:space="preserve"> lethal and</w:t>
      </w:r>
      <w:r w:rsidRPr="00D920C9">
        <w:rPr>
          <w:rFonts w:asciiTheme="minorHAnsi" w:eastAsia="Times New Roman" w:hAnsiTheme="minorHAnsi"/>
          <w:szCs w:val="20"/>
        </w:rPr>
        <w:t xml:space="preserve"> less letha</w:t>
      </w:r>
      <w:r w:rsidR="00C63972" w:rsidRPr="00D920C9">
        <w:rPr>
          <w:rFonts w:asciiTheme="minorHAnsi" w:eastAsia="Times New Roman" w:hAnsiTheme="minorHAnsi"/>
          <w:szCs w:val="20"/>
        </w:rPr>
        <w:t>l weapons</w:t>
      </w:r>
      <w:r w:rsidRPr="00D920C9">
        <w:rPr>
          <w:rFonts w:asciiTheme="minorHAnsi" w:eastAsia="Times New Roman" w:hAnsiTheme="minorHAnsi"/>
          <w:szCs w:val="20"/>
        </w:rPr>
        <w:t xml:space="preserve"> </w:t>
      </w:r>
      <w:r w:rsidR="00206055" w:rsidRPr="00D920C9">
        <w:rPr>
          <w:rFonts w:asciiTheme="minorHAnsi" w:eastAsia="Times New Roman" w:hAnsiTheme="minorHAnsi"/>
          <w:szCs w:val="20"/>
        </w:rPr>
        <w:t>in contexts or with persons that may imply greater risk</w:t>
      </w:r>
      <w:r w:rsidR="00C63972" w:rsidRPr="00D920C9">
        <w:rPr>
          <w:rFonts w:asciiTheme="minorHAnsi" w:eastAsia="Times New Roman" w:hAnsiTheme="minorHAnsi"/>
          <w:szCs w:val="20"/>
        </w:rPr>
        <w:t>, in view of the consequences that could result from their</w:t>
      </w:r>
      <w:r w:rsidR="00EC0A9F" w:rsidRPr="00D920C9">
        <w:rPr>
          <w:rFonts w:asciiTheme="minorHAnsi" w:eastAsia="Times New Roman" w:hAnsiTheme="minorHAnsi"/>
          <w:szCs w:val="20"/>
        </w:rPr>
        <w:t xml:space="preserve"> improper,</w:t>
      </w:r>
      <w:r w:rsidR="00C63972" w:rsidRPr="00D920C9">
        <w:rPr>
          <w:rFonts w:asciiTheme="minorHAnsi" w:eastAsia="Times New Roman" w:hAnsiTheme="minorHAnsi"/>
          <w:szCs w:val="20"/>
        </w:rPr>
        <w:t xml:space="preserve"> inappropriate or abusive use</w:t>
      </w:r>
      <w:r w:rsidR="00206055" w:rsidRPr="00D920C9">
        <w:rPr>
          <w:rFonts w:asciiTheme="minorHAnsi" w:eastAsia="Times New Roman" w:hAnsiTheme="minorHAnsi"/>
          <w:szCs w:val="20"/>
        </w:rPr>
        <w:t>.</w:t>
      </w:r>
      <w:r w:rsidRPr="00D920C9">
        <w:rPr>
          <w:rStyle w:val="FootnoteReference"/>
          <w:rFonts w:asciiTheme="minorHAnsi" w:eastAsia="Times New Roman" w:hAnsiTheme="minorHAnsi"/>
          <w:szCs w:val="20"/>
        </w:rPr>
        <w:footnoteReference w:id="500"/>
      </w:r>
      <w:r w:rsidR="00206055" w:rsidRPr="00D920C9">
        <w:rPr>
          <w:rFonts w:asciiTheme="minorHAnsi" w:eastAsia="Times New Roman" w:hAnsiTheme="minorHAnsi"/>
          <w:szCs w:val="20"/>
        </w:rPr>
        <w:t xml:space="preserve"> For example, </w:t>
      </w:r>
      <w:r w:rsidRPr="00D920C9">
        <w:rPr>
          <w:rFonts w:asciiTheme="minorHAnsi" w:eastAsia="Times New Roman" w:hAnsiTheme="minorHAnsi"/>
          <w:szCs w:val="20"/>
        </w:rPr>
        <w:t xml:space="preserve">the </w:t>
      </w:r>
      <w:r w:rsidRPr="00D920C9">
        <w:rPr>
          <w:rFonts w:asciiTheme="minorHAnsi" w:hAnsiTheme="minorHAnsi"/>
        </w:rPr>
        <w:t xml:space="preserve">Commission has stated that </w:t>
      </w:r>
      <w:r w:rsidR="00206055" w:rsidRPr="00D920C9">
        <w:rPr>
          <w:rFonts w:asciiTheme="minorHAnsi" w:hAnsiTheme="minorHAnsi"/>
        </w:rPr>
        <w:t xml:space="preserve">tear gas should not be used in closed spaces or with persons who have no place to move away </w:t>
      </w:r>
      <w:r w:rsidRPr="00D920C9">
        <w:rPr>
          <w:rFonts w:asciiTheme="minorHAnsi" w:hAnsiTheme="minorHAnsi"/>
        </w:rPr>
        <w:t>from the crowd or to evacuate.</w:t>
      </w:r>
      <w:r w:rsidRPr="00D920C9">
        <w:rPr>
          <w:rFonts w:asciiTheme="minorHAnsi" w:hAnsiTheme="minorHAnsi"/>
          <w:vertAlign w:val="superscript"/>
        </w:rPr>
        <w:footnoteReference w:id="501"/>
      </w:r>
      <w:r w:rsidRPr="00D920C9">
        <w:rPr>
          <w:rFonts w:asciiTheme="minorHAnsi" w:hAnsiTheme="minorHAnsi"/>
        </w:rPr>
        <w:t xml:space="preserve"> The use of less </w:t>
      </w:r>
      <w:r w:rsidR="00206055" w:rsidRPr="00D920C9">
        <w:rPr>
          <w:rFonts w:asciiTheme="minorHAnsi" w:hAnsiTheme="minorHAnsi"/>
        </w:rPr>
        <w:t xml:space="preserve">lethal weapons should be preceded by formal notices </w:t>
      </w:r>
      <w:r w:rsidRPr="00D920C9">
        <w:rPr>
          <w:rFonts w:asciiTheme="minorHAnsi" w:hAnsiTheme="minorHAnsi"/>
        </w:rPr>
        <w:t>that</w:t>
      </w:r>
      <w:r w:rsidR="00206055" w:rsidRPr="00D920C9">
        <w:rPr>
          <w:rFonts w:asciiTheme="minorHAnsi" w:hAnsiTheme="minorHAnsi"/>
        </w:rPr>
        <w:t xml:space="preserve"> give </w:t>
      </w:r>
      <w:r w:rsidRPr="00D920C9">
        <w:rPr>
          <w:rFonts w:asciiTheme="minorHAnsi" w:hAnsiTheme="minorHAnsi"/>
        </w:rPr>
        <w:t>individuals</w:t>
      </w:r>
      <w:r w:rsidR="00206055" w:rsidRPr="00D920C9">
        <w:rPr>
          <w:rFonts w:asciiTheme="minorHAnsi" w:hAnsiTheme="minorHAnsi"/>
        </w:rPr>
        <w:t xml:space="preserve"> the opportunity to evacuate the </w:t>
      </w:r>
      <w:r w:rsidRPr="00D920C9">
        <w:rPr>
          <w:rFonts w:asciiTheme="minorHAnsi" w:hAnsiTheme="minorHAnsi"/>
        </w:rPr>
        <w:t>area</w:t>
      </w:r>
      <w:r w:rsidR="00206055" w:rsidRPr="00D920C9">
        <w:rPr>
          <w:rFonts w:asciiTheme="minorHAnsi" w:hAnsiTheme="minorHAnsi"/>
        </w:rPr>
        <w:t xml:space="preserve"> without provoking situations of panic or stampedes</w:t>
      </w:r>
      <w:r w:rsidRPr="00D920C9">
        <w:rPr>
          <w:rFonts w:asciiTheme="minorHAnsi" w:hAnsiTheme="minorHAnsi"/>
        </w:rPr>
        <w:t>.</w:t>
      </w:r>
      <w:r w:rsidR="00206055" w:rsidRPr="00D920C9">
        <w:rPr>
          <w:rFonts w:asciiTheme="minorHAnsi" w:hAnsiTheme="minorHAnsi"/>
        </w:rPr>
        <w:t xml:space="preserve"> </w:t>
      </w:r>
      <w:r w:rsidRPr="00D920C9">
        <w:rPr>
          <w:rFonts w:asciiTheme="minorHAnsi" w:hAnsiTheme="minorHAnsi"/>
        </w:rPr>
        <w:t>G</w:t>
      </w:r>
      <w:r w:rsidR="00206055" w:rsidRPr="00D920C9">
        <w:rPr>
          <w:rFonts w:asciiTheme="minorHAnsi" w:hAnsiTheme="minorHAnsi"/>
        </w:rPr>
        <w:t>uidelines should</w:t>
      </w:r>
      <w:r w:rsidRPr="00D920C9">
        <w:rPr>
          <w:rFonts w:asciiTheme="minorHAnsi" w:hAnsiTheme="minorHAnsi"/>
        </w:rPr>
        <w:t xml:space="preserve"> further</w:t>
      </w:r>
      <w:r w:rsidR="00206055" w:rsidRPr="00D920C9">
        <w:rPr>
          <w:rFonts w:asciiTheme="minorHAnsi" w:hAnsiTheme="minorHAnsi"/>
        </w:rPr>
        <w:t xml:space="preserve"> be put in place for </w:t>
      </w:r>
      <w:r w:rsidRPr="00D920C9">
        <w:rPr>
          <w:rFonts w:asciiTheme="minorHAnsi" w:hAnsiTheme="minorHAnsi"/>
        </w:rPr>
        <w:t>regulating their composition</w:t>
      </w:r>
      <w:r w:rsidRPr="00D920C9">
        <w:rPr>
          <w:rFonts w:asciiTheme="minorHAnsi" w:hAnsiTheme="minorHAnsi"/>
          <w:vertAlign w:val="superscript"/>
        </w:rPr>
        <w:footnoteReference w:id="502"/>
      </w:r>
      <w:r w:rsidRPr="00D920C9">
        <w:rPr>
          <w:rFonts w:asciiTheme="minorHAnsi" w:hAnsiTheme="minorHAnsi"/>
        </w:rPr>
        <w:t xml:space="preserve"> and </w:t>
      </w:r>
      <w:r w:rsidR="00206055" w:rsidRPr="00D920C9">
        <w:rPr>
          <w:rFonts w:asciiTheme="minorHAnsi" w:hAnsiTheme="minorHAnsi"/>
        </w:rPr>
        <w:t>attributing responsibility for their incorrect use.</w:t>
      </w:r>
      <w:r w:rsidR="00206055" w:rsidRPr="00D920C9">
        <w:rPr>
          <w:rFonts w:asciiTheme="minorHAnsi" w:hAnsiTheme="minorHAnsi"/>
          <w:vertAlign w:val="superscript"/>
        </w:rPr>
        <w:footnoteReference w:id="503"/>
      </w:r>
      <w:bookmarkEnd w:id="191"/>
      <w:r w:rsidR="00206055" w:rsidRPr="00D920C9">
        <w:rPr>
          <w:rFonts w:asciiTheme="minorHAnsi" w:hAnsiTheme="minorHAnsi"/>
        </w:rPr>
        <w:t xml:space="preserve"> </w:t>
      </w:r>
    </w:p>
    <w:p w14:paraId="64B458CB" w14:textId="1FC375E4" w:rsidR="00C040C2" w:rsidRPr="00D920C9" w:rsidRDefault="00C040C2" w:rsidP="00E86698">
      <w:pPr>
        <w:pStyle w:val="ListParagraph"/>
        <w:numPr>
          <w:ilvl w:val="0"/>
          <w:numId w:val="9"/>
        </w:numPr>
        <w:spacing w:after="240" w:line="240" w:lineRule="auto"/>
        <w:ind w:left="547" w:hanging="547"/>
        <w:contextualSpacing w:val="0"/>
        <w:jc w:val="both"/>
        <w:rPr>
          <w:rFonts w:asciiTheme="minorHAnsi" w:eastAsia="Times New Roman" w:hAnsiTheme="minorHAnsi"/>
          <w:szCs w:val="20"/>
        </w:rPr>
      </w:pPr>
      <w:bookmarkStart w:id="192" w:name="_Ref507675997"/>
      <w:r w:rsidRPr="00D920C9">
        <w:rPr>
          <w:rFonts w:asciiTheme="minorHAnsi" w:hAnsiTheme="minorHAnsi"/>
        </w:rPr>
        <w:t xml:space="preserve">The Commission reiterates the importance of implementing ammunition registration and control </w:t>
      </w:r>
      <w:r w:rsidR="00C63972" w:rsidRPr="00D920C9">
        <w:rPr>
          <w:rFonts w:asciiTheme="minorHAnsi" w:hAnsiTheme="minorHAnsi"/>
        </w:rPr>
        <w:t xml:space="preserve">protocols and </w:t>
      </w:r>
      <w:r w:rsidRPr="00D920C9">
        <w:rPr>
          <w:rFonts w:asciiTheme="minorHAnsi" w:hAnsiTheme="minorHAnsi"/>
        </w:rPr>
        <w:t>systems.</w:t>
      </w:r>
      <w:r w:rsidRPr="00D920C9">
        <w:rPr>
          <w:rFonts w:asciiTheme="minorHAnsi" w:hAnsiTheme="minorHAnsi"/>
          <w:vertAlign w:val="superscript"/>
        </w:rPr>
        <w:footnoteReference w:id="504"/>
      </w:r>
      <w:r w:rsidRPr="00D920C9">
        <w:rPr>
          <w:rFonts w:asciiTheme="minorHAnsi" w:hAnsiTheme="minorHAnsi"/>
        </w:rPr>
        <w:t xml:space="preserve"> The Basic Principles </w:t>
      </w:r>
      <w:r w:rsidRPr="00D920C9">
        <w:rPr>
          <w:rFonts w:asciiTheme="minorHAnsi" w:hAnsiTheme="minorHAnsi"/>
        </w:rPr>
        <w:lastRenderedPageBreak/>
        <w:t>similarly recommend the establishment of guidelines that regulate the control, storage, and issuance of firearms, including procedures for ensuring that law enforcement officials are accountable for the firearms and ammunition issued to them.</w:t>
      </w:r>
      <w:r w:rsidRPr="00D920C9">
        <w:rPr>
          <w:rFonts w:asciiTheme="minorHAnsi" w:hAnsiTheme="minorHAnsi"/>
          <w:vertAlign w:val="superscript"/>
        </w:rPr>
        <w:footnoteReference w:id="505"/>
      </w:r>
      <w:r w:rsidRPr="00D920C9">
        <w:rPr>
          <w:rFonts w:asciiTheme="minorHAnsi" w:hAnsiTheme="minorHAnsi"/>
        </w:rPr>
        <w:t xml:space="preserve"> Registration of this type, before and after operations, helps to facilitate judicial and administrative investigations into possible</w:t>
      </w:r>
      <w:r w:rsidRPr="00D920C9">
        <w:rPr>
          <w:rFonts w:asciiTheme="minorHAnsi" w:eastAsia="Times New Roman" w:hAnsiTheme="minorHAnsi"/>
          <w:szCs w:val="20"/>
        </w:rPr>
        <w:t xml:space="preserve"> violations of rules and principles on the use of force. </w:t>
      </w:r>
      <w:r w:rsidR="0019471C" w:rsidRPr="00D920C9">
        <w:rPr>
          <w:rFonts w:asciiTheme="minorHAnsi" w:eastAsia="Times New Roman" w:hAnsiTheme="minorHAnsi"/>
          <w:szCs w:val="20"/>
        </w:rPr>
        <w:t>Thus</w:t>
      </w:r>
      <w:r w:rsidRPr="00D920C9">
        <w:rPr>
          <w:rFonts w:asciiTheme="minorHAnsi" w:eastAsia="Times New Roman" w:hAnsiTheme="minorHAnsi"/>
          <w:szCs w:val="20"/>
        </w:rPr>
        <w:t xml:space="preserve">, </w:t>
      </w:r>
      <w:r w:rsidR="0019471C" w:rsidRPr="00D920C9">
        <w:rPr>
          <w:rFonts w:asciiTheme="minorHAnsi" w:eastAsia="Times New Roman" w:hAnsiTheme="minorHAnsi"/>
          <w:szCs w:val="20"/>
        </w:rPr>
        <w:t>S</w:t>
      </w:r>
      <w:r w:rsidRPr="00D920C9">
        <w:rPr>
          <w:rFonts w:asciiTheme="minorHAnsi" w:eastAsia="Times New Roman" w:hAnsiTheme="minorHAnsi"/>
          <w:szCs w:val="20"/>
        </w:rPr>
        <w:t>tates should have in place effective mechanisms for making inventories of firearms, ammunition, and other control devices, such as chemical weapons, to be used in a security operation.</w:t>
      </w:r>
      <w:r w:rsidRPr="00D920C9">
        <w:rPr>
          <w:rStyle w:val="FootnoteReference"/>
          <w:rFonts w:asciiTheme="minorHAnsi" w:eastAsia="Times New Roman" w:hAnsiTheme="minorHAnsi"/>
          <w:szCs w:val="20"/>
        </w:rPr>
        <w:footnoteReference w:id="506"/>
      </w:r>
      <w:bookmarkEnd w:id="192"/>
    </w:p>
    <w:p w14:paraId="75BF4201" w14:textId="13663F2F" w:rsidR="00206055" w:rsidRPr="00D920C9" w:rsidRDefault="006E17F4" w:rsidP="00226E45">
      <w:pPr>
        <w:pStyle w:val="Heading4"/>
        <w:keepNext w:val="0"/>
        <w:keepLines w:val="0"/>
        <w:ind w:left="547" w:hanging="547"/>
      </w:pPr>
      <w:bookmarkStart w:id="193" w:name="_Toc511837837"/>
      <w:bookmarkStart w:id="194" w:name="_Toc511903010"/>
      <w:bookmarkStart w:id="195" w:name="_Toc517687939"/>
      <w:r w:rsidRPr="00D920C9">
        <w:t>Preventing</w:t>
      </w:r>
      <w:r w:rsidR="00A350FD" w:rsidRPr="00D920C9">
        <w:t xml:space="preserve"> </w:t>
      </w:r>
      <w:r w:rsidR="003A6706" w:rsidRPr="00D920C9">
        <w:t xml:space="preserve">Violations </w:t>
      </w:r>
      <w:r w:rsidR="00A350FD" w:rsidRPr="00D920C9">
        <w:t xml:space="preserve">of the </w:t>
      </w:r>
      <w:r w:rsidR="003A6706" w:rsidRPr="00D920C9">
        <w:t xml:space="preserve">Prohibition </w:t>
      </w:r>
      <w:r w:rsidR="00A350FD" w:rsidRPr="00D920C9">
        <w:t xml:space="preserve">against </w:t>
      </w:r>
      <w:r w:rsidR="003A6706" w:rsidRPr="00D920C9">
        <w:t xml:space="preserve">Torture </w:t>
      </w:r>
      <w:r w:rsidR="00A350FD" w:rsidRPr="00D920C9">
        <w:t xml:space="preserve">and </w:t>
      </w:r>
      <w:r w:rsidR="003A6706" w:rsidRPr="00D920C9">
        <w:t>Cruel</w:t>
      </w:r>
      <w:r w:rsidR="00A350FD" w:rsidRPr="00D920C9">
        <w:t xml:space="preserve">, </w:t>
      </w:r>
      <w:r w:rsidR="003A6706" w:rsidRPr="00D920C9">
        <w:t>Inhuman</w:t>
      </w:r>
      <w:r w:rsidR="00A350FD" w:rsidRPr="00D920C9">
        <w:t xml:space="preserve">, and </w:t>
      </w:r>
      <w:r w:rsidR="003A6706" w:rsidRPr="00D920C9">
        <w:t>Degrading Treatment</w:t>
      </w:r>
      <w:bookmarkEnd w:id="193"/>
      <w:bookmarkEnd w:id="194"/>
      <w:bookmarkEnd w:id="195"/>
    </w:p>
    <w:p w14:paraId="45540D89" w14:textId="3C4EF0BD" w:rsidR="00A350FD" w:rsidRPr="00D920C9" w:rsidRDefault="00A350FD" w:rsidP="00E86698">
      <w:pPr>
        <w:pStyle w:val="ListParagraph"/>
        <w:numPr>
          <w:ilvl w:val="0"/>
          <w:numId w:val="9"/>
        </w:numPr>
        <w:spacing w:after="240" w:line="240" w:lineRule="auto"/>
        <w:ind w:left="547" w:hanging="547"/>
        <w:contextualSpacing w:val="0"/>
        <w:jc w:val="both"/>
        <w:rPr>
          <w:rFonts w:asciiTheme="minorHAnsi" w:hAnsiTheme="minorHAnsi"/>
        </w:rPr>
      </w:pPr>
      <w:bookmarkStart w:id="196" w:name="_Ref507675833"/>
      <w:r w:rsidRPr="00D920C9">
        <w:rPr>
          <w:rFonts w:asciiTheme="minorHAnsi" w:hAnsiTheme="minorHAnsi"/>
          <w:szCs w:val="20"/>
        </w:rPr>
        <w:t>Under international law, all forms of torture and cruel, inhuman or degrading treatment (“CIDT”) are banned without exception,</w:t>
      </w:r>
      <w:r w:rsidR="00B751ED" w:rsidRPr="00D920C9">
        <w:rPr>
          <w:rStyle w:val="FootnoteReference"/>
          <w:rFonts w:asciiTheme="minorHAnsi" w:hAnsiTheme="minorHAnsi"/>
          <w:szCs w:val="20"/>
        </w:rPr>
        <w:footnoteReference w:id="507"/>
      </w:r>
      <w:r w:rsidRPr="00D920C9">
        <w:rPr>
          <w:rFonts w:asciiTheme="minorHAnsi" w:hAnsiTheme="minorHAnsi"/>
          <w:szCs w:val="20"/>
        </w:rPr>
        <w:t xml:space="preserve"> including under the </w:t>
      </w:r>
      <w:r w:rsidRPr="00D920C9">
        <w:rPr>
          <w:rFonts w:asciiTheme="minorHAnsi" w:hAnsiTheme="minorHAnsi"/>
        </w:rPr>
        <w:t>Convention Against Torture (CAT) and the International Covenant on Civil and Political Rights (ICCPR), both of which the United States has ratified, and the American Convention on Human Rights (ACHR), among many other instruments</w:t>
      </w:r>
      <w:r w:rsidR="006E17F4" w:rsidRPr="00D920C9">
        <w:rPr>
          <w:rFonts w:asciiTheme="minorHAnsi" w:hAnsiTheme="minorHAnsi"/>
        </w:rPr>
        <w:t>, including the American Declaration</w:t>
      </w:r>
      <w:r w:rsidRPr="00D920C9">
        <w:rPr>
          <w:rFonts w:asciiTheme="minorHAnsi" w:hAnsiTheme="minorHAnsi"/>
        </w:rPr>
        <w:t xml:space="preserve">. Indeed, the prohibition against torture is considered a jus </w:t>
      </w:r>
      <w:proofErr w:type="spellStart"/>
      <w:r w:rsidRPr="00D920C9">
        <w:rPr>
          <w:rFonts w:asciiTheme="minorHAnsi" w:hAnsiTheme="minorHAnsi"/>
        </w:rPr>
        <w:t>cogens</w:t>
      </w:r>
      <w:proofErr w:type="spellEnd"/>
      <w:r w:rsidRPr="00D920C9">
        <w:rPr>
          <w:rFonts w:asciiTheme="minorHAnsi" w:hAnsiTheme="minorHAnsi"/>
        </w:rPr>
        <w:t xml:space="preserve"> norm, from which no derogation is permitted. </w:t>
      </w:r>
      <w:r w:rsidR="00EC794C" w:rsidRPr="00D920C9">
        <w:rPr>
          <w:rFonts w:asciiTheme="minorHAnsi" w:hAnsiTheme="minorHAnsi"/>
        </w:rPr>
        <w:t xml:space="preserve">The </w:t>
      </w:r>
      <w:r w:rsidR="00352483" w:rsidRPr="00D920C9">
        <w:rPr>
          <w:rFonts w:asciiTheme="minorHAnsi" w:hAnsiTheme="minorHAnsi"/>
        </w:rPr>
        <w:t>U.S.</w:t>
      </w:r>
      <w:r w:rsidR="00EC794C" w:rsidRPr="00D920C9">
        <w:rPr>
          <w:rFonts w:asciiTheme="minorHAnsi" w:hAnsiTheme="minorHAnsi"/>
        </w:rPr>
        <w:t xml:space="preserve"> is obligated to prevent torture, including by ensuring that “education and information regarding the prohibition against torture are fully included in the training of law enforcement personnel [. . </w:t>
      </w:r>
      <w:proofErr w:type="gramStart"/>
      <w:r w:rsidR="00EC794C" w:rsidRPr="00D920C9">
        <w:rPr>
          <w:rFonts w:asciiTheme="minorHAnsi" w:hAnsiTheme="minorHAnsi"/>
        </w:rPr>
        <w:t>. ]</w:t>
      </w:r>
      <w:proofErr w:type="gramEnd"/>
      <w:r w:rsidR="00EC794C" w:rsidRPr="00D920C9">
        <w:rPr>
          <w:rFonts w:asciiTheme="minorHAnsi" w:hAnsiTheme="minorHAnsi"/>
        </w:rPr>
        <w:t>,” and by including the prohibition “in the rules or instructions issued in regard to the duties and functions of any such person.”</w:t>
      </w:r>
      <w:r w:rsidR="00EC794C" w:rsidRPr="00D920C9">
        <w:rPr>
          <w:rFonts w:asciiTheme="minorHAnsi" w:hAnsiTheme="minorHAnsi"/>
          <w:vertAlign w:val="superscript"/>
        </w:rPr>
        <w:footnoteReference w:id="508"/>
      </w:r>
      <w:bookmarkEnd w:id="196"/>
    </w:p>
    <w:p w14:paraId="44980D45" w14:textId="77777777" w:rsidR="00A350FD" w:rsidRPr="00D920C9" w:rsidRDefault="00A350FD" w:rsidP="00E86698">
      <w:pPr>
        <w:pStyle w:val="ListParagraph"/>
        <w:numPr>
          <w:ilvl w:val="0"/>
          <w:numId w:val="9"/>
        </w:numPr>
        <w:spacing w:after="240" w:line="240" w:lineRule="auto"/>
        <w:ind w:left="547" w:hanging="547"/>
        <w:contextualSpacing w:val="0"/>
        <w:jc w:val="both"/>
        <w:rPr>
          <w:rFonts w:asciiTheme="minorHAnsi" w:hAnsiTheme="minorHAnsi"/>
        </w:rPr>
      </w:pPr>
      <w:r w:rsidRPr="00D920C9">
        <w:rPr>
          <w:rFonts w:asciiTheme="minorHAnsi" w:hAnsiTheme="minorHAnsi"/>
        </w:rPr>
        <w:t>ICCPR Article 7 provides: “No one shall be subjected to torture or to cruel, inhuman or degrading treatment or punishment.”</w:t>
      </w:r>
      <w:r w:rsidRPr="00D920C9">
        <w:rPr>
          <w:rFonts w:asciiTheme="minorHAnsi" w:hAnsiTheme="minorHAnsi"/>
          <w:vertAlign w:val="superscript"/>
        </w:rPr>
        <w:footnoteReference w:id="509"/>
      </w:r>
      <w:r w:rsidRPr="00D920C9">
        <w:rPr>
          <w:rFonts w:asciiTheme="minorHAnsi" w:hAnsiTheme="minorHAnsi"/>
        </w:rPr>
        <w:t xml:space="preserve"> </w:t>
      </w:r>
    </w:p>
    <w:p w14:paraId="1841FB5E" w14:textId="51EB4341" w:rsidR="00A350FD" w:rsidRPr="00D920C9" w:rsidRDefault="00A350FD" w:rsidP="00E86698">
      <w:pPr>
        <w:pStyle w:val="ListParagraph"/>
        <w:numPr>
          <w:ilvl w:val="0"/>
          <w:numId w:val="9"/>
        </w:numPr>
        <w:spacing w:after="240" w:line="240" w:lineRule="auto"/>
        <w:ind w:left="547" w:hanging="547"/>
        <w:contextualSpacing w:val="0"/>
        <w:jc w:val="both"/>
        <w:rPr>
          <w:rFonts w:asciiTheme="minorHAnsi" w:hAnsiTheme="minorHAnsi"/>
          <w:szCs w:val="20"/>
        </w:rPr>
      </w:pPr>
      <w:r w:rsidRPr="00D920C9">
        <w:rPr>
          <w:rFonts w:asciiTheme="minorHAnsi" w:hAnsiTheme="minorHAnsi"/>
        </w:rPr>
        <w:t>CAT Article 1 defines torture as</w:t>
      </w:r>
      <w:r w:rsidR="00C91E4F" w:rsidRPr="00D920C9">
        <w:rPr>
          <w:rFonts w:asciiTheme="minorHAnsi" w:hAnsiTheme="minorHAnsi"/>
        </w:rPr>
        <w:t>:</w:t>
      </w:r>
      <w:r w:rsidRPr="00D920C9">
        <w:rPr>
          <w:rFonts w:asciiTheme="minorHAnsi" w:hAnsiTheme="minorHAnsi"/>
        </w:rPr>
        <w:t xml:space="preserve"> </w:t>
      </w:r>
    </w:p>
    <w:p w14:paraId="3654FCD2" w14:textId="77777777" w:rsidR="00A350FD" w:rsidRPr="00D920C9" w:rsidRDefault="00A350FD" w:rsidP="00C91E4F">
      <w:pPr>
        <w:pStyle w:val="ListParagraph"/>
        <w:spacing w:after="240" w:line="240" w:lineRule="auto"/>
        <w:ind w:left="1166" w:right="619"/>
        <w:contextualSpacing w:val="0"/>
        <w:jc w:val="both"/>
        <w:rPr>
          <w:rFonts w:asciiTheme="minorHAnsi" w:hAnsiTheme="minorHAnsi"/>
          <w:szCs w:val="18"/>
        </w:rPr>
      </w:pPr>
      <w:r w:rsidRPr="00D920C9">
        <w:rPr>
          <w:rFonts w:asciiTheme="minorHAnsi" w:hAnsiTheme="minorHAnsi"/>
          <w:szCs w:val="18"/>
        </w:rPr>
        <w:t xml:space="preserve">any act by which severe pain or suffering, whether physical or mental, is intentionally inflicted on a person for such purposes as obtaining from him or a third person information or a confession, punishing him for an act he or a third person has committed or is suspected of having committed, or </w:t>
      </w:r>
      <w:r w:rsidRPr="00D920C9">
        <w:rPr>
          <w:rFonts w:asciiTheme="minorHAnsi" w:hAnsiTheme="minorHAnsi"/>
          <w:szCs w:val="18"/>
        </w:rPr>
        <w:lastRenderedPageBreak/>
        <w:t>intimidating or coercing him or a third person, or for any reason based on discrimination of any kind, when such pain or suffering is inflicted by or at the instigation of or with the consent or acquiescence of a public official or other person acting in an official capacity.</w:t>
      </w:r>
    </w:p>
    <w:p w14:paraId="7573DC8D" w14:textId="1CA28C00" w:rsidR="00A350FD" w:rsidRPr="00D920C9" w:rsidRDefault="00A350FD" w:rsidP="00E86698">
      <w:pPr>
        <w:pStyle w:val="ListParagraph"/>
        <w:numPr>
          <w:ilvl w:val="0"/>
          <w:numId w:val="9"/>
        </w:numPr>
        <w:spacing w:after="240" w:line="240" w:lineRule="auto"/>
        <w:ind w:left="547" w:hanging="547"/>
        <w:contextualSpacing w:val="0"/>
        <w:jc w:val="both"/>
        <w:rPr>
          <w:rFonts w:asciiTheme="minorHAnsi" w:hAnsiTheme="minorHAnsi"/>
          <w:szCs w:val="20"/>
        </w:rPr>
      </w:pPr>
      <w:r w:rsidRPr="00D920C9">
        <w:rPr>
          <w:rFonts w:asciiTheme="minorHAnsi" w:hAnsiTheme="minorHAnsi"/>
          <w:szCs w:val="20"/>
        </w:rPr>
        <w:t xml:space="preserve">CAT Article 16 </w:t>
      </w:r>
      <w:r w:rsidRPr="00D920C9">
        <w:rPr>
          <w:rFonts w:asciiTheme="minorHAnsi" w:hAnsiTheme="minorHAnsi"/>
        </w:rPr>
        <w:t>additionally</w:t>
      </w:r>
      <w:r w:rsidRPr="00D920C9">
        <w:rPr>
          <w:rFonts w:asciiTheme="minorHAnsi" w:hAnsiTheme="minorHAnsi"/>
          <w:szCs w:val="20"/>
        </w:rPr>
        <w:t xml:space="preserve"> obligates States to avoid</w:t>
      </w:r>
      <w:r w:rsidR="0004388D">
        <w:rPr>
          <w:rFonts w:asciiTheme="minorHAnsi" w:hAnsiTheme="minorHAnsi"/>
          <w:szCs w:val="20"/>
        </w:rPr>
        <w:t>:</w:t>
      </w:r>
    </w:p>
    <w:p w14:paraId="78E10C5F" w14:textId="77777777" w:rsidR="00A350FD" w:rsidRPr="00D920C9" w:rsidRDefault="00A350FD" w:rsidP="001167CB">
      <w:pPr>
        <w:pStyle w:val="ListParagraph"/>
        <w:spacing w:after="240" w:line="240" w:lineRule="auto"/>
        <w:ind w:left="1166" w:right="619"/>
        <w:contextualSpacing w:val="0"/>
        <w:jc w:val="both"/>
        <w:rPr>
          <w:rFonts w:asciiTheme="minorHAnsi" w:hAnsiTheme="minorHAnsi"/>
          <w:szCs w:val="18"/>
        </w:rPr>
      </w:pPr>
      <w:proofErr w:type="gramStart"/>
      <w:r w:rsidRPr="00D920C9">
        <w:rPr>
          <w:rFonts w:asciiTheme="minorHAnsi" w:hAnsiTheme="minorHAnsi"/>
          <w:szCs w:val="18"/>
        </w:rPr>
        <w:t>other</w:t>
      </w:r>
      <w:proofErr w:type="gramEnd"/>
      <w:r w:rsidRPr="00D920C9">
        <w:rPr>
          <w:rFonts w:asciiTheme="minorHAnsi" w:hAnsiTheme="minorHAnsi"/>
          <w:szCs w:val="18"/>
        </w:rPr>
        <w:t xml:space="preserve"> acts of cruel, inhuman or degrading treatment or punishment which do not amount to torture as defined in article I, when such acts are committed by or at the instigation of or with the consent or acquiescence of a public official or other person acting in an official capacity.</w:t>
      </w:r>
    </w:p>
    <w:p w14:paraId="6CA4A227" w14:textId="77777777" w:rsidR="004F08A7" w:rsidRPr="00D920C9" w:rsidRDefault="004F08A7" w:rsidP="00E86698">
      <w:pPr>
        <w:pStyle w:val="ListParagraph"/>
        <w:numPr>
          <w:ilvl w:val="0"/>
          <w:numId w:val="9"/>
        </w:numPr>
        <w:spacing w:after="240" w:line="240" w:lineRule="auto"/>
        <w:ind w:left="547" w:hanging="547"/>
        <w:contextualSpacing w:val="0"/>
        <w:jc w:val="both"/>
        <w:rPr>
          <w:rFonts w:asciiTheme="minorHAnsi" w:hAnsiTheme="minorHAnsi"/>
        </w:rPr>
      </w:pPr>
      <w:r w:rsidRPr="00D920C9">
        <w:rPr>
          <w:rFonts w:asciiTheme="minorHAnsi" w:hAnsiTheme="minorHAnsi"/>
          <w:szCs w:val="20"/>
        </w:rPr>
        <w:t xml:space="preserve">The Inter-American Commission has </w:t>
      </w:r>
      <w:r w:rsidR="00C6286A" w:rsidRPr="00D920C9">
        <w:rPr>
          <w:rFonts w:asciiTheme="minorHAnsi" w:hAnsiTheme="minorHAnsi"/>
          <w:szCs w:val="20"/>
        </w:rPr>
        <w:t xml:space="preserve">further </w:t>
      </w:r>
      <w:r w:rsidRPr="00D920C9">
        <w:rPr>
          <w:rFonts w:asciiTheme="minorHAnsi" w:hAnsiTheme="minorHAnsi"/>
          <w:szCs w:val="20"/>
        </w:rPr>
        <w:t xml:space="preserve">stated that torture is an aggravated form of inhuman treatment perpetrated </w:t>
      </w:r>
      <w:r w:rsidRPr="00D920C9">
        <w:rPr>
          <w:rFonts w:asciiTheme="minorHAnsi" w:hAnsiTheme="minorHAnsi"/>
        </w:rPr>
        <w:t>with a purpose, namely to obtain information or confessions, as a preventative measure, or to inflict punishment.</w:t>
      </w:r>
      <w:r w:rsidRPr="00D920C9">
        <w:rPr>
          <w:rFonts w:asciiTheme="minorHAnsi" w:hAnsiTheme="minorHAnsi"/>
          <w:vertAlign w:val="superscript"/>
        </w:rPr>
        <w:footnoteReference w:id="510"/>
      </w:r>
      <w:r w:rsidRPr="00D920C9">
        <w:rPr>
          <w:rFonts w:asciiTheme="minorHAnsi" w:hAnsiTheme="minorHAnsi"/>
        </w:rPr>
        <w:t xml:space="preserve"> In this regard, the essential criterion to distinguish between torture and other CIDT "primarily results from the intensity of the suffering inflicted."</w:t>
      </w:r>
      <w:r w:rsidRPr="00D920C9">
        <w:rPr>
          <w:rFonts w:asciiTheme="minorHAnsi" w:hAnsiTheme="minorHAnsi"/>
          <w:vertAlign w:val="superscript"/>
        </w:rPr>
        <w:footnoteReference w:id="511"/>
      </w:r>
    </w:p>
    <w:p w14:paraId="02EDA5F0" w14:textId="3B76633E" w:rsidR="00C73C74" w:rsidRPr="00D920C9" w:rsidRDefault="00C73C74" w:rsidP="00E86698">
      <w:pPr>
        <w:pStyle w:val="ListParagraph"/>
        <w:numPr>
          <w:ilvl w:val="0"/>
          <w:numId w:val="9"/>
        </w:numPr>
        <w:spacing w:after="240" w:line="240" w:lineRule="auto"/>
        <w:ind w:left="547" w:hanging="547"/>
        <w:contextualSpacing w:val="0"/>
        <w:jc w:val="both"/>
        <w:rPr>
          <w:rFonts w:asciiTheme="minorHAnsi" w:hAnsiTheme="minorHAnsi"/>
          <w:szCs w:val="20"/>
        </w:rPr>
      </w:pPr>
      <w:r w:rsidRPr="00D920C9">
        <w:rPr>
          <w:rFonts w:asciiTheme="minorHAnsi" w:hAnsiTheme="minorHAnsi"/>
        </w:rPr>
        <w:t>The definition of torture explicitly does not include “pain or suffering arising only from, inherent in or incidental to lawful sanctions.</w:t>
      </w:r>
      <w:r w:rsidR="00B1250E" w:rsidRPr="00D920C9">
        <w:rPr>
          <w:rFonts w:asciiTheme="minorHAnsi" w:hAnsiTheme="minorHAnsi"/>
        </w:rPr>
        <w:t>”</w:t>
      </w:r>
      <w:r w:rsidR="00B1250E" w:rsidRPr="00D920C9">
        <w:rPr>
          <w:rFonts w:asciiTheme="minorHAnsi" w:hAnsiTheme="minorHAnsi"/>
          <w:vertAlign w:val="superscript"/>
        </w:rPr>
        <w:footnoteReference w:id="512"/>
      </w:r>
      <w:r w:rsidR="00B1250E" w:rsidRPr="00D920C9">
        <w:rPr>
          <w:rFonts w:asciiTheme="minorHAnsi" w:hAnsiTheme="minorHAnsi"/>
        </w:rPr>
        <w:t xml:space="preserve"> </w:t>
      </w:r>
      <w:r w:rsidR="002E49DC" w:rsidRPr="00D920C9">
        <w:rPr>
          <w:rFonts w:asciiTheme="minorHAnsi" w:hAnsiTheme="minorHAnsi"/>
        </w:rPr>
        <w:t xml:space="preserve">Thus, force that is not excessive and is used for a lawful purpose will not constitute torture or CIDT. However, excessive and unlawful use of force </w:t>
      </w:r>
      <w:r w:rsidR="00654BA9" w:rsidRPr="00D920C9">
        <w:rPr>
          <w:rFonts w:asciiTheme="minorHAnsi" w:hAnsiTheme="minorHAnsi"/>
        </w:rPr>
        <w:t>by police officers may constitute torture or CIDT</w:t>
      </w:r>
      <w:r w:rsidR="00EB3E23" w:rsidRPr="00D920C9">
        <w:rPr>
          <w:rFonts w:asciiTheme="minorHAnsi" w:hAnsiTheme="minorHAnsi"/>
        </w:rPr>
        <w:t>, particularly where it is intentionally inflicted, causing severe pain or suffering, for</w:t>
      </w:r>
      <w:r w:rsidR="00EB3E23" w:rsidRPr="00D920C9">
        <w:rPr>
          <w:rFonts w:asciiTheme="minorHAnsi" w:hAnsiTheme="minorHAnsi"/>
          <w:szCs w:val="20"/>
        </w:rPr>
        <w:t xml:space="preserve"> the purposes of interrogation, punishment or intimidation.</w:t>
      </w:r>
      <w:r w:rsidR="00DA489F" w:rsidRPr="00D920C9">
        <w:rPr>
          <w:rFonts w:asciiTheme="minorHAnsi" w:hAnsiTheme="minorHAnsi"/>
          <w:szCs w:val="20"/>
        </w:rPr>
        <w:t xml:space="preserve"> The Commission additionally considers it relevant to note that the intentional infliction of severe pain or suffering on a person by or with the acquiescence of State agents “for any reason based on discrimination of any kind”</w:t>
      </w:r>
      <w:r w:rsidR="006E17F4" w:rsidRPr="00D920C9">
        <w:rPr>
          <w:rFonts w:asciiTheme="minorHAnsi" w:hAnsiTheme="minorHAnsi"/>
          <w:szCs w:val="20"/>
        </w:rPr>
        <w:t xml:space="preserve"> would</w:t>
      </w:r>
      <w:r w:rsidR="00DA489F" w:rsidRPr="00D920C9">
        <w:rPr>
          <w:rFonts w:asciiTheme="minorHAnsi" w:hAnsiTheme="minorHAnsi"/>
          <w:szCs w:val="20"/>
        </w:rPr>
        <w:t xml:space="preserve"> constitute torture.</w:t>
      </w:r>
      <w:r w:rsidR="00DA489F" w:rsidRPr="00D920C9">
        <w:rPr>
          <w:rStyle w:val="FootnoteReference"/>
          <w:rFonts w:asciiTheme="minorHAnsi" w:hAnsiTheme="minorHAnsi"/>
          <w:szCs w:val="20"/>
        </w:rPr>
        <w:footnoteReference w:id="513"/>
      </w:r>
      <w:r w:rsidR="00DA489F" w:rsidRPr="00D920C9">
        <w:rPr>
          <w:rFonts w:asciiTheme="minorHAnsi" w:hAnsiTheme="minorHAnsi"/>
          <w:szCs w:val="20"/>
        </w:rPr>
        <w:t xml:space="preserve"> </w:t>
      </w:r>
    </w:p>
    <w:p w14:paraId="72038DB9" w14:textId="77777777" w:rsidR="00654BA9" w:rsidRPr="00D920C9" w:rsidRDefault="00654BA9" w:rsidP="00E86698">
      <w:pPr>
        <w:pStyle w:val="ListParagraph"/>
        <w:numPr>
          <w:ilvl w:val="0"/>
          <w:numId w:val="9"/>
        </w:numPr>
        <w:spacing w:after="240" w:line="240" w:lineRule="auto"/>
        <w:ind w:left="547" w:hanging="547"/>
        <w:contextualSpacing w:val="0"/>
        <w:jc w:val="both"/>
        <w:rPr>
          <w:rFonts w:asciiTheme="minorHAnsi" w:hAnsiTheme="minorHAnsi"/>
        </w:rPr>
      </w:pPr>
      <w:r w:rsidRPr="00D920C9">
        <w:rPr>
          <w:rFonts w:asciiTheme="minorHAnsi" w:hAnsiTheme="minorHAnsi"/>
          <w:szCs w:val="20"/>
        </w:rPr>
        <w:t>For example, in</w:t>
      </w:r>
      <w:r w:rsidR="00EB3E23" w:rsidRPr="00D920C9">
        <w:rPr>
          <w:rFonts w:asciiTheme="minorHAnsi" w:hAnsiTheme="minorHAnsi"/>
          <w:i/>
          <w:szCs w:val="20"/>
        </w:rPr>
        <w:t xml:space="preserve"> Michael G</w:t>
      </w:r>
      <w:r w:rsidRPr="00D920C9">
        <w:rPr>
          <w:rFonts w:asciiTheme="minorHAnsi" w:hAnsiTheme="minorHAnsi"/>
          <w:i/>
          <w:szCs w:val="20"/>
        </w:rPr>
        <w:t>ayle v. Jamaica</w:t>
      </w:r>
      <w:r w:rsidRPr="00D920C9">
        <w:rPr>
          <w:rFonts w:asciiTheme="minorHAnsi" w:hAnsiTheme="minorHAnsi"/>
          <w:szCs w:val="20"/>
        </w:rPr>
        <w:t xml:space="preserve">, the Inter-American Commission held that the brutal beating of Michael Gayle by </w:t>
      </w:r>
      <w:r w:rsidR="00C6286A" w:rsidRPr="00D920C9">
        <w:rPr>
          <w:rFonts w:asciiTheme="minorHAnsi" w:hAnsiTheme="minorHAnsi"/>
          <w:szCs w:val="20"/>
        </w:rPr>
        <w:t>S</w:t>
      </w:r>
      <w:r w:rsidRPr="00D920C9">
        <w:rPr>
          <w:rFonts w:asciiTheme="minorHAnsi" w:hAnsiTheme="minorHAnsi"/>
          <w:szCs w:val="20"/>
        </w:rPr>
        <w:t xml:space="preserve">tate security forces amounted to </w:t>
      </w:r>
      <w:r w:rsidR="00EB3E23" w:rsidRPr="00D920C9">
        <w:rPr>
          <w:rFonts w:asciiTheme="minorHAnsi" w:hAnsiTheme="minorHAnsi"/>
          <w:szCs w:val="20"/>
        </w:rPr>
        <w:t>torture.</w:t>
      </w:r>
      <w:r w:rsidRPr="00D920C9">
        <w:rPr>
          <w:rFonts w:asciiTheme="minorHAnsi" w:hAnsiTheme="minorHAnsi"/>
          <w:szCs w:val="20"/>
        </w:rPr>
        <w:t xml:space="preserve"> The record showed that during </w:t>
      </w:r>
      <w:r w:rsidR="00464244" w:rsidRPr="00D920C9">
        <w:rPr>
          <w:rFonts w:asciiTheme="minorHAnsi" w:hAnsiTheme="minorHAnsi"/>
          <w:szCs w:val="20"/>
        </w:rPr>
        <w:t>twelve</w:t>
      </w:r>
      <w:r w:rsidRPr="00D920C9">
        <w:rPr>
          <w:rFonts w:asciiTheme="minorHAnsi" w:hAnsiTheme="minorHAnsi"/>
          <w:szCs w:val="20"/>
        </w:rPr>
        <w:t xml:space="preserve"> minutes, Mr. Gayle was beaten with gun butts, punched</w:t>
      </w:r>
      <w:r w:rsidR="00C6286A" w:rsidRPr="00D920C9">
        <w:rPr>
          <w:rFonts w:asciiTheme="minorHAnsi" w:hAnsiTheme="minorHAnsi"/>
          <w:szCs w:val="20"/>
        </w:rPr>
        <w:t>,</w:t>
      </w:r>
      <w:r w:rsidRPr="00D920C9">
        <w:rPr>
          <w:rFonts w:asciiTheme="minorHAnsi" w:hAnsiTheme="minorHAnsi"/>
          <w:szCs w:val="20"/>
        </w:rPr>
        <w:t xml:space="preserve"> and kicked with military boots</w:t>
      </w:r>
      <w:r w:rsidR="00B751ED" w:rsidRPr="00D920C9">
        <w:rPr>
          <w:rFonts w:asciiTheme="minorHAnsi" w:hAnsiTheme="minorHAnsi"/>
          <w:szCs w:val="20"/>
        </w:rPr>
        <w:t>; t</w:t>
      </w:r>
      <w:r w:rsidRPr="00D920C9">
        <w:rPr>
          <w:rFonts w:asciiTheme="minorHAnsi" w:hAnsiTheme="minorHAnsi"/>
          <w:szCs w:val="20"/>
        </w:rPr>
        <w:t xml:space="preserve">he assaults were so severe </w:t>
      </w:r>
      <w:r w:rsidRPr="00D920C9">
        <w:rPr>
          <w:rFonts w:asciiTheme="minorHAnsi" w:hAnsiTheme="minorHAnsi"/>
        </w:rPr>
        <w:t xml:space="preserve">that they caused </w:t>
      </w:r>
      <w:r w:rsidR="00B751ED" w:rsidRPr="00D920C9">
        <w:rPr>
          <w:rFonts w:asciiTheme="minorHAnsi" w:hAnsiTheme="minorHAnsi"/>
        </w:rPr>
        <w:t>his</w:t>
      </w:r>
      <w:r w:rsidRPr="00D920C9">
        <w:rPr>
          <w:rFonts w:asciiTheme="minorHAnsi" w:hAnsiTheme="minorHAnsi"/>
        </w:rPr>
        <w:t xml:space="preserve"> stomach to rupture, which </w:t>
      </w:r>
      <w:r w:rsidRPr="00D920C9">
        <w:rPr>
          <w:rFonts w:asciiTheme="minorHAnsi" w:hAnsiTheme="minorHAnsi"/>
        </w:rPr>
        <w:lastRenderedPageBreak/>
        <w:t xml:space="preserve">resulted in his death two days later. </w:t>
      </w:r>
      <w:r w:rsidR="00B751ED" w:rsidRPr="00D920C9">
        <w:rPr>
          <w:rFonts w:asciiTheme="minorHAnsi" w:hAnsiTheme="minorHAnsi"/>
        </w:rPr>
        <w:t xml:space="preserve">Following the beating, he did not receive prompt medical attention; the autopsy later showed that prompt and proper medical attention could have saved his life. </w:t>
      </w:r>
      <w:r w:rsidRPr="00D920C9">
        <w:rPr>
          <w:rFonts w:asciiTheme="minorHAnsi" w:hAnsiTheme="minorHAnsi"/>
        </w:rPr>
        <w:t>Prior to his death, Mr. Gayle continued to suffer from the injurious effects of his beating.</w:t>
      </w:r>
      <w:r w:rsidR="00B751ED" w:rsidRPr="00D920C9">
        <w:rPr>
          <w:rFonts w:asciiTheme="minorHAnsi" w:hAnsiTheme="minorHAnsi"/>
          <w:vertAlign w:val="superscript"/>
        </w:rPr>
        <w:footnoteReference w:id="514"/>
      </w:r>
    </w:p>
    <w:p w14:paraId="484CE4C1" w14:textId="47CA2088" w:rsidR="003D0A1F" w:rsidRPr="00D920C9" w:rsidRDefault="00EB3E23" w:rsidP="00E86698">
      <w:pPr>
        <w:pStyle w:val="ListParagraph"/>
        <w:numPr>
          <w:ilvl w:val="0"/>
          <w:numId w:val="9"/>
        </w:numPr>
        <w:spacing w:after="240" w:line="240" w:lineRule="auto"/>
        <w:ind w:left="547" w:hanging="547"/>
        <w:contextualSpacing w:val="0"/>
        <w:jc w:val="both"/>
        <w:rPr>
          <w:rFonts w:asciiTheme="minorHAnsi" w:hAnsiTheme="minorHAnsi"/>
        </w:rPr>
      </w:pPr>
      <w:r w:rsidRPr="00D920C9">
        <w:rPr>
          <w:rFonts w:asciiTheme="minorHAnsi" w:hAnsiTheme="minorHAnsi"/>
        </w:rPr>
        <w:t xml:space="preserve">The Commission considered, among other factors, the fact that </w:t>
      </w:r>
      <w:r w:rsidR="00654BA9" w:rsidRPr="00D920C9">
        <w:rPr>
          <w:rFonts w:asciiTheme="minorHAnsi" w:hAnsiTheme="minorHAnsi"/>
        </w:rPr>
        <w:t>the beating of Michael Gayle was intentional</w:t>
      </w:r>
      <w:r w:rsidRPr="00D920C9">
        <w:rPr>
          <w:rFonts w:asciiTheme="minorHAnsi" w:hAnsiTheme="minorHAnsi"/>
        </w:rPr>
        <w:t xml:space="preserve">; that it </w:t>
      </w:r>
      <w:r w:rsidR="00654BA9" w:rsidRPr="00D920C9">
        <w:rPr>
          <w:rFonts w:asciiTheme="minorHAnsi" w:hAnsiTheme="minorHAnsi"/>
        </w:rPr>
        <w:t xml:space="preserve">was purported to have been imposed as a measure to prevent </w:t>
      </w:r>
      <w:r w:rsidRPr="00D920C9">
        <w:rPr>
          <w:rFonts w:asciiTheme="minorHAnsi" w:hAnsiTheme="minorHAnsi"/>
        </w:rPr>
        <w:t>him</w:t>
      </w:r>
      <w:r w:rsidR="00654BA9" w:rsidRPr="00D920C9">
        <w:rPr>
          <w:rFonts w:asciiTheme="minorHAnsi" w:hAnsiTheme="minorHAnsi"/>
        </w:rPr>
        <w:t xml:space="preserve"> from crossing </w:t>
      </w:r>
      <w:r w:rsidRPr="00D920C9">
        <w:rPr>
          <w:rFonts w:asciiTheme="minorHAnsi" w:hAnsiTheme="minorHAnsi"/>
        </w:rPr>
        <w:t>a</w:t>
      </w:r>
      <w:r w:rsidR="00654BA9" w:rsidRPr="00D920C9">
        <w:rPr>
          <w:rFonts w:asciiTheme="minorHAnsi" w:hAnsiTheme="minorHAnsi"/>
        </w:rPr>
        <w:t xml:space="preserve"> curfew barricade</w:t>
      </w:r>
      <w:r w:rsidRPr="00D920C9">
        <w:rPr>
          <w:rFonts w:asciiTheme="minorHAnsi" w:hAnsiTheme="minorHAnsi"/>
        </w:rPr>
        <w:t>; that it</w:t>
      </w:r>
      <w:r w:rsidR="00654BA9" w:rsidRPr="00D920C9">
        <w:rPr>
          <w:rFonts w:asciiTheme="minorHAnsi" w:hAnsiTheme="minorHAnsi"/>
        </w:rPr>
        <w:t xml:space="preserve"> was excessive</w:t>
      </w:r>
      <w:r w:rsidRPr="00D920C9">
        <w:rPr>
          <w:rFonts w:asciiTheme="minorHAnsi" w:hAnsiTheme="minorHAnsi"/>
        </w:rPr>
        <w:t xml:space="preserve">; that it </w:t>
      </w:r>
      <w:r w:rsidR="00654BA9" w:rsidRPr="00D920C9">
        <w:rPr>
          <w:rFonts w:asciiTheme="minorHAnsi" w:hAnsiTheme="minorHAnsi"/>
        </w:rPr>
        <w:t>caused severe physical and mental pain and suffering</w:t>
      </w:r>
      <w:r w:rsidRPr="00D920C9">
        <w:rPr>
          <w:rFonts w:asciiTheme="minorHAnsi" w:hAnsiTheme="minorHAnsi"/>
        </w:rPr>
        <w:t xml:space="preserve">; as well as </w:t>
      </w:r>
      <w:r w:rsidR="00654BA9" w:rsidRPr="00D920C9">
        <w:rPr>
          <w:rFonts w:asciiTheme="minorHAnsi" w:hAnsiTheme="minorHAnsi"/>
        </w:rPr>
        <w:t xml:space="preserve">the nature and intensity of the treatment, including the failure to provide him with prompt medical attention and </w:t>
      </w:r>
      <w:r w:rsidRPr="00D920C9">
        <w:rPr>
          <w:rFonts w:asciiTheme="minorHAnsi" w:hAnsiTheme="minorHAnsi"/>
        </w:rPr>
        <w:t>his resulting</w:t>
      </w:r>
      <w:r w:rsidR="00654BA9" w:rsidRPr="00D920C9">
        <w:rPr>
          <w:rFonts w:asciiTheme="minorHAnsi" w:hAnsiTheme="minorHAnsi"/>
        </w:rPr>
        <w:t xml:space="preserve"> protracted suffering.</w:t>
      </w:r>
      <w:r w:rsidRPr="00D920C9">
        <w:rPr>
          <w:rFonts w:asciiTheme="minorHAnsi" w:hAnsiTheme="minorHAnsi"/>
        </w:rPr>
        <w:t xml:space="preserve"> All of these factors led the Commission to consider that Mr. Gayle was a victim of torture</w:t>
      </w:r>
      <w:r w:rsidR="00C6286A" w:rsidRPr="00D920C9">
        <w:rPr>
          <w:rFonts w:asciiTheme="minorHAnsi" w:hAnsiTheme="minorHAnsi"/>
        </w:rPr>
        <w:t xml:space="preserve"> by State security forces</w:t>
      </w:r>
      <w:r w:rsidRPr="00D920C9">
        <w:rPr>
          <w:rFonts w:asciiTheme="minorHAnsi" w:hAnsiTheme="minorHAnsi"/>
        </w:rPr>
        <w:t>.</w:t>
      </w:r>
      <w:r w:rsidRPr="00D920C9">
        <w:rPr>
          <w:rFonts w:asciiTheme="minorHAnsi" w:hAnsiTheme="minorHAnsi"/>
          <w:vertAlign w:val="superscript"/>
        </w:rPr>
        <w:footnoteReference w:id="515"/>
      </w:r>
    </w:p>
    <w:p w14:paraId="09167917" w14:textId="304EE789" w:rsidR="003D0A1F" w:rsidRPr="00D920C9" w:rsidRDefault="00C6286A" w:rsidP="00E86698">
      <w:pPr>
        <w:pStyle w:val="ListParagraph"/>
        <w:numPr>
          <w:ilvl w:val="0"/>
          <w:numId w:val="9"/>
        </w:numPr>
        <w:spacing w:after="240" w:line="240" w:lineRule="auto"/>
        <w:ind w:left="547" w:hanging="547"/>
        <w:contextualSpacing w:val="0"/>
        <w:jc w:val="both"/>
        <w:rPr>
          <w:rFonts w:asciiTheme="minorHAnsi" w:hAnsiTheme="minorHAnsi"/>
        </w:rPr>
      </w:pPr>
      <w:r w:rsidRPr="00D920C9">
        <w:rPr>
          <w:rFonts w:asciiTheme="minorHAnsi" w:hAnsiTheme="minorHAnsi"/>
        </w:rPr>
        <w:t xml:space="preserve">The Commission recalls that the threshold for establishing CIDT is lower than the threshold for establishing torture, and the </w:t>
      </w:r>
      <w:r w:rsidR="00722549" w:rsidRPr="00D920C9">
        <w:rPr>
          <w:rFonts w:asciiTheme="minorHAnsi" w:hAnsiTheme="minorHAnsi"/>
        </w:rPr>
        <w:t xml:space="preserve">issue of CIDT may also be raised by racial profiling practices. </w:t>
      </w:r>
      <w:bookmarkStart w:id="197" w:name="_Ref507405023"/>
      <w:r w:rsidR="003D0A1F" w:rsidRPr="00D920C9">
        <w:rPr>
          <w:rFonts w:asciiTheme="minorHAnsi" w:hAnsiTheme="minorHAnsi"/>
        </w:rPr>
        <w:t>In particular, t</w:t>
      </w:r>
      <w:r w:rsidR="007A45D9" w:rsidRPr="00D920C9">
        <w:rPr>
          <w:rFonts w:asciiTheme="minorHAnsi" w:hAnsiTheme="minorHAnsi"/>
        </w:rPr>
        <w:t>he Commission has previously found that racially discriminatory treatment by State officials can constitute a violation of the prohibition on cruel, inhuman, and degrading treatment (CIDT). In Benito Tide Méndez v. Dominican Republic, the Commission found that the discrimination endured by the petitioners of Haitian descent at the hands of Dominican officials on the basis of their race or color constituted inhumane treatment and thus a violation of the prohibition of CIDT, “read in conjunction with the obligation to respect rights without discrimination.”</w:t>
      </w:r>
      <w:r w:rsidR="007A45D9" w:rsidRPr="00D920C9">
        <w:rPr>
          <w:rFonts w:asciiTheme="minorHAnsi" w:hAnsiTheme="minorHAnsi"/>
          <w:vertAlign w:val="superscript"/>
        </w:rPr>
        <w:footnoteReference w:id="516"/>
      </w:r>
      <w:bookmarkEnd w:id="197"/>
      <w:r w:rsidR="003D0A1F" w:rsidRPr="00D920C9">
        <w:rPr>
          <w:rFonts w:asciiTheme="minorHAnsi" w:hAnsiTheme="minorHAnsi"/>
        </w:rPr>
        <w:t xml:space="preserve"> </w:t>
      </w:r>
    </w:p>
    <w:p w14:paraId="6BC50F4C" w14:textId="362AAFD9" w:rsidR="003D0A1F" w:rsidRPr="00D920C9" w:rsidRDefault="003D0A1F" w:rsidP="00E86698">
      <w:pPr>
        <w:pStyle w:val="ListParagraph"/>
        <w:numPr>
          <w:ilvl w:val="0"/>
          <w:numId w:val="9"/>
        </w:numPr>
        <w:spacing w:after="240" w:line="240" w:lineRule="auto"/>
        <w:ind w:left="547" w:hanging="547"/>
        <w:contextualSpacing w:val="0"/>
        <w:jc w:val="both"/>
        <w:rPr>
          <w:rFonts w:asciiTheme="minorHAnsi" w:hAnsiTheme="minorHAnsi"/>
        </w:rPr>
      </w:pPr>
      <w:r w:rsidRPr="00D920C9">
        <w:rPr>
          <w:rFonts w:asciiTheme="minorHAnsi" w:hAnsiTheme="minorHAnsi"/>
        </w:rPr>
        <w:t>The Commission further considered in Benito Tide Méndez that the "treatment or punishment of an individual may be degrading if he is severely humiliated in front of others or he is compelled to act against his wishes or conscience.”</w:t>
      </w:r>
      <w:r w:rsidRPr="00D920C9">
        <w:rPr>
          <w:rFonts w:asciiTheme="minorHAnsi" w:hAnsiTheme="minorHAnsi"/>
          <w:vertAlign w:val="superscript"/>
        </w:rPr>
        <w:footnoteReference w:id="517"/>
      </w:r>
      <w:r w:rsidRPr="00D920C9">
        <w:rPr>
          <w:rFonts w:asciiTheme="minorHAnsi" w:hAnsiTheme="minorHAnsi"/>
        </w:rPr>
        <w:t xml:space="preserve"> To evaluate whether treatment is inhumane or degrading, one must evaluate “the circumstances in each case, such as the duration of the treatment, its physical and mental effects and, in some cases, [...] race, color, nationality, immigration status, and other factors.”</w:t>
      </w:r>
      <w:r w:rsidRPr="00D920C9">
        <w:rPr>
          <w:rFonts w:asciiTheme="minorHAnsi" w:hAnsiTheme="minorHAnsi"/>
          <w:vertAlign w:val="superscript"/>
        </w:rPr>
        <w:footnoteReference w:id="518"/>
      </w:r>
      <w:r w:rsidRPr="00D920C9">
        <w:rPr>
          <w:rFonts w:asciiTheme="minorHAnsi" w:hAnsiTheme="minorHAnsi"/>
        </w:rPr>
        <w:t xml:space="preserve"> The Commission recalled that “degrading treatment is characterized by the fear, anxiety and inferiority induced for the purpose of humiliating and degrading the victim and breaking his [or her] physical and moral </w:t>
      </w:r>
      <w:r w:rsidRPr="00D920C9">
        <w:rPr>
          <w:rFonts w:asciiTheme="minorHAnsi" w:hAnsiTheme="minorHAnsi"/>
        </w:rPr>
        <w:lastRenderedPageBreak/>
        <w:t>resistance,” which “is exacerbated by the vulnerability of a person who is unlawfully detained.”</w:t>
      </w:r>
      <w:r w:rsidRPr="00D920C9">
        <w:rPr>
          <w:rFonts w:asciiTheme="minorHAnsi" w:hAnsiTheme="minorHAnsi"/>
          <w:vertAlign w:val="superscript"/>
        </w:rPr>
        <w:footnoteReference w:id="519"/>
      </w:r>
    </w:p>
    <w:p w14:paraId="5B436EC3" w14:textId="79559EA5" w:rsidR="00C6286A" w:rsidRPr="00D920C9" w:rsidRDefault="003D0A1F" w:rsidP="00E86698">
      <w:pPr>
        <w:pStyle w:val="ListParagraph"/>
        <w:numPr>
          <w:ilvl w:val="0"/>
          <w:numId w:val="9"/>
        </w:numPr>
        <w:spacing w:after="240" w:line="240" w:lineRule="auto"/>
        <w:ind w:left="547" w:hanging="547"/>
        <w:contextualSpacing w:val="0"/>
        <w:jc w:val="both"/>
        <w:rPr>
          <w:rFonts w:asciiTheme="minorHAnsi" w:hAnsiTheme="minorHAnsi"/>
        </w:rPr>
      </w:pPr>
      <w:r w:rsidRPr="00D920C9">
        <w:rPr>
          <w:rFonts w:asciiTheme="minorHAnsi" w:hAnsiTheme="minorHAnsi"/>
        </w:rPr>
        <w:t>In this regard, the Commission reiterates the importance of t</w:t>
      </w:r>
      <w:r w:rsidR="00722549" w:rsidRPr="00D920C9">
        <w:rPr>
          <w:rFonts w:asciiTheme="minorHAnsi" w:hAnsiTheme="minorHAnsi"/>
        </w:rPr>
        <w:t>he development of appropriate protocols and training</w:t>
      </w:r>
      <w:r w:rsidR="00753713" w:rsidRPr="00D920C9">
        <w:rPr>
          <w:rFonts w:asciiTheme="minorHAnsi" w:hAnsiTheme="minorHAnsi"/>
        </w:rPr>
        <w:t>,</w:t>
      </w:r>
      <w:r w:rsidR="006E17F4" w:rsidRPr="00D920C9">
        <w:rPr>
          <w:rFonts w:asciiTheme="minorHAnsi" w:hAnsiTheme="minorHAnsi"/>
        </w:rPr>
        <w:t xml:space="preserve"> as well as processes to ensure accountability for failure to follow such requirements, in order to prevent </w:t>
      </w:r>
      <w:r w:rsidR="00722549" w:rsidRPr="00D920C9">
        <w:rPr>
          <w:rFonts w:asciiTheme="minorHAnsi" w:hAnsiTheme="minorHAnsi"/>
        </w:rPr>
        <w:t>and punish torture and cruel, inhuman, and degrading treatment.</w:t>
      </w:r>
    </w:p>
    <w:p w14:paraId="7EE9858E" w14:textId="676546E3" w:rsidR="004429AD" w:rsidRPr="00D920C9" w:rsidRDefault="007F7673" w:rsidP="00E86698">
      <w:pPr>
        <w:pStyle w:val="ListParagraph"/>
        <w:numPr>
          <w:ilvl w:val="0"/>
          <w:numId w:val="9"/>
        </w:numPr>
        <w:spacing w:after="240" w:line="240" w:lineRule="auto"/>
        <w:ind w:left="547" w:hanging="547"/>
        <w:contextualSpacing w:val="0"/>
        <w:jc w:val="both"/>
        <w:rPr>
          <w:rFonts w:asciiTheme="minorHAnsi" w:hAnsiTheme="minorHAnsi"/>
          <w:szCs w:val="20"/>
        </w:rPr>
      </w:pPr>
      <w:bookmarkStart w:id="198" w:name="_Ref507675840"/>
      <w:r w:rsidRPr="00D920C9">
        <w:rPr>
          <w:rFonts w:asciiTheme="minorHAnsi" w:hAnsiTheme="minorHAnsi"/>
        </w:rPr>
        <w:t>T</w:t>
      </w:r>
      <w:r w:rsidR="00EC794C" w:rsidRPr="00D920C9">
        <w:rPr>
          <w:rFonts w:asciiTheme="minorHAnsi" w:hAnsiTheme="minorHAnsi"/>
        </w:rPr>
        <w:t xml:space="preserve">he Commission echoes the concern expressed by the Committee Against Torture that </w:t>
      </w:r>
      <w:r w:rsidR="00A350FD" w:rsidRPr="00D920C9">
        <w:rPr>
          <w:rFonts w:asciiTheme="minorHAnsi" w:hAnsiTheme="minorHAnsi"/>
        </w:rPr>
        <w:t xml:space="preserve">“information, education and training provided to </w:t>
      </w:r>
      <w:r w:rsidR="00722549" w:rsidRPr="00D920C9">
        <w:rPr>
          <w:rFonts w:asciiTheme="minorHAnsi" w:hAnsiTheme="minorHAnsi"/>
        </w:rPr>
        <w:t>[U</w:t>
      </w:r>
      <w:r w:rsidR="00125C81" w:rsidRPr="00D920C9">
        <w:rPr>
          <w:rFonts w:asciiTheme="minorHAnsi" w:hAnsiTheme="minorHAnsi"/>
        </w:rPr>
        <w:t>.</w:t>
      </w:r>
      <w:r w:rsidR="00722549" w:rsidRPr="00D920C9">
        <w:rPr>
          <w:rFonts w:asciiTheme="minorHAnsi" w:hAnsiTheme="minorHAnsi"/>
        </w:rPr>
        <w:t>S</w:t>
      </w:r>
      <w:r w:rsidR="00125C81" w:rsidRPr="00D920C9">
        <w:rPr>
          <w:rFonts w:asciiTheme="minorHAnsi" w:hAnsiTheme="minorHAnsi"/>
        </w:rPr>
        <w:t>.</w:t>
      </w:r>
      <w:r w:rsidR="00722549" w:rsidRPr="00D920C9">
        <w:rPr>
          <w:rFonts w:asciiTheme="minorHAnsi" w:hAnsiTheme="minorHAnsi"/>
        </w:rPr>
        <w:t>]</w:t>
      </w:r>
      <w:r w:rsidR="00A350FD" w:rsidRPr="00D920C9">
        <w:rPr>
          <w:rFonts w:asciiTheme="minorHAnsi" w:hAnsiTheme="minorHAnsi"/>
        </w:rPr>
        <w:t xml:space="preserve"> law enforcement or military personnel are not adequate and do not focus on all provisions of the Convention, in particular on the non-</w:t>
      </w:r>
      <w:proofErr w:type="spellStart"/>
      <w:r w:rsidR="00A350FD" w:rsidRPr="00D920C9">
        <w:rPr>
          <w:rFonts w:asciiTheme="minorHAnsi" w:hAnsiTheme="minorHAnsi"/>
        </w:rPr>
        <w:t>derogable</w:t>
      </w:r>
      <w:proofErr w:type="spellEnd"/>
      <w:r w:rsidR="00A350FD" w:rsidRPr="00D920C9">
        <w:rPr>
          <w:rFonts w:asciiTheme="minorHAnsi" w:hAnsiTheme="minorHAnsi"/>
        </w:rPr>
        <w:t xml:space="preserve"> nature of the prohibition</w:t>
      </w:r>
      <w:r w:rsidR="00A350FD" w:rsidRPr="00D920C9">
        <w:rPr>
          <w:rFonts w:asciiTheme="minorHAnsi" w:hAnsiTheme="minorHAnsi"/>
          <w:szCs w:val="20"/>
        </w:rPr>
        <w:t xml:space="preserve"> of torture and the prevention of </w:t>
      </w:r>
      <w:r w:rsidR="00125C81" w:rsidRPr="00D920C9">
        <w:rPr>
          <w:rFonts w:asciiTheme="minorHAnsi" w:hAnsiTheme="minorHAnsi"/>
          <w:szCs w:val="20"/>
        </w:rPr>
        <w:t>[CIDT]</w:t>
      </w:r>
      <w:r w:rsidR="00A350FD" w:rsidRPr="00D920C9">
        <w:rPr>
          <w:rFonts w:asciiTheme="minorHAnsi" w:hAnsiTheme="minorHAnsi"/>
          <w:szCs w:val="20"/>
        </w:rPr>
        <w:t>.”</w:t>
      </w:r>
      <w:r w:rsidR="00EC794C" w:rsidRPr="00D920C9">
        <w:rPr>
          <w:rStyle w:val="FootnoteReference"/>
          <w:rFonts w:asciiTheme="minorHAnsi" w:hAnsiTheme="minorHAnsi"/>
          <w:szCs w:val="20"/>
        </w:rPr>
        <w:footnoteReference w:id="520"/>
      </w:r>
      <w:r w:rsidR="00A350FD" w:rsidRPr="00D920C9">
        <w:rPr>
          <w:rFonts w:asciiTheme="minorHAnsi" w:hAnsiTheme="minorHAnsi"/>
          <w:szCs w:val="20"/>
        </w:rPr>
        <w:t xml:space="preserve"> </w:t>
      </w:r>
      <w:r w:rsidR="00722549" w:rsidRPr="00D920C9">
        <w:rPr>
          <w:rFonts w:asciiTheme="minorHAnsi" w:hAnsiTheme="minorHAnsi"/>
          <w:szCs w:val="20"/>
        </w:rPr>
        <w:t>This, in light of</w:t>
      </w:r>
      <w:r w:rsidR="003934C2" w:rsidRPr="00D920C9">
        <w:rPr>
          <w:rFonts w:asciiTheme="minorHAnsi" w:hAnsiTheme="minorHAnsi"/>
          <w:szCs w:val="20"/>
        </w:rPr>
        <w:t xml:space="preserve"> “reports of brutality and use </w:t>
      </w:r>
      <w:r w:rsidR="009423DC" w:rsidRPr="00D920C9">
        <w:rPr>
          <w:rFonts w:asciiTheme="minorHAnsi" w:hAnsiTheme="minorHAnsi"/>
          <w:szCs w:val="20"/>
        </w:rPr>
        <w:t xml:space="preserve">of excessive force by the </w:t>
      </w:r>
      <w:proofErr w:type="gramStart"/>
      <w:r w:rsidR="009423DC" w:rsidRPr="00D920C9">
        <w:rPr>
          <w:rFonts w:asciiTheme="minorHAnsi" w:hAnsiTheme="minorHAnsi"/>
          <w:szCs w:val="20"/>
        </w:rPr>
        <w:t>State[</w:t>
      </w:r>
      <w:proofErr w:type="gramEnd"/>
      <w:r w:rsidR="009423DC" w:rsidRPr="00D920C9">
        <w:rPr>
          <w:rFonts w:asciiTheme="minorHAnsi" w:hAnsiTheme="minorHAnsi"/>
          <w:szCs w:val="20"/>
        </w:rPr>
        <w:t xml:space="preserve">‘s] </w:t>
      </w:r>
      <w:r w:rsidR="003934C2" w:rsidRPr="00D920C9">
        <w:rPr>
          <w:rFonts w:asciiTheme="minorHAnsi" w:hAnsiTheme="minorHAnsi"/>
          <w:szCs w:val="20"/>
        </w:rPr>
        <w:t xml:space="preserve">law-enforcement personnel, and the numerous allegations of their ill-treatment of vulnerable groups, in particular racial minorities, migrants and </w:t>
      </w:r>
      <w:r w:rsidR="009423DC" w:rsidRPr="00D920C9">
        <w:rPr>
          <w:rFonts w:asciiTheme="minorHAnsi" w:hAnsiTheme="minorHAnsi"/>
          <w:szCs w:val="20"/>
        </w:rPr>
        <w:t>[LGBTI persons],</w:t>
      </w:r>
      <w:r w:rsidR="003934C2" w:rsidRPr="00D920C9">
        <w:rPr>
          <w:rFonts w:asciiTheme="minorHAnsi" w:hAnsiTheme="minorHAnsi"/>
          <w:szCs w:val="20"/>
        </w:rPr>
        <w:t>”</w:t>
      </w:r>
      <w:r w:rsidR="003934C2" w:rsidRPr="00D920C9">
        <w:rPr>
          <w:rStyle w:val="FootnoteReference"/>
          <w:rFonts w:asciiTheme="minorHAnsi" w:hAnsiTheme="minorHAnsi"/>
          <w:szCs w:val="20"/>
        </w:rPr>
        <w:footnoteReference w:id="521"/>
      </w:r>
      <w:r w:rsidR="00EE7DC7" w:rsidRPr="00D920C9">
        <w:rPr>
          <w:rFonts w:asciiTheme="minorHAnsi" w:hAnsiTheme="minorHAnsi"/>
          <w:szCs w:val="20"/>
        </w:rPr>
        <w:t xml:space="preserve"> </w:t>
      </w:r>
      <w:bookmarkStart w:id="199" w:name="_Hlk504833187"/>
      <w:r w:rsidR="00722549" w:rsidRPr="00D920C9">
        <w:rPr>
          <w:rFonts w:asciiTheme="minorHAnsi" w:hAnsiTheme="minorHAnsi"/>
          <w:szCs w:val="20"/>
        </w:rPr>
        <w:t xml:space="preserve">and </w:t>
      </w:r>
      <w:r w:rsidR="00EE7DC7" w:rsidRPr="00D920C9">
        <w:rPr>
          <w:rFonts w:asciiTheme="minorHAnsi" w:hAnsiTheme="minorHAnsi"/>
          <w:szCs w:val="20"/>
        </w:rPr>
        <w:t>“the frequent and recurrent shootings or fatal pursuits by the police of unarmed black individuals.”</w:t>
      </w:r>
      <w:r w:rsidR="00EE7DC7" w:rsidRPr="00D920C9">
        <w:rPr>
          <w:rStyle w:val="FootnoteReference"/>
          <w:rFonts w:asciiTheme="minorHAnsi" w:hAnsiTheme="minorHAnsi"/>
          <w:szCs w:val="20"/>
        </w:rPr>
        <w:footnoteReference w:id="522"/>
      </w:r>
      <w:r w:rsidR="00EE7DC7" w:rsidRPr="00D920C9">
        <w:rPr>
          <w:rFonts w:asciiTheme="minorHAnsi" w:hAnsiTheme="minorHAnsi"/>
          <w:szCs w:val="20"/>
        </w:rPr>
        <w:t xml:space="preserve"> </w:t>
      </w:r>
      <w:bookmarkEnd w:id="199"/>
      <w:r w:rsidRPr="00D920C9">
        <w:rPr>
          <w:rFonts w:asciiTheme="minorHAnsi" w:hAnsiTheme="minorHAnsi"/>
          <w:szCs w:val="20"/>
        </w:rPr>
        <w:t>T</w:t>
      </w:r>
      <w:r w:rsidR="00722549" w:rsidRPr="00D920C9">
        <w:rPr>
          <w:rFonts w:asciiTheme="minorHAnsi" w:hAnsiTheme="minorHAnsi"/>
          <w:szCs w:val="20"/>
        </w:rPr>
        <w:t>he Commission calls on the State to fulfill its duty to act with due diligence to prevent torture and cruel, inhuman, and degrading treatment.</w:t>
      </w:r>
      <w:r w:rsidR="00722549" w:rsidRPr="00D920C9">
        <w:rPr>
          <w:rStyle w:val="FootnoteReference"/>
          <w:rFonts w:asciiTheme="minorHAnsi" w:hAnsiTheme="minorHAnsi"/>
          <w:szCs w:val="20"/>
        </w:rPr>
        <w:footnoteReference w:id="523"/>
      </w:r>
      <w:bookmarkEnd w:id="198"/>
    </w:p>
    <w:p w14:paraId="3F02B62E" w14:textId="236BE0B1" w:rsidR="00D21101" w:rsidRPr="00226E45" w:rsidRDefault="00D21101" w:rsidP="00226E45">
      <w:pPr>
        <w:pStyle w:val="Heading3"/>
        <w:ind w:left="547" w:hanging="547"/>
      </w:pPr>
      <w:bookmarkStart w:id="201" w:name="_Toc511837838"/>
      <w:bookmarkStart w:id="202" w:name="_Toc511903011"/>
      <w:bookmarkStart w:id="203" w:name="_Toc517687940"/>
      <w:r w:rsidRPr="00226E45">
        <w:t xml:space="preserve">Militarization of </w:t>
      </w:r>
      <w:r w:rsidR="003A6706" w:rsidRPr="00226E45">
        <w:t>Police</w:t>
      </w:r>
      <w:bookmarkEnd w:id="201"/>
      <w:bookmarkEnd w:id="202"/>
      <w:bookmarkEnd w:id="203"/>
    </w:p>
    <w:p w14:paraId="6613CB3D" w14:textId="6AAFBABA" w:rsidR="00D21101" w:rsidRPr="00D920C9" w:rsidRDefault="003C6C15" w:rsidP="00E86698">
      <w:pPr>
        <w:pStyle w:val="ListParagraph"/>
        <w:numPr>
          <w:ilvl w:val="0"/>
          <w:numId w:val="9"/>
        </w:numPr>
        <w:spacing w:after="240" w:line="240" w:lineRule="auto"/>
        <w:ind w:left="547" w:hanging="547"/>
        <w:contextualSpacing w:val="0"/>
        <w:jc w:val="both"/>
        <w:rPr>
          <w:rFonts w:asciiTheme="minorHAnsi" w:hAnsiTheme="minorHAnsi"/>
        </w:rPr>
      </w:pPr>
      <w:bookmarkStart w:id="204" w:name="_Ref507676083"/>
      <w:r w:rsidRPr="00D920C9">
        <w:rPr>
          <w:rFonts w:asciiTheme="minorHAnsi" w:hAnsiTheme="minorHAnsi"/>
          <w:szCs w:val="20"/>
        </w:rPr>
        <w:t xml:space="preserve">The Commission is concerned by the level of militarization of local police forces in the United States, as well as by </w:t>
      </w:r>
      <w:r w:rsidRPr="00D920C9">
        <w:rPr>
          <w:rFonts w:asciiTheme="minorHAnsi" w:hAnsiTheme="minorHAnsi"/>
        </w:rPr>
        <w:t>recent information that steps taken to decrease militarization at the federal level are being reversed.</w:t>
      </w:r>
      <w:r w:rsidR="00756FB1" w:rsidRPr="00D920C9">
        <w:rPr>
          <w:rFonts w:asciiTheme="minorHAnsi" w:hAnsiTheme="minorHAnsi"/>
          <w:vertAlign w:val="superscript"/>
        </w:rPr>
        <w:footnoteReference w:id="524"/>
      </w:r>
      <w:r w:rsidRPr="00D920C9">
        <w:rPr>
          <w:rFonts w:asciiTheme="minorHAnsi" w:hAnsiTheme="minorHAnsi"/>
        </w:rPr>
        <w:t xml:space="preserve"> In particular, the Commission observes that the</w:t>
      </w:r>
      <w:r w:rsidR="00D21101" w:rsidRPr="00D920C9">
        <w:rPr>
          <w:rFonts w:asciiTheme="minorHAnsi" w:hAnsiTheme="minorHAnsi"/>
        </w:rPr>
        <w:t xml:space="preserve"> use of </w:t>
      </w:r>
      <w:r w:rsidRPr="00D920C9">
        <w:rPr>
          <w:rFonts w:asciiTheme="minorHAnsi" w:hAnsiTheme="minorHAnsi"/>
        </w:rPr>
        <w:t>military-grade</w:t>
      </w:r>
      <w:r w:rsidR="00D21101" w:rsidRPr="00D920C9">
        <w:rPr>
          <w:rFonts w:asciiTheme="minorHAnsi" w:hAnsiTheme="minorHAnsi"/>
        </w:rPr>
        <w:t xml:space="preserve"> tools and tactics </w:t>
      </w:r>
      <w:r w:rsidRPr="00D920C9">
        <w:rPr>
          <w:rFonts w:asciiTheme="minorHAnsi" w:hAnsiTheme="minorHAnsi"/>
        </w:rPr>
        <w:t xml:space="preserve">by local police forces </w:t>
      </w:r>
      <w:r w:rsidR="00D21101" w:rsidRPr="00D920C9">
        <w:rPr>
          <w:rFonts w:asciiTheme="minorHAnsi" w:hAnsiTheme="minorHAnsi"/>
        </w:rPr>
        <w:t>escalates the risk of excessive force and undermines respect for human rights.</w:t>
      </w:r>
      <w:r w:rsidR="00D21101" w:rsidRPr="00D920C9">
        <w:rPr>
          <w:rFonts w:asciiTheme="minorHAnsi" w:hAnsiTheme="minorHAnsi"/>
          <w:vertAlign w:val="superscript"/>
        </w:rPr>
        <w:footnoteReference w:id="525"/>
      </w:r>
      <w:r w:rsidR="00D21101" w:rsidRPr="00D920C9">
        <w:rPr>
          <w:rFonts w:asciiTheme="minorHAnsi" w:hAnsiTheme="minorHAnsi"/>
        </w:rPr>
        <w:t xml:space="preserve"> The use of violent tactics and military equipment increases the risk of bodily harm,</w:t>
      </w:r>
      <w:r w:rsidR="00D21101" w:rsidRPr="00D920C9">
        <w:rPr>
          <w:rFonts w:asciiTheme="minorHAnsi" w:hAnsiTheme="minorHAnsi"/>
          <w:vertAlign w:val="superscript"/>
        </w:rPr>
        <w:footnoteReference w:id="526"/>
      </w:r>
      <w:r w:rsidR="00D21101" w:rsidRPr="00D920C9">
        <w:rPr>
          <w:rFonts w:asciiTheme="minorHAnsi" w:hAnsiTheme="minorHAnsi"/>
        </w:rPr>
        <w:t xml:space="preserve"> including injury and death.</w:t>
      </w:r>
      <w:r w:rsidR="00D21101" w:rsidRPr="00D920C9">
        <w:rPr>
          <w:rFonts w:asciiTheme="minorHAnsi" w:hAnsiTheme="minorHAnsi"/>
          <w:vertAlign w:val="superscript"/>
        </w:rPr>
        <w:footnoteReference w:id="527"/>
      </w:r>
      <w:bookmarkEnd w:id="204"/>
    </w:p>
    <w:p w14:paraId="2068DCC5" w14:textId="729B61F6" w:rsidR="00D21101" w:rsidRPr="00D920C9" w:rsidRDefault="00D21101" w:rsidP="00E86698">
      <w:pPr>
        <w:pStyle w:val="ListParagraph"/>
        <w:numPr>
          <w:ilvl w:val="0"/>
          <w:numId w:val="9"/>
        </w:numPr>
        <w:spacing w:after="240" w:line="240" w:lineRule="auto"/>
        <w:ind w:left="547" w:hanging="547"/>
        <w:contextualSpacing w:val="0"/>
        <w:jc w:val="both"/>
        <w:rPr>
          <w:rFonts w:asciiTheme="minorHAnsi" w:hAnsiTheme="minorHAnsi"/>
          <w:szCs w:val="20"/>
        </w:rPr>
      </w:pPr>
      <w:r w:rsidRPr="00D920C9">
        <w:rPr>
          <w:rFonts w:asciiTheme="minorHAnsi" w:hAnsiTheme="minorHAnsi"/>
        </w:rPr>
        <w:lastRenderedPageBreak/>
        <w:t xml:space="preserve">The Commission notes that </w:t>
      </w:r>
      <w:r w:rsidR="00756FB1" w:rsidRPr="00D920C9">
        <w:rPr>
          <w:rFonts w:asciiTheme="minorHAnsi" w:hAnsiTheme="minorHAnsi"/>
        </w:rPr>
        <w:t>militarized</w:t>
      </w:r>
      <w:r w:rsidRPr="00D920C9">
        <w:rPr>
          <w:rFonts w:asciiTheme="minorHAnsi" w:hAnsiTheme="minorHAnsi"/>
        </w:rPr>
        <w:t xml:space="preserve"> policing is not simply a matter of appearance</w:t>
      </w:r>
      <w:r w:rsidR="00756FB1" w:rsidRPr="00D920C9">
        <w:rPr>
          <w:rFonts w:asciiTheme="minorHAnsi" w:hAnsiTheme="minorHAnsi"/>
        </w:rPr>
        <w:t>,</w:t>
      </w:r>
      <w:r w:rsidRPr="00D920C9">
        <w:rPr>
          <w:rFonts w:asciiTheme="minorHAnsi" w:hAnsiTheme="minorHAnsi"/>
        </w:rPr>
        <w:t xml:space="preserve"> nor does the use of military-style tactics and equipment simply undermine community trust. Rather, it may violate the principles of necessity and proportionality under international law.</w:t>
      </w:r>
      <w:r w:rsidRPr="00D920C9">
        <w:rPr>
          <w:rFonts w:asciiTheme="minorHAnsi" w:hAnsiTheme="minorHAnsi"/>
          <w:vertAlign w:val="superscript"/>
        </w:rPr>
        <w:footnoteReference w:id="528"/>
      </w:r>
      <w:r w:rsidRPr="00D920C9">
        <w:rPr>
          <w:rFonts w:asciiTheme="minorHAnsi" w:hAnsiTheme="minorHAnsi"/>
        </w:rPr>
        <w:t xml:space="preserve"> </w:t>
      </w:r>
      <w:r w:rsidR="00C1070E" w:rsidRPr="00D920C9">
        <w:rPr>
          <w:rFonts w:asciiTheme="minorHAnsi" w:hAnsiTheme="minorHAnsi"/>
        </w:rPr>
        <w:t xml:space="preserve">When used in the context of peaceful protests, militarized police tactics may undermine the rights to freedom of expression, association and assembly, and the right to take part in the conduct of public affairs. </w:t>
      </w:r>
      <w:r w:rsidRPr="00D920C9">
        <w:rPr>
          <w:rFonts w:asciiTheme="minorHAnsi" w:hAnsiTheme="minorHAnsi"/>
        </w:rPr>
        <w:t>The Commission has stated that</w:t>
      </w:r>
      <w:r w:rsidR="00B26F80" w:rsidRPr="00D920C9">
        <w:rPr>
          <w:rFonts w:asciiTheme="minorHAnsi" w:hAnsiTheme="minorHAnsi"/>
        </w:rPr>
        <w:t xml:space="preserve"> the</w:t>
      </w:r>
      <w:r w:rsidRPr="00D920C9">
        <w:rPr>
          <w:rFonts w:asciiTheme="minorHAnsi" w:hAnsiTheme="minorHAnsi"/>
          <w:szCs w:val="20"/>
        </w:rPr>
        <w:t xml:space="preserve"> police and armed forces are</w:t>
      </w:r>
      <w:r w:rsidR="00B26F80" w:rsidRPr="00D920C9">
        <w:rPr>
          <w:rFonts w:asciiTheme="minorHAnsi" w:hAnsiTheme="minorHAnsi"/>
          <w:szCs w:val="20"/>
        </w:rPr>
        <w:t xml:space="preserve"> entrusted with</w:t>
      </w:r>
      <w:r w:rsidRPr="00D920C9">
        <w:rPr>
          <w:rFonts w:asciiTheme="minorHAnsi" w:hAnsiTheme="minorHAnsi"/>
          <w:szCs w:val="20"/>
        </w:rPr>
        <w:t xml:space="preserve"> substantively different missions and</w:t>
      </w:r>
      <w:r w:rsidR="00B26F80" w:rsidRPr="00D920C9">
        <w:rPr>
          <w:rFonts w:asciiTheme="minorHAnsi" w:hAnsiTheme="minorHAnsi"/>
          <w:szCs w:val="20"/>
        </w:rPr>
        <w:t xml:space="preserve"> members of the respective forces are trained for those very different missions; accordingly there should </w:t>
      </w:r>
      <w:r w:rsidRPr="00D920C9">
        <w:rPr>
          <w:rFonts w:asciiTheme="minorHAnsi" w:hAnsiTheme="minorHAnsi"/>
          <w:szCs w:val="20"/>
        </w:rPr>
        <w:t>be a clear distinction between internal security and law enforcement as the function of the police and national defense as the function of the armed forces.</w:t>
      </w:r>
      <w:r w:rsidRPr="00D920C9">
        <w:rPr>
          <w:rStyle w:val="FootnoteReference"/>
          <w:rFonts w:asciiTheme="minorHAnsi" w:hAnsiTheme="minorHAnsi"/>
          <w:szCs w:val="20"/>
        </w:rPr>
        <w:footnoteReference w:id="529"/>
      </w:r>
    </w:p>
    <w:p w14:paraId="71EA43D6" w14:textId="6BD467C9" w:rsidR="00772E4F" w:rsidRPr="00226E45" w:rsidRDefault="00B4412C" w:rsidP="00226E45">
      <w:pPr>
        <w:pStyle w:val="Heading3"/>
        <w:numPr>
          <w:ilvl w:val="0"/>
          <w:numId w:val="44"/>
        </w:numPr>
        <w:ind w:left="547" w:hanging="547"/>
      </w:pPr>
      <w:bookmarkStart w:id="205" w:name="_Toc511837839"/>
      <w:bookmarkStart w:id="206" w:name="_Toc511903012"/>
      <w:bookmarkStart w:id="207" w:name="_Toc517687941"/>
      <w:r w:rsidRPr="00226E45">
        <w:t xml:space="preserve">Use of </w:t>
      </w:r>
      <w:r w:rsidR="003A6706" w:rsidRPr="00226E45">
        <w:t xml:space="preserve">Force </w:t>
      </w:r>
      <w:r w:rsidRPr="00226E45">
        <w:t xml:space="preserve">and </w:t>
      </w:r>
      <w:r w:rsidR="003A6706" w:rsidRPr="00226E45">
        <w:t>Social Protest</w:t>
      </w:r>
      <w:bookmarkEnd w:id="205"/>
      <w:bookmarkEnd w:id="206"/>
      <w:bookmarkEnd w:id="207"/>
    </w:p>
    <w:p w14:paraId="43395384" w14:textId="5A67E98E" w:rsidR="00C1070E" w:rsidRPr="00D920C9" w:rsidRDefault="003C6C15" w:rsidP="00E86698">
      <w:pPr>
        <w:pStyle w:val="ListParagraph"/>
        <w:numPr>
          <w:ilvl w:val="0"/>
          <w:numId w:val="9"/>
        </w:numPr>
        <w:spacing w:after="240" w:line="240" w:lineRule="auto"/>
        <w:ind w:left="547" w:hanging="547"/>
        <w:contextualSpacing w:val="0"/>
        <w:jc w:val="both"/>
        <w:rPr>
          <w:rFonts w:asciiTheme="minorHAnsi" w:hAnsiTheme="minorHAnsi"/>
        </w:rPr>
      </w:pPr>
      <w:bookmarkStart w:id="208" w:name="_Ref507675980"/>
      <w:r w:rsidRPr="00D920C9">
        <w:rPr>
          <w:rFonts w:asciiTheme="minorHAnsi" w:hAnsiTheme="minorHAnsi"/>
          <w:szCs w:val="20"/>
        </w:rPr>
        <w:t xml:space="preserve">Of special concern to </w:t>
      </w:r>
      <w:r w:rsidR="00516323" w:rsidRPr="00D920C9">
        <w:rPr>
          <w:rFonts w:asciiTheme="minorHAnsi" w:hAnsiTheme="minorHAnsi"/>
          <w:szCs w:val="20"/>
        </w:rPr>
        <w:t>the</w:t>
      </w:r>
      <w:r w:rsidRPr="00D920C9">
        <w:rPr>
          <w:rFonts w:asciiTheme="minorHAnsi" w:hAnsiTheme="minorHAnsi"/>
          <w:szCs w:val="20"/>
        </w:rPr>
        <w:t xml:space="preserve"> Commission is the use of force to contain</w:t>
      </w:r>
      <w:r w:rsidR="00B26F80" w:rsidRPr="00D920C9">
        <w:rPr>
          <w:rFonts w:asciiTheme="minorHAnsi" w:hAnsiTheme="minorHAnsi"/>
          <w:szCs w:val="20"/>
        </w:rPr>
        <w:t xml:space="preserve"> or </w:t>
      </w:r>
      <w:r w:rsidR="0025402C" w:rsidRPr="00D920C9">
        <w:rPr>
          <w:rFonts w:asciiTheme="minorHAnsi" w:hAnsiTheme="minorHAnsi"/>
          <w:szCs w:val="20"/>
        </w:rPr>
        <w:t>repress</w:t>
      </w:r>
      <w:r w:rsidR="0025402C" w:rsidRPr="00D920C9" w:rsidDel="0025402C">
        <w:rPr>
          <w:rFonts w:asciiTheme="minorHAnsi" w:hAnsiTheme="minorHAnsi"/>
          <w:szCs w:val="20"/>
        </w:rPr>
        <w:t xml:space="preserve"> </w:t>
      </w:r>
      <w:r w:rsidRPr="00D920C9">
        <w:rPr>
          <w:rFonts w:asciiTheme="minorHAnsi" w:hAnsiTheme="minorHAnsi"/>
          <w:szCs w:val="20"/>
        </w:rPr>
        <w:t>social protests and public demonstrations that seek to give an outlet to discontent and struggles to vindicate fundamental rights</w:t>
      </w:r>
      <w:r w:rsidR="00756FB1" w:rsidRPr="00D920C9">
        <w:rPr>
          <w:rFonts w:asciiTheme="minorHAnsi" w:hAnsiTheme="minorHAnsi"/>
          <w:szCs w:val="20"/>
        </w:rPr>
        <w:t>,</w:t>
      </w:r>
      <w:r w:rsidR="00C1070E" w:rsidRPr="00D920C9">
        <w:rPr>
          <w:rStyle w:val="FootnoteReference"/>
          <w:rFonts w:asciiTheme="minorHAnsi" w:hAnsiTheme="minorHAnsi"/>
          <w:szCs w:val="20"/>
        </w:rPr>
        <w:footnoteReference w:id="530"/>
      </w:r>
      <w:r w:rsidR="00C1070E" w:rsidRPr="00D920C9">
        <w:rPr>
          <w:rFonts w:asciiTheme="minorHAnsi" w:hAnsiTheme="minorHAnsi"/>
          <w:szCs w:val="20"/>
        </w:rPr>
        <w:t xml:space="preserve"> </w:t>
      </w:r>
      <w:r w:rsidR="00756FB1" w:rsidRPr="00D920C9">
        <w:rPr>
          <w:rFonts w:asciiTheme="minorHAnsi" w:hAnsiTheme="minorHAnsi"/>
          <w:szCs w:val="20"/>
        </w:rPr>
        <w:t>such as demonstrations protesting racial discrimination or impunity for police violence in the US.</w:t>
      </w:r>
      <w:r w:rsidR="00756FB1" w:rsidRPr="00D920C9">
        <w:rPr>
          <w:rStyle w:val="FootnoteReference"/>
          <w:rFonts w:asciiTheme="minorHAnsi" w:hAnsiTheme="minorHAnsi"/>
          <w:szCs w:val="20"/>
        </w:rPr>
        <w:footnoteReference w:id="531"/>
      </w:r>
      <w:r w:rsidR="00756FB1" w:rsidRPr="00D920C9">
        <w:rPr>
          <w:rFonts w:asciiTheme="minorHAnsi" w:hAnsiTheme="minorHAnsi"/>
          <w:szCs w:val="20"/>
        </w:rPr>
        <w:t xml:space="preserve"> </w:t>
      </w:r>
      <w:r w:rsidR="00C1070E" w:rsidRPr="00D920C9">
        <w:rPr>
          <w:rFonts w:asciiTheme="minorHAnsi" w:hAnsiTheme="minorHAnsi"/>
          <w:szCs w:val="20"/>
        </w:rPr>
        <w:t xml:space="preserve">In </w:t>
      </w:r>
      <w:r w:rsidR="00516323" w:rsidRPr="00D920C9">
        <w:rPr>
          <w:rFonts w:asciiTheme="minorHAnsi" w:hAnsiTheme="minorHAnsi"/>
          <w:szCs w:val="20"/>
        </w:rPr>
        <w:t xml:space="preserve">a </w:t>
      </w:r>
      <w:r w:rsidR="00C1070E" w:rsidRPr="00D920C9">
        <w:rPr>
          <w:rFonts w:asciiTheme="minorHAnsi" w:hAnsiTheme="minorHAnsi"/>
          <w:szCs w:val="20"/>
        </w:rPr>
        <w:t>democrac</w:t>
      </w:r>
      <w:r w:rsidR="00516323" w:rsidRPr="00D920C9">
        <w:rPr>
          <w:rFonts w:asciiTheme="minorHAnsi" w:hAnsiTheme="minorHAnsi"/>
          <w:szCs w:val="20"/>
        </w:rPr>
        <w:t>y</w:t>
      </w:r>
      <w:r w:rsidR="00C1070E" w:rsidRPr="00D920C9">
        <w:rPr>
          <w:rFonts w:asciiTheme="minorHAnsi" w:hAnsiTheme="minorHAnsi"/>
          <w:szCs w:val="20"/>
        </w:rPr>
        <w:t xml:space="preserve">, </w:t>
      </w:r>
      <w:r w:rsidR="00516323" w:rsidRPr="00D920C9">
        <w:rPr>
          <w:rFonts w:asciiTheme="minorHAnsi" w:hAnsiTheme="minorHAnsi"/>
        </w:rPr>
        <w:t>S</w:t>
      </w:r>
      <w:r w:rsidR="00C1070E" w:rsidRPr="00D920C9">
        <w:rPr>
          <w:rFonts w:asciiTheme="minorHAnsi" w:hAnsiTheme="minorHAnsi"/>
        </w:rPr>
        <w:t>tate</w:t>
      </w:r>
      <w:r w:rsidR="00516323" w:rsidRPr="00D920C9">
        <w:rPr>
          <w:rFonts w:asciiTheme="minorHAnsi" w:hAnsiTheme="minorHAnsi"/>
        </w:rPr>
        <w:t xml:space="preserve"> authorities</w:t>
      </w:r>
      <w:r w:rsidR="00C1070E" w:rsidRPr="00D920C9">
        <w:rPr>
          <w:rFonts w:asciiTheme="minorHAnsi" w:hAnsiTheme="minorHAnsi"/>
        </w:rPr>
        <w:t xml:space="preserve"> should act under the assumption that </w:t>
      </w:r>
      <w:r w:rsidR="00516323" w:rsidRPr="00D920C9">
        <w:rPr>
          <w:rFonts w:asciiTheme="minorHAnsi" w:hAnsiTheme="minorHAnsi"/>
        </w:rPr>
        <w:t xml:space="preserve">protests or public demonstrations </w:t>
      </w:r>
      <w:r w:rsidR="00C1070E" w:rsidRPr="00D920C9">
        <w:rPr>
          <w:rFonts w:asciiTheme="minorHAnsi" w:hAnsiTheme="minorHAnsi"/>
        </w:rPr>
        <w:t>do not cons</w:t>
      </w:r>
      <w:r w:rsidR="00516323" w:rsidRPr="00D920C9">
        <w:rPr>
          <w:rFonts w:asciiTheme="minorHAnsi" w:hAnsiTheme="minorHAnsi"/>
        </w:rPr>
        <w:t>titute a threat to public order, with</w:t>
      </w:r>
      <w:r w:rsidR="00C1070E" w:rsidRPr="00D920C9">
        <w:rPr>
          <w:rFonts w:asciiTheme="minorHAnsi" w:hAnsiTheme="minorHAnsi"/>
        </w:rPr>
        <w:t xml:space="preserve"> an approach focused on building the highest levels of citizen participation, with the streets and plazas considered privileged places for public expression.</w:t>
      </w:r>
      <w:r w:rsidR="00C1070E" w:rsidRPr="00D920C9">
        <w:rPr>
          <w:rFonts w:asciiTheme="minorHAnsi" w:hAnsiTheme="minorHAnsi"/>
          <w:vertAlign w:val="superscript"/>
        </w:rPr>
        <w:footnoteReference w:id="532"/>
      </w:r>
      <w:bookmarkEnd w:id="208"/>
      <w:r w:rsidR="00C1070E" w:rsidRPr="00D920C9">
        <w:rPr>
          <w:rFonts w:asciiTheme="minorHAnsi" w:hAnsiTheme="minorHAnsi"/>
        </w:rPr>
        <w:t xml:space="preserve"> </w:t>
      </w:r>
    </w:p>
    <w:p w14:paraId="0945C2A7" w14:textId="77777777" w:rsidR="00C1070E" w:rsidRPr="00D920C9" w:rsidRDefault="00C1070E" w:rsidP="00E86698">
      <w:pPr>
        <w:pStyle w:val="ListParagraph"/>
        <w:numPr>
          <w:ilvl w:val="0"/>
          <w:numId w:val="9"/>
        </w:numPr>
        <w:spacing w:after="240" w:line="240" w:lineRule="auto"/>
        <w:ind w:left="547" w:hanging="547"/>
        <w:contextualSpacing w:val="0"/>
        <w:jc w:val="both"/>
        <w:rPr>
          <w:rFonts w:asciiTheme="minorHAnsi" w:hAnsiTheme="minorHAnsi"/>
        </w:rPr>
      </w:pPr>
      <w:r w:rsidRPr="00D920C9">
        <w:rPr>
          <w:rFonts w:asciiTheme="minorHAnsi" w:hAnsiTheme="minorHAnsi"/>
        </w:rPr>
        <w:t xml:space="preserve">Whatever the format </w:t>
      </w:r>
      <w:r w:rsidR="00516323" w:rsidRPr="00D920C9">
        <w:rPr>
          <w:rFonts w:asciiTheme="minorHAnsi" w:hAnsiTheme="minorHAnsi"/>
        </w:rPr>
        <w:t xml:space="preserve">for demonstrations </w:t>
      </w:r>
      <w:r w:rsidRPr="00D920C9">
        <w:rPr>
          <w:rFonts w:asciiTheme="minorHAnsi" w:hAnsiTheme="minorHAnsi"/>
        </w:rPr>
        <w:t xml:space="preserve">adopted by protesters, the police should have </w:t>
      </w:r>
      <w:r w:rsidR="00516323" w:rsidRPr="00D920C9">
        <w:rPr>
          <w:rFonts w:asciiTheme="minorHAnsi" w:hAnsiTheme="minorHAnsi"/>
        </w:rPr>
        <w:t xml:space="preserve">the principal </w:t>
      </w:r>
      <w:r w:rsidRPr="00D920C9">
        <w:rPr>
          <w:rFonts w:asciiTheme="minorHAnsi" w:hAnsiTheme="minorHAnsi"/>
        </w:rPr>
        <w:t>objective</w:t>
      </w:r>
      <w:r w:rsidR="00516323" w:rsidRPr="00D920C9">
        <w:rPr>
          <w:rFonts w:asciiTheme="minorHAnsi" w:hAnsiTheme="minorHAnsi"/>
        </w:rPr>
        <w:t xml:space="preserve"> of</w:t>
      </w:r>
      <w:r w:rsidRPr="00D920C9">
        <w:rPr>
          <w:rFonts w:asciiTheme="minorHAnsi" w:hAnsiTheme="minorHAnsi"/>
        </w:rPr>
        <w:t xml:space="preserve"> facilitating demonstrations</w:t>
      </w:r>
      <w:r w:rsidR="00516323" w:rsidRPr="00D920C9">
        <w:rPr>
          <w:rFonts w:asciiTheme="minorHAnsi" w:hAnsiTheme="minorHAnsi"/>
        </w:rPr>
        <w:t xml:space="preserve">, guaranteeing the exercise of the right to protest and protecting the </w:t>
      </w:r>
      <w:r w:rsidR="009423DC" w:rsidRPr="00D920C9">
        <w:rPr>
          <w:rFonts w:asciiTheme="minorHAnsi" w:hAnsiTheme="minorHAnsi"/>
        </w:rPr>
        <w:t>protesters</w:t>
      </w:r>
      <w:r w:rsidR="00516323" w:rsidRPr="00D920C9">
        <w:rPr>
          <w:rFonts w:asciiTheme="minorHAnsi" w:hAnsiTheme="minorHAnsi"/>
        </w:rPr>
        <w:t xml:space="preserve"> and third persons present,</w:t>
      </w:r>
      <w:r w:rsidRPr="00D920C9">
        <w:rPr>
          <w:rFonts w:asciiTheme="minorHAnsi" w:hAnsiTheme="minorHAnsi"/>
        </w:rPr>
        <w:t xml:space="preserve"> and not </w:t>
      </w:r>
      <w:r w:rsidR="00516323" w:rsidRPr="00D920C9">
        <w:rPr>
          <w:rFonts w:asciiTheme="minorHAnsi" w:hAnsiTheme="minorHAnsi"/>
        </w:rPr>
        <w:t xml:space="preserve">of </w:t>
      </w:r>
      <w:r w:rsidRPr="00D920C9">
        <w:rPr>
          <w:rFonts w:asciiTheme="minorHAnsi" w:hAnsiTheme="minorHAnsi"/>
        </w:rPr>
        <w:t xml:space="preserve">containing or confronting the </w:t>
      </w:r>
      <w:r w:rsidR="009423DC" w:rsidRPr="00D920C9">
        <w:rPr>
          <w:rFonts w:asciiTheme="minorHAnsi" w:hAnsiTheme="minorHAnsi"/>
        </w:rPr>
        <w:t>protesters</w:t>
      </w:r>
      <w:r w:rsidRPr="00D920C9">
        <w:rPr>
          <w:rFonts w:asciiTheme="minorHAnsi" w:hAnsiTheme="minorHAnsi"/>
        </w:rPr>
        <w:t xml:space="preserve">. </w:t>
      </w:r>
      <w:r w:rsidR="00516323" w:rsidRPr="00D920C9">
        <w:rPr>
          <w:rFonts w:asciiTheme="minorHAnsi" w:hAnsiTheme="minorHAnsi"/>
        </w:rPr>
        <w:t>If</w:t>
      </w:r>
      <w:r w:rsidRPr="00D920C9">
        <w:rPr>
          <w:rFonts w:asciiTheme="minorHAnsi" w:hAnsiTheme="minorHAnsi"/>
        </w:rPr>
        <w:t xml:space="preserve"> a demonstration or protest leads to violence</w:t>
      </w:r>
      <w:r w:rsidR="00516323" w:rsidRPr="00D920C9">
        <w:rPr>
          <w:rFonts w:asciiTheme="minorHAnsi" w:hAnsiTheme="minorHAnsi"/>
        </w:rPr>
        <w:t>, this</w:t>
      </w:r>
      <w:r w:rsidRPr="00D920C9">
        <w:rPr>
          <w:rFonts w:asciiTheme="minorHAnsi" w:hAnsiTheme="minorHAnsi"/>
        </w:rPr>
        <w:t xml:space="preserve"> should be understood </w:t>
      </w:r>
      <w:r w:rsidR="00516323" w:rsidRPr="00D920C9">
        <w:rPr>
          <w:rFonts w:asciiTheme="minorHAnsi" w:hAnsiTheme="minorHAnsi"/>
        </w:rPr>
        <w:t>as a failure of State capacity to</w:t>
      </w:r>
      <w:r w:rsidRPr="00D920C9">
        <w:rPr>
          <w:rFonts w:asciiTheme="minorHAnsi" w:hAnsiTheme="minorHAnsi"/>
        </w:rPr>
        <w:t xml:space="preserve"> guarantee the exercise of this right. </w:t>
      </w:r>
      <w:r w:rsidR="00516323" w:rsidRPr="00D920C9">
        <w:rPr>
          <w:rFonts w:asciiTheme="minorHAnsi" w:hAnsiTheme="minorHAnsi"/>
        </w:rPr>
        <w:t>In this sense, the S</w:t>
      </w:r>
      <w:r w:rsidRPr="00D920C9">
        <w:rPr>
          <w:rFonts w:asciiTheme="minorHAnsi" w:hAnsiTheme="minorHAnsi"/>
        </w:rPr>
        <w:t xml:space="preserve">tate’s obligation is to ensure the </w:t>
      </w:r>
      <w:r w:rsidR="007335F0" w:rsidRPr="00D920C9">
        <w:rPr>
          <w:rFonts w:asciiTheme="minorHAnsi" w:hAnsiTheme="minorHAnsi"/>
        </w:rPr>
        <w:t xml:space="preserve">expression and </w:t>
      </w:r>
      <w:r w:rsidRPr="00D920C9">
        <w:rPr>
          <w:rFonts w:asciiTheme="minorHAnsi" w:hAnsiTheme="minorHAnsi"/>
        </w:rPr>
        <w:t>processing of the underlying social and political conflicts.</w:t>
      </w:r>
      <w:r w:rsidRPr="00D920C9">
        <w:rPr>
          <w:rFonts w:asciiTheme="minorHAnsi" w:hAnsiTheme="minorHAnsi"/>
          <w:vertAlign w:val="superscript"/>
        </w:rPr>
        <w:footnoteReference w:id="533"/>
      </w:r>
      <w:r w:rsidRPr="00D920C9">
        <w:rPr>
          <w:rFonts w:asciiTheme="minorHAnsi" w:hAnsiTheme="minorHAnsi"/>
        </w:rPr>
        <w:t xml:space="preserve"> </w:t>
      </w:r>
    </w:p>
    <w:p w14:paraId="54493006" w14:textId="7A7A96F7" w:rsidR="00C1070E" w:rsidRPr="00D920C9" w:rsidRDefault="00D44603" w:rsidP="00E86698">
      <w:pPr>
        <w:pStyle w:val="ListParagraph"/>
        <w:numPr>
          <w:ilvl w:val="0"/>
          <w:numId w:val="9"/>
        </w:numPr>
        <w:spacing w:after="240" w:line="240" w:lineRule="auto"/>
        <w:ind w:left="547" w:hanging="547"/>
        <w:contextualSpacing w:val="0"/>
        <w:jc w:val="both"/>
        <w:rPr>
          <w:rFonts w:asciiTheme="minorHAnsi" w:hAnsiTheme="minorHAnsi"/>
        </w:rPr>
      </w:pPr>
      <w:r w:rsidRPr="00D920C9">
        <w:rPr>
          <w:rFonts w:asciiTheme="minorHAnsi" w:hAnsiTheme="minorHAnsi"/>
        </w:rPr>
        <w:t>T</w:t>
      </w:r>
      <w:r w:rsidR="008C0F31" w:rsidRPr="00D920C9">
        <w:rPr>
          <w:rFonts w:asciiTheme="minorHAnsi" w:hAnsiTheme="minorHAnsi"/>
        </w:rPr>
        <w:t xml:space="preserve">he law should clearly define the circumstances that justify the use of force in the context of protests, as well as the acceptable level of force for </w:t>
      </w:r>
      <w:r w:rsidR="008C0F31" w:rsidRPr="00D920C9">
        <w:rPr>
          <w:rFonts w:asciiTheme="minorHAnsi" w:hAnsiTheme="minorHAnsi"/>
        </w:rPr>
        <w:lastRenderedPageBreak/>
        <w:t>addressing various threats</w:t>
      </w:r>
      <w:r w:rsidRPr="00D920C9">
        <w:rPr>
          <w:rFonts w:asciiTheme="minorHAnsi" w:hAnsiTheme="minorHAnsi"/>
        </w:rPr>
        <w:t>, in line with the principle of legality</w:t>
      </w:r>
      <w:r w:rsidR="008C0F31" w:rsidRPr="00D920C9">
        <w:rPr>
          <w:rFonts w:asciiTheme="minorHAnsi" w:hAnsiTheme="minorHAnsi"/>
        </w:rPr>
        <w:t>.</w:t>
      </w:r>
      <w:r w:rsidR="008C0F31" w:rsidRPr="00D920C9">
        <w:rPr>
          <w:rFonts w:asciiTheme="minorHAnsi" w:hAnsiTheme="minorHAnsi"/>
          <w:vertAlign w:val="superscript"/>
        </w:rPr>
        <w:footnoteReference w:id="534"/>
      </w:r>
      <w:r w:rsidR="008C0F31" w:rsidRPr="00D920C9">
        <w:rPr>
          <w:rFonts w:asciiTheme="minorHAnsi" w:hAnsiTheme="minorHAnsi"/>
        </w:rPr>
        <w:t xml:space="preserve"> </w:t>
      </w:r>
      <w:r w:rsidR="00DC2377" w:rsidRPr="00D920C9">
        <w:rPr>
          <w:rFonts w:asciiTheme="minorHAnsi" w:hAnsiTheme="minorHAnsi"/>
        </w:rPr>
        <w:t>In this regard</w:t>
      </w:r>
      <w:r w:rsidR="00C1070E" w:rsidRPr="00D920C9">
        <w:rPr>
          <w:rFonts w:asciiTheme="minorHAnsi" w:hAnsiTheme="minorHAnsi"/>
        </w:rPr>
        <w:t>,</w:t>
      </w:r>
      <w:r w:rsidR="007335F0" w:rsidRPr="00D920C9">
        <w:rPr>
          <w:rFonts w:asciiTheme="minorHAnsi" w:hAnsiTheme="minorHAnsi"/>
        </w:rPr>
        <w:t xml:space="preserve"> the principles regarding use of force detailed in previous sections</w:t>
      </w:r>
      <w:r w:rsidR="00C1070E" w:rsidRPr="00D920C9">
        <w:rPr>
          <w:rFonts w:asciiTheme="minorHAnsi" w:hAnsiTheme="minorHAnsi"/>
        </w:rPr>
        <w:t xml:space="preserve"> require that security operations be carefully planned by persons with experience and </w:t>
      </w:r>
      <w:r w:rsidR="007335F0" w:rsidRPr="00D920C9">
        <w:rPr>
          <w:rFonts w:asciiTheme="minorHAnsi" w:hAnsiTheme="minorHAnsi"/>
        </w:rPr>
        <w:t xml:space="preserve">specialized training, with </w:t>
      </w:r>
      <w:r w:rsidR="00C1070E" w:rsidRPr="00D920C9">
        <w:rPr>
          <w:rFonts w:asciiTheme="minorHAnsi" w:hAnsiTheme="minorHAnsi"/>
        </w:rPr>
        <w:t>clear protocols for action</w:t>
      </w:r>
      <w:r w:rsidR="007335F0" w:rsidRPr="00D920C9">
        <w:rPr>
          <w:rFonts w:asciiTheme="minorHAnsi" w:hAnsiTheme="minorHAnsi"/>
        </w:rPr>
        <w:t xml:space="preserve"> by security forces</w:t>
      </w:r>
      <w:r w:rsidR="00C1070E" w:rsidRPr="00D920C9">
        <w:rPr>
          <w:rFonts w:asciiTheme="minorHAnsi" w:hAnsiTheme="minorHAnsi"/>
        </w:rPr>
        <w:t>.</w:t>
      </w:r>
      <w:r w:rsidR="008C0F31" w:rsidRPr="00D920C9">
        <w:rPr>
          <w:rFonts w:asciiTheme="minorHAnsi" w:hAnsiTheme="minorHAnsi"/>
          <w:vertAlign w:val="superscript"/>
        </w:rPr>
        <w:footnoteReference w:id="535"/>
      </w:r>
      <w:r w:rsidR="008C0F31" w:rsidRPr="00D920C9">
        <w:rPr>
          <w:rFonts w:asciiTheme="minorHAnsi" w:hAnsiTheme="minorHAnsi"/>
        </w:rPr>
        <w:t xml:space="preserve"> </w:t>
      </w:r>
      <w:r w:rsidR="00C1070E" w:rsidRPr="00D920C9">
        <w:rPr>
          <w:rFonts w:asciiTheme="minorHAnsi" w:hAnsiTheme="minorHAnsi"/>
        </w:rPr>
        <w:t xml:space="preserve">These instructions should be aimed at ensuring that </w:t>
      </w:r>
      <w:r w:rsidR="007335F0" w:rsidRPr="00D920C9">
        <w:rPr>
          <w:rFonts w:asciiTheme="minorHAnsi" w:hAnsiTheme="minorHAnsi"/>
        </w:rPr>
        <w:t>law enforcement agents</w:t>
      </w:r>
      <w:r w:rsidR="00C1070E" w:rsidRPr="00D920C9">
        <w:rPr>
          <w:rFonts w:asciiTheme="minorHAnsi" w:hAnsiTheme="minorHAnsi"/>
        </w:rPr>
        <w:t xml:space="preserve"> act with the certainty that “their job is to protect the participants in a public meeting or demonstration or mass gathering so long as they are exercising their right.”</w:t>
      </w:r>
      <w:r w:rsidR="00C1070E" w:rsidRPr="00D920C9">
        <w:rPr>
          <w:rFonts w:asciiTheme="minorHAnsi" w:hAnsiTheme="minorHAnsi"/>
          <w:vertAlign w:val="superscript"/>
        </w:rPr>
        <w:footnoteReference w:id="536"/>
      </w:r>
      <w:r w:rsidR="00C1070E" w:rsidRPr="00D920C9">
        <w:rPr>
          <w:rFonts w:asciiTheme="minorHAnsi" w:hAnsiTheme="minorHAnsi"/>
        </w:rPr>
        <w:t xml:space="preserve"> </w:t>
      </w:r>
    </w:p>
    <w:p w14:paraId="16C4283B" w14:textId="2719D1C1" w:rsidR="00C1070E" w:rsidRPr="00D920C9" w:rsidRDefault="009423DC" w:rsidP="00E86698">
      <w:pPr>
        <w:pStyle w:val="ListParagraph"/>
        <w:numPr>
          <w:ilvl w:val="0"/>
          <w:numId w:val="9"/>
        </w:numPr>
        <w:spacing w:after="240" w:line="240" w:lineRule="auto"/>
        <w:ind w:left="547" w:hanging="547"/>
        <w:contextualSpacing w:val="0"/>
        <w:jc w:val="both"/>
        <w:rPr>
          <w:rFonts w:asciiTheme="minorHAnsi" w:hAnsiTheme="minorHAnsi"/>
        </w:rPr>
      </w:pPr>
      <w:bookmarkStart w:id="209" w:name="_Ref507172810"/>
      <w:r w:rsidRPr="00D920C9">
        <w:rPr>
          <w:rFonts w:asciiTheme="minorHAnsi" w:hAnsiTheme="minorHAnsi"/>
        </w:rPr>
        <w:t>T</w:t>
      </w:r>
      <w:r w:rsidR="007335F0" w:rsidRPr="00D920C9">
        <w:rPr>
          <w:rFonts w:asciiTheme="minorHAnsi" w:hAnsiTheme="minorHAnsi"/>
        </w:rPr>
        <w:t xml:space="preserve">he Commission </w:t>
      </w:r>
      <w:r w:rsidR="00753713" w:rsidRPr="00D920C9">
        <w:rPr>
          <w:rFonts w:asciiTheme="minorHAnsi" w:hAnsiTheme="minorHAnsi"/>
        </w:rPr>
        <w:t>considers that police who accompany protests should not be assigned firearms or other lethal weapons for that purpose</w:t>
      </w:r>
      <w:r w:rsidR="00C1070E" w:rsidRPr="00D920C9">
        <w:rPr>
          <w:rFonts w:asciiTheme="minorHAnsi" w:hAnsiTheme="minorHAnsi"/>
        </w:rPr>
        <w:t>.</w:t>
      </w:r>
      <w:r w:rsidR="007335F0" w:rsidRPr="00D920C9">
        <w:rPr>
          <w:rFonts w:asciiTheme="minorHAnsi" w:hAnsiTheme="minorHAnsi"/>
          <w:vertAlign w:val="superscript"/>
        </w:rPr>
        <w:footnoteReference w:id="537"/>
      </w:r>
      <w:r w:rsidR="00C1070E" w:rsidRPr="00D920C9">
        <w:rPr>
          <w:rFonts w:asciiTheme="minorHAnsi" w:hAnsiTheme="minorHAnsi"/>
        </w:rPr>
        <w:t xml:space="preserve"> </w:t>
      </w:r>
      <w:r w:rsidR="00704151" w:rsidRPr="00D920C9">
        <w:rPr>
          <w:rFonts w:asciiTheme="minorHAnsi" w:hAnsiTheme="minorHAnsi"/>
        </w:rPr>
        <w:t>P</w:t>
      </w:r>
      <w:r w:rsidR="00C1070E" w:rsidRPr="00D920C9">
        <w:rPr>
          <w:rFonts w:asciiTheme="minorHAnsi" w:hAnsiTheme="minorHAnsi"/>
        </w:rPr>
        <w:t>rohibitin</w:t>
      </w:r>
      <w:r w:rsidR="00704151" w:rsidRPr="00D920C9">
        <w:rPr>
          <w:rFonts w:asciiTheme="minorHAnsi" w:hAnsiTheme="minorHAnsi"/>
        </w:rPr>
        <w:t>g</w:t>
      </w:r>
      <w:r w:rsidR="00C1070E" w:rsidRPr="00D920C9">
        <w:rPr>
          <w:rFonts w:asciiTheme="minorHAnsi" w:hAnsiTheme="minorHAnsi"/>
        </w:rPr>
        <w:t xml:space="preserve"> officials who </w:t>
      </w:r>
      <w:r w:rsidR="008C0F31" w:rsidRPr="00D920C9">
        <w:rPr>
          <w:rFonts w:asciiTheme="minorHAnsi" w:hAnsiTheme="minorHAnsi"/>
        </w:rPr>
        <w:t xml:space="preserve">may </w:t>
      </w:r>
      <w:r w:rsidRPr="00D920C9">
        <w:rPr>
          <w:rFonts w:asciiTheme="minorHAnsi" w:hAnsiTheme="minorHAnsi"/>
        </w:rPr>
        <w:t>have</w:t>
      </w:r>
      <w:r w:rsidR="008C0F31" w:rsidRPr="00D920C9">
        <w:rPr>
          <w:rFonts w:asciiTheme="minorHAnsi" w:hAnsiTheme="minorHAnsi"/>
        </w:rPr>
        <w:t xml:space="preserve"> </w:t>
      </w:r>
      <w:r w:rsidR="00C1070E" w:rsidRPr="00D920C9">
        <w:rPr>
          <w:rFonts w:asciiTheme="minorHAnsi" w:hAnsiTheme="minorHAnsi"/>
        </w:rPr>
        <w:t xml:space="preserve">contact with </w:t>
      </w:r>
      <w:r w:rsidRPr="00D920C9">
        <w:rPr>
          <w:rFonts w:asciiTheme="minorHAnsi" w:hAnsiTheme="minorHAnsi"/>
        </w:rPr>
        <w:t>protesters</w:t>
      </w:r>
      <w:r w:rsidR="00C1070E" w:rsidRPr="00D920C9">
        <w:rPr>
          <w:rFonts w:asciiTheme="minorHAnsi" w:hAnsiTheme="minorHAnsi"/>
        </w:rPr>
        <w:t xml:space="preserve"> </w:t>
      </w:r>
      <w:r w:rsidR="00704151" w:rsidRPr="00D920C9">
        <w:rPr>
          <w:rFonts w:asciiTheme="minorHAnsi" w:hAnsiTheme="minorHAnsi"/>
        </w:rPr>
        <w:t xml:space="preserve">from </w:t>
      </w:r>
      <w:r w:rsidR="00C1070E" w:rsidRPr="00D920C9">
        <w:rPr>
          <w:rFonts w:asciiTheme="minorHAnsi" w:hAnsiTheme="minorHAnsi"/>
        </w:rPr>
        <w:t xml:space="preserve">carrying firearms and lead munitions has proven the best </w:t>
      </w:r>
      <w:r w:rsidR="008C0F31" w:rsidRPr="00D920C9">
        <w:rPr>
          <w:rFonts w:asciiTheme="minorHAnsi" w:hAnsiTheme="minorHAnsi"/>
        </w:rPr>
        <w:t>method</w:t>
      </w:r>
      <w:r w:rsidR="00C1070E" w:rsidRPr="00D920C9">
        <w:rPr>
          <w:rFonts w:asciiTheme="minorHAnsi" w:hAnsiTheme="minorHAnsi"/>
        </w:rPr>
        <w:t xml:space="preserve"> for preventing lethal violence and deaths i</w:t>
      </w:r>
      <w:r w:rsidR="008C0F31" w:rsidRPr="00D920C9">
        <w:rPr>
          <w:rFonts w:asciiTheme="minorHAnsi" w:hAnsiTheme="minorHAnsi"/>
        </w:rPr>
        <w:t>n contexts of social protest.</w:t>
      </w:r>
      <w:r w:rsidR="008C0F31" w:rsidRPr="00D920C9">
        <w:rPr>
          <w:rFonts w:asciiTheme="minorHAnsi" w:hAnsiTheme="minorHAnsi"/>
          <w:vertAlign w:val="superscript"/>
        </w:rPr>
        <w:footnoteReference w:id="538"/>
      </w:r>
      <w:r w:rsidR="00C1070E" w:rsidRPr="00D920C9">
        <w:rPr>
          <w:rFonts w:asciiTheme="minorHAnsi" w:hAnsiTheme="minorHAnsi"/>
        </w:rPr>
        <w:t xml:space="preserve"> </w:t>
      </w:r>
      <w:r w:rsidR="008C0F31" w:rsidRPr="00D920C9">
        <w:rPr>
          <w:rFonts w:asciiTheme="minorHAnsi" w:hAnsiTheme="minorHAnsi"/>
        </w:rPr>
        <w:t>In</w:t>
      </w:r>
      <w:r w:rsidR="00C1070E" w:rsidRPr="00D920C9">
        <w:rPr>
          <w:rFonts w:asciiTheme="minorHAnsi" w:hAnsiTheme="minorHAnsi"/>
        </w:rPr>
        <w:t xml:space="preserve"> exceptional cases </w:t>
      </w:r>
      <w:r w:rsidRPr="00D920C9">
        <w:rPr>
          <w:rFonts w:asciiTheme="minorHAnsi" w:hAnsiTheme="minorHAnsi"/>
        </w:rPr>
        <w:t>where</w:t>
      </w:r>
      <w:r w:rsidR="00C1070E" w:rsidRPr="00D920C9">
        <w:rPr>
          <w:rFonts w:asciiTheme="minorHAnsi" w:hAnsiTheme="minorHAnsi"/>
        </w:rPr>
        <w:t xml:space="preserve"> there is a situation of actual, serious, and imminent risk to persons that </w:t>
      </w:r>
      <w:r w:rsidR="008C0F31" w:rsidRPr="00D920C9">
        <w:rPr>
          <w:rFonts w:asciiTheme="minorHAnsi" w:hAnsiTheme="minorHAnsi"/>
        </w:rPr>
        <w:t>may make the use of firearms and lead munitions warranted, an operation may provide for the</w:t>
      </w:r>
      <w:r w:rsidRPr="00D920C9">
        <w:rPr>
          <w:rFonts w:asciiTheme="minorHAnsi" w:hAnsiTheme="minorHAnsi"/>
        </w:rPr>
        <w:t>ir</w:t>
      </w:r>
      <w:r w:rsidR="008C0F31" w:rsidRPr="00D920C9">
        <w:rPr>
          <w:rFonts w:asciiTheme="minorHAnsi" w:hAnsiTheme="minorHAnsi"/>
        </w:rPr>
        <w:t xml:space="preserve"> presence somewhere outside the radius of action of the demonstration.</w:t>
      </w:r>
      <w:r w:rsidR="00C1070E" w:rsidRPr="00D920C9">
        <w:rPr>
          <w:rFonts w:asciiTheme="minorHAnsi" w:hAnsiTheme="minorHAnsi"/>
        </w:rPr>
        <w:t xml:space="preserve"> In such an extreme circumstance</w:t>
      </w:r>
      <w:r w:rsidR="008C0F31" w:rsidRPr="00D920C9">
        <w:rPr>
          <w:rFonts w:asciiTheme="minorHAnsi" w:hAnsiTheme="minorHAnsi"/>
        </w:rPr>
        <w:t>,</w:t>
      </w:r>
      <w:r w:rsidR="00C1070E" w:rsidRPr="00D920C9">
        <w:rPr>
          <w:rFonts w:asciiTheme="minorHAnsi" w:hAnsiTheme="minorHAnsi"/>
        </w:rPr>
        <w:t xml:space="preserve"> there should be explicit rules concerning who has the power to authorize their use and the ways in which such authorization is to be documented.</w:t>
      </w:r>
      <w:r w:rsidR="00C1070E" w:rsidRPr="00D920C9">
        <w:rPr>
          <w:rFonts w:asciiTheme="minorHAnsi" w:hAnsiTheme="minorHAnsi"/>
          <w:vertAlign w:val="superscript"/>
        </w:rPr>
        <w:footnoteReference w:id="539"/>
      </w:r>
      <w:bookmarkEnd w:id="209"/>
      <w:r w:rsidR="00C1070E" w:rsidRPr="00D920C9">
        <w:rPr>
          <w:rFonts w:asciiTheme="minorHAnsi" w:hAnsiTheme="minorHAnsi"/>
        </w:rPr>
        <w:t xml:space="preserve"> </w:t>
      </w:r>
    </w:p>
    <w:p w14:paraId="7E480EEF" w14:textId="09180895" w:rsidR="00C1070E" w:rsidRPr="00D920C9" w:rsidRDefault="008C0F31" w:rsidP="00E86698">
      <w:pPr>
        <w:pStyle w:val="ListParagraph"/>
        <w:numPr>
          <w:ilvl w:val="0"/>
          <w:numId w:val="9"/>
        </w:numPr>
        <w:spacing w:after="240" w:line="240" w:lineRule="auto"/>
        <w:ind w:left="547" w:hanging="547"/>
        <w:contextualSpacing w:val="0"/>
        <w:jc w:val="both"/>
        <w:rPr>
          <w:rFonts w:asciiTheme="minorHAnsi" w:hAnsiTheme="minorHAnsi"/>
        </w:rPr>
      </w:pPr>
      <w:bookmarkStart w:id="210" w:name="_Ref507172812"/>
      <w:r w:rsidRPr="00D920C9">
        <w:rPr>
          <w:rFonts w:asciiTheme="minorHAnsi" w:hAnsiTheme="minorHAnsi"/>
        </w:rPr>
        <w:t>Likewise, t</w:t>
      </w:r>
      <w:r w:rsidR="00C1070E" w:rsidRPr="00D920C9">
        <w:rPr>
          <w:rFonts w:asciiTheme="minorHAnsi" w:hAnsiTheme="minorHAnsi"/>
        </w:rPr>
        <w:t>he Commission notes</w:t>
      </w:r>
      <w:r w:rsidR="007F1B61" w:rsidRPr="00D920C9">
        <w:rPr>
          <w:rFonts w:asciiTheme="minorHAnsi" w:hAnsiTheme="minorHAnsi"/>
        </w:rPr>
        <w:t xml:space="preserve"> the potential for serious injury of using less</w:t>
      </w:r>
      <w:r w:rsidR="00C1070E" w:rsidRPr="00D920C9">
        <w:rPr>
          <w:rFonts w:asciiTheme="minorHAnsi" w:hAnsiTheme="minorHAnsi"/>
        </w:rPr>
        <w:t xml:space="preserve"> lethal weapons in the context of social protests</w:t>
      </w:r>
      <w:r w:rsidRPr="00D920C9">
        <w:rPr>
          <w:rFonts w:asciiTheme="minorHAnsi" w:hAnsiTheme="minorHAnsi"/>
        </w:rPr>
        <w:t>, such as</w:t>
      </w:r>
      <w:r w:rsidR="00C1070E" w:rsidRPr="00D920C9">
        <w:rPr>
          <w:rFonts w:asciiTheme="minorHAnsi" w:hAnsiTheme="minorHAnsi"/>
        </w:rPr>
        <w:t xml:space="preserve"> tear gas and </w:t>
      </w:r>
      <w:r w:rsidRPr="00D920C9">
        <w:rPr>
          <w:rFonts w:asciiTheme="minorHAnsi" w:hAnsiTheme="minorHAnsi"/>
        </w:rPr>
        <w:t>devices</w:t>
      </w:r>
      <w:r w:rsidR="00C1070E" w:rsidRPr="00D920C9">
        <w:rPr>
          <w:rFonts w:asciiTheme="minorHAnsi" w:hAnsiTheme="minorHAnsi"/>
        </w:rPr>
        <w:t xml:space="preserve"> used to shoot hard rubber, plastic, or soft rubber</w:t>
      </w:r>
      <w:r w:rsidRPr="00D920C9">
        <w:rPr>
          <w:rFonts w:asciiTheme="minorHAnsi" w:hAnsiTheme="minorHAnsi"/>
        </w:rPr>
        <w:t xml:space="preserve"> projectiles</w:t>
      </w:r>
      <w:r w:rsidR="00C1070E" w:rsidRPr="00D920C9">
        <w:rPr>
          <w:rFonts w:asciiTheme="minorHAnsi" w:hAnsiTheme="minorHAnsi"/>
        </w:rPr>
        <w:t xml:space="preserve">. The use of such weapons </w:t>
      </w:r>
      <w:r w:rsidRPr="00D920C9">
        <w:rPr>
          <w:rFonts w:asciiTheme="minorHAnsi" w:hAnsiTheme="minorHAnsi"/>
        </w:rPr>
        <w:t>is</w:t>
      </w:r>
      <w:r w:rsidR="00C1070E" w:rsidRPr="00D920C9">
        <w:rPr>
          <w:rFonts w:asciiTheme="minorHAnsi" w:hAnsiTheme="minorHAnsi"/>
        </w:rPr>
        <w:t xml:space="preserve"> ill-advised since it is impossible to control the direction of their impact.</w:t>
      </w:r>
      <w:r w:rsidR="00C1070E" w:rsidRPr="00D920C9">
        <w:rPr>
          <w:rFonts w:asciiTheme="minorHAnsi" w:hAnsiTheme="minorHAnsi"/>
          <w:vertAlign w:val="superscript"/>
        </w:rPr>
        <w:footnoteReference w:id="540"/>
      </w:r>
      <w:bookmarkEnd w:id="210"/>
      <w:r w:rsidR="00C1070E" w:rsidRPr="00D920C9">
        <w:rPr>
          <w:rFonts w:asciiTheme="minorHAnsi" w:hAnsiTheme="minorHAnsi"/>
        </w:rPr>
        <w:t xml:space="preserve"> </w:t>
      </w:r>
    </w:p>
    <w:p w14:paraId="2D71ED2C" w14:textId="77777777" w:rsidR="00004BB6" w:rsidRPr="00D920C9" w:rsidRDefault="00C1070E" w:rsidP="00E86698">
      <w:pPr>
        <w:pStyle w:val="ListParagraph"/>
        <w:numPr>
          <w:ilvl w:val="0"/>
          <w:numId w:val="9"/>
        </w:numPr>
        <w:spacing w:after="240" w:line="240" w:lineRule="auto"/>
        <w:ind w:left="547" w:hanging="547"/>
        <w:contextualSpacing w:val="0"/>
        <w:jc w:val="both"/>
        <w:rPr>
          <w:rFonts w:asciiTheme="minorHAnsi" w:hAnsiTheme="minorHAnsi"/>
        </w:rPr>
      </w:pPr>
      <w:r w:rsidRPr="00D920C9">
        <w:rPr>
          <w:rFonts w:asciiTheme="minorHAnsi" w:hAnsiTheme="minorHAnsi"/>
        </w:rPr>
        <w:t xml:space="preserve">The Commission considers that any arrest made in the context of </w:t>
      </w:r>
      <w:r w:rsidR="00DC2377" w:rsidRPr="00D920C9">
        <w:rPr>
          <w:rFonts w:asciiTheme="minorHAnsi" w:hAnsiTheme="minorHAnsi"/>
        </w:rPr>
        <w:t>protests</w:t>
      </w:r>
      <w:r w:rsidRPr="00D920C9">
        <w:rPr>
          <w:rFonts w:asciiTheme="minorHAnsi" w:hAnsiTheme="minorHAnsi"/>
        </w:rPr>
        <w:t xml:space="preserve"> must meet all requirements </w:t>
      </w:r>
      <w:r w:rsidR="00DC2377" w:rsidRPr="00D920C9">
        <w:rPr>
          <w:rFonts w:asciiTheme="minorHAnsi" w:hAnsiTheme="minorHAnsi"/>
        </w:rPr>
        <w:t>established</w:t>
      </w:r>
      <w:r w:rsidRPr="00D920C9">
        <w:rPr>
          <w:rFonts w:asciiTheme="minorHAnsi" w:hAnsiTheme="minorHAnsi"/>
        </w:rPr>
        <w:t xml:space="preserve"> by domestic law</w:t>
      </w:r>
      <w:r w:rsidR="00DC2377" w:rsidRPr="00D920C9">
        <w:rPr>
          <w:rFonts w:asciiTheme="minorHAnsi" w:hAnsiTheme="minorHAnsi"/>
        </w:rPr>
        <w:t xml:space="preserve"> and international standards, including avoiding </w:t>
      </w:r>
      <w:r w:rsidRPr="00D920C9">
        <w:rPr>
          <w:rFonts w:asciiTheme="minorHAnsi" w:hAnsiTheme="minorHAnsi"/>
        </w:rPr>
        <w:t xml:space="preserve">mass, collective, or indiscriminate arrests. </w:t>
      </w:r>
      <w:r w:rsidR="00DC2377" w:rsidRPr="00D920C9">
        <w:rPr>
          <w:rFonts w:asciiTheme="minorHAnsi" w:hAnsiTheme="minorHAnsi"/>
        </w:rPr>
        <w:t xml:space="preserve">For example, </w:t>
      </w:r>
      <w:r w:rsidRPr="00D920C9">
        <w:rPr>
          <w:rFonts w:asciiTheme="minorHAnsi" w:hAnsiTheme="minorHAnsi"/>
        </w:rPr>
        <w:t xml:space="preserve">the Inter-American Court </w:t>
      </w:r>
      <w:r w:rsidR="00DC2377" w:rsidRPr="00D920C9">
        <w:rPr>
          <w:rFonts w:asciiTheme="minorHAnsi" w:hAnsiTheme="minorHAnsi"/>
        </w:rPr>
        <w:t xml:space="preserve">has </w:t>
      </w:r>
      <w:r w:rsidRPr="00D920C9">
        <w:rPr>
          <w:rFonts w:asciiTheme="minorHAnsi" w:hAnsiTheme="minorHAnsi"/>
        </w:rPr>
        <w:t>found that</w:t>
      </w:r>
      <w:r w:rsidR="00DC2377" w:rsidRPr="00D920C9">
        <w:rPr>
          <w:rFonts w:asciiTheme="minorHAnsi" w:hAnsiTheme="minorHAnsi"/>
        </w:rPr>
        <w:t xml:space="preserve"> the</w:t>
      </w:r>
      <w:r w:rsidRPr="00D920C9">
        <w:rPr>
          <w:rFonts w:asciiTheme="minorHAnsi" w:hAnsiTheme="minorHAnsi"/>
        </w:rPr>
        <w:t xml:space="preserve"> “</w:t>
      </w:r>
      <w:proofErr w:type="gramStart"/>
      <w:r w:rsidR="00DC2377" w:rsidRPr="00D920C9">
        <w:rPr>
          <w:rFonts w:asciiTheme="minorHAnsi" w:hAnsiTheme="minorHAnsi"/>
        </w:rPr>
        <w:t>massive[</w:t>
      </w:r>
      <w:proofErr w:type="gramEnd"/>
      <w:r w:rsidR="00DC2377" w:rsidRPr="00D920C9">
        <w:rPr>
          <w:rFonts w:asciiTheme="minorHAnsi" w:hAnsiTheme="minorHAnsi"/>
        </w:rPr>
        <w:t>]</w:t>
      </w:r>
      <w:r w:rsidRPr="00D920C9">
        <w:rPr>
          <w:rFonts w:asciiTheme="minorHAnsi" w:hAnsiTheme="minorHAnsi"/>
        </w:rPr>
        <w:t xml:space="preserve"> arrest</w:t>
      </w:r>
      <w:r w:rsidR="00DC2377" w:rsidRPr="00D920C9">
        <w:rPr>
          <w:rFonts w:asciiTheme="minorHAnsi" w:hAnsiTheme="minorHAnsi"/>
        </w:rPr>
        <w:t xml:space="preserve"> [of]</w:t>
      </w:r>
      <w:r w:rsidRPr="00D920C9">
        <w:rPr>
          <w:rFonts w:asciiTheme="minorHAnsi" w:hAnsiTheme="minorHAnsi"/>
        </w:rPr>
        <w:t xml:space="preserve"> people that</w:t>
      </w:r>
      <w:r w:rsidR="00DC2377" w:rsidRPr="00D920C9">
        <w:rPr>
          <w:rFonts w:asciiTheme="minorHAnsi" w:hAnsiTheme="minorHAnsi"/>
        </w:rPr>
        <w:t xml:space="preserve"> []</w:t>
      </w:r>
      <w:r w:rsidRPr="00D920C9">
        <w:rPr>
          <w:rFonts w:asciiTheme="minorHAnsi" w:hAnsiTheme="minorHAnsi"/>
        </w:rPr>
        <w:t xml:space="preserve"> </w:t>
      </w:r>
      <w:proofErr w:type="spellStart"/>
      <w:r w:rsidRPr="00D920C9">
        <w:rPr>
          <w:rFonts w:asciiTheme="minorHAnsi" w:hAnsiTheme="minorHAnsi"/>
        </w:rPr>
        <w:t>authorit</w:t>
      </w:r>
      <w:proofErr w:type="spellEnd"/>
      <w:r w:rsidR="00DC2377" w:rsidRPr="00D920C9">
        <w:rPr>
          <w:rFonts w:asciiTheme="minorHAnsi" w:hAnsiTheme="minorHAnsi"/>
        </w:rPr>
        <w:t>[</w:t>
      </w:r>
      <w:proofErr w:type="spellStart"/>
      <w:r w:rsidR="00DC2377" w:rsidRPr="00D920C9">
        <w:rPr>
          <w:rFonts w:asciiTheme="minorHAnsi" w:hAnsiTheme="minorHAnsi"/>
        </w:rPr>
        <w:t>ies</w:t>
      </w:r>
      <w:proofErr w:type="spellEnd"/>
      <w:r w:rsidR="00DC2377" w:rsidRPr="00D920C9">
        <w:rPr>
          <w:rFonts w:asciiTheme="minorHAnsi" w:hAnsiTheme="minorHAnsi"/>
        </w:rPr>
        <w:t>] consider[]</w:t>
      </w:r>
      <w:r w:rsidRPr="00D920C9">
        <w:rPr>
          <w:rFonts w:asciiTheme="minorHAnsi" w:hAnsiTheme="minorHAnsi"/>
        </w:rPr>
        <w:t xml:space="preserve"> may represent a risk or danger to the security of others, without substantiated evidence of the commission </w:t>
      </w:r>
      <w:r w:rsidRPr="00D920C9">
        <w:rPr>
          <w:rFonts w:asciiTheme="minorHAnsi" w:hAnsiTheme="minorHAnsi"/>
        </w:rPr>
        <w:lastRenderedPageBreak/>
        <w:t>of a crime, constitutes an illegal and arbitrary arrest.”</w:t>
      </w:r>
      <w:r w:rsidR="00DC2377" w:rsidRPr="00D920C9">
        <w:rPr>
          <w:rFonts w:asciiTheme="minorHAnsi" w:hAnsiTheme="minorHAnsi"/>
          <w:vertAlign w:val="superscript"/>
        </w:rPr>
        <w:footnoteReference w:id="541"/>
      </w:r>
      <w:r w:rsidRPr="00D920C9">
        <w:rPr>
          <w:rFonts w:asciiTheme="minorHAnsi" w:hAnsiTheme="minorHAnsi"/>
        </w:rPr>
        <w:t xml:space="preserve"> In </w:t>
      </w:r>
      <w:r w:rsidR="00DC2377" w:rsidRPr="00D920C9">
        <w:rPr>
          <w:rFonts w:asciiTheme="minorHAnsi" w:hAnsiTheme="minorHAnsi"/>
        </w:rPr>
        <w:t>this regard</w:t>
      </w:r>
      <w:r w:rsidRPr="00D920C9">
        <w:rPr>
          <w:rFonts w:asciiTheme="minorHAnsi" w:hAnsiTheme="minorHAnsi"/>
        </w:rPr>
        <w:t>,</w:t>
      </w:r>
      <w:r w:rsidR="009823F5" w:rsidRPr="00D920C9">
        <w:rPr>
          <w:rFonts w:asciiTheme="minorHAnsi" w:hAnsiTheme="minorHAnsi"/>
        </w:rPr>
        <w:t xml:space="preserve"> the Commission highlights </w:t>
      </w:r>
      <w:r w:rsidR="00BE5451" w:rsidRPr="00D920C9">
        <w:rPr>
          <w:rFonts w:asciiTheme="minorHAnsi" w:hAnsiTheme="minorHAnsi"/>
        </w:rPr>
        <w:t>its concern about reports of arbitrary arrests at protests for minor acts that do not clearly constitute criminal activity</w:t>
      </w:r>
      <w:r w:rsidR="009823F5" w:rsidRPr="00D920C9">
        <w:rPr>
          <w:rFonts w:asciiTheme="minorHAnsi" w:hAnsiTheme="minorHAnsi"/>
        </w:rPr>
        <w:t>.</w:t>
      </w:r>
      <w:r w:rsidR="00BE5451" w:rsidRPr="00D920C9">
        <w:rPr>
          <w:rFonts w:asciiTheme="minorHAnsi" w:hAnsiTheme="minorHAnsi"/>
          <w:vertAlign w:val="superscript"/>
        </w:rPr>
        <w:footnoteReference w:id="542"/>
      </w:r>
      <w:r w:rsidR="009823F5" w:rsidRPr="00D920C9">
        <w:rPr>
          <w:rFonts w:asciiTheme="minorHAnsi" w:hAnsiTheme="minorHAnsi"/>
        </w:rPr>
        <w:t xml:space="preserve"> T</w:t>
      </w:r>
      <w:r w:rsidRPr="00D920C9">
        <w:rPr>
          <w:rFonts w:asciiTheme="minorHAnsi" w:hAnsiTheme="minorHAnsi"/>
        </w:rPr>
        <w:t xml:space="preserve">he Commission </w:t>
      </w:r>
      <w:r w:rsidR="009823F5" w:rsidRPr="00D920C9">
        <w:rPr>
          <w:rFonts w:asciiTheme="minorHAnsi" w:hAnsiTheme="minorHAnsi"/>
        </w:rPr>
        <w:t xml:space="preserve">additionally </w:t>
      </w:r>
      <w:r w:rsidR="00DC2377" w:rsidRPr="00D920C9">
        <w:rPr>
          <w:rFonts w:asciiTheme="minorHAnsi" w:hAnsiTheme="minorHAnsi"/>
        </w:rPr>
        <w:t>reiterates that the State must</w:t>
      </w:r>
      <w:r w:rsidRPr="00D920C9">
        <w:rPr>
          <w:rFonts w:asciiTheme="minorHAnsi" w:hAnsiTheme="minorHAnsi"/>
        </w:rPr>
        <w:t xml:space="preserve"> take all necessary steps to ensure that detainees and their next of kin are given precise information about the reasons for the detention and where they are being held.</w:t>
      </w:r>
      <w:r w:rsidRPr="00D920C9">
        <w:rPr>
          <w:rFonts w:asciiTheme="minorHAnsi" w:hAnsiTheme="minorHAnsi"/>
          <w:vertAlign w:val="superscript"/>
        </w:rPr>
        <w:footnoteReference w:id="543"/>
      </w:r>
      <w:r w:rsidR="00004BB6" w:rsidRPr="00D920C9">
        <w:rPr>
          <w:rFonts w:asciiTheme="minorHAnsi" w:hAnsiTheme="minorHAnsi"/>
        </w:rPr>
        <w:t xml:space="preserve"> </w:t>
      </w:r>
    </w:p>
    <w:p w14:paraId="06A47EB0" w14:textId="33F17D1E" w:rsidR="00A75070" w:rsidRPr="00D920C9" w:rsidRDefault="00A75070" w:rsidP="00E86698">
      <w:pPr>
        <w:pStyle w:val="ListParagraph"/>
        <w:numPr>
          <w:ilvl w:val="0"/>
          <w:numId w:val="9"/>
        </w:numPr>
        <w:spacing w:after="240" w:line="240" w:lineRule="auto"/>
        <w:ind w:left="547" w:hanging="547"/>
        <w:contextualSpacing w:val="0"/>
        <w:jc w:val="both"/>
        <w:rPr>
          <w:rFonts w:asciiTheme="minorHAnsi" w:hAnsiTheme="minorHAnsi"/>
        </w:rPr>
      </w:pPr>
      <w:r w:rsidRPr="00D920C9">
        <w:rPr>
          <w:rFonts w:asciiTheme="minorHAnsi" w:hAnsiTheme="minorHAnsi"/>
        </w:rPr>
        <w:t xml:space="preserve">The Commission also reiterates the importance of properly identifying law enforcement officials as key to establish the actors involved in a use of force incident, for the purpose of clarifying the facts and, as appropriate, </w:t>
      </w:r>
      <w:r w:rsidR="00BE5451" w:rsidRPr="00D920C9">
        <w:rPr>
          <w:rFonts w:asciiTheme="minorHAnsi" w:hAnsiTheme="minorHAnsi"/>
        </w:rPr>
        <w:t>assigning</w:t>
      </w:r>
      <w:r w:rsidRPr="00D920C9">
        <w:rPr>
          <w:rFonts w:asciiTheme="minorHAnsi" w:hAnsiTheme="minorHAnsi"/>
        </w:rPr>
        <w:t xml:space="preserve"> responsibilit</w:t>
      </w:r>
      <w:r w:rsidR="00BE5451" w:rsidRPr="00D920C9">
        <w:rPr>
          <w:rFonts w:asciiTheme="minorHAnsi" w:hAnsiTheme="minorHAnsi"/>
        </w:rPr>
        <w:t>y</w:t>
      </w:r>
      <w:r w:rsidRPr="00D920C9">
        <w:rPr>
          <w:rFonts w:asciiTheme="minorHAnsi" w:hAnsiTheme="minorHAnsi"/>
        </w:rPr>
        <w:t xml:space="preserve">. </w:t>
      </w:r>
      <w:r w:rsidR="007F1B61" w:rsidRPr="00D920C9">
        <w:rPr>
          <w:rFonts w:asciiTheme="minorHAnsi" w:hAnsiTheme="minorHAnsi"/>
        </w:rPr>
        <w:t xml:space="preserve"> The Commission considers that the police </w:t>
      </w:r>
      <w:r w:rsidRPr="00D920C9">
        <w:rPr>
          <w:rFonts w:asciiTheme="minorHAnsi" w:hAnsiTheme="minorHAnsi"/>
        </w:rPr>
        <w:t>should wear a visible tag either with their name or number on it identifying them personally.</w:t>
      </w:r>
      <w:r w:rsidRPr="00D920C9">
        <w:rPr>
          <w:rFonts w:asciiTheme="minorHAnsi" w:hAnsiTheme="minorHAnsi"/>
          <w:vertAlign w:val="superscript"/>
        </w:rPr>
        <w:footnoteReference w:id="544"/>
      </w:r>
      <w:r w:rsidRPr="00D920C9">
        <w:rPr>
          <w:rFonts w:asciiTheme="minorHAnsi" w:hAnsiTheme="minorHAnsi"/>
        </w:rPr>
        <w:t xml:space="preserve"> In the case of public </w:t>
      </w:r>
      <w:r w:rsidR="009423DC" w:rsidRPr="00D920C9">
        <w:rPr>
          <w:rFonts w:asciiTheme="minorHAnsi" w:hAnsiTheme="minorHAnsi"/>
        </w:rPr>
        <w:t>protests</w:t>
      </w:r>
      <w:r w:rsidRPr="00D920C9">
        <w:rPr>
          <w:rFonts w:asciiTheme="minorHAnsi" w:hAnsiTheme="minorHAnsi"/>
        </w:rPr>
        <w:t xml:space="preserve">, police participation in security operations in plainclothes or without proper identification poses problems for the administrative and/or judicial review of possible irregularities and/or violations of rights. The lack of proper identification constitutes an added obstacle to </w:t>
      </w:r>
      <w:r w:rsidR="00BE5451" w:rsidRPr="00D920C9">
        <w:rPr>
          <w:rFonts w:asciiTheme="minorHAnsi" w:hAnsiTheme="minorHAnsi"/>
        </w:rPr>
        <w:t xml:space="preserve">assigning </w:t>
      </w:r>
      <w:r w:rsidRPr="00D920C9">
        <w:rPr>
          <w:rFonts w:asciiTheme="minorHAnsi" w:hAnsiTheme="minorHAnsi"/>
        </w:rPr>
        <w:t>responsibilit</w:t>
      </w:r>
      <w:r w:rsidR="00BE5451" w:rsidRPr="00D920C9">
        <w:rPr>
          <w:rFonts w:asciiTheme="minorHAnsi" w:hAnsiTheme="minorHAnsi"/>
        </w:rPr>
        <w:t>y</w:t>
      </w:r>
      <w:r w:rsidRPr="00D920C9">
        <w:rPr>
          <w:rFonts w:asciiTheme="minorHAnsi" w:hAnsiTheme="minorHAnsi"/>
        </w:rPr>
        <w:t xml:space="preserve"> in contexts where reconstructing the events is </w:t>
      </w:r>
      <w:r w:rsidR="000665B5" w:rsidRPr="00D920C9">
        <w:rPr>
          <w:rFonts w:asciiTheme="minorHAnsi" w:hAnsiTheme="minorHAnsi"/>
        </w:rPr>
        <w:t>often</w:t>
      </w:r>
      <w:r w:rsidRPr="00D920C9">
        <w:rPr>
          <w:rFonts w:asciiTheme="minorHAnsi" w:hAnsiTheme="minorHAnsi"/>
        </w:rPr>
        <w:t xml:space="preserve"> complex. </w:t>
      </w:r>
      <w:r w:rsidR="008A7C97" w:rsidRPr="00D920C9">
        <w:rPr>
          <w:rFonts w:asciiTheme="minorHAnsi" w:hAnsiTheme="minorHAnsi"/>
        </w:rPr>
        <w:t>T</w:t>
      </w:r>
      <w:r w:rsidRPr="00D920C9">
        <w:rPr>
          <w:rFonts w:asciiTheme="minorHAnsi" w:hAnsiTheme="minorHAnsi"/>
        </w:rPr>
        <w:t xml:space="preserve">he Commission observes that the </w:t>
      </w:r>
      <w:r w:rsidR="008A7C97" w:rsidRPr="00D920C9">
        <w:rPr>
          <w:rFonts w:asciiTheme="minorHAnsi" w:hAnsiTheme="minorHAnsi"/>
        </w:rPr>
        <w:t>value of reconstructions and audiovisual records and testimonies as evidence is</w:t>
      </w:r>
      <w:r w:rsidRPr="00D920C9">
        <w:rPr>
          <w:rFonts w:asciiTheme="minorHAnsi" w:hAnsiTheme="minorHAnsi"/>
        </w:rPr>
        <w:t xml:space="preserve"> severely limited without the possibility of identifying the officers directly involved as State officials with their own personal identity numbers.</w:t>
      </w:r>
      <w:r w:rsidRPr="00D920C9">
        <w:rPr>
          <w:rFonts w:asciiTheme="minorHAnsi" w:hAnsiTheme="minorHAnsi"/>
          <w:vertAlign w:val="superscript"/>
        </w:rPr>
        <w:footnoteReference w:id="545"/>
      </w:r>
      <w:r w:rsidRPr="00D920C9">
        <w:rPr>
          <w:rFonts w:asciiTheme="minorHAnsi" w:hAnsiTheme="minorHAnsi"/>
        </w:rPr>
        <w:t xml:space="preserve"> </w:t>
      </w:r>
      <w:r w:rsidR="008A7C97" w:rsidRPr="00D920C9">
        <w:rPr>
          <w:rFonts w:asciiTheme="minorHAnsi" w:hAnsiTheme="minorHAnsi"/>
        </w:rPr>
        <w:t>F</w:t>
      </w:r>
      <w:r w:rsidRPr="00D920C9">
        <w:rPr>
          <w:rFonts w:asciiTheme="minorHAnsi" w:hAnsiTheme="minorHAnsi"/>
        </w:rPr>
        <w:t>ailure to identify law enforcement officers further opens the possibility</w:t>
      </w:r>
      <w:r w:rsidR="008A7C97" w:rsidRPr="00D920C9">
        <w:rPr>
          <w:rFonts w:asciiTheme="minorHAnsi" w:hAnsiTheme="minorHAnsi"/>
        </w:rPr>
        <w:t xml:space="preserve"> of</w:t>
      </w:r>
      <w:r w:rsidRPr="00D920C9">
        <w:rPr>
          <w:rFonts w:asciiTheme="minorHAnsi" w:hAnsiTheme="minorHAnsi"/>
        </w:rPr>
        <w:t xml:space="preserve"> infiltration for intelligence purposes, which violates different rights. In this regard, the Commission has previously considered concerns about “the use of embedded undercover police officers in groups that are non-violent and take peaceful direct action by exercising their right to freedom of peaceful assembly.”</w:t>
      </w:r>
      <w:r w:rsidRPr="00D920C9">
        <w:rPr>
          <w:rFonts w:asciiTheme="minorHAnsi" w:hAnsiTheme="minorHAnsi"/>
          <w:vertAlign w:val="superscript"/>
        </w:rPr>
        <w:footnoteReference w:id="546"/>
      </w:r>
    </w:p>
    <w:p w14:paraId="6F9CE746" w14:textId="273D50DF" w:rsidR="00004BB6" w:rsidRPr="00D920C9" w:rsidRDefault="00A254C8" w:rsidP="00E86698">
      <w:pPr>
        <w:pStyle w:val="ListParagraph"/>
        <w:numPr>
          <w:ilvl w:val="0"/>
          <w:numId w:val="9"/>
        </w:numPr>
        <w:spacing w:after="240" w:line="240" w:lineRule="auto"/>
        <w:ind w:left="547" w:hanging="547"/>
        <w:contextualSpacing w:val="0"/>
        <w:jc w:val="both"/>
        <w:rPr>
          <w:rFonts w:asciiTheme="minorHAnsi" w:eastAsiaTheme="minorHAnsi" w:hAnsiTheme="minorHAnsi"/>
          <w:sz w:val="28"/>
          <w:szCs w:val="24"/>
        </w:rPr>
      </w:pPr>
      <w:bookmarkStart w:id="211" w:name="_Ref507675985"/>
      <w:r w:rsidRPr="00D920C9">
        <w:rPr>
          <w:rFonts w:asciiTheme="minorHAnsi" w:hAnsiTheme="minorHAnsi"/>
        </w:rPr>
        <w:t>T</w:t>
      </w:r>
      <w:r w:rsidR="00004BB6" w:rsidRPr="00D920C9">
        <w:rPr>
          <w:rFonts w:asciiTheme="minorHAnsi" w:hAnsiTheme="minorHAnsi"/>
        </w:rPr>
        <w:t xml:space="preserve">he IACHR </w:t>
      </w:r>
      <w:r w:rsidRPr="00D920C9">
        <w:rPr>
          <w:rFonts w:asciiTheme="minorHAnsi" w:hAnsiTheme="minorHAnsi"/>
        </w:rPr>
        <w:t xml:space="preserve">additionally reiterates that </w:t>
      </w:r>
      <w:r w:rsidR="00927E3F" w:rsidRPr="00D920C9">
        <w:rPr>
          <w:rFonts w:asciiTheme="minorHAnsi" w:hAnsiTheme="minorHAnsi"/>
        </w:rPr>
        <w:t xml:space="preserve">the State must ensure that journalists and media workers reporting on public demonstrations are not arrested, threatened, assaulted, or limited in any manner in their rights as a result of practicing their profession. This should include assurances that their work materials and tools will not be destroyed or confiscated by the </w:t>
      </w:r>
      <w:r w:rsidR="00927E3F" w:rsidRPr="00D920C9">
        <w:rPr>
          <w:rFonts w:asciiTheme="minorHAnsi" w:hAnsiTheme="minorHAnsi"/>
        </w:rPr>
        <w:lastRenderedPageBreak/>
        <w:t>authorities, and that they will not be subjected to arbitrary or excessive use of force.</w:t>
      </w:r>
      <w:r w:rsidR="00927E3F" w:rsidRPr="00D920C9">
        <w:rPr>
          <w:rFonts w:asciiTheme="minorHAnsi" w:hAnsiTheme="minorHAnsi"/>
          <w:vertAlign w:val="superscript"/>
        </w:rPr>
        <w:footnoteReference w:id="547"/>
      </w:r>
      <w:r w:rsidR="00004BB6" w:rsidRPr="00D920C9">
        <w:rPr>
          <w:rFonts w:asciiTheme="minorHAnsi" w:hAnsiTheme="minorHAnsi"/>
        </w:rPr>
        <w:t xml:space="preserve"> </w:t>
      </w:r>
      <w:r w:rsidR="00927E3F" w:rsidRPr="00D920C9">
        <w:rPr>
          <w:rFonts w:asciiTheme="minorHAnsi" w:hAnsiTheme="minorHAnsi"/>
        </w:rPr>
        <w:t>Additionally,</w:t>
      </w:r>
      <w:r w:rsidR="00004BB6" w:rsidRPr="00D920C9">
        <w:rPr>
          <w:rFonts w:asciiTheme="minorHAnsi" w:hAnsiTheme="minorHAnsi"/>
        </w:rPr>
        <w:t xml:space="preserve"> in situations of social unrest</w:t>
      </w:r>
      <w:r w:rsidR="00BE5451" w:rsidRPr="00D920C9">
        <w:rPr>
          <w:rFonts w:asciiTheme="minorHAnsi" w:hAnsiTheme="minorHAnsi"/>
        </w:rPr>
        <w:t>,</w:t>
      </w:r>
      <w:r w:rsidR="00004BB6" w:rsidRPr="00D920C9">
        <w:rPr>
          <w:rFonts w:asciiTheme="minorHAnsi" w:hAnsiTheme="minorHAnsi"/>
        </w:rPr>
        <w:t xml:space="preserve"> the State</w:t>
      </w:r>
      <w:r w:rsidR="00927E3F" w:rsidRPr="00D920C9">
        <w:rPr>
          <w:rFonts w:asciiTheme="minorHAnsi" w:hAnsiTheme="minorHAnsi"/>
        </w:rPr>
        <w:t xml:space="preserve"> remains obligated</w:t>
      </w:r>
      <w:r w:rsidR="00004BB6" w:rsidRPr="00D920C9">
        <w:rPr>
          <w:rFonts w:asciiTheme="minorHAnsi" w:hAnsiTheme="minorHAnsi"/>
        </w:rPr>
        <w:t xml:space="preserve"> to respect the right of journalists to keep their sources of information, notes, and personal and professional archives confidential. Furthermore, the “photographing or video recording of the</w:t>
      </w:r>
      <w:r w:rsidR="00004BB6" w:rsidRPr="00D920C9">
        <w:rPr>
          <w:rFonts w:asciiTheme="minorHAnsi" w:hAnsiTheme="minorHAnsi"/>
          <w:szCs w:val="20"/>
        </w:rPr>
        <w:t xml:space="preserve"> policing operation by participants and other third parties should not be prevented, and any requirement to surrender film or digitally recorded images or footage to the law enforcement agencies should be subject to prior judicial scrutiny.”</w:t>
      </w:r>
      <w:r w:rsidR="00004BB6" w:rsidRPr="00D920C9">
        <w:rPr>
          <w:rStyle w:val="FootnoteReference"/>
          <w:rFonts w:asciiTheme="minorHAnsi" w:hAnsiTheme="minorHAnsi"/>
          <w:szCs w:val="20"/>
        </w:rPr>
        <w:footnoteReference w:id="548"/>
      </w:r>
      <w:bookmarkEnd w:id="211"/>
      <w:r w:rsidR="00004BB6" w:rsidRPr="00D920C9">
        <w:rPr>
          <w:rFonts w:asciiTheme="minorHAnsi" w:hAnsiTheme="minorHAnsi"/>
          <w:szCs w:val="20"/>
        </w:rPr>
        <w:t xml:space="preserve"> </w:t>
      </w:r>
    </w:p>
    <w:p w14:paraId="71615140" w14:textId="27F8796B" w:rsidR="00B4412C" w:rsidRPr="00D920C9" w:rsidRDefault="00B4412C" w:rsidP="00F84204">
      <w:pPr>
        <w:pStyle w:val="Heading2"/>
        <w:numPr>
          <w:ilvl w:val="0"/>
          <w:numId w:val="14"/>
        </w:numPr>
        <w:ind w:hanging="720"/>
      </w:pPr>
      <w:bookmarkStart w:id="212" w:name="_Ref507149138"/>
      <w:bookmarkStart w:id="213" w:name="_Toc511837840"/>
      <w:bookmarkStart w:id="214" w:name="_Toc511903013"/>
      <w:bookmarkStart w:id="215" w:name="_Toc517687942"/>
      <w:r w:rsidRPr="00D920C9">
        <w:t xml:space="preserve">International Framework regarding </w:t>
      </w:r>
      <w:r w:rsidR="003A6706" w:rsidRPr="00D920C9">
        <w:t xml:space="preserve">Access </w:t>
      </w:r>
      <w:r w:rsidRPr="00D920C9">
        <w:t xml:space="preserve">to </w:t>
      </w:r>
      <w:r w:rsidR="003A6706" w:rsidRPr="00D920C9">
        <w:t>Justice</w:t>
      </w:r>
      <w:r w:rsidRPr="00D920C9">
        <w:t xml:space="preserve">: </w:t>
      </w:r>
      <w:r w:rsidR="003A6706" w:rsidRPr="00D920C9">
        <w:t>Due Diligence, Accountability</w:t>
      </w:r>
      <w:r w:rsidR="006D2C1F" w:rsidRPr="00D920C9">
        <w:t>,</w:t>
      </w:r>
      <w:r w:rsidR="003A6706" w:rsidRPr="00D920C9">
        <w:t xml:space="preserve"> Institutional Independence</w:t>
      </w:r>
      <w:bookmarkEnd w:id="212"/>
      <w:r w:rsidR="003A6706" w:rsidRPr="00D920C9">
        <w:t>, Remedies</w:t>
      </w:r>
      <w:r w:rsidR="00BE5451" w:rsidRPr="00D920C9">
        <w:t xml:space="preserve">, and </w:t>
      </w:r>
      <w:r w:rsidR="003A6706" w:rsidRPr="00D920C9">
        <w:t>Reparations</w:t>
      </w:r>
      <w:bookmarkEnd w:id="213"/>
      <w:bookmarkEnd w:id="214"/>
      <w:bookmarkEnd w:id="215"/>
    </w:p>
    <w:p w14:paraId="3D7708F3" w14:textId="5259B154" w:rsidR="00B4412C" w:rsidRPr="00D920C9" w:rsidRDefault="00F504E6" w:rsidP="00E86698">
      <w:pPr>
        <w:pStyle w:val="ListParagraph"/>
        <w:numPr>
          <w:ilvl w:val="0"/>
          <w:numId w:val="9"/>
        </w:numPr>
        <w:spacing w:after="240" w:line="240" w:lineRule="auto"/>
        <w:ind w:left="547" w:hanging="547"/>
        <w:contextualSpacing w:val="0"/>
        <w:jc w:val="both"/>
        <w:rPr>
          <w:rFonts w:asciiTheme="minorHAnsi" w:hAnsiTheme="minorHAnsi"/>
        </w:rPr>
      </w:pPr>
      <w:r w:rsidRPr="00D920C9">
        <w:rPr>
          <w:rFonts w:asciiTheme="minorHAnsi" w:eastAsia="Times New Roman" w:hAnsiTheme="minorHAnsi" w:cs="Verdana"/>
          <w:szCs w:val="20"/>
          <w:lang w:eastAsia="es-ES"/>
        </w:rPr>
        <w:t xml:space="preserve">The Commission </w:t>
      </w:r>
      <w:r w:rsidR="006A5F79" w:rsidRPr="00D920C9">
        <w:rPr>
          <w:rFonts w:asciiTheme="minorHAnsi" w:eastAsia="Times New Roman" w:hAnsiTheme="minorHAnsi" w:cs="Verdana"/>
          <w:szCs w:val="20"/>
          <w:lang w:eastAsia="es-ES"/>
        </w:rPr>
        <w:t>has previously observed that the</w:t>
      </w:r>
      <w:r w:rsidRPr="00D920C9">
        <w:rPr>
          <w:rFonts w:asciiTheme="minorHAnsi" w:eastAsia="Times New Roman" w:hAnsiTheme="minorHAnsi" w:cs="Verdana"/>
          <w:szCs w:val="20"/>
          <w:lang w:eastAsia="es-ES"/>
        </w:rPr>
        <w:t xml:space="preserve"> structural discrimination </w:t>
      </w:r>
      <w:r w:rsidR="006A5F79" w:rsidRPr="00D920C9">
        <w:rPr>
          <w:rFonts w:asciiTheme="minorHAnsi" w:eastAsia="Times New Roman" w:hAnsiTheme="minorHAnsi" w:cs="Verdana"/>
          <w:szCs w:val="20"/>
          <w:lang w:eastAsia="es-ES"/>
        </w:rPr>
        <w:t xml:space="preserve">that Afro-descendants </w:t>
      </w:r>
      <w:r w:rsidRPr="00D920C9">
        <w:rPr>
          <w:rFonts w:asciiTheme="minorHAnsi" w:eastAsia="Times New Roman" w:hAnsiTheme="minorHAnsi" w:cs="Verdana"/>
          <w:szCs w:val="20"/>
          <w:lang w:eastAsia="es-ES"/>
        </w:rPr>
        <w:t xml:space="preserve">in the Americas </w:t>
      </w:r>
      <w:r w:rsidR="006A5F79" w:rsidRPr="00D920C9">
        <w:rPr>
          <w:rFonts w:asciiTheme="minorHAnsi" w:eastAsia="Times New Roman" w:hAnsiTheme="minorHAnsi" w:cs="Verdana"/>
          <w:szCs w:val="20"/>
          <w:lang w:eastAsia="es-ES"/>
        </w:rPr>
        <w:t xml:space="preserve">face </w:t>
      </w:r>
      <w:r w:rsidRPr="00D920C9">
        <w:rPr>
          <w:rFonts w:asciiTheme="minorHAnsi" w:eastAsia="Times New Roman" w:hAnsiTheme="minorHAnsi" w:cs="Verdana"/>
          <w:szCs w:val="20"/>
          <w:lang w:eastAsia="es-ES"/>
        </w:rPr>
        <w:t xml:space="preserve">must also be analyzed in light of the obstacles that </w:t>
      </w:r>
      <w:r w:rsidR="006A5F79" w:rsidRPr="00D920C9">
        <w:rPr>
          <w:rFonts w:asciiTheme="minorHAnsi" w:eastAsia="Times New Roman" w:hAnsiTheme="minorHAnsi" w:cs="Verdana"/>
          <w:szCs w:val="20"/>
          <w:lang w:eastAsia="es-ES"/>
        </w:rPr>
        <w:t>they</w:t>
      </w:r>
      <w:r w:rsidRPr="00D920C9">
        <w:rPr>
          <w:rFonts w:asciiTheme="minorHAnsi" w:eastAsia="Times New Roman" w:hAnsiTheme="minorHAnsi" w:cs="Verdana"/>
          <w:szCs w:val="20"/>
          <w:lang w:eastAsia="es-ES"/>
        </w:rPr>
        <w:t xml:space="preserve"> encounter when trying to access domestic judicial remedies.</w:t>
      </w:r>
      <w:r w:rsidRPr="00D920C9">
        <w:rPr>
          <w:rStyle w:val="FootnoteReference"/>
          <w:rFonts w:asciiTheme="minorHAnsi" w:eastAsia="Times New Roman" w:hAnsiTheme="minorHAnsi" w:cs="Verdana"/>
          <w:szCs w:val="20"/>
          <w:lang w:eastAsia="es-ES"/>
        </w:rPr>
        <w:footnoteReference w:id="549"/>
      </w:r>
      <w:r w:rsidRPr="00D920C9">
        <w:rPr>
          <w:rFonts w:asciiTheme="minorHAnsi" w:eastAsia="Times New Roman" w:hAnsiTheme="minorHAnsi" w:cs="Verdana"/>
          <w:szCs w:val="20"/>
          <w:lang w:eastAsia="es-ES"/>
        </w:rPr>
        <w:t xml:space="preserve"> </w:t>
      </w:r>
      <w:r w:rsidR="00B4412C" w:rsidRPr="00D920C9">
        <w:rPr>
          <w:rFonts w:asciiTheme="minorHAnsi" w:eastAsia="Times New Roman" w:hAnsiTheme="minorHAnsi" w:cs="Verdana"/>
          <w:szCs w:val="20"/>
          <w:lang w:eastAsia="es-ES"/>
        </w:rPr>
        <w:t xml:space="preserve">While any victim of </w:t>
      </w:r>
      <w:r w:rsidR="006A5F79" w:rsidRPr="00D920C9">
        <w:rPr>
          <w:rFonts w:asciiTheme="minorHAnsi" w:eastAsia="Times New Roman" w:hAnsiTheme="minorHAnsi" w:cs="Verdana"/>
          <w:szCs w:val="20"/>
          <w:lang w:eastAsia="es-ES"/>
        </w:rPr>
        <w:t xml:space="preserve">a </w:t>
      </w:r>
      <w:r w:rsidR="00B4412C" w:rsidRPr="00D920C9">
        <w:rPr>
          <w:rFonts w:asciiTheme="minorHAnsi" w:eastAsia="Times New Roman" w:hAnsiTheme="minorHAnsi" w:cs="Verdana"/>
          <w:szCs w:val="20"/>
          <w:lang w:eastAsia="es-ES"/>
        </w:rPr>
        <w:t xml:space="preserve">crime or act of violence may have difficulty getting </w:t>
      </w:r>
      <w:r w:rsidR="00B4412C" w:rsidRPr="00D920C9">
        <w:rPr>
          <w:rFonts w:asciiTheme="minorHAnsi" w:hAnsiTheme="minorHAnsi"/>
        </w:rPr>
        <w:t>justice, those difficulties are compounded for those sectors of the population that have historic</w:t>
      </w:r>
      <w:r w:rsidR="006A5F79" w:rsidRPr="00D920C9">
        <w:rPr>
          <w:rFonts w:asciiTheme="minorHAnsi" w:hAnsiTheme="minorHAnsi"/>
        </w:rPr>
        <w:t xml:space="preserve">ally been </w:t>
      </w:r>
      <w:r w:rsidR="000665B5" w:rsidRPr="00D920C9">
        <w:rPr>
          <w:rFonts w:asciiTheme="minorHAnsi" w:hAnsiTheme="minorHAnsi"/>
        </w:rPr>
        <w:t xml:space="preserve">discriminated against or excluded, </w:t>
      </w:r>
      <w:r w:rsidR="006A5F79" w:rsidRPr="00D920C9">
        <w:rPr>
          <w:rFonts w:asciiTheme="minorHAnsi" w:hAnsiTheme="minorHAnsi"/>
        </w:rPr>
        <w:t>including </w:t>
      </w:r>
      <w:r w:rsidR="00B4412C" w:rsidRPr="00D920C9">
        <w:rPr>
          <w:rFonts w:asciiTheme="minorHAnsi" w:hAnsiTheme="minorHAnsi"/>
        </w:rPr>
        <w:t>children, adolescents, women, indi</w:t>
      </w:r>
      <w:r w:rsidRPr="00D920C9">
        <w:rPr>
          <w:rFonts w:asciiTheme="minorHAnsi" w:hAnsiTheme="minorHAnsi"/>
        </w:rPr>
        <w:t xml:space="preserve">genous </w:t>
      </w:r>
      <w:r w:rsidR="006A5F79" w:rsidRPr="00D920C9">
        <w:rPr>
          <w:rFonts w:asciiTheme="minorHAnsi" w:hAnsiTheme="minorHAnsi"/>
        </w:rPr>
        <w:t>persons</w:t>
      </w:r>
      <w:r w:rsidRPr="00D920C9">
        <w:rPr>
          <w:rFonts w:asciiTheme="minorHAnsi" w:hAnsiTheme="minorHAnsi"/>
        </w:rPr>
        <w:t>, Afro‐descenda</w:t>
      </w:r>
      <w:r w:rsidR="00B4412C" w:rsidRPr="00D920C9">
        <w:rPr>
          <w:rFonts w:asciiTheme="minorHAnsi" w:hAnsiTheme="minorHAnsi"/>
        </w:rPr>
        <w:t xml:space="preserve">nts, </w:t>
      </w:r>
      <w:r w:rsidR="006A5F79" w:rsidRPr="00D920C9">
        <w:rPr>
          <w:rFonts w:asciiTheme="minorHAnsi" w:hAnsiTheme="minorHAnsi"/>
        </w:rPr>
        <w:t xml:space="preserve">and </w:t>
      </w:r>
      <w:r w:rsidR="00B4412C" w:rsidRPr="00D920C9">
        <w:rPr>
          <w:rFonts w:asciiTheme="minorHAnsi" w:hAnsiTheme="minorHAnsi"/>
        </w:rPr>
        <w:t>migrant workers and their families.</w:t>
      </w:r>
      <w:r w:rsidR="006A5F79" w:rsidRPr="00D920C9">
        <w:rPr>
          <w:rFonts w:asciiTheme="minorHAnsi" w:hAnsiTheme="minorHAnsi"/>
          <w:vertAlign w:val="superscript"/>
        </w:rPr>
        <w:footnoteReference w:id="550"/>
      </w:r>
      <w:r w:rsidR="00B4412C" w:rsidRPr="00D920C9">
        <w:rPr>
          <w:rFonts w:asciiTheme="minorHAnsi" w:hAnsiTheme="minorHAnsi"/>
        </w:rPr>
        <w:t xml:space="preserve"> States must</w:t>
      </w:r>
      <w:r w:rsidR="00401D2A" w:rsidRPr="00D920C9">
        <w:rPr>
          <w:rFonts w:asciiTheme="minorHAnsi" w:hAnsiTheme="minorHAnsi"/>
        </w:rPr>
        <w:t xml:space="preserve"> therefore</w:t>
      </w:r>
      <w:r w:rsidR="00B4412C" w:rsidRPr="00D920C9">
        <w:rPr>
          <w:rFonts w:asciiTheme="minorHAnsi" w:hAnsiTheme="minorHAnsi"/>
        </w:rPr>
        <w:t xml:space="preserve"> take all measures necessary to ensure that all persons within their territory have equal access to justice. This is particularly important in States </w:t>
      </w:r>
      <w:r w:rsidR="00AF7ED3" w:rsidRPr="00D920C9">
        <w:rPr>
          <w:rFonts w:asciiTheme="minorHAnsi" w:hAnsiTheme="minorHAnsi"/>
        </w:rPr>
        <w:t>with</w:t>
      </w:r>
      <w:r w:rsidR="00B4412C" w:rsidRPr="00D920C9">
        <w:rPr>
          <w:rFonts w:asciiTheme="minorHAnsi" w:hAnsiTheme="minorHAnsi"/>
        </w:rPr>
        <w:t xml:space="preserve"> multiethnic </w:t>
      </w:r>
      <w:r w:rsidR="00AF7ED3" w:rsidRPr="00D920C9">
        <w:rPr>
          <w:rFonts w:asciiTheme="minorHAnsi" w:hAnsiTheme="minorHAnsi"/>
        </w:rPr>
        <w:t>populations</w:t>
      </w:r>
      <w:r w:rsidR="00B4412C" w:rsidRPr="00D920C9">
        <w:rPr>
          <w:rFonts w:asciiTheme="minorHAnsi" w:hAnsiTheme="minorHAnsi"/>
        </w:rPr>
        <w:t xml:space="preserve"> </w:t>
      </w:r>
      <w:r w:rsidR="00AF7ED3" w:rsidRPr="00D920C9">
        <w:rPr>
          <w:rFonts w:asciiTheme="minorHAnsi" w:hAnsiTheme="minorHAnsi"/>
        </w:rPr>
        <w:t>that</w:t>
      </w:r>
      <w:r w:rsidR="00B4412C" w:rsidRPr="00D920C9">
        <w:rPr>
          <w:rFonts w:asciiTheme="minorHAnsi" w:hAnsiTheme="minorHAnsi"/>
        </w:rPr>
        <w:t xml:space="preserve"> represent diverse cultures and languages.</w:t>
      </w:r>
      <w:r w:rsidR="00B4412C" w:rsidRPr="00D920C9">
        <w:rPr>
          <w:rFonts w:asciiTheme="minorHAnsi" w:hAnsiTheme="minorHAnsi"/>
          <w:vertAlign w:val="superscript"/>
        </w:rPr>
        <w:footnoteReference w:id="551"/>
      </w:r>
      <w:r w:rsidR="00AF7ED3" w:rsidRPr="00D920C9">
        <w:rPr>
          <w:rFonts w:asciiTheme="minorHAnsi" w:hAnsiTheme="minorHAnsi"/>
        </w:rPr>
        <w:t xml:space="preserve"> The Commission has previously recognized African </w:t>
      </w:r>
      <w:r w:rsidR="00AF7ED3" w:rsidRPr="00D920C9">
        <w:rPr>
          <w:rFonts w:asciiTheme="minorHAnsi" w:hAnsiTheme="minorHAnsi"/>
        </w:rPr>
        <w:lastRenderedPageBreak/>
        <w:t>Americans in the United States as a group whose access to justice in cases of police killings is precarious.</w:t>
      </w:r>
      <w:r w:rsidR="00AF7ED3" w:rsidRPr="00D920C9">
        <w:rPr>
          <w:rFonts w:asciiTheme="minorHAnsi" w:hAnsiTheme="minorHAnsi"/>
          <w:vertAlign w:val="superscript"/>
        </w:rPr>
        <w:footnoteReference w:id="552"/>
      </w:r>
    </w:p>
    <w:p w14:paraId="1A9F2021" w14:textId="77777777" w:rsidR="00401D2A" w:rsidRPr="00D920C9" w:rsidRDefault="00B4412C" w:rsidP="00E86698">
      <w:pPr>
        <w:pStyle w:val="ListParagraph"/>
        <w:numPr>
          <w:ilvl w:val="0"/>
          <w:numId w:val="9"/>
        </w:numPr>
        <w:spacing w:after="240" w:line="240" w:lineRule="auto"/>
        <w:ind w:left="547" w:hanging="547"/>
        <w:contextualSpacing w:val="0"/>
        <w:jc w:val="both"/>
        <w:rPr>
          <w:rFonts w:asciiTheme="minorHAnsi" w:eastAsia="Times New Roman" w:hAnsiTheme="minorHAnsi" w:cs="Verdana"/>
          <w:szCs w:val="20"/>
          <w:lang w:eastAsia="es-ES"/>
        </w:rPr>
      </w:pPr>
      <w:r w:rsidRPr="00D920C9">
        <w:rPr>
          <w:rFonts w:asciiTheme="minorHAnsi" w:hAnsiTheme="minorHAnsi"/>
        </w:rPr>
        <w:t xml:space="preserve"> The right to judic</w:t>
      </w:r>
      <w:r w:rsidRPr="00D920C9">
        <w:rPr>
          <w:rFonts w:asciiTheme="minorHAnsi" w:eastAsia="Times New Roman" w:hAnsiTheme="minorHAnsi" w:cs="Verdana"/>
          <w:szCs w:val="20"/>
          <w:lang w:eastAsia="es-ES"/>
        </w:rPr>
        <w:t xml:space="preserve">ial protection is reflected in Articles XVIII and XXIV of the American Declaration. The first establishes </w:t>
      </w:r>
      <w:r w:rsidR="00401D2A" w:rsidRPr="00D920C9">
        <w:rPr>
          <w:rFonts w:asciiTheme="minorHAnsi" w:eastAsia="Times New Roman" w:hAnsiTheme="minorHAnsi" w:cs="Verdana"/>
          <w:szCs w:val="20"/>
          <w:lang w:eastAsia="es-ES"/>
        </w:rPr>
        <w:t>the right to a fair trial, that is, that</w:t>
      </w:r>
    </w:p>
    <w:p w14:paraId="65A06143" w14:textId="77777777" w:rsidR="00401D2A" w:rsidRDefault="00401D2A" w:rsidP="00773974">
      <w:pPr>
        <w:pStyle w:val="ListParagraph"/>
        <w:spacing w:after="240" w:line="240" w:lineRule="auto"/>
        <w:ind w:left="1166" w:right="619"/>
        <w:contextualSpacing w:val="0"/>
        <w:jc w:val="both"/>
        <w:rPr>
          <w:rFonts w:asciiTheme="minorHAnsi" w:eastAsia="Times New Roman" w:hAnsiTheme="minorHAnsi" w:cs="Verdana"/>
          <w:szCs w:val="18"/>
          <w:lang w:eastAsia="es-ES"/>
        </w:rPr>
      </w:pPr>
      <w:r w:rsidRPr="00D920C9">
        <w:rPr>
          <w:rFonts w:asciiTheme="minorHAnsi" w:eastAsia="Times New Roman" w:hAnsiTheme="minorHAnsi" w:cs="Verdana"/>
          <w:szCs w:val="18"/>
          <w:lang w:eastAsia="es-ES"/>
        </w:rPr>
        <w:t>Every person may resort to the courts to ensure respect for his legal rights.  There should likewise be available to him a simple, brief procedure whereby the courts will protect him from acts of authority that, to his prejudice, violate any fundamental constitutional rights.</w:t>
      </w:r>
    </w:p>
    <w:p w14:paraId="54C027EC" w14:textId="77777777" w:rsidR="00401D2A" w:rsidRPr="00D920C9" w:rsidRDefault="00B4412C" w:rsidP="00E86698">
      <w:pPr>
        <w:pStyle w:val="ListParagraph"/>
        <w:numPr>
          <w:ilvl w:val="0"/>
          <w:numId w:val="9"/>
        </w:numPr>
        <w:spacing w:after="240" w:line="240" w:lineRule="auto"/>
        <w:ind w:left="547" w:hanging="547"/>
        <w:contextualSpacing w:val="0"/>
        <w:jc w:val="both"/>
        <w:rPr>
          <w:rFonts w:asciiTheme="minorHAnsi" w:eastAsia="Times New Roman" w:hAnsiTheme="minorHAnsi" w:cs="Verdana"/>
          <w:szCs w:val="20"/>
          <w:lang w:eastAsia="es-ES"/>
        </w:rPr>
      </w:pPr>
      <w:r w:rsidRPr="00D920C9">
        <w:rPr>
          <w:rFonts w:asciiTheme="minorHAnsi" w:eastAsia="Times New Roman" w:hAnsiTheme="minorHAnsi" w:cs="Verdana"/>
          <w:szCs w:val="20"/>
          <w:lang w:eastAsia="es-ES"/>
        </w:rPr>
        <w:t xml:space="preserve">The second refers to the right of petition, </w:t>
      </w:r>
      <w:r w:rsidR="00401D2A" w:rsidRPr="00D920C9">
        <w:rPr>
          <w:rFonts w:asciiTheme="minorHAnsi" w:eastAsia="Times New Roman" w:hAnsiTheme="minorHAnsi" w:cs="Verdana"/>
          <w:szCs w:val="20"/>
          <w:lang w:eastAsia="es-ES"/>
        </w:rPr>
        <w:t xml:space="preserve">that is, </w:t>
      </w:r>
    </w:p>
    <w:p w14:paraId="6AC867BE" w14:textId="77777777" w:rsidR="00401D2A" w:rsidRPr="00D920C9" w:rsidRDefault="00401D2A" w:rsidP="001167CB">
      <w:pPr>
        <w:spacing w:after="240" w:line="240" w:lineRule="auto"/>
        <w:ind w:left="1166" w:right="619"/>
        <w:jc w:val="both"/>
        <w:rPr>
          <w:rFonts w:asciiTheme="minorHAnsi" w:eastAsia="Times New Roman" w:hAnsiTheme="minorHAnsi" w:cs="Verdana"/>
          <w:szCs w:val="18"/>
          <w:lang w:eastAsia="es-ES"/>
        </w:rPr>
      </w:pPr>
      <w:r w:rsidRPr="00D920C9">
        <w:rPr>
          <w:rFonts w:asciiTheme="minorHAnsi" w:eastAsia="Times New Roman" w:hAnsiTheme="minorHAnsi" w:cs="Verdana"/>
          <w:szCs w:val="18"/>
          <w:lang w:eastAsia="es-ES"/>
        </w:rPr>
        <w:t xml:space="preserve">Every person has the right to submit respectful petitions to any competent authority, for reasons of </w:t>
      </w:r>
      <w:proofErr w:type="gramStart"/>
      <w:r w:rsidRPr="00D920C9">
        <w:rPr>
          <w:rFonts w:asciiTheme="minorHAnsi" w:eastAsia="Times New Roman" w:hAnsiTheme="minorHAnsi" w:cs="Verdana"/>
          <w:szCs w:val="18"/>
          <w:lang w:eastAsia="es-ES"/>
        </w:rPr>
        <w:t>either general or private interest, and</w:t>
      </w:r>
      <w:proofErr w:type="gramEnd"/>
      <w:r w:rsidRPr="00D920C9">
        <w:rPr>
          <w:rFonts w:asciiTheme="minorHAnsi" w:eastAsia="Times New Roman" w:hAnsiTheme="minorHAnsi" w:cs="Verdana"/>
          <w:szCs w:val="18"/>
          <w:lang w:eastAsia="es-ES"/>
        </w:rPr>
        <w:t xml:space="preserve"> the right to obtain a prompt decision thereon.</w:t>
      </w:r>
    </w:p>
    <w:p w14:paraId="2540CA27" w14:textId="77777777" w:rsidR="00B4412C" w:rsidRPr="00D920C9" w:rsidRDefault="00B4412C" w:rsidP="00E86698">
      <w:pPr>
        <w:pStyle w:val="ListParagraph"/>
        <w:numPr>
          <w:ilvl w:val="0"/>
          <w:numId w:val="9"/>
        </w:numPr>
        <w:spacing w:after="240" w:line="240" w:lineRule="auto"/>
        <w:ind w:left="547" w:hanging="547"/>
        <w:contextualSpacing w:val="0"/>
        <w:jc w:val="both"/>
        <w:rPr>
          <w:rFonts w:asciiTheme="minorHAnsi" w:eastAsia="Times New Roman" w:hAnsiTheme="minorHAnsi" w:cs="Verdana"/>
          <w:szCs w:val="20"/>
          <w:lang w:eastAsia="es-ES"/>
        </w:rPr>
      </w:pPr>
      <w:r w:rsidRPr="00D920C9">
        <w:rPr>
          <w:rFonts w:asciiTheme="minorHAnsi" w:eastAsia="Times New Roman" w:hAnsiTheme="minorHAnsi" w:cs="Verdana"/>
          <w:szCs w:val="20"/>
          <w:lang w:eastAsia="es-ES"/>
        </w:rPr>
        <w:t xml:space="preserve">These rights together stand for a wider guarantee of access to justice. </w:t>
      </w:r>
      <w:r w:rsidR="00AF7ED3" w:rsidRPr="00D920C9">
        <w:rPr>
          <w:rFonts w:asciiTheme="minorHAnsi" w:eastAsia="Times New Roman" w:hAnsiTheme="minorHAnsi" w:cs="Verdana"/>
          <w:szCs w:val="20"/>
          <w:lang w:eastAsia="es-ES"/>
        </w:rPr>
        <w:t xml:space="preserve">These include the duty of the State to act with due diligence to prevent, investigate, and punish human rights violations; the </w:t>
      </w:r>
      <w:r w:rsidR="00AF7ED3" w:rsidRPr="00D920C9">
        <w:rPr>
          <w:rFonts w:asciiTheme="minorHAnsi" w:hAnsiTheme="minorHAnsi"/>
        </w:rPr>
        <w:t>obligation</w:t>
      </w:r>
      <w:r w:rsidR="00AF7ED3" w:rsidRPr="00D920C9">
        <w:rPr>
          <w:rFonts w:asciiTheme="minorHAnsi" w:eastAsia="Times New Roman" w:hAnsiTheme="minorHAnsi" w:cs="Verdana"/>
          <w:szCs w:val="20"/>
          <w:lang w:eastAsia="es-ES"/>
        </w:rPr>
        <w:t xml:space="preserve"> to provide adequate and accessible remedies; and to ensure appropriate reparations for victims of violations.</w:t>
      </w:r>
      <w:r w:rsidRPr="00D920C9">
        <w:rPr>
          <w:rFonts w:asciiTheme="minorHAnsi" w:hAnsiTheme="minorHAnsi"/>
          <w:szCs w:val="20"/>
        </w:rPr>
        <w:t xml:space="preserve"> </w:t>
      </w:r>
    </w:p>
    <w:p w14:paraId="419803D3" w14:textId="09F1D3E3" w:rsidR="00F504E6" w:rsidRPr="00D920C9" w:rsidRDefault="00F504E6" w:rsidP="00226E45">
      <w:pPr>
        <w:pStyle w:val="Heading3"/>
        <w:numPr>
          <w:ilvl w:val="0"/>
          <w:numId w:val="41"/>
        </w:numPr>
        <w:ind w:left="540" w:hanging="540"/>
      </w:pPr>
      <w:bookmarkStart w:id="216" w:name="_Toc511837841"/>
      <w:bookmarkStart w:id="217" w:name="_Toc511903014"/>
      <w:bookmarkStart w:id="218" w:name="_Toc517687943"/>
      <w:r w:rsidRPr="00D920C9">
        <w:t xml:space="preserve">Due </w:t>
      </w:r>
      <w:r w:rsidR="003A6706" w:rsidRPr="00D920C9">
        <w:t>Diligence</w:t>
      </w:r>
      <w:bookmarkEnd w:id="216"/>
      <w:bookmarkEnd w:id="217"/>
      <w:bookmarkEnd w:id="218"/>
    </w:p>
    <w:p w14:paraId="7FD77E54" w14:textId="49C80FE3" w:rsidR="00AF7ED3" w:rsidRPr="00D920C9" w:rsidRDefault="00AF7ED3" w:rsidP="00E86698">
      <w:pPr>
        <w:pStyle w:val="ListParagraph"/>
        <w:numPr>
          <w:ilvl w:val="0"/>
          <w:numId w:val="9"/>
        </w:numPr>
        <w:spacing w:after="240" w:line="240" w:lineRule="auto"/>
        <w:ind w:left="547" w:hanging="547"/>
        <w:contextualSpacing w:val="0"/>
        <w:jc w:val="both"/>
        <w:rPr>
          <w:rFonts w:asciiTheme="minorHAnsi" w:hAnsiTheme="minorHAnsi"/>
        </w:rPr>
      </w:pPr>
      <w:bookmarkStart w:id="219" w:name="_Ref507518542"/>
      <w:r w:rsidRPr="00D920C9">
        <w:rPr>
          <w:rFonts w:asciiTheme="minorHAnsi" w:hAnsiTheme="minorHAnsi"/>
          <w:szCs w:val="20"/>
          <w:lang w:eastAsia="es-ES"/>
        </w:rPr>
        <w:t>States are obligated to organize their governments—federal, state, and local—and, in general, all the structures through which public power is exercised, including the State’s legislative framework, public policies, law enforcement machinery, and judicial system, to ensure the full enjoyment of human rights of all persons subject to their jurisdiction.</w:t>
      </w:r>
      <w:r w:rsidRPr="00D920C9">
        <w:rPr>
          <w:rStyle w:val="FootnoteReference"/>
          <w:rFonts w:asciiTheme="minorHAnsi" w:hAnsiTheme="minorHAnsi"/>
          <w:szCs w:val="20"/>
          <w:lang w:eastAsia="es-ES"/>
        </w:rPr>
        <w:footnoteReference w:id="553"/>
      </w:r>
      <w:r w:rsidR="007002EB" w:rsidRPr="00D920C9">
        <w:rPr>
          <w:rFonts w:asciiTheme="minorHAnsi" w:hAnsiTheme="minorHAnsi"/>
          <w:szCs w:val="20"/>
          <w:lang w:eastAsia="es-ES"/>
        </w:rPr>
        <w:t xml:space="preserve"> Under international human rights law, the State has the non-</w:t>
      </w:r>
      <w:proofErr w:type="spellStart"/>
      <w:r w:rsidR="007002EB" w:rsidRPr="00D920C9">
        <w:rPr>
          <w:rFonts w:asciiTheme="minorHAnsi" w:hAnsiTheme="minorHAnsi"/>
          <w:szCs w:val="20"/>
          <w:lang w:eastAsia="es-ES"/>
        </w:rPr>
        <w:t>derogable</w:t>
      </w:r>
      <w:proofErr w:type="spellEnd"/>
      <w:r w:rsidR="007002EB" w:rsidRPr="00D920C9">
        <w:rPr>
          <w:rFonts w:asciiTheme="minorHAnsi" w:hAnsiTheme="minorHAnsi"/>
          <w:szCs w:val="20"/>
          <w:lang w:eastAsia="es-ES"/>
        </w:rPr>
        <w:t xml:space="preserve"> obligation to respect the right to life and prevent torture.</w:t>
      </w:r>
      <w:r w:rsidR="007002EB" w:rsidRPr="00D920C9">
        <w:rPr>
          <w:rStyle w:val="FootnoteReference"/>
          <w:rFonts w:asciiTheme="minorHAnsi" w:hAnsiTheme="minorHAnsi"/>
          <w:szCs w:val="20"/>
          <w:lang w:eastAsia="es-ES"/>
        </w:rPr>
        <w:footnoteReference w:id="554"/>
      </w:r>
      <w:r w:rsidR="007002EB" w:rsidRPr="00D920C9">
        <w:rPr>
          <w:rFonts w:asciiTheme="minorHAnsi" w:hAnsiTheme="minorHAnsi"/>
          <w:szCs w:val="20"/>
          <w:lang w:eastAsia="es-ES"/>
        </w:rPr>
        <w:t xml:space="preserve"> This obligation </w:t>
      </w:r>
      <w:r w:rsidR="007002EB" w:rsidRPr="00D920C9">
        <w:rPr>
          <w:rFonts w:asciiTheme="minorHAnsi" w:hAnsiTheme="minorHAnsi"/>
        </w:rPr>
        <w:t>gives rise, in turn</w:t>
      </w:r>
      <w:r w:rsidR="002571D0" w:rsidRPr="00D920C9">
        <w:rPr>
          <w:rFonts w:asciiTheme="minorHAnsi" w:hAnsiTheme="minorHAnsi"/>
        </w:rPr>
        <w:t>,</w:t>
      </w:r>
      <w:r w:rsidR="007002EB" w:rsidRPr="00D920C9">
        <w:rPr>
          <w:rFonts w:asciiTheme="minorHAnsi" w:hAnsiTheme="minorHAnsi"/>
        </w:rPr>
        <w:t xml:space="preserve"> to the obligation to act with due diligence to protect human rights. This requirement encompasses four basic obligations: prevention, </w:t>
      </w:r>
      <w:r w:rsidR="007002EB" w:rsidRPr="00D920C9">
        <w:rPr>
          <w:rFonts w:asciiTheme="minorHAnsi" w:hAnsiTheme="minorHAnsi"/>
        </w:rPr>
        <w:lastRenderedPageBreak/>
        <w:t xml:space="preserve">investigation, punishment, and reparation </w:t>
      </w:r>
      <w:r w:rsidR="00943FA9" w:rsidRPr="00D920C9">
        <w:rPr>
          <w:rFonts w:asciiTheme="minorHAnsi" w:hAnsiTheme="minorHAnsi"/>
        </w:rPr>
        <w:t xml:space="preserve">and non-repetition </w:t>
      </w:r>
      <w:r w:rsidR="007002EB" w:rsidRPr="00D920C9">
        <w:rPr>
          <w:rFonts w:asciiTheme="minorHAnsi" w:hAnsiTheme="minorHAnsi"/>
        </w:rPr>
        <w:t>of human rights violations.</w:t>
      </w:r>
      <w:r w:rsidR="007002EB" w:rsidRPr="00D920C9">
        <w:rPr>
          <w:rFonts w:asciiTheme="minorHAnsi" w:hAnsiTheme="minorHAnsi"/>
          <w:vertAlign w:val="superscript"/>
        </w:rPr>
        <w:footnoteReference w:id="555"/>
      </w:r>
      <w:r w:rsidR="007002EB" w:rsidRPr="00D920C9">
        <w:rPr>
          <w:rFonts w:asciiTheme="minorHAnsi" w:hAnsiTheme="minorHAnsi"/>
        </w:rPr>
        <w:t xml:space="preserve"> The failure of the State to carry out this duty, even where the perpetrators are third parties, may amount to State action that </w:t>
      </w:r>
      <w:r w:rsidR="002571D0" w:rsidRPr="00D920C9">
        <w:rPr>
          <w:rFonts w:asciiTheme="minorHAnsi" w:hAnsiTheme="minorHAnsi"/>
        </w:rPr>
        <w:t>gives rise to</w:t>
      </w:r>
      <w:r w:rsidR="007002EB" w:rsidRPr="00D920C9">
        <w:rPr>
          <w:rFonts w:asciiTheme="minorHAnsi" w:hAnsiTheme="minorHAnsi"/>
        </w:rPr>
        <w:t xml:space="preserve"> international responsibility.</w:t>
      </w:r>
      <w:r w:rsidR="007002EB" w:rsidRPr="00D920C9">
        <w:rPr>
          <w:rFonts w:asciiTheme="minorHAnsi" w:hAnsiTheme="minorHAnsi"/>
          <w:vertAlign w:val="superscript"/>
        </w:rPr>
        <w:footnoteReference w:id="556"/>
      </w:r>
      <w:r w:rsidR="007002EB" w:rsidRPr="00D920C9">
        <w:rPr>
          <w:rFonts w:asciiTheme="minorHAnsi" w:hAnsiTheme="minorHAnsi"/>
        </w:rPr>
        <w:t xml:space="preserve"> The Commission has </w:t>
      </w:r>
      <w:r w:rsidR="002571D0" w:rsidRPr="00D920C9">
        <w:rPr>
          <w:rFonts w:asciiTheme="minorHAnsi" w:hAnsiTheme="minorHAnsi"/>
        </w:rPr>
        <w:t xml:space="preserve">consistently </w:t>
      </w:r>
      <w:r w:rsidR="007002EB" w:rsidRPr="00D920C9">
        <w:rPr>
          <w:rFonts w:asciiTheme="minorHAnsi" w:hAnsiTheme="minorHAnsi"/>
        </w:rPr>
        <w:t>invoked the due diligence principle as a benchmark to rule on cases and situations of racism and other forms of intolerance.</w:t>
      </w:r>
      <w:r w:rsidR="00904CD6" w:rsidRPr="00D920C9">
        <w:rPr>
          <w:rFonts w:asciiTheme="minorHAnsi" w:hAnsiTheme="minorHAnsi"/>
          <w:vertAlign w:val="superscript"/>
        </w:rPr>
        <w:footnoteReference w:id="557"/>
      </w:r>
      <w:bookmarkEnd w:id="219"/>
    </w:p>
    <w:p w14:paraId="09166411" w14:textId="1B164731" w:rsidR="00904CD6" w:rsidRPr="00D920C9" w:rsidRDefault="00904CD6" w:rsidP="00E86698">
      <w:pPr>
        <w:pStyle w:val="ListParagraph"/>
        <w:numPr>
          <w:ilvl w:val="0"/>
          <w:numId w:val="9"/>
        </w:numPr>
        <w:spacing w:after="240" w:line="240" w:lineRule="auto"/>
        <w:ind w:left="547" w:hanging="547"/>
        <w:contextualSpacing w:val="0"/>
        <w:jc w:val="both"/>
        <w:rPr>
          <w:rFonts w:asciiTheme="minorHAnsi" w:hAnsiTheme="minorHAnsi"/>
        </w:rPr>
      </w:pPr>
      <w:r w:rsidRPr="00D920C9">
        <w:rPr>
          <w:rFonts w:asciiTheme="minorHAnsi" w:hAnsiTheme="minorHAnsi"/>
        </w:rPr>
        <w:t xml:space="preserve">The Commission has addressed the scope of the United States’ obligation to guarantee the rights of at-risk persons or groups on </w:t>
      </w:r>
      <w:r w:rsidR="002571D0" w:rsidRPr="00D920C9">
        <w:rPr>
          <w:rFonts w:asciiTheme="minorHAnsi" w:hAnsiTheme="minorHAnsi"/>
        </w:rPr>
        <w:t>various</w:t>
      </w:r>
      <w:r w:rsidRPr="00D920C9">
        <w:rPr>
          <w:rFonts w:asciiTheme="minorHAnsi" w:hAnsiTheme="minorHAnsi"/>
        </w:rPr>
        <w:t xml:space="preserve"> occasions, examining the differential impact that widespread practices of discrimination and violence by State agents or non-State actors have had on certain social groups,</w:t>
      </w:r>
      <w:r w:rsidRPr="00D920C9">
        <w:rPr>
          <w:rFonts w:asciiTheme="minorHAnsi" w:hAnsiTheme="minorHAnsi"/>
          <w:vertAlign w:val="superscript"/>
        </w:rPr>
        <w:footnoteReference w:id="558"/>
      </w:r>
      <w:r w:rsidRPr="00D920C9">
        <w:rPr>
          <w:rFonts w:asciiTheme="minorHAnsi" w:hAnsiTheme="minorHAnsi"/>
        </w:rPr>
        <w:t xml:space="preserve"> including African Americans.</w:t>
      </w:r>
      <w:r w:rsidRPr="00D920C9">
        <w:rPr>
          <w:rFonts w:asciiTheme="minorHAnsi" w:hAnsiTheme="minorHAnsi"/>
          <w:vertAlign w:val="superscript"/>
        </w:rPr>
        <w:footnoteReference w:id="559"/>
      </w:r>
      <w:r w:rsidRPr="00D920C9">
        <w:rPr>
          <w:rFonts w:asciiTheme="minorHAnsi" w:hAnsiTheme="minorHAnsi"/>
        </w:rPr>
        <w:t xml:space="preserve"> </w:t>
      </w:r>
    </w:p>
    <w:p w14:paraId="3B0983EB" w14:textId="4B82B9C2" w:rsidR="006A0627" w:rsidRPr="00D920C9" w:rsidRDefault="006A0627" w:rsidP="00E86698">
      <w:pPr>
        <w:pStyle w:val="ListParagraph"/>
        <w:numPr>
          <w:ilvl w:val="0"/>
          <w:numId w:val="9"/>
        </w:numPr>
        <w:spacing w:after="240" w:line="240" w:lineRule="auto"/>
        <w:ind w:left="547" w:hanging="547"/>
        <w:contextualSpacing w:val="0"/>
        <w:jc w:val="both"/>
        <w:rPr>
          <w:rFonts w:asciiTheme="minorHAnsi" w:hAnsiTheme="minorHAnsi"/>
          <w:szCs w:val="20"/>
          <w:lang w:eastAsia="es-ES"/>
        </w:rPr>
      </w:pPr>
      <w:bookmarkStart w:id="221" w:name="_Ref507677451"/>
      <w:r w:rsidRPr="00D920C9">
        <w:rPr>
          <w:rFonts w:asciiTheme="minorHAnsi" w:hAnsiTheme="minorHAnsi"/>
        </w:rPr>
        <w:t xml:space="preserve">There is a strong link between discrimination, violence, and due diligence. For example, the Commission has found on </w:t>
      </w:r>
      <w:r w:rsidR="002571D0" w:rsidRPr="00D920C9">
        <w:rPr>
          <w:rFonts w:asciiTheme="minorHAnsi" w:hAnsiTheme="minorHAnsi"/>
        </w:rPr>
        <w:t>various</w:t>
      </w:r>
      <w:r w:rsidRPr="00D920C9">
        <w:rPr>
          <w:rFonts w:asciiTheme="minorHAnsi" w:hAnsiTheme="minorHAnsi"/>
        </w:rPr>
        <w:t xml:space="preserve"> occasions that a State’s failure to act with due diligence to protect women from violence constitutes a form of discrimination, and denies women their right to equality before the law.</w:t>
      </w:r>
      <w:r w:rsidRPr="00D920C9">
        <w:rPr>
          <w:rFonts w:asciiTheme="minorHAnsi" w:hAnsiTheme="minorHAnsi"/>
          <w:vertAlign w:val="superscript"/>
        </w:rPr>
        <w:footnoteReference w:id="560"/>
      </w:r>
      <w:r w:rsidRPr="00D920C9">
        <w:rPr>
          <w:rFonts w:asciiTheme="minorHAnsi" w:hAnsiTheme="minorHAnsi"/>
          <w:szCs w:val="20"/>
          <w:lang w:eastAsia="es-ES"/>
        </w:rPr>
        <w:t xml:space="preserve"> </w:t>
      </w:r>
      <w:r w:rsidR="002571D0" w:rsidRPr="00D920C9">
        <w:rPr>
          <w:rFonts w:asciiTheme="minorHAnsi" w:hAnsiTheme="minorHAnsi"/>
          <w:szCs w:val="20"/>
          <w:lang w:eastAsia="es-ES"/>
        </w:rPr>
        <w:t xml:space="preserve"> T</w:t>
      </w:r>
      <w:r w:rsidRPr="00D920C9">
        <w:rPr>
          <w:rFonts w:asciiTheme="minorHAnsi" w:hAnsiTheme="minorHAnsi"/>
          <w:szCs w:val="20"/>
          <w:lang w:eastAsia="es-ES"/>
        </w:rPr>
        <w:t xml:space="preserve">he State is obligated not only to abstain from violating rights and act with due diligence to prevent particular acts of </w:t>
      </w:r>
      <w:r w:rsidRPr="00D920C9">
        <w:rPr>
          <w:rFonts w:asciiTheme="minorHAnsi" w:hAnsiTheme="minorHAnsi"/>
          <w:szCs w:val="20"/>
          <w:lang w:eastAsia="es-ES"/>
        </w:rPr>
        <w:lastRenderedPageBreak/>
        <w:t xml:space="preserve">violence, but also to remedy </w:t>
      </w:r>
      <w:r w:rsidR="002571D0" w:rsidRPr="00D920C9">
        <w:rPr>
          <w:rFonts w:asciiTheme="minorHAnsi" w:hAnsiTheme="minorHAnsi"/>
          <w:szCs w:val="20"/>
          <w:lang w:eastAsia="es-ES"/>
        </w:rPr>
        <w:t>an</w:t>
      </w:r>
      <w:r w:rsidRPr="00D920C9">
        <w:rPr>
          <w:rFonts w:asciiTheme="minorHAnsi" w:hAnsiTheme="minorHAnsi"/>
          <w:szCs w:val="20"/>
          <w:lang w:eastAsia="es-ES"/>
        </w:rPr>
        <w:t xml:space="preserve"> underlying</w:t>
      </w:r>
      <w:r w:rsidR="002571D0" w:rsidRPr="00D920C9">
        <w:rPr>
          <w:rFonts w:asciiTheme="minorHAnsi" w:hAnsiTheme="minorHAnsi"/>
          <w:szCs w:val="20"/>
          <w:lang w:eastAsia="es-ES"/>
        </w:rPr>
        <w:t xml:space="preserve"> situation of</w:t>
      </w:r>
      <w:r w:rsidRPr="00D920C9">
        <w:rPr>
          <w:rFonts w:asciiTheme="minorHAnsi" w:hAnsiTheme="minorHAnsi"/>
          <w:szCs w:val="20"/>
          <w:lang w:eastAsia="es-ES"/>
        </w:rPr>
        <w:t xml:space="preserve"> discrimination and injustice.</w:t>
      </w:r>
      <w:r w:rsidRPr="00D920C9">
        <w:rPr>
          <w:rStyle w:val="FootnoteReference"/>
          <w:rFonts w:asciiTheme="minorHAnsi" w:hAnsiTheme="minorHAnsi"/>
          <w:szCs w:val="20"/>
          <w:lang w:eastAsia="es-ES"/>
        </w:rPr>
        <w:footnoteReference w:id="561"/>
      </w:r>
      <w:bookmarkEnd w:id="221"/>
    </w:p>
    <w:p w14:paraId="77169A7F" w14:textId="74DF0DED" w:rsidR="006A0627" w:rsidRPr="00D920C9" w:rsidRDefault="006A0627" w:rsidP="00E86698">
      <w:pPr>
        <w:pStyle w:val="ListParagraph"/>
        <w:numPr>
          <w:ilvl w:val="0"/>
          <w:numId w:val="9"/>
        </w:numPr>
        <w:spacing w:after="240" w:line="240" w:lineRule="auto"/>
        <w:ind w:left="547" w:hanging="547"/>
        <w:contextualSpacing w:val="0"/>
        <w:jc w:val="both"/>
        <w:rPr>
          <w:rFonts w:asciiTheme="minorHAnsi" w:hAnsiTheme="minorHAnsi"/>
        </w:rPr>
      </w:pPr>
      <w:bookmarkStart w:id="222" w:name="_Ref507497216"/>
      <w:r w:rsidRPr="00D920C9">
        <w:rPr>
          <w:rFonts w:asciiTheme="minorHAnsi" w:hAnsiTheme="minorHAnsi"/>
          <w:szCs w:val="20"/>
          <w:lang w:eastAsia="es-ES"/>
        </w:rPr>
        <w:t xml:space="preserve">The Commission has interpreted the duty to act with due diligence toward situations of structural violence, such as gender-based violence against women, broadly, encompassing not only </w:t>
      </w:r>
      <w:r w:rsidR="00541774" w:rsidRPr="00D920C9">
        <w:rPr>
          <w:rFonts w:asciiTheme="minorHAnsi" w:hAnsiTheme="minorHAnsi"/>
          <w:szCs w:val="20"/>
          <w:lang w:eastAsia="es-ES"/>
        </w:rPr>
        <w:t>the prompt investigation, prosecution, and punishment of these acts, but also the obligation “to prevent these degrading practices.”</w:t>
      </w:r>
      <w:r w:rsidR="00541774" w:rsidRPr="00D920C9">
        <w:rPr>
          <w:rStyle w:val="FootnoteReference"/>
          <w:rFonts w:asciiTheme="minorHAnsi" w:hAnsiTheme="minorHAnsi"/>
          <w:szCs w:val="20"/>
          <w:lang w:eastAsia="es-ES"/>
        </w:rPr>
        <w:footnoteReference w:id="562"/>
      </w:r>
      <w:r w:rsidR="00541774" w:rsidRPr="00D920C9">
        <w:rPr>
          <w:rFonts w:asciiTheme="minorHAnsi" w:hAnsiTheme="minorHAnsi"/>
          <w:szCs w:val="20"/>
          <w:lang w:eastAsia="es-ES"/>
        </w:rPr>
        <w:t xml:space="preserve"> For example, in </w:t>
      </w:r>
      <w:r w:rsidR="00541774" w:rsidRPr="00D920C9">
        <w:rPr>
          <w:rFonts w:asciiTheme="minorHAnsi" w:hAnsiTheme="minorHAnsi"/>
          <w:i/>
          <w:szCs w:val="20"/>
          <w:lang w:eastAsia="es-ES"/>
        </w:rPr>
        <w:t xml:space="preserve">Jessica </w:t>
      </w:r>
      <w:proofErr w:type="spellStart"/>
      <w:r w:rsidR="00541774" w:rsidRPr="00D920C9">
        <w:rPr>
          <w:rFonts w:asciiTheme="minorHAnsi" w:hAnsiTheme="minorHAnsi"/>
          <w:i/>
          <w:szCs w:val="20"/>
          <w:lang w:eastAsia="es-ES"/>
        </w:rPr>
        <w:t>Lenahan</w:t>
      </w:r>
      <w:proofErr w:type="spellEnd"/>
      <w:r w:rsidR="00541774" w:rsidRPr="00D920C9">
        <w:rPr>
          <w:rFonts w:asciiTheme="minorHAnsi" w:hAnsiTheme="minorHAnsi"/>
          <w:i/>
          <w:szCs w:val="20"/>
          <w:lang w:eastAsia="es-ES"/>
        </w:rPr>
        <w:t xml:space="preserve"> v. United States</w:t>
      </w:r>
      <w:r w:rsidR="00541774" w:rsidRPr="00D920C9">
        <w:rPr>
          <w:rFonts w:asciiTheme="minorHAnsi" w:hAnsiTheme="minorHAnsi"/>
          <w:szCs w:val="20"/>
          <w:lang w:eastAsia="es-ES"/>
        </w:rPr>
        <w:t>, the Commission highlighted that “the State</w:t>
      </w:r>
      <w:r w:rsidR="008A7C97" w:rsidRPr="00D920C9">
        <w:rPr>
          <w:rFonts w:asciiTheme="minorHAnsi" w:hAnsiTheme="minorHAnsi"/>
          <w:szCs w:val="20"/>
          <w:lang w:eastAsia="es-ES"/>
        </w:rPr>
        <w:t>’</w:t>
      </w:r>
      <w:r w:rsidR="00541774" w:rsidRPr="00D920C9">
        <w:rPr>
          <w:rFonts w:asciiTheme="minorHAnsi" w:hAnsiTheme="minorHAnsi"/>
          <w:szCs w:val="20"/>
          <w:lang w:eastAsia="es-ES"/>
        </w:rPr>
        <w:t xml:space="preserve">s duty to address violence against women also involves measures to prevent and </w:t>
      </w:r>
      <w:r w:rsidR="00541774" w:rsidRPr="00D920C9">
        <w:rPr>
          <w:rFonts w:asciiTheme="minorHAnsi" w:hAnsiTheme="minorHAnsi"/>
        </w:rPr>
        <w:t>respond to the discrimination that perpetuates this problem.”</w:t>
      </w:r>
      <w:r w:rsidR="00541774" w:rsidRPr="00D920C9">
        <w:rPr>
          <w:rFonts w:asciiTheme="minorHAnsi" w:hAnsiTheme="minorHAnsi"/>
          <w:vertAlign w:val="superscript"/>
        </w:rPr>
        <w:footnoteReference w:id="563"/>
      </w:r>
      <w:r w:rsidR="00541774" w:rsidRPr="00D920C9">
        <w:rPr>
          <w:rFonts w:asciiTheme="minorHAnsi" w:hAnsiTheme="minorHAnsi"/>
        </w:rPr>
        <w:t xml:space="preserve"> Thus, “States must adopt the required measures to modify the social and cultural patterns of conduct of men and women and to eliminate prejudices, customary practices and other practices based on the idea of the inferiority or superiority of either of the sexes, and on stereotyped roles for men and women.”</w:t>
      </w:r>
      <w:r w:rsidR="00541774" w:rsidRPr="00D920C9">
        <w:rPr>
          <w:rFonts w:asciiTheme="minorHAnsi" w:hAnsiTheme="minorHAnsi"/>
          <w:vertAlign w:val="superscript"/>
        </w:rPr>
        <w:footnoteReference w:id="564"/>
      </w:r>
      <w:r w:rsidR="00541774" w:rsidRPr="00D920C9">
        <w:rPr>
          <w:rFonts w:asciiTheme="minorHAnsi" w:hAnsiTheme="minorHAnsi"/>
        </w:rPr>
        <w:t xml:space="preserve"> Furthermore, the Commission</w:t>
      </w:r>
      <w:r w:rsidR="00680620" w:rsidRPr="00D920C9">
        <w:rPr>
          <w:rFonts w:asciiTheme="minorHAnsi" w:hAnsiTheme="minorHAnsi"/>
        </w:rPr>
        <w:t xml:space="preserve"> has previously considered that “the existence of a general pattern of State tolerance and judicial inefficiency towards cases of domestic violence [promotes] their repetition, and reaffirm[s] the inextricable link between the problem of violence against women and discrimination in the domestic setting.”</w:t>
      </w:r>
      <w:r w:rsidR="00680620" w:rsidRPr="00D920C9">
        <w:rPr>
          <w:rFonts w:asciiTheme="minorHAnsi" w:hAnsiTheme="minorHAnsi"/>
          <w:vertAlign w:val="superscript"/>
        </w:rPr>
        <w:footnoteReference w:id="565"/>
      </w:r>
      <w:bookmarkEnd w:id="222"/>
    </w:p>
    <w:p w14:paraId="3931E8F5" w14:textId="4E8BD73B" w:rsidR="00680620" w:rsidRPr="00D920C9" w:rsidRDefault="00680620" w:rsidP="00E86698">
      <w:pPr>
        <w:pStyle w:val="ListParagraph"/>
        <w:numPr>
          <w:ilvl w:val="0"/>
          <w:numId w:val="9"/>
        </w:numPr>
        <w:spacing w:after="240" w:line="240" w:lineRule="auto"/>
        <w:ind w:left="547" w:hanging="547"/>
        <w:contextualSpacing w:val="0"/>
        <w:jc w:val="both"/>
        <w:rPr>
          <w:rFonts w:asciiTheme="minorHAnsi" w:hAnsiTheme="minorHAnsi"/>
        </w:rPr>
      </w:pPr>
      <w:bookmarkStart w:id="223" w:name="_Ref508009411"/>
      <w:r w:rsidRPr="00D920C9">
        <w:rPr>
          <w:rFonts w:asciiTheme="minorHAnsi" w:hAnsiTheme="minorHAnsi"/>
        </w:rPr>
        <w:t>In the case of violence and discrimination against African Americans, the Commission has previously considered the need for the federal and state governments to take steps “with due diligence and without delay to address the context which fuels forms of structural discrimination and disparate treatment against African Americans and racial minorities in the United States,” considering that this context is a key contributing factor to police violence against African Americans, and that remedying this underlying discrimination is “vital for the full exercise of citizenship by African Americans and to foster a more inclusive democracy in the United States.”</w:t>
      </w:r>
      <w:r w:rsidRPr="00D920C9">
        <w:rPr>
          <w:rFonts w:asciiTheme="minorHAnsi" w:hAnsiTheme="minorHAnsi"/>
          <w:vertAlign w:val="superscript"/>
        </w:rPr>
        <w:footnoteReference w:id="566"/>
      </w:r>
      <w:r w:rsidRPr="00D920C9">
        <w:rPr>
          <w:rFonts w:asciiTheme="minorHAnsi" w:hAnsiTheme="minorHAnsi"/>
        </w:rPr>
        <w:t xml:space="preserve"> Indeed, historic, structural discrimination against African Americans is the “backbone” of many of the problems discussed in this report.</w:t>
      </w:r>
      <w:r w:rsidRPr="00D920C9">
        <w:rPr>
          <w:rFonts w:asciiTheme="minorHAnsi" w:hAnsiTheme="minorHAnsi"/>
          <w:vertAlign w:val="superscript"/>
        </w:rPr>
        <w:footnoteReference w:id="567"/>
      </w:r>
      <w:bookmarkEnd w:id="223"/>
    </w:p>
    <w:p w14:paraId="4AC2CB5B" w14:textId="14976FA3" w:rsidR="00680620" w:rsidRPr="00D920C9" w:rsidRDefault="00680620" w:rsidP="00E86698">
      <w:pPr>
        <w:pStyle w:val="ListParagraph"/>
        <w:numPr>
          <w:ilvl w:val="0"/>
          <w:numId w:val="9"/>
        </w:numPr>
        <w:spacing w:after="240" w:line="240" w:lineRule="auto"/>
        <w:ind w:left="547" w:hanging="547"/>
        <w:contextualSpacing w:val="0"/>
        <w:jc w:val="both"/>
        <w:rPr>
          <w:rFonts w:asciiTheme="minorHAnsi" w:hAnsiTheme="minorHAnsi"/>
        </w:rPr>
      </w:pPr>
      <w:bookmarkStart w:id="224" w:name="_Ref507497229"/>
      <w:r w:rsidRPr="00D920C9">
        <w:rPr>
          <w:rFonts w:asciiTheme="minorHAnsi" w:hAnsiTheme="minorHAnsi"/>
        </w:rPr>
        <w:t xml:space="preserve">In light of the foregoing, the Commission considers that </w:t>
      </w:r>
      <w:r w:rsidR="00B751A9" w:rsidRPr="00D920C9">
        <w:rPr>
          <w:rFonts w:asciiTheme="minorHAnsi" w:hAnsiTheme="minorHAnsi"/>
        </w:rPr>
        <w:t xml:space="preserve">a </w:t>
      </w:r>
      <w:r w:rsidRPr="00D920C9">
        <w:rPr>
          <w:rFonts w:asciiTheme="minorHAnsi" w:hAnsiTheme="minorHAnsi"/>
        </w:rPr>
        <w:t>State</w:t>
      </w:r>
      <w:r w:rsidR="00B751A9" w:rsidRPr="00D920C9">
        <w:rPr>
          <w:rFonts w:asciiTheme="minorHAnsi" w:hAnsiTheme="minorHAnsi"/>
        </w:rPr>
        <w:t>’s failure</w:t>
      </w:r>
      <w:r w:rsidRPr="00D920C9">
        <w:rPr>
          <w:rFonts w:asciiTheme="minorHAnsi" w:hAnsiTheme="minorHAnsi"/>
        </w:rPr>
        <w:t xml:space="preserve"> to act with due diligence to prevent violence against African Americans constitutes a form of discrimination and a denial of equality before the law. </w:t>
      </w:r>
      <w:r w:rsidRPr="00D920C9">
        <w:rPr>
          <w:rFonts w:asciiTheme="minorHAnsi" w:hAnsiTheme="minorHAnsi"/>
        </w:rPr>
        <w:lastRenderedPageBreak/>
        <w:t xml:space="preserve">The State has a positive duty to prevent and respond to the underlying discrimination that perpetuates </w:t>
      </w:r>
      <w:r w:rsidR="00B751A9" w:rsidRPr="00D920C9">
        <w:rPr>
          <w:rFonts w:asciiTheme="minorHAnsi" w:hAnsiTheme="minorHAnsi"/>
        </w:rPr>
        <w:t xml:space="preserve">the commission of </w:t>
      </w:r>
      <w:r w:rsidRPr="00D920C9">
        <w:rPr>
          <w:rFonts w:asciiTheme="minorHAnsi" w:hAnsiTheme="minorHAnsi"/>
        </w:rPr>
        <w:t>police violence against African Americans.</w:t>
      </w:r>
      <w:r w:rsidRPr="00D920C9">
        <w:rPr>
          <w:rFonts w:asciiTheme="minorHAnsi" w:hAnsiTheme="minorHAnsi"/>
          <w:vertAlign w:val="superscript"/>
        </w:rPr>
        <w:footnoteReference w:id="568"/>
      </w:r>
      <w:r w:rsidRPr="00D920C9">
        <w:rPr>
          <w:rFonts w:asciiTheme="minorHAnsi" w:hAnsiTheme="minorHAnsi"/>
        </w:rPr>
        <w:t xml:space="preserve"> </w:t>
      </w:r>
      <w:r w:rsidR="007F7673" w:rsidRPr="00D920C9">
        <w:rPr>
          <w:rFonts w:asciiTheme="minorHAnsi" w:hAnsiTheme="minorHAnsi"/>
        </w:rPr>
        <w:t>T</w:t>
      </w:r>
      <w:r w:rsidRPr="00D920C9">
        <w:rPr>
          <w:rFonts w:asciiTheme="minorHAnsi" w:hAnsiTheme="minorHAnsi"/>
        </w:rPr>
        <w:t>he Commission has previously emphasized that it is essential not only to appropriately investigate, prosecute, and punish cases of police violence, but also “to modify […] institutionalized stereotypes towards Afro-descendant[s]”</w:t>
      </w:r>
      <w:r w:rsidRPr="00D920C9">
        <w:rPr>
          <w:rFonts w:asciiTheme="minorHAnsi" w:hAnsiTheme="minorHAnsi"/>
          <w:vertAlign w:val="superscript"/>
        </w:rPr>
        <w:footnoteReference w:id="569"/>
      </w:r>
      <w:r w:rsidRPr="00D920C9">
        <w:rPr>
          <w:rFonts w:asciiTheme="minorHAnsi" w:hAnsiTheme="minorHAnsi"/>
        </w:rPr>
        <w:t xml:space="preserve"> in order to fulfill its duties to prevent and eradicate discrimination.</w:t>
      </w:r>
      <w:bookmarkEnd w:id="224"/>
    </w:p>
    <w:p w14:paraId="2E003F6C" w14:textId="6AB6864A" w:rsidR="004A338F" w:rsidRPr="00D920C9" w:rsidRDefault="004A338F" w:rsidP="00E86698">
      <w:pPr>
        <w:pStyle w:val="ListParagraph"/>
        <w:numPr>
          <w:ilvl w:val="0"/>
          <w:numId w:val="9"/>
        </w:numPr>
        <w:spacing w:after="240" w:line="240" w:lineRule="auto"/>
        <w:ind w:left="547" w:hanging="547"/>
        <w:contextualSpacing w:val="0"/>
        <w:jc w:val="both"/>
        <w:rPr>
          <w:rFonts w:asciiTheme="minorHAnsi" w:hAnsiTheme="minorHAnsi"/>
          <w:szCs w:val="20"/>
          <w:lang w:eastAsia="es-ES"/>
        </w:rPr>
      </w:pPr>
      <w:bookmarkStart w:id="225" w:name="_Ref507518547"/>
      <w:r w:rsidRPr="00D920C9">
        <w:rPr>
          <w:rFonts w:asciiTheme="minorHAnsi" w:hAnsiTheme="minorHAnsi"/>
        </w:rPr>
        <w:t xml:space="preserve">There is an important link between the duty </w:t>
      </w:r>
      <w:r w:rsidR="00D44603" w:rsidRPr="00D920C9">
        <w:rPr>
          <w:rFonts w:asciiTheme="minorHAnsi" w:hAnsiTheme="minorHAnsi"/>
        </w:rPr>
        <w:t>of</w:t>
      </w:r>
      <w:r w:rsidRPr="00D920C9">
        <w:rPr>
          <w:rFonts w:asciiTheme="minorHAnsi" w:hAnsiTheme="minorHAnsi"/>
        </w:rPr>
        <w:t xml:space="preserve"> due diligence and the obligation of States to guarantee access to adequate and effective judicial remedies for victims and their family members when they suffer acts of violence.</w:t>
      </w:r>
      <w:r w:rsidRPr="00D920C9">
        <w:rPr>
          <w:rFonts w:asciiTheme="minorHAnsi" w:hAnsiTheme="minorHAnsi"/>
          <w:vertAlign w:val="superscript"/>
        </w:rPr>
        <w:footnoteReference w:id="570"/>
      </w:r>
      <w:r w:rsidRPr="00D920C9">
        <w:rPr>
          <w:rFonts w:asciiTheme="minorHAnsi" w:hAnsiTheme="minorHAnsi"/>
        </w:rPr>
        <w:t xml:space="preserve"> Finally, it is important to keep in mind the role of intersectional factors (e.g. </w:t>
      </w:r>
      <w:r w:rsidR="00943FA9" w:rsidRPr="00D920C9">
        <w:rPr>
          <w:rFonts w:asciiTheme="minorHAnsi" w:hAnsiTheme="minorHAnsi"/>
        </w:rPr>
        <w:t>sexual orientation, gender identity and expression</w:t>
      </w:r>
      <w:r w:rsidRPr="00D920C9">
        <w:rPr>
          <w:rFonts w:asciiTheme="minorHAnsi" w:hAnsiTheme="minorHAnsi"/>
        </w:rPr>
        <w:t xml:space="preserve">, age, color, </w:t>
      </w:r>
      <w:r w:rsidR="00943FA9" w:rsidRPr="00D920C9">
        <w:rPr>
          <w:rFonts w:asciiTheme="minorHAnsi" w:hAnsiTheme="minorHAnsi"/>
        </w:rPr>
        <w:t xml:space="preserve">ethnicity, </w:t>
      </w:r>
      <w:r w:rsidRPr="00D920C9">
        <w:rPr>
          <w:rFonts w:asciiTheme="minorHAnsi" w:hAnsiTheme="minorHAnsi"/>
        </w:rPr>
        <w:t>national origin, immigration status, religion, disability, situation of poverty, situation of homelessness, and others) that may place certain African Americans and other individuals of color at particular risk of violence or discrimination by State or non-S</w:t>
      </w:r>
      <w:r w:rsidRPr="00D920C9">
        <w:rPr>
          <w:rFonts w:asciiTheme="minorHAnsi" w:hAnsiTheme="minorHAnsi"/>
          <w:szCs w:val="20"/>
          <w:lang w:eastAsia="es-ES"/>
        </w:rPr>
        <w:t>tate actors.</w:t>
      </w:r>
      <w:r w:rsidRPr="00D920C9">
        <w:rPr>
          <w:rStyle w:val="FootnoteReference"/>
          <w:rFonts w:asciiTheme="minorHAnsi" w:hAnsiTheme="minorHAnsi"/>
          <w:szCs w:val="20"/>
          <w:lang w:eastAsia="es-ES"/>
        </w:rPr>
        <w:footnoteReference w:id="571"/>
      </w:r>
      <w:bookmarkEnd w:id="225"/>
    </w:p>
    <w:p w14:paraId="5A8DD226" w14:textId="5F2C310B" w:rsidR="008F624A" w:rsidRPr="00D920C9" w:rsidRDefault="008F624A" w:rsidP="00226E45">
      <w:pPr>
        <w:pStyle w:val="Heading4"/>
        <w:numPr>
          <w:ilvl w:val="0"/>
          <w:numId w:val="42"/>
        </w:numPr>
        <w:ind w:left="540" w:hanging="540"/>
      </w:pPr>
      <w:bookmarkStart w:id="226" w:name="_Toc511837842"/>
      <w:bookmarkStart w:id="227" w:name="_Toc511903015"/>
      <w:bookmarkStart w:id="228" w:name="_Toc517687944"/>
      <w:r w:rsidRPr="00D920C9">
        <w:t xml:space="preserve">Collection of </w:t>
      </w:r>
      <w:r w:rsidR="003A6706" w:rsidRPr="00D920C9">
        <w:t xml:space="preserve">Statistics </w:t>
      </w:r>
      <w:r w:rsidRPr="00D920C9">
        <w:t xml:space="preserve">and </w:t>
      </w:r>
      <w:r w:rsidR="003A6706" w:rsidRPr="00D920C9">
        <w:t>Active Transparency</w:t>
      </w:r>
      <w:bookmarkEnd w:id="226"/>
      <w:bookmarkEnd w:id="227"/>
      <w:bookmarkEnd w:id="228"/>
    </w:p>
    <w:p w14:paraId="0DC3D353" w14:textId="77777777" w:rsidR="00B17B62" w:rsidRPr="00D920C9" w:rsidRDefault="00B17B62" w:rsidP="00E86698">
      <w:pPr>
        <w:pStyle w:val="ListParagraph"/>
        <w:numPr>
          <w:ilvl w:val="0"/>
          <w:numId w:val="9"/>
        </w:numPr>
        <w:spacing w:after="240" w:line="240" w:lineRule="auto"/>
        <w:ind w:left="547" w:hanging="547"/>
        <w:contextualSpacing w:val="0"/>
        <w:jc w:val="both"/>
        <w:rPr>
          <w:rFonts w:asciiTheme="minorHAnsi" w:hAnsiTheme="minorHAnsi"/>
        </w:rPr>
      </w:pPr>
      <w:r w:rsidRPr="00D920C9">
        <w:rPr>
          <w:rFonts w:asciiTheme="minorHAnsi" w:hAnsiTheme="minorHAnsi"/>
          <w:szCs w:val="20"/>
          <w:lang w:eastAsia="es-ES"/>
        </w:rPr>
        <w:t xml:space="preserve">The Commission underscores the fundamental importance of properly collecting official statistics on police violence as a key </w:t>
      </w:r>
      <w:r w:rsidRPr="00D920C9">
        <w:rPr>
          <w:rFonts w:asciiTheme="minorHAnsi" w:hAnsiTheme="minorHAnsi"/>
        </w:rPr>
        <w:t>element of its duty of due diligence, and calls on the State to begin collecting this information in a systematic, rigorous, transparent, and disaggregated manner without delay. In this regard, the Commission has previously signaled that the State is responsible for safeguarding information on the use of force and, therefore, any loss or concealment of the same should be investigated in order to establish administrative or other liability.</w:t>
      </w:r>
      <w:r w:rsidRPr="00D920C9">
        <w:rPr>
          <w:rFonts w:asciiTheme="minorHAnsi" w:hAnsiTheme="minorHAnsi"/>
          <w:vertAlign w:val="superscript"/>
        </w:rPr>
        <w:footnoteReference w:id="572"/>
      </w:r>
      <w:r w:rsidRPr="00D920C9">
        <w:rPr>
          <w:rFonts w:asciiTheme="minorHAnsi" w:hAnsiTheme="minorHAnsi"/>
        </w:rPr>
        <w:t xml:space="preserve"> </w:t>
      </w:r>
    </w:p>
    <w:p w14:paraId="2C8ED0A0" w14:textId="77777777" w:rsidR="00926210" w:rsidRPr="00D920C9" w:rsidRDefault="00926210" w:rsidP="00E86698">
      <w:pPr>
        <w:pStyle w:val="ListParagraph"/>
        <w:numPr>
          <w:ilvl w:val="0"/>
          <w:numId w:val="9"/>
        </w:numPr>
        <w:spacing w:after="240" w:line="240" w:lineRule="auto"/>
        <w:ind w:left="547" w:hanging="547"/>
        <w:contextualSpacing w:val="0"/>
        <w:jc w:val="both"/>
        <w:rPr>
          <w:rFonts w:asciiTheme="minorHAnsi" w:hAnsiTheme="minorHAnsi"/>
        </w:rPr>
      </w:pPr>
      <w:r w:rsidRPr="00D920C9">
        <w:rPr>
          <w:rFonts w:asciiTheme="minorHAnsi" w:hAnsiTheme="minorHAnsi"/>
        </w:rPr>
        <w:t>The lack of official statistics on police violence hinders understanding and effectively addressing the problem of police violence.</w:t>
      </w:r>
      <w:r w:rsidRPr="00D920C9">
        <w:rPr>
          <w:rFonts w:asciiTheme="minorHAnsi" w:hAnsiTheme="minorHAnsi"/>
          <w:vertAlign w:val="superscript"/>
        </w:rPr>
        <w:footnoteReference w:id="573"/>
      </w:r>
      <w:r w:rsidRPr="00D920C9">
        <w:rPr>
          <w:rFonts w:asciiTheme="minorHAnsi" w:hAnsiTheme="minorHAnsi"/>
        </w:rPr>
        <w:t xml:space="preserve"> The Commission considers that accurate statistics and records on police violence are important not only as a matter of transparency, but are also relevant for establishing, evaluating, and understanding the magnitude and principal </w:t>
      </w:r>
      <w:r w:rsidRPr="00D920C9">
        <w:rPr>
          <w:rFonts w:asciiTheme="minorHAnsi" w:hAnsiTheme="minorHAnsi"/>
        </w:rPr>
        <w:lastRenderedPageBreak/>
        <w:t>modalities of police violence, patterns and practices of police violence against certain groups, and for ensuring accountability for the officers and agencies responsible.</w:t>
      </w:r>
    </w:p>
    <w:p w14:paraId="7DE649D0" w14:textId="77777777" w:rsidR="00ED5E8D" w:rsidRPr="00D920C9" w:rsidRDefault="00926210" w:rsidP="00E86698">
      <w:pPr>
        <w:pStyle w:val="ListParagraph"/>
        <w:numPr>
          <w:ilvl w:val="0"/>
          <w:numId w:val="9"/>
        </w:numPr>
        <w:spacing w:after="240" w:line="240" w:lineRule="auto"/>
        <w:ind w:left="547" w:hanging="547"/>
        <w:contextualSpacing w:val="0"/>
        <w:jc w:val="both"/>
        <w:rPr>
          <w:rFonts w:asciiTheme="minorHAnsi" w:hAnsiTheme="minorHAnsi"/>
        </w:rPr>
      </w:pPr>
      <w:r w:rsidRPr="00D920C9">
        <w:rPr>
          <w:rFonts w:asciiTheme="minorHAnsi" w:hAnsiTheme="minorHAnsi"/>
        </w:rPr>
        <w:t>The Commission further highlights that in order to be of the greatest use for human rights monitoring, the official data that is gathered must be disaggregated.</w:t>
      </w:r>
      <w:r w:rsidRPr="00D920C9">
        <w:rPr>
          <w:rFonts w:asciiTheme="minorHAnsi" w:hAnsiTheme="minorHAnsi"/>
          <w:vertAlign w:val="superscript"/>
        </w:rPr>
        <w:footnoteReference w:id="574"/>
      </w:r>
      <w:r w:rsidR="00ED5E8D" w:rsidRPr="00D920C9">
        <w:rPr>
          <w:rFonts w:asciiTheme="minorHAnsi" w:hAnsiTheme="minorHAnsi"/>
        </w:rPr>
        <w:t xml:space="preserve"> For example, official statistics should distinguish between the context of use of force incidents (e.g., at public demonstrations, in the context of evictions, in the context of raids on homes and on other locations, incidents at detention centers or other State facilities, regular policing activities, and states of emergency, among others), actors involved (both State actors and victims, quantifying and disaggregating them by race, color, gender identity, sexual orientation, age, language, origin, education level, etc.; in the case of State agents, also indicating the security agency to which they belong), weapons used, rights violated (e.g., life, humane treatment, personal liberty, property, etc.), and circumstances of time and place, among others. It is also important to compile data on ongoing investigations and proceedings, including specifying the jurisdiction, and the results thereof.</w:t>
      </w:r>
      <w:r w:rsidR="00ED5E8D" w:rsidRPr="00D920C9">
        <w:rPr>
          <w:rFonts w:asciiTheme="minorHAnsi" w:hAnsiTheme="minorHAnsi"/>
          <w:vertAlign w:val="superscript"/>
        </w:rPr>
        <w:footnoteReference w:id="575"/>
      </w:r>
      <w:r w:rsidR="00ED5E8D" w:rsidRPr="00D920C9">
        <w:rPr>
          <w:rFonts w:asciiTheme="minorHAnsi" w:hAnsiTheme="minorHAnsi"/>
        </w:rPr>
        <w:t xml:space="preserve"> </w:t>
      </w:r>
    </w:p>
    <w:p w14:paraId="06AA998A" w14:textId="522E2A9E" w:rsidR="004A5257" w:rsidRPr="00D920C9" w:rsidRDefault="007F7673" w:rsidP="00E86698">
      <w:pPr>
        <w:pStyle w:val="ListParagraph"/>
        <w:numPr>
          <w:ilvl w:val="0"/>
          <w:numId w:val="9"/>
        </w:numPr>
        <w:spacing w:after="240" w:line="240" w:lineRule="auto"/>
        <w:ind w:left="547" w:hanging="547"/>
        <w:contextualSpacing w:val="0"/>
        <w:jc w:val="both"/>
        <w:rPr>
          <w:rFonts w:asciiTheme="minorHAnsi" w:hAnsiTheme="minorHAnsi"/>
        </w:rPr>
      </w:pPr>
      <w:r w:rsidRPr="00D920C9">
        <w:rPr>
          <w:rFonts w:asciiTheme="minorHAnsi" w:hAnsiTheme="minorHAnsi"/>
        </w:rPr>
        <w:t>T</w:t>
      </w:r>
      <w:r w:rsidR="004A5257" w:rsidRPr="00D920C9">
        <w:rPr>
          <w:rFonts w:asciiTheme="minorHAnsi" w:hAnsiTheme="minorHAnsi"/>
        </w:rPr>
        <w:t>h</w:t>
      </w:r>
      <w:r w:rsidR="006D2C1F" w:rsidRPr="00D920C9">
        <w:rPr>
          <w:rFonts w:asciiTheme="minorHAnsi" w:hAnsiTheme="minorHAnsi"/>
        </w:rPr>
        <w:t xml:space="preserve">e Commission considers that </w:t>
      </w:r>
      <w:r w:rsidR="004A5257" w:rsidRPr="00D920C9">
        <w:rPr>
          <w:rFonts w:asciiTheme="minorHAnsi" w:hAnsiTheme="minorHAnsi"/>
        </w:rPr>
        <w:t>President</w:t>
      </w:r>
      <w:r w:rsidR="006D2C1F" w:rsidRPr="00D920C9">
        <w:rPr>
          <w:rFonts w:asciiTheme="minorHAnsi" w:hAnsiTheme="minorHAnsi"/>
        </w:rPr>
        <w:t xml:space="preserve"> Obama</w:t>
      </w:r>
      <w:r w:rsidR="004A5257" w:rsidRPr="00D920C9">
        <w:rPr>
          <w:rFonts w:asciiTheme="minorHAnsi" w:hAnsiTheme="minorHAnsi"/>
        </w:rPr>
        <w:t xml:space="preserve">’s Task Force’s recommendations to “require agencies to collect, </w:t>
      </w:r>
      <w:r w:rsidR="002A2FE1" w:rsidRPr="00D920C9">
        <w:rPr>
          <w:rFonts w:asciiTheme="minorHAnsi" w:hAnsiTheme="minorHAnsi"/>
        </w:rPr>
        <w:t>maintain, and report data to the Federal Government on all officer-involved shootings, whether fatal or non-fatal, as well as any in-custody death,” and to ensure that “policies on the use of force […] clearly state what types of information will be released, when, and in what situation, to maintain transparency,”</w:t>
      </w:r>
      <w:r w:rsidR="002A2FE1" w:rsidRPr="00D920C9">
        <w:rPr>
          <w:rFonts w:asciiTheme="minorHAnsi" w:hAnsiTheme="minorHAnsi"/>
          <w:vertAlign w:val="superscript"/>
        </w:rPr>
        <w:footnoteReference w:id="576"/>
      </w:r>
      <w:r w:rsidR="002A2FE1" w:rsidRPr="00D920C9">
        <w:rPr>
          <w:rFonts w:asciiTheme="minorHAnsi" w:hAnsiTheme="minorHAnsi"/>
        </w:rPr>
        <w:t xml:space="preserve"> are positive. The Commission calls on the State to ensure that statistics collected include disaggregated demographic data described in the previous paragraph, in order to best fulfill the duty of due diligence.</w:t>
      </w:r>
    </w:p>
    <w:p w14:paraId="59D1090A" w14:textId="77777777" w:rsidR="00926210" w:rsidRPr="00D920C9" w:rsidRDefault="007944EA" w:rsidP="00E86698">
      <w:pPr>
        <w:pStyle w:val="ListParagraph"/>
        <w:numPr>
          <w:ilvl w:val="0"/>
          <w:numId w:val="9"/>
        </w:numPr>
        <w:spacing w:after="240" w:line="240" w:lineRule="auto"/>
        <w:ind w:left="547" w:hanging="547"/>
        <w:contextualSpacing w:val="0"/>
        <w:jc w:val="both"/>
        <w:rPr>
          <w:rFonts w:asciiTheme="minorHAnsi" w:hAnsiTheme="minorHAnsi"/>
          <w:szCs w:val="20"/>
          <w:lang w:eastAsia="es-ES"/>
        </w:rPr>
      </w:pPr>
      <w:r w:rsidRPr="00D920C9">
        <w:rPr>
          <w:rFonts w:asciiTheme="minorHAnsi" w:hAnsiTheme="minorHAnsi"/>
        </w:rPr>
        <w:t xml:space="preserve">The Commission additionally highlights the importance of collecting data about a variety of situations of racial discrimination in the </w:t>
      </w:r>
      <w:r w:rsidR="006D4A9B" w:rsidRPr="00D920C9">
        <w:rPr>
          <w:rFonts w:asciiTheme="minorHAnsi" w:hAnsiTheme="minorHAnsi"/>
        </w:rPr>
        <w:t>U.S.</w:t>
      </w:r>
      <w:r w:rsidRPr="00D920C9">
        <w:rPr>
          <w:rFonts w:asciiTheme="minorHAnsi" w:hAnsiTheme="minorHAnsi"/>
        </w:rPr>
        <w:t xml:space="preserve">, </w:t>
      </w:r>
      <w:r w:rsidR="00943FA9" w:rsidRPr="00D920C9">
        <w:rPr>
          <w:rFonts w:asciiTheme="minorHAnsi" w:hAnsiTheme="minorHAnsi"/>
        </w:rPr>
        <w:t xml:space="preserve">including those related to access to economic, social, cultural, and environmental rights, </w:t>
      </w:r>
      <w:r w:rsidRPr="00D920C9">
        <w:rPr>
          <w:rFonts w:asciiTheme="minorHAnsi" w:hAnsiTheme="minorHAnsi"/>
        </w:rPr>
        <w:t>i</w:t>
      </w:r>
      <w:r w:rsidRPr="00D920C9">
        <w:rPr>
          <w:rFonts w:asciiTheme="minorHAnsi" w:hAnsiTheme="minorHAnsi"/>
          <w:szCs w:val="20"/>
          <w:lang w:eastAsia="es-ES"/>
        </w:rPr>
        <w:t>n order to better understand the dimensions of the problems, their causes and consequences. For example, in this report the Commission has referred to the importance of studying the effects of racial profiling on communities,</w:t>
      </w:r>
      <w:r w:rsidRPr="00D920C9">
        <w:rPr>
          <w:rStyle w:val="FootnoteReference"/>
          <w:rFonts w:asciiTheme="minorHAnsi" w:hAnsiTheme="minorHAnsi"/>
          <w:szCs w:val="20"/>
          <w:lang w:eastAsia="es-ES"/>
        </w:rPr>
        <w:footnoteReference w:id="577"/>
      </w:r>
      <w:r w:rsidRPr="00D920C9">
        <w:rPr>
          <w:rFonts w:asciiTheme="minorHAnsi" w:hAnsiTheme="minorHAnsi"/>
          <w:szCs w:val="20"/>
          <w:lang w:eastAsia="es-ES"/>
        </w:rPr>
        <w:t xml:space="preserve"> and the effects of the use of less lethal weapons.</w:t>
      </w:r>
      <w:r w:rsidRPr="00D920C9">
        <w:rPr>
          <w:rStyle w:val="FootnoteReference"/>
          <w:rFonts w:asciiTheme="minorHAnsi" w:hAnsiTheme="minorHAnsi"/>
          <w:szCs w:val="20"/>
          <w:lang w:eastAsia="es-ES"/>
        </w:rPr>
        <w:footnoteReference w:id="578"/>
      </w:r>
      <w:r w:rsidRPr="00D920C9">
        <w:rPr>
          <w:rFonts w:asciiTheme="minorHAnsi" w:hAnsiTheme="minorHAnsi"/>
          <w:szCs w:val="20"/>
          <w:lang w:eastAsia="es-ES"/>
        </w:rPr>
        <w:t xml:space="preserve"> </w:t>
      </w:r>
    </w:p>
    <w:p w14:paraId="4354B088" w14:textId="6CEEA576" w:rsidR="008F624A" w:rsidRPr="00D920C9" w:rsidRDefault="00BE5451" w:rsidP="00226E45">
      <w:pPr>
        <w:pStyle w:val="Heading4"/>
        <w:ind w:left="540" w:hanging="540"/>
      </w:pPr>
      <w:bookmarkStart w:id="229" w:name="_Toc511837843"/>
      <w:bookmarkStart w:id="230" w:name="_Toc511903016"/>
      <w:bookmarkStart w:id="231" w:name="_Toc517687945"/>
      <w:r w:rsidRPr="00D920C9">
        <w:lastRenderedPageBreak/>
        <w:t xml:space="preserve">The </w:t>
      </w:r>
      <w:r w:rsidR="003A6706" w:rsidRPr="00D920C9">
        <w:t xml:space="preserve">Duty </w:t>
      </w:r>
      <w:r w:rsidR="008F624A" w:rsidRPr="00D920C9">
        <w:t xml:space="preserve">to </w:t>
      </w:r>
      <w:r w:rsidR="003A6706" w:rsidRPr="00D920C9">
        <w:t xml:space="preserve">Investigate </w:t>
      </w:r>
      <w:r w:rsidRPr="00D920C9">
        <w:t xml:space="preserve">and </w:t>
      </w:r>
      <w:r w:rsidR="003A6706" w:rsidRPr="00D920C9">
        <w:t xml:space="preserve">Principles </w:t>
      </w:r>
      <w:r w:rsidRPr="00D920C9">
        <w:t xml:space="preserve">for </w:t>
      </w:r>
      <w:r w:rsidR="003A6706" w:rsidRPr="00D920C9">
        <w:t>Investigation</w:t>
      </w:r>
      <w:bookmarkEnd w:id="229"/>
      <w:bookmarkEnd w:id="230"/>
      <w:bookmarkEnd w:id="231"/>
    </w:p>
    <w:p w14:paraId="23051A77" w14:textId="77777777" w:rsidR="00CC2749" w:rsidRPr="00D920C9" w:rsidRDefault="007944EA" w:rsidP="00E86698">
      <w:pPr>
        <w:pStyle w:val="ListParagraph"/>
        <w:numPr>
          <w:ilvl w:val="0"/>
          <w:numId w:val="9"/>
        </w:numPr>
        <w:spacing w:after="240" w:line="240" w:lineRule="auto"/>
        <w:ind w:left="547" w:hanging="547"/>
        <w:contextualSpacing w:val="0"/>
        <w:jc w:val="both"/>
        <w:rPr>
          <w:rFonts w:asciiTheme="minorHAnsi" w:hAnsiTheme="minorHAnsi"/>
        </w:rPr>
      </w:pPr>
      <w:bookmarkStart w:id="232" w:name="_Ref507676913"/>
      <w:r w:rsidRPr="00D920C9">
        <w:rPr>
          <w:rFonts w:asciiTheme="minorHAnsi" w:hAnsiTheme="minorHAnsi"/>
          <w:szCs w:val="20"/>
        </w:rPr>
        <w:t>The Commission has recognized that States hold a “special duty” to investigate and prosecute police misconduct.</w:t>
      </w:r>
      <w:r w:rsidR="002A2144" w:rsidRPr="00D920C9">
        <w:rPr>
          <w:rStyle w:val="FootnoteReference"/>
          <w:rFonts w:asciiTheme="minorHAnsi" w:hAnsiTheme="minorHAnsi"/>
          <w:szCs w:val="20"/>
        </w:rPr>
        <w:footnoteReference w:id="579"/>
      </w:r>
      <w:r w:rsidRPr="00D920C9">
        <w:rPr>
          <w:rFonts w:asciiTheme="minorHAnsi" w:hAnsiTheme="minorHAnsi"/>
          <w:szCs w:val="20"/>
        </w:rPr>
        <w:t xml:space="preserve"> The obligation to guarantee the rights to life, liberty, and personal integrity, and the prohibition of </w:t>
      </w:r>
      <w:r w:rsidRPr="00D920C9">
        <w:rPr>
          <w:rFonts w:asciiTheme="minorHAnsi" w:hAnsiTheme="minorHAnsi"/>
        </w:rPr>
        <w:t>torture and other cruel, inhuman, or degrading treatment or punishment all implicate the State’s duty to prevent and investigate possible violations of these rights. The Commission has stated that in light of this obligation, authorities must investigate conduct affecting the enjoyment of rights as soon as they become aware of it.</w:t>
      </w:r>
      <w:r w:rsidR="002A2144" w:rsidRPr="00D920C9">
        <w:rPr>
          <w:rFonts w:asciiTheme="minorHAnsi" w:hAnsiTheme="minorHAnsi"/>
          <w:vertAlign w:val="superscript"/>
        </w:rPr>
        <w:footnoteReference w:id="580"/>
      </w:r>
      <w:bookmarkEnd w:id="232"/>
    </w:p>
    <w:p w14:paraId="15D4FE88" w14:textId="77777777" w:rsidR="002A2144" w:rsidRPr="00D920C9" w:rsidRDefault="002A2144" w:rsidP="00E86698">
      <w:pPr>
        <w:pStyle w:val="ListParagraph"/>
        <w:numPr>
          <w:ilvl w:val="0"/>
          <w:numId w:val="9"/>
        </w:numPr>
        <w:spacing w:after="240" w:line="240" w:lineRule="auto"/>
        <w:ind w:left="547" w:hanging="547"/>
        <w:contextualSpacing w:val="0"/>
        <w:jc w:val="both"/>
        <w:rPr>
          <w:rFonts w:asciiTheme="minorHAnsi" w:hAnsiTheme="minorHAnsi"/>
        </w:rPr>
      </w:pPr>
      <w:r w:rsidRPr="00D920C9">
        <w:rPr>
          <w:rFonts w:asciiTheme="minorHAnsi" w:hAnsiTheme="minorHAnsi"/>
        </w:rPr>
        <w:t>This investigation must be carried out without delay, by all available legal means, and with the aim of determining the truth and ensuring the investigation, prosecution, and punishment of the perpetrators. During the investigation and judicial proceedings, the victims of human rights violations, or their next of kin, should have extensive opportunities to participate and be heard, in the clarification of facts and the punishment of those responsible, and in seeking fair compensation.</w:t>
      </w:r>
      <w:r w:rsidRPr="00D920C9">
        <w:rPr>
          <w:rFonts w:asciiTheme="minorHAnsi" w:hAnsiTheme="minorHAnsi"/>
          <w:vertAlign w:val="superscript"/>
        </w:rPr>
        <w:footnoteReference w:id="581"/>
      </w:r>
    </w:p>
    <w:p w14:paraId="27355CD5" w14:textId="77777777" w:rsidR="002A2144" w:rsidRPr="00D920C9" w:rsidRDefault="002A2144" w:rsidP="00E86698">
      <w:pPr>
        <w:pStyle w:val="ListParagraph"/>
        <w:numPr>
          <w:ilvl w:val="0"/>
          <w:numId w:val="9"/>
        </w:numPr>
        <w:spacing w:after="240" w:line="240" w:lineRule="auto"/>
        <w:ind w:left="547" w:hanging="547"/>
        <w:contextualSpacing w:val="0"/>
        <w:jc w:val="both"/>
        <w:rPr>
          <w:rFonts w:asciiTheme="minorHAnsi" w:hAnsiTheme="minorHAnsi"/>
        </w:rPr>
      </w:pPr>
      <w:r w:rsidRPr="00D920C9">
        <w:rPr>
          <w:rFonts w:asciiTheme="minorHAnsi" w:hAnsiTheme="minorHAnsi"/>
        </w:rPr>
        <w:t>The investigation of human rights violations is an inherent legal obligation of the State.</w:t>
      </w:r>
      <w:r w:rsidRPr="00D920C9">
        <w:rPr>
          <w:rFonts w:asciiTheme="minorHAnsi" w:hAnsiTheme="minorHAnsi"/>
          <w:vertAlign w:val="superscript"/>
        </w:rPr>
        <w:footnoteReference w:id="582"/>
      </w:r>
      <w:r w:rsidR="00D85EFB" w:rsidRPr="00D920C9">
        <w:rPr>
          <w:rFonts w:asciiTheme="minorHAnsi" w:hAnsiTheme="minorHAnsi"/>
        </w:rPr>
        <w:t xml:space="preserve"> Thus, the duty to investigate should not be viewed by the State as a mere formality or a proceeding performed merely for private interests that depends on the procedural initiative of the victims or their relatives, or the production of evidence by individuals.</w:t>
      </w:r>
      <w:r w:rsidR="00D85EFB" w:rsidRPr="00D920C9">
        <w:rPr>
          <w:rFonts w:asciiTheme="minorHAnsi" w:hAnsiTheme="minorHAnsi"/>
          <w:vertAlign w:val="superscript"/>
        </w:rPr>
        <w:footnoteReference w:id="583"/>
      </w:r>
      <w:r w:rsidR="00D85EFB" w:rsidRPr="00D920C9">
        <w:rPr>
          <w:rFonts w:asciiTheme="minorHAnsi" w:hAnsiTheme="minorHAnsi"/>
        </w:rPr>
        <w:t xml:space="preserve"> Effective investigations should thus be capable of producing results and offering a proper response to rights violations.</w:t>
      </w:r>
      <w:r w:rsidR="00D85EFB" w:rsidRPr="00D920C9">
        <w:rPr>
          <w:rFonts w:asciiTheme="minorHAnsi" w:hAnsiTheme="minorHAnsi"/>
          <w:vertAlign w:val="superscript"/>
        </w:rPr>
        <w:footnoteReference w:id="584"/>
      </w:r>
    </w:p>
    <w:p w14:paraId="45371E69" w14:textId="77777777" w:rsidR="00AD637C" w:rsidRPr="00D920C9" w:rsidRDefault="00AD637C" w:rsidP="00E86698">
      <w:pPr>
        <w:pStyle w:val="ListParagraph"/>
        <w:numPr>
          <w:ilvl w:val="0"/>
          <w:numId w:val="9"/>
        </w:numPr>
        <w:spacing w:after="240" w:line="240" w:lineRule="auto"/>
        <w:ind w:left="547" w:hanging="547"/>
        <w:contextualSpacing w:val="0"/>
        <w:jc w:val="both"/>
        <w:rPr>
          <w:rFonts w:asciiTheme="minorHAnsi" w:hAnsiTheme="minorHAnsi"/>
          <w:szCs w:val="20"/>
        </w:rPr>
      </w:pPr>
      <w:r w:rsidRPr="00D920C9">
        <w:rPr>
          <w:rFonts w:asciiTheme="minorHAnsi" w:hAnsiTheme="minorHAnsi"/>
        </w:rPr>
        <w:t>There are a number of relevant international</w:t>
      </w:r>
      <w:r w:rsidRPr="00D920C9">
        <w:rPr>
          <w:rFonts w:asciiTheme="minorHAnsi" w:hAnsiTheme="minorHAnsi"/>
          <w:szCs w:val="20"/>
        </w:rPr>
        <w:t xml:space="preserve"> guidelines and protocols that address various aspects of an efficacious investigation of human rights abuses. These include the</w:t>
      </w:r>
      <w:r w:rsidR="00352483" w:rsidRPr="00D920C9">
        <w:rPr>
          <w:rFonts w:asciiTheme="minorHAnsi" w:hAnsiTheme="minorHAnsi"/>
          <w:szCs w:val="20"/>
        </w:rPr>
        <w:t xml:space="preserve"> U.N. </w:t>
      </w:r>
      <w:r w:rsidRPr="00D920C9">
        <w:rPr>
          <w:rFonts w:asciiTheme="minorHAnsi" w:hAnsiTheme="minorHAnsi"/>
          <w:szCs w:val="20"/>
        </w:rPr>
        <w:t xml:space="preserve">Manual on the Effective Investigation and Documentation of Torture and Other Cruel, Inhuman or Degrading </w:t>
      </w:r>
      <w:r w:rsidRPr="00D920C9">
        <w:rPr>
          <w:rFonts w:asciiTheme="minorHAnsi" w:hAnsiTheme="minorHAnsi"/>
          <w:szCs w:val="20"/>
        </w:rPr>
        <w:lastRenderedPageBreak/>
        <w:t>Treatment or Punishment (Istanbul Protocol),</w:t>
      </w:r>
      <w:r w:rsidRPr="00D920C9">
        <w:rPr>
          <w:rStyle w:val="FootnoteReference"/>
          <w:rFonts w:asciiTheme="minorHAnsi" w:hAnsiTheme="minorHAnsi"/>
          <w:szCs w:val="20"/>
        </w:rPr>
        <w:footnoteReference w:id="585"/>
      </w:r>
      <w:r w:rsidRPr="00D920C9">
        <w:rPr>
          <w:rFonts w:asciiTheme="minorHAnsi" w:hAnsiTheme="minorHAnsi"/>
          <w:szCs w:val="20"/>
        </w:rPr>
        <w:t xml:space="preserve"> and the</w:t>
      </w:r>
      <w:r w:rsidR="00352483" w:rsidRPr="00D920C9">
        <w:rPr>
          <w:rFonts w:asciiTheme="minorHAnsi" w:hAnsiTheme="minorHAnsi"/>
          <w:szCs w:val="20"/>
        </w:rPr>
        <w:t xml:space="preserve"> U.N. </w:t>
      </w:r>
      <w:r w:rsidR="00F71095" w:rsidRPr="00D920C9">
        <w:rPr>
          <w:rFonts w:asciiTheme="minorHAnsi" w:hAnsiTheme="minorHAnsi"/>
          <w:szCs w:val="20"/>
        </w:rPr>
        <w:t>Manual on the Effective Prevention and Investigation of Extra-legal, Arbitrary and Summary Executions (Minnesota Protocol).</w:t>
      </w:r>
      <w:r w:rsidR="00F71095" w:rsidRPr="00D920C9">
        <w:rPr>
          <w:rStyle w:val="FootnoteReference"/>
          <w:rFonts w:asciiTheme="minorHAnsi" w:hAnsiTheme="minorHAnsi"/>
          <w:szCs w:val="20"/>
        </w:rPr>
        <w:footnoteReference w:id="586"/>
      </w:r>
    </w:p>
    <w:p w14:paraId="6E968379" w14:textId="77777777" w:rsidR="001E6FC6" w:rsidRPr="00D920C9" w:rsidRDefault="001E6FC6" w:rsidP="00E86698">
      <w:pPr>
        <w:pStyle w:val="ListParagraph"/>
        <w:numPr>
          <w:ilvl w:val="0"/>
          <w:numId w:val="9"/>
        </w:numPr>
        <w:spacing w:after="240" w:line="240" w:lineRule="auto"/>
        <w:ind w:left="547" w:hanging="547"/>
        <w:contextualSpacing w:val="0"/>
        <w:jc w:val="both"/>
        <w:rPr>
          <w:rFonts w:asciiTheme="minorHAnsi" w:hAnsiTheme="minorHAnsi"/>
        </w:rPr>
      </w:pPr>
      <w:r w:rsidRPr="00D920C9">
        <w:rPr>
          <w:rFonts w:asciiTheme="minorHAnsi" w:hAnsiTheme="minorHAnsi"/>
          <w:szCs w:val="20"/>
        </w:rPr>
        <w:t xml:space="preserve">Citing the Minnesota protocol, the Commission has indicated that when investigating a potentially unlawful killing, that the investigating authorities must, at the very least, a) identify the victim; b) collect and preserve evidence related to the death in order to assist with any investigation; c) identify possible witnesses and obtain testimonies in relation to the death under investigation; d) determine the cause, manner, place and time of death, as well as any pattern or practice which may have brought about such </w:t>
      </w:r>
      <w:r w:rsidRPr="00D920C9">
        <w:rPr>
          <w:rFonts w:asciiTheme="minorHAnsi" w:hAnsiTheme="minorHAnsi"/>
        </w:rPr>
        <w:t>death, and e) distinguish between natural death, accidental death, suicide and homicide. The scene of the crime must be examined exhaustively, using autopsies and analysis of human remains by competent professionals and employing rigorous and appropriate procedures. Furthermore, special diligence shall be shown in cases indicating violence against women and children, or torture and other CIDT, in accordance with international law.</w:t>
      </w:r>
      <w:r w:rsidRPr="00D920C9">
        <w:rPr>
          <w:rFonts w:asciiTheme="minorHAnsi" w:hAnsiTheme="minorHAnsi"/>
          <w:vertAlign w:val="superscript"/>
        </w:rPr>
        <w:footnoteReference w:id="587"/>
      </w:r>
    </w:p>
    <w:p w14:paraId="1F3EB74A" w14:textId="77777777" w:rsidR="00E83859" w:rsidRPr="00D920C9" w:rsidRDefault="00E83859" w:rsidP="00E86698">
      <w:pPr>
        <w:pStyle w:val="ListParagraph"/>
        <w:numPr>
          <w:ilvl w:val="0"/>
          <w:numId w:val="9"/>
        </w:numPr>
        <w:spacing w:after="240" w:line="240" w:lineRule="auto"/>
        <w:ind w:left="547" w:hanging="547"/>
        <w:contextualSpacing w:val="0"/>
        <w:jc w:val="both"/>
        <w:rPr>
          <w:rFonts w:asciiTheme="minorHAnsi" w:hAnsiTheme="minorHAnsi"/>
        </w:rPr>
      </w:pPr>
      <w:r w:rsidRPr="00D920C9">
        <w:rPr>
          <w:rFonts w:asciiTheme="minorHAnsi" w:hAnsiTheme="minorHAnsi"/>
        </w:rPr>
        <w:t xml:space="preserve">In particular, the Commission has stated that it is incumbent upon the State to investigate alleged human rights violations ex officio. In cases involving the use of force by State agents, the investigation has to meet certain standards. </w:t>
      </w:r>
      <w:r w:rsidR="000873BA" w:rsidRPr="00D920C9">
        <w:rPr>
          <w:rFonts w:asciiTheme="minorHAnsi" w:hAnsiTheme="minorHAnsi"/>
        </w:rPr>
        <w:t>For example, the</w:t>
      </w:r>
      <w:r w:rsidRPr="00D920C9">
        <w:rPr>
          <w:rFonts w:asciiTheme="minorHAnsi" w:hAnsiTheme="minorHAnsi"/>
        </w:rPr>
        <w:t xml:space="preserve"> investigation</w:t>
      </w:r>
      <w:r w:rsidR="000873BA" w:rsidRPr="00D920C9">
        <w:rPr>
          <w:rFonts w:asciiTheme="minorHAnsi" w:hAnsiTheme="minorHAnsi"/>
        </w:rPr>
        <w:t xml:space="preserve"> must be</w:t>
      </w:r>
      <w:r w:rsidRPr="00D920C9">
        <w:rPr>
          <w:rFonts w:asciiTheme="minorHAnsi" w:hAnsiTheme="minorHAnsi"/>
        </w:rPr>
        <w:t xml:space="preserve"> conducted by authorities with real institutional independence</w:t>
      </w:r>
      <w:r w:rsidR="000873BA" w:rsidRPr="00D920C9">
        <w:rPr>
          <w:rFonts w:asciiTheme="minorHAnsi" w:hAnsiTheme="minorHAnsi"/>
        </w:rPr>
        <w:t xml:space="preserve">, and must take </w:t>
      </w:r>
      <w:r w:rsidRPr="00D920C9">
        <w:rPr>
          <w:rFonts w:asciiTheme="minorHAnsi" w:hAnsiTheme="minorHAnsi"/>
        </w:rPr>
        <w:t>reasonable steps to safeguard the stock of evidence required to ascertain the facts being examined</w:t>
      </w:r>
      <w:r w:rsidR="000873BA" w:rsidRPr="00D920C9">
        <w:rPr>
          <w:rFonts w:asciiTheme="minorHAnsi" w:hAnsiTheme="minorHAnsi"/>
        </w:rPr>
        <w:t>.</w:t>
      </w:r>
      <w:r w:rsidR="000873BA" w:rsidRPr="00D920C9">
        <w:rPr>
          <w:rFonts w:asciiTheme="minorHAnsi" w:hAnsiTheme="minorHAnsi"/>
          <w:vertAlign w:val="superscript"/>
        </w:rPr>
        <w:footnoteReference w:id="588"/>
      </w:r>
      <w:r w:rsidR="000873BA" w:rsidRPr="00D920C9">
        <w:rPr>
          <w:rFonts w:asciiTheme="minorHAnsi" w:hAnsiTheme="minorHAnsi"/>
        </w:rPr>
        <w:t xml:space="preserve"> Investigations should further conform to the principles of celerity, professionalism, exhaustiveness, and victim participation.</w:t>
      </w:r>
    </w:p>
    <w:p w14:paraId="440A4EF3" w14:textId="77777777" w:rsidR="000873BA" w:rsidRPr="00D920C9" w:rsidRDefault="000873BA" w:rsidP="00E86698">
      <w:pPr>
        <w:pStyle w:val="ListParagraph"/>
        <w:numPr>
          <w:ilvl w:val="0"/>
          <w:numId w:val="9"/>
        </w:numPr>
        <w:spacing w:after="240" w:line="240" w:lineRule="auto"/>
        <w:ind w:left="547" w:hanging="547"/>
        <w:contextualSpacing w:val="0"/>
        <w:jc w:val="both"/>
        <w:rPr>
          <w:rFonts w:asciiTheme="minorHAnsi" w:hAnsiTheme="minorHAnsi"/>
          <w:szCs w:val="20"/>
        </w:rPr>
      </w:pPr>
      <w:r w:rsidRPr="00D920C9">
        <w:rPr>
          <w:rFonts w:asciiTheme="minorHAnsi" w:hAnsiTheme="minorHAnsi"/>
        </w:rPr>
        <w:t xml:space="preserve">The Commission has previously emphasized that conserving the scene where the alleged facts took place is core part of the concept of due </w:t>
      </w:r>
      <w:r w:rsidRPr="00D920C9">
        <w:rPr>
          <w:rFonts w:asciiTheme="minorHAnsi" w:hAnsiTheme="minorHAnsi"/>
        </w:rPr>
        <w:lastRenderedPageBreak/>
        <w:t>diligence.</w:t>
      </w:r>
      <w:r w:rsidRPr="00D920C9">
        <w:rPr>
          <w:rFonts w:asciiTheme="minorHAnsi" w:hAnsiTheme="minorHAnsi"/>
          <w:vertAlign w:val="superscript"/>
        </w:rPr>
        <w:footnoteReference w:id="589"/>
      </w:r>
      <w:r w:rsidRPr="00D920C9">
        <w:rPr>
          <w:rFonts w:asciiTheme="minorHAnsi" w:hAnsiTheme="minorHAnsi"/>
        </w:rPr>
        <w:t xml:space="preserve"> It is especially important to preserve the communications between personnel involved in the operation and all records of sounds and images produced by the security institutions present</w:t>
      </w:r>
      <w:r w:rsidRPr="00D920C9">
        <w:rPr>
          <w:rFonts w:asciiTheme="minorHAnsi" w:hAnsiTheme="minorHAnsi"/>
          <w:szCs w:val="20"/>
        </w:rPr>
        <w:t xml:space="preserve"> at the time in their original media, both those directly relating to the sequence of events and those relating to the whole operation at its various levels. The authorities responsible for protecting the scene and the evidence must cooperate effectively with those responsible for </w:t>
      </w:r>
      <w:r w:rsidR="004570B4" w:rsidRPr="00D920C9">
        <w:rPr>
          <w:rFonts w:asciiTheme="minorHAnsi" w:hAnsiTheme="minorHAnsi"/>
          <w:szCs w:val="20"/>
        </w:rPr>
        <w:t>conducting the investigation.</w:t>
      </w:r>
      <w:r w:rsidR="004570B4" w:rsidRPr="00D920C9">
        <w:rPr>
          <w:rStyle w:val="FootnoteReference"/>
          <w:rFonts w:asciiTheme="minorHAnsi" w:hAnsiTheme="minorHAnsi"/>
          <w:szCs w:val="20"/>
        </w:rPr>
        <w:footnoteReference w:id="590"/>
      </w:r>
      <w:r w:rsidR="004570B4" w:rsidRPr="00D920C9">
        <w:rPr>
          <w:rFonts w:asciiTheme="minorHAnsi" w:hAnsiTheme="minorHAnsi"/>
          <w:szCs w:val="20"/>
        </w:rPr>
        <w:t xml:space="preserve"> This obligation includes the obligation to properly preserve and ensure chain of custody over recordings of an incident of police violence, including dashboard and body camera footage. </w:t>
      </w:r>
    </w:p>
    <w:p w14:paraId="5A839B8A" w14:textId="0F42D944" w:rsidR="002F06BF" w:rsidRPr="00D920C9" w:rsidRDefault="008F624A" w:rsidP="00226E45">
      <w:pPr>
        <w:pStyle w:val="Heading3"/>
        <w:ind w:left="540" w:hanging="540"/>
      </w:pPr>
      <w:bookmarkStart w:id="233" w:name="_Toc511837844"/>
      <w:bookmarkStart w:id="234" w:name="_Toc511903017"/>
      <w:bookmarkStart w:id="235" w:name="_Toc517687946"/>
      <w:r w:rsidRPr="00D920C9">
        <w:t xml:space="preserve">Institutional </w:t>
      </w:r>
      <w:r w:rsidR="003A6706" w:rsidRPr="00D920C9">
        <w:t>Design</w:t>
      </w:r>
      <w:bookmarkEnd w:id="233"/>
      <w:bookmarkEnd w:id="234"/>
      <w:bookmarkEnd w:id="235"/>
    </w:p>
    <w:p w14:paraId="05F2E01E" w14:textId="77777777" w:rsidR="004570B4" w:rsidRPr="00D920C9" w:rsidRDefault="004570B4" w:rsidP="00E86698">
      <w:pPr>
        <w:pStyle w:val="ListParagraph"/>
        <w:numPr>
          <w:ilvl w:val="0"/>
          <w:numId w:val="9"/>
        </w:numPr>
        <w:spacing w:after="240" w:line="240" w:lineRule="auto"/>
        <w:ind w:left="547" w:hanging="547"/>
        <w:contextualSpacing w:val="0"/>
        <w:jc w:val="both"/>
        <w:rPr>
          <w:rFonts w:asciiTheme="minorHAnsi" w:hAnsiTheme="minorHAnsi"/>
        </w:rPr>
      </w:pPr>
      <w:r w:rsidRPr="00D920C9">
        <w:rPr>
          <w:rFonts w:asciiTheme="minorHAnsi" w:hAnsiTheme="minorHAnsi"/>
          <w:szCs w:val="20"/>
          <w:lang w:eastAsia="es-ES"/>
        </w:rPr>
        <w:t xml:space="preserve">Designing proper oversight and investigatory mechanisms for cases of </w:t>
      </w:r>
      <w:r w:rsidRPr="00D920C9">
        <w:rPr>
          <w:rFonts w:asciiTheme="minorHAnsi" w:hAnsiTheme="minorHAnsi"/>
          <w:szCs w:val="20"/>
        </w:rPr>
        <w:t xml:space="preserve">police violence is of fundamental importance. As </w:t>
      </w:r>
      <w:r w:rsidRPr="00D920C9">
        <w:rPr>
          <w:rFonts w:asciiTheme="minorHAnsi" w:hAnsiTheme="minorHAnsi"/>
        </w:rPr>
        <w:t>the Special Rapporteur on extrajudicial executions has stated, “[</w:t>
      </w:r>
      <w:proofErr w:type="spellStart"/>
      <w:r w:rsidRPr="00D920C9">
        <w:rPr>
          <w:rFonts w:asciiTheme="minorHAnsi" w:hAnsiTheme="minorHAnsi"/>
        </w:rPr>
        <w:t>i</w:t>
      </w:r>
      <w:proofErr w:type="spellEnd"/>
      <w:r w:rsidRPr="00D920C9">
        <w:rPr>
          <w:rFonts w:asciiTheme="minorHAnsi" w:hAnsiTheme="minorHAnsi"/>
        </w:rPr>
        <w:t>]</w:t>
      </w:r>
      <w:proofErr w:type="spellStart"/>
      <w:r w:rsidRPr="00D920C9">
        <w:rPr>
          <w:rFonts w:asciiTheme="minorHAnsi" w:hAnsiTheme="minorHAnsi"/>
        </w:rPr>
        <w:t>ndividuals</w:t>
      </w:r>
      <w:proofErr w:type="spellEnd"/>
      <w:r w:rsidRPr="00D920C9">
        <w:rPr>
          <w:rFonts w:asciiTheme="minorHAnsi" w:hAnsiTheme="minorHAnsi"/>
        </w:rPr>
        <w:t xml:space="preserve"> commit violations of the right to life not because they believe it is justifiable, but because they believe they will not be called on to justify themselves.”</w:t>
      </w:r>
      <w:r w:rsidRPr="00D920C9">
        <w:rPr>
          <w:rFonts w:asciiTheme="minorHAnsi" w:hAnsiTheme="minorHAnsi"/>
          <w:vertAlign w:val="superscript"/>
        </w:rPr>
        <w:footnoteReference w:id="591"/>
      </w:r>
    </w:p>
    <w:p w14:paraId="518C905A" w14:textId="77777777" w:rsidR="004570B4" w:rsidRPr="00D920C9" w:rsidRDefault="004570B4" w:rsidP="00E86698">
      <w:pPr>
        <w:pStyle w:val="ListParagraph"/>
        <w:numPr>
          <w:ilvl w:val="0"/>
          <w:numId w:val="9"/>
        </w:numPr>
        <w:spacing w:after="240" w:line="240" w:lineRule="auto"/>
        <w:ind w:left="547" w:hanging="547"/>
        <w:contextualSpacing w:val="0"/>
        <w:jc w:val="both"/>
        <w:rPr>
          <w:rFonts w:asciiTheme="minorHAnsi" w:hAnsiTheme="minorHAnsi"/>
        </w:rPr>
      </w:pPr>
      <w:r w:rsidRPr="00D920C9">
        <w:rPr>
          <w:rFonts w:asciiTheme="minorHAnsi" w:hAnsiTheme="minorHAnsi"/>
        </w:rPr>
        <w:t>It is critical to have in place preventive controls and pr</w:t>
      </w:r>
      <w:r w:rsidR="00046E48" w:rsidRPr="00D920C9">
        <w:rPr>
          <w:rFonts w:asciiTheme="minorHAnsi" w:hAnsiTheme="minorHAnsi"/>
        </w:rPr>
        <w:t>ocedures to effectively review</w:t>
      </w:r>
      <w:r w:rsidRPr="00D920C9">
        <w:rPr>
          <w:rFonts w:asciiTheme="minorHAnsi" w:hAnsiTheme="minorHAnsi"/>
        </w:rPr>
        <w:t xml:space="preserve"> the legality of the use of force by law enforcement personnel</w:t>
      </w:r>
      <w:r w:rsidR="00046E48" w:rsidRPr="00D920C9">
        <w:rPr>
          <w:rFonts w:asciiTheme="minorHAnsi" w:hAnsiTheme="minorHAnsi"/>
        </w:rPr>
        <w:t xml:space="preserve"> in accordance with the rules of due process</w:t>
      </w:r>
      <w:r w:rsidRPr="00D920C9">
        <w:rPr>
          <w:rFonts w:asciiTheme="minorHAnsi" w:hAnsiTheme="minorHAnsi"/>
        </w:rPr>
        <w:t>, since the absence of meaningful investigations tends to encourage conduct</w:t>
      </w:r>
      <w:r w:rsidR="00046E48" w:rsidRPr="00D920C9">
        <w:rPr>
          <w:rFonts w:asciiTheme="minorHAnsi" w:hAnsiTheme="minorHAnsi"/>
        </w:rPr>
        <w:t xml:space="preserve"> contrary to human rights; this creates a climate of impunity that encourages the repetition of abuses and may potentially engage the international responsibility of the State.</w:t>
      </w:r>
      <w:r w:rsidR="00046E48" w:rsidRPr="00D920C9">
        <w:rPr>
          <w:rFonts w:asciiTheme="minorHAnsi" w:hAnsiTheme="minorHAnsi"/>
          <w:vertAlign w:val="superscript"/>
        </w:rPr>
        <w:footnoteReference w:id="592"/>
      </w:r>
      <w:r w:rsidR="00046E48" w:rsidRPr="00D920C9">
        <w:rPr>
          <w:rFonts w:asciiTheme="minorHAnsi" w:hAnsiTheme="minorHAnsi"/>
        </w:rPr>
        <w:t xml:space="preserve"> In this regard, the existence of a robust, efficient, independent, and impartial system to which State agents are accountable remains the best deterrent to the arbitrary use of force by law enforcement agents.</w:t>
      </w:r>
      <w:r w:rsidR="00046E48" w:rsidRPr="00D920C9">
        <w:rPr>
          <w:rFonts w:asciiTheme="minorHAnsi" w:hAnsiTheme="minorHAnsi"/>
          <w:vertAlign w:val="superscript"/>
        </w:rPr>
        <w:footnoteReference w:id="593"/>
      </w:r>
      <w:r w:rsidR="00046E48" w:rsidRPr="00D920C9">
        <w:rPr>
          <w:rFonts w:asciiTheme="minorHAnsi" w:hAnsiTheme="minorHAnsi"/>
        </w:rPr>
        <w:t xml:space="preserve"> In this vein, the Special Rapporteur on extrajudicial executions stated, “[t]o </w:t>
      </w:r>
      <w:r w:rsidR="00046E48" w:rsidRPr="00D920C9">
        <w:rPr>
          <w:rFonts w:asciiTheme="minorHAnsi" w:hAnsiTheme="minorHAnsi"/>
        </w:rPr>
        <w:lastRenderedPageBreak/>
        <w:t>function properly, the police need […] appropriate mechanisms for accountability to be in place.”</w:t>
      </w:r>
      <w:r w:rsidR="00046E48" w:rsidRPr="00D920C9">
        <w:rPr>
          <w:rFonts w:asciiTheme="minorHAnsi" w:hAnsiTheme="minorHAnsi"/>
          <w:vertAlign w:val="superscript"/>
        </w:rPr>
        <w:footnoteReference w:id="594"/>
      </w:r>
    </w:p>
    <w:p w14:paraId="188AA20B" w14:textId="77777777" w:rsidR="004570B4" w:rsidRPr="00D920C9" w:rsidRDefault="004570B4" w:rsidP="00E86698">
      <w:pPr>
        <w:pStyle w:val="ListParagraph"/>
        <w:numPr>
          <w:ilvl w:val="0"/>
          <w:numId w:val="9"/>
        </w:numPr>
        <w:spacing w:after="240" w:line="240" w:lineRule="auto"/>
        <w:ind w:left="547" w:hanging="547"/>
        <w:contextualSpacing w:val="0"/>
        <w:jc w:val="both"/>
        <w:rPr>
          <w:rFonts w:asciiTheme="minorHAnsi" w:hAnsiTheme="minorHAnsi"/>
        </w:rPr>
      </w:pPr>
      <w:r w:rsidRPr="00D920C9">
        <w:rPr>
          <w:rFonts w:asciiTheme="minorHAnsi" w:hAnsiTheme="minorHAnsi"/>
        </w:rPr>
        <w:t>The Commission notes the need to both create more independent mechanisms to investigate police abuses, and to take measures to strengthen the capacity and effectiveness of existing ones.</w:t>
      </w:r>
      <w:r w:rsidRPr="00D920C9">
        <w:rPr>
          <w:rFonts w:asciiTheme="minorHAnsi" w:hAnsiTheme="minorHAnsi"/>
          <w:vertAlign w:val="superscript"/>
        </w:rPr>
        <w:footnoteReference w:id="595"/>
      </w:r>
      <w:r w:rsidRPr="00D920C9">
        <w:rPr>
          <w:rFonts w:asciiTheme="minorHAnsi" w:hAnsiTheme="minorHAnsi"/>
        </w:rPr>
        <w:t xml:space="preserve"> Investigation must be independent from police departments and individuals who may be influenced by </w:t>
      </w:r>
      <w:r w:rsidR="005112CF" w:rsidRPr="00D920C9">
        <w:rPr>
          <w:rFonts w:asciiTheme="minorHAnsi" w:hAnsiTheme="minorHAnsi"/>
        </w:rPr>
        <w:t>t</w:t>
      </w:r>
      <w:r w:rsidRPr="00D920C9">
        <w:rPr>
          <w:rFonts w:asciiTheme="minorHAnsi" w:hAnsiTheme="minorHAnsi"/>
        </w:rPr>
        <w:t>hem, and the accountability system must include provision for administrative, disciplinary, and criminal sanctions of those responsible for any violations.</w:t>
      </w:r>
      <w:r w:rsidRPr="00D920C9">
        <w:rPr>
          <w:rFonts w:asciiTheme="minorHAnsi" w:hAnsiTheme="minorHAnsi"/>
          <w:vertAlign w:val="superscript"/>
        </w:rPr>
        <w:footnoteReference w:id="596"/>
      </w:r>
    </w:p>
    <w:p w14:paraId="19772F34" w14:textId="77777777" w:rsidR="004570B4" w:rsidRPr="00D920C9" w:rsidRDefault="004570B4" w:rsidP="00E86698">
      <w:pPr>
        <w:pStyle w:val="ListParagraph"/>
        <w:numPr>
          <w:ilvl w:val="0"/>
          <w:numId w:val="9"/>
        </w:numPr>
        <w:spacing w:after="240" w:line="240" w:lineRule="auto"/>
        <w:ind w:left="547" w:hanging="547"/>
        <w:contextualSpacing w:val="0"/>
        <w:jc w:val="both"/>
        <w:rPr>
          <w:rFonts w:asciiTheme="minorHAnsi" w:hAnsiTheme="minorHAnsi"/>
          <w:szCs w:val="20"/>
        </w:rPr>
      </w:pPr>
      <w:r w:rsidRPr="00D920C9">
        <w:rPr>
          <w:rFonts w:asciiTheme="minorHAnsi" w:hAnsiTheme="minorHAnsi"/>
        </w:rPr>
        <w:t xml:space="preserve">When an investigation of an incident of police violence is initiated, its independence is critical. </w:t>
      </w:r>
      <w:r w:rsidR="007F7673" w:rsidRPr="00D920C9">
        <w:rPr>
          <w:rFonts w:asciiTheme="minorHAnsi" w:hAnsiTheme="minorHAnsi"/>
        </w:rPr>
        <w:t>T</w:t>
      </w:r>
      <w:r w:rsidR="005112CF" w:rsidRPr="00D920C9">
        <w:rPr>
          <w:rFonts w:asciiTheme="minorHAnsi" w:hAnsiTheme="minorHAnsi"/>
        </w:rPr>
        <w:t>he</w:t>
      </w:r>
      <w:r w:rsidR="00352483" w:rsidRPr="00D920C9">
        <w:rPr>
          <w:rFonts w:asciiTheme="minorHAnsi" w:hAnsiTheme="minorHAnsi"/>
        </w:rPr>
        <w:t xml:space="preserve"> U.N. </w:t>
      </w:r>
      <w:r w:rsidR="005112CF" w:rsidRPr="00D920C9">
        <w:rPr>
          <w:rFonts w:asciiTheme="minorHAnsi" w:hAnsiTheme="minorHAnsi"/>
        </w:rPr>
        <w:t>Basic Principles emphasize that institutional connections and relationships that may impact the independence of investigations and future prosecutions must be carefully evaluated.</w:t>
      </w:r>
      <w:r w:rsidR="005112CF" w:rsidRPr="00D920C9">
        <w:rPr>
          <w:rFonts w:asciiTheme="minorHAnsi" w:hAnsiTheme="minorHAnsi"/>
          <w:vertAlign w:val="superscript"/>
        </w:rPr>
        <w:footnoteReference w:id="597"/>
      </w:r>
      <w:r w:rsidRPr="00D920C9">
        <w:rPr>
          <w:rFonts w:asciiTheme="minorHAnsi" w:hAnsiTheme="minorHAnsi"/>
        </w:rPr>
        <w:t xml:space="preserve"> </w:t>
      </w:r>
      <w:r w:rsidR="005112CF" w:rsidRPr="00D920C9">
        <w:rPr>
          <w:rFonts w:asciiTheme="minorHAnsi" w:hAnsiTheme="minorHAnsi"/>
        </w:rPr>
        <w:t>The Commission recalls the information discussed in previous sections regarding the roles of grand juries and prosecutors in the indictment or non-indictment of police officers,</w:t>
      </w:r>
      <w:r w:rsidR="009749F9" w:rsidRPr="00D920C9">
        <w:rPr>
          <w:rFonts w:asciiTheme="minorHAnsi" w:hAnsiTheme="minorHAnsi"/>
          <w:vertAlign w:val="superscript"/>
        </w:rPr>
        <w:footnoteReference w:id="598"/>
      </w:r>
      <w:r w:rsidR="005112CF" w:rsidRPr="00D920C9">
        <w:rPr>
          <w:rFonts w:asciiTheme="minorHAnsi" w:hAnsiTheme="minorHAnsi"/>
        </w:rPr>
        <w:t xml:space="preserve"> and in particular the concerns</w:t>
      </w:r>
      <w:r w:rsidR="005112CF" w:rsidRPr="00D920C9">
        <w:rPr>
          <w:rFonts w:asciiTheme="minorHAnsi" w:hAnsiTheme="minorHAnsi"/>
          <w:szCs w:val="20"/>
        </w:rPr>
        <w:t xml:space="preserve"> expressed by civil society that because the initiation of a criminal investigation relies upon prosecutorial discretion, “which is often marred by resource constraints, pressure from police unions, and bias in favor of the police due to the working relationship between prosecutors and officers</w:t>
      </w:r>
      <w:r w:rsidR="00E27379" w:rsidRPr="00D920C9">
        <w:rPr>
          <w:rFonts w:asciiTheme="minorHAnsi" w:hAnsiTheme="minorHAnsi"/>
          <w:szCs w:val="20"/>
        </w:rPr>
        <w:t>,” prosecutors may be less likely to file charges against police officers than civilian suspects.</w:t>
      </w:r>
      <w:r w:rsidR="009749F9" w:rsidRPr="00D920C9">
        <w:rPr>
          <w:rStyle w:val="FootnoteReference"/>
          <w:rFonts w:asciiTheme="minorHAnsi" w:hAnsiTheme="minorHAnsi"/>
          <w:szCs w:val="20"/>
        </w:rPr>
        <w:footnoteReference w:id="599"/>
      </w:r>
      <w:r w:rsidR="00E27379" w:rsidRPr="00D920C9">
        <w:rPr>
          <w:rFonts w:asciiTheme="minorHAnsi" w:hAnsiTheme="minorHAnsi"/>
          <w:szCs w:val="20"/>
        </w:rPr>
        <w:t xml:space="preserve"> In this regard, the Commission regards as positive the recommendation of the President’s Task Force that State “policies should mandate external and independent criminal investigations in cases of police use of force resulting in death, officer-involved shootings resulting in injury or death, or in-custody deaths.”</w:t>
      </w:r>
      <w:r w:rsidR="009749F9" w:rsidRPr="00D920C9">
        <w:rPr>
          <w:rStyle w:val="FootnoteReference"/>
          <w:rFonts w:asciiTheme="minorHAnsi" w:hAnsiTheme="minorHAnsi"/>
          <w:szCs w:val="20"/>
        </w:rPr>
        <w:footnoteReference w:id="600"/>
      </w:r>
      <w:r w:rsidR="00E27379" w:rsidRPr="00D920C9">
        <w:rPr>
          <w:rFonts w:asciiTheme="minorHAnsi" w:hAnsiTheme="minorHAnsi"/>
          <w:szCs w:val="20"/>
        </w:rPr>
        <w:t xml:space="preserve"> The Commission further emphasizes the importance of exploring the use of special prosecutors or investigatory bodies without close institutional connections to the police for the investigation and prosecution of police killings.</w:t>
      </w:r>
    </w:p>
    <w:p w14:paraId="0C5AA201" w14:textId="77777777" w:rsidR="004570B4" w:rsidRPr="00D920C9" w:rsidRDefault="00174CE4" w:rsidP="00E86698">
      <w:pPr>
        <w:pStyle w:val="ListParagraph"/>
        <w:numPr>
          <w:ilvl w:val="0"/>
          <w:numId w:val="9"/>
        </w:numPr>
        <w:spacing w:after="240" w:line="240" w:lineRule="auto"/>
        <w:ind w:left="547" w:hanging="547"/>
        <w:contextualSpacing w:val="0"/>
        <w:jc w:val="both"/>
        <w:rPr>
          <w:rFonts w:asciiTheme="minorHAnsi" w:hAnsiTheme="minorHAnsi"/>
        </w:rPr>
      </w:pPr>
      <w:r w:rsidRPr="00D920C9">
        <w:rPr>
          <w:rFonts w:asciiTheme="minorHAnsi" w:hAnsiTheme="minorHAnsi"/>
          <w:szCs w:val="20"/>
          <w:lang w:eastAsia="es-ES"/>
        </w:rPr>
        <w:lastRenderedPageBreak/>
        <w:t>The Commission considers, in line with the U</w:t>
      </w:r>
      <w:r w:rsidR="00037FDA" w:rsidRPr="00D920C9">
        <w:rPr>
          <w:rFonts w:asciiTheme="minorHAnsi" w:hAnsiTheme="minorHAnsi"/>
          <w:szCs w:val="20"/>
          <w:lang w:eastAsia="es-ES"/>
        </w:rPr>
        <w:t>.</w:t>
      </w:r>
      <w:r w:rsidRPr="00D920C9">
        <w:rPr>
          <w:rFonts w:asciiTheme="minorHAnsi" w:hAnsiTheme="minorHAnsi"/>
          <w:szCs w:val="20"/>
          <w:lang w:eastAsia="es-ES"/>
        </w:rPr>
        <w:t>N</w:t>
      </w:r>
      <w:r w:rsidR="00037FDA" w:rsidRPr="00D920C9">
        <w:rPr>
          <w:rFonts w:asciiTheme="minorHAnsi" w:hAnsiTheme="minorHAnsi"/>
          <w:szCs w:val="20"/>
          <w:lang w:eastAsia="es-ES"/>
        </w:rPr>
        <w:t>.</w:t>
      </w:r>
      <w:r w:rsidRPr="00D920C9">
        <w:rPr>
          <w:rFonts w:asciiTheme="minorHAnsi" w:hAnsiTheme="minorHAnsi"/>
          <w:szCs w:val="20"/>
          <w:lang w:eastAsia="es-ES"/>
        </w:rPr>
        <w:t xml:space="preserve"> </w:t>
      </w:r>
      <w:r w:rsidR="006F2F26" w:rsidRPr="00D920C9">
        <w:rPr>
          <w:rFonts w:asciiTheme="minorHAnsi" w:hAnsiTheme="minorHAnsi"/>
          <w:szCs w:val="20"/>
          <w:lang w:eastAsia="es-ES"/>
        </w:rPr>
        <w:t>B</w:t>
      </w:r>
      <w:r w:rsidRPr="00D920C9">
        <w:rPr>
          <w:rFonts w:asciiTheme="minorHAnsi" w:hAnsiTheme="minorHAnsi"/>
          <w:szCs w:val="20"/>
          <w:lang w:eastAsia="es-ES"/>
        </w:rPr>
        <w:t xml:space="preserve">asic Principles, </w:t>
      </w:r>
      <w:r w:rsidR="00E53C93" w:rsidRPr="00D920C9">
        <w:rPr>
          <w:rFonts w:asciiTheme="minorHAnsi" w:hAnsiTheme="minorHAnsi"/>
          <w:szCs w:val="20"/>
          <w:lang w:eastAsia="es-ES"/>
        </w:rPr>
        <w:t>that when an investigation into the use of force by law enforcement agents is initiated, it is critical that investigating or prosecuting authorities be independent, specialized in the supervision of police misconduct investigations, permanently appointed, and in a position to exercise jurisdiction in appropriate circumstances.</w:t>
      </w:r>
      <w:r w:rsidR="00E53C93" w:rsidRPr="00D920C9">
        <w:rPr>
          <w:rStyle w:val="FootnoteReference"/>
          <w:rFonts w:asciiTheme="minorHAnsi" w:hAnsiTheme="minorHAnsi"/>
          <w:szCs w:val="20"/>
          <w:lang w:eastAsia="es-ES"/>
        </w:rPr>
        <w:footnoteReference w:id="601"/>
      </w:r>
      <w:r w:rsidR="00D71309" w:rsidRPr="00D920C9">
        <w:rPr>
          <w:rFonts w:asciiTheme="minorHAnsi" w:hAnsiTheme="minorHAnsi"/>
          <w:szCs w:val="20"/>
          <w:lang w:eastAsia="es-ES"/>
        </w:rPr>
        <w:t xml:space="preserve"> Such authorities should have the necessary expertise to supervise investigations of police misconduct and crimes, and the same authority should be involved from the first case report through the indictment and trial of defendants. </w:t>
      </w:r>
      <w:r w:rsidR="007F7673" w:rsidRPr="00D920C9">
        <w:rPr>
          <w:rFonts w:asciiTheme="minorHAnsi" w:hAnsiTheme="minorHAnsi"/>
          <w:szCs w:val="20"/>
          <w:lang w:eastAsia="es-ES"/>
        </w:rPr>
        <w:t>T</w:t>
      </w:r>
      <w:r w:rsidR="00E53C93" w:rsidRPr="00D920C9">
        <w:rPr>
          <w:rFonts w:asciiTheme="minorHAnsi" w:hAnsiTheme="minorHAnsi"/>
          <w:szCs w:val="20"/>
          <w:lang w:eastAsia="es-ES"/>
        </w:rPr>
        <w:t xml:space="preserve">he Principles recommend that “in cases of death and serious injury, or other </w:t>
      </w:r>
      <w:r w:rsidR="00E53C93" w:rsidRPr="00D920C9">
        <w:rPr>
          <w:rFonts w:asciiTheme="minorHAnsi" w:hAnsiTheme="minorHAnsi"/>
        </w:rPr>
        <w:t>grave consequences, a detailed report shall be sent promptly to the competent authorities responsible for administrative review and judicial control.”</w:t>
      </w:r>
      <w:r w:rsidR="00E53C93" w:rsidRPr="00D920C9">
        <w:rPr>
          <w:rFonts w:asciiTheme="minorHAnsi" w:hAnsiTheme="minorHAnsi"/>
          <w:vertAlign w:val="superscript"/>
        </w:rPr>
        <w:footnoteReference w:id="602"/>
      </w:r>
      <w:r w:rsidR="00FE0818" w:rsidRPr="00D920C9">
        <w:rPr>
          <w:rFonts w:asciiTheme="minorHAnsi" w:hAnsiTheme="minorHAnsi"/>
        </w:rPr>
        <w:t xml:space="preserve"> The entire process should be marked by transparency and participation of the victims and their next of kin. The Commission additionally highlights the important complementary role that entities like civilian oversight boards may play in the independent supervision of police conduct.</w:t>
      </w:r>
      <w:r w:rsidR="00FE0818" w:rsidRPr="00D920C9">
        <w:rPr>
          <w:rFonts w:asciiTheme="minorHAnsi" w:hAnsiTheme="minorHAnsi"/>
          <w:vertAlign w:val="superscript"/>
        </w:rPr>
        <w:footnoteReference w:id="603"/>
      </w:r>
    </w:p>
    <w:p w14:paraId="0C05B81D" w14:textId="2E8F8861" w:rsidR="00E53C93" w:rsidRPr="00D920C9" w:rsidRDefault="00FE0818" w:rsidP="00E86698">
      <w:pPr>
        <w:pStyle w:val="ListParagraph"/>
        <w:numPr>
          <w:ilvl w:val="0"/>
          <w:numId w:val="9"/>
        </w:numPr>
        <w:spacing w:after="240" w:line="240" w:lineRule="auto"/>
        <w:ind w:left="547" w:hanging="547"/>
        <w:contextualSpacing w:val="0"/>
        <w:jc w:val="both"/>
        <w:rPr>
          <w:rFonts w:asciiTheme="minorHAnsi" w:hAnsiTheme="minorHAnsi"/>
          <w:szCs w:val="20"/>
          <w:lang w:eastAsia="es-ES"/>
        </w:rPr>
      </w:pPr>
      <w:bookmarkStart w:id="236" w:name="_Ref507676946"/>
      <w:r w:rsidRPr="00D920C9">
        <w:rPr>
          <w:rFonts w:asciiTheme="minorHAnsi" w:hAnsiTheme="minorHAnsi"/>
        </w:rPr>
        <w:t>The Commission reiterates that it regards internal disciplinary proceedings as autonomous mechanisms for States to supervise their officials’ discharge of the public duties assigned to them. Other than being an appropriate mechanism for monitoring performance, disciplinary proceedings</w:t>
      </w:r>
      <w:r w:rsidR="0032508B" w:rsidRPr="00D920C9">
        <w:rPr>
          <w:rFonts w:asciiTheme="minorHAnsi" w:hAnsiTheme="minorHAnsi"/>
        </w:rPr>
        <w:t xml:space="preserve"> alone</w:t>
      </w:r>
      <w:r w:rsidRPr="00D920C9">
        <w:rPr>
          <w:rFonts w:asciiTheme="minorHAnsi" w:hAnsiTheme="minorHAnsi"/>
        </w:rPr>
        <w:t xml:space="preserve"> are not a “sufficient means for prosecuting, punishing, and repairing the consequences of violations of human rights.”</w:t>
      </w:r>
      <w:r w:rsidRPr="00D920C9">
        <w:rPr>
          <w:rFonts w:asciiTheme="minorHAnsi" w:hAnsiTheme="minorHAnsi"/>
          <w:vertAlign w:val="superscript"/>
        </w:rPr>
        <w:footnoteReference w:id="604"/>
      </w:r>
      <w:r w:rsidRPr="00D920C9">
        <w:rPr>
          <w:rFonts w:asciiTheme="minorHAnsi" w:hAnsiTheme="minorHAnsi"/>
        </w:rPr>
        <w:t xml:space="preserve"> In this regard, the Commission reiterates its </w:t>
      </w:r>
      <w:r w:rsidR="00260D9A" w:rsidRPr="00D920C9">
        <w:rPr>
          <w:rFonts w:asciiTheme="minorHAnsi" w:hAnsiTheme="minorHAnsi"/>
        </w:rPr>
        <w:t>serious</w:t>
      </w:r>
      <w:r w:rsidRPr="00D920C9">
        <w:rPr>
          <w:rFonts w:asciiTheme="minorHAnsi" w:hAnsiTheme="minorHAnsi"/>
        </w:rPr>
        <w:t xml:space="preserve"> concern at information that internal investigatio</w:t>
      </w:r>
      <w:r w:rsidRPr="00D920C9">
        <w:rPr>
          <w:rFonts w:asciiTheme="minorHAnsi" w:hAnsiTheme="minorHAnsi"/>
          <w:szCs w:val="20"/>
          <w:lang w:eastAsia="es-ES"/>
        </w:rPr>
        <w:t>ns into police killings tend to be ineffective</w:t>
      </w:r>
      <w:r w:rsidR="00E074C3" w:rsidRPr="00D920C9">
        <w:rPr>
          <w:rFonts w:asciiTheme="minorHAnsi" w:hAnsiTheme="minorHAnsi"/>
          <w:szCs w:val="20"/>
          <w:lang w:eastAsia="es-ES"/>
        </w:rPr>
        <w:t xml:space="preserve"> remedies as they are expensive, time-consuming, and not transparent, and information</w:t>
      </w:r>
      <w:r w:rsidR="0032508B" w:rsidRPr="00D920C9">
        <w:rPr>
          <w:rFonts w:asciiTheme="minorHAnsi" w:hAnsiTheme="minorHAnsi"/>
          <w:szCs w:val="20"/>
          <w:lang w:eastAsia="es-ES"/>
        </w:rPr>
        <w:t xml:space="preserve"> </w:t>
      </w:r>
      <w:r w:rsidR="00E074C3" w:rsidRPr="00D920C9">
        <w:rPr>
          <w:rFonts w:asciiTheme="minorHAnsi" w:hAnsiTheme="minorHAnsi"/>
          <w:szCs w:val="20"/>
          <w:lang w:eastAsia="es-ES"/>
        </w:rPr>
        <w:t>indicat</w:t>
      </w:r>
      <w:r w:rsidR="00260D9A" w:rsidRPr="00D920C9">
        <w:rPr>
          <w:rFonts w:asciiTheme="minorHAnsi" w:hAnsiTheme="minorHAnsi"/>
          <w:szCs w:val="20"/>
          <w:lang w:eastAsia="es-ES"/>
        </w:rPr>
        <w:t>ing</w:t>
      </w:r>
      <w:r w:rsidR="00E074C3" w:rsidRPr="00D920C9">
        <w:rPr>
          <w:rFonts w:asciiTheme="minorHAnsi" w:hAnsiTheme="minorHAnsi"/>
          <w:szCs w:val="20"/>
          <w:lang w:eastAsia="es-ES"/>
        </w:rPr>
        <w:t xml:space="preserve"> that more than 90 percent of use of force complaints filed with large state and local law enforcement agencies were dismissed.</w:t>
      </w:r>
      <w:r w:rsidR="00E074C3" w:rsidRPr="00D920C9">
        <w:rPr>
          <w:rStyle w:val="FootnoteReference"/>
          <w:rFonts w:asciiTheme="minorHAnsi" w:hAnsiTheme="minorHAnsi"/>
          <w:szCs w:val="20"/>
          <w:lang w:eastAsia="es-ES"/>
        </w:rPr>
        <w:footnoteReference w:id="605"/>
      </w:r>
      <w:r w:rsidR="00E074C3" w:rsidRPr="00D920C9">
        <w:rPr>
          <w:rFonts w:asciiTheme="minorHAnsi" w:hAnsiTheme="minorHAnsi"/>
          <w:szCs w:val="20"/>
          <w:lang w:eastAsia="es-ES"/>
        </w:rPr>
        <w:t xml:space="preserve"> The inefficiency or inefficacy of internal investigations in practice likewise highlights the importance of ensuring external investigations with the competence to prosecute and punish, as applicable, those responsible for violations.</w:t>
      </w:r>
      <w:bookmarkEnd w:id="236"/>
    </w:p>
    <w:p w14:paraId="5274E968" w14:textId="33DA6895" w:rsidR="00F504E6" w:rsidRPr="00D920C9" w:rsidRDefault="008F624A" w:rsidP="00226E45">
      <w:pPr>
        <w:pStyle w:val="Heading3"/>
        <w:ind w:left="540" w:hanging="540"/>
      </w:pPr>
      <w:bookmarkStart w:id="237" w:name="_Toc511837845"/>
      <w:bookmarkStart w:id="238" w:name="_Toc511903018"/>
      <w:bookmarkStart w:id="239" w:name="_Toc517687947"/>
      <w:r w:rsidRPr="00D920C9">
        <w:t xml:space="preserve">The </w:t>
      </w:r>
      <w:r w:rsidR="003A6706" w:rsidRPr="00D920C9">
        <w:t xml:space="preserve">Duty </w:t>
      </w:r>
      <w:r w:rsidRPr="00D920C9">
        <w:t xml:space="preserve">to </w:t>
      </w:r>
      <w:proofErr w:type="gramStart"/>
      <w:r w:rsidR="003A6706" w:rsidRPr="00D920C9">
        <w:t>Prosecute</w:t>
      </w:r>
      <w:proofErr w:type="gramEnd"/>
      <w:r w:rsidR="003A6706" w:rsidRPr="00D920C9">
        <w:t xml:space="preserve"> </w:t>
      </w:r>
      <w:r w:rsidRPr="00D920C9">
        <w:t xml:space="preserve">and </w:t>
      </w:r>
      <w:r w:rsidR="003A6706" w:rsidRPr="00D920C9">
        <w:t xml:space="preserve">Punish </w:t>
      </w:r>
      <w:r w:rsidRPr="00D920C9">
        <w:t xml:space="preserve">all </w:t>
      </w:r>
      <w:r w:rsidR="003A6706" w:rsidRPr="00D920C9">
        <w:t>Responsible Parties</w:t>
      </w:r>
      <w:bookmarkEnd w:id="237"/>
      <w:bookmarkEnd w:id="238"/>
      <w:bookmarkEnd w:id="239"/>
    </w:p>
    <w:p w14:paraId="6A2B0F73" w14:textId="77777777" w:rsidR="00E074C3" w:rsidRPr="00D920C9" w:rsidRDefault="00E074C3" w:rsidP="00E86698">
      <w:pPr>
        <w:pStyle w:val="ListParagraph"/>
        <w:numPr>
          <w:ilvl w:val="0"/>
          <w:numId w:val="9"/>
        </w:numPr>
        <w:spacing w:after="240" w:line="240" w:lineRule="auto"/>
        <w:ind w:left="547" w:hanging="547"/>
        <w:contextualSpacing w:val="0"/>
        <w:jc w:val="both"/>
        <w:rPr>
          <w:rFonts w:asciiTheme="minorHAnsi" w:hAnsiTheme="minorHAnsi"/>
          <w:szCs w:val="20"/>
        </w:rPr>
      </w:pPr>
      <w:r w:rsidRPr="00D920C9">
        <w:rPr>
          <w:rFonts w:asciiTheme="minorHAnsi" w:hAnsiTheme="minorHAnsi"/>
          <w:szCs w:val="20"/>
        </w:rPr>
        <w:t xml:space="preserve">Cases of death or injury must be subject to a prompt, thorough, independent and impartial investigation with the goal of carrying out </w:t>
      </w:r>
      <w:r w:rsidRPr="00D920C9">
        <w:rPr>
          <w:rFonts w:asciiTheme="minorHAnsi" w:hAnsiTheme="minorHAnsi"/>
          <w:szCs w:val="20"/>
        </w:rPr>
        <w:lastRenderedPageBreak/>
        <w:t>prosecution proceedings. The general existence of criminal laws is not sufficie</w:t>
      </w:r>
      <w:r w:rsidRPr="00D920C9">
        <w:rPr>
          <w:rFonts w:asciiTheme="minorHAnsi" w:hAnsiTheme="minorHAnsi"/>
        </w:rPr>
        <w:t>n</w:t>
      </w:r>
      <w:r w:rsidRPr="00D920C9">
        <w:rPr>
          <w:rFonts w:asciiTheme="minorHAnsi" w:hAnsiTheme="minorHAnsi"/>
          <w:szCs w:val="20"/>
        </w:rPr>
        <w:t xml:space="preserve">t to ensure accountability of State officials—special measures are needed in order to ensure that officers are held responsible. These concerns are especially relevant in the context of police killings, </w:t>
      </w:r>
      <w:r w:rsidRPr="00D920C9">
        <w:rPr>
          <w:rFonts w:asciiTheme="minorHAnsi" w:hAnsiTheme="minorHAnsi"/>
        </w:rPr>
        <w:t>given</w:t>
      </w:r>
      <w:r w:rsidRPr="00D920C9">
        <w:rPr>
          <w:rFonts w:asciiTheme="minorHAnsi" w:hAnsiTheme="minorHAnsi"/>
          <w:szCs w:val="20"/>
        </w:rPr>
        <w:t xml:space="preserve"> the reported difficulties of achieving convictions of police officers. In this regard, the Committee </w:t>
      </w:r>
      <w:proofErr w:type="gramStart"/>
      <w:r w:rsidRPr="00D920C9">
        <w:rPr>
          <w:rFonts w:asciiTheme="minorHAnsi" w:hAnsiTheme="minorHAnsi"/>
          <w:szCs w:val="20"/>
        </w:rPr>
        <w:t>Against</w:t>
      </w:r>
      <w:proofErr w:type="gramEnd"/>
      <w:r w:rsidRPr="00D920C9">
        <w:rPr>
          <w:rFonts w:asciiTheme="minorHAnsi" w:hAnsiTheme="minorHAnsi"/>
          <w:szCs w:val="20"/>
        </w:rPr>
        <w:t xml:space="preserve"> Torture, among others, has expressed concern at “the frequent and recurrent shootings or fatal pursuits by the police of unarmed black individuals” and “the alleged difficulties of holding police officers and their employers accountable for abuses.”</w:t>
      </w:r>
      <w:r w:rsidRPr="00D920C9">
        <w:rPr>
          <w:rStyle w:val="FootnoteReference"/>
          <w:rFonts w:asciiTheme="minorHAnsi" w:hAnsiTheme="minorHAnsi"/>
          <w:szCs w:val="20"/>
        </w:rPr>
        <w:footnoteReference w:id="606"/>
      </w:r>
    </w:p>
    <w:p w14:paraId="10FC925C" w14:textId="77777777" w:rsidR="00E074C3" w:rsidRPr="00D920C9" w:rsidRDefault="00E074C3" w:rsidP="00E86698">
      <w:pPr>
        <w:pStyle w:val="ListParagraph"/>
        <w:numPr>
          <w:ilvl w:val="0"/>
          <w:numId w:val="9"/>
        </w:numPr>
        <w:spacing w:after="240" w:line="240" w:lineRule="auto"/>
        <w:ind w:left="547" w:hanging="547"/>
        <w:contextualSpacing w:val="0"/>
        <w:jc w:val="both"/>
        <w:rPr>
          <w:rFonts w:asciiTheme="minorHAnsi" w:hAnsiTheme="minorHAnsi"/>
        </w:rPr>
      </w:pPr>
      <w:r w:rsidRPr="00D920C9">
        <w:rPr>
          <w:rFonts w:asciiTheme="minorHAnsi" w:hAnsiTheme="minorHAnsi"/>
          <w:szCs w:val="20"/>
        </w:rPr>
        <w:t>Regarding the liability of senior officials incurred by issuing illicit orders regarding the use of force, the Commission underscores the provisions set forth in the U</w:t>
      </w:r>
      <w:r w:rsidR="00037FDA" w:rsidRPr="00D920C9">
        <w:rPr>
          <w:rFonts w:asciiTheme="minorHAnsi" w:hAnsiTheme="minorHAnsi"/>
          <w:szCs w:val="20"/>
        </w:rPr>
        <w:t>.</w:t>
      </w:r>
      <w:r w:rsidRPr="00D920C9">
        <w:rPr>
          <w:rFonts w:asciiTheme="minorHAnsi" w:hAnsiTheme="minorHAnsi"/>
          <w:szCs w:val="20"/>
        </w:rPr>
        <w:t>N</w:t>
      </w:r>
      <w:r w:rsidR="00037FDA" w:rsidRPr="00D920C9">
        <w:rPr>
          <w:rFonts w:asciiTheme="minorHAnsi" w:hAnsiTheme="minorHAnsi"/>
          <w:szCs w:val="20"/>
        </w:rPr>
        <w:t>.</w:t>
      </w:r>
      <w:r w:rsidRPr="00D920C9">
        <w:rPr>
          <w:rFonts w:asciiTheme="minorHAnsi" w:hAnsiTheme="minorHAnsi"/>
          <w:szCs w:val="20"/>
        </w:rPr>
        <w:t xml:space="preserve"> Basic Principles establishing that States must take steps to ensure that senior officials are held responsible when they were “aware of, or should have been aware of, agents under their command resorting to the illicit use of force and of firearms, and failed to adopt all measures at their disposal to prevent, eliminate, or report that use.”</w:t>
      </w:r>
      <w:r w:rsidRPr="00D920C9">
        <w:rPr>
          <w:rStyle w:val="FootnoteReference"/>
          <w:rFonts w:asciiTheme="minorHAnsi" w:hAnsiTheme="minorHAnsi"/>
          <w:szCs w:val="20"/>
        </w:rPr>
        <w:footnoteReference w:id="607"/>
      </w:r>
      <w:r w:rsidR="00E50ADE" w:rsidRPr="00D920C9">
        <w:rPr>
          <w:rFonts w:asciiTheme="minorHAnsi" w:hAnsiTheme="minorHAnsi"/>
          <w:szCs w:val="20"/>
        </w:rPr>
        <w:t xml:space="preserve"> On the other h</w:t>
      </w:r>
      <w:r w:rsidRPr="00D920C9">
        <w:rPr>
          <w:rFonts w:asciiTheme="minorHAnsi" w:hAnsiTheme="minorHAnsi"/>
          <w:szCs w:val="20"/>
        </w:rPr>
        <w:t xml:space="preserve">and, officials responsible for the use of force may not allege that they obeyed orders from superiors if they were aware that an order to use force that resulted in death or serious injury was </w:t>
      </w:r>
      <w:r w:rsidRPr="00D920C9">
        <w:rPr>
          <w:rFonts w:asciiTheme="minorHAnsi" w:hAnsiTheme="minorHAnsi"/>
        </w:rPr>
        <w:t>manifestly illicit, and they had a reasonable chance to refuse to obey it.</w:t>
      </w:r>
      <w:r w:rsidRPr="00D920C9">
        <w:rPr>
          <w:rFonts w:asciiTheme="minorHAnsi" w:hAnsiTheme="minorHAnsi"/>
          <w:vertAlign w:val="superscript"/>
        </w:rPr>
        <w:footnoteReference w:id="608"/>
      </w:r>
      <w:r w:rsidRPr="00D920C9">
        <w:rPr>
          <w:rFonts w:asciiTheme="minorHAnsi" w:hAnsiTheme="minorHAnsi"/>
        </w:rPr>
        <w:t xml:space="preserve"> </w:t>
      </w:r>
      <w:r w:rsidR="00D44603" w:rsidRPr="00D920C9">
        <w:rPr>
          <w:rFonts w:asciiTheme="minorHAnsi" w:hAnsiTheme="minorHAnsi"/>
        </w:rPr>
        <w:t>T</w:t>
      </w:r>
      <w:r w:rsidRPr="00D920C9">
        <w:rPr>
          <w:rFonts w:asciiTheme="minorHAnsi" w:hAnsiTheme="minorHAnsi"/>
        </w:rPr>
        <w:t>he Commission has echoed the Inter-American Court in stating that investigation of the facts must “make it possible to determine the degree and manner of participation of those who intervened, be they perpetrators or instigators, and thereby establish the corresponding liabilities.”</w:t>
      </w:r>
      <w:r w:rsidRPr="00D920C9">
        <w:rPr>
          <w:rFonts w:asciiTheme="minorHAnsi" w:hAnsiTheme="minorHAnsi"/>
          <w:vertAlign w:val="superscript"/>
        </w:rPr>
        <w:footnoteReference w:id="609"/>
      </w:r>
    </w:p>
    <w:p w14:paraId="44879642" w14:textId="77777777" w:rsidR="00E074C3" w:rsidRPr="00D920C9" w:rsidRDefault="007F7673" w:rsidP="00E86698">
      <w:pPr>
        <w:pStyle w:val="ListParagraph"/>
        <w:numPr>
          <w:ilvl w:val="0"/>
          <w:numId w:val="9"/>
        </w:numPr>
        <w:spacing w:after="240" w:line="240" w:lineRule="auto"/>
        <w:ind w:left="547" w:hanging="547"/>
        <w:contextualSpacing w:val="0"/>
        <w:jc w:val="both"/>
        <w:rPr>
          <w:rFonts w:asciiTheme="minorHAnsi" w:hAnsiTheme="minorHAnsi"/>
        </w:rPr>
      </w:pPr>
      <w:r w:rsidRPr="00D920C9">
        <w:rPr>
          <w:rFonts w:asciiTheme="minorHAnsi" w:hAnsiTheme="minorHAnsi"/>
        </w:rPr>
        <w:t>T</w:t>
      </w:r>
      <w:r w:rsidR="00E074C3" w:rsidRPr="00D920C9">
        <w:rPr>
          <w:rFonts w:asciiTheme="minorHAnsi" w:hAnsiTheme="minorHAnsi"/>
        </w:rPr>
        <w:t>he Commission denounces a “reiterated pattern of impunity in the killings of Afro-descendants by police in the United States,” and reiterates that the ineffective State response to this problem fuels the chronic repetition of incidents of excessive use of force by police.</w:t>
      </w:r>
      <w:r w:rsidR="00E074C3" w:rsidRPr="00D920C9">
        <w:rPr>
          <w:rFonts w:asciiTheme="minorHAnsi" w:hAnsiTheme="minorHAnsi"/>
          <w:vertAlign w:val="superscript"/>
        </w:rPr>
        <w:footnoteReference w:id="610"/>
      </w:r>
      <w:r w:rsidR="00E074C3" w:rsidRPr="00D920C9">
        <w:rPr>
          <w:rFonts w:asciiTheme="minorHAnsi" w:hAnsiTheme="minorHAnsi"/>
        </w:rPr>
        <w:t xml:space="preserve"> </w:t>
      </w:r>
      <w:r w:rsidRPr="00D920C9">
        <w:rPr>
          <w:rFonts w:asciiTheme="minorHAnsi" w:hAnsiTheme="minorHAnsi"/>
        </w:rPr>
        <w:t>T</w:t>
      </w:r>
      <w:r w:rsidR="00E074C3" w:rsidRPr="00D920C9">
        <w:rPr>
          <w:rFonts w:asciiTheme="minorHAnsi" w:hAnsiTheme="minorHAnsi"/>
        </w:rPr>
        <w:t xml:space="preserve">he absence of efficient and effective interventions by the organs of justice generates frustration among African Americans and other </w:t>
      </w:r>
      <w:r w:rsidR="00037FDA" w:rsidRPr="00D920C9">
        <w:rPr>
          <w:rFonts w:asciiTheme="minorHAnsi" w:hAnsiTheme="minorHAnsi"/>
        </w:rPr>
        <w:t>historically marginalized groups</w:t>
      </w:r>
      <w:r w:rsidR="00E074C3" w:rsidRPr="00D920C9">
        <w:rPr>
          <w:rFonts w:asciiTheme="minorHAnsi" w:hAnsiTheme="minorHAnsi"/>
        </w:rPr>
        <w:t>, as well as a sense that the police and other social institutions do not exist to protect them, which seriously affects coexistence in a democratic society.</w:t>
      </w:r>
      <w:r w:rsidR="00E074C3" w:rsidRPr="00D920C9">
        <w:rPr>
          <w:rFonts w:asciiTheme="minorHAnsi" w:hAnsiTheme="minorHAnsi"/>
          <w:vertAlign w:val="superscript"/>
        </w:rPr>
        <w:footnoteReference w:id="611"/>
      </w:r>
      <w:r w:rsidR="00E074C3" w:rsidRPr="00D920C9">
        <w:rPr>
          <w:rFonts w:asciiTheme="minorHAnsi" w:hAnsiTheme="minorHAnsi"/>
        </w:rPr>
        <w:t xml:space="preserve"> In light of the serious impacts that impunity for police violence has both on the repetition of these abuses and on the fabric of democratic society and social inclusion, the Commission considers that structural measures are urgently </w:t>
      </w:r>
      <w:r w:rsidR="00E074C3" w:rsidRPr="00D920C9">
        <w:rPr>
          <w:rFonts w:asciiTheme="minorHAnsi" w:hAnsiTheme="minorHAnsi"/>
        </w:rPr>
        <w:lastRenderedPageBreak/>
        <w:t xml:space="preserve">necessary to address the situation and rectify the underlying discrimination and marginalization that contribute to these abuses. </w:t>
      </w:r>
    </w:p>
    <w:p w14:paraId="209C3CB8" w14:textId="10CF5E0A" w:rsidR="00E074C3" w:rsidRPr="00D920C9" w:rsidRDefault="00E074C3" w:rsidP="00E86698">
      <w:pPr>
        <w:pStyle w:val="ListParagraph"/>
        <w:numPr>
          <w:ilvl w:val="0"/>
          <w:numId w:val="9"/>
        </w:numPr>
        <w:spacing w:after="240" w:line="240" w:lineRule="auto"/>
        <w:ind w:left="547" w:hanging="547"/>
        <w:contextualSpacing w:val="0"/>
        <w:jc w:val="both"/>
        <w:rPr>
          <w:rFonts w:asciiTheme="minorHAnsi" w:hAnsiTheme="minorHAnsi"/>
          <w:szCs w:val="20"/>
        </w:rPr>
      </w:pPr>
      <w:bookmarkStart w:id="240" w:name="_Ref507677030"/>
      <w:r w:rsidRPr="00D920C9">
        <w:rPr>
          <w:rFonts w:asciiTheme="minorHAnsi" w:hAnsiTheme="minorHAnsi"/>
        </w:rPr>
        <w:t>The Commission further reiterates the importance of fully investigating and prosecuting all officers who may be responsible; and the</w:t>
      </w:r>
      <w:r w:rsidRPr="00D920C9">
        <w:rPr>
          <w:rFonts w:asciiTheme="minorHAnsi" w:hAnsiTheme="minorHAnsi"/>
          <w:szCs w:val="20"/>
        </w:rPr>
        <w:t xml:space="preserve"> importance of reforming domestic law where necessary to ensure that proof of explicit racial bias is not the legal standard for achieving a conviction.</w:t>
      </w:r>
      <w:r w:rsidRPr="00D920C9">
        <w:rPr>
          <w:rStyle w:val="FootnoteReference"/>
          <w:rFonts w:asciiTheme="minorHAnsi" w:hAnsiTheme="minorHAnsi"/>
          <w:szCs w:val="20"/>
        </w:rPr>
        <w:footnoteReference w:id="612"/>
      </w:r>
      <w:bookmarkEnd w:id="240"/>
    </w:p>
    <w:p w14:paraId="24D2110C" w14:textId="2CECDDB5" w:rsidR="00F504E6" w:rsidRPr="00D920C9" w:rsidRDefault="008F624A" w:rsidP="00226E45">
      <w:pPr>
        <w:pStyle w:val="Heading3"/>
        <w:ind w:left="540" w:hanging="540"/>
      </w:pPr>
      <w:bookmarkStart w:id="241" w:name="_Toc511837846"/>
      <w:bookmarkStart w:id="242" w:name="_Toc511903019"/>
      <w:bookmarkStart w:id="243" w:name="_Toc517687948"/>
      <w:r w:rsidRPr="00D920C9">
        <w:t xml:space="preserve">The </w:t>
      </w:r>
      <w:r w:rsidR="003A6706" w:rsidRPr="00D920C9">
        <w:t xml:space="preserve">Right </w:t>
      </w:r>
      <w:r w:rsidRPr="00D920C9">
        <w:t xml:space="preserve">to an </w:t>
      </w:r>
      <w:r w:rsidR="003A6706" w:rsidRPr="00D920C9">
        <w:t>Effective Remedy</w:t>
      </w:r>
      <w:bookmarkEnd w:id="241"/>
      <w:bookmarkEnd w:id="242"/>
      <w:bookmarkEnd w:id="243"/>
    </w:p>
    <w:p w14:paraId="29E4C7A9" w14:textId="4EACA678" w:rsidR="009770A7" w:rsidRPr="00D920C9" w:rsidRDefault="009770A7" w:rsidP="00E86698">
      <w:pPr>
        <w:pStyle w:val="ListParagraph"/>
        <w:numPr>
          <w:ilvl w:val="0"/>
          <w:numId w:val="9"/>
        </w:numPr>
        <w:spacing w:after="240" w:line="240" w:lineRule="auto"/>
        <w:ind w:left="547" w:hanging="547"/>
        <w:contextualSpacing w:val="0"/>
        <w:jc w:val="both"/>
        <w:rPr>
          <w:rFonts w:asciiTheme="minorHAnsi" w:hAnsiTheme="minorHAnsi"/>
        </w:rPr>
      </w:pPr>
      <w:bookmarkStart w:id="244" w:name="_Ref507677064"/>
      <w:r w:rsidRPr="00D920C9">
        <w:rPr>
          <w:rFonts w:asciiTheme="minorHAnsi" w:hAnsiTheme="minorHAnsi"/>
          <w:szCs w:val="20"/>
        </w:rPr>
        <w:t xml:space="preserve">The duty to act with due diligence additionally engages the obligation of the State to guarantee access to adequate and </w:t>
      </w:r>
      <w:r w:rsidRPr="00D920C9">
        <w:rPr>
          <w:rFonts w:asciiTheme="minorHAnsi" w:hAnsiTheme="minorHAnsi"/>
        </w:rPr>
        <w:t>effective judicial remedies for victims and their family members when</w:t>
      </w:r>
      <w:r w:rsidR="00994081" w:rsidRPr="00D920C9">
        <w:rPr>
          <w:rFonts w:asciiTheme="minorHAnsi" w:hAnsiTheme="minorHAnsi"/>
        </w:rPr>
        <w:t xml:space="preserve"> they suffer acts of violence. T</w:t>
      </w:r>
      <w:r w:rsidRPr="00D920C9">
        <w:rPr>
          <w:rFonts w:asciiTheme="minorHAnsi" w:hAnsiTheme="minorHAnsi"/>
        </w:rPr>
        <w:t xml:space="preserve">he Commission has previously called for the </w:t>
      </w:r>
      <w:r w:rsidR="00352483" w:rsidRPr="00D920C9">
        <w:rPr>
          <w:rFonts w:asciiTheme="minorHAnsi" w:hAnsiTheme="minorHAnsi"/>
        </w:rPr>
        <w:t>U.S.</w:t>
      </w:r>
      <w:r w:rsidRPr="00D920C9">
        <w:rPr>
          <w:rFonts w:asciiTheme="minorHAnsi" w:hAnsiTheme="minorHAnsi"/>
        </w:rPr>
        <w:t xml:space="preserve"> to adopt measures to guarantee access to justice for African Americans and other historically marginalized groups, in light of the fact that impunity for extrajudicial killings by the police disproportionately impacts African Americans and other people of color in the </w:t>
      </w:r>
      <w:r w:rsidR="00352483" w:rsidRPr="00D920C9">
        <w:rPr>
          <w:rFonts w:asciiTheme="minorHAnsi" w:hAnsiTheme="minorHAnsi"/>
        </w:rPr>
        <w:t>U.S</w:t>
      </w:r>
      <w:r w:rsidRPr="00D920C9">
        <w:rPr>
          <w:rFonts w:asciiTheme="minorHAnsi" w:hAnsiTheme="minorHAnsi"/>
        </w:rPr>
        <w:t>.</w:t>
      </w:r>
      <w:r w:rsidRPr="00D920C9">
        <w:rPr>
          <w:rFonts w:asciiTheme="minorHAnsi" w:hAnsiTheme="minorHAnsi"/>
          <w:vertAlign w:val="superscript"/>
        </w:rPr>
        <w:footnoteReference w:id="613"/>
      </w:r>
      <w:bookmarkEnd w:id="244"/>
    </w:p>
    <w:p w14:paraId="48CC711D" w14:textId="77777777" w:rsidR="008D0907" w:rsidRPr="00D920C9" w:rsidRDefault="009770A7" w:rsidP="00E86698">
      <w:pPr>
        <w:pStyle w:val="ListParagraph"/>
        <w:numPr>
          <w:ilvl w:val="0"/>
          <w:numId w:val="9"/>
        </w:numPr>
        <w:spacing w:after="240" w:line="240" w:lineRule="auto"/>
        <w:ind w:left="547" w:hanging="547"/>
        <w:contextualSpacing w:val="0"/>
        <w:jc w:val="both"/>
        <w:rPr>
          <w:rFonts w:asciiTheme="minorHAnsi" w:hAnsiTheme="minorHAnsi"/>
        </w:rPr>
      </w:pPr>
      <w:r w:rsidRPr="00D920C9">
        <w:rPr>
          <w:rFonts w:asciiTheme="minorHAnsi" w:hAnsiTheme="minorHAnsi"/>
        </w:rPr>
        <w:t>As this Commission has recognized previously, both Articles XVII and XVIII are predicated upon the recognition and protection by a State of an individual’s fundamental civil and constitutional rights.</w:t>
      </w:r>
      <w:r w:rsidR="00350E2A" w:rsidRPr="00D920C9">
        <w:rPr>
          <w:rFonts w:asciiTheme="minorHAnsi" w:hAnsiTheme="minorHAnsi"/>
          <w:vertAlign w:val="superscript"/>
        </w:rPr>
        <w:footnoteReference w:id="614"/>
      </w:r>
      <w:r w:rsidRPr="00D920C9">
        <w:rPr>
          <w:rFonts w:asciiTheme="minorHAnsi" w:hAnsiTheme="minorHAnsi"/>
        </w:rPr>
        <w:t xml:space="preserve"> Article XVIII further prescribes a fundamental role for the courts in ensuring and protecting basic rights.</w:t>
      </w:r>
      <w:r w:rsidR="00350E2A" w:rsidRPr="00D920C9">
        <w:rPr>
          <w:rFonts w:asciiTheme="minorHAnsi" w:hAnsiTheme="minorHAnsi"/>
          <w:vertAlign w:val="superscript"/>
        </w:rPr>
        <w:footnoteReference w:id="615"/>
      </w:r>
      <w:r w:rsidRPr="00D920C9">
        <w:rPr>
          <w:rFonts w:asciiTheme="minorHAnsi" w:hAnsiTheme="minorHAnsi"/>
        </w:rPr>
        <w:t xml:space="preserve"> For its part, Article XVIII of the American Declaration establishes that all persons are entitled to access judicial remedies when they have suffered human rights violations.</w:t>
      </w:r>
      <w:r w:rsidR="00350E2A" w:rsidRPr="00D920C9">
        <w:rPr>
          <w:rFonts w:asciiTheme="minorHAnsi" w:hAnsiTheme="minorHAnsi"/>
          <w:vertAlign w:val="superscript"/>
        </w:rPr>
        <w:footnoteReference w:id="616"/>
      </w:r>
      <w:r w:rsidRPr="00D920C9">
        <w:rPr>
          <w:rFonts w:asciiTheme="minorHAnsi" w:hAnsiTheme="minorHAnsi"/>
        </w:rPr>
        <w:t xml:space="preserve"> This right is similar in scope to the right to judicial protection and guarantees contained in Article 25 of the American Convention, which is understood to encompass: the right of every individual to go to a tribunal when any of his or her rights have been violated; to obtain a judicial investigation conducted by a competent, impartial and independent tribunal that </w:t>
      </w:r>
      <w:r w:rsidRPr="00D920C9">
        <w:rPr>
          <w:rFonts w:asciiTheme="minorHAnsi" w:hAnsiTheme="minorHAnsi"/>
        </w:rPr>
        <w:lastRenderedPageBreak/>
        <w:t>establishes whether or not a violation has taken place; and the corresponding right to obtain reparations for the harm suffered.</w:t>
      </w:r>
      <w:r w:rsidR="00350E2A" w:rsidRPr="00D920C9">
        <w:rPr>
          <w:rFonts w:asciiTheme="minorHAnsi" w:hAnsiTheme="minorHAnsi"/>
          <w:vertAlign w:val="superscript"/>
        </w:rPr>
        <w:footnoteReference w:id="617"/>
      </w:r>
    </w:p>
    <w:p w14:paraId="661C53C1" w14:textId="77777777" w:rsidR="008D0907" w:rsidRPr="00D920C9" w:rsidRDefault="009770A7" w:rsidP="00E86698">
      <w:pPr>
        <w:pStyle w:val="ListParagraph"/>
        <w:numPr>
          <w:ilvl w:val="0"/>
          <w:numId w:val="9"/>
        </w:numPr>
        <w:spacing w:after="240" w:line="240" w:lineRule="auto"/>
        <w:ind w:left="547" w:hanging="547"/>
        <w:contextualSpacing w:val="0"/>
        <w:jc w:val="both"/>
        <w:rPr>
          <w:rFonts w:asciiTheme="minorHAnsi" w:hAnsiTheme="minorHAnsi"/>
        </w:rPr>
      </w:pPr>
      <w:r w:rsidRPr="00D920C9">
        <w:rPr>
          <w:rFonts w:asciiTheme="minorHAnsi" w:hAnsiTheme="minorHAnsi"/>
        </w:rPr>
        <w:t>The Commission has affirmed for many years that it is not the formal existence of judicial remedies that demonstrates due diligence, but rather that they are adequate and effective.</w:t>
      </w:r>
      <w:r w:rsidR="00350E2A" w:rsidRPr="00D920C9">
        <w:rPr>
          <w:rFonts w:asciiTheme="minorHAnsi" w:hAnsiTheme="minorHAnsi"/>
          <w:vertAlign w:val="superscript"/>
        </w:rPr>
        <w:footnoteReference w:id="618"/>
      </w:r>
      <w:r w:rsidRPr="00D920C9">
        <w:rPr>
          <w:rFonts w:asciiTheme="minorHAnsi" w:hAnsiTheme="minorHAnsi"/>
        </w:rPr>
        <w:t xml:space="preserve"> The “effectiveness” of a judicial remedy has two aspects: one is normative and the other is empirical.</w:t>
      </w:r>
      <w:r w:rsidR="00350E2A" w:rsidRPr="00D920C9">
        <w:rPr>
          <w:rFonts w:asciiTheme="minorHAnsi" w:hAnsiTheme="minorHAnsi"/>
          <w:vertAlign w:val="superscript"/>
        </w:rPr>
        <w:footnoteReference w:id="619"/>
      </w:r>
      <w:r w:rsidRPr="00D920C9">
        <w:rPr>
          <w:rFonts w:asciiTheme="minorHAnsi" w:hAnsiTheme="minorHAnsi"/>
        </w:rPr>
        <w:t xml:space="preserve"> The normative aspect deals</w:t>
      </w:r>
      <w:r w:rsidR="003E68F6" w:rsidRPr="00D920C9">
        <w:rPr>
          <w:rFonts w:asciiTheme="minorHAnsi" w:hAnsiTheme="minorHAnsi"/>
        </w:rPr>
        <w:t xml:space="preserve"> with the remedy’s suitability—that is, </w:t>
      </w:r>
      <w:r w:rsidRPr="00D920C9">
        <w:rPr>
          <w:rFonts w:asciiTheme="minorHAnsi" w:hAnsiTheme="minorHAnsi"/>
        </w:rPr>
        <w:t xml:space="preserve">its ability to determine whether a violation of human rights occurred, and its capacity to yield positive results or responses, principally measured in terms of </w:t>
      </w:r>
      <w:r w:rsidR="003E68F6" w:rsidRPr="00D920C9">
        <w:rPr>
          <w:rFonts w:asciiTheme="minorHAnsi" w:hAnsiTheme="minorHAnsi"/>
        </w:rPr>
        <w:t>its potential ability</w:t>
      </w:r>
      <w:r w:rsidRPr="00D920C9">
        <w:rPr>
          <w:rFonts w:asciiTheme="minorHAnsi" w:hAnsiTheme="minorHAnsi"/>
        </w:rPr>
        <w:t xml:space="preserve"> to provide adequate redress for human rights violations.</w:t>
      </w:r>
      <w:r w:rsidR="00350E2A" w:rsidRPr="00D920C9">
        <w:rPr>
          <w:rFonts w:asciiTheme="minorHAnsi" w:hAnsiTheme="minorHAnsi"/>
          <w:vertAlign w:val="superscript"/>
        </w:rPr>
        <w:footnoteReference w:id="620"/>
      </w:r>
    </w:p>
    <w:p w14:paraId="67C5F45E" w14:textId="77777777" w:rsidR="008D0907" w:rsidRPr="00D920C9" w:rsidRDefault="009770A7" w:rsidP="00E86698">
      <w:pPr>
        <w:pStyle w:val="ListParagraph"/>
        <w:numPr>
          <w:ilvl w:val="0"/>
          <w:numId w:val="9"/>
        </w:numPr>
        <w:spacing w:after="240" w:line="240" w:lineRule="auto"/>
        <w:ind w:left="547" w:hanging="547"/>
        <w:contextualSpacing w:val="0"/>
        <w:jc w:val="both"/>
        <w:rPr>
          <w:rFonts w:asciiTheme="minorHAnsi" w:hAnsiTheme="minorHAnsi"/>
        </w:rPr>
      </w:pPr>
      <w:r w:rsidRPr="00D920C9">
        <w:rPr>
          <w:rFonts w:asciiTheme="minorHAnsi" w:hAnsiTheme="minorHAnsi"/>
        </w:rPr>
        <w:t>The second aspect, the empirical nature of the remedy, refers to the political or institutional conditions that enable a legally recognized remedy to “fulfill its purpose” or “produce the result for which [it] was designed.”</w:t>
      </w:r>
      <w:r w:rsidR="008D0907" w:rsidRPr="00D920C9">
        <w:rPr>
          <w:rFonts w:asciiTheme="minorHAnsi" w:hAnsiTheme="minorHAnsi"/>
          <w:vertAlign w:val="superscript"/>
        </w:rPr>
        <w:footnoteReference w:id="621"/>
      </w:r>
      <w:r w:rsidRPr="00D920C9">
        <w:rPr>
          <w:rFonts w:asciiTheme="minorHAnsi" w:hAnsiTheme="minorHAnsi"/>
        </w:rPr>
        <w:t xml:space="preserve"> </w:t>
      </w:r>
      <w:r w:rsidR="00260121" w:rsidRPr="00D920C9">
        <w:rPr>
          <w:rFonts w:asciiTheme="minorHAnsi" w:hAnsiTheme="minorHAnsi"/>
        </w:rPr>
        <w:t>A</w:t>
      </w:r>
      <w:r w:rsidRPr="00D920C9">
        <w:rPr>
          <w:rFonts w:asciiTheme="minorHAnsi" w:hAnsiTheme="minorHAnsi"/>
        </w:rPr>
        <w:t xml:space="preserve"> remedy is not effective when it is “illusory,” excessively onerous for the victim, or when the State has not ensured its proper enforcement by the judicial authorities.</w:t>
      </w:r>
      <w:r w:rsidR="008D0907" w:rsidRPr="00D920C9">
        <w:rPr>
          <w:rFonts w:asciiTheme="minorHAnsi" w:hAnsiTheme="minorHAnsi"/>
          <w:vertAlign w:val="superscript"/>
        </w:rPr>
        <w:footnoteReference w:id="622"/>
      </w:r>
      <w:r w:rsidR="003E68F6" w:rsidRPr="00D920C9">
        <w:rPr>
          <w:rFonts w:asciiTheme="minorHAnsi" w:hAnsiTheme="minorHAnsi"/>
        </w:rPr>
        <w:t xml:space="preserve"> In this regard, the Commission expresses its concern about information received indicating barriers to the effective adjudication of civil suits against police officers, including both procedural barriers to presenting claims as well as high burdens of proof and fears of reprisals.</w:t>
      </w:r>
      <w:r w:rsidR="003E68F6" w:rsidRPr="00D920C9">
        <w:rPr>
          <w:rFonts w:asciiTheme="minorHAnsi" w:hAnsiTheme="minorHAnsi"/>
          <w:vertAlign w:val="superscript"/>
        </w:rPr>
        <w:footnoteReference w:id="623"/>
      </w:r>
      <w:r w:rsidR="003E68F6" w:rsidRPr="00D920C9">
        <w:rPr>
          <w:rFonts w:asciiTheme="minorHAnsi" w:hAnsiTheme="minorHAnsi"/>
        </w:rPr>
        <w:t xml:space="preserve"> This is reflected as well in evidence that suggests that police officers are rarely found liable in civil suits.</w:t>
      </w:r>
      <w:r w:rsidR="003E68F6" w:rsidRPr="00D920C9">
        <w:rPr>
          <w:rFonts w:asciiTheme="minorHAnsi" w:hAnsiTheme="minorHAnsi"/>
          <w:vertAlign w:val="superscript"/>
        </w:rPr>
        <w:footnoteReference w:id="624"/>
      </w:r>
    </w:p>
    <w:p w14:paraId="303CB183" w14:textId="34AF487E" w:rsidR="003E68F6" w:rsidRPr="00D920C9" w:rsidRDefault="009770A7" w:rsidP="00E86698">
      <w:pPr>
        <w:pStyle w:val="ListParagraph"/>
        <w:numPr>
          <w:ilvl w:val="0"/>
          <w:numId w:val="9"/>
        </w:numPr>
        <w:spacing w:after="240" w:line="240" w:lineRule="auto"/>
        <w:ind w:left="547" w:hanging="547"/>
        <w:contextualSpacing w:val="0"/>
        <w:jc w:val="both"/>
        <w:rPr>
          <w:rFonts w:asciiTheme="minorHAnsi" w:hAnsiTheme="minorHAnsi"/>
        </w:rPr>
      </w:pPr>
      <w:bookmarkStart w:id="245" w:name="_Ref507684464"/>
      <w:r w:rsidRPr="00D920C9">
        <w:rPr>
          <w:rFonts w:asciiTheme="minorHAnsi" w:hAnsiTheme="minorHAnsi"/>
        </w:rPr>
        <w:t>Thus, when the State</w:t>
      </w:r>
      <w:r w:rsidR="00B276C0" w:rsidRPr="00D920C9">
        <w:rPr>
          <w:rFonts w:asciiTheme="minorHAnsi" w:hAnsiTheme="minorHAnsi"/>
        </w:rPr>
        <w:t>’s institutions</w:t>
      </w:r>
      <w:r w:rsidRPr="00D920C9">
        <w:rPr>
          <w:rFonts w:asciiTheme="minorHAnsi" w:hAnsiTheme="minorHAnsi"/>
        </w:rPr>
        <w:t xml:space="preserve"> leave human rights violations unpunished and the victim’s full enjoyment of human rights is not promptly</w:t>
      </w:r>
      <w:r w:rsidR="00B276C0" w:rsidRPr="00D920C9">
        <w:rPr>
          <w:rFonts w:asciiTheme="minorHAnsi" w:hAnsiTheme="minorHAnsi"/>
        </w:rPr>
        <w:t xml:space="preserve"> and properly</w:t>
      </w:r>
      <w:r w:rsidRPr="00D920C9">
        <w:rPr>
          <w:rFonts w:asciiTheme="minorHAnsi" w:hAnsiTheme="minorHAnsi"/>
        </w:rPr>
        <w:t xml:space="preserve"> restored, the State fails to comply with its positive duties under international human rights law.</w:t>
      </w:r>
      <w:r w:rsidR="008D0907" w:rsidRPr="00D920C9">
        <w:rPr>
          <w:rFonts w:asciiTheme="minorHAnsi" w:hAnsiTheme="minorHAnsi"/>
          <w:vertAlign w:val="superscript"/>
        </w:rPr>
        <w:footnoteReference w:id="625"/>
      </w:r>
      <w:r w:rsidR="008D0907" w:rsidRPr="00D920C9">
        <w:rPr>
          <w:rFonts w:asciiTheme="minorHAnsi" w:hAnsiTheme="minorHAnsi"/>
        </w:rPr>
        <w:t xml:space="preserve"> </w:t>
      </w:r>
      <w:r w:rsidRPr="00D920C9">
        <w:rPr>
          <w:rFonts w:asciiTheme="minorHAnsi" w:hAnsiTheme="minorHAnsi"/>
        </w:rPr>
        <w:t xml:space="preserve">The same principle applies when a State allows private persons to </w:t>
      </w:r>
      <w:r w:rsidR="003E68F6" w:rsidRPr="00D920C9">
        <w:rPr>
          <w:rFonts w:asciiTheme="minorHAnsi" w:hAnsiTheme="minorHAnsi"/>
        </w:rPr>
        <w:t>act freely and with impunity to the detriment</w:t>
      </w:r>
      <w:r w:rsidR="00B276C0" w:rsidRPr="00D920C9">
        <w:rPr>
          <w:rFonts w:asciiTheme="minorHAnsi" w:hAnsiTheme="minorHAnsi"/>
        </w:rPr>
        <w:t xml:space="preserve"> of the rights recognized in international human rights law</w:t>
      </w:r>
      <w:r w:rsidR="003E68F6" w:rsidRPr="00D920C9">
        <w:rPr>
          <w:rFonts w:asciiTheme="minorHAnsi" w:hAnsiTheme="minorHAnsi"/>
        </w:rPr>
        <w:t>.</w:t>
      </w:r>
      <w:r w:rsidR="00B276C0" w:rsidRPr="00D920C9">
        <w:rPr>
          <w:rFonts w:asciiTheme="minorHAnsi" w:hAnsiTheme="minorHAnsi"/>
          <w:vertAlign w:val="superscript"/>
        </w:rPr>
        <w:footnoteReference w:id="626"/>
      </w:r>
      <w:r w:rsidR="00B276C0" w:rsidRPr="00D920C9">
        <w:rPr>
          <w:rFonts w:asciiTheme="minorHAnsi" w:hAnsiTheme="minorHAnsi"/>
        </w:rPr>
        <w:t xml:space="preserve"> In </w:t>
      </w:r>
      <w:r w:rsidR="00B276C0" w:rsidRPr="00D920C9">
        <w:rPr>
          <w:rFonts w:asciiTheme="minorHAnsi" w:hAnsiTheme="minorHAnsi"/>
        </w:rPr>
        <w:lastRenderedPageBreak/>
        <w:t>this regard, the Commission reiterates its concerns expressed in previous sections about the low number of prosecutions of police officers involved in extrajudicial killings,</w:t>
      </w:r>
      <w:r w:rsidR="00B276C0" w:rsidRPr="00D920C9">
        <w:rPr>
          <w:rFonts w:asciiTheme="minorHAnsi" w:hAnsiTheme="minorHAnsi"/>
          <w:vertAlign w:val="superscript"/>
        </w:rPr>
        <w:footnoteReference w:id="627"/>
      </w:r>
      <w:r w:rsidR="00B276C0" w:rsidRPr="00D920C9">
        <w:rPr>
          <w:rFonts w:asciiTheme="minorHAnsi" w:hAnsiTheme="minorHAnsi"/>
        </w:rPr>
        <w:t xml:space="preserve"> and the reported difficulty of pursuing hate crimes prosecutions, particularly in light of the rapidly rising numbers of hate crimes in recent years.</w:t>
      </w:r>
      <w:r w:rsidR="00B276C0" w:rsidRPr="00D920C9">
        <w:rPr>
          <w:rFonts w:asciiTheme="minorHAnsi" w:hAnsiTheme="minorHAnsi"/>
          <w:vertAlign w:val="superscript"/>
        </w:rPr>
        <w:footnoteReference w:id="628"/>
      </w:r>
      <w:bookmarkEnd w:id="245"/>
    </w:p>
    <w:p w14:paraId="2372AFA1" w14:textId="545E4065" w:rsidR="00897264" w:rsidRPr="00D920C9" w:rsidRDefault="00897264" w:rsidP="00E86698">
      <w:pPr>
        <w:pStyle w:val="ListParagraph"/>
        <w:numPr>
          <w:ilvl w:val="0"/>
          <w:numId w:val="9"/>
        </w:numPr>
        <w:spacing w:after="240" w:line="240" w:lineRule="auto"/>
        <w:ind w:left="547" w:hanging="547"/>
        <w:contextualSpacing w:val="0"/>
        <w:jc w:val="both"/>
        <w:rPr>
          <w:rFonts w:asciiTheme="minorHAnsi" w:hAnsiTheme="minorHAnsi"/>
        </w:rPr>
      </w:pPr>
      <w:bookmarkStart w:id="246" w:name="_Ref507684466"/>
      <w:r w:rsidRPr="00D920C9">
        <w:rPr>
          <w:rFonts w:asciiTheme="minorHAnsi" w:hAnsiTheme="minorHAnsi"/>
        </w:rPr>
        <w:t xml:space="preserve">The Commission additionally considers it relevant to note that by recognizing spaces and circumstances in which individuals are provided with unlimited autonomy over others, “Stand Your Ground” laws may violate fundamental rights such as life and physical integrity. The Commission considers that States have a special obligation of protection </w:t>
      </w:r>
      <w:proofErr w:type="gramStart"/>
      <w:r w:rsidRPr="00D920C9">
        <w:rPr>
          <w:rFonts w:asciiTheme="minorHAnsi" w:hAnsiTheme="minorHAnsi"/>
        </w:rPr>
        <w:t>vis</w:t>
      </w:r>
      <w:proofErr w:type="gramEnd"/>
      <w:r w:rsidRPr="00D920C9">
        <w:rPr>
          <w:rFonts w:asciiTheme="minorHAnsi" w:hAnsiTheme="minorHAnsi"/>
        </w:rPr>
        <w:t xml:space="preserve"> a vis the acts and practices of third parties that create discriminatory situations, and that the failure of the State to act in this context may produce international responsibility.</w:t>
      </w:r>
      <w:r w:rsidRPr="00D920C9">
        <w:rPr>
          <w:rFonts w:asciiTheme="minorHAnsi" w:hAnsiTheme="minorHAnsi"/>
          <w:vertAlign w:val="superscript"/>
        </w:rPr>
        <w:footnoteReference w:id="629"/>
      </w:r>
      <w:bookmarkEnd w:id="246"/>
    </w:p>
    <w:p w14:paraId="01C88072" w14:textId="77777777" w:rsidR="00897264" w:rsidRPr="00D920C9" w:rsidRDefault="00897264" w:rsidP="00E86698">
      <w:pPr>
        <w:pStyle w:val="ListParagraph"/>
        <w:numPr>
          <w:ilvl w:val="0"/>
          <w:numId w:val="9"/>
        </w:numPr>
        <w:spacing w:after="240" w:line="240" w:lineRule="auto"/>
        <w:ind w:left="547" w:hanging="547"/>
        <w:contextualSpacing w:val="0"/>
        <w:jc w:val="both"/>
        <w:rPr>
          <w:rFonts w:asciiTheme="minorHAnsi" w:hAnsiTheme="minorHAnsi"/>
        </w:rPr>
      </w:pPr>
      <w:r w:rsidRPr="00D920C9">
        <w:rPr>
          <w:rFonts w:asciiTheme="minorHAnsi" w:hAnsiTheme="minorHAnsi"/>
        </w:rPr>
        <w:t>The Commission emphasizes that States must ensure that channels exist</w:t>
      </w:r>
      <w:r w:rsidR="00572B90" w:rsidRPr="00D920C9">
        <w:rPr>
          <w:rFonts w:asciiTheme="minorHAnsi" w:hAnsiTheme="minorHAnsi"/>
        </w:rPr>
        <w:t xml:space="preserve"> </w:t>
      </w:r>
      <w:r w:rsidRPr="00D920C9">
        <w:rPr>
          <w:rFonts w:asciiTheme="minorHAnsi" w:hAnsiTheme="minorHAnsi"/>
        </w:rPr>
        <w:t>by which individuals may petition independent tribunals to enforce their rights and receive reparations for declared violations</w:t>
      </w:r>
      <w:r w:rsidR="00572B90" w:rsidRPr="00D920C9">
        <w:rPr>
          <w:rFonts w:asciiTheme="minorHAnsi" w:hAnsiTheme="minorHAnsi"/>
        </w:rPr>
        <w:t>.</w:t>
      </w:r>
      <w:r w:rsidR="00572B90" w:rsidRPr="00D920C9">
        <w:rPr>
          <w:rFonts w:asciiTheme="minorHAnsi" w:hAnsiTheme="minorHAnsi"/>
          <w:vertAlign w:val="superscript"/>
        </w:rPr>
        <w:footnoteReference w:id="630"/>
      </w:r>
      <w:r w:rsidR="00572B90" w:rsidRPr="00D920C9">
        <w:rPr>
          <w:rFonts w:asciiTheme="minorHAnsi" w:hAnsiTheme="minorHAnsi"/>
        </w:rPr>
        <w:t xml:space="preserve"> Procedural barriers and other dynamics, including bias of judicial bodies and partiality of prosecutors, which limit individuals’ ability to file grievances or obtain punishment for police misconduct, can amount to denial of an effective remedy.</w:t>
      </w:r>
      <w:r w:rsidR="00572B90" w:rsidRPr="00D920C9">
        <w:rPr>
          <w:rFonts w:asciiTheme="minorHAnsi" w:hAnsiTheme="minorHAnsi"/>
          <w:vertAlign w:val="superscript"/>
        </w:rPr>
        <w:footnoteReference w:id="631"/>
      </w:r>
      <w:r w:rsidR="00037FDA" w:rsidRPr="00D920C9">
        <w:rPr>
          <w:rFonts w:asciiTheme="minorHAnsi" w:hAnsiTheme="minorHAnsi"/>
        </w:rPr>
        <w:t xml:space="preserve"> </w:t>
      </w:r>
      <w:r w:rsidR="00572B90" w:rsidRPr="00D920C9">
        <w:rPr>
          <w:rFonts w:asciiTheme="minorHAnsi" w:hAnsiTheme="minorHAnsi"/>
        </w:rPr>
        <w:t>In this regard, the Commission reiterates its concerns about barriers to effective accountability for police killings, including bias among grand juries and prosecutors, lack of independent investigations and prosecutions, lack of federal resources and will to investigate and prosecute, and procedural and evidentiary barriers to beginning and successfully completing legal proceedings to obtain remedies.</w:t>
      </w:r>
      <w:r w:rsidR="00572B90" w:rsidRPr="00D920C9">
        <w:rPr>
          <w:rFonts w:asciiTheme="minorHAnsi" w:hAnsiTheme="minorHAnsi"/>
          <w:vertAlign w:val="superscript"/>
        </w:rPr>
        <w:footnoteReference w:id="632"/>
      </w:r>
    </w:p>
    <w:p w14:paraId="03F4376F" w14:textId="507B3318" w:rsidR="009770A7" w:rsidRPr="00D920C9" w:rsidRDefault="003E68F6" w:rsidP="00E86698">
      <w:pPr>
        <w:pStyle w:val="ListParagraph"/>
        <w:numPr>
          <w:ilvl w:val="0"/>
          <w:numId w:val="9"/>
        </w:numPr>
        <w:spacing w:after="240" w:line="240" w:lineRule="auto"/>
        <w:ind w:left="547" w:hanging="547"/>
        <w:contextualSpacing w:val="0"/>
        <w:jc w:val="both"/>
        <w:rPr>
          <w:rFonts w:asciiTheme="minorHAnsi" w:hAnsiTheme="minorHAnsi"/>
        </w:rPr>
      </w:pPr>
      <w:r w:rsidRPr="00D920C9">
        <w:rPr>
          <w:rFonts w:asciiTheme="minorHAnsi" w:hAnsiTheme="minorHAnsi"/>
        </w:rPr>
        <w:t xml:space="preserve">The Commission further maintains that there is a direct connection between the suitability of available judicial remedies, and the real possibility of observance of economic, social, and cultural rights. The IACHR has identified the principle of equality of arms as an integral part of the right to a fair trial, given </w:t>
      </w:r>
      <w:r w:rsidR="00E7640C" w:rsidRPr="00D920C9">
        <w:rPr>
          <w:rFonts w:asciiTheme="minorHAnsi" w:hAnsiTheme="minorHAnsi"/>
        </w:rPr>
        <w:t xml:space="preserve">that </w:t>
      </w:r>
      <w:r w:rsidRPr="00D920C9">
        <w:rPr>
          <w:rFonts w:asciiTheme="minorHAnsi" w:hAnsiTheme="minorHAnsi"/>
        </w:rPr>
        <w:t>inequality between the parties in a dispute often translates into disadvantages in the frame</w:t>
      </w:r>
      <w:r w:rsidR="00897264" w:rsidRPr="00D920C9">
        <w:rPr>
          <w:rFonts w:asciiTheme="minorHAnsi" w:hAnsiTheme="minorHAnsi"/>
        </w:rPr>
        <w:t xml:space="preserve">work of judicial </w:t>
      </w:r>
      <w:r w:rsidR="00897264" w:rsidRPr="00D920C9">
        <w:rPr>
          <w:rFonts w:asciiTheme="minorHAnsi" w:hAnsiTheme="minorHAnsi"/>
        </w:rPr>
        <w:lastRenderedPageBreak/>
        <w:t>proceedings.</w:t>
      </w:r>
      <w:r w:rsidR="00897264" w:rsidRPr="00D920C9">
        <w:rPr>
          <w:rFonts w:asciiTheme="minorHAnsi" w:hAnsiTheme="minorHAnsi"/>
          <w:vertAlign w:val="superscript"/>
        </w:rPr>
        <w:footnoteReference w:id="633"/>
      </w:r>
      <w:r w:rsidR="00572B90" w:rsidRPr="00D920C9">
        <w:rPr>
          <w:rFonts w:asciiTheme="minorHAnsi" w:hAnsiTheme="minorHAnsi"/>
        </w:rPr>
        <w:t xml:space="preserve"> In this regard, the Commission recalls the information and concerns expressed throughout this report about the historical, structural situation of marginalization and racialized poverty that African Americans as a group face in the </w:t>
      </w:r>
      <w:r w:rsidR="008A7C97" w:rsidRPr="00D920C9">
        <w:rPr>
          <w:rFonts w:asciiTheme="minorHAnsi" w:hAnsiTheme="minorHAnsi"/>
        </w:rPr>
        <w:t>U.S</w:t>
      </w:r>
      <w:r w:rsidR="00572B90" w:rsidRPr="00D920C9">
        <w:rPr>
          <w:rFonts w:asciiTheme="minorHAnsi" w:hAnsiTheme="minorHAnsi"/>
        </w:rPr>
        <w:t xml:space="preserve">. </w:t>
      </w:r>
      <w:r w:rsidR="006D6D0A" w:rsidRPr="00D920C9">
        <w:rPr>
          <w:rFonts w:asciiTheme="minorHAnsi" w:hAnsiTheme="minorHAnsi"/>
        </w:rPr>
        <w:t xml:space="preserve">For example, the impact of </w:t>
      </w:r>
      <w:r w:rsidR="00522A53" w:rsidRPr="00D920C9">
        <w:rPr>
          <w:rFonts w:asciiTheme="minorHAnsi" w:hAnsiTheme="minorHAnsi"/>
        </w:rPr>
        <w:t>pretrial detention</w:t>
      </w:r>
      <w:r w:rsidR="006D6D0A" w:rsidRPr="00D920C9">
        <w:rPr>
          <w:rFonts w:asciiTheme="minorHAnsi" w:hAnsiTheme="minorHAnsi"/>
        </w:rPr>
        <w:t xml:space="preserve"> on </w:t>
      </w:r>
      <w:r w:rsidR="00522A53" w:rsidRPr="00D920C9">
        <w:rPr>
          <w:rFonts w:asciiTheme="minorHAnsi" w:hAnsiTheme="minorHAnsi"/>
        </w:rPr>
        <w:t>guilty pleas</w:t>
      </w:r>
      <w:r w:rsidR="006D6D0A" w:rsidRPr="00D920C9">
        <w:rPr>
          <w:rFonts w:asciiTheme="minorHAnsi" w:hAnsiTheme="minorHAnsi"/>
        </w:rPr>
        <w:t xml:space="preserve"> provides a clear indicator of the impact of materially unequal positions</w:t>
      </w:r>
      <w:r w:rsidR="00522A53" w:rsidRPr="00D920C9">
        <w:rPr>
          <w:rFonts w:asciiTheme="minorHAnsi" w:hAnsiTheme="minorHAnsi"/>
        </w:rPr>
        <w:t xml:space="preserve"> between the parties</w:t>
      </w:r>
      <w:r w:rsidR="006D6D0A" w:rsidRPr="00D920C9">
        <w:rPr>
          <w:rFonts w:asciiTheme="minorHAnsi" w:hAnsiTheme="minorHAnsi"/>
        </w:rPr>
        <w:t xml:space="preserve"> on </w:t>
      </w:r>
      <w:r w:rsidR="00522A53" w:rsidRPr="00D920C9">
        <w:rPr>
          <w:rFonts w:asciiTheme="minorHAnsi" w:hAnsiTheme="minorHAnsi"/>
        </w:rPr>
        <w:t>the outcome of judicial proceedings.</w:t>
      </w:r>
      <w:r w:rsidR="00522A53" w:rsidRPr="00D920C9">
        <w:rPr>
          <w:rFonts w:asciiTheme="minorHAnsi" w:hAnsiTheme="minorHAnsi"/>
          <w:vertAlign w:val="superscript"/>
        </w:rPr>
        <w:footnoteReference w:id="634"/>
      </w:r>
      <w:r w:rsidR="006D6D0A" w:rsidRPr="00D920C9">
        <w:rPr>
          <w:rFonts w:asciiTheme="minorHAnsi" w:hAnsiTheme="minorHAnsi"/>
        </w:rPr>
        <w:t xml:space="preserve"> </w:t>
      </w:r>
      <w:r w:rsidR="00572B90" w:rsidRPr="00D920C9">
        <w:rPr>
          <w:rFonts w:asciiTheme="minorHAnsi" w:hAnsiTheme="minorHAnsi"/>
        </w:rPr>
        <w:t xml:space="preserve">The Commission </w:t>
      </w:r>
      <w:r w:rsidRPr="00D920C9">
        <w:rPr>
          <w:rFonts w:asciiTheme="minorHAnsi" w:hAnsiTheme="minorHAnsi"/>
        </w:rPr>
        <w:t xml:space="preserve">considers that real inequality between the parties in a proceeding engages the duty of the State to adopt all the necessary measures to </w:t>
      </w:r>
      <w:r w:rsidR="00572B90" w:rsidRPr="00D920C9">
        <w:rPr>
          <w:rFonts w:asciiTheme="minorHAnsi" w:hAnsiTheme="minorHAnsi"/>
        </w:rPr>
        <w:t>remedy</w:t>
      </w:r>
      <w:r w:rsidRPr="00D920C9">
        <w:rPr>
          <w:rFonts w:asciiTheme="minorHAnsi" w:hAnsiTheme="minorHAnsi"/>
        </w:rPr>
        <w:t xml:space="preserve"> any deficiencies that </w:t>
      </w:r>
      <w:r w:rsidR="00572B90" w:rsidRPr="00D920C9">
        <w:rPr>
          <w:rFonts w:asciiTheme="minorHAnsi" w:hAnsiTheme="minorHAnsi"/>
        </w:rPr>
        <w:t>frustrate</w:t>
      </w:r>
      <w:r w:rsidRPr="00D920C9">
        <w:rPr>
          <w:rFonts w:asciiTheme="minorHAnsi" w:hAnsiTheme="minorHAnsi"/>
        </w:rPr>
        <w:t xml:space="preserve"> the effective protection of rights</w:t>
      </w:r>
      <w:r w:rsidR="00CE4CA9" w:rsidRPr="00D920C9">
        <w:rPr>
          <w:rFonts w:asciiTheme="minorHAnsi" w:hAnsiTheme="minorHAnsi"/>
        </w:rPr>
        <w:t>, including recognizing and correcting any real disadvantages that the parties in a proceeding might have, thereby observing the principle of equality before the law and the prohibition of discrimination</w:t>
      </w:r>
      <w:r w:rsidRPr="00D920C9">
        <w:rPr>
          <w:rFonts w:asciiTheme="minorHAnsi" w:hAnsiTheme="minorHAnsi"/>
        </w:rPr>
        <w:t>.</w:t>
      </w:r>
      <w:r w:rsidR="00CE4CA9" w:rsidRPr="00D920C9">
        <w:rPr>
          <w:rFonts w:asciiTheme="minorHAnsi" w:hAnsiTheme="minorHAnsi"/>
          <w:vertAlign w:val="superscript"/>
        </w:rPr>
        <w:footnoteReference w:id="635"/>
      </w:r>
      <w:r w:rsidRPr="00D920C9">
        <w:rPr>
          <w:rFonts w:asciiTheme="minorHAnsi" w:hAnsiTheme="minorHAnsi"/>
        </w:rPr>
        <w:t xml:space="preserve"> </w:t>
      </w:r>
      <w:r w:rsidR="007F7673" w:rsidRPr="00D920C9">
        <w:rPr>
          <w:rFonts w:asciiTheme="minorHAnsi" w:hAnsiTheme="minorHAnsi"/>
        </w:rPr>
        <w:t>Thus</w:t>
      </w:r>
      <w:r w:rsidR="00CE4CA9" w:rsidRPr="00D920C9">
        <w:rPr>
          <w:rFonts w:asciiTheme="minorHAnsi" w:hAnsiTheme="minorHAnsi"/>
        </w:rPr>
        <w:t>,</w:t>
      </w:r>
      <w:r w:rsidRPr="00D920C9">
        <w:rPr>
          <w:rFonts w:asciiTheme="minorHAnsi" w:hAnsiTheme="minorHAnsi"/>
        </w:rPr>
        <w:t xml:space="preserve"> the particular circumstances of a case may determine that guarantees additional to those explicitly prescribed in the pertinent human rights instruments are necessary </w:t>
      </w:r>
      <w:r w:rsidR="00CE4CA9" w:rsidRPr="00D920C9">
        <w:rPr>
          <w:rFonts w:asciiTheme="minorHAnsi" w:hAnsiTheme="minorHAnsi"/>
        </w:rPr>
        <w:t>to ensure a fair trial.</w:t>
      </w:r>
      <w:r w:rsidR="00CE4CA9" w:rsidRPr="00D920C9">
        <w:rPr>
          <w:rFonts w:asciiTheme="minorHAnsi" w:hAnsiTheme="minorHAnsi"/>
          <w:vertAlign w:val="superscript"/>
        </w:rPr>
        <w:footnoteReference w:id="636"/>
      </w:r>
    </w:p>
    <w:p w14:paraId="4AFF62A3" w14:textId="77777777" w:rsidR="009770A7" w:rsidRPr="00D920C9" w:rsidRDefault="007F7673" w:rsidP="00E86698">
      <w:pPr>
        <w:pStyle w:val="ListParagraph"/>
        <w:numPr>
          <w:ilvl w:val="0"/>
          <w:numId w:val="9"/>
        </w:numPr>
        <w:spacing w:after="240" w:line="240" w:lineRule="auto"/>
        <w:ind w:left="547" w:hanging="547"/>
        <w:contextualSpacing w:val="0"/>
        <w:jc w:val="both"/>
        <w:rPr>
          <w:rFonts w:asciiTheme="minorHAnsi" w:hAnsiTheme="minorHAnsi"/>
        </w:rPr>
      </w:pPr>
      <w:r w:rsidRPr="00D920C9">
        <w:rPr>
          <w:rFonts w:asciiTheme="minorHAnsi" w:hAnsiTheme="minorHAnsi"/>
        </w:rPr>
        <w:t>T</w:t>
      </w:r>
      <w:r w:rsidR="000F471F" w:rsidRPr="00D920C9">
        <w:rPr>
          <w:rFonts w:asciiTheme="minorHAnsi" w:hAnsiTheme="minorHAnsi"/>
        </w:rPr>
        <w:t xml:space="preserve">he Commission </w:t>
      </w:r>
      <w:r w:rsidR="00C932A9" w:rsidRPr="00D920C9">
        <w:rPr>
          <w:rFonts w:asciiTheme="minorHAnsi" w:hAnsiTheme="minorHAnsi"/>
        </w:rPr>
        <w:t>has previously observed that “</w:t>
      </w:r>
      <w:r w:rsidR="003553C4" w:rsidRPr="00D920C9">
        <w:rPr>
          <w:rFonts w:asciiTheme="minorHAnsi" w:hAnsiTheme="minorHAnsi"/>
        </w:rPr>
        <w:t xml:space="preserve">the impossibility of accessing complaint and reparation mechanisms, </w:t>
      </w:r>
      <w:r w:rsidR="0017556C" w:rsidRPr="00D920C9">
        <w:rPr>
          <w:rFonts w:asciiTheme="minorHAnsi" w:hAnsiTheme="minorHAnsi"/>
        </w:rPr>
        <w:t>[…]</w:t>
      </w:r>
      <w:r w:rsidR="003553C4" w:rsidRPr="00D920C9">
        <w:rPr>
          <w:rFonts w:asciiTheme="minorHAnsi" w:hAnsiTheme="minorHAnsi"/>
        </w:rPr>
        <w:t xml:space="preserve"> administrative or judicial, is a factor contributing to the persistence of racism in the region,” and “the absence of judicial guarantees and the lack of sensitivity of justice system operators with respect to racial discrimination […] help perpetuate patterns of segregation and exclusion.”</w:t>
      </w:r>
      <w:r w:rsidR="003553C4" w:rsidRPr="00D920C9">
        <w:rPr>
          <w:rFonts w:asciiTheme="minorHAnsi" w:hAnsiTheme="minorHAnsi"/>
          <w:vertAlign w:val="superscript"/>
        </w:rPr>
        <w:footnoteReference w:id="637"/>
      </w:r>
      <w:r w:rsidR="0056058E" w:rsidRPr="00D920C9">
        <w:rPr>
          <w:rFonts w:asciiTheme="minorHAnsi" w:hAnsiTheme="minorHAnsi"/>
        </w:rPr>
        <w:t xml:space="preserve"> In light of this situation, the Commission has called on States to “adopt legal measures and policies to enhance their domestic laws and processes and guarantee effective access to justice for [Afro-descendants],” “taking into account material, economic, and juridical obstacles and the systematic exclusion to which persons of African descent are subjected.”</w:t>
      </w:r>
      <w:r w:rsidR="0056058E" w:rsidRPr="00D920C9">
        <w:rPr>
          <w:rFonts w:asciiTheme="minorHAnsi" w:hAnsiTheme="minorHAnsi"/>
          <w:vertAlign w:val="superscript"/>
        </w:rPr>
        <w:footnoteReference w:id="638"/>
      </w:r>
    </w:p>
    <w:p w14:paraId="4277D25C" w14:textId="7408E10E" w:rsidR="002F06BF" w:rsidRPr="00D920C9" w:rsidRDefault="00422618" w:rsidP="00E86698">
      <w:pPr>
        <w:pStyle w:val="ListParagraph"/>
        <w:numPr>
          <w:ilvl w:val="0"/>
          <w:numId w:val="9"/>
        </w:numPr>
        <w:spacing w:after="240" w:line="240" w:lineRule="auto"/>
        <w:ind w:left="547" w:hanging="547"/>
        <w:contextualSpacing w:val="0"/>
        <w:jc w:val="both"/>
        <w:rPr>
          <w:rFonts w:asciiTheme="minorHAnsi" w:eastAsia="Times New Roman" w:hAnsiTheme="minorHAnsi" w:cs="Verdana"/>
          <w:szCs w:val="20"/>
          <w:lang w:eastAsia="es-ES"/>
        </w:rPr>
      </w:pPr>
      <w:bookmarkStart w:id="247" w:name="_Ref507677071"/>
      <w:r w:rsidRPr="00D920C9">
        <w:rPr>
          <w:rFonts w:asciiTheme="minorHAnsi" w:hAnsiTheme="minorHAnsi"/>
        </w:rPr>
        <w:t xml:space="preserve">The Commission further recalls the obstacles that it has previously identified that hinder </w:t>
      </w:r>
      <w:r w:rsidR="00100080" w:rsidRPr="00D920C9">
        <w:rPr>
          <w:rFonts w:asciiTheme="minorHAnsi" w:hAnsiTheme="minorHAnsi"/>
        </w:rPr>
        <w:t>access to justice for Afro-descendants in the Americas generally in cases of police violence, including, among others: the bureaucracy of the judicial system; the lack of an immediate information system; language barriers; poor management and organization of courts; a lack of training of justice operators; the insufficiency of public defenders; the high cost of hiring a lawyer and of the judicial process</w:t>
      </w:r>
      <w:r w:rsidR="004F2B83" w:rsidRPr="00D920C9">
        <w:rPr>
          <w:rFonts w:asciiTheme="minorHAnsi" w:hAnsiTheme="minorHAnsi"/>
        </w:rPr>
        <w:t>; lack of knowledge about actions taken, and appellate procedures; and a lack of judicial remedies.</w:t>
      </w:r>
      <w:r w:rsidR="004F2B83" w:rsidRPr="00D920C9">
        <w:rPr>
          <w:rFonts w:asciiTheme="minorHAnsi" w:hAnsiTheme="minorHAnsi"/>
          <w:vertAlign w:val="superscript"/>
        </w:rPr>
        <w:footnoteReference w:id="639"/>
      </w:r>
      <w:r w:rsidR="004F2B83" w:rsidRPr="00D920C9">
        <w:rPr>
          <w:rFonts w:asciiTheme="minorHAnsi" w:hAnsiTheme="minorHAnsi"/>
        </w:rPr>
        <w:t xml:space="preserve"> The Commission calls on the State to take effective </w:t>
      </w:r>
      <w:r w:rsidR="004F2B83" w:rsidRPr="00D920C9">
        <w:rPr>
          <w:rFonts w:asciiTheme="minorHAnsi" w:hAnsiTheme="minorHAnsi"/>
        </w:rPr>
        <w:lastRenderedPageBreak/>
        <w:t>action to correct and eliminate such structural inequalities where</w:t>
      </w:r>
      <w:r w:rsidR="004F2B83" w:rsidRPr="00D920C9">
        <w:rPr>
          <w:rFonts w:asciiTheme="minorHAnsi" w:eastAsia="Times New Roman" w:hAnsiTheme="minorHAnsi" w:cs="Verdana"/>
          <w:szCs w:val="20"/>
          <w:lang w:eastAsia="es-ES"/>
        </w:rPr>
        <w:t xml:space="preserve"> they exist.</w:t>
      </w:r>
      <w:bookmarkEnd w:id="247"/>
    </w:p>
    <w:p w14:paraId="09CDE519" w14:textId="26B03EF6" w:rsidR="00F504E6" w:rsidRPr="00D920C9" w:rsidRDefault="008F624A" w:rsidP="00226E45">
      <w:pPr>
        <w:pStyle w:val="Heading3"/>
        <w:ind w:left="540" w:hanging="540"/>
      </w:pPr>
      <w:bookmarkStart w:id="248" w:name="_Toc511837847"/>
      <w:bookmarkStart w:id="249" w:name="_Toc511903020"/>
      <w:bookmarkStart w:id="250" w:name="_Toc517687949"/>
      <w:r w:rsidRPr="00D920C9">
        <w:t>Reparations</w:t>
      </w:r>
      <w:bookmarkEnd w:id="248"/>
      <w:bookmarkEnd w:id="249"/>
      <w:bookmarkEnd w:id="250"/>
      <w:r w:rsidRPr="00D920C9">
        <w:t xml:space="preserve"> </w:t>
      </w:r>
    </w:p>
    <w:p w14:paraId="3ADAA31C" w14:textId="77777777" w:rsidR="00B62090" w:rsidRPr="00D920C9" w:rsidRDefault="00430F8C" w:rsidP="00E86698">
      <w:pPr>
        <w:pStyle w:val="ListParagraph"/>
        <w:numPr>
          <w:ilvl w:val="0"/>
          <w:numId w:val="9"/>
        </w:numPr>
        <w:spacing w:after="240" w:line="240" w:lineRule="auto"/>
        <w:ind w:left="547" w:hanging="547"/>
        <w:contextualSpacing w:val="0"/>
        <w:jc w:val="both"/>
        <w:rPr>
          <w:rFonts w:asciiTheme="minorHAnsi" w:hAnsiTheme="minorHAnsi"/>
          <w:bCs/>
        </w:rPr>
      </w:pPr>
      <w:bookmarkStart w:id="251" w:name="_Ref507677091"/>
      <w:r w:rsidRPr="00D920C9">
        <w:rPr>
          <w:rFonts w:asciiTheme="minorHAnsi" w:eastAsia="Times New Roman" w:hAnsiTheme="minorHAnsi" w:cs="Verdana"/>
        </w:rPr>
        <w:t xml:space="preserve">The Commission has stated that </w:t>
      </w:r>
      <w:r w:rsidR="00B62090" w:rsidRPr="00D920C9">
        <w:rPr>
          <w:rFonts w:asciiTheme="minorHAnsi" w:hAnsiTheme="minorHAnsi"/>
        </w:rPr>
        <w:t>any violation of an international obligation that results in harm creates a duty to make adequate reparation.</w:t>
      </w:r>
      <w:bookmarkStart w:id="252" w:name="_Ref247712982"/>
      <w:r w:rsidR="00B62090" w:rsidRPr="00D920C9">
        <w:rPr>
          <w:rFonts w:asciiTheme="minorHAnsi" w:hAnsiTheme="minorHAnsi"/>
          <w:vertAlign w:val="superscript"/>
        </w:rPr>
        <w:footnoteReference w:id="640"/>
      </w:r>
      <w:bookmarkEnd w:id="252"/>
      <w:r w:rsidR="00B62090" w:rsidRPr="00D920C9">
        <w:rPr>
          <w:rFonts w:asciiTheme="minorHAnsi" w:hAnsiTheme="minorHAnsi"/>
        </w:rPr>
        <w:t xml:space="preserve"> </w:t>
      </w:r>
      <w:r w:rsidR="0088383F" w:rsidRPr="00D920C9">
        <w:rPr>
          <w:rFonts w:asciiTheme="minorHAnsi" w:hAnsiTheme="minorHAnsi"/>
        </w:rPr>
        <w:t>R</w:t>
      </w:r>
      <w:r w:rsidR="00B62090" w:rsidRPr="00D920C9">
        <w:rPr>
          <w:rFonts w:asciiTheme="minorHAnsi" w:hAnsiTheme="minorHAnsi"/>
        </w:rPr>
        <w:t xml:space="preserve">eparation is a generic term that covers the various ways a </w:t>
      </w:r>
      <w:r w:rsidR="0088383F" w:rsidRPr="00D920C9">
        <w:rPr>
          <w:rFonts w:asciiTheme="minorHAnsi" w:hAnsiTheme="minorHAnsi"/>
        </w:rPr>
        <w:t>S</w:t>
      </w:r>
      <w:r w:rsidR="00B62090" w:rsidRPr="00D920C9">
        <w:rPr>
          <w:rFonts w:asciiTheme="minorHAnsi" w:hAnsiTheme="minorHAnsi"/>
        </w:rPr>
        <w:t>tate may make amends for international responsibility it has incurred.</w:t>
      </w:r>
      <w:r w:rsidR="00B62090" w:rsidRPr="00D920C9">
        <w:rPr>
          <w:rStyle w:val="FootnoteReference"/>
          <w:rFonts w:asciiTheme="minorHAnsi" w:hAnsiTheme="minorHAnsi"/>
        </w:rPr>
        <w:footnoteReference w:id="641"/>
      </w:r>
      <w:r w:rsidR="00B62090" w:rsidRPr="00D920C9">
        <w:rPr>
          <w:rFonts w:asciiTheme="minorHAnsi" w:hAnsiTheme="minorHAnsi"/>
        </w:rPr>
        <w:t xml:space="preserve"> The Commission has recognized that States can adopt various means of reparation, involving both judicial and non-judicial mechanisms.</w:t>
      </w:r>
      <w:r w:rsidR="00B62090" w:rsidRPr="00D920C9">
        <w:rPr>
          <w:rFonts w:asciiTheme="minorHAnsi" w:hAnsiTheme="minorHAnsi"/>
          <w:vertAlign w:val="superscript"/>
        </w:rPr>
        <w:footnoteReference w:id="642"/>
      </w:r>
      <w:r w:rsidR="00B62090" w:rsidRPr="00D920C9">
        <w:rPr>
          <w:rFonts w:asciiTheme="minorHAnsi" w:hAnsiTheme="minorHAnsi"/>
        </w:rPr>
        <w:t xml:space="preserve"> </w:t>
      </w:r>
      <w:r w:rsidR="00B62090" w:rsidRPr="00D920C9">
        <w:rPr>
          <w:rFonts w:asciiTheme="minorHAnsi" w:hAnsiTheme="minorHAnsi"/>
          <w:bCs/>
        </w:rPr>
        <w:t>Under international law, remedies for victims of gross violations of international human rights law include equal and effective access to justice; access to relevant information about the violations committed and reparation mechanisms available; and adequate, effective, and prompt reparation for the harm suffered.</w:t>
      </w:r>
      <w:r w:rsidR="00B62090" w:rsidRPr="00D920C9">
        <w:rPr>
          <w:rFonts w:asciiTheme="minorHAnsi" w:hAnsiTheme="minorHAnsi"/>
          <w:vertAlign w:val="superscript"/>
        </w:rPr>
        <w:footnoteReference w:id="643"/>
      </w:r>
      <w:bookmarkEnd w:id="251"/>
    </w:p>
    <w:p w14:paraId="70B03765" w14:textId="77777777" w:rsidR="00F73FE0" w:rsidRPr="00D920C9" w:rsidRDefault="00B62090" w:rsidP="00E86698">
      <w:pPr>
        <w:pStyle w:val="ListParagraph"/>
        <w:numPr>
          <w:ilvl w:val="0"/>
          <w:numId w:val="9"/>
        </w:numPr>
        <w:spacing w:after="240" w:line="240" w:lineRule="auto"/>
        <w:ind w:left="547" w:hanging="547"/>
        <w:contextualSpacing w:val="0"/>
        <w:jc w:val="both"/>
        <w:rPr>
          <w:rFonts w:asciiTheme="minorHAnsi" w:hAnsiTheme="minorHAnsi"/>
          <w:bCs/>
          <w:color w:val="000000"/>
        </w:rPr>
      </w:pPr>
      <w:r w:rsidRPr="00D920C9">
        <w:rPr>
          <w:rFonts w:asciiTheme="minorHAnsi" w:hAnsiTheme="minorHAnsi"/>
          <w:bCs/>
        </w:rPr>
        <w:t>In order to ensure that victims of</w:t>
      </w:r>
      <w:r w:rsidRPr="00D920C9">
        <w:rPr>
          <w:rStyle w:val="Strong"/>
          <w:rFonts w:asciiTheme="minorHAnsi" w:hAnsiTheme="minorHAnsi"/>
          <w:b w:val="0"/>
          <w:color w:val="000000"/>
        </w:rPr>
        <w:t xml:space="preserve"> human rights violations </w:t>
      </w:r>
      <w:r w:rsidRPr="00D920C9">
        <w:rPr>
          <w:rFonts w:asciiTheme="minorHAnsi" w:hAnsiTheme="minorHAnsi"/>
          <w:color w:val="000000"/>
        </w:rPr>
        <w:t>have equal access to an effective judicial remedy, States should ensure that these obligations are effectively reflected in the domestic legal framework</w:t>
      </w:r>
      <w:r w:rsidR="0088383F" w:rsidRPr="00D920C9">
        <w:rPr>
          <w:rFonts w:asciiTheme="minorHAnsi" w:hAnsiTheme="minorHAnsi"/>
          <w:color w:val="000000"/>
        </w:rPr>
        <w:t>, and that effective access to these mechanisms, as well as to information about them, is guaranteed.</w:t>
      </w:r>
      <w:r w:rsidR="0088383F" w:rsidRPr="00D920C9">
        <w:rPr>
          <w:rStyle w:val="FootnoteReference"/>
          <w:rFonts w:asciiTheme="minorHAnsi" w:hAnsiTheme="minorHAnsi"/>
          <w:color w:val="000000"/>
        </w:rPr>
        <w:footnoteReference w:id="644"/>
      </w:r>
      <w:r w:rsidR="0088383F" w:rsidRPr="00D920C9">
        <w:rPr>
          <w:rFonts w:asciiTheme="minorHAnsi" w:hAnsiTheme="minorHAnsi"/>
          <w:color w:val="000000"/>
        </w:rPr>
        <w:t xml:space="preserve"> States should further ensure the dissemination of information about all available and appropriate international processes in which a person may have legal standing, without prejudice to any other domestic remedies.</w:t>
      </w:r>
      <w:r w:rsidR="0088383F" w:rsidRPr="00D920C9">
        <w:rPr>
          <w:rStyle w:val="FootnoteReference"/>
          <w:rFonts w:asciiTheme="minorHAnsi" w:hAnsiTheme="minorHAnsi"/>
          <w:color w:val="000000"/>
        </w:rPr>
        <w:footnoteReference w:id="645"/>
      </w:r>
      <w:r w:rsidRPr="00D920C9">
        <w:rPr>
          <w:rFonts w:asciiTheme="minorHAnsi" w:hAnsiTheme="minorHAnsi"/>
          <w:color w:val="000000"/>
        </w:rPr>
        <w:t xml:space="preserve"> </w:t>
      </w:r>
    </w:p>
    <w:p w14:paraId="334A0FCF" w14:textId="77777777" w:rsidR="00F73FE0" w:rsidRPr="00D920C9" w:rsidRDefault="00B62090" w:rsidP="00E86698">
      <w:pPr>
        <w:pStyle w:val="ListParagraph"/>
        <w:numPr>
          <w:ilvl w:val="0"/>
          <w:numId w:val="9"/>
        </w:numPr>
        <w:spacing w:after="240" w:line="240" w:lineRule="auto"/>
        <w:ind w:left="547" w:hanging="547"/>
        <w:contextualSpacing w:val="0"/>
        <w:jc w:val="both"/>
        <w:rPr>
          <w:rFonts w:asciiTheme="minorHAnsi" w:hAnsiTheme="minorHAnsi"/>
        </w:rPr>
      </w:pPr>
      <w:r w:rsidRPr="00D920C9">
        <w:rPr>
          <w:rFonts w:asciiTheme="minorHAnsi" w:hAnsiTheme="minorHAnsi"/>
        </w:rPr>
        <w:t>“</w:t>
      </w:r>
      <w:r w:rsidR="0017556C" w:rsidRPr="00D920C9">
        <w:rPr>
          <w:rFonts w:asciiTheme="minorHAnsi" w:hAnsiTheme="minorHAnsi"/>
        </w:rPr>
        <w:t>I</w:t>
      </w:r>
      <w:r w:rsidRPr="00D920C9">
        <w:rPr>
          <w:rFonts w:asciiTheme="minorHAnsi" w:hAnsiTheme="minorHAnsi"/>
        </w:rPr>
        <w:t>ntegral reparation” (</w:t>
      </w:r>
      <w:proofErr w:type="spellStart"/>
      <w:r w:rsidRPr="00D920C9">
        <w:rPr>
          <w:rFonts w:asciiTheme="minorHAnsi" w:hAnsiTheme="minorHAnsi"/>
          <w:i/>
        </w:rPr>
        <w:t>restitutio</w:t>
      </w:r>
      <w:proofErr w:type="spellEnd"/>
      <w:r w:rsidRPr="00D920C9">
        <w:rPr>
          <w:rFonts w:asciiTheme="minorHAnsi" w:hAnsiTheme="minorHAnsi"/>
          <w:i/>
        </w:rPr>
        <w:t xml:space="preserve"> in </w:t>
      </w:r>
      <w:proofErr w:type="spellStart"/>
      <w:r w:rsidRPr="00D920C9">
        <w:rPr>
          <w:rFonts w:asciiTheme="minorHAnsi" w:hAnsiTheme="minorHAnsi"/>
          <w:i/>
        </w:rPr>
        <w:t>integrum</w:t>
      </w:r>
      <w:proofErr w:type="spellEnd"/>
      <w:r w:rsidRPr="00D920C9">
        <w:rPr>
          <w:rFonts w:asciiTheme="minorHAnsi" w:hAnsiTheme="minorHAnsi"/>
        </w:rPr>
        <w:t xml:space="preserve">) entails the re-establishment of the </w:t>
      </w:r>
      <w:r w:rsidR="0017556C" w:rsidRPr="00D920C9">
        <w:rPr>
          <w:rFonts w:asciiTheme="minorHAnsi" w:hAnsiTheme="minorHAnsi"/>
        </w:rPr>
        <w:t>prior</w:t>
      </w:r>
      <w:r w:rsidRPr="00D920C9">
        <w:rPr>
          <w:rFonts w:asciiTheme="minorHAnsi" w:hAnsiTheme="minorHAnsi"/>
        </w:rPr>
        <w:t xml:space="preserve"> situation and the elimination of the effects produced by the violation, as well as the payment of compensation for the damage caused</w:t>
      </w:r>
      <w:r w:rsidR="00F73FE0" w:rsidRPr="00D920C9">
        <w:rPr>
          <w:rFonts w:asciiTheme="minorHAnsi" w:hAnsiTheme="minorHAnsi"/>
        </w:rPr>
        <w:t>;</w:t>
      </w:r>
      <w:r w:rsidRPr="00D920C9">
        <w:rPr>
          <w:rStyle w:val="FootnoteReference"/>
          <w:rFonts w:asciiTheme="minorHAnsi" w:hAnsiTheme="minorHAnsi"/>
        </w:rPr>
        <w:footnoteReference w:id="646"/>
      </w:r>
      <w:r w:rsidR="00F73FE0" w:rsidRPr="00D920C9">
        <w:rPr>
          <w:rFonts w:asciiTheme="minorHAnsi" w:hAnsiTheme="minorHAnsi"/>
        </w:rPr>
        <w:t xml:space="preserve"> reparation should</w:t>
      </w:r>
      <w:r w:rsidR="0017556C" w:rsidRPr="00D920C9">
        <w:rPr>
          <w:rFonts w:asciiTheme="minorHAnsi" w:hAnsiTheme="minorHAnsi"/>
        </w:rPr>
        <w:t xml:space="preserve"> thus</w:t>
      </w:r>
      <w:r w:rsidR="00F73FE0" w:rsidRPr="00D920C9">
        <w:rPr>
          <w:rFonts w:asciiTheme="minorHAnsi" w:hAnsiTheme="minorHAnsi"/>
        </w:rPr>
        <w:t xml:space="preserve"> be proportional to the gravity of the violations and the harm suffered.</w:t>
      </w:r>
      <w:r w:rsidR="00F73FE0" w:rsidRPr="00D920C9">
        <w:rPr>
          <w:rStyle w:val="FootnoteReference"/>
          <w:rFonts w:asciiTheme="minorHAnsi" w:hAnsiTheme="minorHAnsi"/>
        </w:rPr>
        <w:footnoteReference w:id="647"/>
      </w:r>
      <w:r w:rsidRPr="00D920C9">
        <w:rPr>
          <w:rFonts w:asciiTheme="minorHAnsi" w:hAnsiTheme="minorHAnsi"/>
        </w:rPr>
        <w:t xml:space="preserve"> </w:t>
      </w:r>
      <w:r w:rsidR="0017556C" w:rsidRPr="00D920C9">
        <w:rPr>
          <w:rFonts w:asciiTheme="minorHAnsi" w:hAnsiTheme="minorHAnsi"/>
        </w:rPr>
        <w:t>I</w:t>
      </w:r>
      <w:r w:rsidR="00F73FE0" w:rsidRPr="00D920C9">
        <w:rPr>
          <w:rFonts w:asciiTheme="minorHAnsi" w:hAnsiTheme="minorHAnsi"/>
        </w:rPr>
        <w:t xml:space="preserve">nter-American </w:t>
      </w:r>
      <w:r w:rsidR="0017556C" w:rsidRPr="00D920C9">
        <w:rPr>
          <w:rFonts w:asciiTheme="minorHAnsi" w:hAnsiTheme="minorHAnsi"/>
        </w:rPr>
        <w:t>case law</w:t>
      </w:r>
      <w:r w:rsidR="00F73FE0" w:rsidRPr="00D920C9">
        <w:rPr>
          <w:rFonts w:asciiTheme="minorHAnsi" w:hAnsiTheme="minorHAnsi"/>
        </w:rPr>
        <w:t xml:space="preserve"> has </w:t>
      </w:r>
      <w:r w:rsidR="00F73FE0" w:rsidRPr="00D920C9">
        <w:rPr>
          <w:rFonts w:asciiTheme="minorHAnsi" w:hAnsiTheme="minorHAnsi"/>
        </w:rPr>
        <w:lastRenderedPageBreak/>
        <w:t>established that victims of human rights violations are entitled to adequate compensation for the harm caused, which must materialize in the form of individual measures calculated to constitute restitution, compensation and rehabilitation for the victim, as well as general measures of satisfaction and guarantees of non-repetition.</w:t>
      </w:r>
      <w:r w:rsidR="00F73FE0" w:rsidRPr="00D920C9">
        <w:rPr>
          <w:rFonts w:asciiTheme="minorHAnsi" w:hAnsiTheme="minorHAnsi"/>
          <w:vertAlign w:val="superscript"/>
        </w:rPr>
        <w:footnoteReference w:id="648"/>
      </w:r>
      <w:r w:rsidR="00F73FE0" w:rsidRPr="00D920C9">
        <w:rPr>
          <w:rFonts w:asciiTheme="minorHAnsi" w:hAnsiTheme="minorHAnsi"/>
        </w:rPr>
        <w:t xml:space="preserve"> In all cases, the nature and amount of the reparations ordered depend on the characteristics of the violation and on the pecuniary and non-pecuniary damage caused; </w:t>
      </w:r>
      <w:r w:rsidR="005F220B" w:rsidRPr="00D920C9">
        <w:rPr>
          <w:rFonts w:asciiTheme="minorHAnsi" w:hAnsiTheme="minorHAnsi"/>
        </w:rPr>
        <w:t>one or more measures can repair a specific damage, without this being considered double reparation.</w:t>
      </w:r>
      <w:r w:rsidR="005F220B" w:rsidRPr="00D920C9">
        <w:rPr>
          <w:rFonts w:asciiTheme="minorHAnsi" w:hAnsiTheme="minorHAnsi"/>
          <w:vertAlign w:val="superscript"/>
        </w:rPr>
        <w:footnoteReference w:id="649"/>
      </w:r>
    </w:p>
    <w:p w14:paraId="3B4D4441" w14:textId="77777777" w:rsidR="00B62090" w:rsidRPr="00D920C9" w:rsidRDefault="00B62090" w:rsidP="00E86698">
      <w:pPr>
        <w:pStyle w:val="ListParagraph"/>
        <w:numPr>
          <w:ilvl w:val="0"/>
          <w:numId w:val="9"/>
        </w:numPr>
        <w:spacing w:after="240" w:line="240" w:lineRule="auto"/>
        <w:ind w:left="547" w:hanging="547"/>
        <w:contextualSpacing w:val="0"/>
        <w:jc w:val="both"/>
        <w:rPr>
          <w:rFonts w:asciiTheme="minorHAnsi" w:hAnsiTheme="minorHAnsi"/>
        </w:rPr>
      </w:pPr>
      <w:r w:rsidRPr="00D920C9">
        <w:rPr>
          <w:rFonts w:asciiTheme="minorHAnsi" w:hAnsiTheme="minorHAnsi"/>
        </w:rPr>
        <w:t>A State shall provide reparation to victims for acts or omissions which can be attributed to the State;</w:t>
      </w:r>
      <w:r w:rsidRPr="00D920C9">
        <w:rPr>
          <w:rFonts w:asciiTheme="minorHAnsi" w:hAnsiTheme="minorHAnsi"/>
          <w:vertAlign w:val="superscript"/>
        </w:rPr>
        <w:footnoteReference w:id="650"/>
      </w:r>
      <w:r w:rsidRPr="00D920C9">
        <w:rPr>
          <w:rFonts w:asciiTheme="minorHAnsi" w:hAnsiTheme="minorHAnsi"/>
        </w:rPr>
        <w:t xml:space="preserve"> States should further endeavor to establish national programs for reparation and other assistance to victims in the event that the parties liable for the harm suffered are unable or unwilling to meet their obligations.</w:t>
      </w:r>
      <w:r w:rsidRPr="00D920C9">
        <w:rPr>
          <w:rFonts w:asciiTheme="minorHAnsi" w:hAnsiTheme="minorHAnsi"/>
          <w:vertAlign w:val="superscript"/>
        </w:rPr>
        <w:footnoteReference w:id="651"/>
      </w:r>
      <w:r w:rsidRPr="00D920C9">
        <w:rPr>
          <w:rFonts w:asciiTheme="minorHAnsi" w:hAnsiTheme="minorHAnsi"/>
        </w:rPr>
        <w:t xml:space="preserve"> </w:t>
      </w:r>
      <w:r w:rsidR="007F7673" w:rsidRPr="00D920C9">
        <w:rPr>
          <w:rFonts w:asciiTheme="minorHAnsi" w:hAnsiTheme="minorHAnsi"/>
        </w:rPr>
        <w:t>T</w:t>
      </w:r>
      <w:r w:rsidR="005F220B" w:rsidRPr="00D920C9">
        <w:rPr>
          <w:rFonts w:asciiTheme="minorHAnsi" w:hAnsiTheme="minorHAnsi"/>
        </w:rPr>
        <w:t>he Inter-American Court has held that “in cases of human rights violations, the State has the duty to provide reparations. This duty implies that while the victims or their next of kin should have ample opportunity to seek just compensation under domestic law, the State’s obligation cannot rest exclusively on their procedural initiative or on the submission of probative elements by private individuals.”</w:t>
      </w:r>
      <w:r w:rsidR="005F220B" w:rsidRPr="00D920C9">
        <w:rPr>
          <w:rFonts w:asciiTheme="minorHAnsi" w:hAnsiTheme="minorHAnsi"/>
          <w:vertAlign w:val="superscript"/>
        </w:rPr>
        <w:footnoteReference w:id="652"/>
      </w:r>
    </w:p>
    <w:p w14:paraId="1E40331A" w14:textId="77777777" w:rsidR="00B62090" w:rsidRPr="00D920C9" w:rsidRDefault="00B62090" w:rsidP="00E86698">
      <w:pPr>
        <w:pStyle w:val="ListParagraph"/>
        <w:numPr>
          <w:ilvl w:val="0"/>
          <w:numId w:val="9"/>
        </w:numPr>
        <w:spacing w:after="240" w:line="240" w:lineRule="auto"/>
        <w:ind w:left="547" w:hanging="547"/>
        <w:contextualSpacing w:val="0"/>
        <w:jc w:val="both"/>
        <w:rPr>
          <w:rFonts w:asciiTheme="minorHAnsi" w:hAnsiTheme="minorHAnsi"/>
          <w:bCs/>
          <w:color w:val="000000"/>
        </w:rPr>
      </w:pPr>
      <w:r w:rsidRPr="00D920C9">
        <w:rPr>
          <w:rFonts w:asciiTheme="minorHAnsi" w:hAnsiTheme="minorHAnsi"/>
        </w:rPr>
        <w:t>Many of the general principles of reparation and restitution already applicable in common law countries apply to the reparation of human rights violations as well. For example, a State shall provide reparation to victims for acts or omissions which can be attributed to the State;</w:t>
      </w:r>
      <w:r w:rsidRPr="00D920C9">
        <w:rPr>
          <w:rFonts w:asciiTheme="minorHAnsi" w:hAnsiTheme="minorHAnsi"/>
          <w:vertAlign w:val="superscript"/>
        </w:rPr>
        <w:footnoteReference w:id="653"/>
      </w:r>
      <w:r w:rsidRPr="00D920C9">
        <w:rPr>
          <w:rFonts w:asciiTheme="minorHAnsi" w:hAnsiTheme="minorHAnsi"/>
        </w:rPr>
        <w:t xml:space="preserve"> States should further endeavor to establish national programs for reparation and other assistance to victims where the parties liable for the harm are unable or unwilling to meet their obligations.</w:t>
      </w:r>
      <w:r w:rsidRPr="00D920C9">
        <w:rPr>
          <w:rFonts w:asciiTheme="minorHAnsi" w:hAnsiTheme="minorHAnsi"/>
          <w:vertAlign w:val="superscript"/>
        </w:rPr>
        <w:footnoteReference w:id="654"/>
      </w:r>
      <w:r w:rsidRPr="00D920C9">
        <w:rPr>
          <w:rFonts w:asciiTheme="minorHAnsi" w:hAnsiTheme="minorHAnsi"/>
        </w:rPr>
        <w:t xml:space="preserve"> Reparation should be proportional to the gravity of the violations</w:t>
      </w:r>
      <w:r w:rsidRPr="00D920C9">
        <w:rPr>
          <w:rFonts w:asciiTheme="minorHAnsi" w:hAnsiTheme="minorHAnsi"/>
          <w:color w:val="000000"/>
        </w:rPr>
        <w:t xml:space="preserve"> and the harm suffered.</w:t>
      </w:r>
      <w:r w:rsidRPr="00D920C9">
        <w:rPr>
          <w:rStyle w:val="FootnoteReference"/>
          <w:rFonts w:asciiTheme="minorHAnsi" w:hAnsiTheme="minorHAnsi"/>
          <w:color w:val="000000"/>
        </w:rPr>
        <w:footnoteReference w:id="655"/>
      </w:r>
      <w:r w:rsidRPr="00D920C9">
        <w:rPr>
          <w:rFonts w:asciiTheme="minorHAnsi" w:hAnsiTheme="minorHAnsi"/>
          <w:color w:val="000000"/>
        </w:rPr>
        <w:t xml:space="preserve"> </w:t>
      </w:r>
      <w:r w:rsidRPr="00D920C9">
        <w:rPr>
          <w:rFonts w:asciiTheme="minorHAnsi" w:hAnsiTheme="minorHAnsi"/>
        </w:rPr>
        <w:t xml:space="preserve">In this </w:t>
      </w:r>
      <w:r w:rsidR="00260121" w:rsidRPr="00D920C9">
        <w:rPr>
          <w:rFonts w:asciiTheme="minorHAnsi" w:hAnsiTheme="minorHAnsi"/>
        </w:rPr>
        <w:t>sense</w:t>
      </w:r>
      <w:r w:rsidRPr="00D920C9">
        <w:rPr>
          <w:rFonts w:asciiTheme="minorHAnsi" w:hAnsiTheme="minorHAnsi"/>
        </w:rPr>
        <w:t xml:space="preserve">, the nature and amount of the reparations ordered depend on the characteristics of the violation and on the pecuniary and non-pecuniary </w:t>
      </w:r>
      <w:r w:rsidRPr="00D920C9">
        <w:rPr>
          <w:rFonts w:asciiTheme="minorHAnsi" w:hAnsiTheme="minorHAnsi"/>
        </w:rPr>
        <w:lastRenderedPageBreak/>
        <w:t>damage caused; one or more measures can repair a specific damage, without this being considered double reparation.</w:t>
      </w:r>
      <w:r w:rsidRPr="00D920C9">
        <w:rPr>
          <w:rStyle w:val="FootnoteReference"/>
          <w:rFonts w:asciiTheme="minorHAnsi" w:hAnsiTheme="minorHAnsi"/>
        </w:rPr>
        <w:footnoteReference w:id="656"/>
      </w:r>
      <w:r w:rsidRPr="00D920C9">
        <w:rPr>
          <w:rFonts w:asciiTheme="minorHAnsi" w:hAnsiTheme="minorHAnsi"/>
        </w:rPr>
        <w:t xml:space="preserve"> </w:t>
      </w:r>
      <w:r w:rsidRPr="00D920C9">
        <w:rPr>
          <w:rFonts w:asciiTheme="minorHAnsi" w:hAnsiTheme="minorHAnsi"/>
          <w:color w:val="000000"/>
        </w:rPr>
        <w:t>In cases where a person, a legal person, or other entity is found liable for reparation to a victim, such party should provide reparation to the victim or compensate the State if the State has already provided reparation to the victim.</w:t>
      </w:r>
      <w:r w:rsidRPr="00D920C9">
        <w:rPr>
          <w:rStyle w:val="FootnoteReference"/>
          <w:rFonts w:asciiTheme="minorHAnsi" w:hAnsiTheme="minorHAnsi"/>
          <w:color w:val="000000"/>
        </w:rPr>
        <w:footnoteReference w:id="657"/>
      </w:r>
      <w:r w:rsidRPr="00D920C9">
        <w:rPr>
          <w:rFonts w:asciiTheme="minorHAnsi" w:hAnsiTheme="minorHAnsi"/>
          <w:color w:val="000000"/>
        </w:rPr>
        <w:t xml:space="preserve"> States shall, with respect to claims by victims, enforce domestic judgements for reparation against individuals or entities liable for the harm suffered and endeavor to enforce valid foreign legal judgements for reparation in accordance with domestic law and international legal obligations.</w:t>
      </w:r>
      <w:r w:rsidRPr="00D920C9">
        <w:rPr>
          <w:rStyle w:val="FootnoteReference"/>
          <w:rFonts w:asciiTheme="minorHAnsi" w:hAnsiTheme="minorHAnsi"/>
          <w:color w:val="000000"/>
        </w:rPr>
        <w:footnoteReference w:id="658"/>
      </w:r>
    </w:p>
    <w:p w14:paraId="1FF53CD8" w14:textId="08292E78" w:rsidR="00B62090" w:rsidRPr="00D920C9" w:rsidRDefault="00B62090" w:rsidP="00E86698">
      <w:pPr>
        <w:pStyle w:val="ListParagraph"/>
        <w:numPr>
          <w:ilvl w:val="0"/>
          <w:numId w:val="9"/>
        </w:numPr>
        <w:spacing w:after="240" w:line="240" w:lineRule="auto"/>
        <w:ind w:left="547" w:hanging="547"/>
        <w:contextualSpacing w:val="0"/>
        <w:jc w:val="both"/>
        <w:rPr>
          <w:rFonts w:asciiTheme="minorHAnsi" w:hAnsiTheme="minorHAnsi"/>
        </w:rPr>
      </w:pPr>
      <w:bookmarkStart w:id="253" w:name="_Ref507677509"/>
      <w:r w:rsidRPr="00D920C9">
        <w:rPr>
          <w:rFonts w:asciiTheme="minorHAnsi" w:hAnsiTheme="minorHAnsi"/>
        </w:rPr>
        <w:t xml:space="preserve">However, in </w:t>
      </w:r>
      <w:r w:rsidR="005F220B" w:rsidRPr="00D920C9">
        <w:rPr>
          <w:rFonts w:asciiTheme="minorHAnsi" w:hAnsiTheme="minorHAnsi"/>
        </w:rPr>
        <w:t>a</w:t>
      </w:r>
      <w:r w:rsidRPr="00D920C9">
        <w:rPr>
          <w:rFonts w:asciiTheme="minorHAnsi" w:hAnsiTheme="minorHAnsi"/>
        </w:rPr>
        <w:t xml:space="preserve"> context of structural discrimination</w:t>
      </w:r>
      <w:r w:rsidR="005F220B" w:rsidRPr="00D920C9">
        <w:rPr>
          <w:rFonts w:asciiTheme="minorHAnsi" w:hAnsiTheme="minorHAnsi"/>
        </w:rPr>
        <w:t>, the Commission has previously endorsed the position that “reparations must be designed to change [a structural] situation, so that their effect is not only of restitution, but also of rectification.”</w:t>
      </w:r>
      <w:r w:rsidR="005F220B" w:rsidRPr="00D920C9">
        <w:rPr>
          <w:rStyle w:val="FootnoteReference"/>
          <w:rFonts w:asciiTheme="minorHAnsi" w:hAnsiTheme="minorHAnsi"/>
        </w:rPr>
        <w:footnoteReference w:id="659"/>
      </w:r>
      <w:r w:rsidRPr="00D920C9">
        <w:rPr>
          <w:rFonts w:asciiTheme="minorHAnsi" w:hAnsiTheme="minorHAnsi"/>
        </w:rPr>
        <w:t xml:space="preserve"> </w:t>
      </w:r>
      <w:r w:rsidR="00260121" w:rsidRPr="00D920C9">
        <w:rPr>
          <w:rFonts w:asciiTheme="minorHAnsi" w:hAnsiTheme="minorHAnsi"/>
        </w:rPr>
        <w:t>Thus</w:t>
      </w:r>
      <w:r w:rsidRPr="00D920C9">
        <w:rPr>
          <w:rFonts w:asciiTheme="minorHAnsi" w:hAnsiTheme="minorHAnsi"/>
        </w:rPr>
        <w:t xml:space="preserve">, </w:t>
      </w:r>
      <w:r w:rsidR="002F48E5" w:rsidRPr="00D920C9">
        <w:rPr>
          <w:rFonts w:asciiTheme="minorHAnsi" w:hAnsiTheme="minorHAnsi"/>
        </w:rPr>
        <w:t>“</w:t>
      </w:r>
      <w:r w:rsidRPr="00D920C9">
        <w:rPr>
          <w:rFonts w:asciiTheme="minorHAnsi" w:hAnsiTheme="minorHAnsi"/>
        </w:rPr>
        <w:t>re-establishment of the same structural context of violence and discrimination</w:t>
      </w:r>
      <w:r w:rsidR="002F48E5" w:rsidRPr="00D920C9">
        <w:rPr>
          <w:rFonts w:asciiTheme="minorHAnsi" w:hAnsiTheme="minorHAnsi"/>
        </w:rPr>
        <w:t xml:space="preserve"> [that existed previously]</w:t>
      </w:r>
      <w:r w:rsidRPr="00D920C9">
        <w:rPr>
          <w:rFonts w:asciiTheme="minorHAnsi" w:hAnsiTheme="minorHAnsi"/>
        </w:rPr>
        <w:t xml:space="preserve"> is not acceptable.</w:t>
      </w:r>
      <w:r w:rsidRPr="00D920C9">
        <w:rPr>
          <w:rFonts w:asciiTheme="minorHAnsi" w:hAnsiTheme="minorHAnsi"/>
          <w:vertAlign w:val="superscript"/>
        </w:rPr>
        <w:footnoteReference w:id="660"/>
      </w:r>
      <w:r w:rsidR="002F48E5" w:rsidRPr="00D920C9">
        <w:rPr>
          <w:rFonts w:asciiTheme="minorHAnsi" w:hAnsiTheme="minorHAnsi"/>
        </w:rPr>
        <w:t xml:space="preserve"> This obligation can also be articulated as part of the State obligation of due diligence.</w:t>
      </w:r>
      <w:r w:rsidR="002F48E5" w:rsidRPr="00D920C9">
        <w:rPr>
          <w:rFonts w:asciiTheme="minorHAnsi" w:hAnsiTheme="minorHAnsi"/>
          <w:vertAlign w:val="superscript"/>
        </w:rPr>
        <w:footnoteReference w:id="661"/>
      </w:r>
      <w:r w:rsidR="00CC395E" w:rsidRPr="00D920C9">
        <w:rPr>
          <w:rFonts w:asciiTheme="minorHAnsi" w:hAnsiTheme="minorHAnsi"/>
        </w:rPr>
        <w:t xml:space="preserve"> The Commission has considered that a structural situation of discrimination against Afro-descendants exists in the region, and that this context of structural violence contributes to a situation of impunity and lack of reparations for police killings in the </w:t>
      </w:r>
      <w:r w:rsidR="00352483" w:rsidRPr="00D920C9">
        <w:rPr>
          <w:rFonts w:asciiTheme="minorHAnsi" w:hAnsiTheme="minorHAnsi"/>
        </w:rPr>
        <w:t>U.S</w:t>
      </w:r>
      <w:r w:rsidR="00CC395E" w:rsidRPr="00D920C9">
        <w:rPr>
          <w:rFonts w:asciiTheme="minorHAnsi" w:hAnsiTheme="minorHAnsi"/>
        </w:rPr>
        <w:t>.</w:t>
      </w:r>
      <w:r w:rsidR="00CC395E" w:rsidRPr="00D920C9">
        <w:rPr>
          <w:rFonts w:asciiTheme="minorHAnsi" w:hAnsiTheme="minorHAnsi"/>
          <w:vertAlign w:val="superscript"/>
        </w:rPr>
        <w:footnoteReference w:id="662"/>
      </w:r>
      <w:r w:rsidR="000C369C" w:rsidRPr="00D920C9">
        <w:rPr>
          <w:rFonts w:asciiTheme="minorHAnsi" w:hAnsiTheme="minorHAnsi"/>
        </w:rPr>
        <w:t xml:space="preserve"> </w:t>
      </w:r>
      <w:r w:rsidR="00CC395E" w:rsidRPr="00D920C9">
        <w:rPr>
          <w:rFonts w:asciiTheme="minorHAnsi" w:hAnsiTheme="minorHAnsi"/>
        </w:rPr>
        <w:t xml:space="preserve">Given this situation, the Commission reiterates that the </w:t>
      </w:r>
      <w:r w:rsidR="00904A46" w:rsidRPr="00D920C9">
        <w:rPr>
          <w:rFonts w:asciiTheme="minorHAnsi" w:hAnsiTheme="minorHAnsi"/>
        </w:rPr>
        <w:t>U.S.</w:t>
      </w:r>
      <w:r w:rsidR="00CC395E" w:rsidRPr="00D920C9">
        <w:rPr>
          <w:rFonts w:asciiTheme="minorHAnsi" w:hAnsiTheme="minorHAnsi"/>
        </w:rPr>
        <w:t xml:space="preserve"> must take urgent steps to remedy the situation of historic, structural discrimination against African Americans in order to transform </w:t>
      </w:r>
      <w:r w:rsidR="00651075" w:rsidRPr="00D920C9">
        <w:rPr>
          <w:rFonts w:asciiTheme="minorHAnsi" w:hAnsiTheme="minorHAnsi"/>
        </w:rPr>
        <w:t>the underlying situation of inequality in which the concrete violations discussed in this report take place.</w:t>
      </w:r>
      <w:bookmarkEnd w:id="253"/>
    </w:p>
    <w:p w14:paraId="1E2C007D" w14:textId="77777777" w:rsidR="00B62090" w:rsidRPr="00D920C9" w:rsidRDefault="00B62090" w:rsidP="00E86698">
      <w:pPr>
        <w:pStyle w:val="ListParagraph"/>
        <w:numPr>
          <w:ilvl w:val="0"/>
          <w:numId w:val="9"/>
        </w:numPr>
        <w:spacing w:after="240" w:line="240" w:lineRule="auto"/>
        <w:ind w:left="547" w:hanging="547"/>
        <w:contextualSpacing w:val="0"/>
        <w:jc w:val="both"/>
        <w:rPr>
          <w:rFonts w:asciiTheme="minorHAnsi" w:hAnsiTheme="minorHAnsi"/>
        </w:rPr>
      </w:pPr>
      <w:r w:rsidRPr="00D920C9">
        <w:rPr>
          <w:rFonts w:asciiTheme="minorHAnsi" w:hAnsiTheme="minorHAnsi"/>
          <w:i/>
          <w:iCs/>
        </w:rPr>
        <w:t>Restitution</w:t>
      </w:r>
      <w:r w:rsidRPr="00D920C9">
        <w:rPr>
          <w:rFonts w:asciiTheme="minorHAnsi" w:hAnsiTheme="minorHAnsi"/>
        </w:rPr>
        <w:t> should, whenever possible, restore the victim to the original situation before the human rights violations occurred. Restitution includes, as appropriate: restoration of liberty, enjoyment of human rights, identity, family life and citizenship, return to one’s place of residence, restoration of employment</w:t>
      </w:r>
      <w:r w:rsidR="00651075" w:rsidRPr="00D920C9">
        <w:rPr>
          <w:rFonts w:asciiTheme="minorHAnsi" w:hAnsiTheme="minorHAnsi"/>
        </w:rPr>
        <w:t>,</w:t>
      </w:r>
      <w:r w:rsidRPr="00D920C9">
        <w:rPr>
          <w:rFonts w:asciiTheme="minorHAnsi" w:hAnsiTheme="minorHAnsi"/>
        </w:rPr>
        <w:t xml:space="preserve"> and return of property.</w:t>
      </w:r>
      <w:r w:rsidRPr="00D920C9">
        <w:rPr>
          <w:rFonts w:asciiTheme="minorHAnsi" w:hAnsiTheme="minorHAnsi"/>
          <w:vertAlign w:val="superscript"/>
        </w:rPr>
        <w:footnoteReference w:id="663"/>
      </w:r>
    </w:p>
    <w:p w14:paraId="191B82F8" w14:textId="77777777" w:rsidR="00B62090" w:rsidRPr="00D920C9" w:rsidRDefault="00B62090" w:rsidP="00E86698">
      <w:pPr>
        <w:pStyle w:val="ListParagraph"/>
        <w:numPr>
          <w:ilvl w:val="0"/>
          <w:numId w:val="9"/>
        </w:numPr>
        <w:spacing w:after="240" w:line="240" w:lineRule="auto"/>
        <w:ind w:left="547" w:hanging="547"/>
        <w:contextualSpacing w:val="0"/>
        <w:jc w:val="both"/>
        <w:rPr>
          <w:rFonts w:asciiTheme="minorHAnsi" w:hAnsiTheme="minorHAnsi"/>
          <w:bCs/>
          <w:color w:val="000000"/>
        </w:rPr>
      </w:pPr>
      <w:r w:rsidRPr="00D920C9">
        <w:rPr>
          <w:rFonts w:asciiTheme="minorHAnsi" w:hAnsiTheme="minorHAnsi"/>
          <w:i/>
          <w:iCs/>
        </w:rPr>
        <w:lastRenderedPageBreak/>
        <w:t>Compensation</w:t>
      </w:r>
      <w:r w:rsidRPr="00D920C9">
        <w:rPr>
          <w:rFonts w:asciiTheme="minorHAnsi" w:hAnsiTheme="minorHAnsi"/>
        </w:rPr>
        <w:t> should be</w:t>
      </w:r>
      <w:r w:rsidRPr="00D920C9">
        <w:rPr>
          <w:rFonts w:asciiTheme="minorHAnsi" w:hAnsiTheme="minorHAnsi"/>
          <w:color w:val="000000"/>
        </w:rPr>
        <w:t xml:space="preserve"> provided for any economically assessable damage, as appropriate and proportional to the gravity of the violation and the circumstances of each case, </w:t>
      </w:r>
      <w:r w:rsidR="00651075" w:rsidRPr="00D920C9">
        <w:rPr>
          <w:rFonts w:asciiTheme="minorHAnsi" w:hAnsiTheme="minorHAnsi"/>
          <w:color w:val="000000"/>
        </w:rPr>
        <w:t>including</w:t>
      </w:r>
      <w:r w:rsidRPr="00D920C9">
        <w:rPr>
          <w:rFonts w:asciiTheme="minorHAnsi" w:hAnsiTheme="minorHAnsi"/>
          <w:color w:val="000000"/>
        </w:rPr>
        <w:t>:</w:t>
      </w:r>
    </w:p>
    <w:p w14:paraId="4F7C297A" w14:textId="77777777" w:rsidR="00B62090" w:rsidRPr="00D920C9" w:rsidRDefault="00451A5D" w:rsidP="006E3350">
      <w:pPr>
        <w:pStyle w:val="NormalWeb"/>
        <w:numPr>
          <w:ilvl w:val="1"/>
          <w:numId w:val="9"/>
        </w:numPr>
        <w:shd w:val="clear" w:color="auto" w:fill="FFFFFF"/>
        <w:spacing w:before="0" w:beforeAutospacing="0" w:after="120" w:afterAutospacing="0"/>
        <w:ind w:left="1094" w:hanging="547"/>
        <w:jc w:val="both"/>
        <w:rPr>
          <w:rFonts w:asciiTheme="minorHAnsi" w:hAnsiTheme="minorHAnsi"/>
          <w:color w:val="000000"/>
          <w:sz w:val="22"/>
          <w:lang w:val="en-US"/>
        </w:rPr>
      </w:pPr>
      <w:r w:rsidRPr="00D920C9">
        <w:rPr>
          <w:rFonts w:asciiTheme="minorHAnsi" w:hAnsiTheme="minorHAnsi"/>
          <w:color w:val="000000"/>
          <w:sz w:val="22"/>
          <w:lang w:val="en-US"/>
        </w:rPr>
        <w:t>Pecuniary</w:t>
      </w:r>
      <w:r w:rsidR="00B62090" w:rsidRPr="00D920C9">
        <w:rPr>
          <w:rFonts w:asciiTheme="minorHAnsi" w:hAnsiTheme="minorHAnsi"/>
          <w:color w:val="000000"/>
          <w:sz w:val="22"/>
          <w:lang w:val="en-US"/>
        </w:rPr>
        <w:t xml:space="preserve"> damages </w:t>
      </w:r>
      <w:r w:rsidRPr="00D920C9">
        <w:rPr>
          <w:rFonts w:asciiTheme="minorHAnsi" w:hAnsiTheme="minorHAnsi"/>
          <w:color w:val="000000"/>
          <w:sz w:val="22"/>
          <w:lang w:val="en-US"/>
        </w:rPr>
        <w:t>(including consequential damages and loss of earnings)</w:t>
      </w:r>
      <w:r w:rsidR="00B62090" w:rsidRPr="00D920C9">
        <w:rPr>
          <w:rFonts w:asciiTheme="minorHAnsi" w:hAnsiTheme="minorHAnsi"/>
          <w:color w:val="000000"/>
          <w:sz w:val="22"/>
          <w:lang w:val="en-US"/>
        </w:rPr>
        <w:t>;</w:t>
      </w:r>
    </w:p>
    <w:p w14:paraId="69500ECD" w14:textId="77777777" w:rsidR="00B62090" w:rsidRPr="00D920C9" w:rsidRDefault="007A1E26" w:rsidP="006E3350">
      <w:pPr>
        <w:pStyle w:val="NormalWeb"/>
        <w:numPr>
          <w:ilvl w:val="1"/>
          <w:numId w:val="9"/>
        </w:numPr>
        <w:shd w:val="clear" w:color="auto" w:fill="FFFFFF"/>
        <w:spacing w:before="0" w:beforeAutospacing="0" w:after="120" w:afterAutospacing="0"/>
        <w:ind w:left="1094" w:hanging="547"/>
        <w:jc w:val="both"/>
        <w:rPr>
          <w:rFonts w:asciiTheme="minorHAnsi" w:hAnsiTheme="minorHAnsi"/>
          <w:color w:val="000000"/>
          <w:sz w:val="22"/>
          <w:lang w:val="en-US"/>
        </w:rPr>
      </w:pPr>
      <w:r w:rsidRPr="00D920C9">
        <w:rPr>
          <w:rFonts w:asciiTheme="minorHAnsi" w:hAnsiTheme="minorHAnsi"/>
          <w:color w:val="000000"/>
          <w:sz w:val="22"/>
          <w:lang w:val="en-US"/>
        </w:rPr>
        <w:t>Non-pecuniary damages (including m</w:t>
      </w:r>
      <w:r w:rsidR="00B62090" w:rsidRPr="00D920C9">
        <w:rPr>
          <w:rFonts w:asciiTheme="minorHAnsi" w:hAnsiTheme="minorHAnsi"/>
          <w:color w:val="000000"/>
          <w:sz w:val="22"/>
          <w:lang w:val="en-US"/>
        </w:rPr>
        <w:t>oral damage</w:t>
      </w:r>
      <w:r w:rsidRPr="00D920C9">
        <w:rPr>
          <w:rFonts w:asciiTheme="minorHAnsi" w:hAnsiTheme="minorHAnsi"/>
          <w:color w:val="000000"/>
          <w:sz w:val="22"/>
          <w:lang w:val="en-US"/>
        </w:rPr>
        <w:t>s)</w:t>
      </w:r>
      <w:r w:rsidR="00B62090" w:rsidRPr="00D920C9">
        <w:rPr>
          <w:rFonts w:asciiTheme="minorHAnsi" w:hAnsiTheme="minorHAnsi"/>
          <w:color w:val="000000"/>
          <w:sz w:val="22"/>
          <w:lang w:val="en-US"/>
        </w:rPr>
        <w:t>;</w:t>
      </w:r>
      <w:r w:rsidRPr="00D920C9">
        <w:rPr>
          <w:rFonts w:asciiTheme="minorHAnsi" w:hAnsiTheme="minorHAnsi"/>
          <w:color w:val="000000"/>
          <w:sz w:val="22"/>
          <w:lang w:val="en-US"/>
        </w:rPr>
        <w:t xml:space="preserve"> and</w:t>
      </w:r>
    </w:p>
    <w:p w14:paraId="3F54B460" w14:textId="77777777" w:rsidR="00B62090" w:rsidRPr="00D920C9" w:rsidRDefault="00B62090" w:rsidP="006E3350">
      <w:pPr>
        <w:pStyle w:val="NormalWeb"/>
        <w:numPr>
          <w:ilvl w:val="1"/>
          <w:numId w:val="9"/>
        </w:numPr>
        <w:shd w:val="clear" w:color="auto" w:fill="FFFFFF"/>
        <w:spacing w:before="0" w:beforeAutospacing="0" w:after="240" w:afterAutospacing="0"/>
        <w:ind w:left="1094" w:hanging="547"/>
        <w:jc w:val="both"/>
        <w:rPr>
          <w:rFonts w:asciiTheme="minorHAnsi" w:hAnsiTheme="minorHAnsi"/>
          <w:color w:val="000000"/>
          <w:sz w:val="22"/>
          <w:lang w:val="en-US"/>
        </w:rPr>
      </w:pPr>
      <w:r w:rsidRPr="00D920C9">
        <w:rPr>
          <w:rFonts w:asciiTheme="minorHAnsi" w:hAnsiTheme="minorHAnsi"/>
          <w:color w:val="000000"/>
          <w:sz w:val="22"/>
          <w:lang w:val="en-US"/>
        </w:rPr>
        <w:t>Costs required for legal or expert assistance, medicine and medical services, and psychological and social services.</w:t>
      </w:r>
      <w:r w:rsidRPr="00D920C9">
        <w:rPr>
          <w:rStyle w:val="FootnoteReference"/>
          <w:rFonts w:asciiTheme="minorHAnsi" w:hAnsiTheme="minorHAnsi"/>
          <w:color w:val="000000"/>
          <w:sz w:val="22"/>
        </w:rPr>
        <w:footnoteReference w:id="664"/>
      </w:r>
    </w:p>
    <w:p w14:paraId="2F98A1EA" w14:textId="77777777" w:rsidR="007A1E26" w:rsidRPr="00D920C9" w:rsidRDefault="007A1E26" w:rsidP="00E86698">
      <w:pPr>
        <w:pStyle w:val="ListParagraph"/>
        <w:numPr>
          <w:ilvl w:val="0"/>
          <w:numId w:val="9"/>
        </w:numPr>
        <w:spacing w:after="240" w:line="240" w:lineRule="auto"/>
        <w:ind w:left="547" w:hanging="547"/>
        <w:contextualSpacing w:val="0"/>
        <w:jc w:val="both"/>
        <w:rPr>
          <w:rStyle w:val="Emphasis"/>
          <w:rFonts w:asciiTheme="minorHAnsi" w:hAnsiTheme="minorHAnsi"/>
          <w:i w:val="0"/>
          <w:iCs w:val="0"/>
          <w:color w:val="000000"/>
        </w:rPr>
      </w:pPr>
      <w:r w:rsidRPr="00D920C9">
        <w:rPr>
          <w:rStyle w:val="Emphasis"/>
          <w:rFonts w:asciiTheme="minorHAnsi" w:hAnsiTheme="minorHAnsi"/>
          <w:i w:val="0"/>
          <w:iCs w:val="0"/>
          <w:color w:val="000000"/>
        </w:rPr>
        <w:t xml:space="preserve">The Inter-American Court has previously considered that non-pecuniary damage includes </w:t>
      </w:r>
      <w:r w:rsidRPr="00D920C9">
        <w:rPr>
          <w:rFonts w:asciiTheme="minorHAnsi" w:hAnsiTheme="minorHAnsi"/>
          <w:color w:val="000000"/>
        </w:rPr>
        <w:t xml:space="preserve">the pain and suffering </w:t>
      </w:r>
      <w:r w:rsidRPr="00D920C9">
        <w:rPr>
          <w:rFonts w:asciiTheme="minorHAnsi" w:hAnsiTheme="minorHAnsi"/>
        </w:rPr>
        <w:t>caused</w:t>
      </w:r>
      <w:r w:rsidRPr="00D920C9">
        <w:rPr>
          <w:rFonts w:asciiTheme="minorHAnsi" w:hAnsiTheme="minorHAnsi"/>
          <w:color w:val="000000"/>
        </w:rPr>
        <w:t xml:space="preserve"> to the direct victim and the next of kin, the impairment of values that are significant to an individual, and also the non-pecuniary damage caused by alterations in the living conditions of the victim and their next of kin. Since it is not possible to allocate a precise monetary amount to such damage, it can only be compensated by the payment of a sum of money or the delivery of goods or services with a pecuniary value established by the relevant tribunal, in equity, as well as by acts or works of a public scope or impact designed to acknowledge the dignity of the victim and avoid the occurrence of human rights violations.</w:t>
      </w:r>
      <w:r w:rsidRPr="00D920C9">
        <w:rPr>
          <w:rStyle w:val="FootnoteReference"/>
          <w:rFonts w:asciiTheme="minorHAnsi" w:hAnsiTheme="minorHAnsi"/>
          <w:color w:val="000000"/>
        </w:rPr>
        <w:footnoteReference w:id="665"/>
      </w:r>
    </w:p>
    <w:p w14:paraId="0D885C16" w14:textId="77777777" w:rsidR="00B62090" w:rsidRPr="00D920C9" w:rsidRDefault="00B62090" w:rsidP="00E86698">
      <w:pPr>
        <w:pStyle w:val="ListParagraph"/>
        <w:numPr>
          <w:ilvl w:val="0"/>
          <w:numId w:val="9"/>
        </w:numPr>
        <w:spacing w:after="240" w:line="240" w:lineRule="auto"/>
        <w:ind w:left="547" w:hanging="547"/>
        <w:contextualSpacing w:val="0"/>
        <w:jc w:val="both"/>
        <w:rPr>
          <w:rFonts w:asciiTheme="minorHAnsi" w:hAnsiTheme="minorHAnsi"/>
        </w:rPr>
      </w:pPr>
      <w:r w:rsidRPr="00D920C9">
        <w:rPr>
          <w:rStyle w:val="Emphasis"/>
          <w:rFonts w:asciiTheme="minorHAnsi" w:hAnsiTheme="minorHAnsi"/>
          <w:color w:val="000000"/>
        </w:rPr>
        <w:t>Rehabilitation </w:t>
      </w:r>
      <w:r w:rsidRPr="00D920C9">
        <w:rPr>
          <w:rFonts w:asciiTheme="minorHAnsi" w:hAnsiTheme="minorHAnsi"/>
          <w:color w:val="000000"/>
        </w:rPr>
        <w:t>should include</w:t>
      </w:r>
      <w:r w:rsidR="007A1E26" w:rsidRPr="00D920C9">
        <w:rPr>
          <w:rFonts w:asciiTheme="minorHAnsi" w:hAnsiTheme="minorHAnsi"/>
          <w:color w:val="000000"/>
        </w:rPr>
        <w:t xml:space="preserve"> appropriate and effective medical, </w:t>
      </w:r>
      <w:r w:rsidRPr="00D920C9">
        <w:rPr>
          <w:rFonts w:asciiTheme="minorHAnsi" w:hAnsiTheme="minorHAnsi"/>
          <w:color w:val="000000"/>
        </w:rPr>
        <w:t>psychological</w:t>
      </w:r>
      <w:r w:rsidR="007A1E26" w:rsidRPr="00D920C9">
        <w:rPr>
          <w:rFonts w:asciiTheme="minorHAnsi" w:hAnsiTheme="minorHAnsi"/>
          <w:color w:val="000000"/>
        </w:rPr>
        <w:t xml:space="preserve">, or psychiatric treatment, by health </w:t>
      </w:r>
      <w:r w:rsidR="007A1E26" w:rsidRPr="00D920C9">
        <w:rPr>
          <w:rFonts w:asciiTheme="minorHAnsi" w:hAnsiTheme="minorHAnsi"/>
        </w:rPr>
        <w:t xml:space="preserve">care institutions with appropriate </w:t>
      </w:r>
      <w:r w:rsidR="003A5980" w:rsidRPr="00D920C9">
        <w:rPr>
          <w:rFonts w:asciiTheme="minorHAnsi" w:hAnsiTheme="minorHAnsi"/>
        </w:rPr>
        <w:t>training and specialization to provide care to the victims and their next of kin.</w:t>
      </w:r>
      <w:r w:rsidR="003A5980" w:rsidRPr="00D920C9">
        <w:rPr>
          <w:rFonts w:asciiTheme="minorHAnsi" w:hAnsiTheme="minorHAnsi"/>
          <w:vertAlign w:val="superscript"/>
        </w:rPr>
        <w:footnoteReference w:id="666"/>
      </w:r>
      <w:r w:rsidRPr="00D920C9">
        <w:rPr>
          <w:rFonts w:asciiTheme="minorHAnsi" w:hAnsiTheme="minorHAnsi"/>
        </w:rPr>
        <w:t xml:space="preserve"> </w:t>
      </w:r>
      <w:r w:rsidR="003A5980" w:rsidRPr="00D920C9">
        <w:rPr>
          <w:rFonts w:asciiTheme="minorHAnsi" w:hAnsiTheme="minorHAnsi"/>
        </w:rPr>
        <w:t>In general, the Inter-American Court additionally requires that such care be provided immediately, free of charge in public institutions, for the length of time necessary, and include the supply of any needed medication.</w:t>
      </w:r>
      <w:r w:rsidR="003A5980" w:rsidRPr="00D920C9">
        <w:rPr>
          <w:rFonts w:asciiTheme="minorHAnsi" w:hAnsiTheme="minorHAnsi"/>
          <w:vertAlign w:val="superscript"/>
        </w:rPr>
        <w:footnoteReference w:id="667"/>
      </w:r>
    </w:p>
    <w:p w14:paraId="434175CF" w14:textId="77777777" w:rsidR="00B62090" w:rsidRPr="00D920C9" w:rsidRDefault="00B62090" w:rsidP="00E86698">
      <w:pPr>
        <w:pStyle w:val="ListParagraph"/>
        <w:numPr>
          <w:ilvl w:val="0"/>
          <w:numId w:val="9"/>
        </w:numPr>
        <w:spacing w:after="240" w:line="240" w:lineRule="auto"/>
        <w:ind w:left="547" w:hanging="547"/>
        <w:contextualSpacing w:val="0"/>
        <w:jc w:val="both"/>
        <w:rPr>
          <w:rFonts w:asciiTheme="minorHAnsi" w:hAnsiTheme="minorHAnsi"/>
          <w:color w:val="000000"/>
        </w:rPr>
      </w:pPr>
      <w:r w:rsidRPr="00D920C9">
        <w:rPr>
          <w:rFonts w:asciiTheme="minorHAnsi" w:hAnsiTheme="minorHAnsi"/>
          <w:i/>
          <w:iCs/>
        </w:rPr>
        <w:t>Satisfaction</w:t>
      </w:r>
      <w:r w:rsidRPr="00D920C9">
        <w:rPr>
          <w:rFonts w:asciiTheme="minorHAnsi" w:hAnsiTheme="minorHAnsi"/>
        </w:rPr>
        <w:t> should include</w:t>
      </w:r>
      <w:r w:rsidRPr="00D920C9">
        <w:rPr>
          <w:rFonts w:asciiTheme="minorHAnsi" w:hAnsiTheme="minorHAnsi"/>
          <w:color w:val="000000"/>
        </w:rPr>
        <w:t>, where applicable, any or all of the following:</w:t>
      </w:r>
    </w:p>
    <w:p w14:paraId="41515A6B" w14:textId="77777777" w:rsidR="00B62090" w:rsidRPr="00D920C9" w:rsidRDefault="00B62090" w:rsidP="00C91E4F">
      <w:pPr>
        <w:pStyle w:val="NormalWeb"/>
        <w:numPr>
          <w:ilvl w:val="1"/>
          <w:numId w:val="9"/>
        </w:numPr>
        <w:shd w:val="clear" w:color="auto" w:fill="FFFFFF"/>
        <w:spacing w:before="0" w:beforeAutospacing="0" w:after="120" w:afterAutospacing="0"/>
        <w:ind w:left="1080" w:hanging="540"/>
        <w:jc w:val="both"/>
        <w:rPr>
          <w:rFonts w:asciiTheme="minorHAnsi" w:hAnsiTheme="minorHAnsi"/>
          <w:color w:val="000000"/>
          <w:sz w:val="22"/>
          <w:lang w:val="en-US"/>
        </w:rPr>
      </w:pPr>
      <w:r w:rsidRPr="00D920C9">
        <w:rPr>
          <w:rFonts w:asciiTheme="minorHAnsi" w:hAnsiTheme="minorHAnsi"/>
          <w:color w:val="000000"/>
          <w:sz w:val="22"/>
          <w:lang w:val="en-US"/>
        </w:rPr>
        <w:t>Effective measures aimed at the cessation of continuing violations;</w:t>
      </w:r>
    </w:p>
    <w:p w14:paraId="69069B00" w14:textId="77777777" w:rsidR="00B62090" w:rsidRPr="00D920C9" w:rsidRDefault="00B62090" w:rsidP="00C91E4F">
      <w:pPr>
        <w:pStyle w:val="NormalWeb"/>
        <w:numPr>
          <w:ilvl w:val="1"/>
          <w:numId w:val="9"/>
        </w:numPr>
        <w:shd w:val="clear" w:color="auto" w:fill="FFFFFF"/>
        <w:spacing w:before="0" w:beforeAutospacing="0" w:after="120" w:afterAutospacing="0"/>
        <w:ind w:left="1080" w:hanging="540"/>
        <w:jc w:val="both"/>
        <w:rPr>
          <w:rFonts w:asciiTheme="minorHAnsi" w:hAnsiTheme="minorHAnsi"/>
          <w:color w:val="000000"/>
          <w:sz w:val="22"/>
          <w:lang w:val="en-US"/>
        </w:rPr>
      </w:pPr>
      <w:r w:rsidRPr="00D920C9">
        <w:rPr>
          <w:rFonts w:asciiTheme="minorHAnsi" w:hAnsiTheme="minorHAnsi"/>
          <w:color w:val="000000"/>
          <w:sz w:val="22"/>
          <w:lang w:val="en-US"/>
        </w:rPr>
        <w:t xml:space="preserve">Verification of the facts and full and public disclosure of the truth </w:t>
      </w:r>
      <w:r w:rsidR="003A5980" w:rsidRPr="00D920C9">
        <w:rPr>
          <w:rFonts w:asciiTheme="minorHAnsi" w:hAnsiTheme="minorHAnsi"/>
          <w:color w:val="000000"/>
          <w:sz w:val="22"/>
          <w:lang w:val="en-US"/>
        </w:rPr>
        <w:t>[…]</w:t>
      </w:r>
      <w:r w:rsidRPr="00D920C9">
        <w:rPr>
          <w:rFonts w:asciiTheme="minorHAnsi" w:hAnsiTheme="minorHAnsi"/>
          <w:color w:val="000000"/>
          <w:sz w:val="22"/>
          <w:lang w:val="en-US"/>
        </w:rPr>
        <w:t>;</w:t>
      </w:r>
    </w:p>
    <w:p w14:paraId="3D7550ED" w14:textId="77777777" w:rsidR="00B62090" w:rsidRPr="00D920C9" w:rsidRDefault="00B62090" w:rsidP="00C91E4F">
      <w:pPr>
        <w:pStyle w:val="NormalWeb"/>
        <w:numPr>
          <w:ilvl w:val="1"/>
          <w:numId w:val="9"/>
        </w:numPr>
        <w:shd w:val="clear" w:color="auto" w:fill="FFFFFF"/>
        <w:spacing w:before="0" w:beforeAutospacing="0" w:after="120" w:afterAutospacing="0"/>
        <w:ind w:left="1080" w:hanging="540"/>
        <w:jc w:val="both"/>
        <w:rPr>
          <w:rFonts w:asciiTheme="minorHAnsi" w:hAnsiTheme="minorHAnsi"/>
          <w:color w:val="000000"/>
          <w:sz w:val="22"/>
          <w:lang w:val="en-US"/>
        </w:rPr>
      </w:pPr>
      <w:r w:rsidRPr="00D920C9">
        <w:rPr>
          <w:rFonts w:asciiTheme="minorHAnsi" w:hAnsiTheme="minorHAnsi"/>
          <w:color w:val="000000"/>
          <w:sz w:val="22"/>
          <w:lang w:val="en-US"/>
        </w:rPr>
        <w:t>The search for the whereabouts of the disappeared, for the identities of the children abducted, and</w:t>
      </w:r>
      <w:r w:rsidR="003A5980" w:rsidRPr="00D920C9">
        <w:rPr>
          <w:rFonts w:asciiTheme="minorHAnsi" w:hAnsiTheme="minorHAnsi"/>
          <w:color w:val="000000"/>
          <w:sz w:val="22"/>
          <w:lang w:val="en-US"/>
        </w:rPr>
        <w:t xml:space="preserve"> for the bodies of those killed […]</w:t>
      </w:r>
      <w:r w:rsidRPr="00D920C9">
        <w:rPr>
          <w:rFonts w:asciiTheme="minorHAnsi" w:hAnsiTheme="minorHAnsi"/>
          <w:color w:val="000000"/>
          <w:sz w:val="22"/>
          <w:lang w:val="en-US"/>
        </w:rPr>
        <w:t>;</w:t>
      </w:r>
    </w:p>
    <w:p w14:paraId="58AE6C96" w14:textId="77777777" w:rsidR="00B62090" w:rsidRPr="00D920C9" w:rsidRDefault="00B62090" w:rsidP="00C91E4F">
      <w:pPr>
        <w:pStyle w:val="NormalWeb"/>
        <w:numPr>
          <w:ilvl w:val="1"/>
          <w:numId w:val="9"/>
        </w:numPr>
        <w:shd w:val="clear" w:color="auto" w:fill="FFFFFF"/>
        <w:spacing w:before="0" w:beforeAutospacing="0" w:after="120" w:afterAutospacing="0"/>
        <w:ind w:left="1080" w:hanging="540"/>
        <w:jc w:val="both"/>
        <w:rPr>
          <w:rFonts w:asciiTheme="minorHAnsi" w:hAnsiTheme="minorHAnsi"/>
          <w:color w:val="000000"/>
          <w:sz w:val="22"/>
          <w:lang w:val="en-US"/>
        </w:rPr>
      </w:pPr>
      <w:r w:rsidRPr="00D920C9">
        <w:rPr>
          <w:rFonts w:asciiTheme="minorHAnsi" w:hAnsiTheme="minorHAnsi"/>
          <w:color w:val="000000"/>
          <w:sz w:val="22"/>
          <w:lang w:val="en-US"/>
        </w:rPr>
        <w:lastRenderedPageBreak/>
        <w:t>An official declaration or a judicial decision restoring the dignity, reputation and rights of the victim and of persons closely connected with the victim</w:t>
      </w:r>
      <w:r w:rsidR="003A5980" w:rsidRPr="00D920C9">
        <w:rPr>
          <w:rFonts w:asciiTheme="minorHAnsi" w:hAnsiTheme="minorHAnsi"/>
          <w:color w:val="000000"/>
          <w:sz w:val="22"/>
          <w:lang w:val="en-US"/>
        </w:rPr>
        <w:t>, and publication of the decision</w:t>
      </w:r>
      <w:r w:rsidRPr="00D920C9">
        <w:rPr>
          <w:rFonts w:asciiTheme="minorHAnsi" w:hAnsiTheme="minorHAnsi"/>
          <w:color w:val="000000"/>
          <w:sz w:val="22"/>
          <w:lang w:val="en-US"/>
        </w:rPr>
        <w:t>;</w:t>
      </w:r>
      <w:r w:rsidR="003A5980" w:rsidRPr="00D920C9">
        <w:rPr>
          <w:rStyle w:val="FootnoteReference"/>
          <w:rFonts w:asciiTheme="minorHAnsi" w:hAnsiTheme="minorHAnsi"/>
          <w:color w:val="000000"/>
          <w:sz w:val="22"/>
          <w:lang w:val="en-US"/>
        </w:rPr>
        <w:footnoteReference w:id="668"/>
      </w:r>
    </w:p>
    <w:p w14:paraId="3688A430" w14:textId="77777777" w:rsidR="00B62090" w:rsidRPr="00D920C9" w:rsidRDefault="00B62090" w:rsidP="00C91E4F">
      <w:pPr>
        <w:pStyle w:val="NormalWeb"/>
        <w:numPr>
          <w:ilvl w:val="1"/>
          <w:numId w:val="9"/>
        </w:numPr>
        <w:shd w:val="clear" w:color="auto" w:fill="FFFFFF"/>
        <w:spacing w:before="0" w:beforeAutospacing="0" w:after="120" w:afterAutospacing="0"/>
        <w:ind w:left="1080" w:hanging="540"/>
        <w:jc w:val="both"/>
        <w:rPr>
          <w:rFonts w:asciiTheme="minorHAnsi" w:hAnsiTheme="minorHAnsi"/>
          <w:color w:val="000000"/>
          <w:sz w:val="22"/>
          <w:lang w:val="en-US"/>
        </w:rPr>
      </w:pPr>
      <w:r w:rsidRPr="00D920C9">
        <w:rPr>
          <w:rFonts w:asciiTheme="minorHAnsi" w:hAnsiTheme="minorHAnsi"/>
          <w:color w:val="000000"/>
          <w:sz w:val="22"/>
          <w:lang w:val="en-US"/>
        </w:rPr>
        <w:t>Public apology, including acknowledgement of the facts and acceptance of responsibility;</w:t>
      </w:r>
    </w:p>
    <w:p w14:paraId="330F9C48" w14:textId="77777777" w:rsidR="00B62090" w:rsidRPr="00D920C9" w:rsidRDefault="00B62090" w:rsidP="00C91E4F">
      <w:pPr>
        <w:pStyle w:val="NormalWeb"/>
        <w:numPr>
          <w:ilvl w:val="1"/>
          <w:numId w:val="9"/>
        </w:numPr>
        <w:shd w:val="clear" w:color="auto" w:fill="FFFFFF"/>
        <w:spacing w:before="0" w:beforeAutospacing="0" w:after="120" w:afterAutospacing="0"/>
        <w:ind w:left="1080" w:hanging="540"/>
        <w:jc w:val="both"/>
        <w:rPr>
          <w:rFonts w:asciiTheme="minorHAnsi" w:hAnsiTheme="minorHAnsi"/>
          <w:color w:val="000000"/>
          <w:sz w:val="22"/>
          <w:lang w:val="en-US"/>
        </w:rPr>
      </w:pPr>
      <w:r w:rsidRPr="00D920C9">
        <w:rPr>
          <w:rFonts w:asciiTheme="minorHAnsi" w:hAnsiTheme="minorHAnsi"/>
          <w:color w:val="000000"/>
          <w:sz w:val="22"/>
          <w:lang w:val="en-US"/>
        </w:rPr>
        <w:t>Judicial and administrative sanctions against persons liable for the violations;</w:t>
      </w:r>
    </w:p>
    <w:p w14:paraId="78EB3DA2" w14:textId="77777777" w:rsidR="00B62090" w:rsidRPr="00D920C9" w:rsidRDefault="00B62090" w:rsidP="00C91E4F">
      <w:pPr>
        <w:pStyle w:val="NormalWeb"/>
        <w:numPr>
          <w:ilvl w:val="1"/>
          <w:numId w:val="9"/>
        </w:numPr>
        <w:shd w:val="clear" w:color="auto" w:fill="FFFFFF"/>
        <w:spacing w:before="0" w:beforeAutospacing="0" w:after="120" w:afterAutospacing="0"/>
        <w:ind w:left="1080" w:hanging="540"/>
        <w:jc w:val="both"/>
        <w:rPr>
          <w:rFonts w:asciiTheme="minorHAnsi" w:hAnsiTheme="minorHAnsi"/>
          <w:color w:val="000000"/>
          <w:sz w:val="22"/>
          <w:lang w:val="en-US"/>
        </w:rPr>
      </w:pPr>
      <w:r w:rsidRPr="00D920C9">
        <w:rPr>
          <w:rFonts w:asciiTheme="minorHAnsi" w:hAnsiTheme="minorHAnsi"/>
          <w:color w:val="000000"/>
          <w:sz w:val="22"/>
          <w:lang w:val="en-US"/>
        </w:rPr>
        <w:t>Commemorations and tributes to the victims;</w:t>
      </w:r>
    </w:p>
    <w:p w14:paraId="73A87AFE" w14:textId="77777777" w:rsidR="00B62090" w:rsidRPr="00D920C9" w:rsidRDefault="00B62090" w:rsidP="00C91E4F">
      <w:pPr>
        <w:pStyle w:val="NormalWeb"/>
        <w:numPr>
          <w:ilvl w:val="1"/>
          <w:numId w:val="9"/>
        </w:numPr>
        <w:shd w:val="clear" w:color="auto" w:fill="FFFFFF"/>
        <w:spacing w:before="0" w:beforeAutospacing="0" w:after="240" w:afterAutospacing="0"/>
        <w:ind w:left="1080" w:hanging="540"/>
        <w:jc w:val="both"/>
        <w:rPr>
          <w:rFonts w:asciiTheme="minorHAnsi" w:hAnsiTheme="minorHAnsi"/>
          <w:color w:val="000000"/>
          <w:sz w:val="22"/>
          <w:lang w:val="en-US"/>
        </w:rPr>
      </w:pPr>
      <w:r w:rsidRPr="00D920C9">
        <w:rPr>
          <w:rFonts w:asciiTheme="minorHAnsi" w:hAnsiTheme="minorHAnsi"/>
          <w:color w:val="000000"/>
          <w:sz w:val="22"/>
          <w:lang w:val="en-US"/>
        </w:rPr>
        <w:t>Inclusion of an accurate account of the violations that occurred in training and in educational material at all levels.</w:t>
      </w:r>
      <w:r w:rsidRPr="00D920C9">
        <w:rPr>
          <w:rStyle w:val="FootnoteReference"/>
          <w:rFonts w:asciiTheme="minorHAnsi" w:hAnsiTheme="minorHAnsi"/>
          <w:color w:val="000000"/>
          <w:sz w:val="22"/>
        </w:rPr>
        <w:footnoteReference w:id="669"/>
      </w:r>
    </w:p>
    <w:p w14:paraId="218347F4" w14:textId="77777777" w:rsidR="00B62090" w:rsidRPr="00D920C9" w:rsidRDefault="00B62090" w:rsidP="00E86698">
      <w:pPr>
        <w:pStyle w:val="ListParagraph"/>
        <w:numPr>
          <w:ilvl w:val="0"/>
          <w:numId w:val="9"/>
        </w:numPr>
        <w:spacing w:after="240" w:line="240" w:lineRule="auto"/>
        <w:ind w:left="547" w:hanging="547"/>
        <w:contextualSpacing w:val="0"/>
        <w:jc w:val="both"/>
        <w:rPr>
          <w:rFonts w:asciiTheme="minorHAnsi" w:hAnsiTheme="minorHAnsi"/>
          <w:color w:val="000000"/>
        </w:rPr>
      </w:pPr>
      <w:r w:rsidRPr="00D920C9">
        <w:rPr>
          <w:rStyle w:val="Emphasis"/>
          <w:rFonts w:asciiTheme="minorHAnsi" w:hAnsiTheme="minorHAnsi"/>
          <w:color w:val="000000"/>
        </w:rPr>
        <w:t>Guarantees of non-repetition</w:t>
      </w:r>
      <w:r w:rsidRPr="00D920C9">
        <w:rPr>
          <w:rFonts w:asciiTheme="minorHAnsi" w:hAnsiTheme="minorHAnsi"/>
          <w:color w:val="000000"/>
        </w:rPr>
        <w:t> should include, where applicable, any or all of the following measures, which will also contribute to prevention:</w:t>
      </w:r>
    </w:p>
    <w:p w14:paraId="446C21D9" w14:textId="77777777" w:rsidR="00B62090" w:rsidRPr="00D920C9" w:rsidRDefault="00B62090" w:rsidP="00C91E4F">
      <w:pPr>
        <w:pStyle w:val="NormalWeb"/>
        <w:numPr>
          <w:ilvl w:val="1"/>
          <w:numId w:val="9"/>
        </w:numPr>
        <w:shd w:val="clear" w:color="auto" w:fill="FFFFFF"/>
        <w:spacing w:before="0" w:beforeAutospacing="0" w:after="120" w:afterAutospacing="0"/>
        <w:ind w:left="1080" w:hanging="540"/>
        <w:jc w:val="both"/>
        <w:rPr>
          <w:rFonts w:asciiTheme="minorHAnsi" w:hAnsiTheme="minorHAnsi"/>
          <w:color w:val="000000"/>
          <w:sz w:val="22"/>
          <w:lang w:val="en-US"/>
        </w:rPr>
      </w:pPr>
      <w:r w:rsidRPr="00D920C9">
        <w:rPr>
          <w:rFonts w:asciiTheme="minorHAnsi" w:hAnsiTheme="minorHAnsi"/>
          <w:color w:val="000000"/>
          <w:sz w:val="22"/>
          <w:lang w:val="en-US"/>
        </w:rPr>
        <w:t>Ensuring effective civilian control of military and security forces;</w:t>
      </w:r>
    </w:p>
    <w:p w14:paraId="035B633E" w14:textId="77777777" w:rsidR="00B62090" w:rsidRPr="00D920C9" w:rsidRDefault="00B62090" w:rsidP="00C91E4F">
      <w:pPr>
        <w:pStyle w:val="NormalWeb"/>
        <w:numPr>
          <w:ilvl w:val="1"/>
          <w:numId w:val="9"/>
        </w:numPr>
        <w:shd w:val="clear" w:color="auto" w:fill="FFFFFF"/>
        <w:spacing w:before="0" w:beforeAutospacing="0" w:after="120" w:afterAutospacing="0"/>
        <w:ind w:left="1080" w:hanging="540"/>
        <w:jc w:val="both"/>
        <w:rPr>
          <w:rFonts w:asciiTheme="minorHAnsi" w:hAnsiTheme="minorHAnsi"/>
          <w:color w:val="000000"/>
          <w:sz w:val="22"/>
          <w:lang w:val="en-US"/>
        </w:rPr>
      </w:pPr>
      <w:r w:rsidRPr="00D920C9">
        <w:rPr>
          <w:rFonts w:asciiTheme="minorHAnsi" w:hAnsiTheme="minorHAnsi"/>
          <w:color w:val="000000"/>
          <w:sz w:val="22"/>
          <w:lang w:val="en-US"/>
        </w:rPr>
        <w:t>Ensuring that all civilian and military proceedings abide by international standards of due process, fairness and impartiality;</w:t>
      </w:r>
    </w:p>
    <w:p w14:paraId="63FAFA18" w14:textId="77777777" w:rsidR="00B62090" w:rsidRPr="00D920C9" w:rsidRDefault="00B62090" w:rsidP="00C91E4F">
      <w:pPr>
        <w:pStyle w:val="NormalWeb"/>
        <w:numPr>
          <w:ilvl w:val="1"/>
          <w:numId w:val="9"/>
        </w:numPr>
        <w:shd w:val="clear" w:color="auto" w:fill="FFFFFF"/>
        <w:spacing w:before="0" w:beforeAutospacing="0" w:after="120" w:afterAutospacing="0"/>
        <w:ind w:left="1080" w:hanging="540"/>
        <w:jc w:val="both"/>
        <w:rPr>
          <w:rFonts w:asciiTheme="minorHAnsi" w:hAnsiTheme="minorHAnsi"/>
          <w:color w:val="000000"/>
          <w:sz w:val="22"/>
          <w:lang w:val="en-US"/>
        </w:rPr>
      </w:pPr>
      <w:r w:rsidRPr="00D920C9">
        <w:rPr>
          <w:rFonts w:asciiTheme="minorHAnsi" w:hAnsiTheme="minorHAnsi"/>
          <w:color w:val="000000"/>
          <w:sz w:val="22"/>
          <w:lang w:val="en-US"/>
        </w:rPr>
        <w:t>Strengthening the independence of the judiciary;</w:t>
      </w:r>
    </w:p>
    <w:p w14:paraId="2E5949E1" w14:textId="77777777" w:rsidR="00B62090" w:rsidRPr="00D920C9" w:rsidRDefault="00B62090" w:rsidP="00C91E4F">
      <w:pPr>
        <w:pStyle w:val="NormalWeb"/>
        <w:numPr>
          <w:ilvl w:val="1"/>
          <w:numId w:val="9"/>
        </w:numPr>
        <w:shd w:val="clear" w:color="auto" w:fill="FFFFFF"/>
        <w:spacing w:before="0" w:beforeAutospacing="0" w:after="120" w:afterAutospacing="0"/>
        <w:ind w:left="1080" w:hanging="540"/>
        <w:jc w:val="both"/>
        <w:rPr>
          <w:rFonts w:asciiTheme="minorHAnsi" w:hAnsiTheme="minorHAnsi"/>
          <w:color w:val="000000"/>
          <w:sz w:val="22"/>
          <w:lang w:val="en-US"/>
        </w:rPr>
      </w:pPr>
      <w:r w:rsidRPr="00D920C9">
        <w:rPr>
          <w:rFonts w:asciiTheme="minorHAnsi" w:hAnsiTheme="minorHAnsi"/>
          <w:color w:val="000000"/>
          <w:sz w:val="22"/>
          <w:lang w:val="en-US"/>
        </w:rPr>
        <w:t>Protecting persons in the legal, medical and health-care professions, the media and other related professions, and human rights defenders;</w:t>
      </w:r>
    </w:p>
    <w:p w14:paraId="32740A71" w14:textId="77777777" w:rsidR="00B62090" w:rsidRPr="00D920C9" w:rsidRDefault="00B62090" w:rsidP="00C91E4F">
      <w:pPr>
        <w:pStyle w:val="NormalWeb"/>
        <w:numPr>
          <w:ilvl w:val="1"/>
          <w:numId w:val="9"/>
        </w:numPr>
        <w:shd w:val="clear" w:color="auto" w:fill="FFFFFF"/>
        <w:spacing w:before="0" w:beforeAutospacing="0" w:after="120" w:afterAutospacing="0"/>
        <w:ind w:left="1080" w:hanging="540"/>
        <w:jc w:val="both"/>
        <w:rPr>
          <w:rFonts w:asciiTheme="minorHAnsi" w:hAnsiTheme="minorHAnsi"/>
          <w:color w:val="000000"/>
          <w:sz w:val="22"/>
          <w:lang w:val="en-US"/>
        </w:rPr>
      </w:pPr>
      <w:r w:rsidRPr="00D920C9">
        <w:rPr>
          <w:rFonts w:asciiTheme="minorHAnsi" w:hAnsiTheme="minorHAnsi"/>
          <w:color w:val="000000"/>
          <w:sz w:val="22"/>
          <w:lang w:val="en-US"/>
        </w:rPr>
        <w:t>Providing, on a priority and continued basis, human rights and international humanitarian law education to all sectors of society and training for law enforcement officials as well as military and security forces;</w:t>
      </w:r>
    </w:p>
    <w:p w14:paraId="28C15264" w14:textId="77777777" w:rsidR="00B62090" w:rsidRPr="00D920C9" w:rsidRDefault="00B62090" w:rsidP="00C91E4F">
      <w:pPr>
        <w:pStyle w:val="NormalWeb"/>
        <w:numPr>
          <w:ilvl w:val="1"/>
          <w:numId w:val="9"/>
        </w:numPr>
        <w:shd w:val="clear" w:color="auto" w:fill="FFFFFF"/>
        <w:spacing w:before="0" w:beforeAutospacing="0" w:after="120" w:afterAutospacing="0"/>
        <w:ind w:left="1080" w:hanging="540"/>
        <w:jc w:val="both"/>
        <w:rPr>
          <w:rFonts w:asciiTheme="minorHAnsi" w:hAnsiTheme="minorHAnsi"/>
          <w:color w:val="000000"/>
          <w:sz w:val="22"/>
          <w:lang w:val="en-US"/>
        </w:rPr>
      </w:pPr>
      <w:r w:rsidRPr="00D920C9">
        <w:rPr>
          <w:rFonts w:asciiTheme="minorHAnsi" w:hAnsiTheme="minorHAnsi"/>
          <w:color w:val="000000"/>
          <w:sz w:val="22"/>
          <w:lang w:val="en-US"/>
        </w:rPr>
        <w:t>Promoting the observance of codes of conduct and ethical norms, in particular international standards, by public servants, including law enforcement, correctional, media, medical, psychological, social service and military personnel, as well as by economic enterprises;</w:t>
      </w:r>
    </w:p>
    <w:p w14:paraId="1B8288CB" w14:textId="77777777" w:rsidR="00B62090" w:rsidRPr="00D920C9" w:rsidRDefault="00B62090" w:rsidP="00C91E4F">
      <w:pPr>
        <w:pStyle w:val="NormalWeb"/>
        <w:numPr>
          <w:ilvl w:val="1"/>
          <w:numId w:val="9"/>
        </w:numPr>
        <w:shd w:val="clear" w:color="auto" w:fill="FFFFFF"/>
        <w:spacing w:before="0" w:beforeAutospacing="0" w:after="120" w:afterAutospacing="0"/>
        <w:ind w:left="1080" w:hanging="540"/>
        <w:jc w:val="both"/>
        <w:rPr>
          <w:rFonts w:asciiTheme="minorHAnsi" w:hAnsiTheme="minorHAnsi"/>
          <w:color w:val="000000"/>
          <w:sz w:val="22"/>
          <w:lang w:val="en-US"/>
        </w:rPr>
      </w:pPr>
      <w:r w:rsidRPr="00D920C9">
        <w:rPr>
          <w:rFonts w:asciiTheme="minorHAnsi" w:hAnsiTheme="minorHAnsi"/>
          <w:color w:val="000000"/>
          <w:sz w:val="22"/>
          <w:lang w:val="en-US"/>
        </w:rPr>
        <w:t>Promoting mechanisms for preventing and monitoring social conflicts and their resolution;</w:t>
      </w:r>
    </w:p>
    <w:p w14:paraId="79C68BA4" w14:textId="77777777" w:rsidR="00B62090" w:rsidRPr="00D920C9" w:rsidRDefault="00B62090" w:rsidP="00C91E4F">
      <w:pPr>
        <w:pStyle w:val="NormalWeb"/>
        <w:numPr>
          <w:ilvl w:val="1"/>
          <w:numId w:val="9"/>
        </w:numPr>
        <w:shd w:val="clear" w:color="auto" w:fill="FFFFFF"/>
        <w:spacing w:before="0" w:beforeAutospacing="0" w:after="240" w:afterAutospacing="0"/>
        <w:ind w:left="1080" w:hanging="540"/>
        <w:jc w:val="both"/>
        <w:rPr>
          <w:rFonts w:asciiTheme="minorHAnsi" w:hAnsiTheme="minorHAnsi"/>
          <w:color w:val="000000"/>
          <w:sz w:val="22"/>
          <w:lang w:val="en-US"/>
        </w:rPr>
      </w:pPr>
      <w:r w:rsidRPr="00D920C9">
        <w:rPr>
          <w:rFonts w:asciiTheme="minorHAnsi" w:hAnsiTheme="minorHAnsi"/>
          <w:color w:val="000000"/>
          <w:sz w:val="22"/>
          <w:lang w:val="en-US"/>
        </w:rPr>
        <w:t>Reviewing and reforming laws contributing to or allowing gross violations of international human rights law and serious violations of international humanitarian law.</w:t>
      </w:r>
      <w:r w:rsidRPr="00D920C9">
        <w:rPr>
          <w:rStyle w:val="FootnoteReference"/>
          <w:rFonts w:asciiTheme="minorHAnsi" w:hAnsiTheme="minorHAnsi"/>
          <w:color w:val="000000"/>
          <w:sz w:val="22"/>
        </w:rPr>
        <w:footnoteReference w:id="670"/>
      </w:r>
    </w:p>
    <w:p w14:paraId="50E7FFBF" w14:textId="77777777" w:rsidR="006C7DAF" w:rsidRPr="00D920C9" w:rsidRDefault="006C7DAF" w:rsidP="00E86698">
      <w:pPr>
        <w:pStyle w:val="ListParagraph"/>
        <w:numPr>
          <w:ilvl w:val="0"/>
          <w:numId w:val="9"/>
        </w:numPr>
        <w:spacing w:after="240" w:line="240" w:lineRule="auto"/>
        <w:ind w:left="547" w:hanging="547"/>
        <w:contextualSpacing w:val="0"/>
        <w:jc w:val="both"/>
        <w:rPr>
          <w:rFonts w:asciiTheme="minorHAnsi" w:hAnsiTheme="minorHAnsi"/>
          <w:color w:val="000000"/>
        </w:rPr>
      </w:pPr>
      <w:r w:rsidRPr="00D920C9">
        <w:rPr>
          <w:rFonts w:asciiTheme="minorHAnsi" w:hAnsiTheme="minorHAnsi"/>
          <w:color w:val="000000"/>
          <w:shd w:val="clear" w:color="auto" w:fill="FFFFFF"/>
        </w:rPr>
        <w:lastRenderedPageBreak/>
        <w:t xml:space="preserve">Finally, the right to the truth is </w:t>
      </w:r>
      <w:r w:rsidR="00474F33" w:rsidRPr="00D920C9">
        <w:rPr>
          <w:rFonts w:asciiTheme="minorHAnsi" w:hAnsiTheme="minorHAnsi"/>
          <w:color w:val="000000"/>
          <w:shd w:val="clear" w:color="auto" w:fill="FFFFFF"/>
        </w:rPr>
        <w:t>an important</w:t>
      </w:r>
      <w:r w:rsidRPr="00D920C9">
        <w:rPr>
          <w:rFonts w:asciiTheme="minorHAnsi" w:hAnsiTheme="minorHAnsi"/>
          <w:color w:val="000000"/>
          <w:shd w:val="clear" w:color="auto" w:fill="FFFFFF"/>
        </w:rPr>
        <w:t xml:space="preserve"> form of reparation, because it constitutes </w:t>
      </w:r>
      <w:r w:rsidR="00474F33" w:rsidRPr="00D920C9">
        <w:rPr>
          <w:rFonts w:asciiTheme="minorHAnsi" w:hAnsiTheme="minorHAnsi"/>
          <w:color w:val="000000"/>
          <w:shd w:val="clear" w:color="auto" w:fill="FFFFFF"/>
        </w:rPr>
        <w:t>a recognition of</w:t>
      </w:r>
      <w:r w:rsidRPr="00D920C9">
        <w:rPr>
          <w:rFonts w:asciiTheme="minorHAnsi" w:hAnsiTheme="minorHAnsi"/>
          <w:color w:val="000000"/>
          <w:shd w:val="clear" w:color="auto" w:fill="FFFFFF"/>
        </w:rPr>
        <w:t xml:space="preserve"> the significance and value of persons as individuals, as vict</w:t>
      </w:r>
      <w:r w:rsidR="00474F33" w:rsidRPr="00D920C9">
        <w:rPr>
          <w:rFonts w:asciiTheme="minorHAnsi" w:hAnsiTheme="minorHAnsi"/>
          <w:color w:val="000000"/>
          <w:shd w:val="clear" w:color="auto" w:fill="FFFFFF"/>
        </w:rPr>
        <w:t>ims and as holders of rights.</w:t>
      </w:r>
      <w:r w:rsidR="00474F33" w:rsidRPr="00D920C9">
        <w:rPr>
          <w:rStyle w:val="FootnoteReference"/>
          <w:rFonts w:asciiTheme="minorHAnsi" w:hAnsiTheme="minorHAnsi"/>
          <w:color w:val="000000"/>
          <w:shd w:val="clear" w:color="auto" w:fill="FFFFFF"/>
        </w:rPr>
        <w:footnoteReference w:id="671"/>
      </w:r>
      <w:r w:rsidRPr="00D920C9">
        <w:rPr>
          <w:rFonts w:asciiTheme="minorHAnsi" w:hAnsiTheme="minorHAnsi"/>
          <w:color w:val="000000"/>
          <w:shd w:val="clear" w:color="auto" w:fill="FFFFFF"/>
        </w:rPr>
        <w:t xml:space="preserve"> Furthermore, knowledge of the circumstances of manner, time and place, motives and the identification of the perpetrators are fundamental to making full reparations to victims of human rights violations. The Commission has previously established that: </w:t>
      </w:r>
    </w:p>
    <w:p w14:paraId="6F4B3540" w14:textId="77777777" w:rsidR="00E161E3" w:rsidRPr="00D920C9" w:rsidRDefault="006C7DAF" w:rsidP="00B24BD8">
      <w:pPr>
        <w:pStyle w:val="NormalWeb"/>
        <w:shd w:val="clear" w:color="auto" w:fill="FFFFFF"/>
        <w:spacing w:before="0" w:beforeAutospacing="0" w:after="240" w:afterAutospacing="0"/>
        <w:ind w:left="1166" w:right="619"/>
        <w:jc w:val="both"/>
        <w:rPr>
          <w:rFonts w:asciiTheme="minorHAnsi" w:hAnsiTheme="minorHAnsi"/>
          <w:color w:val="000000"/>
          <w:sz w:val="22"/>
          <w:szCs w:val="18"/>
          <w:lang w:val="en-US"/>
        </w:rPr>
      </w:pPr>
      <w:r w:rsidRPr="00D920C9">
        <w:rPr>
          <w:rFonts w:asciiTheme="minorHAnsi" w:hAnsiTheme="minorHAnsi"/>
          <w:color w:val="000000"/>
          <w:sz w:val="22"/>
          <w:szCs w:val="18"/>
          <w:shd w:val="clear" w:color="auto" w:fill="FFFFFF"/>
          <w:lang w:val="en-US"/>
        </w:rPr>
        <w:t xml:space="preserve">The right that all persons and society have to know the full, complete, and public truth as to the events transpired, their specific circumstances, and who participated in them is part of the right to reparation for human rights violations, with respect to satisfaction and guarantees of non-repetition. The right of a society to have full knowledge of its past is not only a mode of reparation and clarification of what has happened, but is also aimed at </w:t>
      </w:r>
      <w:r w:rsidR="00474F33" w:rsidRPr="00D920C9">
        <w:rPr>
          <w:rFonts w:asciiTheme="minorHAnsi" w:hAnsiTheme="minorHAnsi"/>
          <w:color w:val="000000"/>
          <w:sz w:val="22"/>
          <w:szCs w:val="18"/>
          <w:shd w:val="clear" w:color="auto" w:fill="FFFFFF"/>
          <w:lang w:val="en-US"/>
        </w:rPr>
        <w:t>preventing future violations.</w:t>
      </w:r>
      <w:r w:rsidR="00474F33" w:rsidRPr="00D920C9">
        <w:rPr>
          <w:rStyle w:val="FootnoteReference"/>
          <w:rFonts w:asciiTheme="minorHAnsi" w:hAnsiTheme="minorHAnsi"/>
          <w:color w:val="000000"/>
          <w:sz w:val="22"/>
          <w:szCs w:val="18"/>
          <w:shd w:val="clear" w:color="auto" w:fill="FFFFFF"/>
          <w:lang w:val="en-US"/>
        </w:rPr>
        <w:footnoteReference w:id="672"/>
      </w:r>
    </w:p>
    <w:p w14:paraId="3346C38C" w14:textId="77777777" w:rsidR="006D56EC" w:rsidRPr="00D920C9" w:rsidRDefault="00260121" w:rsidP="00E86698">
      <w:pPr>
        <w:pStyle w:val="ListParagraph"/>
        <w:numPr>
          <w:ilvl w:val="0"/>
          <w:numId w:val="9"/>
        </w:numPr>
        <w:spacing w:after="240" w:line="240" w:lineRule="auto"/>
        <w:ind w:left="547" w:hanging="547"/>
        <w:contextualSpacing w:val="0"/>
        <w:jc w:val="both"/>
        <w:rPr>
          <w:rFonts w:asciiTheme="minorHAnsi" w:hAnsiTheme="minorHAnsi"/>
        </w:rPr>
      </w:pPr>
      <w:r w:rsidRPr="00D920C9">
        <w:rPr>
          <w:rFonts w:asciiTheme="minorHAnsi" w:hAnsiTheme="minorHAnsi"/>
          <w:szCs w:val="20"/>
        </w:rPr>
        <w:lastRenderedPageBreak/>
        <w:t>T</w:t>
      </w:r>
      <w:r w:rsidR="006D56EC" w:rsidRPr="00D920C9">
        <w:rPr>
          <w:rFonts w:asciiTheme="minorHAnsi" w:hAnsiTheme="minorHAnsi"/>
          <w:szCs w:val="20"/>
        </w:rPr>
        <w:t xml:space="preserve">he Commission considers that </w:t>
      </w:r>
      <w:r w:rsidR="0017556C" w:rsidRPr="00D920C9">
        <w:rPr>
          <w:rFonts w:asciiTheme="minorHAnsi" w:hAnsiTheme="minorHAnsi"/>
          <w:szCs w:val="20"/>
        </w:rPr>
        <w:t>t</w:t>
      </w:r>
      <w:r w:rsidR="006D56EC" w:rsidRPr="00D920C9">
        <w:rPr>
          <w:rFonts w:asciiTheme="minorHAnsi" w:hAnsiTheme="minorHAnsi"/>
          <w:szCs w:val="20"/>
        </w:rPr>
        <w:t xml:space="preserve">he State must take measures to grant reparations to victims and their family members—encompassing measures of restitution (which could include the reduction, redefinition, expunction, </w:t>
      </w:r>
      <w:r w:rsidR="006D56EC" w:rsidRPr="00D920C9">
        <w:rPr>
          <w:rFonts w:asciiTheme="minorHAnsi" w:hAnsiTheme="minorHAnsi"/>
        </w:rPr>
        <w:t xml:space="preserve">pardon, or similar of prior convictions; restoration of liberty; restoration of property; or similar), compensation (commensurate with the circumstances of the case); and rehabilitation (including medical and mental health care for victims and their next of kin, free of cost to them)—in cases of police abuses and </w:t>
      </w:r>
      <w:r w:rsidR="0017556C" w:rsidRPr="00D920C9">
        <w:rPr>
          <w:rFonts w:asciiTheme="minorHAnsi" w:hAnsiTheme="minorHAnsi"/>
        </w:rPr>
        <w:t>killings</w:t>
      </w:r>
      <w:r w:rsidR="006D56EC" w:rsidRPr="00D920C9">
        <w:rPr>
          <w:rFonts w:asciiTheme="minorHAnsi" w:hAnsiTheme="minorHAnsi"/>
        </w:rPr>
        <w:t>, as well as initiatives to transform the discriminatory culture and prejudices which give rise to these violations.</w:t>
      </w:r>
      <w:r w:rsidR="006D56EC" w:rsidRPr="00D920C9">
        <w:rPr>
          <w:rFonts w:asciiTheme="minorHAnsi" w:hAnsiTheme="minorHAnsi"/>
          <w:vertAlign w:val="superscript"/>
        </w:rPr>
        <w:footnoteReference w:id="673"/>
      </w:r>
    </w:p>
    <w:p w14:paraId="3CC8AFE5" w14:textId="77777777" w:rsidR="006D56EC" w:rsidRPr="00D920C9" w:rsidRDefault="006D56EC" w:rsidP="00E86698">
      <w:pPr>
        <w:pStyle w:val="ListParagraph"/>
        <w:numPr>
          <w:ilvl w:val="0"/>
          <w:numId w:val="9"/>
        </w:numPr>
        <w:spacing w:after="240" w:line="240" w:lineRule="auto"/>
        <w:ind w:left="547" w:hanging="547"/>
        <w:contextualSpacing w:val="0"/>
        <w:jc w:val="both"/>
        <w:rPr>
          <w:rFonts w:asciiTheme="minorHAnsi" w:hAnsiTheme="minorHAnsi"/>
          <w:szCs w:val="20"/>
        </w:rPr>
      </w:pPr>
      <w:r w:rsidRPr="00D920C9">
        <w:rPr>
          <w:rFonts w:asciiTheme="minorHAnsi" w:hAnsiTheme="minorHAnsi"/>
        </w:rPr>
        <w:t>Such initiatives, generally encompassing measures of satisfaction and guarantees of non-repetition, may take several forms and be targeted at a wide range of social institutions, from police departments to governments at all levels</w:t>
      </w:r>
      <w:r w:rsidRPr="00D920C9">
        <w:rPr>
          <w:rFonts w:asciiTheme="minorHAnsi" w:hAnsiTheme="minorHAnsi"/>
          <w:szCs w:val="20"/>
        </w:rPr>
        <w:t xml:space="preserve"> to society at large. </w:t>
      </w:r>
      <w:r w:rsidR="00260121" w:rsidRPr="00D920C9">
        <w:rPr>
          <w:rFonts w:asciiTheme="minorHAnsi" w:hAnsiTheme="minorHAnsi"/>
          <w:szCs w:val="20"/>
        </w:rPr>
        <w:t>T</w:t>
      </w:r>
      <w:r w:rsidRPr="00D920C9">
        <w:rPr>
          <w:rFonts w:asciiTheme="minorHAnsi" w:hAnsiTheme="minorHAnsi"/>
          <w:szCs w:val="20"/>
        </w:rPr>
        <w:t>he Commission recommends that measures of satisfaction</w:t>
      </w:r>
      <w:r w:rsidR="004B2CE1" w:rsidRPr="00D920C9">
        <w:rPr>
          <w:rFonts w:asciiTheme="minorHAnsi" w:hAnsiTheme="minorHAnsi"/>
          <w:szCs w:val="20"/>
        </w:rPr>
        <w:t xml:space="preserve"> for individual cases</w:t>
      </w:r>
      <w:r w:rsidRPr="00D920C9">
        <w:rPr>
          <w:rFonts w:asciiTheme="minorHAnsi" w:hAnsiTheme="minorHAnsi"/>
          <w:szCs w:val="20"/>
        </w:rPr>
        <w:t xml:space="preserve"> may include principally: </w:t>
      </w:r>
    </w:p>
    <w:p w14:paraId="7A10BC74" w14:textId="77777777" w:rsidR="006D56EC" w:rsidRPr="00D920C9" w:rsidRDefault="006D56EC" w:rsidP="00C91E4F">
      <w:pPr>
        <w:pStyle w:val="ListParagraph"/>
        <w:numPr>
          <w:ilvl w:val="1"/>
          <w:numId w:val="25"/>
        </w:numPr>
        <w:spacing w:after="120" w:line="240" w:lineRule="auto"/>
        <w:ind w:left="1080" w:hanging="540"/>
        <w:contextualSpacing w:val="0"/>
        <w:jc w:val="both"/>
        <w:rPr>
          <w:rFonts w:asciiTheme="minorHAnsi" w:hAnsiTheme="minorHAnsi"/>
          <w:szCs w:val="20"/>
        </w:rPr>
      </w:pPr>
      <w:r w:rsidRPr="00D920C9">
        <w:rPr>
          <w:rFonts w:asciiTheme="minorHAnsi" w:hAnsiTheme="minorHAnsi"/>
          <w:szCs w:val="20"/>
        </w:rPr>
        <w:t>An official declaration or judicial decision restoring the dignity, reputation, and rights of the victim or other persons connected with the case, and publication of the decision;</w:t>
      </w:r>
    </w:p>
    <w:p w14:paraId="6F1AAD4B" w14:textId="77777777" w:rsidR="006D56EC" w:rsidRPr="00D920C9" w:rsidRDefault="006D56EC" w:rsidP="00C91E4F">
      <w:pPr>
        <w:pStyle w:val="ListParagraph"/>
        <w:numPr>
          <w:ilvl w:val="1"/>
          <w:numId w:val="25"/>
        </w:numPr>
        <w:spacing w:after="120" w:line="240" w:lineRule="auto"/>
        <w:ind w:left="1080" w:hanging="540"/>
        <w:contextualSpacing w:val="0"/>
        <w:jc w:val="both"/>
        <w:rPr>
          <w:rFonts w:asciiTheme="minorHAnsi" w:hAnsiTheme="minorHAnsi"/>
          <w:szCs w:val="20"/>
        </w:rPr>
      </w:pPr>
      <w:r w:rsidRPr="00D920C9">
        <w:rPr>
          <w:rFonts w:asciiTheme="minorHAnsi" w:hAnsiTheme="minorHAnsi"/>
          <w:szCs w:val="20"/>
        </w:rPr>
        <w:t>Public apology and acknowledgement of responsibility for abuses, including acknowledgment of the facts and acceptance of responsibility;</w:t>
      </w:r>
    </w:p>
    <w:p w14:paraId="6D76F986" w14:textId="77777777" w:rsidR="006D56EC" w:rsidRPr="00D920C9" w:rsidRDefault="006D56EC" w:rsidP="00C91E4F">
      <w:pPr>
        <w:pStyle w:val="ListParagraph"/>
        <w:numPr>
          <w:ilvl w:val="1"/>
          <w:numId w:val="25"/>
        </w:numPr>
        <w:spacing w:after="120" w:line="240" w:lineRule="auto"/>
        <w:ind w:left="1080" w:hanging="540"/>
        <w:contextualSpacing w:val="0"/>
        <w:jc w:val="both"/>
        <w:rPr>
          <w:rFonts w:asciiTheme="minorHAnsi" w:hAnsiTheme="minorHAnsi"/>
          <w:szCs w:val="20"/>
        </w:rPr>
      </w:pPr>
      <w:r w:rsidRPr="00D920C9">
        <w:rPr>
          <w:rFonts w:asciiTheme="minorHAnsi" w:hAnsiTheme="minorHAnsi"/>
          <w:szCs w:val="20"/>
        </w:rPr>
        <w:t>The dedication of monuments or other tributes to the victims of police violence, and the removal of monuments that commemorate symbols of racial inequality;</w:t>
      </w:r>
    </w:p>
    <w:p w14:paraId="084F7D73" w14:textId="77777777" w:rsidR="006D56EC" w:rsidRPr="00D920C9" w:rsidRDefault="006D56EC" w:rsidP="00C91E4F">
      <w:pPr>
        <w:pStyle w:val="ListParagraph"/>
        <w:numPr>
          <w:ilvl w:val="1"/>
          <w:numId w:val="25"/>
        </w:numPr>
        <w:spacing w:after="240" w:line="240" w:lineRule="auto"/>
        <w:ind w:left="1080" w:hanging="540"/>
        <w:contextualSpacing w:val="0"/>
        <w:jc w:val="both"/>
        <w:rPr>
          <w:rFonts w:asciiTheme="minorHAnsi" w:hAnsiTheme="minorHAnsi"/>
          <w:szCs w:val="20"/>
        </w:rPr>
      </w:pPr>
      <w:r w:rsidRPr="00D920C9">
        <w:rPr>
          <w:rFonts w:asciiTheme="minorHAnsi" w:hAnsiTheme="minorHAnsi"/>
          <w:szCs w:val="20"/>
        </w:rPr>
        <w:t>Inclusion of accurate accounts of violations in training materials, including police and judicial training materials, and in education</w:t>
      </w:r>
      <w:r w:rsidR="004B2CE1" w:rsidRPr="00D920C9">
        <w:rPr>
          <w:rFonts w:asciiTheme="minorHAnsi" w:hAnsiTheme="minorHAnsi"/>
          <w:szCs w:val="20"/>
        </w:rPr>
        <w:t>al</w:t>
      </w:r>
      <w:r w:rsidRPr="00D920C9">
        <w:rPr>
          <w:rFonts w:asciiTheme="minorHAnsi" w:hAnsiTheme="minorHAnsi"/>
          <w:szCs w:val="20"/>
        </w:rPr>
        <w:t xml:space="preserve"> materials at all levels of public education.</w:t>
      </w:r>
    </w:p>
    <w:p w14:paraId="6C8C4A50" w14:textId="77777777" w:rsidR="006D56EC" w:rsidRPr="00D920C9" w:rsidRDefault="006D56EC" w:rsidP="00DD6575">
      <w:pPr>
        <w:pStyle w:val="ListParagraph"/>
        <w:numPr>
          <w:ilvl w:val="0"/>
          <w:numId w:val="9"/>
        </w:numPr>
        <w:spacing w:after="240" w:line="240" w:lineRule="auto"/>
        <w:ind w:left="547" w:hanging="547"/>
        <w:contextualSpacing w:val="0"/>
        <w:jc w:val="both"/>
        <w:rPr>
          <w:rFonts w:asciiTheme="minorHAnsi" w:hAnsiTheme="minorHAnsi"/>
          <w:szCs w:val="20"/>
        </w:rPr>
      </w:pPr>
      <w:r w:rsidRPr="00D920C9">
        <w:rPr>
          <w:rFonts w:asciiTheme="minorHAnsi" w:hAnsiTheme="minorHAnsi"/>
          <w:szCs w:val="20"/>
        </w:rPr>
        <w:lastRenderedPageBreak/>
        <w:t xml:space="preserve">The Commission </w:t>
      </w:r>
      <w:r w:rsidRPr="00D920C9">
        <w:rPr>
          <w:rFonts w:asciiTheme="minorHAnsi" w:hAnsiTheme="minorHAnsi"/>
        </w:rPr>
        <w:t>recommends</w:t>
      </w:r>
      <w:r w:rsidRPr="00D920C9">
        <w:rPr>
          <w:rFonts w:asciiTheme="minorHAnsi" w:hAnsiTheme="minorHAnsi"/>
          <w:szCs w:val="20"/>
        </w:rPr>
        <w:t xml:space="preserve"> that guarantees of non-repetition may include principally:</w:t>
      </w:r>
    </w:p>
    <w:p w14:paraId="5D0BDF57" w14:textId="77777777" w:rsidR="006D56EC" w:rsidRPr="00D920C9" w:rsidRDefault="006D56EC" w:rsidP="00C91E4F">
      <w:pPr>
        <w:pStyle w:val="ListParagraph"/>
        <w:numPr>
          <w:ilvl w:val="0"/>
          <w:numId w:val="26"/>
        </w:numPr>
        <w:spacing w:after="120" w:line="240" w:lineRule="auto"/>
        <w:ind w:left="1080" w:hanging="540"/>
        <w:contextualSpacing w:val="0"/>
        <w:jc w:val="both"/>
        <w:rPr>
          <w:rFonts w:asciiTheme="minorHAnsi" w:hAnsiTheme="minorHAnsi"/>
          <w:szCs w:val="20"/>
        </w:rPr>
      </w:pPr>
      <w:r w:rsidRPr="00D920C9">
        <w:rPr>
          <w:rFonts w:asciiTheme="minorHAnsi" w:hAnsiTheme="minorHAnsi"/>
          <w:szCs w:val="20"/>
        </w:rPr>
        <w:t>Appropriately identifying, prosecuting and, as applicable, punishing all those responsible for unresolved cases of police homicides, and removing all de facto and legal mechanisms and obstacles in internal investigations, criminal proceedings, civil proceedings, and federal investigations that maintain impunity for cases of police killings;</w:t>
      </w:r>
    </w:p>
    <w:p w14:paraId="2B83E53F" w14:textId="77777777" w:rsidR="006D56EC" w:rsidRPr="00D920C9" w:rsidRDefault="006D56EC" w:rsidP="00C91E4F">
      <w:pPr>
        <w:pStyle w:val="ListParagraph"/>
        <w:numPr>
          <w:ilvl w:val="0"/>
          <w:numId w:val="26"/>
        </w:numPr>
        <w:spacing w:after="120" w:line="240" w:lineRule="auto"/>
        <w:ind w:left="1080" w:hanging="540"/>
        <w:contextualSpacing w:val="0"/>
        <w:jc w:val="both"/>
        <w:rPr>
          <w:rFonts w:asciiTheme="minorHAnsi" w:hAnsiTheme="minorHAnsi"/>
          <w:szCs w:val="20"/>
        </w:rPr>
      </w:pPr>
      <w:r w:rsidRPr="00D920C9">
        <w:rPr>
          <w:rFonts w:asciiTheme="minorHAnsi" w:hAnsiTheme="minorHAnsi"/>
          <w:szCs w:val="20"/>
        </w:rPr>
        <w:t>Taking into account the systematic patterns that characterize police killings both in their investigation and prosecution, and in the design of measures and initiatives to prevent them;</w:t>
      </w:r>
    </w:p>
    <w:p w14:paraId="7DFE7727" w14:textId="77777777" w:rsidR="006D56EC" w:rsidRPr="00D920C9" w:rsidRDefault="006D56EC" w:rsidP="00C91E4F">
      <w:pPr>
        <w:pStyle w:val="ListParagraph"/>
        <w:numPr>
          <w:ilvl w:val="0"/>
          <w:numId w:val="26"/>
        </w:numPr>
        <w:spacing w:after="120" w:line="240" w:lineRule="auto"/>
        <w:ind w:left="1080" w:hanging="540"/>
        <w:contextualSpacing w:val="0"/>
        <w:jc w:val="both"/>
        <w:rPr>
          <w:rFonts w:asciiTheme="minorHAnsi" w:hAnsiTheme="minorHAnsi"/>
          <w:szCs w:val="20"/>
        </w:rPr>
      </w:pPr>
      <w:r w:rsidRPr="00D920C9">
        <w:rPr>
          <w:rFonts w:asciiTheme="minorHAnsi" w:hAnsiTheme="minorHAnsi"/>
          <w:szCs w:val="20"/>
        </w:rPr>
        <w:t>Reviewing and reforming laws that contribute to or permit human rights violations by police, principally relating to international standards for non-discrimination and the use of force;</w:t>
      </w:r>
    </w:p>
    <w:p w14:paraId="262E0822" w14:textId="77777777" w:rsidR="006D56EC" w:rsidRPr="00D920C9" w:rsidRDefault="006D56EC" w:rsidP="00C91E4F">
      <w:pPr>
        <w:pStyle w:val="ListParagraph"/>
        <w:numPr>
          <w:ilvl w:val="0"/>
          <w:numId w:val="26"/>
        </w:numPr>
        <w:spacing w:after="120" w:line="240" w:lineRule="auto"/>
        <w:ind w:left="1080" w:hanging="540"/>
        <w:contextualSpacing w:val="0"/>
        <w:jc w:val="both"/>
        <w:rPr>
          <w:rFonts w:asciiTheme="minorHAnsi" w:hAnsiTheme="minorHAnsi"/>
          <w:szCs w:val="20"/>
        </w:rPr>
      </w:pPr>
      <w:r w:rsidRPr="00D920C9">
        <w:rPr>
          <w:rFonts w:asciiTheme="minorHAnsi" w:hAnsiTheme="minorHAnsi"/>
          <w:szCs w:val="20"/>
        </w:rPr>
        <w:t>Providing human rights education to all sectors of society and training for law enforcement officials at all levels, in particular in the areas of non-discrimination and use of force;</w:t>
      </w:r>
    </w:p>
    <w:p w14:paraId="4EFAC8A8" w14:textId="77777777" w:rsidR="006D56EC" w:rsidRPr="00D920C9" w:rsidRDefault="006D56EC" w:rsidP="00C91E4F">
      <w:pPr>
        <w:pStyle w:val="ListParagraph"/>
        <w:numPr>
          <w:ilvl w:val="0"/>
          <w:numId w:val="26"/>
        </w:numPr>
        <w:spacing w:after="120" w:line="240" w:lineRule="auto"/>
        <w:ind w:left="1080" w:hanging="540"/>
        <w:contextualSpacing w:val="0"/>
        <w:jc w:val="both"/>
        <w:rPr>
          <w:rFonts w:asciiTheme="minorHAnsi" w:hAnsiTheme="minorHAnsi"/>
          <w:szCs w:val="20"/>
        </w:rPr>
      </w:pPr>
      <w:r w:rsidRPr="00D920C9">
        <w:rPr>
          <w:rFonts w:asciiTheme="minorHAnsi" w:hAnsiTheme="minorHAnsi"/>
          <w:szCs w:val="20"/>
        </w:rPr>
        <w:t>Promoting the observance of clearly defined codes of conduct and ethical norms, in line with international standards, by all public servants, in particular law enforcement officials and justice operators (including prosecutors and judges);</w:t>
      </w:r>
    </w:p>
    <w:p w14:paraId="05F0B9BD" w14:textId="77777777" w:rsidR="006D56EC" w:rsidRPr="00D920C9" w:rsidRDefault="006D56EC" w:rsidP="00C91E4F">
      <w:pPr>
        <w:pStyle w:val="ListParagraph"/>
        <w:numPr>
          <w:ilvl w:val="0"/>
          <w:numId w:val="26"/>
        </w:numPr>
        <w:spacing w:after="120" w:line="240" w:lineRule="auto"/>
        <w:ind w:left="1080" w:hanging="540"/>
        <w:contextualSpacing w:val="0"/>
        <w:jc w:val="both"/>
        <w:rPr>
          <w:rFonts w:asciiTheme="minorHAnsi" w:hAnsiTheme="minorHAnsi"/>
          <w:szCs w:val="20"/>
        </w:rPr>
      </w:pPr>
      <w:r w:rsidRPr="00D920C9">
        <w:rPr>
          <w:rFonts w:asciiTheme="minorHAnsi" w:hAnsiTheme="minorHAnsi"/>
          <w:szCs w:val="20"/>
        </w:rPr>
        <w:t>Ensuring the independence, impartiality, and efficacy of investigatory and judicial mechanisms in cases of police violence, in order to ensure the prompt and effective investigation, prosecution and, as applicable, punishment of those responsible;</w:t>
      </w:r>
    </w:p>
    <w:p w14:paraId="7F123FEE" w14:textId="77777777" w:rsidR="006D56EC" w:rsidRPr="00D920C9" w:rsidRDefault="006D56EC" w:rsidP="00C91E4F">
      <w:pPr>
        <w:pStyle w:val="ListParagraph"/>
        <w:numPr>
          <w:ilvl w:val="0"/>
          <w:numId w:val="26"/>
        </w:numPr>
        <w:spacing w:after="240" w:line="240" w:lineRule="auto"/>
        <w:ind w:left="1080" w:hanging="540"/>
        <w:contextualSpacing w:val="0"/>
        <w:jc w:val="both"/>
        <w:rPr>
          <w:rFonts w:asciiTheme="minorHAnsi" w:hAnsiTheme="minorHAnsi"/>
          <w:szCs w:val="20"/>
        </w:rPr>
      </w:pPr>
      <w:r w:rsidRPr="00D920C9">
        <w:rPr>
          <w:rFonts w:asciiTheme="minorHAnsi" w:hAnsiTheme="minorHAnsi"/>
          <w:szCs w:val="20"/>
        </w:rPr>
        <w:t>Ensuring that all investigatory and judicial proceedings abide by international standards of due process, fairness, and impartiality.</w:t>
      </w:r>
    </w:p>
    <w:p w14:paraId="7A2B771B" w14:textId="77777777" w:rsidR="006D56EC" w:rsidRPr="00D920C9" w:rsidRDefault="006D56EC" w:rsidP="00DD6575">
      <w:pPr>
        <w:pStyle w:val="ListParagraph"/>
        <w:numPr>
          <w:ilvl w:val="0"/>
          <w:numId w:val="9"/>
        </w:numPr>
        <w:spacing w:after="240" w:line="240" w:lineRule="auto"/>
        <w:ind w:left="547" w:hanging="547"/>
        <w:contextualSpacing w:val="0"/>
        <w:jc w:val="both"/>
        <w:rPr>
          <w:rFonts w:asciiTheme="minorHAnsi" w:hAnsiTheme="minorHAnsi"/>
        </w:rPr>
      </w:pPr>
      <w:r w:rsidRPr="00D920C9">
        <w:rPr>
          <w:rFonts w:asciiTheme="minorHAnsi" w:hAnsiTheme="minorHAnsi"/>
          <w:szCs w:val="20"/>
        </w:rPr>
        <w:t>On non-repetition, the Commission considers pertinent to highlight in particular possible structural barriers to the effectiveness of civil lawsuits for police misconduct. As highlighted above,</w:t>
      </w:r>
      <w:r w:rsidRPr="00D920C9">
        <w:rPr>
          <w:rStyle w:val="FootnoteReference"/>
          <w:rFonts w:asciiTheme="minorHAnsi" w:hAnsiTheme="minorHAnsi"/>
          <w:szCs w:val="20"/>
        </w:rPr>
        <w:footnoteReference w:id="674"/>
      </w:r>
      <w:r w:rsidRPr="00D920C9">
        <w:rPr>
          <w:rFonts w:asciiTheme="minorHAnsi" w:hAnsiTheme="minorHAnsi"/>
          <w:szCs w:val="20"/>
        </w:rPr>
        <w:t xml:space="preserve"> when a plaintiff obtains a judgment against a police officer or police department for misconduct, it is generally the municipality that indemnifies the officer and pays the damages award out of taxpayer money</w:t>
      </w:r>
      <w:r w:rsidRPr="00D920C9">
        <w:rPr>
          <w:rFonts w:asciiTheme="minorHAnsi" w:hAnsiTheme="minorHAnsi"/>
        </w:rPr>
        <w:t xml:space="preserve">. Information indicates that most police departments do not know how much a city has paid for police misconduct, or which officers’ conduct resulted in a settlement. The Commission considers that this situation, in the municipalities, would present a case of moral hazard and likely contribute to the chronic repetition of police abuses, as it does not appropriately incentivize police </w:t>
      </w:r>
      <w:r w:rsidRPr="00D920C9">
        <w:rPr>
          <w:rFonts w:asciiTheme="minorHAnsi" w:hAnsiTheme="minorHAnsi"/>
        </w:rPr>
        <w:lastRenderedPageBreak/>
        <w:t>departments to take action to fire offending officers and reform protocols and practices to effectively avoid the commission of abuses in the future.</w:t>
      </w:r>
    </w:p>
    <w:p w14:paraId="70854B81" w14:textId="79B36E0F" w:rsidR="006D56EC" w:rsidRPr="00D920C9" w:rsidRDefault="006D56EC" w:rsidP="00DD6575">
      <w:pPr>
        <w:pStyle w:val="ListParagraph"/>
        <w:numPr>
          <w:ilvl w:val="0"/>
          <w:numId w:val="9"/>
        </w:numPr>
        <w:spacing w:after="240" w:line="240" w:lineRule="auto"/>
        <w:ind w:left="547" w:hanging="547"/>
        <w:contextualSpacing w:val="0"/>
        <w:jc w:val="both"/>
        <w:rPr>
          <w:rFonts w:asciiTheme="minorHAnsi" w:hAnsiTheme="minorHAnsi"/>
          <w:szCs w:val="20"/>
        </w:rPr>
      </w:pPr>
      <w:bookmarkStart w:id="254" w:name="_Ref507677109"/>
      <w:r w:rsidRPr="00D920C9">
        <w:rPr>
          <w:rFonts w:asciiTheme="minorHAnsi" w:hAnsiTheme="minorHAnsi"/>
        </w:rPr>
        <w:t xml:space="preserve">The Commission furthermore reiterates the importance of the federal government as a key guarantee against impunity where state and local investigation and prosecution of police violence fails or is ineffective. </w:t>
      </w:r>
      <w:r w:rsidR="00260121" w:rsidRPr="00D920C9">
        <w:rPr>
          <w:rFonts w:asciiTheme="minorHAnsi" w:hAnsiTheme="minorHAnsi"/>
        </w:rPr>
        <w:t>The Commission</w:t>
      </w:r>
      <w:r w:rsidRPr="00D920C9">
        <w:rPr>
          <w:rFonts w:asciiTheme="minorHAnsi" w:hAnsiTheme="minorHAnsi"/>
        </w:rPr>
        <w:t xml:space="preserve"> recalls the information described above</w:t>
      </w:r>
      <w:r w:rsidRPr="00D920C9">
        <w:rPr>
          <w:rFonts w:asciiTheme="minorHAnsi" w:hAnsiTheme="minorHAnsi"/>
          <w:vertAlign w:val="superscript"/>
        </w:rPr>
        <w:footnoteReference w:id="675"/>
      </w:r>
      <w:r w:rsidRPr="00D920C9">
        <w:rPr>
          <w:rFonts w:asciiTheme="minorHAnsi" w:hAnsiTheme="minorHAnsi"/>
        </w:rPr>
        <w:t xml:space="preserve"> regarding the difficulty of bringing federal criminal civil rights prosecutions under 18 U.S.C. § 242, and considers that reform of this law may be</w:t>
      </w:r>
      <w:r w:rsidRPr="00D920C9">
        <w:rPr>
          <w:rFonts w:asciiTheme="minorHAnsi" w:hAnsiTheme="minorHAnsi"/>
          <w:szCs w:val="20"/>
        </w:rPr>
        <w:t xml:space="preserve"> necessary in order to ensure that the federal government can appropriately serve as this backstop. The Commission additionally reiterates that it is critical that the federal government act to enforce its civil rights laws.</w:t>
      </w:r>
      <w:r w:rsidRPr="00D920C9">
        <w:rPr>
          <w:rStyle w:val="FootnoteReference"/>
          <w:rFonts w:asciiTheme="minorHAnsi" w:hAnsiTheme="minorHAnsi"/>
          <w:szCs w:val="20"/>
        </w:rPr>
        <w:footnoteReference w:id="676"/>
      </w:r>
      <w:bookmarkEnd w:id="254"/>
      <w:r w:rsidRPr="00D920C9">
        <w:rPr>
          <w:rFonts w:asciiTheme="minorHAnsi" w:hAnsiTheme="minorHAnsi"/>
          <w:szCs w:val="20"/>
        </w:rPr>
        <w:t xml:space="preserve"> </w:t>
      </w:r>
    </w:p>
    <w:p w14:paraId="44AE8814" w14:textId="77777777" w:rsidR="00B24BD8" w:rsidRPr="00D920C9" w:rsidRDefault="00B24BD8" w:rsidP="00B24BD8">
      <w:pPr>
        <w:autoSpaceDE w:val="0"/>
        <w:autoSpaceDN w:val="0"/>
        <w:adjustRightInd w:val="0"/>
        <w:spacing w:after="240" w:line="240" w:lineRule="auto"/>
        <w:jc w:val="both"/>
        <w:rPr>
          <w:rFonts w:asciiTheme="minorHAnsi" w:hAnsiTheme="minorHAnsi"/>
          <w:szCs w:val="20"/>
          <w:highlight w:val="lightGray"/>
        </w:rPr>
        <w:sectPr w:rsidR="00B24BD8" w:rsidRPr="00D920C9" w:rsidSect="00226E45">
          <w:headerReference w:type="default" r:id="rId33"/>
          <w:footerReference w:type="default" r:id="rId34"/>
          <w:type w:val="oddPage"/>
          <w:pgSz w:w="10080" w:h="14400" w:code="1"/>
          <w:pgMar w:top="1152" w:right="1152" w:bottom="1152" w:left="1296" w:header="720" w:footer="720" w:gutter="0"/>
          <w:cols w:space="708"/>
          <w:docGrid w:linePitch="360"/>
        </w:sectPr>
      </w:pPr>
    </w:p>
    <w:p w14:paraId="7DA87243" w14:textId="77777777" w:rsidR="00E027D0" w:rsidRDefault="00E027D0" w:rsidP="00007A36">
      <w:pPr>
        <w:pStyle w:val="CAP1"/>
      </w:pPr>
      <w:bookmarkStart w:id="255" w:name="_Toc511837848"/>
      <w:bookmarkStart w:id="256" w:name="_Toc511903021"/>
      <w:bookmarkStart w:id="257" w:name="_Toc517687950"/>
      <w:r>
        <w:rPr>
          <w:rFonts w:eastAsia="Calibri"/>
        </w:rPr>
        <w:lastRenderedPageBreak/>
        <w:t>CHAPTER 4</w:t>
      </w:r>
    </w:p>
    <w:p w14:paraId="3C5CB91A" w14:textId="4234730B" w:rsidR="00E027D0" w:rsidRDefault="00E027D0" w:rsidP="00E027D0">
      <w:pPr>
        <w:pStyle w:val="CAP2"/>
        <w:sectPr w:rsidR="00E027D0" w:rsidSect="00E027D0">
          <w:headerReference w:type="default" r:id="rId35"/>
          <w:footerReference w:type="default" r:id="rId36"/>
          <w:headerReference w:type="first" r:id="rId37"/>
          <w:type w:val="oddPage"/>
          <w:pgSz w:w="10080" w:h="14400" w:code="13"/>
          <w:pgMar w:top="1152" w:right="1152" w:bottom="1152" w:left="1296" w:header="720" w:footer="720" w:gutter="0"/>
          <w:cols w:space="708"/>
          <w:vAlign w:val="center"/>
          <w:docGrid w:linePitch="360"/>
        </w:sectPr>
      </w:pPr>
      <w:r>
        <w:t>CONCLUSIONS AND RECOMMENDATIONS</w:t>
      </w:r>
    </w:p>
    <w:p w14:paraId="76A7369D" w14:textId="528E330C" w:rsidR="00B4412C" w:rsidRPr="00D920C9" w:rsidRDefault="00B24BD8" w:rsidP="00007A36">
      <w:pPr>
        <w:pStyle w:val="Heading1"/>
      </w:pPr>
      <w:r w:rsidRPr="00D920C9">
        <w:rPr>
          <w:rFonts w:eastAsia="Calibri"/>
        </w:rPr>
        <w:lastRenderedPageBreak/>
        <w:t>CONCLUSION AND RECOMMENDATIONS</w:t>
      </w:r>
      <w:bookmarkEnd w:id="255"/>
      <w:bookmarkEnd w:id="256"/>
      <w:bookmarkEnd w:id="257"/>
    </w:p>
    <w:p w14:paraId="07E70C97" w14:textId="28CE87D9" w:rsidR="006D56EC" w:rsidRPr="00D920C9" w:rsidRDefault="006D56EC" w:rsidP="00DD6575">
      <w:pPr>
        <w:pStyle w:val="ListParagraph"/>
        <w:numPr>
          <w:ilvl w:val="0"/>
          <w:numId w:val="9"/>
        </w:numPr>
        <w:spacing w:after="240" w:line="240" w:lineRule="auto"/>
        <w:ind w:left="547" w:hanging="547"/>
        <w:contextualSpacing w:val="0"/>
        <w:jc w:val="both"/>
        <w:rPr>
          <w:rFonts w:asciiTheme="minorHAnsi" w:hAnsiTheme="minorHAnsi"/>
        </w:rPr>
      </w:pPr>
      <w:r w:rsidRPr="00D920C9">
        <w:rPr>
          <w:rFonts w:asciiTheme="minorHAnsi" w:hAnsiTheme="minorHAnsi"/>
          <w:szCs w:val="20"/>
        </w:rPr>
        <w:t xml:space="preserve">This report has highlighted the dimensions of structural and historic discrimination against African Americans in policing, resulting in the disproportionate use of excessive force by police, impunity </w:t>
      </w:r>
      <w:r w:rsidR="00D55025" w:rsidRPr="00D920C9">
        <w:rPr>
          <w:rFonts w:asciiTheme="minorHAnsi" w:hAnsiTheme="minorHAnsi"/>
          <w:szCs w:val="20"/>
        </w:rPr>
        <w:t>in such cases</w:t>
      </w:r>
      <w:r w:rsidRPr="00D920C9">
        <w:rPr>
          <w:rFonts w:asciiTheme="minorHAnsi" w:hAnsiTheme="minorHAnsi"/>
          <w:szCs w:val="20"/>
        </w:rPr>
        <w:t xml:space="preserve">, and structural barriers to access to justice for African </w:t>
      </w:r>
      <w:r w:rsidR="00A93516" w:rsidRPr="00D920C9">
        <w:rPr>
          <w:rFonts w:asciiTheme="minorHAnsi" w:hAnsiTheme="minorHAnsi"/>
          <w:szCs w:val="20"/>
        </w:rPr>
        <w:t>Americans</w:t>
      </w:r>
      <w:r w:rsidRPr="00D920C9">
        <w:rPr>
          <w:rFonts w:asciiTheme="minorHAnsi" w:hAnsiTheme="minorHAnsi"/>
          <w:szCs w:val="20"/>
        </w:rPr>
        <w:t xml:space="preserve">. The report has </w:t>
      </w:r>
      <w:r w:rsidR="00D55025" w:rsidRPr="00D920C9">
        <w:rPr>
          <w:rFonts w:asciiTheme="minorHAnsi" w:hAnsiTheme="minorHAnsi"/>
          <w:szCs w:val="20"/>
        </w:rPr>
        <w:t>taken into account</w:t>
      </w:r>
      <w:r w:rsidRPr="00D920C9">
        <w:rPr>
          <w:rFonts w:asciiTheme="minorHAnsi" w:hAnsiTheme="minorHAnsi"/>
          <w:szCs w:val="20"/>
        </w:rPr>
        <w:t xml:space="preserve"> that these issues of structural racism and discrimination are closely </w:t>
      </w:r>
      <w:r w:rsidR="00A93516" w:rsidRPr="00D920C9">
        <w:rPr>
          <w:rFonts w:asciiTheme="minorHAnsi" w:hAnsiTheme="minorHAnsi"/>
          <w:szCs w:val="20"/>
        </w:rPr>
        <w:t>linked</w:t>
      </w:r>
      <w:r w:rsidRPr="00D920C9">
        <w:rPr>
          <w:rFonts w:asciiTheme="minorHAnsi" w:hAnsiTheme="minorHAnsi"/>
          <w:szCs w:val="20"/>
        </w:rPr>
        <w:t xml:space="preserve"> to other </w:t>
      </w:r>
      <w:r w:rsidR="00494E8F" w:rsidRPr="00D920C9">
        <w:rPr>
          <w:rFonts w:asciiTheme="minorHAnsi" w:hAnsiTheme="minorHAnsi"/>
          <w:szCs w:val="20"/>
        </w:rPr>
        <w:t>systemic</w:t>
      </w:r>
      <w:r w:rsidRPr="00D920C9">
        <w:rPr>
          <w:rFonts w:asciiTheme="minorHAnsi" w:hAnsiTheme="minorHAnsi"/>
          <w:szCs w:val="20"/>
        </w:rPr>
        <w:t xml:space="preserve"> issues whose close </w:t>
      </w:r>
      <w:r w:rsidRPr="00D920C9">
        <w:rPr>
          <w:rFonts w:asciiTheme="minorHAnsi" w:hAnsiTheme="minorHAnsi"/>
        </w:rPr>
        <w:t xml:space="preserve">analysis is beyond the scope of this report, including discrimination in the wider criminal justice system and in access to and </w:t>
      </w:r>
      <w:r w:rsidR="00A93516" w:rsidRPr="00D920C9">
        <w:rPr>
          <w:rFonts w:asciiTheme="minorHAnsi" w:hAnsiTheme="minorHAnsi"/>
        </w:rPr>
        <w:t>quality</w:t>
      </w:r>
      <w:r w:rsidRPr="00D920C9">
        <w:rPr>
          <w:rFonts w:asciiTheme="minorHAnsi" w:hAnsiTheme="minorHAnsi"/>
        </w:rPr>
        <w:t xml:space="preserve"> of housing, education, healthcare, employment, and other rights.</w:t>
      </w:r>
      <w:r w:rsidR="00BE5B01" w:rsidRPr="00D920C9">
        <w:rPr>
          <w:rFonts w:asciiTheme="minorHAnsi" w:hAnsiTheme="minorHAnsi"/>
        </w:rPr>
        <w:t xml:space="preserve"> </w:t>
      </w:r>
      <w:r w:rsidR="00260121" w:rsidRPr="00D920C9">
        <w:rPr>
          <w:rFonts w:asciiTheme="minorHAnsi" w:hAnsiTheme="minorHAnsi"/>
        </w:rPr>
        <w:t>T</w:t>
      </w:r>
      <w:r w:rsidR="00BE5B01" w:rsidRPr="00D920C9">
        <w:rPr>
          <w:rFonts w:asciiTheme="minorHAnsi" w:hAnsiTheme="minorHAnsi"/>
        </w:rPr>
        <w:t>he Commission calls on</w:t>
      </w:r>
      <w:r w:rsidR="00E662E2" w:rsidRPr="00D920C9">
        <w:rPr>
          <w:rFonts w:asciiTheme="minorHAnsi" w:hAnsiTheme="minorHAnsi"/>
        </w:rPr>
        <w:t xml:space="preserve"> the</w:t>
      </w:r>
      <w:r w:rsidR="00BE5B01" w:rsidRPr="00D920C9">
        <w:rPr>
          <w:rFonts w:asciiTheme="minorHAnsi" w:hAnsiTheme="minorHAnsi"/>
        </w:rPr>
        <w:t xml:space="preserve"> State to continue researching, documenting, and analyzing these issues in order to effectively address situations of discrimination</w:t>
      </w:r>
      <w:r w:rsidR="00795F3B" w:rsidRPr="00D920C9">
        <w:rPr>
          <w:rFonts w:asciiTheme="minorHAnsi" w:hAnsiTheme="minorHAnsi"/>
        </w:rPr>
        <w:t xml:space="preserve"> and to provide ample opportunities for civil society inputs, participation, and access to information</w:t>
      </w:r>
      <w:r w:rsidR="00BE5B01" w:rsidRPr="00D920C9">
        <w:rPr>
          <w:rFonts w:asciiTheme="minorHAnsi" w:hAnsiTheme="minorHAnsi"/>
        </w:rPr>
        <w:t>.</w:t>
      </w:r>
    </w:p>
    <w:p w14:paraId="45DAB188" w14:textId="77777777" w:rsidR="006D56EC" w:rsidRPr="00D920C9" w:rsidRDefault="00260121" w:rsidP="00DD6575">
      <w:pPr>
        <w:pStyle w:val="ListParagraph"/>
        <w:numPr>
          <w:ilvl w:val="0"/>
          <w:numId w:val="9"/>
        </w:numPr>
        <w:spacing w:after="240" w:line="240" w:lineRule="auto"/>
        <w:ind w:left="547" w:hanging="547"/>
        <w:contextualSpacing w:val="0"/>
        <w:jc w:val="both"/>
        <w:rPr>
          <w:rFonts w:asciiTheme="minorHAnsi" w:hAnsiTheme="minorHAnsi"/>
        </w:rPr>
      </w:pPr>
      <w:r w:rsidRPr="00D920C9">
        <w:rPr>
          <w:rFonts w:asciiTheme="minorHAnsi" w:hAnsiTheme="minorHAnsi"/>
        </w:rPr>
        <w:t>T</w:t>
      </w:r>
      <w:r w:rsidR="006D56EC" w:rsidRPr="00D920C9">
        <w:rPr>
          <w:rFonts w:asciiTheme="minorHAnsi" w:hAnsiTheme="minorHAnsi"/>
        </w:rPr>
        <w:t xml:space="preserve">here is a clear need for federal, state, and local governments to undertake steps with due diligence and without </w:t>
      </w:r>
      <w:r w:rsidR="00A93516" w:rsidRPr="00D920C9">
        <w:rPr>
          <w:rFonts w:asciiTheme="minorHAnsi" w:hAnsiTheme="minorHAnsi"/>
        </w:rPr>
        <w:t>delay</w:t>
      </w:r>
      <w:r w:rsidR="006D56EC" w:rsidRPr="00D920C9">
        <w:rPr>
          <w:rFonts w:asciiTheme="minorHAnsi" w:hAnsiTheme="minorHAnsi"/>
        </w:rPr>
        <w:t xml:space="preserve"> to address the context which fuels forms of structural discrimination and disparate treatment against African Americans and other historically marginalized groups in the United States. This is vital to enable the full exercise of </w:t>
      </w:r>
      <w:r w:rsidR="00260D9A" w:rsidRPr="00D920C9">
        <w:rPr>
          <w:rFonts w:asciiTheme="minorHAnsi" w:hAnsiTheme="minorHAnsi"/>
        </w:rPr>
        <w:t>rights</w:t>
      </w:r>
      <w:r w:rsidR="006D56EC" w:rsidRPr="00D920C9">
        <w:rPr>
          <w:rFonts w:asciiTheme="minorHAnsi" w:hAnsiTheme="minorHAnsi"/>
        </w:rPr>
        <w:t xml:space="preserve"> by African Americans and to foster a more inclusive democracy in the United States.</w:t>
      </w:r>
    </w:p>
    <w:p w14:paraId="71D97C7B" w14:textId="77777777" w:rsidR="006D56EC" w:rsidRPr="00D920C9" w:rsidRDefault="006D56EC" w:rsidP="00DD6575">
      <w:pPr>
        <w:pStyle w:val="ListParagraph"/>
        <w:numPr>
          <w:ilvl w:val="0"/>
          <w:numId w:val="9"/>
        </w:numPr>
        <w:spacing w:after="240" w:line="240" w:lineRule="auto"/>
        <w:ind w:left="547" w:hanging="547"/>
        <w:contextualSpacing w:val="0"/>
        <w:jc w:val="both"/>
        <w:rPr>
          <w:rFonts w:asciiTheme="minorHAnsi" w:hAnsiTheme="minorHAnsi"/>
        </w:rPr>
      </w:pPr>
      <w:r w:rsidRPr="00D920C9">
        <w:rPr>
          <w:rFonts w:asciiTheme="minorHAnsi" w:hAnsiTheme="minorHAnsi"/>
        </w:rPr>
        <w:t>On the basis of information gathered through its monitoring mechanisms, during the on-site visit, and in hearings, the Commission has found a pattern of discriminatory and excessive use of force by police against African Americans. The Commission considers that this pattern places the United States in violation of its obligation under international</w:t>
      </w:r>
      <w:r w:rsidR="00795F3B" w:rsidRPr="00D920C9">
        <w:rPr>
          <w:rFonts w:asciiTheme="minorHAnsi" w:hAnsiTheme="minorHAnsi"/>
        </w:rPr>
        <w:t xml:space="preserve"> law</w:t>
      </w:r>
      <w:r w:rsidRPr="00D920C9">
        <w:rPr>
          <w:rFonts w:asciiTheme="minorHAnsi" w:hAnsiTheme="minorHAnsi"/>
        </w:rPr>
        <w:t xml:space="preserve"> to protect the rights to life, personal integrity, and equality before the law. Addressing the international standards on non-discrimination, use of force, and access to justice, the Commission has highlighted its principal concerns about U</w:t>
      </w:r>
      <w:r w:rsidR="00AE5038" w:rsidRPr="00D920C9">
        <w:rPr>
          <w:rFonts w:asciiTheme="minorHAnsi" w:hAnsiTheme="minorHAnsi"/>
        </w:rPr>
        <w:t>.</w:t>
      </w:r>
      <w:r w:rsidRPr="00D920C9">
        <w:rPr>
          <w:rFonts w:asciiTheme="minorHAnsi" w:hAnsiTheme="minorHAnsi"/>
        </w:rPr>
        <w:t>S</w:t>
      </w:r>
      <w:r w:rsidR="00AE5038" w:rsidRPr="00D920C9">
        <w:rPr>
          <w:rFonts w:asciiTheme="minorHAnsi" w:hAnsiTheme="minorHAnsi"/>
        </w:rPr>
        <w:t>.</w:t>
      </w:r>
      <w:r w:rsidRPr="00D920C9">
        <w:rPr>
          <w:rFonts w:asciiTheme="minorHAnsi" w:hAnsiTheme="minorHAnsi"/>
        </w:rPr>
        <w:t xml:space="preserve"> compliance with these international principles, as well as concrete recommendations for bringing domestic law and practice into line with international law.</w:t>
      </w:r>
    </w:p>
    <w:p w14:paraId="3F895EDD" w14:textId="727A27E3" w:rsidR="00301E46" w:rsidRPr="00D920C9" w:rsidRDefault="00301E46" w:rsidP="00DD6575">
      <w:pPr>
        <w:pStyle w:val="ListParagraph"/>
        <w:numPr>
          <w:ilvl w:val="0"/>
          <w:numId w:val="9"/>
        </w:numPr>
        <w:spacing w:after="240" w:line="240" w:lineRule="auto"/>
        <w:ind w:left="547" w:hanging="547"/>
        <w:contextualSpacing w:val="0"/>
        <w:jc w:val="both"/>
        <w:rPr>
          <w:rFonts w:asciiTheme="minorHAnsi" w:hAnsiTheme="minorHAnsi"/>
        </w:rPr>
      </w:pPr>
      <w:r w:rsidRPr="00D920C9">
        <w:rPr>
          <w:rFonts w:asciiTheme="minorHAnsi" w:hAnsiTheme="minorHAnsi"/>
        </w:rPr>
        <w:t>Regarding non-discrimination, the Commission has highlighted that laws and practices that have a discriminatory effect (disparate impact) are prohibited under international law</w:t>
      </w:r>
      <w:proofErr w:type="gramStart"/>
      <w:r w:rsidR="00795F3B" w:rsidRPr="00D920C9">
        <w:rPr>
          <w:rFonts w:asciiTheme="minorHAnsi" w:hAnsiTheme="minorHAnsi"/>
        </w:rPr>
        <w:t>.</w:t>
      </w:r>
      <w:r w:rsidRPr="00D920C9">
        <w:rPr>
          <w:rFonts w:asciiTheme="minorHAnsi" w:hAnsiTheme="minorHAnsi"/>
        </w:rPr>
        <w:t>.</w:t>
      </w:r>
      <w:proofErr w:type="gramEnd"/>
      <w:r w:rsidRPr="00D920C9">
        <w:rPr>
          <w:rFonts w:asciiTheme="minorHAnsi" w:hAnsiTheme="minorHAnsi"/>
        </w:rPr>
        <w:t xml:space="preserve"> It is urgent that the U</w:t>
      </w:r>
      <w:r w:rsidR="00AE5038" w:rsidRPr="00D920C9">
        <w:rPr>
          <w:rFonts w:asciiTheme="minorHAnsi" w:hAnsiTheme="minorHAnsi"/>
        </w:rPr>
        <w:t>.</w:t>
      </w:r>
      <w:r w:rsidRPr="00D920C9">
        <w:rPr>
          <w:rFonts w:asciiTheme="minorHAnsi" w:hAnsiTheme="minorHAnsi"/>
        </w:rPr>
        <w:t>S</w:t>
      </w:r>
      <w:r w:rsidR="00AE5038" w:rsidRPr="00D920C9">
        <w:rPr>
          <w:rFonts w:asciiTheme="minorHAnsi" w:hAnsiTheme="minorHAnsi"/>
        </w:rPr>
        <w:t>.</w:t>
      </w:r>
      <w:r w:rsidRPr="00D920C9">
        <w:rPr>
          <w:rFonts w:asciiTheme="minorHAnsi" w:hAnsiTheme="minorHAnsi"/>
        </w:rPr>
        <w:t xml:space="preserve"> bring its domestic law in line with international standards in this regard. The </w:t>
      </w:r>
      <w:r w:rsidRPr="00D920C9">
        <w:rPr>
          <w:rFonts w:asciiTheme="minorHAnsi" w:hAnsiTheme="minorHAnsi"/>
        </w:rPr>
        <w:lastRenderedPageBreak/>
        <w:t xml:space="preserve">Commission </w:t>
      </w:r>
      <w:r w:rsidR="00795F3B" w:rsidRPr="00D920C9">
        <w:rPr>
          <w:rFonts w:asciiTheme="minorHAnsi" w:hAnsiTheme="minorHAnsi"/>
        </w:rPr>
        <w:t>has emphasized</w:t>
      </w:r>
      <w:r w:rsidRPr="00D920C9">
        <w:rPr>
          <w:rFonts w:asciiTheme="minorHAnsi" w:hAnsiTheme="minorHAnsi"/>
        </w:rPr>
        <w:t xml:space="preserve"> that racial profiling practices may amount to inhumane or degrading treatment under international law.</w:t>
      </w:r>
    </w:p>
    <w:p w14:paraId="14091895" w14:textId="7B98BBC4" w:rsidR="00301E46" w:rsidRPr="00D920C9" w:rsidRDefault="00301E46" w:rsidP="00DD6575">
      <w:pPr>
        <w:pStyle w:val="ListParagraph"/>
        <w:numPr>
          <w:ilvl w:val="0"/>
          <w:numId w:val="9"/>
        </w:numPr>
        <w:spacing w:after="240" w:line="240" w:lineRule="auto"/>
        <w:ind w:left="547" w:hanging="547"/>
        <w:contextualSpacing w:val="0"/>
        <w:jc w:val="both"/>
        <w:rPr>
          <w:rFonts w:asciiTheme="minorHAnsi" w:hAnsiTheme="minorHAnsi"/>
        </w:rPr>
      </w:pPr>
      <w:r w:rsidRPr="00D920C9">
        <w:rPr>
          <w:rFonts w:asciiTheme="minorHAnsi" w:hAnsiTheme="minorHAnsi"/>
        </w:rPr>
        <w:t xml:space="preserve">Regarding use of force, the Commission has reiterated that the protection against arbitrary deprivations of life applies to the entire State structure—including federal, state, and local government entities—and to all actions of police officers. </w:t>
      </w:r>
      <w:r w:rsidR="00795F3B" w:rsidRPr="00D920C9">
        <w:rPr>
          <w:rFonts w:asciiTheme="minorHAnsi" w:hAnsiTheme="minorHAnsi"/>
        </w:rPr>
        <w:t xml:space="preserve"> P</w:t>
      </w:r>
      <w:r w:rsidRPr="00D920C9">
        <w:rPr>
          <w:rFonts w:asciiTheme="minorHAnsi" w:hAnsiTheme="minorHAnsi"/>
        </w:rPr>
        <w:t xml:space="preserve">olice use of force must be guided by the principles of </w:t>
      </w:r>
      <w:r w:rsidR="00795F3B" w:rsidRPr="00D920C9">
        <w:rPr>
          <w:rFonts w:asciiTheme="minorHAnsi" w:hAnsiTheme="minorHAnsi"/>
        </w:rPr>
        <w:t>legality, absolute necessity and</w:t>
      </w:r>
      <w:r w:rsidRPr="00D920C9">
        <w:rPr>
          <w:rFonts w:asciiTheme="minorHAnsi" w:hAnsiTheme="minorHAnsi"/>
        </w:rPr>
        <w:t xml:space="preserve"> proportionality, and used only when other methods have been exhausted and failed. The Commission </w:t>
      </w:r>
      <w:r w:rsidR="00B314B4" w:rsidRPr="00D920C9">
        <w:rPr>
          <w:rFonts w:asciiTheme="minorHAnsi" w:hAnsiTheme="minorHAnsi"/>
        </w:rPr>
        <w:t xml:space="preserve">has </w:t>
      </w:r>
      <w:r w:rsidRPr="00D920C9">
        <w:rPr>
          <w:rFonts w:asciiTheme="minorHAnsi" w:hAnsiTheme="minorHAnsi"/>
        </w:rPr>
        <w:t>call</w:t>
      </w:r>
      <w:r w:rsidR="00B314B4" w:rsidRPr="00D920C9">
        <w:rPr>
          <w:rFonts w:asciiTheme="minorHAnsi" w:hAnsiTheme="minorHAnsi"/>
        </w:rPr>
        <w:t>ed</w:t>
      </w:r>
      <w:r w:rsidRPr="00D920C9">
        <w:rPr>
          <w:rFonts w:asciiTheme="minorHAnsi" w:hAnsiTheme="minorHAnsi"/>
        </w:rPr>
        <w:t xml:space="preserve"> on the </w:t>
      </w:r>
      <w:r w:rsidR="0017556C" w:rsidRPr="00D920C9">
        <w:rPr>
          <w:rFonts w:asciiTheme="minorHAnsi" w:hAnsiTheme="minorHAnsi"/>
        </w:rPr>
        <w:t>U.S.</w:t>
      </w:r>
      <w:r w:rsidRPr="00D920C9">
        <w:rPr>
          <w:rFonts w:asciiTheme="minorHAnsi" w:hAnsiTheme="minorHAnsi"/>
        </w:rPr>
        <w:t xml:space="preserve"> to bring its domestic law in line with international standards in this area. </w:t>
      </w:r>
      <w:r w:rsidR="0017556C" w:rsidRPr="00D920C9">
        <w:rPr>
          <w:rFonts w:asciiTheme="minorHAnsi" w:hAnsiTheme="minorHAnsi"/>
        </w:rPr>
        <w:t>It</w:t>
      </w:r>
      <w:r w:rsidRPr="00D920C9">
        <w:rPr>
          <w:rFonts w:asciiTheme="minorHAnsi" w:hAnsiTheme="minorHAnsi"/>
        </w:rPr>
        <w:t xml:space="preserve"> </w:t>
      </w:r>
      <w:r w:rsidR="00795F3B" w:rsidRPr="00D920C9">
        <w:rPr>
          <w:rFonts w:asciiTheme="minorHAnsi" w:hAnsiTheme="minorHAnsi"/>
        </w:rPr>
        <w:t>has</w:t>
      </w:r>
      <w:r w:rsidRPr="00D920C9">
        <w:rPr>
          <w:rFonts w:asciiTheme="minorHAnsi" w:hAnsiTheme="minorHAnsi"/>
        </w:rPr>
        <w:t xml:space="preserve"> highlight</w:t>
      </w:r>
      <w:r w:rsidR="00B314B4" w:rsidRPr="00D920C9">
        <w:rPr>
          <w:rFonts w:asciiTheme="minorHAnsi" w:hAnsiTheme="minorHAnsi"/>
        </w:rPr>
        <w:t>ed</w:t>
      </w:r>
      <w:r w:rsidRPr="00D920C9">
        <w:rPr>
          <w:rFonts w:asciiTheme="minorHAnsi" w:hAnsiTheme="minorHAnsi"/>
        </w:rPr>
        <w:t xml:space="preserve"> that excessive use of force by police may amount to cruel, inhuman, or degrading treatment or torture under certain circumstances</w:t>
      </w:r>
      <w:r w:rsidR="00B314B4" w:rsidRPr="00D920C9">
        <w:rPr>
          <w:rFonts w:asciiTheme="minorHAnsi" w:hAnsiTheme="minorHAnsi"/>
        </w:rPr>
        <w:t>, particularly where it is committed for any reason based on discrimination of any kind</w:t>
      </w:r>
      <w:r w:rsidRPr="00D920C9">
        <w:rPr>
          <w:rFonts w:asciiTheme="minorHAnsi" w:hAnsiTheme="minorHAnsi"/>
        </w:rPr>
        <w:t xml:space="preserve">. </w:t>
      </w:r>
      <w:r w:rsidR="00B314B4" w:rsidRPr="00D920C9">
        <w:rPr>
          <w:rFonts w:asciiTheme="minorHAnsi" w:hAnsiTheme="minorHAnsi"/>
        </w:rPr>
        <w:t>And</w:t>
      </w:r>
      <w:r w:rsidRPr="00D920C9">
        <w:rPr>
          <w:rFonts w:asciiTheme="minorHAnsi" w:hAnsiTheme="minorHAnsi"/>
        </w:rPr>
        <w:t xml:space="preserve"> the Commission</w:t>
      </w:r>
      <w:r w:rsidR="00B314B4" w:rsidRPr="00D920C9">
        <w:rPr>
          <w:rFonts w:asciiTheme="minorHAnsi" w:hAnsiTheme="minorHAnsi"/>
        </w:rPr>
        <w:t xml:space="preserve"> has</w:t>
      </w:r>
      <w:r w:rsidRPr="00D920C9">
        <w:rPr>
          <w:rFonts w:asciiTheme="minorHAnsi" w:hAnsiTheme="minorHAnsi"/>
        </w:rPr>
        <w:t xml:space="preserve"> underscore</w:t>
      </w:r>
      <w:r w:rsidR="00B314B4" w:rsidRPr="00D920C9">
        <w:rPr>
          <w:rFonts w:asciiTheme="minorHAnsi" w:hAnsiTheme="minorHAnsi"/>
        </w:rPr>
        <w:t>d</w:t>
      </w:r>
      <w:r w:rsidRPr="00D920C9">
        <w:rPr>
          <w:rFonts w:asciiTheme="minorHAnsi" w:hAnsiTheme="minorHAnsi"/>
        </w:rPr>
        <w:t xml:space="preserve"> the need to safeguard the basic human rights of protesters, including their rights to life and physical and psychological integrity</w:t>
      </w:r>
      <w:r w:rsidR="00B314B4" w:rsidRPr="00D920C9">
        <w:rPr>
          <w:rFonts w:asciiTheme="minorHAnsi" w:hAnsiTheme="minorHAnsi"/>
        </w:rPr>
        <w:t>, as well as considerations related to the regulation of the use of lethal force and less lethal weapons in protest situations.</w:t>
      </w:r>
    </w:p>
    <w:p w14:paraId="3C00CCDE" w14:textId="2D684245" w:rsidR="00301E46" w:rsidRPr="00D920C9" w:rsidRDefault="00301E46" w:rsidP="00DD6575">
      <w:pPr>
        <w:pStyle w:val="ListParagraph"/>
        <w:numPr>
          <w:ilvl w:val="0"/>
          <w:numId w:val="9"/>
        </w:numPr>
        <w:spacing w:after="240" w:line="240" w:lineRule="auto"/>
        <w:ind w:left="547" w:hanging="547"/>
        <w:contextualSpacing w:val="0"/>
        <w:jc w:val="both"/>
        <w:rPr>
          <w:rFonts w:asciiTheme="minorHAnsi" w:hAnsiTheme="minorHAnsi"/>
        </w:rPr>
      </w:pPr>
      <w:r w:rsidRPr="00D920C9">
        <w:rPr>
          <w:rFonts w:asciiTheme="minorHAnsi" w:hAnsiTheme="minorHAnsi"/>
        </w:rPr>
        <w:t xml:space="preserve">Regarding access to justice, the Commission </w:t>
      </w:r>
      <w:r w:rsidR="00B314B4" w:rsidRPr="00D920C9">
        <w:rPr>
          <w:rFonts w:asciiTheme="minorHAnsi" w:hAnsiTheme="minorHAnsi"/>
        </w:rPr>
        <w:t>has emphasized</w:t>
      </w:r>
      <w:r w:rsidRPr="00D920C9">
        <w:rPr>
          <w:rFonts w:asciiTheme="minorHAnsi" w:hAnsiTheme="minorHAnsi"/>
        </w:rPr>
        <w:t xml:space="preserve"> that the government—federal, state, and local—is responsible for ensuring access to justice, including exercising due diligence in the independent and impartial investigation and prosecution of police abuses, and ensuring accountability and punishment of all those responsible for a violation; establishing adequate, effective, and accessible legal remedies for police violence; and ensuring reparations for victims. The Commission recalls that impunity fosters an environment in which police violence and abuses are tolerated and</w:t>
      </w:r>
      <w:r w:rsidR="00C17916" w:rsidRPr="00D920C9">
        <w:rPr>
          <w:rFonts w:asciiTheme="minorHAnsi" w:hAnsiTheme="minorHAnsi"/>
        </w:rPr>
        <w:t xml:space="preserve"> even</w:t>
      </w:r>
      <w:r w:rsidRPr="00D920C9">
        <w:rPr>
          <w:rFonts w:asciiTheme="minorHAnsi" w:hAnsiTheme="minorHAnsi"/>
        </w:rPr>
        <w:t xml:space="preserve"> expected, and serves to sustain disparate treatment towards</w:t>
      </w:r>
      <w:r w:rsidR="00C17916" w:rsidRPr="00D920C9">
        <w:rPr>
          <w:rFonts w:asciiTheme="minorHAnsi" w:hAnsiTheme="minorHAnsi"/>
        </w:rPr>
        <w:t xml:space="preserve"> people of color</w:t>
      </w:r>
      <w:r w:rsidRPr="00D920C9">
        <w:rPr>
          <w:rFonts w:asciiTheme="minorHAnsi" w:hAnsiTheme="minorHAnsi"/>
        </w:rPr>
        <w:t>.</w:t>
      </w:r>
      <w:r w:rsidR="00B314B4" w:rsidRPr="00D920C9">
        <w:rPr>
          <w:rFonts w:asciiTheme="minorHAnsi" w:hAnsiTheme="minorHAnsi"/>
        </w:rPr>
        <w:t xml:space="preserve"> The Commission has additionally noted the State’s duty to take measures to prevent and respond to violence on the part of State and non-State actors explicitly or implicitly motivated by racial bias.</w:t>
      </w:r>
    </w:p>
    <w:p w14:paraId="05C03818" w14:textId="77777777" w:rsidR="006D56EC" w:rsidRPr="00D920C9" w:rsidRDefault="006D56EC" w:rsidP="00DD6575">
      <w:pPr>
        <w:pStyle w:val="ListParagraph"/>
        <w:numPr>
          <w:ilvl w:val="0"/>
          <w:numId w:val="9"/>
        </w:numPr>
        <w:spacing w:after="240" w:line="240" w:lineRule="auto"/>
        <w:ind w:left="547" w:hanging="547"/>
        <w:contextualSpacing w:val="0"/>
        <w:jc w:val="both"/>
        <w:rPr>
          <w:rFonts w:asciiTheme="minorHAnsi" w:hAnsiTheme="minorHAnsi"/>
        </w:rPr>
      </w:pPr>
      <w:r w:rsidRPr="00D920C9">
        <w:rPr>
          <w:rFonts w:asciiTheme="minorHAnsi" w:hAnsiTheme="minorHAnsi"/>
        </w:rPr>
        <w:t xml:space="preserve">The Commission recalls that the guarantee and enjoyment of economic, social, cultural, and environmental rights is indivisible from the guarantee and enjoyment of civil and political rights. In this regard, the Commission has considered that discrimination against African Americans in policing and the criminal justice system is necessarily linked to the structural situation of racialized poverty in which many African Americans live. In this </w:t>
      </w:r>
      <w:r w:rsidR="00260121" w:rsidRPr="00D920C9">
        <w:rPr>
          <w:rFonts w:asciiTheme="minorHAnsi" w:hAnsiTheme="minorHAnsi"/>
        </w:rPr>
        <w:t>sense</w:t>
      </w:r>
      <w:r w:rsidRPr="00D920C9">
        <w:rPr>
          <w:rFonts w:asciiTheme="minorHAnsi" w:hAnsiTheme="minorHAnsi"/>
        </w:rPr>
        <w:t>, any policy or initiative intended to mitigate police violence against African Americans should be paired with policies designed to remedy the disparity in access to health, housing, education, work, and other rights that has historically been fomented through structural discrimination. The Commission reiterates the need for the State to adopt prompt measures to address obstacles to the exercise, respect for, and guarantee of all human rights of Afro-descendants</w:t>
      </w:r>
      <w:r w:rsidR="00904A46" w:rsidRPr="00D920C9">
        <w:rPr>
          <w:rFonts w:asciiTheme="minorHAnsi" w:hAnsiTheme="minorHAnsi"/>
        </w:rPr>
        <w:t xml:space="preserve"> </w:t>
      </w:r>
      <w:r w:rsidRPr="00D920C9">
        <w:rPr>
          <w:rFonts w:asciiTheme="minorHAnsi" w:hAnsiTheme="minorHAnsi"/>
        </w:rPr>
        <w:t>in the United States.</w:t>
      </w:r>
    </w:p>
    <w:p w14:paraId="3A34A339" w14:textId="77777777" w:rsidR="006D56EC" w:rsidRPr="00D920C9" w:rsidRDefault="00260121" w:rsidP="00DD6575">
      <w:pPr>
        <w:pStyle w:val="ListParagraph"/>
        <w:numPr>
          <w:ilvl w:val="0"/>
          <w:numId w:val="9"/>
        </w:numPr>
        <w:spacing w:after="240" w:line="240" w:lineRule="auto"/>
        <w:ind w:left="547" w:hanging="547"/>
        <w:contextualSpacing w:val="0"/>
        <w:jc w:val="both"/>
        <w:rPr>
          <w:rFonts w:asciiTheme="minorHAnsi" w:hAnsiTheme="minorHAnsi"/>
        </w:rPr>
      </w:pPr>
      <w:r w:rsidRPr="00D920C9">
        <w:rPr>
          <w:rFonts w:asciiTheme="minorHAnsi" w:hAnsiTheme="minorHAnsi"/>
        </w:rPr>
        <w:lastRenderedPageBreak/>
        <w:t>T</w:t>
      </w:r>
      <w:r w:rsidR="006D56EC" w:rsidRPr="00D920C9">
        <w:rPr>
          <w:rFonts w:asciiTheme="minorHAnsi" w:hAnsiTheme="minorHAnsi"/>
        </w:rPr>
        <w:t xml:space="preserve">he Commission has previously considered that positive </w:t>
      </w:r>
      <w:r w:rsidR="000C369C" w:rsidRPr="00D920C9">
        <w:rPr>
          <w:rFonts w:asciiTheme="minorHAnsi" w:hAnsiTheme="minorHAnsi"/>
        </w:rPr>
        <w:t>special</w:t>
      </w:r>
      <w:r w:rsidR="006D56EC" w:rsidRPr="00D920C9">
        <w:rPr>
          <w:rFonts w:asciiTheme="minorHAnsi" w:hAnsiTheme="minorHAnsi"/>
        </w:rPr>
        <w:t xml:space="preserve"> measures are essential to eradicate racial discrimination in the Hemisphere and effectively guarantee the rights of Afro-descendants. It has recommended the collection of proper and disaggregated information about the nature of racial discrimination, and the devotion of sufficient and specific human and financial resources not only to neutralizing prejudice and racial stereotypes, but also to improving the living conditions of Afro-descendants in the areas of health, housing, education, and work, paying particular attention to the phenomenon of intersectional discrimination.</w:t>
      </w:r>
      <w:r w:rsidR="006D56EC" w:rsidRPr="00D920C9">
        <w:rPr>
          <w:rFonts w:asciiTheme="minorHAnsi" w:hAnsiTheme="minorHAnsi"/>
          <w:vertAlign w:val="superscript"/>
        </w:rPr>
        <w:footnoteReference w:id="677"/>
      </w:r>
      <w:r w:rsidR="006D56EC" w:rsidRPr="00D920C9">
        <w:rPr>
          <w:rFonts w:asciiTheme="minorHAnsi" w:hAnsiTheme="minorHAnsi"/>
        </w:rPr>
        <w:t xml:space="preserve"> </w:t>
      </w:r>
    </w:p>
    <w:p w14:paraId="10668585" w14:textId="77777777" w:rsidR="00B4412C" w:rsidRPr="00D920C9" w:rsidRDefault="006D56EC" w:rsidP="00DD6575">
      <w:pPr>
        <w:pStyle w:val="ListParagraph"/>
        <w:numPr>
          <w:ilvl w:val="0"/>
          <w:numId w:val="9"/>
        </w:numPr>
        <w:spacing w:after="240" w:line="240" w:lineRule="auto"/>
        <w:ind w:left="547" w:hanging="547"/>
        <w:contextualSpacing w:val="0"/>
        <w:jc w:val="both"/>
        <w:rPr>
          <w:rFonts w:asciiTheme="minorHAnsi" w:hAnsiTheme="minorHAnsi"/>
        </w:rPr>
      </w:pPr>
      <w:r w:rsidRPr="00D920C9">
        <w:rPr>
          <w:rFonts w:asciiTheme="minorHAnsi" w:hAnsiTheme="minorHAnsi"/>
        </w:rPr>
        <w:t xml:space="preserve">The Commission expresses its hope that this report will contribute to improving and strengthening legislation, policies, and practices at every level of government in order to address </w:t>
      </w:r>
      <w:r w:rsidR="00A93516" w:rsidRPr="00D920C9">
        <w:rPr>
          <w:rFonts w:asciiTheme="minorHAnsi" w:hAnsiTheme="minorHAnsi"/>
        </w:rPr>
        <w:t>institutional</w:t>
      </w:r>
      <w:r w:rsidRPr="00D920C9">
        <w:rPr>
          <w:rFonts w:asciiTheme="minorHAnsi" w:hAnsiTheme="minorHAnsi"/>
        </w:rPr>
        <w:t xml:space="preserve"> discrimination that has been fostered through law enforcement practices and throughout the criminal justice system.</w:t>
      </w:r>
    </w:p>
    <w:p w14:paraId="481D018E" w14:textId="1ADA068D" w:rsidR="00B4412C" w:rsidRPr="00D920C9" w:rsidRDefault="00B4412C" w:rsidP="00DD6575">
      <w:pPr>
        <w:pStyle w:val="ListParagraph"/>
        <w:numPr>
          <w:ilvl w:val="0"/>
          <w:numId w:val="9"/>
        </w:numPr>
        <w:spacing w:after="240" w:line="240" w:lineRule="auto"/>
        <w:ind w:left="547" w:hanging="547"/>
        <w:contextualSpacing w:val="0"/>
        <w:jc w:val="both"/>
        <w:rPr>
          <w:rFonts w:asciiTheme="minorHAnsi" w:hAnsiTheme="minorHAnsi"/>
        </w:rPr>
      </w:pPr>
      <w:r w:rsidRPr="00D920C9">
        <w:rPr>
          <w:rFonts w:asciiTheme="minorHAnsi" w:hAnsiTheme="minorHAnsi"/>
        </w:rPr>
        <w:t>The Commission acknowledges the efforts of the State to date to address discriminatory police practices</w:t>
      </w:r>
      <w:r w:rsidR="00B314B4" w:rsidRPr="00D920C9">
        <w:rPr>
          <w:rFonts w:asciiTheme="minorHAnsi" w:hAnsiTheme="minorHAnsi"/>
        </w:rPr>
        <w:t>, excessive use of force, and impunity, among other</w:t>
      </w:r>
      <w:r w:rsidR="00C17916" w:rsidRPr="00D920C9">
        <w:rPr>
          <w:rFonts w:asciiTheme="minorHAnsi" w:hAnsiTheme="minorHAnsi"/>
        </w:rPr>
        <w:t xml:space="preserve"> challenges</w:t>
      </w:r>
      <w:r w:rsidRPr="00D920C9">
        <w:rPr>
          <w:rFonts w:asciiTheme="minorHAnsi" w:hAnsiTheme="minorHAnsi"/>
        </w:rPr>
        <w:t xml:space="preserve">. It encourages the State to continue those efforts.  </w:t>
      </w:r>
      <w:r w:rsidR="001D670E" w:rsidRPr="00D920C9">
        <w:rPr>
          <w:rFonts w:asciiTheme="minorHAnsi" w:hAnsiTheme="minorHAnsi"/>
        </w:rPr>
        <w:t>The IACHR reiterates that it is open to dialogue with the State and willing to provide technical assistance to support the process of compliance with the recommendations in this report, in order to move forward in the protection of human rights of the people of the United States.</w:t>
      </w:r>
    </w:p>
    <w:p w14:paraId="1BD16DF1" w14:textId="77777777" w:rsidR="00B4412C" w:rsidRPr="00D920C9" w:rsidRDefault="00B4412C" w:rsidP="00DD6575">
      <w:pPr>
        <w:pStyle w:val="ListParagraph"/>
        <w:numPr>
          <w:ilvl w:val="0"/>
          <w:numId w:val="9"/>
        </w:numPr>
        <w:spacing w:after="240" w:line="240" w:lineRule="auto"/>
        <w:ind w:left="547" w:hanging="547"/>
        <w:contextualSpacing w:val="0"/>
        <w:jc w:val="both"/>
        <w:rPr>
          <w:rFonts w:asciiTheme="minorHAnsi" w:hAnsiTheme="minorHAnsi"/>
          <w:szCs w:val="20"/>
        </w:rPr>
      </w:pPr>
      <w:r w:rsidRPr="00D920C9">
        <w:rPr>
          <w:rFonts w:asciiTheme="minorHAnsi" w:hAnsiTheme="minorHAnsi"/>
        </w:rPr>
        <w:t xml:space="preserve">The following recommendations </w:t>
      </w:r>
      <w:r w:rsidR="00A93516" w:rsidRPr="00D920C9">
        <w:rPr>
          <w:rFonts w:asciiTheme="minorHAnsi" w:hAnsiTheme="minorHAnsi"/>
        </w:rPr>
        <w:t>are designed to promote</w:t>
      </w:r>
      <w:r w:rsidRPr="00D920C9">
        <w:rPr>
          <w:rFonts w:asciiTheme="minorHAnsi" w:hAnsiTheme="minorHAnsi"/>
        </w:rPr>
        <w:t xml:space="preserve"> concrete changes to the existing legal and policy framework of the United States to ensure effective compliance with its international obligations in the areas of non</w:t>
      </w:r>
      <w:r w:rsidRPr="00D920C9">
        <w:rPr>
          <w:rFonts w:asciiTheme="minorHAnsi" w:hAnsiTheme="minorHAnsi"/>
          <w:szCs w:val="20"/>
        </w:rPr>
        <w:t>-discrimination,</w:t>
      </w:r>
      <w:r w:rsidR="00A93516" w:rsidRPr="00D920C9">
        <w:rPr>
          <w:rFonts w:asciiTheme="minorHAnsi" w:hAnsiTheme="minorHAnsi"/>
          <w:szCs w:val="20"/>
        </w:rPr>
        <w:t xml:space="preserve"> use of force, </w:t>
      </w:r>
      <w:r w:rsidRPr="00D920C9">
        <w:rPr>
          <w:rFonts w:asciiTheme="minorHAnsi" w:hAnsiTheme="minorHAnsi"/>
          <w:szCs w:val="20"/>
        </w:rPr>
        <w:t xml:space="preserve"> and access to justice:</w:t>
      </w:r>
    </w:p>
    <w:p w14:paraId="4C7389B9" w14:textId="77777777" w:rsidR="00A927C5" w:rsidRPr="00D920C9" w:rsidRDefault="00A927C5" w:rsidP="006E3DD1">
      <w:pPr>
        <w:pStyle w:val="Heading2"/>
        <w:numPr>
          <w:ilvl w:val="0"/>
          <w:numId w:val="38"/>
        </w:numPr>
        <w:ind w:left="547" w:hanging="547"/>
      </w:pPr>
      <w:bookmarkStart w:id="258" w:name="_Toc511903022"/>
      <w:bookmarkStart w:id="259" w:name="_Toc517687951"/>
      <w:r w:rsidRPr="00D920C9">
        <w:t xml:space="preserve">General </w:t>
      </w:r>
      <w:r w:rsidR="001814C0" w:rsidRPr="00D920C9">
        <w:t>R</w:t>
      </w:r>
      <w:r w:rsidRPr="00D920C9">
        <w:t>ecommendations</w:t>
      </w:r>
      <w:bookmarkEnd w:id="258"/>
      <w:bookmarkEnd w:id="259"/>
    </w:p>
    <w:p w14:paraId="07774984" w14:textId="393A1582" w:rsidR="00A927C5" w:rsidRPr="00D920C9" w:rsidRDefault="00A927C5" w:rsidP="00EC5191">
      <w:pPr>
        <w:pStyle w:val="ListParagraph"/>
        <w:numPr>
          <w:ilvl w:val="0"/>
          <w:numId w:val="39"/>
        </w:numPr>
        <w:spacing w:after="240" w:line="240" w:lineRule="auto"/>
        <w:ind w:left="1080" w:right="432" w:hanging="720"/>
        <w:contextualSpacing w:val="0"/>
        <w:jc w:val="both"/>
        <w:rPr>
          <w:rFonts w:asciiTheme="minorHAnsi" w:hAnsiTheme="minorHAnsi"/>
          <w:szCs w:val="20"/>
        </w:rPr>
      </w:pPr>
      <w:r w:rsidRPr="00D920C9">
        <w:rPr>
          <w:rFonts w:asciiTheme="minorHAnsi" w:hAnsiTheme="minorHAnsi"/>
          <w:szCs w:val="20"/>
        </w:rPr>
        <w:t xml:space="preserve">Undertake and ensure proper funding for official studies—whether at the federal, state, or local level—with the goal of contributing to the establishment of the full, complete, and public truth of the past and forward-looking public policy to contribute to the satisfaction of the victims and guarantees of non-repetition, on, </w:t>
      </w:r>
      <w:r w:rsidRPr="00D920C9">
        <w:rPr>
          <w:rFonts w:asciiTheme="minorHAnsi" w:hAnsiTheme="minorHAnsi"/>
          <w:i/>
          <w:szCs w:val="20"/>
        </w:rPr>
        <w:t>inter alia</w:t>
      </w:r>
      <w:r w:rsidRPr="00D920C9">
        <w:rPr>
          <w:rFonts w:asciiTheme="minorHAnsi" w:hAnsiTheme="minorHAnsi"/>
          <w:szCs w:val="20"/>
        </w:rPr>
        <w:t>:</w:t>
      </w:r>
    </w:p>
    <w:p w14:paraId="064BEF20" w14:textId="2759B174" w:rsidR="00611B4F" w:rsidRPr="00D920C9" w:rsidRDefault="00611B4F" w:rsidP="00EC5191">
      <w:pPr>
        <w:pStyle w:val="ListParagraph"/>
        <w:numPr>
          <w:ilvl w:val="1"/>
          <w:numId w:val="39"/>
        </w:numPr>
        <w:spacing w:after="240" w:line="240" w:lineRule="auto"/>
        <w:ind w:left="1620" w:right="432" w:hanging="540"/>
        <w:contextualSpacing w:val="0"/>
        <w:jc w:val="both"/>
        <w:rPr>
          <w:rFonts w:asciiTheme="minorHAnsi" w:hAnsiTheme="minorHAnsi"/>
          <w:szCs w:val="20"/>
        </w:rPr>
      </w:pPr>
      <w:r w:rsidRPr="00D920C9">
        <w:rPr>
          <w:rFonts w:asciiTheme="minorHAnsi" w:hAnsiTheme="minorHAnsi"/>
          <w:szCs w:val="20"/>
        </w:rPr>
        <w:t xml:space="preserve">The </w:t>
      </w:r>
      <w:r w:rsidR="00733ED6" w:rsidRPr="00D920C9">
        <w:rPr>
          <w:rFonts w:asciiTheme="minorHAnsi" w:hAnsiTheme="minorHAnsi"/>
          <w:szCs w:val="20"/>
        </w:rPr>
        <w:t xml:space="preserve">causes and </w:t>
      </w:r>
      <w:r w:rsidR="00046463" w:rsidRPr="00D920C9">
        <w:rPr>
          <w:rFonts w:asciiTheme="minorHAnsi" w:hAnsiTheme="minorHAnsi"/>
          <w:szCs w:val="20"/>
        </w:rPr>
        <w:t>consequences</w:t>
      </w:r>
      <w:r w:rsidRPr="00D920C9">
        <w:rPr>
          <w:rFonts w:asciiTheme="minorHAnsi" w:hAnsiTheme="minorHAnsi"/>
          <w:szCs w:val="20"/>
        </w:rPr>
        <w:t xml:space="preserve"> of racial profiling and other racially discriminatory treatment or practices by law </w:t>
      </w:r>
      <w:r w:rsidRPr="00D920C9">
        <w:rPr>
          <w:rFonts w:asciiTheme="minorHAnsi" w:hAnsiTheme="minorHAnsi"/>
          <w:szCs w:val="20"/>
        </w:rPr>
        <w:lastRenderedPageBreak/>
        <w:t xml:space="preserve">enforcement officials or agencies on African Americans and other </w:t>
      </w:r>
      <w:r w:rsidR="00D55025" w:rsidRPr="00D920C9">
        <w:rPr>
          <w:rFonts w:asciiTheme="minorHAnsi" w:hAnsiTheme="minorHAnsi"/>
          <w:szCs w:val="20"/>
        </w:rPr>
        <w:t>communities of color</w:t>
      </w:r>
      <w:r w:rsidRPr="00D920C9">
        <w:rPr>
          <w:rFonts w:asciiTheme="minorHAnsi" w:hAnsiTheme="minorHAnsi"/>
          <w:szCs w:val="20"/>
        </w:rPr>
        <w:t>;</w:t>
      </w:r>
    </w:p>
    <w:p w14:paraId="2A214B82" w14:textId="77777777" w:rsidR="00611B4F" w:rsidRPr="00D920C9" w:rsidRDefault="00611B4F" w:rsidP="00EC5191">
      <w:pPr>
        <w:pStyle w:val="ListParagraph"/>
        <w:numPr>
          <w:ilvl w:val="1"/>
          <w:numId w:val="39"/>
        </w:numPr>
        <w:spacing w:after="240" w:line="240" w:lineRule="auto"/>
        <w:ind w:left="1620" w:right="432" w:hanging="540"/>
        <w:contextualSpacing w:val="0"/>
        <w:jc w:val="both"/>
        <w:rPr>
          <w:rFonts w:asciiTheme="minorHAnsi" w:hAnsiTheme="minorHAnsi"/>
          <w:szCs w:val="20"/>
        </w:rPr>
      </w:pPr>
      <w:r w:rsidRPr="00D920C9">
        <w:rPr>
          <w:rFonts w:asciiTheme="minorHAnsi" w:hAnsiTheme="minorHAnsi"/>
          <w:szCs w:val="20"/>
        </w:rPr>
        <w:t xml:space="preserve">The </w:t>
      </w:r>
      <w:r w:rsidR="00733ED6" w:rsidRPr="00D920C9">
        <w:rPr>
          <w:rFonts w:asciiTheme="minorHAnsi" w:hAnsiTheme="minorHAnsi"/>
          <w:szCs w:val="20"/>
        </w:rPr>
        <w:t xml:space="preserve">causes and </w:t>
      </w:r>
      <w:r w:rsidRPr="00D920C9">
        <w:rPr>
          <w:rFonts w:asciiTheme="minorHAnsi" w:hAnsiTheme="minorHAnsi"/>
          <w:szCs w:val="20"/>
        </w:rPr>
        <w:t>impact</w:t>
      </w:r>
      <w:r w:rsidR="00733ED6" w:rsidRPr="00D920C9">
        <w:rPr>
          <w:rFonts w:asciiTheme="minorHAnsi" w:hAnsiTheme="minorHAnsi"/>
          <w:szCs w:val="20"/>
        </w:rPr>
        <w:t>s</w:t>
      </w:r>
      <w:r w:rsidRPr="00D920C9">
        <w:rPr>
          <w:rFonts w:asciiTheme="minorHAnsi" w:hAnsiTheme="minorHAnsi"/>
          <w:szCs w:val="20"/>
        </w:rPr>
        <w:t xml:space="preserve"> of police use of force and deadly force on African Americans and other </w:t>
      </w:r>
      <w:r w:rsidR="000C369C" w:rsidRPr="00D920C9">
        <w:rPr>
          <w:rFonts w:asciiTheme="minorHAnsi" w:hAnsiTheme="minorHAnsi"/>
          <w:szCs w:val="20"/>
        </w:rPr>
        <w:t>historically marginalized groups</w:t>
      </w:r>
      <w:r w:rsidR="00733ED6" w:rsidRPr="00D920C9">
        <w:rPr>
          <w:rFonts w:asciiTheme="minorHAnsi" w:hAnsiTheme="minorHAnsi"/>
          <w:szCs w:val="20"/>
        </w:rPr>
        <w:t>, and the differential impacts of the same on persons with mental illnesses and disabilities, LGBTI individuals, children and adolescents, and women</w:t>
      </w:r>
      <w:r w:rsidRPr="00D920C9">
        <w:rPr>
          <w:rFonts w:asciiTheme="minorHAnsi" w:hAnsiTheme="minorHAnsi"/>
          <w:szCs w:val="20"/>
        </w:rPr>
        <w:t>;</w:t>
      </w:r>
    </w:p>
    <w:p w14:paraId="5A5A8C7F" w14:textId="1D06227F" w:rsidR="00611B4F" w:rsidRPr="00D920C9" w:rsidRDefault="00611B4F" w:rsidP="00EC5191">
      <w:pPr>
        <w:pStyle w:val="ListParagraph"/>
        <w:numPr>
          <w:ilvl w:val="1"/>
          <w:numId w:val="39"/>
        </w:numPr>
        <w:spacing w:after="240" w:line="240" w:lineRule="auto"/>
        <w:ind w:left="1620" w:right="432" w:hanging="540"/>
        <w:contextualSpacing w:val="0"/>
        <w:jc w:val="both"/>
        <w:rPr>
          <w:rFonts w:asciiTheme="minorHAnsi" w:hAnsiTheme="minorHAnsi"/>
          <w:szCs w:val="20"/>
        </w:rPr>
      </w:pPr>
      <w:r w:rsidRPr="00D920C9">
        <w:rPr>
          <w:rFonts w:asciiTheme="minorHAnsi" w:hAnsiTheme="minorHAnsi"/>
          <w:szCs w:val="20"/>
        </w:rPr>
        <w:t>The causes and impacts of disproportionate arrests, prosecutions, sentencing, incarceration, and re</w:t>
      </w:r>
      <w:r w:rsidR="007631C3" w:rsidRPr="00D920C9">
        <w:rPr>
          <w:rFonts w:asciiTheme="minorHAnsi" w:hAnsiTheme="minorHAnsi"/>
          <w:szCs w:val="20"/>
        </w:rPr>
        <w:t>-</w:t>
      </w:r>
      <w:r w:rsidRPr="00D920C9">
        <w:rPr>
          <w:rFonts w:asciiTheme="minorHAnsi" w:hAnsiTheme="minorHAnsi"/>
          <w:szCs w:val="20"/>
        </w:rPr>
        <w:t xml:space="preserve">incarceration of African Americans and other </w:t>
      </w:r>
      <w:r w:rsidR="00D55025" w:rsidRPr="00D920C9">
        <w:rPr>
          <w:rFonts w:asciiTheme="minorHAnsi" w:hAnsiTheme="minorHAnsi"/>
          <w:szCs w:val="20"/>
        </w:rPr>
        <w:t>communities of color</w:t>
      </w:r>
      <w:r w:rsidRPr="00D920C9">
        <w:rPr>
          <w:rFonts w:asciiTheme="minorHAnsi" w:hAnsiTheme="minorHAnsi"/>
          <w:szCs w:val="20"/>
        </w:rPr>
        <w:t>;</w:t>
      </w:r>
    </w:p>
    <w:p w14:paraId="5ECCCEE8" w14:textId="77777777" w:rsidR="00611B4F" w:rsidRPr="00D920C9" w:rsidRDefault="00611B4F" w:rsidP="00EC5191">
      <w:pPr>
        <w:pStyle w:val="ListParagraph"/>
        <w:numPr>
          <w:ilvl w:val="1"/>
          <w:numId w:val="39"/>
        </w:numPr>
        <w:spacing w:after="240" w:line="240" w:lineRule="auto"/>
        <w:ind w:left="1620" w:right="432" w:hanging="540"/>
        <w:contextualSpacing w:val="0"/>
        <w:jc w:val="both"/>
        <w:rPr>
          <w:rFonts w:asciiTheme="minorHAnsi" w:hAnsiTheme="minorHAnsi"/>
          <w:szCs w:val="20"/>
        </w:rPr>
      </w:pPr>
      <w:r w:rsidRPr="00D920C9">
        <w:rPr>
          <w:rFonts w:asciiTheme="minorHAnsi" w:hAnsiTheme="minorHAnsi"/>
          <w:szCs w:val="20"/>
        </w:rPr>
        <w:t>The causes, impacts, and magnitude of lack of access to social, economic, cultural, and environmental rights on African Americans and other communities of color.</w:t>
      </w:r>
    </w:p>
    <w:p w14:paraId="722A9443" w14:textId="77777777" w:rsidR="007B0CF5" w:rsidRPr="00D920C9" w:rsidRDefault="007B0CF5" w:rsidP="00EC5191">
      <w:pPr>
        <w:pStyle w:val="ListParagraph"/>
        <w:numPr>
          <w:ilvl w:val="0"/>
          <w:numId w:val="39"/>
        </w:numPr>
        <w:spacing w:after="240" w:line="240" w:lineRule="auto"/>
        <w:ind w:left="1080" w:right="432" w:hanging="720"/>
        <w:contextualSpacing w:val="0"/>
        <w:jc w:val="both"/>
        <w:rPr>
          <w:rFonts w:asciiTheme="minorHAnsi" w:hAnsiTheme="minorHAnsi"/>
          <w:szCs w:val="20"/>
        </w:rPr>
      </w:pPr>
      <w:r w:rsidRPr="00D920C9">
        <w:rPr>
          <w:rFonts w:asciiTheme="minorHAnsi" w:hAnsiTheme="minorHAnsi"/>
          <w:szCs w:val="20"/>
        </w:rPr>
        <w:t xml:space="preserve">Design, implement, and fund </w:t>
      </w:r>
      <w:r w:rsidR="00260D9A" w:rsidRPr="00D920C9">
        <w:rPr>
          <w:rFonts w:asciiTheme="minorHAnsi" w:hAnsiTheme="minorHAnsi"/>
          <w:szCs w:val="20"/>
        </w:rPr>
        <w:t xml:space="preserve">governmental </w:t>
      </w:r>
      <w:r w:rsidRPr="00D920C9">
        <w:rPr>
          <w:rFonts w:asciiTheme="minorHAnsi" w:hAnsiTheme="minorHAnsi"/>
          <w:szCs w:val="20"/>
        </w:rPr>
        <w:t xml:space="preserve">systems to collect accurate, disaggregated data and statistical and qualitative information on the human rights situation of African Americans and other communities of color, in order to create and implement appropriate laws and public policies to address the needs </w:t>
      </w:r>
      <w:r w:rsidR="004B2CE1" w:rsidRPr="00D920C9">
        <w:rPr>
          <w:rFonts w:asciiTheme="minorHAnsi" w:hAnsiTheme="minorHAnsi"/>
          <w:szCs w:val="20"/>
        </w:rPr>
        <w:t xml:space="preserve">of </w:t>
      </w:r>
      <w:r w:rsidRPr="00D920C9">
        <w:rPr>
          <w:rFonts w:asciiTheme="minorHAnsi" w:hAnsiTheme="minorHAnsi"/>
          <w:szCs w:val="20"/>
        </w:rPr>
        <w:t>and overcome the specific obstacles faced by these gr</w:t>
      </w:r>
      <w:r w:rsidR="00260121" w:rsidRPr="00D920C9">
        <w:rPr>
          <w:rFonts w:asciiTheme="minorHAnsi" w:hAnsiTheme="minorHAnsi"/>
          <w:szCs w:val="20"/>
        </w:rPr>
        <w:t>oups.</w:t>
      </w:r>
      <w:r w:rsidRPr="00D920C9">
        <w:rPr>
          <w:rFonts w:asciiTheme="minorHAnsi" w:hAnsiTheme="minorHAnsi"/>
          <w:szCs w:val="20"/>
        </w:rPr>
        <w:t xml:space="preserve"> In particular, ensure the collection of disaggregated data about the conditions faced by African American women and LGBTI individuals, incorporating a gender and diversity approach, and design public policies to prevent and eliminate racial discrimination in its various forms.</w:t>
      </w:r>
    </w:p>
    <w:p w14:paraId="6686C373" w14:textId="77777777" w:rsidR="00611B4F" w:rsidRPr="00D920C9" w:rsidRDefault="00611B4F" w:rsidP="00EC5191">
      <w:pPr>
        <w:pStyle w:val="ListParagraph"/>
        <w:numPr>
          <w:ilvl w:val="0"/>
          <w:numId w:val="39"/>
        </w:numPr>
        <w:spacing w:after="240" w:line="240" w:lineRule="auto"/>
        <w:ind w:left="1080" w:right="432" w:hanging="720"/>
        <w:contextualSpacing w:val="0"/>
        <w:jc w:val="both"/>
        <w:rPr>
          <w:rFonts w:asciiTheme="minorHAnsi" w:hAnsiTheme="minorHAnsi"/>
          <w:szCs w:val="20"/>
        </w:rPr>
      </w:pPr>
      <w:r w:rsidRPr="00D920C9">
        <w:rPr>
          <w:rFonts w:asciiTheme="minorHAnsi" w:hAnsiTheme="minorHAnsi"/>
          <w:szCs w:val="20"/>
        </w:rPr>
        <w:t>In order to facilitate processes of bringing domestic law in line with international standards, take steps to ratify not only the American Convention on Human Rights, but all inter-American human rights protection instruments. In particular, the Commission calls on the United States to sign and ratify the Inter-American Convention against Racism, Racial Discrimination and Related Forms of Intolerance, as an important measure to guarantee the rights of persons of African descent and other h</w:t>
      </w:r>
      <w:r w:rsidR="007631C3" w:rsidRPr="00D920C9">
        <w:rPr>
          <w:rFonts w:asciiTheme="minorHAnsi" w:hAnsiTheme="minorHAnsi"/>
          <w:szCs w:val="20"/>
        </w:rPr>
        <w:t>istorically marginalized groups.</w:t>
      </w:r>
    </w:p>
    <w:p w14:paraId="5B050F62" w14:textId="77777777" w:rsidR="000561DB" w:rsidRPr="00D920C9" w:rsidRDefault="000561DB" w:rsidP="00EC5191">
      <w:pPr>
        <w:pStyle w:val="ListParagraph"/>
        <w:numPr>
          <w:ilvl w:val="0"/>
          <w:numId w:val="39"/>
        </w:numPr>
        <w:spacing w:after="240" w:line="240" w:lineRule="auto"/>
        <w:ind w:left="1080" w:right="432" w:hanging="720"/>
        <w:contextualSpacing w:val="0"/>
        <w:jc w:val="both"/>
        <w:rPr>
          <w:rFonts w:asciiTheme="minorHAnsi" w:hAnsiTheme="minorHAnsi"/>
          <w:szCs w:val="20"/>
        </w:rPr>
      </w:pPr>
      <w:r w:rsidRPr="00D920C9">
        <w:rPr>
          <w:rFonts w:asciiTheme="minorHAnsi" w:hAnsiTheme="minorHAnsi"/>
          <w:szCs w:val="20"/>
        </w:rPr>
        <w:t>Consider the reform of domestic laws or portions of domestic laws that may hamper the protection or effective enforcement of human rights.</w:t>
      </w:r>
    </w:p>
    <w:p w14:paraId="6C2BFF10" w14:textId="77777777" w:rsidR="000561DB" w:rsidRPr="00D920C9" w:rsidRDefault="000561DB" w:rsidP="00EC5191">
      <w:pPr>
        <w:pStyle w:val="ListParagraph"/>
        <w:numPr>
          <w:ilvl w:val="0"/>
          <w:numId w:val="39"/>
        </w:numPr>
        <w:spacing w:after="240" w:line="240" w:lineRule="auto"/>
        <w:ind w:left="1080" w:right="432" w:hanging="720"/>
        <w:contextualSpacing w:val="0"/>
        <w:jc w:val="both"/>
        <w:rPr>
          <w:rFonts w:asciiTheme="minorHAnsi" w:hAnsiTheme="minorHAnsi"/>
          <w:szCs w:val="20"/>
        </w:rPr>
      </w:pPr>
      <w:r w:rsidRPr="00D920C9">
        <w:rPr>
          <w:rFonts w:asciiTheme="minorHAnsi" w:hAnsiTheme="minorHAnsi"/>
          <w:szCs w:val="20"/>
        </w:rPr>
        <w:lastRenderedPageBreak/>
        <w:t>Ensure that all federal, state, and local government entities fully comply with the relevant domestic laws mandating the monitoring, oversight, and investigation of possible human or civil rights violations by State actors, such as police departments, as well as private individuals.</w:t>
      </w:r>
    </w:p>
    <w:p w14:paraId="6EE4E832" w14:textId="77777777" w:rsidR="00611B4F" w:rsidRPr="00D920C9" w:rsidRDefault="00611B4F" w:rsidP="00EC5191">
      <w:pPr>
        <w:pStyle w:val="ListParagraph"/>
        <w:numPr>
          <w:ilvl w:val="0"/>
          <w:numId w:val="39"/>
        </w:numPr>
        <w:spacing w:after="240" w:line="240" w:lineRule="auto"/>
        <w:ind w:left="1080" w:right="432" w:hanging="720"/>
        <w:contextualSpacing w:val="0"/>
        <w:jc w:val="both"/>
        <w:rPr>
          <w:rFonts w:asciiTheme="minorHAnsi" w:hAnsiTheme="minorHAnsi"/>
          <w:szCs w:val="20"/>
        </w:rPr>
      </w:pPr>
      <w:r w:rsidRPr="00D920C9">
        <w:rPr>
          <w:rFonts w:asciiTheme="minorHAnsi" w:hAnsiTheme="minorHAnsi"/>
          <w:szCs w:val="20"/>
        </w:rPr>
        <w:t>Create a national human rights mechanism for the protection and promotion of human rights, in line with the “Paris Principles” relating to the Status of National Institutions</w:t>
      </w:r>
      <w:r w:rsidR="005F3A77" w:rsidRPr="00D920C9">
        <w:rPr>
          <w:rFonts w:asciiTheme="minorHAnsi" w:hAnsiTheme="minorHAnsi"/>
          <w:szCs w:val="20"/>
        </w:rPr>
        <w:t>. The IACHR recommends that this national human rights institution include a division focused exclusively on monitoring and promoting the human rights of African Americans, addressing currently existing racial disparities as well as the historical and structural conditions that create them.</w:t>
      </w:r>
    </w:p>
    <w:p w14:paraId="5EACA8D8" w14:textId="77777777" w:rsidR="005F3A77" w:rsidRPr="00D920C9" w:rsidRDefault="005F3A77" w:rsidP="006E3DD1">
      <w:pPr>
        <w:pStyle w:val="Heading2"/>
        <w:ind w:left="547" w:hanging="547"/>
      </w:pPr>
      <w:bookmarkStart w:id="260" w:name="_Toc511903023"/>
      <w:bookmarkStart w:id="261" w:name="_Toc517687952"/>
      <w:r w:rsidRPr="00D920C9">
        <w:t xml:space="preserve">Recommendations regarding </w:t>
      </w:r>
      <w:r w:rsidR="003A6706" w:rsidRPr="00D920C9">
        <w:t>Non-Discrimination</w:t>
      </w:r>
      <w:bookmarkEnd w:id="260"/>
      <w:bookmarkEnd w:id="261"/>
    </w:p>
    <w:p w14:paraId="20D648DA" w14:textId="77777777" w:rsidR="0017556C" w:rsidRPr="00D920C9" w:rsidRDefault="00BE6966" w:rsidP="00EC5191">
      <w:pPr>
        <w:pStyle w:val="ListParagraph"/>
        <w:numPr>
          <w:ilvl w:val="0"/>
          <w:numId w:val="39"/>
        </w:numPr>
        <w:spacing w:after="240" w:line="240" w:lineRule="auto"/>
        <w:ind w:left="1080" w:right="432" w:hanging="720"/>
        <w:contextualSpacing w:val="0"/>
        <w:jc w:val="both"/>
        <w:rPr>
          <w:rFonts w:asciiTheme="minorHAnsi" w:hAnsiTheme="minorHAnsi"/>
          <w:szCs w:val="20"/>
        </w:rPr>
      </w:pPr>
      <w:r w:rsidRPr="00D920C9">
        <w:rPr>
          <w:rFonts w:asciiTheme="minorHAnsi" w:hAnsiTheme="minorHAnsi"/>
          <w:szCs w:val="20"/>
        </w:rPr>
        <w:t>As a matter of urgency, t</w:t>
      </w:r>
      <w:r w:rsidR="005F3A77" w:rsidRPr="00D920C9">
        <w:rPr>
          <w:rFonts w:asciiTheme="minorHAnsi" w:hAnsiTheme="minorHAnsi"/>
          <w:szCs w:val="20"/>
        </w:rPr>
        <w:t>ake the necessary steps to reform domestic law—both federal and state—</w:t>
      </w:r>
      <w:r w:rsidR="004B2CE1" w:rsidRPr="00D920C9">
        <w:rPr>
          <w:rFonts w:asciiTheme="minorHAnsi" w:hAnsiTheme="minorHAnsi"/>
          <w:szCs w:val="20"/>
        </w:rPr>
        <w:t>to</w:t>
      </w:r>
      <w:r w:rsidR="005F3A77" w:rsidRPr="00D920C9">
        <w:rPr>
          <w:rFonts w:asciiTheme="minorHAnsi" w:hAnsiTheme="minorHAnsi"/>
          <w:szCs w:val="20"/>
        </w:rPr>
        <w:t xml:space="preserve"> bring it in line with international law in the area of non-discrimination, in particular the obligation to prohibit and sanction both facial discrimination and the disparate impact of facially neutral laws and policies, in all areas of U</w:t>
      </w:r>
      <w:r w:rsidR="00AE5038" w:rsidRPr="00D920C9">
        <w:rPr>
          <w:rFonts w:asciiTheme="minorHAnsi" w:hAnsiTheme="minorHAnsi"/>
          <w:szCs w:val="20"/>
        </w:rPr>
        <w:t>.</w:t>
      </w:r>
      <w:r w:rsidR="005F3A77" w:rsidRPr="00D920C9">
        <w:rPr>
          <w:rFonts w:asciiTheme="minorHAnsi" w:hAnsiTheme="minorHAnsi"/>
          <w:szCs w:val="20"/>
        </w:rPr>
        <w:t>S</w:t>
      </w:r>
      <w:r w:rsidR="00AE5038" w:rsidRPr="00D920C9">
        <w:rPr>
          <w:rFonts w:asciiTheme="minorHAnsi" w:hAnsiTheme="minorHAnsi"/>
          <w:szCs w:val="20"/>
        </w:rPr>
        <w:t>.</w:t>
      </w:r>
      <w:r w:rsidR="005F3A77" w:rsidRPr="00D920C9">
        <w:rPr>
          <w:rFonts w:asciiTheme="minorHAnsi" w:hAnsiTheme="minorHAnsi"/>
          <w:szCs w:val="20"/>
        </w:rPr>
        <w:t xml:space="preserve"> law. </w:t>
      </w:r>
    </w:p>
    <w:p w14:paraId="57B599A0" w14:textId="77777777" w:rsidR="005F3A77" w:rsidRPr="00D920C9" w:rsidRDefault="0017556C" w:rsidP="00EC5191">
      <w:pPr>
        <w:pStyle w:val="ListParagraph"/>
        <w:numPr>
          <w:ilvl w:val="1"/>
          <w:numId w:val="39"/>
        </w:numPr>
        <w:spacing w:after="240" w:line="240" w:lineRule="auto"/>
        <w:ind w:left="1620" w:right="432" w:hanging="540"/>
        <w:contextualSpacing w:val="0"/>
        <w:jc w:val="both"/>
        <w:rPr>
          <w:rFonts w:asciiTheme="minorHAnsi" w:hAnsiTheme="minorHAnsi"/>
          <w:szCs w:val="20"/>
        </w:rPr>
      </w:pPr>
      <w:r w:rsidRPr="00D920C9">
        <w:rPr>
          <w:rFonts w:asciiTheme="minorHAnsi" w:hAnsiTheme="minorHAnsi"/>
          <w:szCs w:val="20"/>
        </w:rPr>
        <w:t>T</w:t>
      </w:r>
      <w:r w:rsidR="005F3A77" w:rsidRPr="00D920C9">
        <w:rPr>
          <w:rFonts w:asciiTheme="minorHAnsi" w:hAnsiTheme="minorHAnsi"/>
          <w:szCs w:val="20"/>
        </w:rPr>
        <w:t>ake all necessary steps to adjust the domestic legal framework to ensure that disparate impact claims regarding policing and the criminal justice system, among other areas, are justiciable under domestic law.</w:t>
      </w:r>
    </w:p>
    <w:p w14:paraId="6CD3856F" w14:textId="77777777" w:rsidR="00727CD8" w:rsidRPr="00D920C9" w:rsidRDefault="009B7EE9" w:rsidP="00EC5191">
      <w:pPr>
        <w:pStyle w:val="ListParagraph"/>
        <w:numPr>
          <w:ilvl w:val="0"/>
          <w:numId w:val="39"/>
        </w:numPr>
        <w:spacing w:after="240" w:line="240" w:lineRule="auto"/>
        <w:ind w:left="1080" w:right="432" w:hanging="720"/>
        <w:contextualSpacing w:val="0"/>
        <w:jc w:val="both"/>
        <w:rPr>
          <w:rFonts w:asciiTheme="minorHAnsi" w:hAnsiTheme="minorHAnsi"/>
          <w:szCs w:val="20"/>
        </w:rPr>
      </w:pPr>
      <w:r w:rsidRPr="00D920C9">
        <w:rPr>
          <w:rFonts w:asciiTheme="minorHAnsi" w:hAnsiTheme="minorHAnsi"/>
          <w:szCs w:val="20"/>
        </w:rPr>
        <w:t>Adopt coordinated legislative, policy, and institutional measures designed to eliminate racial discrimination and stereotypes, and devote appropriate human and financial resources to the same</w:t>
      </w:r>
      <w:r w:rsidR="00727CD8" w:rsidRPr="00D920C9">
        <w:rPr>
          <w:rFonts w:asciiTheme="minorHAnsi" w:hAnsiTheme="minorHAnsi"/>
          <w:szCs w:val="20"/>
        </w:rPr>
        <w:t>.</w:t>
      </w:r>
    </w:p>
    <w:p w14:paraId="09B2EC43" w14:textId="77777777" w:rsidR="005F3A77" w:rsidRPr="00D920C9" w:rsidRDefault="005F3A77" w:rsidP="00EC5191">
      <w:pPr>
        <w:pStyle w:val="ListParagraph"/>
        <w:numPr>
          <w:ilvl w:val="0"/>
          <w:numId w:val="39"/>
        </w:numPr>
        <w:spacing w:after="240" w:line="240" w:lineRule="auto"/>
        <w:ind w:left="1080" w:right="432" w:hanging="720"/>
        <w:contextualSpacing w:val="0"/>
        <w:jc w:val="both"/>
        <w:rPr>
          <w:rFonts w:asciiTheme="minorHAnsi" w:hAnsiTheme="minorHAnsi"/>
          <w:szCs w:val="20"/>
        </w:rPr>
      </w:pPr>
      <w:r w:rsidRPr="00D920C9">
        <w:rPr>
          <w:rFonts w:asciiTheme="minorHAnsi" w:hAnsiTheme="minorHAnsi"/>
          <w:szCs w:val="20"/>
        </w:rPr>
        <w:t>Take the necessary steps to comprehensively review and reform protocols and guidelines for local, state, and federal law enforcement agencies to ensure that they comply with international law in the areas of non-</w:t>
      </w:r>
      <w:r w:rsidR="007631C3" w:rsidRPr="00D920C9">
        <w:rPr>
          <w:rFonts w:asciiTheme="minorHAnsi" w:hAnsiTheme="minorHAnsi"/>
          <w:szCs w:val="20"/>
        </w:rPr>
        <w:t>discrimination</w:t>
      </w:r>
      <w:r w:rsidRPr="00D920C9">
        <w:rPr>
          <w:rFonts w:asciiTheme="minorHAnsi" w:hAnsiTheme="minorHAnsi"/>
          <w:szCs w:val="20"/>
        </w:rPr>
        <w:t xml:space="preserve">. In particular, ensure that </w:t>
      </w:r>
      <w:r w:rsidR="007631C3" w:rsidRPr="00D920C9">
        <w:rPr>
          <w:rFonts w:asciiTheme="minorHAnsi" w:hAnsiTheme="minorHAnsi"/>
          <w:szCs w:val="20"/>
        </w:rPr>
        <w:t>racial</w:t>
      </w:r>
      <w:r w:rsidRPr="00D920C9">
        <w:rPr>
          <w:rFonts w:asciiTheme="minorHAnsi" w:hAnsiTheme="minorHAnsi"/>
          <w:szCs w:val="20"/>
        </w:rPr>
        <w:t xml:space="preserve"> profiling and other explicit or implicit discrimination on the basis of race, ethnicity, color, national origin, and other prohibited grounds is explicitly prohibited and punished.</w:t>
      </w:r>
    </w:p>
    <w:p w14:paraId="301E8069" w14:textId="77777777" w:rsidR="005F3A77" w:rsidRPr="00D920C9" w:rsidRDefault="00BE6966" w:rsidP="00EC5191">
      <w:pPr>
        <w:pStyle w:val="ListParagraph"/>
        <w:numPr>
          <w:ilvl w:val="0"/>
          <w:numId w:val="39"/>
        </w:numPr>
        <w:spacing w:after="240" w:line="240" w:lineRule="auto"/>
        <w:ind w:left="1080" w:right="432" w:hanging="720"/>
        <w:contextualSpacing w:val="0"/>
        <w:jc w:val="both"/>
        <w:rPr>
          <w:rFonts w:asciiTheme="minorHAnsi" w:hAnsiTheme="minorHAnsi"/>
          <w:szCs w:val="20"/>
        </w:rPr>
      </w:pPr>
      <w:r w:rsidRPr="00D920C9">
        <w:rPr>
          <w:rFonts w:asciiTheme="minorHAnsi" w:hAnsiTheme="minorHAnsi"/>
          <w:szCs w:val="20"/>
        </w:rPr>
        <w:lastRenderedPageBreak/>
        <w:t>Implement federal legislation to require the</w:t>
      </w:r>
      <w:r w:rsidR="005F3A77" w:rsidRPr="00D920C9">
        <w:rPr>
          <w:rFonts w:asciiTheme="minorHAnsi" w:hAnsiTheme="minorHAnsi"/>
          <w:szCs w:val="20"/>
        </w:rPr>
        <w:t xml:space="preserve"> appropriate training of local, state, and federal law enforcement agents and agencies in the areas of human rights obligations </w:t>
      </w:r>
      <w:r w:rsidR="007631C3" w:rsidRPr="00D920C9">
        <w:rPr>
          <w:rFonts w:asciiTheme="minorHAnsi" w:hAnsiTheme="minorHAnsi"/>
          <w:szCs w:val="20"/>
        </w:rPr>
        <w:t>regarding</w:t>
      </w:r>
      <w:r w:rsidR="005F3A77" w:rsidRPr="00D920C9">
        <w:rPr>
          <w:rFonts w:asciiTheme="minorHAnsi" w:hAnsiTheme="minorHAnsi"/>
          <w:szCs w:val="20"/>
        </w:rPr>
        <w:t xml:space="preserve"> non-discrimination, avoiding implicit bias, and other anti-discrimination training to ensure that law enforcement officers demonstrate respect for and protect the fundamental rights of all individuals subject to their jurisdiction, without discrimination of any kind.</w:t>
      </w:r>
    </w:p>
    <w:p w14:paraId="1D310D38" w14:textId="77777777" w:rsidR="006753A7" w:rsidRPr="00D920C9" w:rsidRDefault="006753A7" w:rsidP="00EC5191">
      <w:pPr>
        <w:pStyle w:val="ListParagraph"/>
        <w:numPr>
          <w:ilvl w:val="0"/>
          <w:numId w:val="39"/>
        </w:numPr>
        <w:spacing w:after="240" w:line="240" w:lineRule="auto"/>
        <w:ind w:left="1080" w:right="432" w:hanging="720"/>
        <w:contextualSpacing w:val="0"/>
        <w:jc w:val="both"/>
        <w:rPr>
          <w:rFonts w:asciiTheme="minorHAnsi" w:hAnsiTheme="minorHAnsi"/>
          <w:szCs w:val="20"/>
        </w:rPr>
      </w:pPr>
      <w:r w:rsidRPr="00D920C9">
        <w:rPr>
          <w:rFonts w:asciiTheme="minorHAnsi" w:hAnsiTheme="minorHAnsi"/>
          <w:szCs w:val="20"/>
        </w:rPr>
        <w:t>Take steps to reverse the impact of policies with racially disparate impacts.</w:t>
      </w:r>
    </w:p>
    <w:p w14:paraId="7DD4E559" w14:textId="77777777" w:rsidR="00064585" w:rsidRPr="00D920C9" w:rsidRDefault="00E5383E" w:rsidP="00EC5191">
      <w:pPr>
        <w:pStyle w:val="ListParagraph"/>
        <w:numPr>
          <w:ilvl w:val="1"/>
          <w:numId w:val="39"/>
        </w:numPr>
        <w:spacing w:after="240" w:line="240" w:lineRule="auto"/>
        <w:ind w:left="1620" w:right="432" w:hanging="540"/>
        <w:contextualSpacing w:val="0"/>
        <w:jc w:val="both"/>
        <w:rPr>
          <w:rFonts w:asciiTheme="minorHAnsi" w:hAnsiTheme="minorHAnsi"/>
          <w:szCs w:val="20"/>
        </w:rPr>
      </w:pPr>
      <w:r w:rsidRPr="00D920C9">
        <w:rPr>
          <w:rFonts w:asciiTheme="minorHAnsi" w:hAnsiTheme="minorHAnsi"/>
          <w:szCs w:val="20"/>
        </w:rPr>
        <w:t>A</w:t>
      </w:r>
      <w:r w:rsidR="00064585" w:rsidRPr="00D920C9">
        <w:rPr>
          <w:rFonts w:asciiTheme="minorHAnsi" w:hAnsiTheme="minorHAnsi"/>
          <w:szCs w:val="20"/>
        </w:rPr>
        <w:t xml:space="preserve">dopt appropriate measures </w:t>
      </w:r>
      <w:r w:rsidRPr="00D920C9">
        <w:rPr>
          <w:rFonts w:asciiTheme="minorHAnsi" w:hAnsiTheme="minorHAnsi"/>
          <w:szCs w:val="20"/>
        </w:rPr>
        <w:t>at the federal or state level</w:t>
      </w:r>
      <w:r w:rsidR="00064585" w:rsidRPr="00D920C9">
        <w:rPr>
          <w:rFonts w:asciiTheme="minorHAnsi" w:hAnsiTheme="minorHAnsi"/>
          <w:szCs w:val="20"/>
        </w:rPr>
        <w:t xml:space="preserve"> to ensure the restoration of voting rights to citizens who have fully served their </w:t>
      </w:r>
      <w:r w:rsidRPr="00D920C9">
        <w:rPr>
          <w:rFonts w:asciiTheme="minorHAnsi" w:hAnsiTheme="minorHAnsi"/>
          <w:szCs w:val="20"/>
        </w:rPr>
        <w:t xml:space="preserve">criminal </w:t>
      </w:r>
      <w:r w:rsidR="00064585" w:rsidRPr="00D920C9">
        <w:rPr>
          <w:rFonts w:asciiTheme="minorHAnsi" w:hAnsiTheme="minorHAnsi"/>
          <w:szCs w:val="20"/>
        </w:rPr>
        <w:t>sentences and those who have been release</w:t>
      </w:r>
      <w:r w:rsidRPr="00D920C9">
        <w:rPr>
          <w:rFonts w:asciiTheme="minorHAnsi" w:hAnsiTheme="minorHAnsi"/>
          <w:szCs w:val="20"/>
        </w:rPr>
        <w:t xml:space="preserve">d on parole, </w:t>
      </w:r>
      <w:r w:rsidR="00064585" w:rsidRPr="00D920C9">
        <w:rPr>
          <w:rFonts w:asciiTheme="minorHAnsi" w:hAnsiTheme="minorHAnsi"/>
          <w:szCs w:val="20"/>
        </w:rPr>
        <w:t>particularly in light of the racially discriminatory impact of the policy</w:t>
      </w:r>
      <w:r w:rsidRPr="00D920C9">
        <w:rPr>
          <w:rFonts w:asciiTheme="minorHAnsi" w:hAnsiTheme="minorHAnsi"/>
          <w:szCs w:val="20"/>
        </w:rPr>
        <w:t xml:space="preserve"> of felony disenfranchisement.</w:t>
      </w:r>
    </w:p>
    <w:p w14:paraId="6B6F7686" w14:textId="77777777" w:rsidR="006753A7" w:rsidRPr="00D920C9" w:rsidRDefault="006753A7" w:rsidP="00EC5191">
      <w:pPr>
        <w:pStyle w:val="ListParagraph"/>
        <w:numPr>
          <w:ilvl w:val="1"/>
          <w:numId w:val="39"/>
        </w:numPr>
        <w:spacing w:after="240" w:line="240" w:lineRule="auto"/>
        <w:ind w:left="1620" w:right="432" w:hanging="540"/>
        <w:contextualSpacing w:val="0"/>
        <w:jc w:val="both"/>
        <w:rPr>
          <w:rFonts w:asciiTheme="minorHAnsi" w:hAnsiTheme="minorHAnsi"/>
          <w:szCs w:val="20"/>
        </w:rPr>
      </w:pPr>
      <w:r w:rsidRPr="00D920C9">
        <w:rPr>
          <w:rFonts w:asciiTheme="minorHAnsi" w:hAnsiTheme="minorHAnsi"/>
          <w:szCs w:val="20"/>
        </w:rPr>
        <w:t>Take steps to prevent individuals in cases of drug use or possession for personal use from being subjected to custodial measures or entering the criminal justice system.</w:t>
      </w:r>
    </w:p>
    <w:p w14:paraId="2E22E1CD" w14:textId="77777777" w:rsidR="005F3A77" w:rsidRPr="00D920C9" w:rsidRDefault="005F3A77" w:rsidP="00EC5191">
      <w:pPr>
        <w:pStyle w:val="ListParagraph"/>
        <w:numPr>
          <w:ilvl w:val="0"/>
          <w:numId w:val="39"/>
        </w:numPr>
        <w:spacing w:after="240" w:line="240" w:lineRule="auto"/>
        <w:ind w:left="1080" w:right="432" w:hanging="720"/>
        <w:contextualSpacing w:val="0"/>
        <w:jc w:val="both"/>
        <w:rPr>
          <w:rFonts w:asciiTheme="minorHAnsi" w:hAnsiTheme="minorHAnsi"/>
          <w:szCs w:val="20"/>
        </w:rPr>
      </w:pPr>
      <w:r w:rsidRPr="00D920C9">
        <w:rPr>
          <w:rFonts w:asciiTheme="minorHAnsi" w:hAnsiTheme="minorHAnsi"/>
          <w:szCs w:val="20"/>
        </w:rPr>
        <w:t xml:space="preserve">Create independent ombudsperson offices at the state and local levels to receive and take action regarding complaints about discriminatory treatment. </w:t>
      </w:r>
    </w:p>
    <w:p w14:paraId="0B3D3757" w14:textId="77777777" w:rsidR="007631C3" w:rsidRPr="00D920C9" w:rsidRDefault="007631C3" w:rsidP="006E3DD1">
      <w:pPr>
        <w:pStyle w:val="Heading2"/>
        <w:ind w:left="547" w:hanging="547"/>
      </w:pPr>
      <w:bookmarkStart w:id="262" w:name="_Toc511903024"/>
      <w:bookmarkStart w:id="263" w:name="_Toc517687953"/>
      <w:r w:rsidRPr="00D920C9">
        <w:t xml:space="preserve">Recommendations regarding the </w:t>
      </w:r>
      <w:r w:rsidR="003A6706" w:rsidRPr="00D920C9">
        <w:t xml:space="preserve">Use </w:t>
      </w:r>
      <w:r w:rsidRPr="00D920C9">
        <w:t xml:space="preserve">of </w:t>
      </w:r>
      <w:r w:rsidR="003A6706" w:rsidRPr="00D920C9">
        <w:t>Force</w:t>
      </w:r>
      <w:bookmarkEnd w:id="262"/>
      <w:bookmarkEnd w:id="263"/>
    </w:p>
    <w:p w14:paraId="4680AB1E" w14:textId="77777777" w:rsidR="007631C3" w:rsidRPr="00D920C9" w:rsidRDefault="009F40FB" w:rsidP="00EC5191">
      <w:pPr>
        <w:pStyle w:val="ListParagraph"/>
        <w:numPr>
          <w:ilvl w:val="0"/>
          <w:numId w:val="39"/>
        </w:numPr>
        <w:spacing w:after="240" w:line="240" w:lineRule="auto"/>
        <w:ind w:left="1080" w:right="432" w:hanging="720"/>
        <w:contextualSpacing w:val="0"/>
        <w:jc w:val="both"/>
        <w:rPr>
          <w:rFonts w:asciiTheme="minorHAnsi" w:hAnsiTheme="minorHAnsi"/>
          <w:szCs w:val="20"/>
        </w:rPr>
      </w:pPr>
      <w:r w:rsidRPr="00D920C9">
        <w:rPr>
          <w:rFonts w:asciiTheme="minorHAnsi" w:hAnsiTheme="minorHAnsi"/>
          <w:szCs w:val="20"/>
        </w:rPr>
        <w:t>As a matter of urgency, t</w:t>
      </w:r>
      <w:r w:rsidR="007631C3" w:rsidRPr="00D920C9">
        <w:rPr>
          <w:rFonts w:asciiTheme="minorHAnsi" w:hAnsiTheme="minorHAnsi"/>
          <w:szCs w:val="20"/>
        </w:rPr>
        <w:t>ake the necessary steps to reform domestic law—both federal and state—and bring it in line with international law in the area of use of force and use of deadly force, observing the principles of exceptionality, necessity, proportionality, and legality.</w:t>
      </w:r>
    </w:p>
    <w:p w14:paraId="513185AC" w14:textId="77777777" w:rsidR="00B07095" w:rsidRPr="00D920C9" w:rsidRDefault="00B07095" w:rsidP="00EC5191">
      <w:pPr>
        <w:pStyle w:val="ListParagraph"/>
        <w:numPr>
          <w:ilvl w:val="0"/>
          <w:numId w:val="39"/>
        </w:numPr>
        <w:spacing w:after="240" w:line="240" w:lineRule="auto"/>
        <w:ind w:left="1080" w:right="432" w:hanging="720"/>
        <w:contextualSpacing w:val="0"/>
        <w:jc w:val="both"/>
        <w:rPr>
          <w:rFonts w:asciiTheme="minorHAnsi" w:hAnsiTheme="minorHAnsi"/>
          <w:szCs w:val="20"/>
        </w:rPr>
      </w:pPr>
      <w:r w:rsidRPr="00D920C9">
        <w:rPr>
          <w:rFonts w:asciiTheme="minorHAnsi" w:hAnsiTheme="minorHAnsi"/>
          <w:szCs w:val="20"/>
        </w:rPr>
        <w:t>Implement federal legislation to require that all law enforcement agents receive human rights training, including regarding the obligation to respect and protect fundamental rights, such as the rights to life and personal integrity, without discrimination.</w:t>
      </w:r>
    </w:p>
    <w:p w14:paraId="73E20746" w14:textId="77777777" w:rsidR="007631C3" w:rsidRPr="00D920C9" w:rsidRDefault="007631C3" w:rsidP="00EC5191">
      <w:pPr>
        <w:pStyle w:val="ListParagraph"/>
        <w:numPr>
          <w:ilvl w:val="0"/>
          <w:numId w:val="39"/>
        </w:numPr>
        <w:spacing w:after="240" w:line="240" w:lineRule="auto"/>
        <w:ind w:left="1080" w:right="432" w:hanging="720"/>
        <w:contextualSpacing w:val="0"/>
        <w:jc w:val="both"/>
        <w:rPr>
          <w:rFonts w:asciiTheme="minorHAnsi" w:hAnsiTheme="minorHAnsi"/>
          <w:szCs w:val="20"/>
        </w:rPr>
      </w:pPr>
      <w:r w:rsidRPr="00D920C9">
        <w:rPr>
          <w:rFonts w:asciiTheme="minorHAnsi" w:hAnsiTheme="minorHAnsi"/>
          <w:szCs w:val="20"/>
        </w:rPr>
        <w:t xml:space="preserve">Take the necessary steps to reform protocols and guidelines for local, state, and federal law enforcement agencies to ensure that </w:t>
      </w:r>
      <w:r w:rsidRPr="00D920C9">
        <w:rPr>
          <w:rFonts w:asciiTheme="minorHAnsi" w:hAnsiTheme="minorHAnsi"/>
          <w:szCs w:val="20"/>
        </w:rPr>
        <w:lastRenderedPageBreak/>
        <w:t>they comply with international law  in the area of use of force, including international standards regarding:</w:t>
      </w:r>
    </w:p>
    <w:p w14:paraId="413E08EF" w14:textId="77777777" w:rsidR="007631C3" w:rsidRPr="00D920C9" w:rsidRDefault="00260121" w:rsidP="00EC5191">
      <w:pPr>
        <w:pStyle w:val="ListParagraph"/>
        <w:numPr>
          <w:ilvl w:val="1"/>
          <w:numId w:val="39"/>
        </w:numPr>
        <w:spacing w:after="240" w:line="240" w:lineRule="auto"/>
        <w:ind w:left="1620" w:right="432" w:hanging="540"/>
        <w:contextualSpacing w:val="0"/>
        <w:jc w:val="both"/>
        <w:rPr>
          <w:rFonts w:asciiTheme="minorHAnsi" w:hAnsiTheme="minorHAnsi"/>
          <w:szCs w:val="20"/>
        </w:rPr>
      </w:pPr>
      <w:r w:rsidRPr="00D920C9">
        <w:rPr>
          <w:rFonts w:asciiTheme="minorHAnsi" w:hAnsiTheme="minorHAnsi"/>
          <w:szCs w:val="20"/>
        </w:rPr>
        <w:t>P</w:t>
      </w:r>
      <w:r w:rsidR="00A06BBE" w:rsidRPr="00D920C9">
        <w:rPr>
          <w:rFonts w:asciiTheme="minorHAnsi" w:hAnsiTheme="minorHAnsi"/>
          <w:szCs w:val="20"/>
        </w:rPr>
        <w:t>ermissible use of force and circumstances under which the use of deadly force is permitted;</w:t>
      </w:r>
    </w:p>
    <w:p w14:paraId="03E98016" w14:textId="77777777" w:rsidR="00A06BBE" w:rsidRPr="00D920C9" w:rsidRDefault="00A06BBE" w:rsidP="00EC5191">
      <w:pPr>
        <w:pStyle w:val="ListParagraph"/>
        <w:numPr>
          <w:ilvl w:val="1"/>
          <w:numId w:val="39"/>
        </w:numPr>
        <w:spacing w:after="240" w:line="240" w:lineRule="auto"/>
        <w:ind w:left="1620" w:right="432" w:hanging="540"/>
        <w:contextualSpacing w:val="0"/>
        <w:jc w:val="both"/>
        <w:rPr>
          <w:rFonts w:asciiTheme="minorHAnsi" w:hAnsiTheme="minorHAnsi"/>
          <w:szCs w:val="20"/>
        </w:rPr>
      </w:pPr>
      <w:r w:rsidRPr="00D920C9">
        <w:rPr>
          <w:rFonts w:asciiTheme="minorHAnsi" w:hAnsiTheme="minorHAnsi"/>
          <w:szCs w:val="20"/>
        </w:rPr>
        <w:t>De-escalation tactics and the use of less lethal weapons;</w:t>
      </w:r>
    </w:p>
    <w:p w14:paraId="2FE37581" w14:textId="77777777" w:rsidR="00A06BBE" w:rsidRPr="00D920C9" w:rsidRDefault="000C369C" w:rsidP="00EC5191">
      <w:pPr>
        <w:pStyle w:val="ListParagraph"/>
        <w:numPr>
          <w:ilvl w:val="1"/>
          <w:numId w:val="39"/>
        </w:numPr>
        <w:spacing w:after="240" w:line="240" w:lineRule="auto"/>
        <w:ind w:left="1620" w:right="432" w:hanging="540"/>
        <w:contextualSpacing w:val="0"/>
        <w:jc w:val="both"/>
        <w:rPr>
          <w:rFonts w:asciiTheme="minorHAnsi" w:hAnsiTheme="minorHAnsi"/>
          <w:szCs w:val="20"/>
        </w:rPr>
      </w:pPr>
      <w:r w:rsidRPr="00D920C9">
        <w:rPr>
          <w:rFonts w:asciiTheme="minorHAnsi" w:hAnsiTheme="minorHAnsi"/>
          <w:szCs w:val="20"/>
        </w:rPr>
        <w:t>The prohibition of</w:t>
      </w:r>
      <w:r w:rsidR="00A06BBE" w:rsidRPr="00D920C9">
        <w:rPr>
          <w:rFonts w:asciiTheme="minorHAnsi" w:hAnsiTheme="minorHAnsi"/>
          <w:szCs w:val="20"/>
        </w:rPr>
        <w:t xml:space="preserve"> torture and cruel, inhuman, or degrading treatment or punishment;</w:t>
      </w:r>
    </w:p>
    <w:p w14:paraId="441FA177" w14:textId="77777777" w:rsidR="00A06BBE" w:rsidRPr="00D920C9" w:rsidRDefault="00A06BBE" w:rsidP="00EC5191">
      <w:pPr>
        <w:pStyle w:val="ListParagraph"/>
        <w:numPr>
          <w:ilvl w:val="1"/>
          <w:numId w:val="39"/>
        </w:numPr>
        <w:spacing w:after="240" w:line="240" w:lineRule="auto"/>
        <w:ind w:left="1620" w:right="432" w:hanging="540"/>
        <w:contextualSpacing w:val="0"/>
        <w:jc w:val="both"/>
        <w:rPr>
          <w:rFonts w:asciiTheme="minorHAnsi" w:hAnsiTheme="minorHAnsi"/>
          <w:szCs w:val="20"/>
        </w:rPr>
      </w:pPr>
      <w:r w:rsidRPr="00D920C9">
        <w:rPr>
          <w:rFonts w:asciiTheme="minorHAnsi" w:hAnsiTheme="minorHAnsi"/>
          <w:szCs w:val="20"/>
        </w:rPr>
        <w:t>In protest situations, respect for and facilitation of the exercise of the right to freedom of expression, including the regulation of less lethal weapons.</w:t>
      </w:r>
    </w:p>
    <w:p w14:paraId="0C8236A3" w14:textId="77777777" w:rsidR="00A06BBE" w:rsidRPr="00D920C9" w:rsidRDefault="00A06BBE" w:rsidP="00EC5191">
      <w:pPr>
        <w:pStyle w:val="ListParagraph"/>
        <w:numPr>
          <w:ilvl w:val="0"/>
          <w:numId w:val="39"/>
        </w:numPr>
        <w:spacing w:after="240" w:line="240" w:lineRule="auto"/>
        <w:ind w:left="1080" w:right="432" w:hanging="720"/>
        <w:contextualSpacing w:val="0"/>
        <w:jc w:val="both"/>
        <w:rPr>
          <w:rFonts w:asciiTheme="minorHAnsi" w:hAnsiTheme="minorHAnsi"/>
          <w:szCs w:val="20"/>
        </w:rPr>
      </w:pPr>
      <w:r w:rsidRPr="00D920C9">
        <w:rPr>
          <w:rFonts w:asciiTheme="minorHAnsi" w:hAnsiTheme="minorHAnsi"/>
          <w:szCs w:val="20"/>
        </w:rPr>
        <w:t>Ensure the participation of disproportionately impacted communities in the design of strategies for better policing and in police oversight mechanisms.</w:t>
      </w:r>
    </w:p>
    <w:p w14:paraId="7A76CDF9" w14:textId="77777777" w:rsidR="00A06BBE" w:rsidRPr="00D920C9" w:rsidRDefault="00A06BBE" w:rsidP="00EC5191">
      <w:pPr>
        <w:pStyle w:val="ListParagraph"/>
        <w:numPr>
          <w:ilvl w:val="0"/>
          <w:numId w:val="39"/>
        </w:numPr>
        <w:spacing w:after="240" w:line="240" w:lineRule="auto"/>
        <w:ind w:left="1080" w:right="432" w:hanging="720"/>
        <w:contextualSpacing w:val="0"/>
        <w:jc w:val="both"/>
        <w:rPr>
          <w:rFonts w:asciiTheme="minorHAnsi" w:hAnsiTheme="minorHAnsi"/>
          <w:szCs w:val="20"/>
        </w:rPr>
      </w:pPr>
      <w:r w:rsidRPr="00D920C9">
        <w:rPr>
          <w:rFonts w:asciiTheme="minorHAnsi" w:hAnsiTheme="minorHAnsi"/>
          <w:szCs w:val="20"/>
        </w:rPr>
        <w:t>Take steps to reverse the militarization of police departments, including via:</w:t>
      </w:r>
    </w:p>
    <w:p w14:paraId="3AC8C397" w14:textId="77777777" w:rsidR="00A06BBE" w:rsidRPr="00D920C9" w:rsidRDefault="00A06BBE" w:rsidP="00EC5191">
      <w:pPr>
        <w:pStyle w:val="ListParagraph"/>
        <w:numPr>
          <w:ilvl w:val="1"/>
          <w:numId w:val="39"/>
        </w:numPr>
        <w:spacing w:after="240" w:line="240" w:lineRule="auto"/>
        <w:ind w:left="1620" w:right="432" w:hanging="540"/>
        <w:contextualSpacing w:val="0"/>
        <w:jc w:val="both"/>
        <w:rPr>
          <w:rFonts w:asciiTheme="minorHAnsi" w:hAnsiTheme="minorHAnsi"/>
          <w:szCs w:val="20"/>
        </w:rPr>
      </w:pPr>
      <w:r w:rsidRPr="00D920C9">
        <w:rPr>
          <w:rFonts w:asciiTheme="minorHAnsi" w:hAnsiTheme="minorHAnsi"/>
          <w:szCs w:val="20"/>
        </w:rPr>
        <w:t>The rescission of programs permitting the transfer of military equipment and weapons to domestic law enforcement agencies;</w:t>
      </w:r>
    </w:p>
    <w:p w14:paraId="430454B1" w14:textId="77777777" w:rsidR="00A06BBE" w:rsidRPr="00D920C9" w:rsidRDefault="00A06BBE" w:rsidP="00EC5191">
      <w:pPr>
        <w:pStyle w:val="ListParagraph"/>
        <w:numPr>
          <w:ilvl w:val="1"/>
          <w:numId w:val="39"/>
        </w:numPr>
        <w:spacing w:after="240" w:line="240" w:lineRule="auto"/>
        <w:ind w:left="1620" w:right="432" w:hanging="540"/>
        <w:contextualSpacing w:val="0"/>
        <w:jc w:val="both"/>
        <w:rPr>
          <w:rFonts w:asciiTheme="minorHAnsi" w:hAnsiTheme="minorHAnsi"/>
          <w:szCs w:val="20"/>
        </w:rPr>
      </w:pPr>
      <w:r w:rsidRPr="00D920C9">
        <w:rPr>
          <w:rFonts w:asciiTheme="minorHAnsi" w:hAnsiTheme="minorHAnsi"/>
          <w:szCs w:val="20"/>
        </w:rPr>
        <w:t xml:space="preserve">Verification by the federal government of the quantity of military weapons </w:t>
      </w:r>
      <w:r w:rsidR="0072065E" w:rsidRPr="00D920C9">
        <w:rPr>
          <w:rFonts w:asciiTheme="minorHAnsi" w:hAnsiTheme="minorHAnsi"/>
          <w:szCs w:val="20"/>
        </w:rPr>
        <w:t xml:space="preserve">transferred </w:t>
      </w:r>
      <w:r w:rsidRPr="00D920C9">
        <w:rPr>
          <w:rFonts w:asciiTheme="minorHAnsi" w:hAnsiTheme="minorHAnsi"/>
          <w:szCs w:val="20"/>
        </w:rPr>
        <w:t xml:space="preserve">to local police departments and other measures to </w:t>
      </w:r>
      <w:r w:rsidR="004B2CE1" w:rsidRPr="00D920C9">
        <w:rPr>
          <w:rFonts w:asciiTheme="minorHAnsi" w:hAnsiTheme="minorHAnsi"/>
          <w:szCs w:val="20"/>
        </w:rPr>
        <w:t>control the diffusion of military weaponry</w:t>
      </w:r>
      <w:r w:rsidRPr="00D920C9">
        <w:rPr>
          <w:rFonts w:asciiTheme="minorHAnsi" w:hAnsiTheme="minorHAnsi"/>
          <w:szCs w:val="20"/>
        </w:rPr>
        <w:t>; and</w:t>
      </w:r>
    </w:p>
    <w:p w14:paraId="1831E62A" w14:textId="77777777" w:rsidR="00A06BBE" w:rsidRPr="00D920C9" w:rsidRDefault="004B2CE1" w:rsidP="00EC5191">
      <w:pPr>
        <w:pStyle w:val="ListParagraph"/>
        <w:numPr>
          <w:ilvl w:val="1"/>
          <w:numId w:val="39"/>
        </w:numPr>
        <w:spacing w:after="240" w:line="240" w:lineRule="auto"/>
        <w:ind w:left="1620" w:right="432" w:hanging="540"/>
        <w:contextualSpacing w:val="0"/>
        <w:jc w:val="both"/>
        <w:rPr>
          <w:rFonts w:asciiTheme="minorHAnsi" w:hAnsiTheme="minorHAnsi"/>
          <w:szCs w:val="20"/>
        </w:rPr>
      </w:pPr>
      <w:r w:rsidRPr="00D920C9">
        <w:rPr>
          <w:rFonts w:asciiTheme="minorHAnsi" w:hAnsiTheme="minorHAnsi"/>
          <w:szCs w:val="20"/>
        </w:rPr>
        <w:t>T</w:t>
      </w:r>
      <w:r w:rsidR="00A06BBE" w:rsidRPr="00D920C9">
        <w:rPr>
          <w:rFonts w:asciiTheme="minorHAnsi" w:hAnsiTheme="minorHAnsi"/>
          <w:szCs w:val="20"/>
        </w:rPr>
        <w:t>raining police to use departmental equipment in a manner that respects human rights obligations.</w:t>
      </w:r>
    </w:p>
    <w:p w14:paraId="4D57A742" w14:textId="77777777" w:rsidR="006753A7" w:rsidRPr="00D920C9" w:rsidRDefault="006753A7" w:rsidP="00EC5191">
      <w:pPr>
        <w:pStyle w:val="ListParagraph"/>
        <w:numPr>
          <w:ilvl w:val="0"/>
          <w:numId w:val="39"/>
        </w:numPr>
        <w:spacing w:after="240" w:line="240" w:lineRule="auto"/>
        <w:ind w:left="1080" w:right="432" w:hanging="720"/>
        <w:contextualSpacing w:val="0"/>
        <w:jc w:val="both"/>
        <w:rPr>
          <w:rFonts w:asciiTheme="minorHAnsi" w:hAnsiTheme="minorHAnsi"/>
          <w:szCs w:val="20"/>
        </w:rPr>
      </w:pPr>
      <w:r w:rsidRPr="00D920C9">
        <w:rPr>
          <w:rFonts w:asciiTheme="minorHAnsi" w:hAnsiTheme="minorHAnsi"/>
          <w:szCs w:val="20"/>
        </w:rPr>
        <w:t xml:space="preserve">Adopt all </w:t>
      </w:r>
      <w:r w:rsidR="004B2CE1" w:rsidRPr="00D920C9">
        <w:rPr>
          <w:rFonts w:asciiTheme="minorHAnsi" w:hAnsiTheme="minorHAnsi"/>
          <w:szCs w:val="20"/>
        </w:rPr>
        <w:t>necessary</w:t>
      </w:r>
      <w:r w:rsidRPr="00D920C9">
        <w:rPr>
          <w:rFonts w:asciiTheme="minorHAnsi" w:hAnsiTheme="minorHAnsi"/>
          <w:szCs w:val="20"/>
        </w:rPr>
        <w:t xml:space="preserve"> measures to protect the rights to life and personal integrity in the context of protests.</w:t>
      </w:r>
    </w:p>
    <w:p w14:paraId="36B86C30" w14:textId="77777777" w:rsidR="00A06BBE" w:rsidRPr="00D920C9" w:rsidRDefault="00A06BBE" w:rsidP="00EC5191">
      <w:pPr>
        <w:pStyle w:val="ListParagraph"/>
        <w:numPr>
          <w:ilvl w:val="0"/>
          <w:numId w:val="39"/>
        </w:numPr>
        <w:spacing w:after="240" w:line="240" w:lineRule="auto"/>
        <w:ind w:left="1080" w:right="432" w:hanging="720"/>
        <w:contextualSpacing w:val="0"/>
        <w:jc w:val="both"/>
        <w:rPr>
          <w:rFonts w:asciiTheme="minorHAnsi" w:hAnsiTheme="minorHAnsi"/>
          <w:szCs w:val="20"/>
        </w:rPr>
      </w:pPr>
      <w:r w:rsidRPr="00D920C9">
        <w:rPr>
          <w:rFonts w:asciiTheme="minorHAnsi" w:hAnsiTheme="minorHAnsi"/>
          <w:szCs w:val="20"/>
        </w:rPr>
        <w:t xml:space="preserve">Take effective measures to prevent and combat the stigmatization and criminalization of protesters, </w:t>
      </w:r>
      <w:r w:rsidR="00DA14D9" w:rsidRPr="00D920C9">
        <w:rPr>
          <w:rFonts w:asciiTheme="minorHAnsi" w:hAnsiTheme="minorHAnsi"/>
          <w:szCs w:val="20"/>
        </w:rPr>
        <w:t xml:space="preserve">in particular where such stigmatization or criminalization may be racially discriminatory in nature, </w:t>
      </w:r>
      <w:r w:rsidRPr="00D920C9">
        <w:rPr>
          <w:rFonts w:asciiTheme="minorHAnsi" w:hAnsiTheme="minorHAnsi"/>
          <w:szCs w:val="20"/>
        </w:rPr>
        <w:t>and fully guarantee the right to freedom of expression.</w:t>
      </w:r>
    </w:p>
    <w:p w14:paraId="5C1B45C7" w14:textId="24FF89FC" w:rsidR="00DA14D9" w:rsidRPr="00D920C9" w:rsidRDefault="00224407" w:rsidP="006E3DD1">
      <w:pPr>
        <w:pStyle w:val="Heading2"/>
        <w:ind w:left="547" w:hanging="547"/>
      </w:pPr>
      <w:bookmarkStart w:id="264" w:name="_Toc511903025"/>
      <w:bookmarkStart w:id="265" w:name="_Toc517687954"/>
      <w:r w:rsidRPr="00D920C9">
        <w:lastRenderedPageBreak/>
        <w:t>Recommendations regarding D</w:t>
      </w:r>
      <w:r w:rsidR="00DA14D9" w:rsidRPr="00D920C9">
        <w:t xml:space="preserve">ue </w:t>
      </w:r>
      <w:r w:rsidR="003A6706" w:rsidRPr="00D920C9">
        <w:t xml:space="preserve">Diligence </w:t>
      </w:r>
      <w:r w:rsidR="00DA14D9" w:rsidRPr="00D920C9">
        <w:t xml:space="preserve">and </w:t>
      </w:r>
      <w:r w:rsidR="003A6706" w:rsidRPr="00D920C9">
        <w:t>Accountability</w:t>
      </w:r>
      <w:bookmarkEnd w:id="264"/>
      <w:bookmarkEnd w:id="265"/>
      <w:r w:rsidR="003A6706" w:rsidRPr="00D920C9">
        <w:t xml:space="preserve"> </w:t>
      </w:r>
    </w:p>
    <w:p w14:paraId="1D50C30E" w14:textId="77777777" w:rsidR="00DA14D9" w:rsidRPr="00D920C9" w:rsidRDefault="00DA14D9" w:rsidP="00EC5191">
      <w:pPr>
        <w:pStyle w:val="ListParagraph"/>
        <w:numPr>
          <w:ilvl w:val="0"/>
          <w:numId w:val="39"/>
        </w:numPr>
        <w:spacing w:after="240" w:line="240" w:lineRule="auto"/>
        <w:ind w:left="1080" w:right="432" w:hanging="720"/>
        <w:contextualSpacing w:val="0"/>
        <w:jc w:val="both"/>
        <w:rPr>
          <w:rFonts w:asciiTheme="minorHAnsi" w:hAnsiTheme="minorHAnsi"/>
          <w:szCs w:val="20"/>
        </w:rPr>
      </w:pPr>
      <w:r w:rsidRPr="00D920C9">
        <w:rPr>
          <w:rFonts w:asciiTheme="minorHAnsi" w:hAnsiTheme="minorHAnsi"/>
          <w:szCs w:val="20"/>
        </w:rPr>
        <w:t xml:space="preserve">Create a federal database to track </w:t>
      </w:r>
      <w:r w:rsidR="009D3618" w:rsidRPr="00D920C9">
        <w:rPr>
          <w:rFonts w:asciiTheme="minorHAnsi" w:hAnsiTheme="minorHAnsi"/>
          <w:szCs w:val="20"/>
        </w:rPr>
        <w:t>incidents involving police use of force</w:t>
      </w:r>
      <w:r w:rsidRPr="00D920C9">
        <w:rPr>
          <w:rFonts w:asciiTheme="minorHAnsi" w:hAnsiTheme="minorHAnsi"/>
          <w:szCs w:val="20"/>
        </w:rPr>
        <w:t xml:space="preserve"> by all law enforcement agencies in a transparent, uniform, and public manner</w:t>
      </w:r>
      <w:r w:rsidR="009D3618" w:rsidRPr="00D920C9">
        <w:rPr>
          <w:rFonts w:asciiTheme="minorHAnsi" w:hAnsiTheme="minorHAnsi"/>
          <w:szCs w:val="20"/>
        </w:rPr>
        <w:t>, including disaggregated data on demographics of all victims and officers involved, such as age, gender, race, and disability status</w:t>
      </w:r>
      <w:r w:rsidR="0072065E" w:rsidRPr="00D920C9">
        <w:rPr>
          <w:rFonts w:asciiTheme="minorHAnsi" w:hAnsiTheme="minorHAnsi"/>
          <w:szCs w:val="20"/>
        </w:rPr>
        <w:t>, among others</w:t>
      </w:r>
      <w:r w:rsidR="009D3618" w:rsidRPr="00D920C9">
        <w:rPr>
          <w:rFonts w:asciiTheme="minorHAnsi" w:hAnsiTheme="minorHAnsi"/>
          <w:szCs w:val="20"/>
        </w:rPr>
        <w:t>; details regarding the circumstances of the use of force; location of incident (municipality and neighborhood); and outcomes of all corresponding internal, civil, and criminal police misconduct proceedings.</w:t>
      </w:r>
    </w:p>
    <w:p w14:paraId="3E57A8CF" w14:textId="77777777" w:rsidR="009D3618" w:rsidRPr="00D920C9" w:rsidRDefault="009D3618" w:rsidP="00EC5191">
      <w:pPr>
        <w:pStyle w:val="ListParagraph"/>
        <w:numPr>
          <w:ilvl w:val="0"/>
          <w:numId w:val="39"/>
        </w:numPr>
        <w:spacing w:after="240" w:line="240" w:lineRule="auto"/>
        <w:ind w:left="1080" w:right="432" w:hanging="720"/>
        <w:contextualSpacing w:val="0"/>
        <w:jc w:val="both"/>
        <w:rPr>
          <w:rFonts w:asciiTheme="minorHAnsi" w:hAnsiTheme="minorHAnsi"/>
          <w:szCs w:val="20"/>
        </w:rPr>
      </w:pPr>
      <w:r w:rsidRPr="00D920C9">
        <w:rPr>
          <w:rFonts w:asciiTheme="minorHAnsi" w:hAnsiTheme="minorHAnsi"/>
          <w:szCs w:val="20"/>
        </w:rPr>
        <w:t>Ensure the prompt, thorough, independent,</w:t>
      </w:r>
      <w:r w:rsidR="00894E5E" w:rsidRPr="00D920C9">
        <w:rPr>
          <w:rFonts w:asciiTheme="minorHAnsi" w:hAnsiTheme="minorHAnsi"/>
          <w:szCs w:val="20"/>
        </w:rPr>
        <w:t xml:space="preserve"> impartial, and</w:t>
      </w:r>
      <w:r w:rsidRPr="00D920C9">
        <w:rPr>
          <w:rFonts w:asciiTheme="minorHAnsi" w:hAnsiTheme="minorHAnsi"/>
          <w:szCs w:val="20"/>
        </w:rPr>
        <w:t xml:space="preserve"> effective investigation of incidents of excessive use of force and police killings</w:t>
      </w:r>
      <w:r w:rsidR="00894E5E" w:rsidRPr="00D920C9">
        <w:rPr>
          <w:rFonts w:asciiTheme="minorHAnsi" w:hAnsiTheme="minorHAnsi"/>
          <w:szCs w:val="20"/>
        </w:rPr>
        <w:t>, ensuring the investigation of all potentially responsible parties</w:t>
      </w:r>
      <w:r w:rsidRPr="00D920C9">
        <w:rPr>
          <w:rFonts w:asciiTheme="minorHAnsi" w:hAnsiTheme="minorHAnsi"/>
          <w:szCs w:val="20"/>
        </w:rPr>
        <w:t xml:space="preserve"> and, as relevant, their appropriate prosecution and punishment.</w:t>
      </w:r>
    </w:p>
    <w:p w14:paraId="43F3D3EE" w14:textId="77777777" w:rsidR="004B2CE1" w:rsidRPr="00D920C9" w:rsidRDefault="004B2CE1" w:rsidP="00EC5191">
      <w:pPr>
        <w:pStyle w:val="ListParagraph"/>
        <w:numPr>
          <w:ilvl w:val="0"/>
          <w:numId w:val="39"/>
        </w:numPr>
        <w:spacing w:after="240" w:line="240" w:lineRule="auto"/>
        <w:ind w:left="1080" w:right="432" w:hanging="720"/>
        <w:contextualSpacing w:val="0"/>
        <w:jc w:val="both"/>
        <w:rPr>
          <w:rFonts w:asciiTheme="minorHAnsi" w:hAnsiTheme="minorHAnsi"/>
          <w:szCs w:val="20"/>
        </w:rPr>
      </w:pPr>
      <w:r w:rsidRPr="00D920C9">
        <w:rPr>
          <w:rFonts w:asciiTheme="minorHAnsi" w:hAnsiTheme="minorHAnsi"/>
          <w:szCs w:val="20"/>
        </w:rPr>
        <w:t>Remove all de facto and legal mechanisms and obstacles in internal investigations, criminal proceedings, civil proceedings, and federal investigations that maintain impunity for police killings.</w:t>
      </w:r>
    </w:p>
    <w:p w14:paraId="7C163D48" w14:textId="77777777" w:rsidR="00894E5E" w:rsidRPr="00D920C9" w:rsidRDefault="00894E5E" w:rsidP="00EC5191">
      <w:pPr>
        <w:pStyle w:val="ListParagraph"/>
        <w:numPr>
          <w:ilvl w:val="0"/>
          <w:numId w:val="39"/>
        </w:numPr>
        <w:spacing w:after="240" w:line="240" w:lineRule="auto"/>
        <w:ind w:left="1080" w:right="432" w:hanging="720"/>
        <w:contextualSpacing w:val="0"/>
        <w:jc w:val="both"/>
        <w:rPr>
          <w:rFonts w:asciiTheme="minorHAnsi" w:hAnsiTheme="minorHAnsi"/>
          <w:szCs w:val="20"/>
        </w:rPr>
      </w:pPr>
      <w:r w:rsidRPr="00D920C9">
        <w:rPr>
          <w:rFonts w:asciiTheme="minorHAnsi" w:hAnsiTheme="minorHAnsi"/>
          <w:szCs w:val="20"/>
        </w:rPr>
        <w:t>Establish permanent, independent, and specialized bodies at the local and/or state level with the capacity and expertise to supervise investigations of police misconduct and crimes committed by police. These bodies should be competent to accompany cases from the moment of complaint through the indictment and trial of defendants, prioritizing transparency and victim and next of kin participation.</w:t>
      </w:r>
    </w:p>
    <w:p w14:paraId="7C39DB9A" w14:textId="77777777" w:rsidR="00894E5E" w:rsidRPr="00D920C9" w:rsidRDefault="00894E5E" w:rsidP="00EC5191">
      <w:pPr>
        <w:pStyle w:val="ListParagraph"/>
        <w:numPr>
          <w:ilvl w:val="0"/>
          <w:numId w:val="39"/>
        </w:numPr>
        <w:spacing w:after="240" w:line="240" w:lineRule="auto"/>
        <w:ind w:left="1080" w:right="432" w:hanging="720"/>
        <w:contextualSpacing w:val="0"/>
        <w:jc w:val="both"/>
        <w:rPr>
          <w:rFonts w:asciiTheme="minorHAnsi" w:hAnsiTheme="minorHAnsi"/>
          <w:szCs w:val="20"/>
        </w:rPr>
      </w:pPr>
      <w:r w:rsidRPr="00D920C9">
        <w:rPr>
          <w:rFonts w:asciiTheme="minorHAnsi" w:hAnsiTheme="minorHAnsi"/>
          <w:szCs w:val="20"/>
        </w:rPr>
        <w:t>Ensure the effective and proportional punishment of police officers who commit misconduct.</w:t>
      </w:r>
    </w:p>
    <w:p w14:paraId="52AAAB3D" w14:textId="77777777" w:rsidR="00894E5E" w:rsidRPr="00D920C9" w:rsidRDefault="00894E5E" w:rsidP="00EC5191">
      <w:pPr>
        <w:pStyle w:val="ListParagraph"/>
        <w:numPr>
          <w:ilvl w:val="1"/>
          <w:numId w:val="39"/>
        </w:numPr>
        <w:spacing w:after="240" w:line="240" w:lineRule="auto"/>
        <w:ind w:left="1620" w:right="432" w:hanging="540"/>
        <w:contextualSpacing w:val="0"/>
        <w:jc w:val="both"/>
        <w:rPr>
          <w:rFonts w:asciiTheme="minorHAnsi" w:hAnsiTheme="minorHAnsi"/>
          <w:szCs w:val="20"/>
        </w:rPr>
      </w:pPr>
      <w:r w:rsidRPr="00D920C9">
        <w:rPr>
          <w:rFonts w:asciiTheme="minorHAnsi" w:hAnsiTheme="minorHAnsi"/>
          <w:szCs w:val="20"/>
        </w:rPr>
        <w:t xml:space="preserve">In light of the fragmentation in the U.S. between local, state, and federal </w:t>
      </w:r>
      <w:r w:rsidR="000561DB" w:rsidRPr="00D920C9">
        <w:rPr>
          <w:rFonts w:asciiTheme="minorHAnsi" w:hAnsiTheme="minorHAnsi"/>
          <w:szCs w:val="20"/>
        </w:rPr>
        <w:t xml:space="preserve">law enforcement </w:t>
      </w:r>
      <w:r w:rsidRPr="00D920C9">
        <w:rPr>
          <w:rFonts w:asciiTheme="minorHAnsi" w:hAnsiTheme="minorHAnsi"/>
          <w:szCs w:val="20"/>
        </w:rPr>
        <w:t>entities, and among and between municipalities, consider the creation of a national database to report disciplinary measures against law enforcement officers, including firing for cause, to prevent law enforcement officers who are not fit for service from being re-hired in other jurisdictions.</w:t>
      </w:r>
    </w:p>
    <w:p w14:paraId="78782C95" w14:textId="77777777" w:rsidR="000561DB" w:rsidRPr="00D920C9" w:rsidRDefault="000561DB" w:rsidP="00EC5191">
      <w:pPr>
        <w:pStyle w:val="ListParagraph"/>
        <w:numPr>
          <w:ilvl w:val="1"/>
          <w:numId w:val="39"/>
        </w:numPr>
        <w:spacing w:after="240" w:line="240" w:lineRule="auto"/>
        <w:ind w:left="1620" w:right="432" w:hanging="540"/>
        <w:contextualSpacing w:val="0"/>
        <w:jc w:val="both"/>
        <w:rPr>
          <w:rFonts w:asciiTheme="minorHAnsi" w:hAnsiTheme="minorHAnsi"/>
          <w:szCs w:val="20"/>
        </w:rPr>
      </w:pPr>
      <w:r w:rsidRPr="00D920C9">
        <w:rPr>
          <w:rFonts w:asciiTheme="minorHAnsi" w:hAnsiTheme="minorHAnsi"/>
          <w:szCs w:val="20"/>
        </w:rPr>
        <w:lastRenderedPageBreak/>
        <w:t>At both the state and local level, consider reforms to the grand jury process and the role of local prosecutors in the indictment of officers in cases of police excessive use of force, fully ensuring the impartiality of indicting authorities or creating separate, independent, and specialized bodies to carry out these proceedings.</w:t>
      </w:r>
    </w:p>
    <w:p w14:paraId="35533FC6" w14:textId="77777777" w:rsidR="00E5383E" w:rsidRPr="00D920C9" w:rsidRDefault="000561DB" w:rsidP="00EC5191">
      <w:pPr>
        <w:pStyle w:val="ListParagraph"/>
        <w:numPr>
          <w:ilvl w:val="0"/>
          <w:numId w:val="39"/>
        </w:numPr>
        <w:spacing w:after="240" w:line="240" w:lineRule="auto"/>
        <w:ind w:left="1080" w:right="432" w:hanging="720"/>
        <w:contextualSpacing w:val="0"/>
        <w:jc w:val="both"/>
        <w:rPr>
          <w:rFonts w:asciiTheme="minorHAnsi" w:hAnsiTheme="minorHAnsi"/>
          <w:szCs w:val="20"/>
        </w:rPr>
      </w:pPr>
      <w:r w:rsidRPr="00D920C9">
        <w:rPr>
          <w:rFonts w:asciiTheme="minorHAnsi" w:hAnsiTheme="minorHAnsi"/>
          <w:szCs w:val="20"/>
        </w:rPr>
        <w:t xml:space="preserve">In order to ensure the non-repetition of police misconduct, brutality, and/or killings, consider the introduction of reforms at the local, state, and federal levels to ensure that when a criminal or civil judgment is rendered against a law enforcement officer or department, the department is effectively aware of the contents of the judgment and required to indemnify the </w:t>
      </w:r>
      <w:proofErr w:type="spellStart"/>
      <w:r w:rsidRPr="00D920C9">
        <w:rPr>
          <w:rFonts w:asciiTheme="minorHAnsi" w:hAnsiTheme="minorHAnsi"/>
          <w:szCs w:val="20"/>
        </w:rPr>
        <w:t>payor</w:t>
      </w:r>
      <w:proofErr w:type="spellEnd"/>
      <w:r w:rsidRPr="00D920C9">
        <w:rPr>
          <w:rFonts w:asciiTheme="minorHAnsi" w:hAnsiTheme="minorHAnsi"/>
          <w:szCs w:val="20"/>
        </w:rPr>
        <w:t xml:space="preserve"> party in any resulting judgment, in order to incentivize structural reforms within law enforcement departments and prevent patterns of abuses.</w:t>
      </w:r>
    </w:p>
    <w:p w14:paraId="55C25B48" w14:textId="77777777" w:rsidR="00E5383E" w:rsidRPr="00D920C9" w:rsidRDefault="00E5383E" w:rsidP="006E3DD1">
      <w:pPr>
        <w:pStyle w:val="Heading2"/>
        <w:ind w:left="547" w:hanging="547"/>
      </w:pPr>
      <w:bookmarkStart w:id="266" w:name="_Toc511903026"/>
      <w:bookmarkStart w:id="267" w:name="_Toc517687955"/>
      <w:r w:rsidRPr="00D920C9">
        <w:t>Recommendations regarding</w:t>
      </w:r>
      <w:r w:rsidR="00C252AC" w:rsidRPr="00D920C9">
        <w:t xml:space="preserve"> </w:t>
      </w:r>
      <w:r w:rsidR="003A6706" w:rsidRPr="00D920C9">
        <w:t xml:space="preserve">Access </w:t>
      </w:r>
      <w:r w:rsidR="00C252AC" w:rsidRPr="00D920C9">
        <w:t xml:space="preserve">to </w:t>
      </w:r>
      <w:r w:rsidR="003A6706" w:rsidRPr="00D920C9">
        <w:t xml:space="preserve">Justice </w:t>
      </w:r>
      <w:r w:rsidR="00C252AC" w:rsidRPr="00D920C9">
        <w:t>and</w:t>
      </w:r>
      <w:r w:rsidRPr="00D920C9">
        <w:t xml:space="preserve"> </w:t>
      </w:r>
      <w:r w:rsidR="003A6706" w:rsidRPr="00D920C9">
        <w:t>Reparations</w:t>
      </w:r>
      <w:bookmarkEnd w:id="266"/>
      <w:bookmarkEnd w:id="267"/>
    </w:p>
    <w:p w14:paraId="1C34B685" w14:textId="77777777" w:rsidR="00C252AC" w:rsidRPr="00D920C9" w:rsidRDefault="00C252AC" w:rsidP="00EC5191">
      <w:pPr>
        <w:pStyle w:val="ListParagraph"/>
        <w:numPr>
          <w:ilvl w:val="0"/>
          <w:numId w:val="39"/>
        </w:numPr>
        <w:spacing w:after="240" w:line="240" w:lineRule="auto"/>
        <w:ind w:left="1080" w:right="432" w:hanging="720"/>
        <w:contextualSpacing w:val="0"/>
        <w:jc w:val="both"/>
        <w:rPr>
          <w:rFonts w:asciiTheme="minorHAnsi" w:hAnsiTheme="minorHAnsi"/>
          <w:szCs w:val="20"/>
        </w:rPr>
      </w:pPr>
      <w:r w:rsidRPr="00D920C9">
        <w:rPr>
          <w:rFonts w:asciiTheme="minorHAnsi" w:hAnsiTheme="minorHAnsi"/>
          <w:szCs w:val="20"/>
        </w:rPr>
        <w:t xml:space="preserve">Ensure effective access to justice for African Americans and other communities of color, taking into account the material, economic, and juridical obstacles </w:t>
      </w:r>
      <w:r w:rsidR="00727CD8" w:rsidRPr="00D920C9">
        <w:rPr>
          <w:rFonts w:asciiTheme="minorHAnsi" w:hAnsiTheme="minorHAnsi"/>
          <w:szCs w:val="20"/>
        </w:rPr>
        <w:t>and systematic exclusion they face.</w:t>
      </w:r>
    </w:p>
    <w:p w14:paraId="2D4ACC3B" w14:textId="77777777" w:rsidR="006753A7" w:rsidRPr="00D920C9" w:rsidRDefault="006753A7" w:rsidP="00EC5191">
      <w:pPr>
        <w:pStyle w:val="ListParagraph"/>
        <w:numPr>
          <w:ilvl w:val="0"/>
          <w:numId w:val="39"/>
        </w:numPr>
        <w:spacing w:after="240" w:line="240" w:lineRule="auto"/>
        <w:ind w:left="1080" w:right="432" w:hanging="720"/>
        <w:contextualSpacing w:val="0"/>
        <w:jc w:val="both"/>
        <w:rPr>
          <w:rFonts w:asciiTheme="minorHAnsi" w:hAnsiTheme="minorHAnsi"/>
          <w:szCs w:val="20"/>
        </w:rPr>
      </w:pPr>
      <w:r w:rsidRPr="00D920C9">
        <w:rPr>
          <w:rFonts w:asciiTheme="minorHAnsi" w:hAnsiTheme="minorHAnsi"/>
          <w:szCs w:val="20"/>
        </w:rPr>
        <w:t>At the federal, state, and local levels, train justice operators (including judges, prosecutors, public defenders, and other judicial staff, as well as law enforcement officials) in human rights protection principles and norms, including in the areas of non-discrimination and access to justice.</w:t>
      </w:r>
    </w:p>
    <w:p w14:paraId="2989CAF4" w14:textId="77777777" w:rsidR="004B2CE1" w:rsidRPr="00D920C9" w:rsidRDefault="004B2CE1" w:rsidP="00EC5191">
      <w:pPr>
        <w:pStyle w:val="ListParagraph"/>
        <w:numPr>
          <w:ilvl w:val="0"/>
          <w:numId w:val="39"/>
        </w:numPr>
        <w:spacing w:after="240" w:line="240" w:lineRule="auto"/>
        <w:ind w:left="1080" w:right="432" w:hanging="720"/>
        <w:contextualSpacing w:val="0"/>
        <w:jc w:val="both"/>
        <w:rPr>
          <w:rFonts w:asciiTheme="minorHAnsi" w:hAnsiTheme="minorHAnsi"/>
          <w:szCs w:val="20"/>
        </w:rPr>
      </w:pPr>
      <w:r w:rsidRPr="00D920C9">
        <w:rPr>
          <w:rFonts w:asciiTheme="minorHAnsi" w:hAnsiTheme="minorHAnsi"/>
          <w:szCs w:val="20"/>
        </w:rPr>
        <w:t>Promote the observance of clearly defined codes of conduct and ethical norms, in line with international standards, by all public servants, in particular law enforcement officials and other justice operators, including prosecutors and judges.</w:t>
      </w:r>
    </w:p>
    <w:p w14:paraId="263BAC1D" w14:textId="77777777" w:rsidR="0017556C" w:rsidRPr="00D920C9" w:rsidRDefault="0017556C" w:rsidP="00EC5191">
      <w:pPr>
        <w:pStyle w:val="ListParagraph"/>
        <w:numPr>
          <w:ilvl w:val="0"/>
          <w:numId w:val="39"/>
        </w:numPr>
        <w:spacing w:after="240" w:line="240" w:lineRule="auto"/>
        <w:ind w:left="1080" w:right="432" w:hanging="720"/>
        <w:contextualSpacing w:val="0"/>
        <w:jc w:val="both"/>
        <w:rPr>
          <w:rFonts w:asciiTheme="minorHAnsi" w:hAnsiTheme="minorHAnsi"/>
          <w:szCs w:val="20"/>
        </w:rPr>
      </w:pPr>
      <w:r w:rsidRPr="00D920C9">
        <w:rPr>
          <w:rFonts w:asciiTheme="minorHAnsi" w:hAnsiTheme="minorHAnsi"/>
          <w:szCs w:val="20"/>
        </w:rPr>
        <w:t>At the state level, revise or repeal “Stand Your Ground” laws, and take other effective steps to eliminate racial bias in legal proceedings.</w:t>
      </w:r>
    </w:p>
    <w:p w14:paraId="5A469439" w14:textId="77777777" w:rsidR="00E5383E" w:rsidRPr="00D920C9" w:rsidRDefault="00E5383E" w:rsidP="00EC5191">
      <w:pPr>
        <w:pStyle w:val="ListParagraph"/>
        <w:numPr>
          <w:ilvl w:val="0"/>
          <w:numId w:val="39"/>
        </w:numPr>
        <w:spacing w:after="240" w:line="240" w:lineRule="auto"/>
        <w:ind w:left="1080" w:right="432" w:hanging="720"/>
        <w:contextualSpacing w:val="0"/>
        <w:jc w:val="both"/>
        <w:rPr>
          <w:rFonts w:asciiTheme="minorHAnsi" w:hAnsiTheme="minorHAnsi"/>
          <w:szCs w:val="20"/>
        </w:rPr>
      </w:pPr>
      <w:r w:rsidRPr="00D920C9">
        <w:rPr>
          <w:rFonts w:asciiTheme="minorHAnsi" w:hAnsiTheme="minorHAnsi"/>
          <w:szCs w:val="20"/>
        </w:rPr>
        <w:t xml:space="preserve">Ensure </w:t>
      </w:r>
      <w:r w:rsidR="00733ED6" w:rsidRPr="00D920C9">
        <w:rPr>
          <w:rFonts w:asciiTheme="minorHAnsi" w:hAnsiTheme="minorHAnsi"/>
          <w:szCs w:val="20"/>
        </w:rPr>
        <w:t>appropriate and prompt reparation for all victims of police conduct and their next of kin, in line with the principles laid out in the previous sections.</w:t>
      </w:r>
    </w:p>
    <w:p w14:paraId="60B137AE" w14:textId="77777777" w:rsidR="00727CD8" w:rsidRPr="00D920C9" w:rsidRDefault="00727CD8" w:rsidP="00EC5191">
      <w:pPr>
        <w:pStyle w:val="ListParagraph"/>
        <w:numPr>
          <w:ilvl w:val="0"/>
          <w:numId w:val="39"/>
        </w:numPr>
        <w:spacing w:after="240" w:line="240" w:lineRule="auto"/>
        <w:ind w:left="1080" w:right="432" w:hanging="720"/>
        <w:contextualSpacing w:val="0"/>
        <w:jc w:val="both"/>
        <w:rPr>
          <w:rFonts w:asciiTheme="minorHAnsi" w:hAnsiTheme="minorHAnsi"/>
          <w:szCs w:val="20"/>
        </w:rPr>
      </w:pPr>
      <w:r w:rsidRPr="00D920C9">
        <w:rPr>
          <w:rFonts w:asciiTheme="minorHAnsi" w:hAnsiTheme="minorHAnsi"/>
          <w:szCs w:val="20"/>
        </w:rPr>
        <w:lastRenderedPageBreak/>
        <w:t xml:space="preserve">Devote appropriate human and financial resources toward improving access to </w:t>
      </w:r>
      <w:r w:rsidR="009B7EE9" w:rsidRPr="00D920C9">
        <w:rPr>
          <w:rFonts w:asciiTheme="minorHAnsi" w:hAnsiTheme="minorHAnsi"/>
          <w:szCs w:val="20"/>
        </w:rPr>
        <w:t xml:space="preserve">quality </w:t>
      </w:r>
      <w:r w:rsidRPr="00D920C9">
        <w:rPr>
          <w:rFonts w:asciiTheme="minorHAnsi" w:hAnsiTheme="minorHAnsi"/>
          <w:szCs w:val="20"/>
        </w:rPr>
        <w:t xml:space="preserve">health care, housing, education, </w:t>
      </w:r>
      <w:r w:rsidR="009B7EE9" w:rsidRPr="00D920C9">
        <w:rPr>
          <w:rFonts w:asciiTheme="minorHAnsi" w:hAnsiTheme="minorHAnsi"/>
          <w:szCs w:val="20"/>
        </w:rPr>
        <w:t>and other rights for African Americans and other communities of color.</w:t>
      </w:r>
    </w:p>
    <w:p w14:paraId="09B1FA69" w14:textId="77777777" w:rsidR="00611B4F" w:rsidRPr="00D920C9" w:rsidRDefault="00733ED6" w:rsidP="00EC5191">
      <w:pPr>
        <w:pStyle w:val="ListParagraph"/>
        <w:numPr>
          <w:ilvl w:val="0"/>
          <w:numId w:val="39"/>
        </w:numPr>
        <w:spacing w:after="240" w:line="240" w:lineRule="auto"/>
        <w:ind w:left="1080" w:right="432" w:hanging="720"/>
        <w:contextualSpacing w:val="0"/>
        <w:jc w:val="both"/>
        <w:rPr>
          <w:rFonts w:asciiTheme="minorHAnsi" w:hAnsiTheme="minorHAnsi"/>
          <w:szCs w:val="20"/>
        </w:rPr>
      </w:pPr>
      <w:r w:rsidRPr="00D920C9">
        <w:rPr>
          <w:rFonts w:asciiTheme="minorHAnsi" w:hAnsiTheme="minorHAnsi"/>
          <w:szCs w:val="20"/>
        </w:rPr>
        <w:t>Undertake studies with the goal of creating guidelines for the reparation of historic and structural discrimination against African Americans and other historically marginalized groups.</w:t>
      </w:r>
    </w:p>
    <w:p w14:paraId="0BE04CB7" w14:textId="77777777" w:rsidR="00A927C5" w:rsidRPr="00D920C9" w:rsidRDefault="00733ED6" w:rsidP="00EC5191">
      <w:pPr>
        <w:pStyle w:val="ListParagraph"/>
        <w:numPr>
          <w:ilvl w:val="0"/>
          <w:numId w:val="39"/>
        </w:numPr>
        <w:spacing w:after="240" w:line="240" w:lineRule="auto"/>
        <w:ind w:left="1080" w:right="432" w:hanging="720"/>
        <w:contextualSpacing w:val="0"/>
        <w:jc w:val="both"/>
        <w:rPr>
          <w:rFonts w:asciiTheme="minorHAnsi" w:hAnsiTheme="minorHAnsi"/>
          <w:szCs w:val="20"/>
        </w:rPr>
      </w:pPr>
      <w:r w:rsidRPr="00D920C9">
        <w:rPr>
          <w:rFonts w:asciiTheme="minorHAnsi" w:hAnsiTheme="minorHAnsi"/>
          <w:szCs w:val="20"/>
        </w:rPr>
        <w:t xml:space="preserve">Provide appropriate reparation to those affected by the racially disparate impact of federal, state, and local laws and policies. </w:t>
      </w:r>
    </w:p>
    <w:sectPr w:rsidR="00A927C5" w:rsidRPr="00D920C9" w:rsidSect="001E4747">
      <w:headerReference w:type="default" r:id="rId38"/>
      <w:footerReference w:type="default" r:id="rId39"/>
      <w:type w:val="oddPage"/>
      <w:pgSz w:w="10080" w:h="14400" w:code="1"/>
      <w:pgMar w:top="1152" w:right="1152" w:bottom="1152" w:left="1296"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27F00E" w14:textId="77777777" w:rsidR="00BA1293" w:rsidRDefault="00BA1293" w:rsidP="00EF0E62">
      <w:pPr>
        <w:spacing w:after="0" w:line="240" w:lineRule="auto"/>
      </w:pPr>
      <w:r>
        <w:separator/>
      </w:r>
    </w:p>
  </w:endnote>
  <w:endnote w:type="continuationSeparator" w:id="0">
    <w:p w14:paraId="4D24E8AC" w14:textId="77777777" w:rsidR="00BA1293" w:rsidRDefault="00BA1293" w:rsidP="00EF0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TradeGothic">
    <w:altName w:val="Calibri"/>
    <w:panose1 w:val="00000000000000000000"/>
    <w:charset w:val="00"/>
    <w:family w:val="swiss"/>
    <w:notTrueType/>
    <w:pitch w:val="default"/>
    <w:sig w:usb0="00000003" w:usb1="00000000" w:usb2="00000000" w:usb3="00000000" w:csb0="00000001" w:csb1="00000000"/>
  </w:font>
  <w:font w:name="TradeGothic Light">
    <w:altName w:val="Cambria"/>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Gotham-Book">
    <w:panose1 w:val="00000000000000000000"/>
    <w:charset w:val="00"/>
    <w:family w:val="auto"/>
    <w:notTrueType/>
    <w:pitch w:val="default"/>
    <w:sig w:usb0="00000003" w:usb1="00000000" w:usb2="00000000" w:usb3="00000000" w:csb0="00000001" w:csb1="00000000"/>
  </w:font>
  <w:font w:name="TradeGothic-CondEighteen">
    <w:altName w:val="Cambria"/>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FA1A4" w14:textId="77777777" w:rsidR="005C2394" w:rsidRPr="00F700B7" w:rsidRDefault="005C2394" w:rsidP="00D91D6A">
    <w:pPr>
      <w:pStyle w:val="Footer"/>
      <w:spacing w:before="420"/>
      <w:rPr>
        <w:rFonts w:ascii="Calibri" w:hAnsi="Calibri"/>
        <w:color w:val="4A442A"/>
        <w:sz w:val="16"/>
        <w:szCs w:val="14"/>
      </w:rPr>
    </w:pPr>
    <w:r>
      <w:rPr>
        <w:rFonts w:ascii="Calibri" w:hAnsi="Calibri"/>
        <w:color w:val="4A442A"/>
        <w:sz w:val="16"/>
        <w:szCs w:val="14"/>
      </w:rPr>
      <w:t xml:space="preserve">Organization of American States </w:t>
    </w:r>
    <w:r w:rsidRPr="00BD573B">
      <w:rPr>
        <w:rFonts w:ascii="Calibri" w:hAnsi="Calibri"/>
        <w:color w:val="4A442A"/>
        <w:sz w:val="16"/>
        <w:szCs w:val="14"/>
      </w:rPr>
      <w:t xml:space="preserve">| </w:t>
    </w:r>
    <w:r>
      <w:rPr>
        <w:rFonts w:ascii="Calibri" w:hAnsi="Calibri"/>
        <w:b/>
        <w:color w:val="4A442A"/>
        <w:sz w:val="16"/>
        <w:szCs w:val="14"/>
      </w:rPr>
      <w:t>OAS</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E5300" w14:textId="7608CB51" w:rsidR="005C2394" w:rsidRPr="003F5BAC" w:rsidRDefault="005C2394" w:rsidP="003F5BAC">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21B16" w14:textId="77777777" w:rsidR="005C2394" w:rsidRPr="00D91D6A" w:rsidRDefault="005C2394" w:rsidP="00D91D6A">
    <w:pPr>
      <w:pStyle w:val="Footer"/>
      <w:spacing w:before="420"/>
      <w:jc w:val="right"/>
      <w:rPr>
        <w:rFonts w:asciiTheme="majorHAnsi" w:hAnsiTheme="majorHAnsi"/>
        <w:color w:val="4A442A" w:themeColor="background2" w:themeShade="40"/>
        <w:sz w:val="16"/>
        <w:szCs w:val="16"/>
      </w:rPr>
    </w:pPr>
    <w:r w:rsidRPr="00D91D6A">
      <w:rPr>
        <w:rFonts w:asciiTheme="majorHAnsi" w:hAnsiTheme="majorHAnsi"/>
        <w:color w:val="4A442A" w:themeColor="background2" w:themeShade="40"/>
        <w:sz w:val="16"/>
        <w:szCs w:val="16"/>
      </w:rPr>
      <w:t xml:space="preserve">Inter-American Commission on Human Rights | </w:t>
    </w:r>
    <w:r w:rsidRPr="00D91D6A">
      <w:rPr>
        <w:rFonts w:asciiTheme="majorHAnsi" w:hAnsiTheme="majorHAnsi"/>
        <w:b/>
        <w:color w:val="4A442A" w:themeColor="background2" w:themeShade="40"/>
        <w:sz w:val="16"/>
        <w:szCs w:val="16"/>
      </w:rPr>
      <w:t>IACHR</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F8285" w14:textId="2AA374CE" w:rsidR="005C2394" w:rsidRPr="00E027D0" w:rsidRDefault="005C2394" w:rsidP="00E027D0">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8F017" w14:textId="77777777" w:rsidR="005C2394" w:rsidRPr="00D91D6A" w:rsidRDefault="005C2394" w:rsidP="00D91D6A">
    <w:pPr>
      <w:pStyle w:val="Footer"/>
      <w:spacing w:before="420"/>
      <w:jc w:val="right"/>
      <w:rPr>
        <w:rFonts w:asciiTheme="majorHAnsi" w:hAnsiTheme="majorHAnsi"/>
        <w:color w:val="4A442A" w:themeColor="background2" w:themeShade="40"/>
        <w:sz w:val="16"/>
        <w:szCs w:val="16"/>
      </w:rPr>
    </w:pPr>
    <w:r w:rsidRPr="00D91D6A">
      <w:rPr>
        <w:rFonts w:asciiTheme="majorHAnsi" w:hAnsiTheme="majorHAnsi"/>
        <w:color w:val="4A442A" w:themeColor="background2" w:themeShade="40"/>
        <w:sz w:val="16"/>
        <w:szCs w:val="16"/>
      </w:rPr>
      <w:t xml:space="preserve">Inter-American Commission on Human Rights | </w:t>
    </w:r>
    <w:r w:rsidRPr="00D91D6A">
      <w:rPr>
        <w:rFonts w:asciiTheme="majorHAnsi" w:hAnsiTheme="majorHAnsi"/>
        <w:b/>
        <w:color w:val="4A442A" w:themeColor="background2" w:themeShade="40"/>
        <w:sz w:val="16"/>
        <w:szCs w:val="16"/>
      </w:rPr>
      <w:t>IACHR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4E9F0" w14:textId="51BD39C7" w:rsidR="005C2394" w:rsidRPr="005C2394" w:rsidRDefault="005C2394" w:rsidP="005C23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4221B" w14:textId="77777777" w:rsidR="005C2394" w:rsidRPr="00737B87" w:rsidRDefault="005C2394" w:rsidP="00A9013E">
    <w:pPr>
      <w:pStyle w:val="Footer"/>
      <w:spacing w:before="420"/>
      <w:jc w:val="right"/>
      <w:rPr>
        <w:rFonts w:ascii="Calibri" w:hAnsi="Calibri"/>
        <w:color w:val="4A442A"/>
        <w:sz w:val="16"/>
        <w:szCs w:val="14"/>
      </w:rPr>
    </w:pPr>
    <w:r w:rsidRPr="00737B87">
      <w:rPr>
        <w:rFonts w:ascii="Calibri" w:hAnsi="Calibri"/>
        <w:color w:val="4A442A"/>
        <w:sz w:val="16"/>
        <w:szCs w:val="14"/>
      </w:rPr>
      <w:t xml:space="preserve">Inter-American Commission on Human Rights | </w:t>
    </w:r>
    <w:r w:rsidRPr="00737B87">
      <w:rPr>
        <w:rFonts w:ascii="Calibri" w:hAnsi="Calibri"/>
        <w:b/>
        <w:color w:val="4A442A"/>
        <w:sz w:val="16"/>
        <w:szCs w:val="14"/>
      </w:rPr>
      <w:t>IACHR</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1D56F" w14:textId="77777777" w:rsidR="005C2394" w:rsidRPr="00F700B7" w:rsidRDefault="005C2394" w:rsidP="00D91D6A">
    <w:pPr>
      <w:pStyle w:val="Footer"/>
      <w:spacing w:before="420"/>
      <w:rPr>
        <w:rFonts w:ascii="Calibri" w:hAnsi="Calibri"/>
        <w:color w:val="4A442A"/>
        <w:sz w:val="16"/>
        <w:szCs w:val="14"/>
      </w:rPr>
    </w:pPr>
    <w:r>
      <w:rPr>
        <w:rFonts w:ascii="Calibri" w:hAnsi="Calibri"/>
        <w:color w:val="4A442A"/>
        <w:sz w:val="16"/>
        <w:szCs w:val="14"/>
      </w:rPr>
      <w:t xml:space="preserve">Organization of American States </w:t>
    </w:r>
    <w:r w:rsidRPr="00BD573B">
      <w:rPr>
        <w:rFonts w:ascii="Calibri" w:hAnsi="Calibri"/>
        <w:color w:val="4A442A"/>
        <w:sz w:val="16"/>
        <w:szCs w:val="14"/>
      </w:rPr>
      <w:t xml:space="preserve">| </w:t>
    </w:r>
    <w:r>
      <w:rPr>
        <w:rFonts w:ascii="Calibri" w:hAnsi="Calibri"/>
        <w:b/>
        <w:color w:val="4A442A"/>
        <w:sz w:val="16"/>
        <w:szCs w:val="14"/>
      </w:rPr>
      <w:t>OAS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0B5C5" w14:textId="77777777" w:rsidR="005C2394" w:rsidRDefault="005C2394" w:rsidP="00BC143C">
    <w:pPr>
      <w:pStyle w:val="Footer"/>
      <w:spacing w:before="420"/>
      <w:jc w:val="right"/>
      <w:rPr>
        <w:rFonts w:ascii="Calibri" w:hAnsi="Calibri"/>
        <w:color w:val="4A442A"/>
        <w:sz w:val="16"/>
        <w:szCs w:val="14"/>
      </w:rPr>
    </w:pPr>
    <w:r>
      <w:rPr>
        <w:rFonts w:ascii="Calibri" w:hAnsi="Calibri"/>
        <w:color w:val="4A442A"/>
        <w:sz w:val="16"/>
        <w:szCs w:val="14"/>
      </w:rPr>
      <w:t xml:space="preserve">Inter-American Commission on Human Rights | </w:t>
    </w:r>
    <w:r>
      <w:rPr>
        <w:rFonts w:ascii="Calibri" w:hAnsi="Calibri"/>
        <w:b/>
        <w:color w:val="4A442A"/>
        <w:sz w:val="16"/>
        <w:szCs w:val="14"/>
      </w:rPr>
      <w:t>IACHR</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A1724" w14:textId="4039769D" w:rsidR="005C2394" w:rsidRPr="003443D5" w:rsidRDefault="005C2394" w:rsidP="003443D5">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A1D2C" w14:textId="77777777" w:rsidR="005C2394" w:rsidRPr="00D91D6A" w:rsidRDefault="005C2394" w:rsidP="00D91D6A">
    <w:pPr>
      <w:pStyle w:val="Footer"/>
      <w:spacing w:before="420"/>
      <w:jc w:val="right"/>
      <w:rPr>
        <w:rFonts w:asciiTheme="majorHAnsi" w:hAnsiTheme="majorHAnsi"/>
        <w:color w:val="4A442A" w:themeColor="background2" w:themeShade="40"/>
        <w:sz w:val="16"/>
        <w:szCs w:val="16"/>
      </w:rPr>
    </w:pPr>
    <w:r w:rsidRPr="00D91D6A">
      <w:rPr>
        <w:rFonts w:asciiTheme="majorHAnsi" w:hAnsiTheme="majorHAnsi"/>
        <w:color w:val="4A442A" w:themeColor="background2" w:themeShade="40"/>
        <w:sz w:val="16"/>
        <w:szCs w:val="16"/>
      </w:rPr>
      <w:t xml:space="preserve">Inter-American Commission on Human Rights | </w:t>
    </w:r>
    <w:r w:rsidRPr="00D91D6A">
      <w:rPr>
        <w:rFonts w:asciiTheme="majorHAnsi" w:hAnsiTheme="majorHAnsi"/>
        <w:b/>
        <w:color w:val="4A442A" w:themeColor="background2" w:themeShade="40"/>
        <w:sz w:val="16"/>
        <w:szCs w:val="16"/>
      </w:rPr>
      <w:t>IACHR</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A64F6" w14:textId="2C808F2F" w:rsidR="005C2394" w:rsidRPr="00625D97" w:rsidRDefault="005C2394" w:rsidP="00625D97">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9A782" w14:textId="77777777" w:rsidR="005C2394" w:rsidRPr="00D91D6A" w:rsidRDefault="005C2394" w:rsidP="00D91D6A">
    <w:pPr>
      <w:pStyle w:val="Footer"/>
      <w:spacing w:before="420"/>
      <w:jc w:val="right"/>
      <w:rPr>
        <w:rFonts w:asciiTheme="majorHAnsi" w:hAnsiTheme="majorHAnsi"/>
        <w:color w:val="4A442A" w:themeColor="background2" w:themeShade="40"/>
        <w:sz w:val="16"/>
        <w:szCs w:val="16"/>
      </w:rPr>
    </w:pPr>
    <w:r w:rsidRPr="00D91D6A">
      <w:rPr>
        <w:rFonts w:asciiTheme="majorHAnsi" w:hAnsiTheme="majorHAnsi"/>
        <w:color w:val="4A442A" w:themeColor="background2" w:themeShade="40"/>
        <w:sz w:val="16"/>
        <w:szCs w:val="16"/>
      </w:rPr>
      <w:t xml:space="preserve">Inter-American Commission on Human Rights | </w:t>
    </w:r>
    <w:r w:rsidRPr="00D91D6A">
      <w:rPr>
        <w:rFonts w:asciiTheme="majorHAnsi" w:hAnsiTheme="majorHAnsi"/>
        <w:b/>
        <w:color w:val="4A442A" w:themeColor="background2" w:themeShade="40"/>
        <w:sz w:val="16"/>
        <w:szCs w:val="16"/>
      </w:rPr>
      <w:t>IACHR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9F867B" w14:textId="77777777" w:rsidR="00BA1293" w:rsidRPr="00823659" w:rsidRDefault="00BA1293" w:rsidP="007B6001">
      <w:pPr>
        <w:rPr>
          <w:color w:val="808080" w:themeColor="background1" w:themeShade="80"/>
          <w:sz w:val="14"/>
          <w:szCs w:val="14"/>
        </w:rPr>
      </w:pPr>
      <w:r w:rsidRPr="00823659">
        <w:rPr>
          <w:color w:val="808080" w:themeColor="background1" w:themeShade="80"/>
          <w:sz w:val="14"/>
          <w:szCs w:val="14"/>
        </w:rPr>
        <w:continuationSeparator/>
      </w:r>
    </w:p>
  </w:footnote>
  <w:footnote w:type="continuationSeparator" w:id="0">
    <w:p w14:paraId="5DAFCC1C" w14:textId="77777777" w:rsidR="00BA1293" w:rsidRPr="00823659" w:rsidRDefault="00BA1293" w:rsidP="007B6001">
      <w:pPr>
        <w:rPr>
          <w:color w:val="808080" w:themeColor="background1" w:themeShade="80"/>
          <w:sz w:val="14"/>
          <w:szCs w:val="14"/>
        </w:rPr>
      </w:pPr>
      <w:r w:rsidRPr="00823659">
        <w:rPr>
          <w:color w:val="808080" w:themeColor="background1" w:themeShade="80"/>
          <w:sz w:val="14"/>
          <w:szCs w:val="14"/>
        </w:rPr>
        <w:continuationSeparator/>
      </w:r>
    </w:p>
  </w:footnote>
  <w:footnote w:id="1">
    <w:p w14:paraId="2717F7A3" w14:textId="5B4E2B7E"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For ease of reading and accessibility, the Commission uses “African American,” “Black,” and “Afro-descendant” in this report virtually interchangeably, favoring the term “African American.” However, the Commission recognizes that whereas “African American” denotes nationality, “Black” (the preferred domestic term) and “Afro-descendant” (the preferred term in the Inter-American Human Rights System) refer more broadly to those individuals racialized as black in the United States and of African descent, respectively, irrespective of national origin. In this regard, the Commission recognizes that all individuals racialized as black in the U.S. may be targets of police violence in the U.S., regardless of nationality or country of origin (</w:t>
      </w:r>
      <w:r w:rsidRPr="001167CB">
        <w:rPr>
          <w:rFonts w:asciiTheme="majorHAnsi" w:hAnsiTheme="majorHAnsi" w:cstheme="majorHAnsi"/>
          <w:i/>
          <w:color w:val="808080" w:themeColor="background1" w:themeShade="80"/>
          <w:sz w:val="16"/>
          <w:szCs w:val="16"/>
        </w:rPr>
        <w:t>see</w:t>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i/>
          <w:color w:val="808080" w:themeColor="background1" w:themeShade="80"/>
          <w:sz w:val="16"/>
          <w:szCs w:val="16"/>
        </w:rPr>
        <w:t>e.g.</w:t>
      </w:r>
      <w:r w:rsidRPr="001167CB">
        <w:rPr>
          <w:rFonts w:asciiTheme="majorHAnsi" w:hAnsiTheme="majorHAnsi" w:cstheme="majorHAnsi"/>
          <w:color w:val="808080" w:themeColor="background1" w:themeShade="80"/>
          <w:sz w:val="16"/>
          <w:szCs w:val="16"/>
        </w:rPr>
        <w:t xml:space="preserve">, considerations in this report related to </w:t>
      </w:r>
      <w:proofErr w:type="spellStart"/>
      <w:r w:rsidRPr="001167CB">
        <w:rPr>
          <w:rFonts w:asciiTheme="majorHAnsi" w:hAnsiTheme="majorHAnsi" w:cstheme="majorHAnsi"/>
          <w:color w:val="808080" w:themeColor="background1" w:themeShade="80"/>
          <w:sz w:val="16"/>
          <w:szCs w:val="16"/>
        </w:rPr>
        <w:t>Tesfaie</w:t>
      </w:r>
      <w:proofErr w:type="spellEnd"/>
      <w:r w:rsidRPr="001167CB">
        <w:rPr>
          <w:rFonts w:asciiTheme="majorHAnsi" w:hAnsiTheme="majorHAnsi" w:cstheme="majorHAnsi"/>
          <w:color w:val="808080" w:themeColor="background1" w:themeShade="80"/>
          <w:sz w:val="16"/>
          <w:szCs w:val="16"/>
        </w:rPr>
        <w:t xml:space="preserve"> </w:t>
      </w:r>
      <w:proofErr w:type="spellStart"/>
      <w:r w:rsidRPr="001167CB">
        <w:rPr>
          <w:rFonts w:asciiTheme="majorHAnsi" w:hAnsiTheme="majorHAnsi" w:cstheme="majorHAnsi"/>
          <w:color w:val="808080" w:themeColor="background1" w:themeShade="80"/>
          <w:sz w:val="16"/>
          <w:szCs w:val="16"/>
        </w:rPr>
        <w:t>Mokuria</w:t>
      </w:r>
      <w:proofErr w:type="spellEnd"/>
      <w:r w:rsidRPr="001167CB">
        <w:rPr>
          <w:rFonts w:asciiTheme="majorHAnsi" w:hAnsiTheme="majorHAnsi" w:cstheme="majorHAnsi"/>
          <w:color w:val="808080" w:themeColor="background1" w:themeShade="80"/>
          <w:sz w:val="16"/>
          <w:szCs w:val="16"/>
        </w:rPr>
        <w:t xml:space="preserve"> and </w:t>
      </w:r>
      <w:proofErr w:type="spellStart"/>
      <w:r w:rsidRPr="001167CB">
        <w:rPr>
          <w:rFonts w:asciiTheme="majorHAnsi" w:hAnsiTheme="majorHAnsi" w:cstheme="majorHAnsi"/>
          <w:color w:val="808080" w:themeColor="background1" w:themeShade="80"/>
          <w:sz w:val="16"/>
          <w:szCs w:val="16"/>
        </w:rPr>
        <w:t>Amadou</w:t>
      </w:r>
      <w:proofErr w:type="spellEnd"/>
      <w:r w:rsidRPr="001167CB">
        <w:rPr>
          <w:rFonts w:asciiTheme="majorHAnsi" w:hAnsiTheme="majorHAnsi" w:cstheme="majorHAnsi"/>
          <w:color w:val="808080" w:themeColor="background1" w:themeShade="80"/>
          <w:sz w:val="16"/>
          <w:szCs w:val="16"/>
        </w:rPr>
        <w:t xml:space="preserve"> Diallo (</w:t>
      </w:r>
      <w:r w:rsidRPr="001167CB">
        <w:rPr>
          <w:rFonts w:asciiTheme="majorHAnsi" w:hAnsiTheme="majorHAnsi" w:cstheme="majorHAnsi"/>
          <w:i/>
          <w:color w:val="808080" w:themeColor="background1" w:themeShade="80"/>
          <w:sz w:val="16"/>
          <w:szCs w:val="16"/>
        </w:rPr>
        <w:t>infra</w:t>
      </w:r>
      <w:r w:rsidRPr="001167CB">
        <w:rPr>
          <w:rFonts w:asciiTheme="majorHAnsi" w:hAnsiTheme="majorHAnsi" w:cstheme="majorHAnsi"/>
          <w:color w:val="808080" w:themeColor="background1" w:themeShade="80"/>
          <w:sz w:val="16"/>
          <w:szCs w:val="16"/>
        </w:rPr>
        <w:t xml:space="preserve"> para. </w:t>
      </w:r>
      <w:r w:rsidRPr="001167CB">
        <w:rPr>
          <w:rFonts w:asciiTheme="majorHAnsi" w:hAnsiTheme="majorHAnsi" w:cstheme="majorHAnsi"/>
          <w:color w:val="808080" w:themeColor="background1" w:themeShade="80"/>
          <w:sz w:val="16"/>
          <w:szCs w:val="16"/>
        </w:rPr>
        <w:fldChar w:fldCharType="begin"/>
      </w:r>
      <w:r w:rsidRPr="001167CB">
        <w:rPr>
          <w:rFonts w:asciiTheme="majorHAnsi" w:hAnsiTheme="majorHAnsi" w:cstheme="majorHAnsi"/>
          <w:color w:val="808080" w:themeColor="background1" w:themeShade="80"/>
          <w:sz w:val="16"/>
          <w:szCs w:val="16"/>
        </w:rPr>
        <w:instrText xml:space="preserve"> REF _Ref507077640 \r \h  \* MERGEFORMAT </w:instrText>
      </w:r>
      <w:r w:rsidRPr="001167CB">
        <w:rPr>
          <w:rFonts w:asciiTheme="majorHAnsi" w:hAnsiTheme="majorHAnsi" w:cstheme="majorHAnsi"/>
          <w:color w:val="808080" w:themeColor="background1" w:themeShade="80"/>
          <w:sz w:val="16"/>
          <w:szCs w:val="16"/>
        </w:rPr>
      </w:r>
      <w:r w:rsidRPr="001167CB">
        <w:rPr>
          <w:rFonts w:asciiTheme="majorHAnsi" w:hAnsiTheme="majorHAnsi" w:cstheme="majorHAnsi"/>
          <w:color w:val="808080" w:themeColor="background1" w:themeShade="80"/>
          <w:sz w:val="16"/>
          <w:szCs w:val="16"/>
        </w:rPr>
        <w:fldChar w:fldCharType="separate"/>
      </w:r>
      <w:r w:rsidRPr="001167CB">
        <w:rPr>
          <w:rFonts w:asciiTheme="majorHAnsi" w:hAnsiTheme="majorHAnsi" w:cstheme="majorHAnsi"/>
          <w:color w:val="808080" w:themeColor="background1" w:themeShade="80"/>
          <w:sz w:val="16"/>
          <w:szCs w:val="16"/>
        </w:rPr>
        <w:t>93</w:t>
      </w:r>
      <w:r w:rsidRPr="001167CB">
        <w:rPr>
          <w:rFonts w:asciiTheme="majorHAnsi" w:hAnsiTheme="majorHAnsi" w:cstheme="majorHAnsi"/>
          <w:color w:val="808080" w:themeColor="background1" w:themeShade="80"/>
          <w:sz w:val="16"/>
          <w:szCs w:val="16"/>
        </w:rPr>
        <w:fldChar w:fldCharType="end"/>
      </w:r>
      <w:r w:rsidRPr="001167CB">
        <w:rPr>
          <w:rFonts w:asciiTheme="majorHAnsi" w:hAnsiTheme="majorHAnsi" w:cstheme="majorHAnsi"/>
          <w:color w:val="808080" w:themeColor="background1" w:themeShade="80"/>
          <w:sz w:val="16"/>
          <w:szCs w:val="16"/>
        </w:rPr>
        <w:t>), immigrants from Ethiopia and Guinea, respectively), and the report should be read in this sense.</w:t>
      </w:r>
    </w:p>
  </w:footnote>
  <w:footnote w:id="2">
    <w:p w14:paraId="5D83F1CB" w14:textId="5BFDC95B" w:rsidR="005C2394" w:rsidRPr="001167CB" w:rsidRDefault="005C2394" w:rsidP="002C64F8">
      <w:pPr>
        <w:pStyle w:val="HTMLPreformatted"/>
        <w:shd w:val="clear" w:color="auto" w:fill="FFFFFF"/>
        <w:spacing w:after="40"/>
        <w:ind w:left="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The Commission uses the term “race” throughout this report to refer to the justification for different kinds of violence and   discrimination that affect disproportionately afro-descendent persons in the United States, in line with Article 1.1 of the American Convention </w:t>
      </w:r>
      <w:proofErr w:type="spellStart"/>
      <w:r w:rsidRPr="001167CB">
        <w:rPr>
          <w:rFonts w:asciiTheme="majorHAnsi" w:hAnsiTheme="majorHAnsi" w:cstheme="majorHAnsi"/>
          <w:color w:val="808080" w:themeColor="background1" w:themeShade="80"/>
          <w:sz w:val="16"/>
          <w:szCs w:val="16"/>
        </w:rPr>
        <w:t>o</w:t>
      </w:r>
      <w:proofErr w:type="spellEnd"/>
      <w:r w:rsidRPr="001167CB">
        <w:rPr>
          <w:rFonts w:asciiTheme="majorHAnsi" w:hAnsiTheme="majorHAnsi" w:cstheme="majorHAnsi"/>
          <w:color w:val="808080" w:themeColor="background1" w:themeShade="80"/>
          <w:sz w:val="16"/>
          <w:szCs w:val="16"/>
        </w:rPr>
        <w:t xml:space="preserve"> Human Rights. </w:t>
      </w:r>
      <w:r w:rsidRPr="001167CB">
        <w:rPr>
          <w:rFonts w:asciiTheme="majorHAnsi" w:eastAsia="Arial Unicode MS" w:hAnsiTheme="majorHAnsi" w:cstheme="majorHAnsi"/>
          <w:color w:val="808080" w:themeColor="background1" w:themeShade="80"/>
          <w:sz w:val="16"/>
          <w:szCs w:val="16"/>
        </w:rPr>
        <w:t xml:space="preserve"> </w:t>
      </w:r>
    </w:p>
  </w:footnote>
  <w:footnote w:id="3">
    <w:p w14:paraId="29DFE0D3"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The Commission recognizes that African Americans are not the only group in the United States disproportionately affected by police excessive use of force, or the only group in the U.S. affected by structural racial discrimination. This report focuses specifically on African Americans and the discrimination they face; however, reference is made as relevant to other groups affected by the excessive use of force, including Native Americans, Hispanics, and others.</w:t>
      </w:r>
    </w:p>
  </w:footnote>
  <w:footnote w:id="4">
    <w:p w14:paraId="0CC0BD98"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IACHR, 150th Period of Sessions, Thematic Hearing: Self-defense laws (Stand Your Ground) and their impact on minorities in the United States, Oct. 27, 2014. Video of hearing available at: </w:t>
      </w:r>
      <w:hyperlink r:id="rId1" w:history="1">
        <w:r w:rsidRPr="001167CB">
          <w:rPr>
            <w:rStyle w:val="Hyperlink"/>
            <w:rFonts w:asciiTheme="majorHAnsi" w:hAnsiTheme="majorHAnsi" w:cstheme="majorHAnsi"/>
            <w:color w:val="808080" w:themeColor="background1" w:themeShade="80"/>
            <w:sz w:val="16"/>
            <w:szCs w:val="16"/>
          </w:rPr>
          <w:t>https://www.youtube.com/watch?v=X0EV8Rbpg2s</w:t>
        </w:r>
      </w:hyperlink>
      <w:r w:rsidRPr="001167CB">
        <w:rPr>
          <w:rFonts w:asciiTheme="majorHAnsi" w:hAnsiTheme="majorHAnsi" w:cstheme="majorHAnsi"/>
          <w:color w:val="808080" w:themeColor="background1" w:themeShade="80"/>
          <w:sz w:val="16"/>
          <w:szCs w:val="16"/>
        </w:rPr>
        <w:t xml:space="preserve"> [hereinafter “‘Stand Your Ground’ Laws Hearing”]. The hearing was requested by the Community Justice Project, Florida Legal Services, The Dream Defenders, University of Miami School of Law Human Rights Clinic, National Association for the Advancement of Colored People (NAACP), and the Free Marissa Now Mobilization Campaign. The State was represented by U.S. Mission to the OAS and the Department of State.</w:t>
      </w:r>
    </w:p>
  </w:footnote>
  <w:footnote w:id="5">
    <w:p w14:paraId="593639DF"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IACHR, 153d Period of Sessions, Thematic Hearing: Racism in the Justice System in the United States, Oct. 27, 2014. Video of hearing available at: </w:t>
      </w:r>
      <w:hyperlink r:id="rId2" w:history="1">
        <w:r w:rsidRPr="001167CB">
          <w:rPr>
            <w:rStyle w:val="Hyperlink"/>
            <w:rFonts w:asciiTheme="majorHAnsi" w:hAnsiTheme="majorHAnsi" w:cstheme="majorHAnsi"/>
            <w:color w:val="808080" w:themeColor="background1" w:themeShade="80"/>
            <w:sz w:val="16"/>
            <w:szCs w:val="16"/>
          </w:rPr>
          <w:t>https://www.youtube.com/watch?v=ieGOtPqlHLM&amp;feature=youtu.be</w:t>
        </w:r>
      </w:hyperlink>
      <w:r w:rsidRPr="001167CB">
        <w:rPr>
          <w:rFonts w:asciiTheme="majorHAnsi" w:hAnsiTheme="majorHAnsi" w:cstheme="majorHAnsi"/>
          <w:color w:val="808080" w:themeColor="background1" w:themeShade="80"/>
          <w:sz w:val="16"/>
          <w:szCs w:val="16"/>
        </w:rPr>
        <w:t xml:space="preserve"> [hereinafter “Racism in the Justice System Hearing”]. Representatives from the Lawyers’ Committee for Civil Rights </w:t>
      </w:r>
      <w:proofErr w:type="gramStart"/>
      <w:r w:rsidRPr="001167CB">
        <w:rPr>
          <w:rFonts w:asciiTheme="majorHAnsi" w:hAnsiTheme="majorHAnsi" w:cstheme="majorHAnsi"/>
          <w:color w:val="808080" w:themeColor="background1" w:themeShade="80"/>
          <w:sz w:val="16"/>
          <w:szCs w:val="16"/>
        </w:rPr>
        <w:t>Under</w:t>
      </w:r>
      <w:proofErr w:type="gramEnd"/>
      <w:r w:rsidRPr="001167CB">
        <w:rPr>
          <w:rFonts w:asciiTheme="majorHAnsi" w:hAnsiTheme="majorHAnsi" w:cstheme="majorHAnsi"/>
          <w:color w:val="808080" w:themeColor="background1" w:themeShade="80"/>
          <w:sz w:val="16"/>
          <w:szCs w:val="16"/>
        </w:rPr>
        <w:t xml:space="preserve"> Law, the NAACP Washington Bureau, Brennan Center for Justice, American Bar Association, and ACLU of Michigan attended the hearing. For the State, the U.S. Mission to the OAS, the Assistant U.S. Attorney for the Southern District of Ohio (Department of Justice), the Office of the Legal Advisor for Western Hemisphere Affairs (Department of State), and the Office of the Legal Advisor for Human Rights and Refugees (Department of State) attended.</w:t>
      </w:r>
    </w:p>
  </w:footnote>
  <w:footnote w:id="6">
    <w:p w14:paraId="10570F0F"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IACHR, 154th Period of Sessions, Thematic Hearing: Criminal Justice and Race in the United States, Mar. 16, 2015. Video of hearing available at: </w:t>
      </w:r>
      <w:hyperlink r:id="rId3" w:history="1">
        <w:r w:rsidRPr="001167CB">
          <w:rPr>
            <w:rStyle w:val="Hyperlink"/>
            <w:rFonts w:asciiTheme="majorHAnsi" w:hAnsiTheme="majorHAnsi" w:cstheme="majorHAnsi"/>
            <w:color w:val="808080" w:themeColor="background1" w:themeShade="80"/>
            <w:sz w:val="16"/>
            <w:szCs w:val="16"/>
          </w:rPr>
          <w:t>https://www.youtube.com/watch?v=j_OIkzDAaxA</w:t>
        </w:r>
      </w:hyperlink>
      <w:r w:rsidRPr="001167CB">
        <w:rPr>
          <w:rFonts w:asciiTheme="majorHAnsi" w:hAnsiTheme="majorHAnsi" w:cstheme="majorHAnsi"/>
          <w:color w:val="808080" w:themeColor="background1" w:themeShade="80"/>
          <w:sz w:val="16"/>
          <w:szCs w:val="16"/>
        </w:rPr>
        <w:t xml:space="preserve"> [hereinafter “Criminal Justice and Race Hearing”]. </w:t>
      </w:r>
      <w:r w:rsidRPr="001167CB">
        <w:rPr>
          <w:rFonts w:asciiTheme="majorHAnsi" w:hAnsiTheme="majorHAnsi" w:cstheme="majorHAnsi"/>
          <w:i/>
          <w:color w:val="808080" w:themeColor="background1" w:themeShade="80"/>
          <w:sz w:val="16"/>
          <w:szCs w:val="16"/>
        </w:rPr>
        <w:t>See also</w:t>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lang w:val="en-GB"/>
        </w:rPr>
        <w:t xml:space="preserve">IACHR, Press Release No. 035/2015, </w:t>
      </w:r>
      <w:hyperlink r:id="rId4" w:history="1">
        <w:r w:rsidRPr="001167CB">
          <w:rPr>
            <w:rStyle w:val="Hyperlink"/>
            <w:rFonts w:asciiTheme="majorHAnsi" w:hAnsiTheme="majorHAnsi" w:cstheme="majorHAnsi"/>
            <w:color w:val="808080" w:themeColor="background1" w:themeShade="80"/>
            <w:sz w:val="16"/>
            <w:szCs w:val="16"/>
            <w:lang w:val="en-GB"/>
          </w:rPr>
          <w:t>IACHR Wraps Up its 154th Session</w:t>
        </w:r>
      </w:hyperlink>
      <w:r w:rsidRPr="001167CB">
        <w:rPr>
          <w:rFonts w:asciiTheme="majorHAnsi" w:hAnsiTheme="majorHAnsi" w:cstheme="majorHAnsi"/>
          <w:color w:val="808080" w:themeColor="background1" w:themeShade="80"/>
          <w:sz w:val="16"/>
          <w:szCs w:val="16"/>
          <w:lang w:val="en-GB"/>
        </w:rPr>
        <w:t xml:space="preserve">, </w:t>
      </w:r>
      <w:r w:rsidRPr="001167CB">
        <w:rPr>
          <w:rFonts w:asciiTheme="majorHAnsi" w:hAnsiTheme="majorHAnsi" w:cstheme="majorHAnsi"/>
          <w:color w:val="808080" w:themeColor="background1" w:themeShade="80"/>
          <w:sz w:val="16"/>
          <w:szCs w:val="16"/>
        </w:rPr>
        <w:t xml:space="preserve">Mar. </w:t>
      </w:r>
      <w:r w:rsidRPr="001167CB">
        <w:rPr>
          <w:rFonts w:asciiTheme="majorHAnsi" w:hAnsiTheme="majorHAnsi" w:cstheme="majorHAnsi"/>
          <w:color w:val="808080" w:themeColor="background1" w:themeShade="80"/>
          <w:sz w:val="16"/>
          <w:szCs w:val="16"/>
          <w:lang w:val="en-GB"/>
        </w:rPr>
        <w:t xml:space="preserve">27, 2015. The hearing was attended by the Lawyers’ Committee for Civil Rights </w:t>
      </w:r>
      <w:proofErr w:type="gramStart"/>
      <w:r w:rsidRPr="001167CB">
        <w:rPr>
          <w:rFonts w:asciiTheme="majorHAnsi" w:hAnsiTheme="majorHAnsi" w:cstheme="majorHAnsi"/>
          <w:color w:val="808080" w:themeColor="background1" w:themeShade="80"/>
          <w:sz w:val="16"/>
          <w:szCs w:val="16"/>
          <w:lang w:val="en-GB"/>
        </w:rPr>
        <w:t>Under</w:t>
      </w:r>
      <w:proofErr w:type="gramEnd"/>
      <w:r w:rsidRPr="001167CB">
        <w:rPr>
          <w:rFonts w:asciiTheme="majorHAnsi" w:hAnsiTheme="majorHAnsi" w:cstheme="majorHAnsi"/>
          <w:color w:val="808080" w:themeColor="background1" w:themeShade="80"/>
          <w:sz w:val="16"/>
          <w:szCs w:val="16"/>
          <w:lang w:val="en-GB"/>
        </w:rPr>
        <w:t xml:space="preserve"> Law, the </w:t>
      </w:r>
      <w:proofErr w:type="spellStart"/>
      <w:r w:rsidRPr="001167CB">
        <w:rPr>
          <w:rFonts w:asciiTheme="majorHAnsi" w:hAnsiTheme="majorHAnsi" w:cstheme="majorHAnsi"/>
          <w:color w:val="808080" w:themeColor="background1" w:themeShade="80"/>
          <w:sz w:val="16"/>
          <w:szCs w:val="16"/>
          <w:lang w:val="en-GB"/>
        </w:rPr>
        <w:t>Center</w:t>
      </w:r>
      <w:proofErr w:type="spellEnd"/>
      <w:r w:rsidRPr="001167CB">
        <w:rPr>
          <w:rFonts w:asciiTheme="majorHAnsi" w:hAnsiTheme="majorHAnsi" w:cstheme="majorHAnsi"/>
          <w:color w:val="808080" w:themeColor="background1" w:themeShade="80"/>
          <w:sz w:val="16"/>
          <w:szCs w:val="16"/>
          <w:lang w:val="en-GB"/>
        </w:rPr>
        <w:t xml:space="preserve"> for Constitutional Rights, and the ACLU. For the State, the U.S. Mission to the OAS, Department of State, Department of Justice, Department of </w:t>
      </w:r>
      <w:proofErr w:type="spellStart"/>
      <w:r w:rsidRPr="001167CB">
        <w:rPr>
          <w:rFonts w:asciiTheme="majorHAnsi" w:hAnsiTheme="majorHAnsi" w:cstheme="majorHAnsi"/>
          <w:color w:val="808080" w:themeColor="background1" w:themeShade="80"/>
          <w:sz w:val="16"/>
          <w:szCs w:val="16"/>
          <w:lang w:val="en-GB"/>
        </w:rPr>
        <w:t>Labor</w:t>
      </w:r>
      <w:proofErr w:type="spellEnd"/>
      <w:r w:rsidRPr="001167CB">
        <w:rPr>
          <w:rFonts w:asciiTheme="majorHAnsi" w:hAnsiTheme="majorHAnsi" w:cstheme="majorHAnsi"/>
          <w:color w:val="808080" w:themeColor="background1" w:themeShade="80"/>
          <w:sz w:val="16"/>
          <w:szCs w:val="16"/>
          <w:lang w:val="en-GB"/>
        </w:rPr>
        <w:t>, and U.S. Equal Employment Opportunity Commission (EEOC) attended.</w:t>
      </w:r>
    </w:p>
  </w:footnote>
  <w:footnote w:id="7">
    <w:p w14:paraId="76E96D44"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IACHR, 156th Period of Sessions, Thematic Hearing: Reports of Excessive Use of Force by the Police against People of African Descent in the United States, Oct. 23, 2015. Video of hearing available at: </w:t>
      </w:r>
      <w:hyperlink r:id="rId5" w:tgtFrame="_blank" w:history="1">
        <w:r w:rsidRPr="001167CB">
          <w:rPr>
            <w:rStyle w:val="Hyperlink"/>
            <w:rFonts w:asciiTheme="majorHAnsi" w:hAnsiTheme="majorHAnsi" w:cstheme="majorHAnsi"/>
            <w:color w:val="808080" w:themeColor="background1" w:themeShade="80"/>
            <w:sz w:val="16"/>
            <w:szCs w:val="16"/>
          </w:rPr>
          <w:t>https://www.youtube.com/watch?v=c_ZLnaWeXCk</w:t>
        </w:r>
      </w:hyperlink>
      <w:r w:rsidRPr="001167CB">
        <w:rPr>
          <w:rFonts w:asciiTheme="majorHAnsi" w:hAnsiTheme="majorHAnsi" w:cstheme="majorHAnsi"/>
          <w:color w:val="808080" w:themeColor="background1" w:themeShade="80"/>
          <w:sz w:val="16"/>
          <w:szCs w:val="16"/>
        </w:rPr>
        <w:t xml:space="preserve"> [hereinafter “Police Killings Hearing”]. </w:t>
      </w:r>
      <w:r w:rsidRPr="001167CB">
        <w:rPr>
          <w:rFonts w:asciiTheme="majorHAnsi" w:hAnsiTheme="majorHAnsi" w:cstheme="majorHAnsi"/>
          <w:i/>
          <w:color w:val="808080" w:themeColor="background1" w:themeShade="80"/>
          <w:sz w:val="16"/>
          <w:szCs w:val="16"/>
        </w:rPr>
        <w:t>See also</w:t>
      </w:r>
      <w:r w:rsidRPr="001167CB">
        <w:rPr>
          <w:rFonts w:asciiTheme="majorHAnsi" w:hAnsiTheme="majorHAnsi" w:cstheme="majorHAnsi"/>
          <w:color w:val="808080" w:themeColor="background1" w:themeShade="80"/>
          <w:sz w:val="16"/>
          <w:szCs w:val="16"/>
        </w:rPr>
        <w:t xml:space="preserve"> IACHR, Press Release No. 120/15, </w:t>
      </w:r>
      <w:hyperlink r:id="rId6" w:history="1">
        <w:r w:rsidRPr="001167CB">
          <w:rPr>
            <w:rStyle w:val="Hyperlink"/>
            <w:rFonts w:asciiTheme="majorHAnsi" w:hAnsiTheme="majorHAnsi" w:cstheme="majorHAnsi"/>
            <w:color w:val="808080" w:themeColor="background1" w:themeShade="80"/>
            <w:sz w:val="16"/>
            <w:szCs w:val="16"/>
          </w:rPr>
          <w:t>IACHR Wraps Up its 156th Session</w:t>
        </w:r>
      </w:hyperlink>
      <w:r w:rsidRPr="001167CB">
        <w:rPr>
          <w:rFonts w:asciiTheme="majorHAnsi" w:hAnsiTheme="majorHAnsi" w:cstheme="majorHAnsi"/>
          <w:color w:val="808080" w:themeColor="background1" w:themeShade="80"/>
          <w:sz w:val="16"/>
          <w:szCs w:val="16"/>
        </w:rPr>
        <w:t xml:space="preserve">, Oct. 28, 2015. The hearing was requested by the Robert F. Kennedy Center for </w:t>
      </w:r>
      <w:proofErr w:type="gramStart"/>
      <w:r w:rsidRPr="001167CB">
        <w:rPr>
          <w:rFonts w:asciiTheme="majorHAnsi" w:hAnsiTheme="majorHAnsi" w:cstheme="majorHAnsi"/>
          <w:color w:val="808080" w:themeColor="background1" w:themeShade="80"/>
          <w:sz w:val="16"/>
          <w:szCs w:val="16"/>
        </w:rPr>
        <w:t>Justice &amp;</w:t>
      </w:r>
      <w:proofErr w:type="gramEnd"/>
      <w:r w:rsidRPr="001167CB">
        <w:rPr>
          <w:rFonts w:asciiTheme="majorHAnsi" w:hAnsiTheme="majorHAnsi" w:cstheme="majorHAnsi"/>
          <w:color w:val="808080" w:themeColor="background1" w:themeShade="80"/>
          <w:sz w:val="16"/>
          <w:szCs w:val="16"/>
        </w:rPr>
        <w:t xml:space="preserve"> Human Rights (RFK Human Rights), </w:t>
      </w:r>
      <w:proofErr w:type="spellStart"/>
      <w:r w:rsidRPr="001167CB">
        <w:rPr>
          <w:rFonts w:asciiTheme="majorHAnsi" w:hAnsiTheme="majorHAnsi" w:cstheme="majorHAnsi"/>
          <w:color w:val="808080" w:themeColor="background1" w:themeShade="80"/>
          <w:sz w:val="16"/>
          <w:szCs w:val="16"/>
        </w:rPr>
        <w:t>Rekia’s</w:t>
      </w:r>
      <w:proofErr w:type="spellEnd"/>
      <w:r w:rsidRPr="001167CB">
        <w:rPr>
          <w:rFonts w:asciiTheme="majorHAnsi" w:hAnsiTheme="majorHAnsi" w:cstheme="majorHAnsi"/>
          <w:color w:val="808080" w:themeColor="background1" w:themeShade="80"/>
          <w:sz w:val="16"/>
          <w:szCs w:val="16"/>
        </w:rPr>
        <w:t xml:space="preserve"> Haven, Mothers Against Police Brutality, and Saint Louis University School of Law. For the State, the U.S. Mission to the OAS, Department of State, and DOJ attended.</w:t>
      </w:r>
    </w:p>
  </w:footnote>
  <w:footnote w:id="8">
    <w:p w14:paraId="7411BA18"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IACHR, 166th Period of Sessions, Thematic Hearing: Reports of Impunity for Extrajudicial Killings in the United States, Dec. 7, 2017. Video of hearing available at: </w:t>
      </w:r>
      <w:hyperlink r:id="rId7" w:history="1">
        <w:r w:rsidRPr="001167CB">
          <w:rPr>
            <w:rStyle w:val="Hyperlink"/>
            <w:rFonts w:asciiTheme="majorHAnsi" w:hAnsiTheme="majorHAnsi" w:cstheme="majorHAnsi"/>
            <w:color w:val="808080" w:themeColor="background1" w:themeShade="80"/>
            <w:sz w:val="16"/>
            <w:szCs w:val="16"/>
          </w:rPr>
          <w:t>https://www.youtube.com/watch?v=U5SvLoYX71M</w:t>
        </w:r>
      </w:hyperlink>
      <w:r w:rsidRPr="001167CB">
        <w:rPr>
          <w:rFonts w:asciiTheme="majorHAnsi" w:hAnsiTheme="majorHAnsi" w:cstheme="majorHAnsi"/>
          <w:color w:val="808080" w:themeColor="background1" w:themeShade="80"/>
          <w:sz w:val="16"/>
          <w:szCs w:val="16"/>
        </w:rPr>
        <w:t>. [</w:t>
      </w:r>
      <w:proofErr w:type="gramStart"/>
      <w:r w:rsidRPr="001167CB">
        <w:rPr>
          <w:rFonts w:asciiTheme="majorHAnsi" w:hAnsiTheme="majorHAnsi" w:cstheme="majorHAnsi"/>
          <w:color w:val="808080" w:themeColor="background1" w:themeShade="80"/>
          <w:sz w:val="16"/>
          <w:szCs w:val="16"/>
        </w:rPr>
        <w:t>hereinafter</w:t>
      </w:r>
      <w:proofErr w:type="gramEnd"/>
      <w:r w:rsidRPr="001167CB">
        <w:rPr>
          <w:rFonts w:asciiTheme="majorHAnsi" w:hAnsiTheme="majorHAnsi" w:cstheme="majorHAnsi"/>
          <w:color w:val="808080" w:themeColor="background1" w:themeShade="80"/>
          <w:sz w:val="16"/>
          <w:szCs w:val="16"/>
        </w:rPr>
        <w:t xml:space="preserve"> “Impunity for Police Killings Hearing”]. The hearing was requested by the Santa Clara University School of Law International Human Rights Clinic, RFK Human Rights, and the ACLU. For the State, the U.S. Mission to the OAS and the Department of State attended.</w:t>
      </w:r>
    </w:p>
  </w:footnote>
  <w:footnote w:id="9">
    <w:p w14:paraId="671D163D"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i/>
          <w:color w:val="808080" w:themeColor="background1" w:themeShade="80"/>
          <w:sz w:val="16"/>
          <w:szCs w:val="16"/>
        </w:rPr>
        <w:t>See generally</w:t>
      </w:r>
      <w:r w:rsidRPr="001167CB">
        <w:rPr>
          <w:rFonts w:asciiTheme="majorHAnsi" w:hAnsiTheme="majorHAnsi" w:cstheme="majorHAnsi"/>
          <w:color w:val="808080" w:themeColor="background1" w:themeShade="80"/>
          <w:sz w:val="16"/>
          <w:szCs w:val="16"/>
        </w:rPr>
        <w:t xml:space="preserve"> IACHR, Press Release No. 118/15, </w:t>
      </w:r>
      <w:hyperlink r:id="rId8" w:history="1">
        <w:r w:rsidRPr="001167CB">
          <w:rPr>
            <w:rStyle w:val="Hyperlink"/>
            <w:rFonts w:asciiTheme="majorHAnsi" w:hAnsiTheme="majorHAnsi" w:cstheme="majorHAnsi"/>
            <w:color w:val="808080" w:themeColor="background1" w:themeShade="80"/>
            <w:sz w:val="16"/>
            <w:szCs w:val="16"/>
          </w:rPr>
          <w:t>IACHR Concludes Visit to Florida, Louisiana and Missouri, United States</w:t>
        </w:r>
      </w:hyperlink>
      <w:r w:rsidRPr="001167CB">
        <w:rPr>
          <w:rFonts w:asciiTheme="majorHAnsi" w:hAnsiTheme="majorHAnsi" w:cstheme="majorHAnsi"/>
          <w:color w:val="808080" w:themeColor="background1" w:themeShade="80"/>
          <w:sz w:val="16"/>
          <w:szCs w:val="16"/>
        </w:rPr>
        <w:t xml:space="preserve">, Oct. 16, 2015 [hereinafter “On-Site Visit Press Release”]. </w:t>
      </w:r>
      <w:r w:rsidRPr="001167CB">
        <w:rPr>
          <w:rFonts w:asciiTheme="majorHAnsi" w:hAnsiTheme="majorHAnsi" w:cstheme="majorHAnsi"/>
          <w:i/>
          <w:color w:val="808080" w:themeColor="background1" w:themeShade="80"/>
          <w:sz w:val="16"/>
          <w:szCs w:val="16"/>
        </w:rPr>
        <w:t xml:space="preserve">See also </w:t>
      </w:r>
      <w:r w:rsidRPr="001167CB">
        <w:rPr>
          <w:rFonts w:asciiTheme="majorHAnsi" w:hAnsiTheme="majorHAnsi" w:cstheme="majorHAnsi"/>
          <w:color w:val="808080" w:themeColor="background1" w:themeShade="80"/>
          <w:sz w:val="16"/>
          <w:szCs w:val="16"/>
        </w:rPr>
        <w:t xml:space="preserve">IACHR, </w:t>
      </w:r>
      <w:hyperlink r:id="rId9" w:history="1">
        <w:r w:rsidRPr="001167CB">
          <w:rPr>
            <w:rStyle w:val="Hyperlink"/>
            <w:rFonts w:asciiTheme="majorHAnsi" w:hAnsiTheme="majorHAnsi" w:cstheme="majorHAnsi"/>
            <w:color w:val="808080" w:themeColor="background1" w:themeShade="80"/>
            <w:sz w:val="16"/>
            <w:szCs w:val="16"/>
          </w:rPr>
          <w:t>Preliminary Report on Poverty, Extreme Poverty, and Human Rights in the Americas</w:t>
        </w:r>
      </w:hyperlink>
      <w:r w:rsidRPr="001167CB">
        <w:rPr>
          <w:rFonts w:asciiTheme="majorHAnsi" w:hAnsiTheme="majorHAnsi" w:cstheme="majorHAnsi"/>
          <w:color w:val="808080" w:themeColor="background1" w:themeShade="80"/>
          <w:sz w:val="16"/>
          <w:szCs w:val="16"/>
        </w:rPr>
        <w:t>, 2016.</w:t>
      </w:r>
    </w:p>
  </w:footnote>
  <w:footnote w:id="10">
    <w:p w14:paraId="61EB152C"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IACHR, Press Release No. 90/14, </w:t>
      </w:r>
      <w:hyperlink r:id="rId10" w:history="1">
        <w:r w:rsidRPr="001167CB">
          <w:rPr>
            <w:rStyle w:val="Hyperlink"/>
            <w:rFonts w:asciiTheme="majorHAnsi" w:hAnsiTheme="majorHAnsi" w:cstheme="majorHAnsi"/>
            <w:color w:val="808080" w:themeColor="background1" w:themeShade="80"/>
            <w:sz w:val="16"/>
            <w:szCs w:val="16"/>
          </w:rPr>
          <w:t>IACHR Expresses Concern over Police Killings of African-American Persons in the United States</w:t>
        </w:r>
      </w:hyperlink>
      <w:r w:rsidRPr="001167CB">
        <w:rPr>
          <w:rFonts w:asciiTheme="majorHAnsi" w:hAnsiTheme="majorHAnsi" w:cstheme="majorHAnsi"/>
          <w:color w:val="808080" w:themeColor="background1" w:themeShade="80"/>
          <w:sz w:val="16"/>
          <w:szCs w:val="16"/>
        </w:rPr>
        <w:t>, Aug. 22, 2014 [hereinafter “Eric Garner and Michael Brown Press Release”].</w:t>
      </w:r>
    </w:p>
  </w:footnote>
  <w:footnote w:id="11">
    <w:p w14:paraId="12983239"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IACHR, Press Release No. 31/15, </w:t>
      </w:r>
      <w:hyperlink r:id="rId11" w:history="1">
        <w:r w:rsidRPr="001167CB">
          <w:rPr>
            <w:rStyle w:val="Hyperlink"/>
            <w:rFonts w:asciiTheme="majorHAnsi" w:hAnsiTheme="majorHAnsi" w:cstheme="majorHAnsi"/>
            <w:color w:val="808080" w:themeColor="background1" w:themeShade="80"/>
            <w:sz w:val="16"/>
            <w:szCs w:val="16"/>
          </w:rPr>
          <w:t>IACHR Calls on OAS Member States to Bring an End to Racial Discrimination in the Americas</w:t>
        </w:r>
      </w:hyperlink>
      <w:r w:rsidRPr="001167CB">
        <w:rPr>
          <w:rFonts w:asciiTheme="majorHAnsi" w:hAnsiTheme="majorHAnsi" w:cstheme="majorHAnsi"/>
          <w:color w:val="808080" w:themeColor="background1" w:themeShade="80"/>
          <w:sz w:val="16"/>
          <w:szCs w:val="16"/>
        </w:rPr>
        <w:t>, Mar. 20, 2015.</w:t>
      </w:r>
    </w:p>
  </w:footnote>
  <w:footnote w:id="12">
    <w:p w14:paraId="73CB6422"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lang w:val="en-GB"/>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lang w:val="en-GB"/>
        </w:rPr>
        <w:t xml:space="preserve"> </w:t>
      </w:r>
      <w:r w:rsidRPr="001167CB">
        <w:rPr>
          <w:rFonts w:asciiTheme="majorHAnsi" w:hAnsiTheme="majorHAnsi" w:cstheme="majorHAnsi"/>
          <w:color w:val="808080" w:themeColor="background1" w:themeShade="80"/>
          <w:sz w:val="16"/>
          <w:szCs w:val="16"/>
          <w:lang w:val="en-GB"/>
        </w:rPr>
        <w:tab/>
        <w:t xml:space="preserve">IACHR, Press Release No. 37/15, </w:t>
      </w:r>
      <w:hyperlink r:id="rId12" w:history="1">
        <w:r w:rsidRPr="001167CB">
          <w:rPr>
            <w:rStyle w:val="Hyperlink"/>
            <w:rFonts w:asciiTheme="majorHAnsi" w:hAnsiTheme="majorHAnsi" w:cstheme="majorHAnsi"/>
            <w:color w:val="808080" w:themeColor="background1" w:themeShade="80"/>
            <w:sz w:val="16"/>
            <w:szCs w:val="16"/>
            <w:lang w:val="en-GB"/>
          </w:rPr>
          <w:t>IACHR Wraps Up its 154th Session</w:t>
        </w:r>
      </w:hyperlink>
      <w:r w:rsidRPr="001167CB">
        <w:rPr>
          <w:rFonts w:asciiTheme="majorHAnsi" w:hAnsiTheme="majorHAnsi" w:cstheme="majorHAnsi"/>
          <w:color w:val="808080" w:themeColor="background1" w:themeShade="80"/>
          <w:sz w:val="16"/>
          <w:szCs w:val="16"/>
          <w:lang w:val="en-GB"/>
        </w:rPr>
        <w:t xml:space="preserve">, </w:t>
      </w:r>
      <w:r w:rsidRPr="001167CB">
        <w:rPr>
          <w:rFonts w:asciiTheme="majorHAnsi" w:hAnsiTheme="majorHAnsi" w:cstheme="majorHAnsi"/>
          <w:color w:val="808080" w:themeColor="background1" w:themeShade="80"/>
          <w:sz w:val="16"/>
          <w:szCs w:val="16"/>
        </w:rPr>
        <w:t xml:space="preserve">Mar. </w:t>
      </w:r>
      <w:r w:rsidRPr="001167CB">
        <w:rPr>
          <w:rFonts w:asciiTheme="majorHAnsi" w:hAnsiTheme="majorHAnsi" w:cstheme="majorHAnsi"/>
          <w:color w:val="808080" w:themeColor="background1" w:themeShade="80"/>
          <w:sz w:val="16"/>
          <w:szCs w:val="16"/>
          <w:lang w:val="en-GB"/>
        </w:rPr>
        <w:t>27, 2015.</w:t>
      </w:r>
    </w:p>
  </w:footnote>
  <w:footnote w:id="13">
    <w:p w14:paraId="5CCD6BBA"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IACHR, Press Release No. 40/15, </w:t>
      </w:r>
      <w:hyperlink r:id="rId13" w:history="1">
        <w:r w:rsidRPr="001167CB">
          <w:rPr>
            <w:rStyle w:val="Hyperlink"/>
            <w:rFonts w:asciiTheme="majorHAnsi" w:hAnsiTheme="majorHAnsi" w:cstheme="majorHAnsi"/>
            <w:color w:val="808080" w:themeColor="background1" w:themeShade="80"/>
            <w:sz w:val="16"/>
            <w:szCs w:val="16"/>
          </w:rPr>
          <w:t>IACHR Condemns the Killing of an African-American Man in the United States</w:t>
        </w:r>
      </w:hyperlink>
      <w:r w:rsidRPr="001167CB">
        <w:rPr>
          <w:rFonts w:asciiTheme="majorHAnsi" w:hAnsiTheme="majorHAnsi" w:cstheme="majorHAnsi"/>
          <w:color w:val="808080" w:themeColor="background1" w:themeShade="80"/>
          <w:sz w:val="16"/>
          <w:szCs w:val="16"/>
        </w:rPr>
        <w:t>, Apr. 17, 2015 [hereinafter “Walter Scott Press Release”].</w:t>
      </w:r>
    </w:p>
  </w:footnote>
  <w:footnote w:id="14">
    <w:p w14:paraId="4FAAB6AE"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IACHR, Press Release No. 120/16, </w:t>
      </w:r>
      <w:hyperlink r:id="rId14" w:history="1">
        <w:r w:rsidRPr="001167CB">
          <w:rPr>
            <w:rStyle w:val="Hyperlink"/>
            <w:rFonts w:asciiTheme="majorHAnsi" w:hAnsiTheme="majorHAnsi" w:cstheme="majorHAnsi"/>
            <w:color w:val="808080" w:themeColor="background1" w:themeShade="80"/>
            <w:sz w:val="16"/>
            <w:szCs w:val="16"/>
          </w:rPr>
          <w:t>IACHR Expresses Concern with the Deficiencies in the Investigation of Cases Relating to Killing of Afro-descendants by the Police in the United States</w:t>
        </w:r>
      </w:hyperlink>
      <w:r w:rsidRPr="001167CB">
        <w:rPr>
          <w:rFonts w:asciiTheme="majorHAnsi" w:hAnsiTheme="majorHAnsi" w:cstheme="majorHAnsi"/>
          <w:color w:val="808080" w:themeColor="background1" w:themeShade="80"/>
          <w:sz w:val="16"/>
          <w:szCs w:val="16"/>
        </w:rPr>
        <w:t>, Aug. 23, 2016 [hereinafter “Investigation of Police Killings Press Release”].</w:t>
      </w:r>
    </w:p>
  </w:footnote>
  <w:footnote w:id="15">
    <w:p w14:paraId="632F1191"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IACHR, Press Release No. </w:t>
      </w:r>
      <w:r w:rsidRPr="001167CB">
        <w:rPr>
          <w:rFonts w:asciiTheme="majorHAnsi" w:hAnsiTheme="majorHAnsi" w:cstheme="majorHAnsi"/>
          <w:color w:val="808080" w:themeColor="background1" w:themeShade="80"/>
          <w:sz w:val="16"/>
          <w:szCs w:val="16"/>
          <w:shd w:val="clear" w:color="auto" w:fill="FFFFFF"/>
        </w:rPr>
        <w:t xml:space="preserve">124/17, </w:t>
      </w:r>
      <w:hyperlink r:id="rId15" w:history="1">
        <w:r w:rsidRPr="001167CB">
          <w:rPr>
            <w:rStyle w:val="Hyperlink"/>
            <w:rFonts w:asciiTheme="majorHAnsi" w:hAnsiTheme="majorHAnsi" w:cstheme="majorHAnsi"/>
            <w:color w:val="808080" w:themeColor="background1" w:themeShade="80"/>
            <w:sz w:val="16"/>
            <w:szCs w:val="16"/>
            <w:shd w:val="clear" w:color="auto" w:fill="FFFFFF"/>
          </w:rPr>
          <w:t>IACHR Repudiates Hate Speech and Violence in Charlottesville, Virginia, United States</w:t>
        </w:r>
      </w:hyperlink>
      <w:r w:rsidRPr="001167CB">
        <w:rPr>
          <w:rFonts w:asciiTheme="majorHAnsi" w:hAnsiTheme="majorHAnsi" w:cstheme="majorHAnsi"/>
          <w:color w:val="808080" w:themeColor="background1" w:themeShade="80"/>
          <w:sz w:val="16"/>
          <w:szCs w:val="16"/>
          <w:shd w:val="clear" w:color="auto" w:fill="FFFFFF"/>
        </w:rPr>
        <w:t xml:space="preserve">, </w:t>
      </w:r>
      <w:r w:rsidRPr="001167CB">
        <w:rPr>
          <w:rFonts w:asciiTheme="majorHAnsi" w:hAnsiTheme="majorHAnsi" w:cstheme="majorHAnsi"/>
          <w:color w:val="808080" w:themeColor="background1" w:themeShade="80"/>
          <w:sz w:val="16"/>
          <w:szCs w:val="16"/>
        </w:rPr>
        <w:t xml:space="preserve">Aug. </w:t>
      </w:r>
      <w:r w:rsidRPr="001167CB">
        <w:rPr>
          <w:rFonts w:asciiTheme="majorHAnsi" w:hAnsiTheme="majorHAnsi" w:cstheme="majorHAnsi"/>
          <w:color w:val="808080" w:themeColor="background1" w:themeShade="80"/>
          <w:sz w:val="16"/>
          <w:szCs w:val="16"/>
          <w:shd w:val="clear" w:color="auto" w:fill="FFFFFF"/>
        </w:rPr>
        <w:t xml:space="preserve">18, 2017 [hereinafter “Charlottesville Press Release”]. </w:t>
      </w:r>
    </w:p>
  </w:footnote>
  <w:footnote w:id="16">
    <w:p w14:paraId="1FC1D825" w14:textId="77777777" w:rsidR="005C2394" w:rsidRPr="001167CB" w:rsidRDefault="005C2394" w:rsidP="002C64F8">
      <w:pPr>
        <w:spacing w:after="40" w:line="240" w:lineRule="auto"/>
        <w:ind w:left="547" w:hanging="547"/>
        <w:jc w:val="both"/>
        <w:rPr>
          <w:rFonts w:asciiTheme="majorHAnsi" w:eastAsiaTheme="min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i/>
          <w:color w:val="808080" w:themeColor="background1" w:themeShade="80"/>
          <w:sz w:val="16"/>
          <w:szCs w:val="16"/>
        </w:rPr>
        <w:t>See</w:t>
      </w:r>
      <w:r w:rsidRPr="001167CB">
        <w:rPr>
          <w:rFonts w:asciiTheme="majorHAnsi" w:hAnsiTheme="majorHAnsi" w:cstheme="majorHAnsi"/>
          <w:color w:val="808080" w:themeColor="background1" w:themeShade="80"/>
          <w:sz w:val="16"/>
          <w:szCs w:val="16"/>
        </w:rPr>
        <w:t xml:space="preserve"> OAS, </w:t>
      </w:r>
      <w:hyperlink r:id="rId16" w:history="1">
        <w:r w:rsidRPr="001167CB">
          <w:rPr>
            <w:rStyle w:val="Hyperlink"/>
            <w:rFonts w:asciiTheme="majorHAnsi" w:hAnsiTheme="majorHAnsi" w:cstheme="majorHAnsi"/>
            <w:i/>
            <w:color w:val="808080" w:themeColor="background1" w:themeShade="80"/>
            <w:sz w:val="16"/>
            <w:szCs w:val="16"/>
          </w:rPr>
          <w:t>General Assembly Resolution 314,</w:t>
        </w:r>
      </w:hyperlink>
      <w:r w:rsidRPr="001167CB">
        <w:rPr>
          <w:rFonts w:asciiTheme="majorHAnsi" w:hAnsiTheme="majorHAnsi" w:cstheme="majorHAnsi"/>
          <w:i/>
          <w:color w:val="808080" w:themeColor="background1" w:themeShade="80"/>
          <w:sz w:val="16"/>
          <w:szCs w:val="16"/>
        </w:rPr>
        <w:t xml:space="preserve"> AG/RES. 314 (VII-O/7</w:t>
      </w:r>
      <w:r w:rsidRPr="001167CB">
        <w:rPr>
          <w:rFonts w:asciiTheme="majorHAnsi" w:hAnsiTheme="majorHAnsi" w:cstheme="majorHAnsi"/>
          <w:color w:val="808080" w:themeColor="background1" w:themeShade="80"/>
          <w:sz w:val="16"/>
          <w:szCs w:val="16"/>
        </w:rPr>
        <w:t>7), June 22, 1977 (entrusting the Inter-American Commission with the preparation of a study to “set forth their obligations to carry out the commitments assumed in the American Declaration of the Rights and Duties of Man”); IACHR, Report No. 80/11, Case 12.626, Merits</w:t>
      </w:r>
      <w:r w:rsidRPr="001167CB">
        <w:rPr>
          <w:rFonts w:asciiTheme="majorHAnsi" w:hAnsiTheme="majorHAnsi" w:cstheme="majorHAnsi"/>
          <w:i/>
          <w:color w:val="808080" w:themeColor="background1" w:themeShade="80"/>
          <w:sz w:val="16"/>
          <w:szCs w:val="16"/>
        </w:rPr>
        <w:t>,</w:t>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i/>
          <w:color w:val="808080" w:themeColor="background1" w:themeShade="80"/>
          <w:sz w:val="16"/>
          <w:szCs w:val="16"/>
        </w:rPr>
        <w:t xml:space="preserve">Jessica </w:t>
      </w:r>
      <w:proofErr w:type="spellStart"/>
      <w:r w:rsidRPr="001167CB">
        <w:rPr>
          <w:rFonts w:asciiTheme="majorHAnsi" w:hAnsiTheme="majorHAnsi" w:cstheme="majorHAnsi"/>
          <w:i/>
          <w:color w:val="808080" w:themeColor="background1" w:themeShade="80"/>
          <w:sz w:val="16"/>
          <w:szCs w:val="16"/>
        </w:rPr>
        <w:t>Lenahan</w:t>
      </w:r>
      <w:proofErr w:type="spellEnd"/>
      <w:r w:rsidRPr="001167CB">
        <w:rPr>
          <w:rFonts w:asciiTheme="majorHAnsi" w:hAnsiTheme="majorHAnsi" w:cstheme="majorHAnsi"/>
          <w:i/>
          <w:color w:val="808080" w:themeColor="background1" w:themeShade="80"/>
          <w:sz w:val="16"/>
          <w:szCs w:val="16"/>
        </w:rPr>
        <w:t xml:space="preserve"> (Gonzales) et al. </w:t>
      </w:r>
      <w:r w:rsidRPr="001167CB">
        <w:rPr>
          <w:rFonts w:asciiTheme="majorHAnsi" w:hAnsiTheme="majorHAnsi" w:cstheme="majorHAnsi"/>
          <w:color w:val="808080" w:themeColor="background1" w:themeShade="80"/>
          <w:sz w:val="16"/>
          <w:szCs w:val="16"/>
        </w:rPr>
        <w:t xml:space="preserve">(United States), July 21, 2011; IACHR, </w:t>
      </w:r>
      <w:hyperlink r:id="rId17" w:history="1">
        <w:r w:rsidRPr="001167CB">
          <w:rPr>
            <w:rStyle w:val="Hyperlink"/>
            <w:rFonts w:asciiTheme="majorHAnsi" w:hAnsiTheme="majorHAnsi" w:cstheme="majorHAnsi"/>
            <w:i/>
            <w:color w:val="808080" w:themeColor="background1" w:themeShade="80"/>
            <w:sz w:val="16"/>
            <w:szCs w:val="16"/>
          </w:rPr>
          <w:t>Missing and Murdered Indigenous Women in British Columbia, Canada</w:t>
        </w:r>
        <w:r w:rsidRPr="001167CB">
          <w:rPr>
            <w:rStyle w:val="Hyperlink"/>
            <w:rFonts w:asciiTheme="majorHAnsi" w:hAnsiTheme="majorHAnsi" w:cstheme="majorHAnsi"/>
            <w:color w:val="808080" w:themeColor="background1" w:themeShade="80"/>
            <w:sz w:val="16"/>
            <w:szCs w:val="16"/>
          </w:rPr>
          <w:t>,</w:t>
        </w:r>
      </w:hyperlink>
      <w:r w:rsidRPr="001167CB">
        <w:rPr>
          <w:rFonts w:asciiTheme="majorHAnsi" w:hAnsiTheme="majorHAnsi" w:cstheme="majorHAnsi"/>
          <w:color w:val="808080" w:themeColor="background1" w:themeShade="80"/>
          <w:sz w:val="16"/>
          <w:szCs w:val="16"/>
        </w:rPr>
        <w:t xml:space="preserve"> OEA/Ser. L/V/II. Doc. 30/14 (2014); OAS, </w:t>
      </w:r>
      <w:hyperlink r:id="rId18" w:history="1">
        <w:r w:rsidRPr="001167CB">
          <w:rPr>
            <w:rStyle w:val="Hyperlink"/>
            <w:rFonts w:asciiTheme="majorHAnsi" w:hAnsiTheme="majorHAnsi" w:cstheme="majorHAnsi"/>
            <w:i/>
            <w:color w:val="808080" w:themeColor="background1" w:themeShade="80"/>
            <w:sz w:val="16"/>
            <w:szCs w:val="16"/>
          </w:rPr>
          <w:t>General Assembly Resolution 371</w:t>
        </w:r>
      </w:hyperlink>
      <w:r w:rsidRPr="001167CB">
        <w:rPr>
          <w:rFonts w:asciiTheme="majorHAnsi" w:hAnsiTheme="majorHAnsi" w:cstheme="majorHAnsi"/>
          <w:i/>
          <w:color w:val="808080" w:themeColor="background1" w:themeShade="80"/>
          <w:sz w:val="16"/>
          <w:szCs w:val="16"/>
        </w:rPr>
        <w:t>, AG/RES (VIII-O/78)</w:t>
      </w:r>
      <w:r w:rsidRPr="001167CB">
        <w:rPr>
          <w:rFonts w:asciiTheme="majorHAnsi" w:hAnsiTheme="majorHAnsi" w:cstheme="majorHAnsi"/>
          <w:color w:val="808080" w:themeColor="background1" w:themeShade="80"/>
          <w:sz w:val="16"/>
          <w:szCs w:val="16"/>
        </w:rPr>
        <w:t xml:space="preserve">, July 1, 1978. (reaffirming its commitment to “promote the observance of the American Declaration of the Rights and Duties of Man”); OAS, </w:t>
      </w:r>
      <w:hyperlink r:id="rId19" w:history="1">
        <w:r w:rsidRPr="001167CB">
          <w:rPr>
            <w:rStyle w:val="Hyperlink"/>
            <w:rFonts w:asciiTheme="majorHAnsi" w:hAnsiTheme="majorHAnsi" w:cstheme="majorHAnsi"/>
            <w:i/>
            <w:color w:val="808080" w:themeColor="background1" w:themeShade="80"/>
            <w:sz w:val="16"/>
            <w:szCs w:val="16"/>
          </w:rPr>
          <w:t>General Assembly Resolution 370</w:t>
        </w:r>
      </w:hyperlink>
      <w:r w:rsidRPr="001167CB">
        <w:rPr>
          <w:rFonts w:asciiTheme="majorHAnsi" w:hAnsiTheme="majorHAnsi" w:cstheme="majorHAnsi"/>
          <w:i/>
          <w:color w:val="808080" w:themeColor="background1" w:themeShade="80"/>
          <w:sz w:val="16"/>
          <w:szCs w:val="16"/>
        </w:rPr>
        <w:t>, AG/RES. 370 (VIII-O/78)</w:t>
      </w:r>
      <w:r w:rsidRPr="001167CB">
        <w:rPr>
          <w:rFonts w:asciiTheme="majorHAnsi" w:hAnsiTheme="majorHAnsi" w:cstheme="majorHAnsi"/>
          <w:color w:val="808080" w:themeColor="background1" w:themeShade="80"/>
          <w:sz w:val="16"/>
          <w:szCs w:val="16"/>
        </w:rPr>
        <w:t>, July 1, 1978 (referring to the “international commitments” of OAS member states to respect the rights recognized in the American Declaration of the Rights and Duties of Man).</w:t>
      </w:r>
    </w:p>
  </w:footnote>
  <w:footnote w:id="17">
    <w:p w14:paraId="6A8DCF91"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i/>
          <w:color w:val="808080" w:themeColor="background1" w:themeShade="80"/>
          <w:sz w:val="16"/>
          <w:szCs w:val="16"/>
        </w:rPr>
        <w:t>See</w:t>
      </w:r>
      <w:r w:rsidRPr="001167CB">
        <w:rPr>
          <w:rFonts w:asciiTheme="majorHAnsi" w:hAnsiTheme="majorHAnsi" w:cstheme="majorHAnsi"/>
          <w:color w:val="808080" w:themeColor="background1" w:themeShade="80"/>
          <w:sz w:val="16"/>
          <w:szCs w:val="16"/>
        </w:rPr>
        <w:t xml:space="preserve"> I/A Court H.R, </w:t>
      </w:r>
      <w:hyperlink r:id="rId20" w:history="1">
        <w:r w:rsidRPr="001167CB">
          <w:rPr>
            <w:rStyle w:val="Hyperlink"/>
            <w:rFonts w:asciiTheme="majorHAnsi" w:hAnsiTheme="majorHAnsi" w:cstheme="majorHAnsi"/>
            <w:i/>
            <w:color w:val="808080" w:themeColor="background1" w:themeShade="80"/>
            <w:sz w:val="16"/>
            <w:szCs w:val="16"/>
          </w:rPr>
          <w:t>Interpretation of the Declaration of the Rights and Duties of Man within the Framework of Article 64 of the American Convention on Human Rights</w:t>
        </w:r>
      </w:hyperlink>
      <w:r w:rsidRPr="001167CB">
        <w:rPr>
          <w:rFonts w:asciiTheme="majorHAnsi" w:hAnsiTheme="majorHAnsi" w:cstheme="majorHAnsi"/>
          <w:color w:val="808080" w:themeColor="background1" w:themeShade="80"/>
          <w:sz w:val="16"/>
          <w:szCs w:val="16"/>
        </w:rPr>
        <w:t xml:space="preserve">, Advisory Opinion OC-10/89, </w:t>
      </w:r>
      <w:proofErr w:type="gramStart"/>
      <w:r w:rsidRPr="001167CB">
        <w:rPr>
          <w:rFonts w:asciiTheme="majorHAnsi" w:hAnsiTheme="majorHAnsi" w:cstheme="majorHAnsi"/>
          <w:color w:val="808080" w:themeColor="background1" w:themeShade="80"/>
          <w:sz w:val="16"/>
          <w:szCs w:val="16"/>
        </w:rPr>
        <w:t>Ser</w:t>
      </w:r>
      <w:proofErr w:type="gramEnd"/>
      <w:r w:rsidRPr="001167CB">
        <w:rPr>
          <w:rFonts w:asciiTheme="majorHAnsi" w:hAnsiTheme="majorHAnsi" w:cstheme="majorHAnsi"/>
          <w:color w:val="808080" w:themeColor="background1" w:themeShade="80"/>
          <w:sz w:val="16"/>
          <w:szCs w:val="16"/>
        </w:rPr>
        <w:t>. A No.10 July 14, 1989, paras. 35-45; IACHR, Res. 3/87, Case 9647,</w:t>
      </w:r>
      <w:hyperlink r:id="rId21" w:history="1">
        <w:r w:rsidRPr="001167CB">
          <w:rPr>
            <w:rStyle w:val="Hyperlink"/>
            <w:rFonts w:asciiTheme="majorHAnsi" w:hAnsiTheme="majorHAnsi" w:cstheme="majorHAnsi"/>
            <w:i/>
            <w:color w:val="808080" w:themeColor="background1" w:themeShade="80"/>
            <w:sz w:val="16"/>
            <w:szCs w:val="16"/>
          </w:rPr>
          <w:t xml:space="preserve"> James Terry Roach and Jay Pinkerton v.</w:t>
        </w:r>
      </w:hyperlink>
      <w:r w:rsidRPr="001167CB">
        <w:rPr>
          <w:rFonts w:asciiTheme="majorHAnsi" w:hAnsiTheme="majorHAnsi" w:cstheme="majorHAnsi"/>
          <w: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 xml:space="preserve">(United States), Sept. 22, 1998; IACHR, </w:t>
      </w:r>
      <w:hyperlink r:id="rId22" w:history="1">
        <w:r w:rsidRPr="001167CB">
          <w:rPr>
            <w:rStyle w:val="Hyperlink"/>
            <w:rFonts w:asciiTheme="majorHAnsi" w:hAnsiTheme="majorHAnsi" w:cstheme="majorHAnsi"/>
            <w:i/>
            <w:color w:val="808080" w:themeColor="background1" w:themeShade="80"/>
            <w:sz w:val="16"/>
            <w:szCs w:val="16"/>
          </w:rPr>
          <w:t>Annual Report 1986-87</w:t>
        </w:r>
      </w:hyperlink>
      <w:r w:rsidRPr="001167CB">
        <w:rPr>
          <w:rFonts w:asciiTheme="majorHAnsi" w:hAnsiTheme="majorHAnsi" w:cstheme="majorHAnsi"/>
          <w:color w:val="808080" w:themeColor="background1" w:themeShade="80"/>
          <w:sz w:val="16"/>
          <w:szCs w:val="16"/>
        </w:rPr>
        <w:t>, OEA/</w:t>
      </w:r>
      <w:proofErr w:type="spellStart"/>
      <w:r w:rsidRPr="001167CB">
        <w:rPr>
          <w:rFonts w:asciiTheme="majorHAnsi" w:hAnsiTheme="majorHAnsi" w:cstheme="majorHAnsi"/>
          <w:color w:val="808080" w:themeColor="background1" w:themeShade="80"/>
          <w:sz w:val="16"/>
          <w:szCs w:val="16"/>
        </w:rPr>
        <w:t>Ser.L</w:t>
      </w:r>
      <w:proofErr w:type="spellEnd"/>
      <w:r w:rsidRPr="001167CB">
        <w:rPr>
          <w:rFonts w:asciiTheme="majorHAnsi" w:hAnsiTheme="majorHAnsi" w:cstheme="majorHAnsi"/>
          <w:color w:val="808080" w:themeColor="background1" w:themeShade="80"/>
          <w:sz w:val="16"/>
          <w:szCs w:val="16"/>
        </w:rPr>
        <w:t>/V/II.71 Doc.9 rev.1, Sept. 22, 1987, paras. 46-49; IACHR, Report No. 80/11, Case 12.626, Merits,</w:t>
      </w:r>
      <w:r w:rsidRPr="001167CB">
        <w:rPr>
          <w:rFonts w:asciiTheme="majorHAnsi" w:hAnsiTheme="majorHAnsi" w:cstheme="majorHAnsi"/>
          <w:i/>
          <w:color w:val="808080" w:themeColor="background1" w:themeShade="80"/>
          <w:sz w:val="16"/>
          <w:szCs w:val="16"/>
        </w:rPr>
        <w:t xml:space="preserve"> Jessica </w:t>
      </w:r>
      <w:proofErr w:type="spellStart"/>
      <w:r w:rsidRPr="001167CB">
        <w:rPr>
          <w:rFonts w:asciiTheme="majorHAnsi" w:hAnsiTheme="majorHAnsi" w:cstheme="majorHAnsi"/>
          <w:i/>
          <w:color w:val="808080" w:themeColor="background1" w:themeShade="80"/>
          <w:sz w:val="16"/>
          <w:szCs w:val="16"/>
        </w:rPr>
        <w:t>Lenahan</w:t>
      </w:r>
      <w:proofErr w:type="spellEnd"/>
      <w:r w:rsidRPr="001167CB">
        <w:rPr>
          <w:rFonts w:asciiTheme="majorHAnsi" w:hAnsiTheme="majorHAnsi" w:cstheme="majorHAnsi"/>
          <w:i/>
          <w:color w:val="808080" w:themeColor="background1" w:themeShade="80"/>
          <w:sz w:val="16"/>
          <w:szCs w:val="16"/>
        </w:rPr>
        <w:t xml:space="preserve"> (Gonzales) et al. </w:t>
      </w:r>
      <w:r w:rsidRPr="001167CB">
        <w:rPr>
          <w:rFonts w:asciiTheme="majorHAnsi" w:hAnsiTheme="majorHAnsi" w:cstheme="majorHAnsi"/>
          <w:color w:val="808080" w:themeColor="background1" w:themeShade="80"/>
          <w:sz w:val="16"/>
          <w:szCs w:val="16"/>
        </w:rPr>
        <w:t xml:space="preserve">(United States), July 21, 2011; Report No. 21/16 Petition 419-08, </w:t>
      </w:r>
      <w:hyperlink r:id="rId23" w:history="1">
        <w:r w:rsidRPr="001167CB">
          <w:rPr>
            <w:rStyle w:val="Hyperlink"/>
            <w:rFonts w:asciiTheme="majorHAnsi" w:hAnsiTheme="majorHAnsi" w:cstheme="majorHAnsi"/>
            <w:i/>
            <w:color w:val="808080" w:themeColor="background1" w:themeShade="80"/>
            <w:sz w:val="16"/>
            <w:szCs w:val="16"/>
          </w:rPr>
          <w:t>Khaled El-</w:t>
        </w:r>
        <w:proofErr w:type="spellStart"/>
        <w:r w:rsidRPr="001167CB">
          <w:rPr>
            <w:rStyle w:val="Hyperlink"/>
            <w:rFonts w:asciiTheme="majorHAnsi" w:hAnsiTheme="majorHAnsi" w:cstheme="majorHAnsi"/>
            <w:i/>
            <w:color w:val="808080" w:themeColor="background1" w:themeShade="80"/>
            <w:sz w:val="16"/>
            <w:szCs w:val="16"/>
          </w:rPr>
          <w:t>Masri</w:t>
        </w:r>
        <w:proofErr w:type="spellEnd"/>
      </w:hyperlink>
      <w:r w:rsidRPr="001167CB">
        <w:rPr>
          <w:rFonts w:asciiTheme="majorHAnsi" w:hAnsiTheme="majorHAnsi" w:cstheme="majorHAnsi"/>
          <w: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 xml:space="preserve">(United States), Apr. 15, 2016; Report No. 17/17 Petition P-1105-06, </w:t>
      </w:r>
      <w:hyperlink r:id="rId24" w:history="1">
        <w:r w:rsidRPr="001167CB">
          <w:rPr>
            <w:rStyle w:val="Hyperlink"/>
            <w:rFonts w:asciiTheme="majorHAnsi" w:hAnsiTheme="majorHAnsi" w:cstheme="majorHAnsi"/>
            <w:i/>
            <w:color w:val="808080" w:themeColor="background1" w:themeShade="80"/>
            <w:sz w:val="16"/>
            <w:szCs w:val="16"/>
          </w:rPr>
          <w:t xml:space="preserve">Pedro </w:t>
        </w:r>
        <w:proofErr w:type="spellStart"/>
        <w:r w:rsidRPr="001167CB">
          <w:rPr>
            <w:rStyle w:val="Hyperlink"/>
            <w:rFonts w:asciiTheme="majorHAnsi" w:hAnsiTheme="majorHAnsi" w:cstheme="majorHAnsi"/>
            <w:i/>
            <w:color w:val="808080" w:themeColor="background1" w:themeShade="80"/>
            <w:sz w:val="16"/>
            <w:szCs w:val="16"/>
          </w:rPr>
          <w:t>Rosello</w:t>
        </w:r>
        <w:proofErr w:type="spellEnd"/>
        <w:r w:rsidRPr="001167CB">
          <w:rPr>
            <w:rStyle w:val="Hyperlink"/>
            <w:rFonts w:asciiTheme="majorHAnsi" w:hAnsiTheme="majorHAnsi" w:cstheme="majorHAnsi"/>
            <w:i/>
            <w:color w:val="808080" w:themeColor="background1" w:themeShade="80"/>
            <w:sz w:val="16"/>
            <w:szCs w:val="16"/>
          </w:rPr>
          <w:t xml:space="preserve"> et al</w:t>
        </w:r>
        <w:r w:rsidRPr="001167CB">
          <w:rPr>
            <w:rStyle w:val="Hyperlink"/>
            <w:rFonts w:asciiTheme="majorHAnsi" w:hAnsiTheme="majorHAnsi" w:cstheme="majorHAnsi"/>
            <w:color w:val="808080" w:themeColor="background1" w:themeShade="80"/>
            <w:sz w:val="16"/>
            <w:szCs w:val="16"/>
          </w:rPr>
          <w:t>.</w:t>
        </w:r>
      </w:hyperlink>
      <w:r w:rsidRPr="001167CB">
        <w:rPr>
          <w:rFonts w:asciiTheme="majorHAnsi" w:hAnsiTheme="majorHAnsi" w:cstheme="majorHAnsi"/>
          <w:color w:val="808080" w:themeColor="background1" w:themeShade="80"/>
          <w:sz w:val="16"/>
          <w:szCs w:val="16"/>
        </w:rPr>
        <w:t xml:space="preserve"> (United States), Jan. 27, 2017; Report No. 24/15 Petition 1752-09, </w:t>
      </w:r>
      <w:hyperlink r:id="rId25" w:history="1">
        <w:r w:rsidRPr="001167CB">
          <w:rPr>
            <w:rStyle w:val="Hyperlink"/>
            <w:rFonts w:asciiTheme="majorHAnsi" w:hAnsiTheme="majorHAnsi" w:cstheme="majorHAnsi"/>
            <w:i/>
            <w:color w:val="808080" w:themeColor="background1" w:themeShade="80"/>
            <w:sz w:val="16"/>
            <w:szCs w:val="16"/>
          </w:rPr>
          <w:t xml:space="preserve">Bernardo </w:t>
        </w:r>
        <w:proofErr w:type="spellStart"/>
        <w:r w:rsidRPr="001167CB">
          <w:rPr>
            <w:rStyle w:val="Hyperlink"/>
            <w:rFonts w:asciiTheme="majorHAnsi" w:hAnsiTheme="majorHAnsi" w:cstheme="majorHAnsi"/>
            <w:i/>
            <w:color w:val="808080" w:themeColor="background1" w:themeShade="80"/>
            <w:sz w:val="16"/>
            <w:szCs w:val="16"/>
          </w:rPr>
          <w:t>Aban</w:t>
        </w:r>
        <w:proofErr w:type="spellEnd"/>
        <w:r w:rsidRPr="001167CB">
          <w:rPr>
            <w:rStyle w:val="Hyperlink"/>
            <w:rFonts w:asciiTheme="majorHAnsi" w:hAnsiTheme="majorHAnsi" w:cstheme="majorHAnsi"/>
            <w:i/>
            <w:color w:val="808080" w:themeColor="background1" w:themeShade="80"/>
            <w:sz w:val="16"/>
            <w:szCs w:val="16"/>
          </w:rPr>
          <w:t xml:space="preserve"> </w:t>
        </w:r>
        <w:proofErr w:type="spellStart"/>
        <w:r w:rsidRPr="001167CB">
          <w:rPr>
            <w:rStyle w:val="Hyperlink"/>
            <w:rFonts w:asciiTheme="majorHAnsi" w:hAnsiTheme="majorHAnsi" w:cstheme="majorHAnsi"/>
            <w:i/>
            <w:color w:val="808080" w:themeColor="background1" w:themeShade="80"/>
            <w:sz w:val="16"/>
            <w:szCs w:val="16"/>
          </w:rPr>
          <w:t>Tercero</w:t>
        </w:r>
        <w:proofErr w:type="spellEnd"/>
      </w:hyperlink>
      <w:r w:rsidRPr="001167CB">
        <w:rPr>
          <w:rFonts w:asciiTheme="majorHAnsi" w:hAnsiTheme="majorHAnsi" w:cstheme="majorHAnsi"/>
          <w:color w:val="808080" w:themeColor="background1" w:themeShade="80"/>
          <w:sz w:val="16"/>
          <w:szCs w:val="16"/>
        </w:rPr>
        <w:t xml:space="preserve"> (United States), June 24, 2015; OAS,</w:t>
      </w:r>
      <w:r w:rsidRPr="001167CB">
        <w:rPr>
          <w:rFonts w:asciiTheme="majorHAnsi" w:hAnsiTheme="majorHAnsi" w:cstheme="majorHAnsi"/>
          <w:i/>
          <w:color w:val="808080" w:themeColor="background1" w:themeShade="80"/>
          <w:sz w:val="16"/>
          <w:szCs w:val="16"/>
        </w:rPr>
        <w:t xml:space="preserve"> </w:t>
      </w:r>
      <w:hyperlink r:id="rId26" w:history="1">
        <w:r w:rsidRPr="001167CB">
          <w:rPr>
            <w:rStyle w:val="Hyperlink"/>
            <w:rFonts w:asciiTheme="majorHAnsi" w:hAnsiTheme="majorHAnsi" w:cstheme="majorHAnsi"/>
            <w:i/>
            <w:color w:val="808080" w:themeColor="background1" w:themeShade="80"/>
            <w:sz w:val="16"/>
            <w:szCs w:val="16"/>
          </w:rPr>
          <w:t>American Declaration Of The Rights And Duties Of Man</w:t>
        </w:r>
      </w:hyperlink>
      <w:r w:rsidRPr="001167CB">
        <w:rPr>
          <w:rFonts w:asciiTheme="majorHAnsi" w:hAnsiTheme="majorHAnsi" w:cstheme="majorHAnsi"/>
          <w:color w:val="808080" w:themeColor="background1" w:themeShade="80"/>
          <w:sz w:val="16"/>
          <w:szCs w:val="16"/>
        </w:rPr>
        <w:t>, adopted by the Ninth International Conference of American States, Bogotá, Colombia, 1948.</w:t>
      </w:r>
    </w:p>
  </w:footnote>
  <w:footnote w:id="18">
    <w:p w14:paraId="5D60DC7E"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OAS, </w:t>
      </w:r>
      <w:hyperlink r:id="rId27" w:history="1">
        <w:r w:rsidRPr="001167CB">
          <w:rPr>
            <w:rStyle w:val="Hyperlink"/>
            <w:rFonts w:asciiTheme="majorHAnsi" w:hAnsiTheme="majorHAnsi" w:cstheme="majorHAnsi"/>
            <w:i/>
            <w:color w:val="808080" w:themeColor="background1" w:themeShade="80"/>
            <w:sz w:val="16"/>
            <w:szCs w:val="16"/>
          </w:rPr>
          <w:t>Charter of the Organization of American States,</w:t>
        </w:r>
      </w:hyperlink>
      <w:r w:rsidRPr="001167CB">
        <w:rPr>
          <w:rFonts w:asciiTheme="majorHAnsi" w:hAnsiTheme="majorHAnsi" w:cstheme="majorHAnsi"/>
          <w: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 xml:space="preserve">as amended by the “Protocol of Buenos Aires”, Feb. 27, 1967, the “Protocol of Cartagena de </w:t>
      </w:r>
      <w:proofErr w:type="spellStart"/>
      <w:r w:rsidRPr="001167CB">
        <w:rPr>
          <w:rFonts w:asciiTheme="majorHAnsi" w:hAnsiTheme="majorHAnsi" w:cstheme="majorHAnsi"/>
          <w:color w:val="808080" w:themeColor="background1" w:themeShade="80"/>
          <w:sz w:val="16"/>
          <w:szCs w:val="16"/>
        </w:rPr>
        <w:t>Indias</w:t>
      </w:r>
      <w:proofErr w:type="spellEnd"/>
      <w:r w:rsidRPr="001167CB">
        <w:rPr>
          <w:rFonts w:asciiTheme="majorHAnsi" w:hAnsiTheme="majorHAnsi" w:cstheme="majorHAnsi"/>
          <w:color w:val="808080" w:themeColor="background1" w:themeShade="80"/>
          <w:sz w:val="16"/>
          <w:szCs w:val="16"/>
        </w:rPr>
        <w:t>”, Dec. 5, 1985, the “Protocol of Washington”, Dec. 14, 1992, the “Protocol of Managua”, June 10, 1993, Arts. 53 (defining the status of the IACHR within the OAS) and 106 (setting forth the IACHR’s mandate). To date, the United States has not ratified the American Convention, and has not accepted the jurisdiction of the Inter-American Court of Human Rights.</w:t>
      </w:r>
    </w:p>
  </w:footnote>
  <w:footnote w:id="19">
    <w:p w14:paraId="67F7C069"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i/>
          <w:color w:val="808080" w:themeColor="background1" w:themeShade="80"/>
          <w:sz w:val="16"/>
          <w:szCs w:val="16"/>
        </w:rPr>
        <w:t>See, e.g.,</w:t>
      </w:r>
      <w:r w:rsidRPr="001167CB">
        <w:rPr>
          <w:rFonts w:asciiTheme="majorHAnsi" w:hAnsiTheme="majorHAnsi" w:cstheme="majorHAnsi"/>
          <w:color w:val="808080" w:themeColor="background1" w:themeShade="80"/>
          <w:sz w:val="16"/>
          <w:szCs w:val="16"/>
        </w:rPr>
        <w:t xml:space="preserve"> IACHR, </w:t>
      </w:r>
      <w:hyperlink r:id="rId28" w:history="1">
        <w:r w:rsidRPr="001167CB">
          <w:rPr>
            <w:rStyle w:val="Hyperlink"/>
            <w:rFonts w:asciiTheme="majorHAnsi" w:hAnsiTheme="majorHAnsi" w:cstheme="majorHAnsi"/>
            <w:color w:val="808080" w:themeColor="background1" w:themeShade="80"/>
            <w:sz w:val="16"/>
            <w:szCs w:val="16"/>
          </w:rPr>
          <w:t>Toward the Closure of Guantánamo</w:t>
        </w:r>
      </w:hyperlink>
      <w:r w:rsidRPr="001167CB">
        <w:rPr>
          <w:rFonts w:asciiTheme="majorHAnsi" w:hAnsiTheme="majorHAnsi" w:cstheme="majorHAnsi"/>
          <w:color w:val="808080" w:themeColor="background1" w:themeShade="80"/>
          <w:sz w:val="16"/>
          <w:szCs w:val="16"/>
        </w:rPr>
        <w:t>, OAS/</w:t>
      </w:r>
      <w:proofErr w:type="spellStart"/>
      <w:r w:rsidRPr="001167CB">
        <w:rPr>
          <w:rFonts w:asciiTheme="majorHAnsi" w:hAnsiTheme="majorHAnsi" w:cstheme="majorHAnsi"/>
          <w:color w:val="808080" w:themeColor="background1" w:themeShade="80"/>
          <w:sz w:val="16"/>
          <w:szCs w:val="16"/>
        </w:rPr>
        <w:t>Ser.L</w:t>
      </w:r>
      <w:proofErr w:type="spellEnd"/>
      <w:r w:rsidRPr="001167CB">
        <w:rPr>
          <w:rFonts w:asciiTheme="majorHAnsi" w:hAnsiTheme="majorHAnsi" w:cstheme="majorHAnsi"/>
          <w:color w:val="808080" w:themeColor="background1" w:themeShade="80"/>
          <w:sz w:val="16"/>
          <w:szCs w:val="16"/>
        </w:rPr>
        <w:t xml:space="preserve">/V/II., Doc. 20/15 (2015); IACHR, </w:t>
      </w:r>
      <w:hyperlink r:id="rId29" w:history="1">
        <w:r w:rsidRPr="001167CB">
          <w:rPr>
            <w:rStyle w:val="Hyperlink"/>
            <w:rFonts w:asciiTheme="majorHAnsi" w:hAnsiTheme="majorHAnsi" w:cstheme="majorHAnsi"/>
            <w:color w:val="808080" w:themeColor="background1" w:themeShade="80"/>
            <w:sz w:val="16"/>
            <w:szCs w:val="16"/>
          </w:rPr>
          <w:t>Refugees and Migrants in the United States: Families and Unaccompanied Children</w:t>
        </w:r>
      </w:hyperlink>
      <w:r w:rsidRPr="001167CB">
        <w:rPr>
          <w:rFonts w:asciiTheme="majorHAnsi" w:hAnsiTheme="majorHAnsi" w:cstheme="majorHAnsi"/>
          <w:color w:val="808080" w:themeColor="background1" w:themeShade="80"/>
          <w:sz w:val="16"/>
          <w:szCs w:val="16"/>
        </w:rPr>
        <w:t>, OAS/</w:t>
      </w:r>
      <w:proofErr w:type="spellStart"/>
      <w:r w:rsidRPr="001167CB">
        <w:rPr>
          <w:rFonts w:asciiTheme="majorHAnsi" w:hAnsiTheme="majorHAnsi" w:cstheme="majorHAnsi"/>
          <w:color w:val="808080" w:themeColor="background1" w:themeShade="80"/>
          <w:sz w:val="16"/>
          <w:szCs w:val="16"/>
        </w:rPr>
        <w:t>Ser.L</w:t>
      </w:r>
      <w:proofErr w:type="spellEnd"/>
      <w:r w:rsidRPr="001167CB">
        <w:rPr>
          <w:rFonts w:asciiTheme="majorHAnsi" w:hAnsiTheme="majorHAnsi" w:cstheme="majorHAnsi"/>
          <w:color w:val="808080" w:themeColor="background1" w:themeShade="80"/>
          <w:sz w:val="16"/>
          <w:szCs w:val="16"/>
        </w:rPr>
        <w:t xml:space="preserve">/V/II.155, Doc. 16 (2015); IACHR, </w:t>
      </w:r>
      <w:hyperlink r:id="rId30" w:history="1">
        <w:r w:rsidRPr="001167CB">
          <w:rPr>
            <w:rStyle w:val="Hyperlink"/>
            <w:rFonts w:asciiTheme="majorHAnsi" w:hAnsiTheme="majorHAnsi" w:cstheme="majorHAnsi"/>
            <w:color w:val="808080" w:themeColor="background1" w:themeShade="80"/>
            <w:sz w:val="16"/>
            <w:szCs w:val="16"/>
          </w:rPr>
          <w:t>Report on Immigration in the United States: Detention and Due Process</w:t>
        </w:r>
      </w:hyperlink>
      <w:r w:rsidRPr="001167CB">
        <w:rPr>
          <w:rFonts w:asciiTheme="majorHAnsi" w:hAnsiTheme="majorHAnsi" w:cstheme="majorHAnsi"/>
          <w:color w:val="808080" w:themeColor="background1" w:themeShade="80"/>
          <w:sz w:val="16"/>
          <w:szCs w:val="16"/>
        </w:rPr>
        <w:t>, OEA/</w:t>
      </w:r>
      <w:proofErr w:type="spellStart"/>
      <w:r w:rsidRPr="001167CB">
        <w:rPr>
          <w:rFonts w:asciiTheme="majorHAnsi" w:hAnsiTheme="majorHAnsi" w:cstheme="majorHAnsi"/>
          <w:color w:val="808080" w:themeColor="background1" w:themeShade="80"/>
          <w:sz w:val="16"/>
          <w:szCs w:val="16"/>
        </w:rPr>
        <w:t>Ser.L</w:t>
      </w:r>
      <w:proofErr w:type="spellEnd"/>
      <w:r w:rsidRPr="001167CB">
        <w:rPr>
          <w:rFonts w:asciiTheme="majorHAnsi" w:hAnsiTheme="majorHAnsi" w:cstheme="majorHAnsi"/>
          <w:color w:val="808080" w:themeColor="background1" w:themeShade="80"/>
          <w:sz w:val="16"/>
          <w:szCs w:val="16"/>
        </w:rPr>
        <w:t>/V/II., Doc. 78/10 (2010).</w:t>
      </w:r>
    </w:p>
  </w:footnote>
  <w:footnote w:id="20">
    <w:p w14:paraId="269D78E7"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IACHR, </w:t>
      </w:r>
      <w:hyperlink r:id="rId31" w:history="1">
        <w:r w:rsidRPr="001167CB">
          <w:rPr>
            <w:rStyle w:val="Hyperlink"/>
            <w:rFonts w:asciiTheme="majorHAnsi" w:hAnsiTheme="majorHAnsi" w:cstheme="majorHAnsi"/>
            <w:color w:val="808080" w:themeColor="background1" w:themeShade="80"/>
            <w:sz w:val="16"/>
            <w:szCs w:val="16"/>
          </w:rPr>
          <w:t>Considerations related to the universal ratification of the American Convention and other Inter-American Human Rights Treaties</w:t>
        </w:r>
      </w:hyperlink>
      <w:r w:rsidRPr="001167CB">
        <w:rPr>
          <w:rFonts w:asciiTheme="majorHAnsi" w:hAnsiTheme="majorHAnsi" w:cstheme="majorHAnsi"/>
          <w:i/>
          <w:color w:val="808080" w:themeColor="background1" w:themeShade="80"/>
          <w:sz w:val="16"/>
          <w:szCs w:val="16"/>
        </w:rPr>
        <w:t>,</w:t>
      </w:r>
      <w:r w:rsidRPr="001167CB">
        <w:rPr>
          <w:rFonts w:asciiTheme="majorHAnsi" w:hAnsiTheme="majorHAnsi" w:cstheme="majorHAnsi"/>
          <w:color w:val="808080" w:themeColor="background1" w:themeShade="80"/>
          <w:sz w:val="16"/>
          <w:szCs w:val="16"/>
        </w:rPr>
        <w:t xml:space="preserve"> OEA/</w:t>
      </w:r>
      <w:proofErr w:type="spellStart"/>
      <w:r w:rsidRPr="001167CB">
        <w:rPr>
          <w:rFonts w:asciiTheme="majorHAnsi" w:hAnsiTheme="majorHAnsi" w:cstheme="majorHAnsi"/>
          <w:color w:val="808080" w:themeColor="background1" w:themeShade="80"/>
          <w:sz w:val="16"/>
          <w:szCs w:val="16"/>
        </w:rPr>
        <w:t>Ser.L</w:t>
      </w:r>
      <w:proofErr w:type="spellEnd"/>
      <w:r w:rsidRPr="001167CB">
        <w:rPr>
          <w:rFonts w:asciiTheme="majorHAnsi" w:hAnsiTheme="majorHAnsi" w:cstheme="majorHAnsi"/>
          <w:color w:val="808080" w:themeColor="background1" w:themeShade="80"/>
          <w:sz w:val="16"/>
          <w:szCs w:val="16"/>
        </w:rPr>
        <w:t>/V/II.152  Doc. 21 (2015)</w:t>
      </w:r>
      <w:r w:rsidRPr="001167CB">
        <w:rPr>
          <w:rFonts w:asciiTheme="majorHAnsi" w:eastAsia="MS Mincho" w:hAnsiTheme="majorHAnsi" w:cstheme="majorHAnsi"/>
          <w:bCs/>
          <w:color w:val="808080" w:themeColor="background1" w:themeShade="80"/>
          <w:sz w:val="16"/>
          <w:szCs w:val="16"/>
          <w:lang w:val="en-GB"/>
        </w:rPr>
        <w:t xml:space="preserve">; </w:t>
      </w:r>
      <w:r w:rsidRPr="001167CB">
        <w:rPr>
          <w:rFonts w:asciiTheme="majorHAnsi" w:hAnsiTheme="majorHAnsi" w:cstheme="majorHAnsi"/>
          <w:color w:val="808080" w:themeColor="background1" w:themeShade="80"/>
          <w:sz w:val="16"/>
          <w:szCs w:val="16"/>
        </w:rPr>
        <w:t xml:space="preserve">IACHR, Press Release No. 117/16, </w:t>
      </w:r>
      <w:hyperlink r:id="rId32" w:history="1">
        <w:r w:rsidRPr="001167CB">
          <w:rPr>
            <w:rStyle w:val="Hyperlink"/>
            <w:rFonts w:asciiTheme="majorHAnsi" w:hAnsiTheme="majorHAnsi" w:cstheme="majorHAnsi"/>
            <w:color w:val="808080" w:themeColor="background1" w:themeShade="80"/>
            <w:sz w:val="16"/>
            <w:szCs w:val="16"/>
          </w:rPr>
          <w:t>IACHR Hails Costa Rica’s Ratification of the Inter-American Convention against Racism, Racial Discrimination and Related Forms of Intolerance</w:t>
        </w:r>
      </w:hyperlink>
      <w:r w:rsidRPr="001167CB">
        <w:rPr>
          <w:rFonts w:asciiTheme="majorHAnsi" w:hAnsiTheme="majorHAnsi" w:cstheme="majorHAnsi"/>
          <w:color w:val="808080" w:themeColor="background1" w:themeShade="80"/>
          <w:sz w:val="16"/>
          <w:szCs w:val="16"/>
        </w:rPr>
        <w:t xml:space="preserve">, Aug. 18, 2016; Press Release No. 81/16, </w:t>
      </w:r>
      <w:hyperlink r:id="rId33" w:history="1">
        <w:r w:rsidRPr="001167CB">
          <w:rPr>
            <w:rStyle w:val="Hyperlink"/>
            <w:rFonts w:asciiTheme="majorHAnsi" w:hAnsiTheme="majorHAnsi" w:cstheme="majorHAnsi"/>
            <w:color w:val="808080" w:themeColor="background1" w:themeShade="80"/>
            <w:sz w:val="16"/>
            <w:szCs w:val="16"/>
          </w:rPr>
          <w:t>The IACHR celebrates the adoption of the American Declaration on the Rights of Indigenous Peoples</w:t>
        </w:r>
      </w:hyperlink>
      <w:r w:rsidRPr="001167CB">
        <w:rPr>
          <w:rFonts w:asciiTheme="majorHAnsi" w:hAnsiTheme="majorHAnsi" w:cstheme="majorHAnsi"/>
          <w:color w:val="808080" w:themeColor="background1" w:themeShade="80"/>
          <w:sz w:val="16"/>
          <w:szCs w:val="16"/>
        </w:rPr>
        <w:t xml:space="preserve">, June 22, 2016; Press Release No. 187/16, </w:t>
      </w:r>
      <w:hyperlink r:id="rId34" w:history="1">
        <w:r w:rsidRPr="001167CB">
          <w:rPr>
            <w:rStyle w:val="Hyperlink"/>
            <w:rFonts w:asciiTheme="majorHAnsi" w:hAnsiTheme="majorHAnsi" w:cstheme="majorHAnsi"/>
            <w:color w:val="808080" w:themeColor="background1" w:themeShade="80"/>
            <w:sz w:val="16"/>
            <w:szCs w:val="16"/>
          </w:rPr>
          <w:t>IACHR Hails the Entry into Force of the Inter-American Convention on the Rights of Older Persons</w:t>
        </w:r>
      </w:hyperlink>
      <w:r w:rsidRPr="001167CB">
        <w:rPr>
          <w:rFonts w:asciiTheme="majorHAnsi" w:hAnsiTheme="majorHAnsi" w:cstheme="majorHAnsi"/>
          <w:color w:val="808080" w:themeColor="background1" w:themeShade="80"/>
          <w:sz w:val="16"/>
          <w:szCs w:val="16"/>
        </w:rPr>
        <w:t xml:space="preserve">, Dec. 16, 2016; Press Release No. 117/12, </w:t>
      </w:r>
      <w:hyperlink r:id="rId35" w:history="1">
        <w:r w:rsidRPr="001167CB">
          <w:rPr>
            <w:rStyle w:val="Hyperlink"/>
            <w:rFonts w:asciiTheme="majorHAnsi" w:hAnsiTheme="majorHAnsi" w:cstheme="majorHAnsi"/>
            <w:color w:val="808080" w:themeColor="background1" w:themeShade="80"/>
            <w:sz w:val="16"/>
            <w:szCs w:val="16"/>
          </w:rPr>
          <w:t>IACHR Regrets Decision of Venezuela to Denounce the American Convention on Human Rights</w:t>
        </w:r>
      </w:hyperlink>
      <w:r w:rsidRPr="001167CB">
        <w:rPr>
          <w:rFonts w:asciiTheme="majorHAnsi" w:hAnsiTheme="majorHAnsi" w:cstheme="majorHAnsi"/>
          <w:color w:val="808080" w:themeColor="background1" w:themeShade="80"/>
          <w:sz w:val="16"/>
          <w:szCs w:val="16"/>
        </w:rPr>
        <w:t xml:space="preserve">, Sept. 12, 2012. </w:t>
      </w:r>
    </w:p>
  </w:footnote>
  <w:footnote w:id="21">
    <w:p w14:paraId="0233F9F5"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IACHR, Press Release No. 31/15, </w:t>
      </w:r>
      <w:hyperlink r:id="rId36" w:history="1">
        <w:r w:rsidRPr="001167CB">
          <w:rPr>
            <w:rStyle w:val="Hyperlink"/>
            <w:rFonts w:asciiTheme="majorHAnsi" w:hAnsiTheme="majorHAnsi" w:cstheme="majorHAnsi"/>
            <w:color w:val="808080" w:themeColor="background1" w:themeShade="80"/>
            <w:sz w:val="16"/>
            <w:szCs w:val="16"/>
          </w:rPr>
          <w:t>IACHR Calls on OAS Member States to Bring an End to Racial Discrimination in the Americas</w:t>
        </w:r>
      </w:hyperlink>
      <w:r w:rsidRPr="001167CB">
        <w:rPr>
          <w:rFonts w:asciiTheme="majorHAnsi" w:hAnsiTheme="majorHAnsi" w:cstheme="majorHAnsi"/>
          <w:color w:val="808080" w:themeColor="background1" w:themeShade="80"/>
          <w:sz w:val="16"/>
          <w:szCs w:val="16"/>
        </w:rPr>
        <w:t>, Mar. 20, 2015.</w:t>
      </w:r>
    </w:p>
  </w:footnote>
  <w:footnote w:id="22">
    <w:p w14:paraId="1F08DCC9"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i/>
          <w:color w:val="808080" w:themeColor="background1" w:themeShade="80"/>
          <w:sz w:val="16"/>
          <w:szCs w:val="16"/>
        </w:rPr>
        <w:t>See</w:t>
      </w:r>
      <w:r w:rsidRPr="001167CB">
        <w:rPr>
          <w:rFonts w:asciiTheme="majorHAnsi" w:hAnsiTheme="majorHAnsi" w:cstheme="majorHAnsi"/>
          <w:color w:val="808080" w:themeColor="background1" w:themeShade="80"/>
          <w:sz w:val="16"/>
          <w:szCs w:val="16"/>
        </w:rPr>
        <w:t xml:space="preserve">, IACHR, Report No. 40/04, Case 12.053, Merits, </w:t>
      </w:r>
      <w:hyperlink r:id="rId37" w:history="1">
        <w:r w:rsidRPr="001167CB">
          <w:rPr>
            <w:rStyle w:val="Hyperlink"/>
            <w:rFonts w:asciiTheme="majorHAnsi" w:hAnsiTheme="majorHAnsi" w:cstheme="majorHAnsi"/>
            <w:i/>
            <w:color w:val="808080" w:themeColor="background1" w:themeShade="80"/>
            <w:sz w:val="16"/>
            <w:szCs w:val="16"/>
          </w:rPr>
          <w:t>Maya Indigenous Community</w:t>
        </w:r>
      </w:hyperlink>
      <w:r w:rsidRPr="001167CB">
        <w:rPr>
          <w:rFonts w:asciiTheme="majorHAnsi" w:hAnsiTheme="majorHAnsi" w:cstheme="majorHAnsi"/>
          <w:color w:val="808080" w:themeColor="background1" w:themeShade="80"/>
          <w:sz w:val="16"/>
          <w:szCs w:val="16"/>
        </w:rPr>
        <w:t xml:space="preserve"> (Belize), Oct. 12, 2004, para. 162 [hereinafter “Report 40/04, </w:t>
      </w:r>
      <w:hyperlink r:id="rId38" w:history="1">
        <w:r w:rsidRPr="001167CB">
          <w:rPr>
            <w:rStyle w:val="Hyperlink"/>
            <w:rFonts w:asciiTheme="majorHAnsi" w:hAnsiTheme="majorHAnsi" w:cstheme="majorHAnsi"/>
            <w:i/>
            <w:color w:val="808080" w:themeColor="background1" w:themeShade="80"/>
            <w:sz w:val="16"/>
            <w:szCs w:val="16"/>
          </w:rPr>
          <w:t>Maya Indigenous Community</w:t>
        </w:r>
      </w:hyperlink>
      <w:r w:rsidRPr="001167CB">
        <w:rPr>
          <w:rFonts w:asciiTheme="majorHAnsi" w:hAnsiTheme="majorHAnsi" w:cstheme="majorHAnsi"/>
          <w:color w:val="808080" w:themeColor="background1" w:themeShade="80"/>
          <w:sz w:val="16"/>
          <w:szCs w:val="16"/>
        </w:rPr>
        <w:t xml:space="preserve"> (2004)”]; Report No. 67/06, Case 12.476, Merits, </w:t>
      </w:r>
      <w:hyperlink r:id="rId39" w:history="1">
        <w:r w:rsidRPr="001167CB">
          <w:rPr>
            <w:rStyle w:val="Hyperlink"/>
            <w:rFonts w:asciiTheme="majorHAnsi" w:hAnsiTheme="majorHAnsi" w:cstheme="majorHAnsi"/>
            <w:i/>
            <w:color w:val="808080" w:themeColor="background1" w:themeShade="80"/>
            <w:sz w:val="16"/>
            <w:szCs w:val="16"/>
          </w:rPr>
          <w:t xml:space="preserve">Oscar </w:t>
        </w:r>
        <w:proofErr w:type="spellStart"/>
        <w:r w:rsidRPr="001167CB">
          <w:rPr>
            <w:rStyle w:val="Hyperlink"/>
            <w:rFonts w:asciiTheme="majorHAnsi" w:hAnsiTheme="majorHAnsi" w:cstheme="majorHAnsi"/>
            <w:i/>
            <w:color w:val="808080" w:themeColor="background1" w:themeShade="80"/>
            <w:sz w:val="16"/>
            <w:szCs w:val="16"/>
          </w:rPr>
          <w:t>Elías</w:t>
        </w:r>
        <w:proofErr w:type="spellEnd"/>
        <w:r w:rsidRPr="001167CB">
          <w:rPr>
            <w:rStyle w:val="Hyperlink"/>
            <w:rFonts w:asciiTheme="majorHAnsi" w:hAnsiTheme="majorHAnsi" w:cstheme="majorHAnsi"/>
            <w:i/>
            <w:color w:val="808080" w:themeColor="background1" w:themeShade="80"/>
            <w:sz w:val="16"/>
            <w:szCs w:val="16"/>
          </w:rPr>
          <w:t xml:space="preserve"> </w:t>
        </w:r>
        <w:proofErr w:type="spellStart"/>
        <w:r w:rsidRPr="001167CB">
          <w:rPr>
            <w:rStyle w:val="Hyperlink"/>
            <w:rFonts w:asciiTheme="majorHAnsi" w:hAnsiTheme="majorHAnsi" w:cstheme="majorHAnsi"/>
            <w:i/>
            <w:color w:val="808080" w:themeColor="background1" w:themeShade="80"/>
            <w:sz w:val="16"/>
            <w:szCs w:val="16"/>
          </w:rPr>
          <w:t>Bicet</w:t>
        </w:r>
        <w:proofErr w:type="spellEnd"/>
        <w:r w:rsidRPr="001167CB">
          <w:rPr>
            <w:rStyle w:val="Hyperlink"/>
            <w:rFonts w:asciiTheme="majorHAnsi" w:hAnsiTheme="majorHAnsi" w:cstheme="majorHAnsi"/>
            <w:i/>
            <w:color w:val="808080" w:themeColor="background1" w:themeShade="80"/>
            <w:sz w:val="16"/>
            <w:szCs w:val="16"/>
          </w:rPr>
          <w:t xml:space="preserve"> et al.</w:t>
        </w:r>
      </w:hyperlink>
      <w:r w:rsidRPr="001167CB">
        <w:rPr>
          <w:rFonts w:asciiTheme="majorHAnsi" w:hAnsiTheme="majorHAnsi" w:cstheme="majorHAnsi"/>
          <w:color w:val="808080" w:themeColor="background1" w:themeShade="80"/>
          <w:sz w:val="16"/>
          <w:szCs w:val="16"/>
        </w:rPr>
        <w:t xml:space="preserve"> (Cuba), Oct. 21, 2006, paras. 227-231 [hereinafter “Report No. 67/06, </w:t>
      </w:r>
      <w:hyperlink r:id="rId40" w:history="1">
        <w:r w:rsidRPr="001167CB">
          <w:rPr>
            <w:rStyle w:val="Hyperlink"/>
            <w:rFonts w:asciiTheme="majorHAnsi" w:hAnsiTheme="majorHAnsi" w:cstheme="majorHAnsi"/>
            <w:i/>
            <w:color w:val="808080" w:themeColor="background1" w:themeShade="80"/>
            <w:sz w:val="16"/>
            <w:szCs w:val="16"/>
          </w:rPr>
          <w:t xml:space="preserve">Oscar </w:t>
        </w:r>
        <w:proofErr w:type="spellStart"/>
        <w:r w:rsidRPr="001167CB">
          <w:rPr>
            <w:rStyle w:val="Hyperlink"/>
            <w:rFonts w:asciiTheme="majorHAnsi" w:hAnsiTheme="majorHAnsi" w:cstheme="majorHAnsi"/>
            <w:i/>
            <w:color w:val="808080" w:themeColor="background1" w:themeShade="80"/>
            <w:sz w:val="16"/>
            <w:szCs w:val="16"/>
          </w:rPr>
          <w:t>Elías</w:t>
        </w:r>
        <w:proofErr w:type="spellEnd"/>
        <w:r w:rsidRPr="001167CB">
          <w:rPr>
            <w:rStyle w:val="Hyperlink"/>
            <w:rFonts w:asciiTheme="majorHAnsi" w:hAnsiTheme="majorHAnsi" w:cstheme="majorHAnsi"/>
            <w:i/>
            <w:color w:val="808080" w:themeColor="background1" w:themeShade="80"/>
            <w:sz w:val="16"/>
            <w:szCs w:val="16"/>
          </w:rPr>
          <w:t xml:space="preserve"> </w:t>
        </w:r>
        <w:proofErr w:type="spellStart"/>
        <w:r w:rsidRPr="001167CB">
          <w:rPr>
            <w:rStyle w:val="Hyperlink"/>
            <w:rFonts w:asciiTheme="majorHAnsi" w:hAnsiTheme="majorHAnsi" w:cstheme="majorHAnsi"/>
            <w:i/>
            <w:color w:val="808080" w:themeColor="background1" w:themeShade="80"/>
            <w:sz w:val="16"/>
            <w:szCs w:val="16"/>
          </w:rPr>
          <w:t>Bicet</w:t>
        </w:r>
        <w:proofErr w:type="spellEnd"/>
        <w:r w:rsidRPr="001167CB">
          <w:rPr>
            <w:rStyle w:val="Hyperlink"/>
            <w:rFonts w:asciiTheme="majorHAnsi" w:hAnsiTheme="majorHAnsi" w:cstheme="majorHAnsi"/>
            <w:i/>
            <w:color w:val="808080" w:themeColor="background1" w:themeShade="80"/>
            <w:sz w:val="16"/>
            <w:szCs w:val="16"/>
          </w:rPr>
          <w:t xml:space="preserve"> et al.</w:t>
        </w:r>
      </w:hyperlink>
      <w:r w:rsidRPr="001167CB">
        <w:rPr>
          <w:rFonts w:asciiTheme="majorHAnsi" w:hAnsiTheme="majorHAnsi" w:cstheme="majorHAnsi"/>
          <w:color w:val="808080" w:themeColor="background1" w:themeShade="80"/>
          <w:sz w:val="16"/>
          <w:szCs w:val="16"/>
        </w:rPr>
        <w:t xml:space="preserve"> (2006)”].</w:t>
      </w:r>
    </w:p>
  </w:footnote>
  <w:footnote w:id="23">
    <w:p w14:paraId="320AC804" w14:textId="77777777" w:rsidR="005C2394" w:rsidRPr="001167CB" w:rsidRDefault="005C2394" w:rsidP="002C64F8">
      <w:pPr>
        <w:spacing w:after="40" w:line="240" w:lineRule="auto"/>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i/>
          <w:color w:val="808080" w:themeColor="background1" w:themeShade="80"/>
          <w:sz w:val="16"/>
          <w:szCs w:val="16"/>
        </w:rPr>
        <w:t>See,</w:t>
      </w:r>
      <w:r w:rsidRPr="001167CB">
        <w:rPr>
          <w:rFonts w:asciiTheme="majorHAnsi" w:hAnsiTheme="majorHAnsi" w:cstheme="majorHAnsi"/>
          <w:color w:val="808080" w:themeColor="background1" w:themeShade="80"/>
          <w:sz w:val="16"/>
          <w:szCs w:val="16"/>
        </w:rPr>
        <w:t xml:space="preserve"> IACHR, Report No. 63/08, Case 12.534, Admissibility and Merits, </w:t>
      </w:r>
      <w:hyperlink r:id="rId41" w:history="1">
        <w:r w:rsidRPr="001167CB">
          <w:rPr>
            <w:rStyle w:val="Hyperlink"/>
            <w:rFonts w:asciiTheme="majorHAnsi" w:hAnsiTheme="majorHAnsi" w:cstheme="majorHAnsi"/>
            <w:i/>
            <w:color w:val="808080" w:themeColor="background1" w:themeShade="80"/>
            <w:sz w:val="16"/>
            <w:szCs w:val="16"/>
          </w:rPr>
          <w:t xml:space="preserve">Andrea </w:t>
        </w:r>
        <w:proofErr w:type="spellStart"/>
        <w:r w:rsidRPr="001167CB">
          <w:rPr>
            <w:rStyle w:val="Hyperlink"/>
            <w:rFonts w:asciiTheme="majorHAnsi" w:hAnsiTheme="majorHAnsi" w:cstheme="majorHAnsi"/>
            <w:i/>
            <w:color w:val="808080" w:themeColor="background1" w:themeShade="80"/>
            <w:sz w:val="16"/>
            <w:szCs w:val="16"/>
          </w:rPr>
          <w:t>Mortlock</w:t>
        </w:r>
        <w:proofErr w:type="spellEnd"/>
      </w:hyperlink>
      <w:r w:rsidRPr="001167CB">
        <w:rPr>
          <w:rFonts w:asciiTheme="majorHAnsi" w:hAnsiTheme="majorHAnsi" w:cstheme="majorHAnsi"/>
          <w:color w:val="808080" w:themeColor="background1" w:themeShade="80"/>
          <w:sz w:val="16"/>
          <w:szCs w:val="16"/>
        </w:rPr>
        <w:t xml:space="preserve"> (United States), July 25, 2008, paras. 75-95; Report No. 62/02, Case 12.285, Merits, </w:t>
      </w:r>
      <w:hyperlink r:id="rId42" w:history="1">
        <w:r w:rsidRPr="001167CB">
          <w:rPr>
            <w:rStyle w:val="Hyperlink"/>
            <w:rFonts w:asciiTheme="majorHAnsi" w:hAnsiTheme="majorHAnsi" w:cstheme="majorHAnsi"/>
            <w:i/>
            <w:color w:val="808080" w:themeColor="background1" w:themeShade="80"/>
            <w:sz w:val="16"/>
            <w:szCs w:val="16"/>
          </w:rPr>
          <w:t xml:space="preserve">Michael </w:t>
        </w:r>
        <w:proofErr w:type="spellStart"/>
        <w:r w:rsidRPr="001167CB">
          <w:rPr>
            <w:rStyle w:val="Hyperlink"/>
            <w:rFonts w:asciiTheme="majorHAnsi" w:hAnsiTheme="majorHAnsi" w:cstheme="majorHAnsi"/>
            <w:i/>
            <w:color w:val="808080" w:themeColor="background1" w:themeShade="80"/>
            <w:sz w:val="16"/>
            <w:szCs w:val="16"/>
          </w:rPr>
          <w:t>Domingues</w:t>
        </w:r>
        <w:proofErr w:type="spellEnd"/>
      </w:hyperlink>
      <w:r w:rsidRPr="001167CB">
        <w:rPr>
          <w:rFonts w:asciiTheme="majorHAnsi" w:hAnsiTheme="majorHAnsi" w:cstheme="majorHAnsi"/>
          <w:color w:val="808080" w:themeColor="background1" w:themeShade="80"/>
          <w:sz w:val="16"/>
          <w:szCs w:val="16"/>
        </w:rPr>
        <w:t xml:space="preserve"> (United States), Oct. 22, 2002, paras. 84-87.</w:t>
      </w:r>
    </w:p>
  </w:footnote>
  <w:footnote w:id="24">
    <w:p w14:paraId="62A80663"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highlight w:val="yellow"/>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i/>
          <w:color w:val="808080" w:themeColor="background1" w:themeShade="80"/>
          <w:sz w:val="16"/>
          <w:szCs w:val="16"/>
        </w:rPr>
        <w:t>See</w:t>
      </w:r>
      <w:r w:rsidRPr="001167CB">
        <w:rPr>
          <w:rFonts w:asciiTheme="majorHAnsi" w:hAnsiTheme="majorHAnsi" w:cstheme="majorHAnsi"/>
          <w:color w:val="808080" w:themeColor="background1" w:themeShade="80"/>
          <w:sz w:val="16"/>
          <w:szCs w:val="16"/>
        </w:rPr>
        <w:t xml:space="preserve">, IACHR, Report No. 81/10, Case 12.562, Merits, </w:t>
      </w:r>
      <w:hyperlink r:id="rId43" w:history="1">
        <w:r w:rsidRPr="001167CB">
          <w:rPr>
            <w:rStyle w:val="Hyperlink"/>
            <w:rFonts w:asciiTheme="majorHAnsi" w:hAnsiTheme="majorHAnsi" w:cstheme="majorHAnsi"/>
            <w:i/>
            <w:color w:val="808080" w:themeColor="background1" w:themeShade="80"/>
            <w:sz w:val="16"/>
            <w:szCs w:val="16"/>
          </w:rPr>
          <w:t>Wayne Smith, Hugo Armendariz, et al.</w:t>
        </w:r>
      </w:hyperlink>
      <w:r w:rsidRPr="001167CB">
        <w:rPr>
          <w:rFonts w:asciiTheme="majorHAnsi" w:hAnsiTheme="majorHAnsi" w:cstheme="majorHAnsi"/>
          <w:color w:val="808080" w:themeColor="background1" w:themeShade="80"/>
          <w:sz w:val="16"/>
          <w:szCs w:val="16"/>
        </w:rPr>
        <w:t xml:space="preserve"> (United States), July 12, 2010, paras. 61-65; Report 40/04, </w:t>
      </w:r>
      <w:hyperlink r:id="rId44" w:history="1">
        <w:r w:rsidRPr="001167CB">
          <w:rPr>
            <w:rStyle w:val="Hyperlink"/>
            <w:rFonts w:asciiTheme="majorHAnsi" w:hAnsiTheme="majorHAnsi" w:cstheme="majorHAnsi"/>
            <w:i/>
            <w:color w:val="808080" w:themeColor="background1" w:themeShade="80"/>
            <w:sz w:val="16"/>
            <w:szCs w:val="16"/>
          </w:rPr>
          <w:t>Maya Indigenous Community</w:t>
        </w:r>
      </w:hyperlink>
      <w:r w:rsidRPr="001167CB">
        <w:rPr>
          <w:rFonts w:asciiTheme="majorHAnsi" w:hAnsiTheme="majorHAnsi" w:cstheme="majorHAnsi"/>
          <w:color w:val="808080" w:themeColor="background1" w:themeShade="80"/>
          <w:sz w:val="16"/>
          <w:szCs w:val="16"/>
        </w:rPr>
        <w:t xml:space="preserve"> (2004), paras. 122-135, 162, and 193-196; Report No. 75/02, Case 11.140, Merits, </w:t>
      </w:r>
      <w:hyperlink r:id="rId45" w:history="1">
        <w:r w:rsidRPr="001167CB">
          <w:rPr>
            <w:rStyle w:val="Hyperlink"/>
            <w:rFonts w:asciiTheme="majorHAnsi" w:hAnsiTheme="majorHAnsi" w:cstheme="majorHAnsi"/>
            <w:i/>
            <w:color w:val="808080" w:themeColor="background1" w:themeShade="80"/>
            <w:sz w:val="16"/>
            <w:szCs w:val="16"/>
          </w:rPr>
          <w:t>Mary and Carrie Dann</w:t>
        </w:r>
      </w:hyperlink>
      <w:r w:rsidRPr="001167CB">
        <w:rPr>
          <w:rFonts w:asciiTheme="majorHAnsi" w:hAnsiTheme="majorHAnsi" w:cstheme="majorHAnsi"/>
          <w:color w:val="808080" w:themeColor="background1" w:themeShade="80"/>
          <w:sz w:val="16"/>
          <w:szCs w:val="16"/>
        </w:rPr>
        <w:t xml:space="preserve"> (United States), Dec. 27, 2002, paras. 124-145.</w:t>
      </w:r>
    </w:p>
  </w:footnote>
  <w:footnote w:id="25">
    <w:p w14:paraId="6309E1FF"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IACHR, </w:t>
      </w:r>
      <w:hyperlink r:id="rId46" w:history="1">
        <w:r w:rsidRPr="001167CB">
          <w:rPr>
            <w:rStyle w:val="Hyperlink"/>
            <w:rFonts w:asciiTheme="majorHAnsi" w:hAnsiTheme="majorHAnsi" w:cstheme="majorHAnsi"/>
            <w:color w:val="808080" w:themeColor="background1" w:themeShade="80"/>
            <w:sz w:val="16"/>
            <w:szCs w:val="16"/>
          </w:rPr>
          <w:t>Considerations related to the universal ratification of the American Convention and other Inter-American Human Rights Treaties</w:t>
        </w:r>
      </w:hyperlink>
      <w:r w:rsidRPr="001167CB">
        <w:rPr>
          <w:rFonts w:asciiTheme="majorHAnsi" w:hAnsiTheme="majorHAnsi" w:cstheme="majorHAnsi"/>
          <w:i/>
          <w:color w:val="808080" w:themeColor="background1" w:themeShade="80"/>
          <w:sz w:val="16"/>
          <w:szCs w:val="16"/>
        </w:rPr>
        <w:t>,</w:t>
      </w:r>
      <w:r w:rsidRPr="001167CB">
        <w:rPr>
          <w:rFonts w:asciiTheme="majorHAnsi" w:hAnsiTheme="majorHAnsi" w:cstheme="majorHAnsi"/>
          <w:color w:val="808080" w:themeColor="background1" w:themeShade="80"/>
          <w:sz w:val="16"/>
          <w:szCs w:val="16"/>
        </w:rPr>
        <w:t xml:space="preserve"> OEA/</w:t>
      </w:r>
      <w:proofErr w:type="spellStart"/>
      <w:r w:rsidRPr="001167CB">
        <w:rPr>
          <w:rFonts w:asciiTheme="majorHAnsi" w:hAnsiTheme="majorHAnsi" w:cstheme="majorHAnsi"/>
          <w:color w:val="808080" w:themeColor="background1" w:themeShade="80"/>
          <w:sz w:val="16"/>
          <w:szCs w:val="16"/>
        </w:rPr>
        <w:t>Ser.L</w:t>
      </w:r>
      <w:proofErr w:type="spellEnd"/>
      <w:r w:rsidRPr="001167CB">
        <w:rPr>
          <w:rFonts w:asciiTheme="majorHAnsi" w:hAnsiTheme="majorHAnsi" w:cstheme="majorHAnsi"/>
          <w:color w:val="808080" w:themeColor="background1" w:themeShade="80"/>
          <w:sz w:val="16"/>
          <w:szCs w:val="16"/>
        </w:rPr>
        <w:t>/V/II.152,  Doc.21 (2015), para. 11.</w:t>
      </w:r>
    </w:p>
  </w:footnote>
  <w:footnote w:id="26">
    <w:p w14:paraId="0D2FF245" w14:textId="77777777" w:rsidR="005C2394" w:rsidRPr="001167CB" w:rsidRDefault="005C2394" w:rsidP="002C64F8">
      <w:pPr>
        <w:spacing w:after="40" w:line="240" w:lineRule="auto"/>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i/>
          <w:color w:val="808080" w:themeColor="background1" w:themeShade="80"/>
          <w:sz w:val="16"/>
          <w:szCs w:val="16"/>
        </w:rPr>
        <w:t>See</w:t>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i/>
          <w:color w:val="808080" w:themeColor="background1" w:themeShade="80"/>
          <w:sz w:val="16"/>
          <w:szCs w:val="16"/>
        </w:rPr>
        <w:t>generally</w:t>
      </w:r>
      <w:r w:rsidRPr="001167CB">
        <w:rPr>
          <w:rFonts w:asciiTheme="majorHAnsi" w:hAnsiTheme="majorHAnsi" w:cstheme="majorHAnsi"/>
          <w:color w:val="808080" w:themeColor="background1" w:themeShade="80"/>
          <w:sz w:val="16"/>
          <w:szCs w:val="16"/>
        </w:rPr>
        <w:t xml:space="preserve">, IACHR, Report No. 81/10, Case 12.562, Merits, </w:t>
      </w:r>
      <w:hyperlink r:id="rId47" w:history="1">
        <w:r w:rsidRPr="001167CB">
          <w:rPr>
            <w:rStyle w:val="Hyperlink"/>
            <w:rFonts w:asciiTheme="majorHAnsi" w:hAnsiTheme="majorHAnsi" w:cstheme="majorHAnsi"/>
            <w:i/>
            <w:color w:val="808080" w:themeColor="background1" w:themeShade="80"/>
            <w:sz w:val="16"/>
            <w:szCs w:val="16"/>
          </w:rPr>
          <w:t>Wayne Smith, Hugo Armendariz, et al.</w:t>
        </w:r>
      </w:hyperlink>
      <w:r w:rsidRPr="001167CB">
        <w:rPr>
          <w:rFonts w:asciiTheme="majorHAnsi" w:hAnsiTheme="majorHAnsi" w:cstheme="majorHAnsi"/>
          <w:color w:val="808080" w:themeColor="background1" w:themeShade="80"/>
          <w:sz w:val="16"/>
          <w:szCs w:val="16"/>
        </w:rPr>
        <w:t xml:space="preserve"> (United States), July 12, 2010; Report No. 63/08, Case 12.534, Admissibility and Merits, </w:t>
      </w:r>
      <w:hyperlink r:id="rId48" w:history="1">
        <w:r w:rsidRPr="001167CB">
          <w:rPr>
            <w:rStyle w:val="Hyperlink"/>
            <w:rFonts w:asciiTheme="majorHAnsi" w:hAnsiTheme="majorHAnsi" w:cstheme="majorHAnsi"/>
            <w:i/>
            <w:color w:val="808080" w:themeColor="background1" w:themeShade="80"/>
            <w:sz w:val="16"/>
            <w:szCs w:val="16"/>
          </w:rPr>
          <w:t xml:space="preserve">Andrea </w:t>
        </w:r>
        <w:proofErr w:type="spellStart"/>
        <w:r w:rsidRPr="001167CB">
          <w:rPr>
            <w:rStyle w:val="Hyperlink"/>
            <w:rFonts w:asciiTheme="majorHAnsi" w:hAnsiTheme="majorHAnsi" w:cstheme="majorHAnsi"/>
            <w:i/>
            <w:color w:val="808080" w:themeColor="background1" w:themeShade="80"/>
            <w:sz w:val="16"/>
            <w:szCs w:val="16"/>
          </w:rPr>
          <w:t>Mortlock</w:t>
        </w:r>
        <w:proofErr w:type="spellEnd"/>
      </w:hyperlink>
      <w:r w:rsidRPr="001167CB">
        <w:rPr>
          <w:rFonts w:asciiTheme="majorHAnsi" w:hAnsiTheme="majorHAnsi" w:cstheme="majorHAnsi"/>
          <w: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 xml:space="preserve">(United States), July 25, 2008; Report 40/04, </w:t>
      </w:r>
      <w:hyperlink r:id="rId49" w:history="1">
        <w:r w:rsidRPr="001167CB">
          <w:rPr>
            <w:rStyle w:val="Hyperlink"/>
            <w:rFonts w:asciiTheme="majorHAnsi" w:hAnsiTheme="majorHAnsi" w:cstheme="majorHAnsi"/>
            <w:i/>
            <w:color w:val="808080" w:themeColor="background1" w:themeShade="80"/>
            <w:sz w:val="16"/>
            <w:szCs w:val="16"/>
          </w:rPr>
          <w:t>Maya Indigenous Community</w:t>
        </w:r>
      </w:hyperlink>
      <w:r w:rsidRPr="001167CB">
        <w:rPr>
          <w:rFonts w:asciiTheme="majorHAnsi" w:hAnsiTheme="majorHAnsi" w:cstheme="majorHAnsi"/>
          <w:color w:val="808080" w:themeColor="background1" w:themeShade="80"/>
          <w:sz w:val="16"/>
          <w:szCs w:val="16"/>
        </w:rPr>
        <w:t xml:space="preserve"> (2004); Report No. 75/02, Case 11.140, Merits, </w:t>
      </w:r>
      <w:hyperlink r:id="rId50" w:history="1">
        <w:r w:rsidRPr="001167CB">
          <w:rPr>
            <w:rStyle w:val="Hyperlink"/>
            <w:rFonts w:asciiTheme="majorHAnsi" w:hAnsiTheme="majorHAnsi" w:cstheme="majorHAnsi"/>
            <w:i/>
            <w:color w:val="808080" w:themeColor="background1" w:themeShade="80"/>
            <w:sz w:val="16"/>
            <w:szCs w:val="16"/>
          </w:rPr>
          <w:t>Mary and Carrie Dann</w:t>
        </w:r>
      </w:hyperlink>
      <w:r w:rsidRPr="001167CB">
        <w:rPr>
          <w:rFonts w:asciiTheme="majorHAnsi" w:hAnsiTheme="majorHAnsi" w:cstheme="majorHAnsi"/>
          <w:color w:val="808080" w:themeColor="background1" w:themeShade="80"/>
          <w:sz w:val="16"/>
          <w:szCs w:val="16"/>
        </w:rPr>
        <w:t xml:space="preserve"> (United States), Dec. 27, 2002; Report No. 62/02, Case 12.285, Merits, </w:t>
      </w:r>
      <w:hyperlink r:id="rId51" w:history="1">
        <w:r w:rsidRPr="001167CB">
          <w:rPr>
            <w:rStyle w:val="Hyperlink"/>
            <w:rFonts w:asciiTheme="majorHAnsi" w:hAnsiTheme="majorHAnsi" w:cstheme="majorHAnsi"/>
            <w:i/>
            <w:color w:val="808080" w:themeColor="background1" w:themeShade="80"/>
            <w:sz w:val="16"/>
            <w:szCs w:val="16"/>
          </w:rPr>
          <w:t xml:space="preserve">Michael </w:t>
        </w:r>
        <w:proofErr w:type="spellStart"/>
        <w:r w:rsidRPr="001167CB">
          <w:rPr>
            <w:rStyle w:val="Hyperlink"/>
            <w:rFonts w:asciiTheme="majorHAnsi" w:hAnsiTheme="majorHAnsi" w:cstheme="majorHAnsi"/>
            <w:i/>
            <w:color w:val="808080" w:themeColor="background1" w:themeShade="80"/>
            <w:sz w:val="16"/>
            <w:szCs w:val="16"/>
          </w:rPr>
          <w:t>Domingues</w:t>
        </w:r>
        <w:proofErr w:type="spellEnd"/>
      </w:hyperlink>
      <w:r w:rsidRPr="001167CB">
        <w:rPr>
          <w:rFonts w:asciiTheme="majorHAnsi" w:hAnsiTheme="majorHAnsi" w:cstheme="majorHAnsi"/>
          <w:color w:val="808080" w:themeColor="background1" w:themeShade="80"/>
          <w:sz w:val="16"/>
          <w:szCs w:val="16"/>
        </w:rPr>
        <w:t xml:space="preserve"> (United States), Oct. 22, 2002.  </w:t>
      </w:r>
    </w:p>
  </w:footnote>
  <w:footnote w:id="27">
    <w:p w14:paraId="036DF37F" w14:textId="741AC54A"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i/>
          <w:color w:val="808080" w:themeColor="background1" w:themeShade="80"/>
          <w:sz w:val="16"/>
          <w:szCs w:val="16"/>
        </w:rPr>
        <w:t xml:space="preserve">See </w:t>
      </w:r>
      <w:r w:rsidRPr="001167CB">
        <w:rPr>
          <w:rFonts w:asciiTheme="majorHAnsi" w:hAnsiTheme="majorHAnsi" w:cstheme="majorHAnsi"/>
          <w:color w:val="808080" w:themeColor="background1" w:themeShade="80"/>
          <w:sz w:val="16"/>
          <w:szCs w:val="16"/>
        </w:rPr>
        <w:t xml:space="preserve">IACHR, </w:t>
      </w:r>
      <w:hyperlink r:id="rId52" w:history="1">
        <w:r w:rsidRPr="001167CB">
          <w:rPr>
            <w:rStyle w:val="Hyperlink"/>
            <w:rFonts w:asciiTheme="majorHAnsi" w:hAnsiTheme="majorHAnsi" w:cstheme="majorHAnsi"/>
            <w:color w:val="808080" w:themeColor="background1" w:themeShade="80"/>
            <w:sz w:val="16"/>
            <w:szCs w:val="16"/>
          </w:rPr>
          <w:t>Situation of Human Rights in the Dominican Republic</w:t>
        </w:r>
      </w:hyperlink>
      <w:r w:rsidRPr="001167CB">
        <w:rPr>
          <w:rFonts w:asciiTheme="majorHAnsi" w:hAnsiTheme="majorHAnsi" w:cstheme="majorHAnsi"/>
          <w:color w:val="808080" w:themeColor="background1" w:themeShade="80"/>
          <w:sz w:val="16"/>
          <w:szCs w:val="16"/>
        </w:rPr>
        <w:t>, OEA/</w:t>
      </w:r>
      <w:proofErr w:type="spellStart"/>
      <w:r w:rsidRPr="001167CB">
        <w:rPr>
          <w:rFonts w:asciiTheme="majorHAnsi" w:hAnsiTheme="majorHAnsi" w:cstheme="majorHAnsi"/>
          <w:color w:val="808080" w:themeColor="background1" w:themeShade="80"/>
          <w:sz w:val="16"/>
          <w:szCs w:val="16"/>
        </w:rPr>
        <w:t>Ser.L</w:t>
      </w:r>
      <w:proofErr w:type="spellEnd"/>
      <w:r w:rsidRPr="001167CB">
        <w:rPr>
          <w:rFonts w:asciiTheme="majorHAnsi" w:hAnsiTheme="majorHAnsi" w:cstheme="majorHAnsi"/>
          <w:color w:val="808080" w:themeColor="background1" w:themeShade="80"/>
          <w:sz w:val="16"/>
          <w:szCs w:val="16"/>
        </w:rPr>
        <w:t xml:space="preserve">/V/II, Doc. 45/15 (2015), para. 93 [hereinafter “Human Rights in the Dominican Republic”]. </w:t>
      </w:r>
      <w:r w:rsidRPr="001167CB">
        <w:rPr>
          <w:rFonts w:asciiTheme="majorHAnsi" w:hAnsiTheme="majorHAnsi" w:cstheme="majorHAnsi"/>
          <w:i/>
          <w:color w:val="808080" w:themeColor="background1" w:themeShade="80"/>
          <w:sz w:val="16"/>
          <w:szCs w:val="16"/>
        </w:rPr>
        <w:t>See also infra</w:t>
      </w:r>
      <w:r w:rsidRPr="001167CB">
        <w:rPr>
          <w:rFonts w:asciiTheme="majorHAnsi" w:hAnsiTheme="majorHAnsi" w:cstheme="majorHAnsi"/>
          <w:color w:val="808080" w:themeColor="background1" w:themeShade="80"/>
          <w:sz w:val="16"/>
          <w:szCs w:val="16"/>
        </w:rPr>
        <w:t xml:space="preserve"> paras. </w:t>
      </w:r>
      <w:r w:rsidRPr="001167CB">
        <w:rPr>
          <w:rFonts w:asciiTheme="majorHAnsi" w:hAnsiTheme="majorHAnsi" w:cstheme="majorHAnsi"/>
          <w:color w:val="808080" w:themeColor="background1" w:themeShade="80"/>
          <w:sz w:val="16"/>
          <w:szCs w:val="16"/>
        </w:rPr>
        <w:fldChar w:fldCharType="begin"/>
      </w:r>
      <w:r w:rsidRPr="001167CB">
        <w:rPr>
          <w:rFonts w:asciiTheme="majorHAnsi" w:hAnsiTheme="majorHAnsi" w:cstheme="majorHAnsi"/>
          <w:color w:val="808080" w:themeColor="background1" w:themeShade="80"/>
          <w:sz w:val="16"/>
          <w:szCs w:val="16"/>
        </w:rPr>
        <w:instrText xml:space="preserve"> REF _Ref508009411 \r \h  \* MERGEFORMAT </w:instrText>
      </w:r>
      <w:r w:rsidRPr="001167CB">
        <w:rPr>
          <w:rFonts w:asciiTheme="majorHAnsi" w:hAnsiTheme="majorHAnsi" w:cstheme="majorHAnsi"/>
          <w:color w:val="808080" w:themeColor="background1" w:themeShade="80"/>
          <w:sz w:val="16"/>
          <w:szCs w:val="16"/>
        </w:rPr>
      </w:r>
      <w:r w:rsidRPr="001167CB">
        <w:rPr>
          <w:rFonts w:asciiTheme="majorHAnsi" w:hAnsiTheme="majorHAnsi" w:cstheme="majorHAnsi"/>
          <w:color w:val="808080" w:themeColor="background1" w:themeShade="80"/>
          <w:sz w:val="16"/>
          <w:szCs w:val="16"/>
        </w:rPr>
        <w:fldChar w:fldCharType="separate"/>
      </w:r>
      <w:r w:rsidRPr="001167CB">
        <w:rPr>
          <w:rFonts w:asciiTheme="majorHAnsi" w:hAnsiTheme="majorHAnsi" w:cstheme="majorHAnsi"/>
          <w:color w:val="808080" w:themeColor="background1" w:themeShade="80"/>
          <w:sz w:val="16"/>
          <w:szCs w:val="16"/>
        </w:rPr>
        <w:t>254</w:t>
      </w:r>
      <w:r w:rsidRPr="001167CB">
        <w:rPr>
          <w:rFonts w:asciiTheme="majorHAnsi" w:hAnsiTheme="majorHAnsi" w:cstheme="majorHAnsi"/>
          <w:color w:val="808080" w:themeColor="background1" w:themeShade="80"/>
          <w:sz w:val="16"/>
          <w:szCs w:val="16"/>
        </w:rPr>
        <w:fldChar w:fldCharType="end"/>
      </w:r>
      <w:r w:rsidRPr="001167CB">
        <w:rPr>
          <w:rFonts w:asciiTheme="majorHAnsi" w:hAnsiTheme="majorHAnsi" w:cstheme="majorHAnsi"/>
          <w:color w:val="808080" w:themeColor="background1" w:themeShade="80"/>
          <w:sz w:val="16"/>
          <w:szCs w:val="16"/>
        </w:rPr>
        <w:t>-</w:t>
      </w:r>
      <w:r w:rsidRPr="001167CB">
        <w:rPr>
          <w:rFonts w:asciiTheme="majorHAnsi" w:hAnsiTheme="majorHAnsi" w:cstheme="majorHAnsi"/>
          <w:color w:val="808080" w:themeColor="background1" w:themeShade="80"/>
          <w:sz w:val="16"/>
          <w:szCs w:val="16"/>
        </w:rPr>
        <w:fldChar w:fldCharType="begin"/>
      </w:r>
      <w:r w:rsidRPr="001167CB">
        <w:rPr>
          <w:rFonts w:asciiTheme="majorHAnsi" w:hAnsiTheme="majorHAnsi" w:cstheme="majorHAnsi"/>
          <w:color w:val="808080" w:themeColor="background1" w:themeShade="80"/>
          <w:sz w:val="16"/>
          <w:szCs w:val="16"/>
        </w:rPr>
        <w:instrText xml:space="preserve"> REF _Ref507497229 \r \h  \* MERGEFORMAT </w:instrText>
      </w:r>
      <w:r w:rsidRPr="001167CB">
        <w:rPr>
          <w:rFonts w:asciiTheme="majorHAnsi" w:hAnsiTheme="majorHAnsi" w:cstheme="majorHAnsi"/>
          <w:color w:val="808080" w:themeColor="background1" w:themeShade="80"/>
          <w:sz w:val="16"/>
          <w:szCs w:val="16"/>
        </w:rPr>
      </w:r>
      <w:r w:rsidRPr="001167CB">
        <w:rPr>
          <w:rFonts w:asciiTheme="majorHAnsi" w:hAnsiTheme="majorHAnsi" w:cstheme="majorHAnsi"/>
          <w:color w:val="808080" w:themeColor="background1" w:themeShade="80"/>
          <w:sz w:val="16"/>
          <w:szCs w:val="16"/>
        </w:rPr>
        <w:fldChar w:fldCharType="separate"/>
      </w:r>
      <w:r w:rsidRPr="001167CB">
        <w:rPr>
          <w:rFonts w:asciiTheme="majorHAnsi" w:hAnsiTheme="majorHAnsi" w:cstheme="majorHAnsi"/>
          <w:color w:val="808080" w:themeColor="background1" w:themeShade="80"/>
          <w:sz w:val="16"/>
          <w:szCs w:val="16"/>
        </w:rPr>
        <w:t>255</w:t>
      </w:r>
      <w:r w:rsidRPr="001167CB">
        <w:rPr>
          <w:rFonts w:asciiTheme="majorHAnsi" w:hAnsiTheme="majorHAnsi" w:cstheme="majorHAnsi"/>
          <w:color w:val="808080" w:themeColor="background1" w:themeShade="80"/>
          <w:sz w:val="16"/>
          <w:szCs w:val="16"/>
        </w:rPr>
        <w:fldChar w:fldCharType="end"/>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fldChar w:fldCharType="begin"/>
      </w:r>
      <w:r w:rsidRPr="001167CB">
        <w:rPr>
          <w:rFonts w:asciiTheme="majorHAnsi" w:hAnsiTheme="majorHAnsi" w:cstheme="majorHAnsi"/>
          <w:color w:val="808080" w:themeColor="background1" w:themeShade="80"/>
          <w:sz w:val="16"/>
          <w:szCs w:val="16"/>
        </w:rPr>
        <w:instrText xml:space="preserve"> REF _Ref507677509 \r \h  \* MERGEFORMAT </w:instrText>
      </w:r>
      <w:r w:rsidRPr="001167CB">
        <w:rPr>
          <w:rFonts w:asciiTheme="majorHAnsi" w:hAnsiTheme="majorHAnsi" w:cstheme="majorHAnsi"/>
          <w:color w:val="808080" w:themeColor="background1" w:themeShade="80"/>
          <w:sz w:val="16"/>
          <w:szCs w:val="16"/>
        </w:rPr>
      </w:r>
      <w:r w:rsidRPr="001167CB">
        <w:rPr>
          <w:rFonts w:asciiTheme="majorHAnsi" w:hAnsiTheme="majorHAnsi" w:cstheme="majorHAnsi"/>
          <w:color w:val="808080" w:themeColor="background1" w:themeShade="80"/>
          <w:sz w:val="16"/>
          <w:szCs w:val="16"/>
        </w:rPr>
        <w:fldChar w:fldCharType="separate"/>
      </w:r>
      <w:r w:rsidRPr="001167CB">
        <w:rPr>
          <w:rFonts w:asciiTheme="majorHAnsi" w:hAnsiTheme="majorHAnsi" w:cstheme="majorHAnsi"/>
          <w:color w:val="808080" w:themeColor="background1" w:themeShade="80"/>
          <w:sz w:val="16"/>
          <w:szCs w:val="16"/>
        </w:rPr>
        <w:t>294</w:t>
      </w:r>
      <w:r w:rsidRPr="001167CB">
        <w:rPr>
          <w:rFonts w:asciiTheme="majorHAnsi" w:hAnsiTheme="majorHAnsi" w:cstheme="majorHAnsi"/>
          <w:color w:val="808080" w:themeColor="background1" w:themeShade="80"/>
          <w:sz w:val="16"/>
          <w:szCs w:val="16"/>
        </w:rPr>
        <w:fldChar w:fldCharType="end"/>
      </w:r>
      <w:r w:rsidRPr="001167CB">
        <w:rPr>
          <w:rFonts w:asciiTheme="majorHAnsi" w:hAnsiTheme="majorHAnsi" w:cstheme="majorHAnsi"/>
          <w:color w:val="808080" w:themeColor="background1" w:themeShade="80"/>
          <w:sz w:val="16"/>
          <w:szCs w:val="16"/>
        </w:rPr>
        <w:t>.</w:t>
      </w:r>
    </w:p>
  </w:footnote>
  <w:footnote w:id="28">
    <w:p w14:paraId="2C230BFB"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i/>
          <w:color w:val="808080" w:themeColor="background1" w:themeShade="80"/>
          <w:sz w:val="16"/>
          <w:szCs w:val="16"/>
        </w:rPr>
        <w:t>See</w:t>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i/>
          <w:color w:val="808080" w:themeColor="background1" w:themeShade="80"/>
          <w:sz w:val="16"/>
          <w:szCs w:val="16"/>
        </w:rPr>
        <w:t>e.g.</w:t>
      </w:r>
      <w:r w:rsidRPr="001167CB">
        <w:rPr>
          <w:rFonts w:asciiTheme="majorHAnsi" w:hAnsiTheme="majorHAnsi" w:cstheme="majorHAnsi"/>
          <w:color w:val="808080" w:themeColor="background1" w:themeShade="80"/>
          <w:sz w:val="16"/>
          <w:szCs w:val="16"/>
        </w:rPr>
        <w:t xml:space="preserve">, Justin Hansford, </w:t>
      </w:r>
      <w:hyperlink r:id="rId53" w:history="1">
        <w:r w:rsidRPr="001167CB">
          <w:rPr>
            <w:rStyle w:val="Hyperlink"/>
            <w:rFonts w:asciiTheme="majorHAnsi" w:hAnsiTheme="majorHAnsi" w:cstheme="majorHAnsi"/>
            <w:color w:val="808080" w:themeColor="background1" w:themeShade="80"/>
            <w:sz w:val="16"/>
            <w:szCs w:val="16"/>
          </w:rPr>
          <w:t>The First Amendment Freedom of Assembly as a Racial Project</w:t>
        </w:r>
      </w:hyperlink>
      <w:r w:rsidRPr="001167CB">
        <w:rPr>
          <w:rFonts w:asciiTheme="majorHAnsi" w:hAnsiTheme="majorHAnsi" w:cstheme="majorHAnsi"/>
          <w:color w:val="808080" w:themeColor="background1" w:themeShade="80"/>
          <w:sz w:val="16"/>
          <w:szCs w:val="16"/>
        </w:rPr>
        <w:t>, 127 Yale L.J. Forum, Jan. 20, 2018.</w:t>
      </w:r>
    </w:p>
  </w:footnote>
  <w:footnote w:id="29">
    <w:p w14:paraId="578F628A" w14:textId="673849C2"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i/>
          <w:color w:val="808080" w:themeColor="background1" w:themeShade="80"/>
          <w:sz w:val="16"/>
          <w:szCs w:val="16"/>
        </w:rPr>
        <w:t>See infra</w:t>
      </w:r>
      <w:r w:rsidRPr="001167CB">
        <w:rPr>
          <w:rFonts w:asciiTheme="majorHAnsi" w:hAnsiTheme="majorHAnsi" w:cstheme="majorHAnsi"/>
          <w:color w:val="808080" w:themeColor="background1" w:themeShade="80"/>
          <w:sz w:val="16"/>
          <w:szCs w:val="16"/>
        </w:rPr>
        <w:t xml:space="preserve"> para. </w:t>
      </w:r>
      <w:r w:rsidRPr="001167CB">
        <w:rPr>
          <w:rFonts w:asciiTheme="majorHAnsi" w:hAnsiTheme="majorHAnsi" w:cstheme="majorHAnsi"/>
          <w:color w:val="808080" w:themeColor="background1" w:themeShade="80"/>
          <w:sz w:val="16"/>
          <w:szCs w:val="16"/>
        </w:rPr>
        <w:fldChar w:fldCharType="begin"/>
      </w:r>
      <w:r w:rsidRPr="001167CB">
        <w:rPr>
          <w:rFonts w:asciiTheme="majorHAnsi" w:hAnsiTheme="majorHAnsi" w:cstheme="majorHAnsi"/>
          <w:color w:val="808080" w:themeColor="background1" w:themeShade="80"/>
          <w:sz w:val="16"/>
          <w:szCs w:val="16"/>
        </w:rPr>
        <w:instrText xml:space="preserve"> REF _Ref507079616 \r \h  \* MERGEFORMAT </w:instrText>
      </w:r>
      <w:r w:rsidRPr="001167CB">
        <w:rPr>
          <w:rFonts w:asciiTheme="majorHAnsi" w:hAnsiTheme="majorHAnsi" w:cstheme="majorHAnsi"/>
          <w:color w:val="808080" w:themeColor="background1" w:themeShade="80"/>
          <w:sz w:val="16"/>
          <w:szCs w:val="16"/>
        </w:rPr>
      </w:r>
      <w:r w:rsidRPr="001167CB">
        <w:rPr>
          <w:rFonts w:asciiTheme="majorHAnsi" w:hAnsiTheme="majorHAnsi" w:cstheme="majorHAnsi"/>
          <w:color w:val="808080" w:themeColor="background1" w:themeShade="80"/>
          <w:sz w:val="16"/>
          <w:szCs w:val="16"/>
        </w:rPr>
        <w:fldChar w:fldCharType="separate"/>
      </w:r>
      <w:r w:rsidRPr="001167CB">
        <w:rPr>
          <w:rFonts w:asciiTheme="majorHAnsi" w:hAnsiTheme="majorHAnsi" w:cstheme="majorHAnsi"/>
          <w:color w:val="808080" w:themeColor="background1" w:themeShade="80"/>
          <w:sz w:val="16"/>
          <w:szCs w:val="16"/>
        </w:rPr>
        <w:t>48</w:t>
      </w:r>
      <w:r w:rsidRPr="001167CB">
        <w:rPr>
          <w:rFonts w:asciiTheme="majorHAnsi" w:hAnsiTheme="majorHAnsi" w:cstheme="majorHAnsi"/>
          <w:color w:val="808080" w:themeColor="background1" w:themeShade="80"/>
          <w:sz w:val="16"/>
          <w:szCs w:val="16"/>
        </w:rPr>
        <w:fldChar w:fldCharType="end"/>
      </w:r>
      <w:r w:rsidRPr="001167CB">
        <w:rPr>
          <w:rFonts w:asciiTheme="majorHAnsi" w:hAnsiTheme="majorHAnsi" w:cstheme="majorHAnsi"/>
          <w:color w:val="808080" w:themeColor="background1" w:themeShade="80"/>
          <w:sz w:val="16"/>
          <w:szCs w:val="16"/>
        </w:rPr>
        <w:t>.</w:t>
      </w:r>
    </w:p>
  </w:footnote>
  <w:footnote w:id="30">
    <w:p w14:paraId="32C4377A"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eastAsia="Times New Roman" w:hAnsiTheme="majorHAnsi" w:cstheme="majorHAnsi"/>
          <w:bCs/>
          <w:color w:val="808080" w:themeColor="background1" w:themeShade="80"/>
          <w:sz w:val="16"/>
          <w:szCs w:val="16"/>
          <w:lang w:eastAsia="es-ES"/>
        </w:rPr>
        <w:t xml:space="preserve">IACHR, </w:t>
      </w:r>
      <w:hyperlink r:id="rId54" w:history="1">
        <w:r w:rsidRPr="001167CB">
          <w:rPr>
            <w:rStyle w:val="Hyperlink"/>
            <w:rFonts w:asciiTheme="majorHAnsi" w:eastAsia="Times New Roman" w:hAnsiTheme="majorHAnsi" w:cstheme="majorHAnsi"/>
            <w:bCs/>
            <w:color w:val="808080" w:themeColor="background1" w:themeShade="80"/>
            <w:sz w:val="16"/>
            <w:szCs w:val="16"/>
            <w:lang w:eastAsia="es-ES"/>
          </w:rPr>
          <w:t>The Situation of People of African Descent in the Americas</w:t>
        </w:r>
      </w:hyperlink>
      <w:r w:rsidRPr="001167CB">
        <w:rPr>
          <w:rFonts w:asciiTheme="majorHAnsi" w:eastAsia="Times New Roman" w:hAnsiTheme="majorHAnsi" w:cstheme="majorHAnsi"/>
          <w:bCs/>
          <w:color w:val="808080" w:themeColor="background1" w:themeShade="80"/>
          <w:sz w:val="16"/>
          <w:szCs w:val="16"/>
          <w:lang w:eastAsia="es-ES"/>
        </w:rPr>
        <w:t>, OEA/</w:t>
      </w:r>
      <w:proofErr w:type="spellStart"/>
      <w:r w:rsidRPr="001167CB">
        <w:rPr>
          <w:rFonts w:asciiTheme="majorHAnsi" w:eastAsia="Times New Roman" w:hAnsiTheme="majorHAnsi" w:cstheme="majorHAnsi"/>
          <w:bCs/>
          <w:color w:val="808080" w:themeColor="background1" w:themeShade="80"/>
          <w:sz w:val="16"/>
          <w:szCs w:val="16"/>
          <w:lang w:eastAsia="es-ES"/>
        </w:rPr>
        <w:t>Ser.L</w:t>
      </w:r>
      <w:proofErr w:type="spellEnd"/>
      <w:r w:rsidRPr="001167CB">
        <w:rPr>
          <w:rFonts w:asciiTheme="majorHAnsi" w:eastAsia="Times New Roman" w:hAnsiTheme="majorHAnsi" w:cstheme="majorHAnsi"/>
          <w:bCs/>
          <w:color w:val="808080" w:themeColor="background1" w:themeShade="80"/>
          <w:sz w:val="16"/>
          <w:szCs w:val="16"/>
          <w:lang w:eastAsia="es-ES"/>
        </w:rPr>
        <w:t xml:space="preserve">/V/II., Doc. 62 (2011) [hereinafter “People of African Descent in the Americas”], </w:t>
      </w:r>
      <w:r w:rsidRPr="001167CB">
        <w:rPr>
          <w:rFonts w:asciiTheme="majorHAnsi" w:eastAsia="Times New Roman" w:hAnsiTheme="majorHAnsi" w:cstheme="majorHAnsi"/>
          <w:color w:val="808080" w:themeColor="background1" w:themeShade="80"/>
          <w:sz w:val="16"/>
          <w:szCs w:val="16"/>
          <w:lang w:eastAsia="es-ES"/>
        </w:rPr>
        <w:t>paras. 42, 46.</w:t>
      </w:r>
    </w:p>
  </w:footnote>
  <w:footnote w:id="31">
    <w:p w14:paraId="2C911A04"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U.N., Comm. Elimination of Racial Discrimination, </w:t>
      </w:r>
      <w:r w:rsidRPr="001167CB">
        <w:rPr>
          <w:rFonts w:asciiTheme="majorHAnsi" w:hAnsiTheme="majorHAnsi" w:cstheme="majorHAnsi"/>
          <w:i/>
          <w:color w:val="808080" w:themeColor="background1" w:themeShade="80"/>
          <w:sz w:val="16"/>
          <w:szCs w:val="16"/>
        </w:rPr>
        <w:t>General recommendation No. 34: Racial discrimination against people of African descent</w:t>
      </w:r>
      <w:r w:rsidRPr="001167CB">
        <w:rPr>
          <w:rFonts w:asciiTheme="majorHAnsi" w:hAnsiTheme="majorHAnsi" w:cstheme="majorHAnsi"/>
          <w:color w:val="808080" w:themeColor="background1" w:themeShade="80"/>
          <w:sz w:val="16"/>
          <w:szCs w:val="16"/>
        </w:rPr>
        <w:t>, 79th session, CERD/C/GC/34, Oct. 3, 2011, para. 6.</w:t>
      </w:r>
    </w:p>
  </w:footnote>
  <w:footnote w:id="32">
    <w:p w14:paraId="559FC4FF"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IACHR, </w:t>
      </w:r>
      <w:hyperlink r:id="rId55" w:history="1">
        <w:r w:rsidRPr="001167CB">
          <w:rPr>
            <w:rStyle w:val="Hyperlink"/>
            <w:rFonts w:asciiTheme="majorHAnsi" w:hAnsiTheme="majorHAnsi" w:cstheme="majorHAnsi"/>
            <w:color w:val="808080" w:themeColor="background1" w:themeShade="80"/>
            <w:sz w:val="16"/>
            <w:szCs w:val="16"/>
          </w:rPr>
          <w:t>Human Rights in the Dominican Republic</w:t>
        </w:r>
      </w:hyperlink>
      <w:r w:rsidRPr="001167CB">
        <w:rPr>
          <w:rFonts w:asciiTheme="majorHAnsi" w:hAnsiTheme="majorHAnsi" w:cstheme="majorHAnsi"/>
          <w:color w:val="808080" w:themeColor="background1" w:themeShade="80"/>
          <w:sz w:val="16"/>
          <w:szCs w:val="16"/>
        </w:rPr>
        <w:t xml:space="preserve"> (2015), para.  368 (citation omitted).</w:t>
      </w:r>
    </w:p>
  </w:footnote>
  <w:footnote w:id="33">
    <w:p w14:paraId="6D5557A8"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Id. (citing, </w:t>
      </w:r>
      <w:r w:rsidRPr="001167CB">
        <w:rPr>
          <w:rFonts w:asciiTheme="majorHAnsi" w:hAnsiTheme="majorHAnsi" w:cstheme="majorHAnsi"/>
          <w:i/>
          <w:color w:val="808080" w:themeColor="background1" w:themeShade="80"/>
          <w:sz w:val="16"/>
          <w:szCs w:val="16"/>
        </w:rPr>
        <w:t>inter alia</w:t>
      </w:r>
      <w:r w:rsidRPr="001167CB">
        <w:rPr>
          <w:rFonts w:asciiTheme="majorHAnsi" w:hAnsiTheme="majorHAnsi" w:cstheme="majorHAnsi"/>
          <w:color w:val="808080" w:themeColor="background1" w:themeShade="80"/>
          <w:sz w:val="16"/>
          <w:szCs w:val="16"/>
        </w:rPr>
        <w:t xml:space="preserve">, IACHR, Report No. 64/12, Case 12.271, Merits, </w:t>
      </w:r>
      <w:r w:rsidRPr="001167CB">
        <w:rPr>
          <w:rFonts w:asciiTheme="majorHAnsi" w:hAnsiTheme="majorHAnsi" w:cstheme="majorHAnsi"/>
          <w:i/>
          <w:color w:val="808080" w:themeColor="background1" w:themeShade="80"/>
          <w:sz w:val="16"/>
          <w:szCs w:val="16"/>
        </w:rPr>
        <w:t>Benito Tide Méndez et al.</w:t>
      </w:r>
      <w:r w:rsidRPr="001167CB">
        <w:rPr>
          <w:rFonts w:asciiTheme="majorHAnsi" w:hAnsiTheme="majorHAnsi" w:cstheme="majorHAnsi"/>
          <w:color w:val="808080" w:themeColor="background1" w:themeShade="80"/>
          <w:sz w:val="16"/>
          <w:szCs w:val="16"/>
        </w:rPr>
        <w:t xml:space="preserve"> (Dominican Republic), Mar. 29, 2012, para. 53); </w:t>
      </w:r>
      <w:r w:rsidRPr="001167CB">
        <w:rPr>
          <w:rFonts w:asciiTheme="majorHAnsi" w:hAnsiTheme="majorHAnsi" w:cstheme="majorHAnsi"/>
          <w:i/>
          <w:color w:val="808080" w:themeColor="background1" w:themeShade="80"/>
          <w:sz w:val="16"/>
          <w:szCs w:val="16"/>
        </w:rPr>
        <w:t>see also</w:t>
      </w:r>
      <w:r w:rsidRPr="001167CB">
        <w:rPr>
          <w:rFonts w:asciiTheme="majorHAnsi" w:hAnsiTheme="majorHAnsi" w:cstheme="majorHAnsi"/>
          <w:color w:val="808080" w:themeColor="background1" w:themeShade="80"/>
          <w:sz w:val="16"/>
          <w:szCs w:val="16"/>
        </w:rPr>
        <w:t xml:space="preserve"> I/A Ct. H.R., </w:t>
      </w:r>
      <w:r w:rsidRPr="001167CB">
        <w:rPr>
          <w:rFonts w:asciiTheme="majorHAnsi" w:hAnsiTheme="majorHAnsi" w:cstheme="majorHAnsi"/>
          <w:i/>
          <w:color w:val="808080" w:themeColor="background1" w:themeShade="80"/>
          <w:sz w:val="16"/>
          <w:szCs w:val="16"/>
        </w:rPr>
        <w:t xml:space="preserve">Hacienda </w:t>
      </w:r>
      <w:proofErr w:type="spellStart"/>
      <w:r w:rsidRPr="001167CB">
        <w:rPr>
          <w:rFonts w:asciiTheme="majorHAnsi" w:hAnsiTheme="majorHAnsi" w:cstheme="majorHAnsi"/>
          <w:i/>
          <w:color w:val="808080" w:themeColor="background1" w:themeShade="80"/>
          <w:sz w:val="16"/>
          <w:szCs w:val="16"/>
        </w:rPr>
        <w:t>Brasil</w:t>
      </w:r>
      <w:proofErr w:type="spellEnd"/>
      <w:r w:rsidRPr="001167CB">
        <w:rPr>
          <w:rFonts w:asciiTheme="majorHAnsi" w:hAnsiTheme="majorHAnsi" w:cstheme="majorHAnsi"/>
          <w:i/>
          <w:color w:val="808080" w:themeColor="background1" w:themeShade="80"/>
          <w:sz w:val="16"/>
          <w:szCs w:val="16"/>
        </w:rPr>
        <w:t xml:space="preserve"> Verde Workers v. Brazil. </w:t>
      </w:r>
      <w:r w:rsidRPr="001167CB">
        <w:rPr>
          <w:rFonts w:asciiTheme="majorHAnsi" w:hAnsiTheme="majorHAnsi" w:cstheme="majorHAnsi"/>
          <w:color w:val="808080" w:themeColor="background1" w:themeShade="80"/>
          <w:sz w:val="16"/>
          <w:szCs w:val="16"/>
        </w:rPr>
        <w:t xml:space="preserve">Preliminary Objections, Merits, Reparations and Costs. Judgment of Oct. 20, 2016. Series C No. 318, paras. 334-341 (discussing structural discrimination against poor and Afro-descendant workers who performed forced slave labor at a plantation in Brazil for years with the knowledge and tacit consent of the State). </w:t>
      </w:r>
    </w:p>
  </w:footnote>
  <w:footnote w:id="34">
    <w:p w14:paraId="7E10ACE2"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i/>
          <w:color w:val="808080" w:themeColor="background1" w:themeShade="80"/>
          <w:sz w:val="16"/>
          <w:szCs w:val="16"/>
        </w:rPr>
        <w:t>See also</w:t>
      </w:r>
      <w:r w:rsidRPr="001167CB">
        <w:rPr>
          <w:rFonts w:asciiTheme="majorHAnsi" w:hAnsiTheme="majorHAnsi" w:cstheme="majorHAnsi"/>
          <w:color w:val="808080" w:themeColor="background1" w:themeShade="80"/>
          <w:sz w:val="16"/>
          <w:szCs w:val="16"/>
        </w:rPr>
        <w:t xml:space="preserve"> </w:t>
      </w:r>
      <w:r w:rsidRPr="001167CB">
        <w:rPr>
          <w:rFonts w:asciiTheme="majorHAnsi" w:eastAsia="Times New Roman" w:hAnsiTheme="majorHAnsi" w:cstheme="majorHAnsi"/>
          <w:bCs/>
          <w:color w:val="808080" w:themeColor="background1" w:themeShade="80"/>
          <w:sz w:val="16"/>
          <w:szCs w:val="16"/>
          <w:lang w:eastAsia="es-ES"/>
        </w:rPr>
        <w:t xml:space="preserve">IACHR, </w:t>
      </w:r>
      <w:hyperlink r:id="rId56" w:history="1">
        <w:r w:rsidRPr="001167CB">
          <w:rPr>
            <w:rStyle w:val="Hyperlink"/>
            <w:rFonts w:asciiTheme="majorHAnsi" w:eastAsia="Times New Roman" w:hAnsiTheme="majorHAnsi" w:cstheme="majorHAnsi"/>
            <w:bCs/>
            <w:color w:val="808080" w:themeColor="background1" w:themeShade="80"/>
            <w:sz w:val="16"/>
            <w:szCs w:val="16"/>
            <w:lang w:eastAsia="es-ES"/>
          </w:rPr>
          <w:t>People of African Descent in the Americas</w:t>
        </w:r>
      </w:hyperlink>
      <w:r w:rsidRPr="001167CB">
        <w:rPr>
          <w:rFonts w:asciiTheme="majorHAnsi" w:eastAsia="Times New Roman" w:hAnsiTheme="majorHAnsi" w:cstheme="majorHAnsi"/>
          <w:bCs/>
          <w:color w:val="808080" w:themeColor="background1" w:themeShade="80"/>
          <w:sz w:val="16"/>
          <w:szCs w:val="16"/>
          <w:lang w:eastAsia="es-ES"/>
        </w:rPr>
        <w:t xml:space="preserve"> (2011)</w:t>
      </w:r>
      <w:r w:rsidRPr="001167CB">
        <w:rPr>
          <w:rFonts w:asciiTheme="majorHAnsi" w:eastAsia="Times New Roman" w:hAnsiTheme="majorHAnsi" w:cstheme="majorHAnsi"/>
          <w:color w:val="808080" w:themeColor="background1" w:themeShade="80"/>
          <w:sz w:val="16"/>
          <w:szCs w:val="16"/>
          <w:lang w:eastAsia="es-ES"/>
        </w:rPr>
        <w:t>, para. 46;</w:t>
      </w:r>
      <w:r w:rsidRPr="001167CB">
        <w:rPr>
          <w:rFonts w:asciiTheme="majorHAnsi" w:hAnsiTheme="majorHAnsi" w:cstheme="majorHAnsi"/>
          <w:color w:val="808080" w:themeColor="background1" w:themeShade="80"/>
          <w:sz w:val="16"/>
          <w:szCs w:val="16"/>
        </w:rPr>
        <w:t xml:space="preserve"> Human Rights Committee, </w:t>
      </w:r>
      <w:hyperlink r:id="rId57" w:history="1">
        <w:r w:rsidRPr="001167CB">
          <w:rPr>
            <w:rStyle w:val="Hyperlink"/>
            <w:rFonts w:asciiTheme="majorHAnsi" w:hAnsiTheme="majorHAnsi" w:cstheme="majorHAnsi"/>
            <w:i/>
            <w:color w:val="808080" w:themeColor="background1" w:themeShade="80"/>
            <w:sz w:val="16"/>
            <w:szCs w:val="16"/>
          </w:rPr>
          <w:t>Report of the Special Rapporteur on the rights to freedom of peaceful assembly and of association on his follow-up Mission to the United States of America</w:t>
        </w:r>
      </w:hyperlink>
      <w:r w:rsidRPr="001167CB">
        <w:rPr>
          <w:rFonts w:asciiTheme="majorHAnsi" w:hAnsiTheme="majorHAnsi" w:cstheme="majorHAnsi"/>
          <w:color w:val="808080" w:themeColor="background1" w:themeShade="80"/>
          <w:sz w:val="16"/>
          <w:szCs w:val="16"/>
        </w:rPr>
        <w:t xml:space="preserve">, A/HRC/35/28/Add.2, June 12, 2017, para. 13; U.N., </w:t>
      </w:r>
      <w:r w:rsidRPr="001167CB">
        <w:rPr>
          <w:rFonts w:asciiTheme="majorHAnsi" w:hAnsiTheme="majorHAnsi" w:cstheme="majorHAnsi"/>
          <w:bCs/>
          <w:color w:val="808080" w:themeColor="background1" w:themeShade="80"/>
          <w:sz w:val="16"/>
          <w:szCs w:val="16"/>
        </w:rPr>
        <w:t xml:space="preserve">Comm. Elimination of Racial Discrimination, </w:t>
      </w:r>
      <w:hyperlink r:id="rId58" w:history="1">
        <w:r w:rsidRPr="001167CB">
          <w:rPr>
            <w:rStyle w:val="Hyperlink"/>
            <w:rFonts w:asciiTheme="majorHAnsi" w:hAnsiTheme="majorHAnsi" w:cstheme="majorHAnsi"/>
            <w:bCs/>
            <w:i/>
            <w:color w:val="808080" w:themeColor="background1" w:themeShade="80"/>
            <w:sz w:val="16"/>
            <w:szCs w:val="16"/>
          </w:rPr>
          <w:t>Concluding Observations on the combined seventh to ninth periodic reports of the United States of America</w:t>
        </w:r>
      </w:hyperlink>
      <w:r w:rsidRPr="001167CB">
        <w:rPr>
          <w:rFonts w:asciiTheme="majorHAnsi" w:hAnsiTheme="majorHAnsi" w:cstheme="majorHAnsi"/>
          <w:bCs/>
          <w:color w:val="808080" w:themeColor="background1" w:themeShade="80"/>
          <w:sz w:val="16"/>
          <w:szCs w:val="16"/>
        </w:rPr>
        <w:t xml:space="preserve">, U.N. Doc. CERD/C/USA/CO/7-9, </w:t>
      </w:r>
      <w:r w:rsidRPr="001167CB">
        <w:rPr>
          <w:rFonts w:asciiTheme="majorHAnsi" w:hAnsiTheme="majorHAnsi" w:cstheme="majorHAnsi"/>
          <w:color w:val="808080" w:themeColor="background1" w:themeShade="80"/>
          <w:sz w:val="16"/>
          <w:szCs w:val="16"/>
        </w:rPr>
        <w:t xml:space="preserve">Sept. </w:t>
      </w:r>
      <w:r w:rsidRPr="001167CB">
        <w:rPr>
          <w:rFonts w:asciiTheme="majorHAnsi" w:hAnsiTheme="majorHAnsi" w:cstheme="majorHAnsi"/>
          <w:bCs/>
          <w:color w:val="808080" w:themeColor="background1" w:themeShade="80"/>
          <w:sz w:val="16"/>
          <w:szCs w:val="16"/>
        </w:rPr>
        <w:t>25, 2014 [hereinafter “CERD, Concluding Observations 2014”]</w:t>
      </w:r>
      <w:r w:rsidRPr="001167CB">
        <w:rPr>
          <w:rFonts w:asciiTheme="majorHAnsi" w:hAnsiTheme="majorHAnsi" w:cstheme="majorHAnsi"/>
          <w:color w:val="808080" w:themeColor="background1" w:themeShade="80"/>
          <w:sz w:val="16"/>
          <w:szCs w:val="16"/>
        </w:rPr>
        <w:t xml:space="preserve">; U.N., Working Group of Experts on People of African Descent, </w:t>
      </w:r>
      <w:hyperlink r:id="rId59" w:history="1">
        <w:r w:rsidRPr="001167CB">
          <w:rPr>
            <w:rStyle w:val="Hyperlink"/>
            <w:rFonts w:asciiTheme="majorHAnsi" w:hAnsiTheme="majorHAnsi" w:cstheme="majorHAnsi"/>
            <w:i/>
            <w:color w:val="808080" w:themeColor="background1" w:themeShade="80"/>
            <w:sz w:val="16"/>
            <w:szCs w:val="16"/>
          </w:rPr>
          <w:t>Report of the Working Group of Experts on People of African Descent on its mission to the United States of America</w:t>
        </w:r>
      </w:hyperlink>
      <w:r w:rsidRPr="001167CB">
        <w:rPr>
          <w:rFonts w:asciiTheme="majorHAnsi" w:hAnsiTheme="majorHAnsi" w:cstheme="majorHAnsi"/>
          <w:color w:val="808080" w:themeColor="background1" w:themeShade="80"/>
          <w:sz w:val="16"/>
          <w:szCs w:val="16"/>
        </w:rPr>
        <w:t xml:space="preserve">, A/HRC/33/61/Add.2, Aug. 18, 2016 </w:t>
      </w:r>
      <w:r w:rsidRPr="001167CB">
        <w:rPr>
          <w:rFonts w:asciiTheme="majorHAnsi" w:hAnsiTheme="majorHAnsi" w:cstheme="majorHAnsi"/>
          <w:bCs/>
          <w:color w:val="808080" w:themeColor="background1" w:themeShade="80"/>
          <w:sz w:val="16"/>
          <w:szCs w:val="16"/>
        </w:rPr>
        <w:t>[hereinafter “Working Group on People of African Descent, Report on mission to the U.S.”]</w:t>
      </w:r>
      <w:r w:rsidRPr="001167CB">
        <w:rPr>
          <w:rFonts w:asciiTheme="majorHAnsi" w:hAnsiTheme="majorHAnsi" w:cstheme="majorHAnsi"/>
          <w:color w:val="808080" w:themeColor="background1" w:themeShade="80"/>
          <w:sz w:val="16"/>
          <w:szCs w:val="16"/>
        </w:rPr>
        <w:t>.</w:t>
      </w:r>
    </w:p>
  </w:footnote>
  <w:footnote w:id="35">
    <w:p w14:paraId="60C546D2"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The Atlantic, </w:t>
      </w:r>
      <w:hyperlink r:id="rId60" w:history="1">
        <w:r w:rsidRPr="001167CB">
          <w:rPr>
            <w:rStyle w:val="Hyperlink"/>
            <w:rFonts w:asciiTheme="majorHAnsi" w:hAnsiTheme="majorHAnsi" w:cstheme="majorHAnsi"/>
            <w:color w:val="808080" w:themeColor="background1" w:themeShade="80"/>
            <w:sz w:val="16"/>
            <w:szCs w:val="16"/>
          </w:rPr>
          <w:t>Education Gaps Don't Fully Explain Why Black Unemployment Is So High</w:t>
        </w:r>
      </w:hyperlink>
      <w:r w:rsidRPr="001167CB">
        <w:rPr>
          <w:rFonts w:asciiTheme="majorHAnsi" w:hAnsiTheme="majorHAnsi" w:cstheme="majorHAnsi"/>
          <w:color w:val="808080" w:themeColor="background1" w:themeShade="80"/>
          <w:sz w:val="16"/>
          <w:szCs w:val="16"/>
        </w:rPr>
        <w:t xml:space="preserve">, Dec. 21, 2015. </w:t>
      </w:r>
      <w:r w:rsidRPr="001167CB">
        <w:rPr>
          <w:rFonts w:asciiTheme="majorHAnsi" w:hAnsiTheme="majorHAnsi" w:cstheme="majorHAnsi"/>
          <w:i/>
          <w:color w:val="808080" w:themeColor="background1" w:themeShade="80"/>
          <w:sz w:val="16"/>
          <w:szCs w:val="16"/>
        </w:rPr>
        <w:t>See also</w:t>
      </w:r>
      <w:r w:rsidRPr="001167CB">
        <w:rPr>
          <w:rFonts w:asciiTheme="majorHAnsi" w:hAnsiTheme="majorHAnsi" w:cstheme="majorHAnsi"/>
          <w:color w:val="808080" w:themeColor="background1" w:themeShade="80"/>
          <w:sz w:val="16"/>
          <w:szCs w:val="16"/>
        </w:rPr>
        <w:t xml:space="preserve"> </w:t>
      </w:r>
      <w:r w:rsidRPr="001167CB">
        <w:rPr>
          <w:rFonts w:asciiTheme="majorHAnsi" w:eastAsia="Times New Roman" w:hAnsiTheme="majorHAnsi" w:cstheme="majorHAnsi"/>
          <w:bCs/>
          <w:color w:val="808080" w:themeColor="background1" w:themeShade="80"/>
          <w:sz w:val="16"/>
          <w:szCs w:val="16"/>
          <w:lang w:eastAsia="es-ES"/>
        </w:rPr>
        <w:t xml:space="preserve">IACHR, </w:t>
      </w:r>
      <w:hyperlink r:id="rId61" w:history="1">
        <w:r w:rsidRPr="001167CB">
          <w:rPr>
            <w:rStyle w:val="Hyperlink"/>
            <w:rFonts w:asciiTheme="majorHAnsi" w:eastAsia="Times New Roman" w:hAnsiTheme="majorHAnsi" w:cstheme="majorHAnsi"/>
            <w:bCs/>
            <w:color w:val="808080" w:themeColor="background1" w:themeShade="80"/>
            <w:sz w:val="16"/>
            <w:szCs w:val="16"/>
            <w:lang w:eastAsia="es-ES"/>
          </w:rPr>
          <w:t>People of African Descent in the Americas</w:t>
        </w:r>
      </w:hyperlink>
      <w:r w:rsidRPr="001167CB">
        <w:rPr>
          <w:rFonts w:asciiTheme="majorHAnsi" w:eastAsia="Times New Roman" w:hAnsiTheme="majorHAnsi" w:cstheme="majorHAnsi"/>
          <w:bCs/>
          <w:color w:val="808080" w:themeColor="background1" w:themeShade="80"/>
          <w:sz w:val="16"/>
          <w:szCs w:val="16"/>
          <w:lang w:eastAsia="es-ES"/>
        </w:rPr>
        <w:t xml:space="preserve"> (2011)</w:t>
      </w:r>
      <w:r w:rsidRPr="001167CB">
        <w:rPr>
          <w:rFonts w:asciiTheme="majorHAnsi" w:eastAsia="Times New Roman" w:hAnsiTheme="majorHAnsi" w:cstheme="majorHAnsi"/>
          <w:color w:val="808080" w:themeColor="background1" w:themeShade="80"/>
          <w:sz w:val="16"/>
          <w:szCs w:val="16"/>
          <w:lang w:eastAsia="es-ES"/>
        </w:rPr>
        <w:t>, paras. 47-48.</w:t>
      </w:r>
    </w:p>
  </w:footnote>
  <w:footnote w:id="36">
    <w:p w14:paraId="0B3AD5B6"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CNN Money, </w:t>
      </w:r>
      <w:hyperlink r:id="rId62" w:history="1">
        <w:r w:rsidRPr="001167CB">
          <w:rPr>
            <w:rStyle w:val="Hyperlink"/>
            <w:rFonts w:asciiTheme="majorHAnsi" w:hAnsiTheme="majorHAnsi" w:cstheme="majorHAnsi"/>
            <w:color w:val="808080" w:themeColor="background1" w:themeShade="80"/>
            <w:sz w:val="16"/>
            <w:szCs w:val="16"/>
          </w:rPr>
          <w:t>Wage gap between blacks and whites is worst in nearly 40 years</w:t>
        </w:r>
      </w:hyperlink>
      <w:r w:rsidRPr="001167CB">
        <w:rPr>
          <w:rFonts w:asciiTheme="majorHAnsi" w:hAnsiTheme="majorHAnsi" w:cstheme="majorHAnsi"/>
          <w:color w:val="808080" w:themeColor="background1" w:themeShade="80"/>
          <w:sz w:val="16"/>
          <w:szCs w:val="16"/>
        </w:rPr>
        <w:t>, Sept. 20, 2016 (“the hourly pay gap between blacks and whites widened to 26.7% [...] [R]</w:t>
      </w:r>
      <w:proofErr w:type="spellStart"/>
      <w:r w:rsidRPr="001167CB">
        <w:rPr>
          <w:rFonts w:asciiTheme="majorHAnsi" w:hAnsiTheme="majorHAnsi" w:cstheme="majorHAnsi"/>
          <w:color w:val="808080" w:themeColor="background1" w:themeShade="80"/>
          <w:sz w:val="16"/>
          <w:szCs w:val="16"/>
        </w:rPr>
        <w:t>esearchers</w:t>
      </w:r>
      <w:proofErr w:type="spellEnd"/>
      <w:r w:rsidRPr="001167CB">
        <w:rPr>
          <w:rFonts w:asciiTheme="majorHAnsi" w:hAnsiTheme="majorHAnsi" w:cstheme="majorHAnsi"/>
          <w:color w:val="808080" w:themeColor="background1" w:themeShade="80"/>
          <w:sz w:val="16"/>
          <w:szCs w:val="16"/>
        </w:rPr>
        <w:t xml:space="preserve"> found discrimination...and growing earnings inequality in general, to be the primary factors.”). Black women are particularly adversely affected by the wage gap, by virtue of double discrimination against them. National Partnership for Women &amp; Families, </w:t>
      </w:r>
      <w:hyperlink r:id="rId63" w:history="1">
        <w:r w:rsidRPr="001167CB">
          <w:rPr>
            <w:rStyle w:val="Hyperlink"/>
            <w:rFonts w:asciiTheme="majorHAnsi" w:hAnsiTheme="majorHAnsi" w:cstheme="majorHAnsi"/>
            <w:color w:val="808080" w:themeColor="background1" w:themeShade="80"/>
            <w:sz w:val="16"/>
            <w:szCs w:val="16"/>
          </w:rPr>
          <w:t>Black Women and the Wage Gap</w:t>
        </w:r>
      </w:hyperlink>
      <w:r w:rsidRPr="001167CB">
        <w:rPr>
          <w:rFonts w:asciiTheme="majorHAnsi" w:hAnsiTheme="majorHAnsi" w:cstheme="majorHAnsi"/>
          <w:color w:val="808080" w:themeColor="background1" w:themeShade="80"/>
          <w:sz w:val="16"/>
          <w:szCs w:val="16"/>
        </w:rPr>
        <w:t>, Mar. 2017 (“Black women [in the U.S.] are typically paid just 63 cents for every dollar paid to white, non-Hispanic men. Overall, women […] are typically paid 80 cents for every dollar paid to men.”).</w:t>
      </w:r>
    </w:p>
  </w:footnote>
  <w:footnote w:id="37">
    <w:p w14:paraId="6B255E69" w14:textId="42B86EF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i/>
          <w:color w:val="808080" w:themeColor="background1" w:themeShade="80"/>
          <w:sz w:val="16"/>
          <w:szCs w:val="16"/>
        </w:rPr>
        <w:t>See infra</w:t>
      </w:r>
      <w:r w:rsidRPr="001167CB">
        <w:rPr>
          <w:rFonts w:asciiTheme="majorHAnsi" w:hAnsiTheme="majorHAnsi" w:cstheme="majorHAnsi"/>
          <w:color w:val="808080" w:themeColor="background1" w:themeShade="80"/>
          <w:sz w:val="16"/>
          <w:szCs w:val="16"/>
        </w:rPr>
        <w:t xml:space="preserve"> para. </w:t>
      </w:r>
      <w:r w:rsidRPr="001167CB">
        <w:rPr>
          <w:rFonts w:asciiTheme="majorHAnsi" w:hAnsiTheme="majorHAnsi" w:cstheme="majorHAnsi"/>
          <w:color w:val="808080" w:themeColor="background1" w:themeShade="80"/>
          <w:sz w:val="16"/>
          <w:szCs w:val="16"/>
        </w:rPr>
        <w:fldChar w:fldCharType="begin"/>
      </w:r>
      <w:r w:rsidRPr="001167CB">
        <w:rPr>
          <w:rFonts w:asciiTheme="majorHAnsi" w:hAnsiTheme="majorHAnsi" w:cstheme="majorHAnsi"/>
          <w:color w:val="808080" w:themeColor="background1" w:themeShade="80"/>
          <w:sz w:val="16"/>
          <w:szCs w:val="16"/>
        </w:rPr>
        <w:instrText xml:space="preserve"> REF _Ref511745913 \r \h  \* MERGEFORMAT </w:instrText>
      </w:r>
      <w:r w:rsidRPr="001167CB">
        <w:rPr>
          <w:rFonts w:asciiTheme="majorHAnsi" w:hAnsiTheme="majorHAnsi" w:cstheme="majorHAnsi"/>
          <w:color w:val="808080" w:themeColor="background1" w:themeShade="80"/>
          <w:sz w:val="16"/>
          <w:szCs w:val="16"/>
        </w:rPr>
      </w:r>
      <w:r w:rsidRPr="001167CB">
        <w:rPr>
          <w:rFonts w:asciiTheme="majorHAnsi" w:hAnsiTheme="majorHAnsi" w:cstheme="majorHAnsi"/>
          <w:color w:val="808080" w:themeColor="background1" w:themeShade="80"/>
          <w:sz w:val="16"/>
          <w:szCs w:val="16"/>
        </w:rPr>
        <w:fldChar w:fldCharType="separate"/>
      </w:r>
      <w:r w:rsidRPr="001167CB">
        <w:rPr>
          <w:rFonts w:asciiTheme="majorHAnsi" w:hAnsiTheme="majorHAnsi" w:cstheme="majorHAnsi"/>
          <w:color w:val="808080" w:themeColor="background1" w:themeShade="80"/>
          <w:sz w:val="16"/>
          <w:szCs w:val="16"/>
        </w:rPr>
        <w:t>61</w:t>
      </w:r>
      <w:r w:rsidRPr="001167CB">
        <w:rPr>
          <w:rFonts w:asciiTheme="majorHAnsi" w:hAnsiTheme="majorHAnsi" w:cstheme="majorHAnsi"/>
          <w:color w:val="808080" w:themeColor="background1" w:themeShade="80"/>
          <w:sz w:val="16"/>
          <w:szCs w:val="16"/>
        </w:rPr>
        <w:fldChar w:fldCharType="end"/>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i/>
          <w:color w:val="808080" w:themeColor="background1" w:themeShade="80"/>
          <w:sz w:val="16"/>
          <w:szCs w:val="16"/>
        </w:rPr>
        <w:t>See also</w:t>
      </w:r>
      <w:r w:rsidRPr="001167CB">
        <w:rPr>
          <w:rFonts w:asciiTheme="majorHAnsi" w:hAnsiTheme="majorHAnsi" w:cstheme="majorHAnsi"/>
          <w:color w:val="808080" w:themeColor="background1" w:themeShade="80"/>
          <w:sz w:val="16"/>
          <w:szCs w:val="16"/>
        </w:rPr>
        <w:t xml:space="preserve"> CERD, </w:t>
      </w:r>
      <w:hyperlink r:id="rId64" w:history="1">
        <w:r w:rsidRPr="001167CB">
          <w:rPr>
            <w:rStyle w:val="Hyperlink"/>
            <w:rFonts w:asciiTheme="majorHAnsi" w:hAnsiTheme="majorHAnsi" w:cstheme="majorHAnsi"/>
            <w:bCs/>
            <w:iCs/>
            <w:color w:val="808080" w:themeColor="background1" w:themeShade="80"/>
            <w:sz w:val="16"/>
            <w:szCs w:val="16"/>
          </w:rPr>
          <w:t>Concluding Observations 2014</w:t>
        </w:r>
      </w:hyperlink>
      <w:r w:rsidRPr="001167CB">
        <w:rPr>
          <w:rFonts w:asciiTheme="majorHAnsi" w:hAnsiTheme="majorHAnsi" w:cstheme="majorHAnsi"/>
          <w:color w:val="808080" w:themeColor="background1" w:themeShade="80"/>
          <w:sz w:val="16"/>
          <w:szCs w:val="16"/>
          <w:lang w:val="en-GB"/>
        </w:rPr>
        <w:t xml:space="preserve">, </w:t>
      </w:r>
      <w:r w:rsidRPr="001167CB">
        <w:rPr>
          <w:rFonts w:asciiTheme="majorHAnsi" w:hAnsiTheme="majorHAnsi" w:cstheme="majorHAnsi"/>
          <w:color w:val="808080" w:themeColor="background1" w:themeShade="80"/>
          <w:sz w:val="16"/>
          <w:szCs w:val="16"/>
        </w:rPr>
        <w:t xml:space="preserve">Sept. </w:t>
      </w:r>
      <w:r w:rsidRPr="001167CB">
        <w:rPr>
          <w:rFonts w:asciiTheme="majorHAnsi" w:hAnsiTheme="majorHAnsi" w:cstheme="majorHAnsi"/>
          <w:color w:val="808080" w:themeColor="background1" w:themeShade="80"/>
          <w:sz w:val="16"/>
          <w:szCs w:val="16"/>
          <w:lang w:val="en-GB"/>
        </w:rPr>
        <w:t>25, 2014, para. 13.</w:t>
      </w:r>
    </w:p>
  </w:footnote>
  <w:footnote w:id="38">
    <w:p w14:paraId="13A3E44C"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The CERD has emphasized the persistence of discrimination in access to housing and the high degree of racial segregation and concentrated poverty in neighborhoods characterized by sub-standard conditions and services. </w:t>
      </w:r>
      <w:r w:rsidRPr="001167CB">
        <w:rPr>
          <w:rFonts w:asciiTheme="majorHAnsi" w:hAnsiTheme="majorHAnsi" w:cstheme="majorHAnsi"/>
          <w:i/>
          <w:color w:val="808080" w:themeColor="background1" w:themeShade="80"/>
          <w:sz w:val="16"/>
          <w:szCs w:val="16"/>
        </w:rPr>
        <w:t>See</w:t>
      </w:r>
      <w:r w:rsidRPr="001167CB">
        <w:rPr>
          <w:rFonts w:asciiTheme="majorHAnsi" w:hAnsiTheme="majorHAnsi" w:cstheme="majorHAnsi"/>
          <w:color w:val="808080" w:themeColor="background1" w:themeShade="80"/>
          <w:sz w:val="16"/>
          <w:szCs w:val="16"/>
        </w:rPr>
        <w:t xml:space="preserve"> CERD, </w:t>
      </w:r>
      <w:hyperlink r:id="rId65" w:history="1">
        <w:r w:rsidRPr="001167CB">
          <w:rPr>
            <w:rStyle w:val="Hyperlink"/>
            <w:rFonts w:asciiTheme="majorHAnsi" w:hAnsiTheme="majorHAnsi" w:cstheme="majorHAnsi"/>
            <w:bCs/>
            <w:iCs/>
            <w:color w:val="808080" w:themeColor="background1" w:themeShade="80"/>
            <w:sz w:val="16"/>
            <w:szCs w:val="16"/>
          </w:rPr>
          <w:t>Concluding Observations 2014</w:t>
        </w:r>
      </w:hyperlink>
      <w:r w:rsidRPr="001167CB">
        <w:rPr>
          <w:rFonts w:asciiTheme="majorHAnsi" w:hAnsiTheme="majorHAnsi" w:cstheme="majorHAnsi"/>
          <w:color w:val="808080" w:themeColor="background1" w:themeShade="80"/>
          <w:sz w:val="16"/>
          <w:szCs w:val="16"/>
          <w:lang w:val="en-GB"/>
        </w:rPr>
        <w:t xml:space="preserve">, Sept. 25, 2014, para. 13. </w:t>
      </w:r>
      <w:r w:rsidRPr="001167CB">
        <w:rPr>
          <w:rFonts w:asciiTheme="majorHAnsi" w:hAnsiTheme="majorHAnsi" w:cstheme="majorHAnsi"/>
          <w:i/>
          <w:color w:val="808080" w:themeColor="background1" w:themeShade="80"/>
          <w:sz w:val="16"/>
          <w:szCs w:val="16"/>
          <w:lang w:val="en-GB"/>
        </w:rPr>
        <w:t>See also</w:t>
      </w:r>
      <w:r w:rsidRPr="001167CB">
        <w:rPr>
          <w:rFonts w:asciiTheme="majorHAnsi" w:hAnsiTheme="majorHAnsi" w:cstheme="majorHAnsi"/>
          <w:color w:val="808080" w:themeColor="background1" w:themeShade="80"/>
          <w:sz w:val="16"/>
          <w:szCs w:val="16"/>
          <w:lang w:val="en-GB"/>
        </w:rPr>
        <w:t xml:space="preserve"> </w:t>
      </w:r>
      <w:proofErr w:type="spellStart"/>
      <w:r w:rsidRPr="001167CB">
        <w:rPr>
          <w:rFonts w:asciiTheme="majorHAnsi" w:hAnsiTheme="majorHAnsi" w:cstheme="majorHAnsi"/>
          <w:color w:val="808080" w:themeColor="background1" w:themeShade="80"/>
          <w:sz w:val="16"/>
          <w:szCs w:val="16"/>
          <w:lang w:val="en-GB"/>
        </w:rPr>
        <w:t>ProPublica</w:t>
      </w:r>
      <w:proofErr w:type="spellEnd"/>
      <w:r w:rsidRPr="001167CB">
        <w:rPr>
          <w:rFonts w:asciiTheme="majorHAnsi" w:hAnsiTheme="majorHAnsi" w:cstheme="majorHAnsi"/>
          <w:color w:val="808080" w:themeColor="background1" w:themeShade="80"/>
          <w:sz w:val="16"/>
          <w:szCs w:val="16"/>
          <w:lang w:val="en-GB"/>
        </w:rPr>
        <w:t xml:space="preserve">, </w:t>
      </w:r>
      <w:hyperlink r:id="rId66" w:history="1">
        <w:r w:rsidRPr="001167CB">
          <w:rPr>
            <w:rStyle w:val="Hyperlink"/>
            <w:rFonts w:asciiTheme="majorHAnsi" w:hAnsiTheme="majorHAnsi" w:cstheme="majorHAnsi"/>
            <w:color w:val="808080" w:themeColor="background1" w:themeShade="80"/>
            <w:sz w:val="16"/>
            <w:szCs w:val="16"/>
            <w:lang w:val="en-GB"/>
          </w:rPr>
          <w:t>Living Apart: How the Government Betrayed a Landmark Civil Rights Law</w:t>
        </w:r>
      </w:hyperlink>
      <w:r w:rsidRPr="001167CB">
        <w:rPr>
          <w:rFonts w:asciiTheme="majorHAnsi" w:hAnsiTheme="majorHAnsi" w:cstheme="majorHAnsi"/>
          <w:color w:val="808080" w:themeColor="background1" w:themeShade="80"/>
          <w:sz w:val="16"/>
          <w:szCs w:val="16"/>
          <w:lang w:val="en-GB"/>
        </w:rPr>
        <w:t>, June 25, 2015.</w:t>
      </w:r>
    </w:p>
  </w:footnote>
  <w:footnote w:id="39">
    <w:p w14:paraId="1179FEB8"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Feeding America, </w:t>
      </w:r>
      <w:hyperlink r:id="rId67" w:history="1">
        <w:r w:rsidRPr="001167CB">
          <w:rPr>
            <w:rStyle w:val="Hyperlink"/>
            <w:rFonts w:asciiTheme="majorHAnsi" w:hAnsiTheme="majorHAnsi" w:cstheme="majorHAnsi"/>
            <w:color w:val="808080" w:themeColor="background1" w:themeShade="80"/>
            <w:sz w:val="16"/>
            <w:szCs w:val="16"/>
          </w:rPr>
          <w:t>African American Hunger Facts</w:t>
        </w:r>
      </w:hyperlink>
      <w:r w:rsidRPr="001167CB">
        <w:rPr>
          <w:rFonts w:asciiTheme="majorHAnsi" w:hAnsiTheme="majorHAnsi" w:cstheme="majorHAnsi"/>
          <w:color w:val="808080" w:themeColor="background1" w:themeShade="80"/>
          <w:sz w:val="16"/>
          <w:szCs w:val="16"/>
        </w:rPr>
        <w:t>, June 21, 2017.</w:t>
      </w:r>
    </w:p>
  </w:footnote>
  <w:footnote w:id="40">
    <w:p w14:paraId="102D9AC9" w14:textId="580D22EE"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The emblematic case is Flint, Michigan (a city whose population is 57 percent African American, with 40 percent of residents living under the poverty line). The high-profile environmental and public health disaster of extreme lead contamination of the city’s drinking water was first reported in 2014, and remained </w:t>
      </w:r>
      <w:proofErr w:type="spellStart"/>
      <w:r w:rsidRPr="001167CB">
        <w:rPr>
          <w:rFonts w:asciiTheme="majorHAnsi" w:hAnsiTheme="majorHAnsi" w:cstheme="majorHAnsi"/>
          <w:color w:val="808080" w:themeColor="background1" w:themeShade="80"/>
          <w:sz w:val="16"/>
          <w:szCs w:val="16"/>
        </w:rPr>
        <w:t>unremediated</w:t>
      </w:r>
      <w:proofErr w:type="spellEnd"/>
      <w:r w:rsidRPr="001167CB">
        <w:rPr>
          <w:rFonts w:asciiTheme="majorHAnsi" w:hAnsiTheme="majorHAnsi" w:cstheme="majorHAnsi"/>
          <w:color w:val="808080" w:themeColor="background1" w:themeShade="80"/>
          <w:sz w:val="16"/>
          <w:szCs w:val="16"/>
        </w:rPr>
        <w:t xml:space="preserve"> until late 2017</w:t>
      </w:r>
      <w:proofErr w:type="gramStart"/>
      <w:r w:rsidRPr="001167CB">
        <w:rPr>
          <w:rFonts w:asciiTheme="majorHAnsi" w:hAnsiTheme="majorHAnsi" w:cstheme="majorHAnsi"/>
          <w:color w:val="808080" w:themeColor="background1" w:themeShade="80"/>
          <w:sz w:val="16"/>
          <w:szCs w:val="16"/>
        </w:rPr>
        <w:t>..</w:t>
      </w:r>
      <w:proofErr w:type="gramEnd"/>
      <w:r w:rsidRPr="001167CB">
        <w:rPr>
          <w:rFonts w:asciiTheme="majorHAnsi" w:hAnsiTheme="majorHAnsi" w:cstheme="majorHAnsi"/>
          <w:color w:val="808080" w:themeColor="background1" w:themeShade="80"/>
          <w:sz w:val="16"/>
          <w:szCs w:val="16"/>
        </w:rPr>
        <w:t xml:space="preserve"> U.S. News &amp; World Report, </w:t>
      </w:r>
      <w:hyperlink r:id="rId68" w:history="1">
        <w:r w:rsidRPr="001167CB">
          <w:rPr>
            <w:rStyle w:val="Hyperlink"/>
            <w:rFonts w:asciiTheme="majorHAnsi" w:hAnsiTheme="majorHAnsi" w:cstheme="majorHAnsi"/>
            <w:color w:val="808080" w:themeColor="background1" w:themeShade="80"/>
            <w:sz w:val="16"/>
            <w:szCs w:val="16"/>
          </w:rPr>
          <w:t>Expert Declares Qualified End to Water Crisis in Flint</w:t>
        </w:r>
      </w:hyperlink>
      <w:r w:rsidRPr="001167CB">
        <w:rPr>
          <w:rFonts w:asciiTheme="majorHAnsi" w:hAnsiTheme="majorHAnsi" w:cstheme="majorHAnsi"/>
          <w:color w:val="808080" w:themeColor="background1" w:themeShade="80"/>
          <w:sz w:val="16"/>
          <w:szCs w:val="16"/>
        </w:rPr>
        <w:t xml:space="preserve">, Sept. 15, 2017; Detroit News, </w:t>
      </w:r>
      <w:hyperlink r:id="rId69" w:history="1">
        <w:r w:rsidRPr="001167CB">
          <w:rPr>
            <w:rStyle w:val="Hyperlink"/>
            <w:rFonts w:asciiTheme="majorHAnsi" w:hAnsiTheme="majorHAnsi" w:cstheme="majorHAnsi"/>
            <w:color w:val="808080" w:themeColor="background1" w:themeShade="80"/>
            <w:sz w:val="16"/>
            <w:szCs w:val="16"/>
          </w:rPr>
          <w:t>Flint: ‘All clear’ for drinking water years away</w:t>
        </w:r>
      </w:hyperlink>
      <w:r w:rsidRPr="001167CB">
        <w:rPr>
          <w:rFonts w:asciiTheme="majorHAnsi" w:hAnsiTheme="majorHAnsi" w:cstheme="majorHAnsi"/>
          <w:color w:val="808080" w:themeColor="background1" w:themeShade="80"/>
          <w:sz w:val="16"/>
          <w:szCs w:val="16"/>
        </w:rPr>
        <w:t xml:space="preserve">, Mar. 7, 2017; CNN, </w:t>
      </w:r>
      <w:hyperlink r:id="rId70" w:history="1">
        <w:r w:rsidRPr="001167CB">
          <w:rPr>
            <w:rStyle w:val="Hyperlink"/>
            <w:rFonts w:asciiTheme="majorHAnsi" w:hAnsiTheme="majorHAnsi" w:cstheme="majorHAnsi"/>
            <w:color w:val="808080" w:themeColor="background1" w:themeShade="80"/>
            <w:sz w:val="16"/>
            <w:szCs w:val="16"/>
          </w:rPr>
          <w:t>Flint, Michigan: Did race and poverty factor into water crisis?</w:t>
        </w:r>
      </w:hyperlink>
      <w:r w:rsidRPr="001167CB">
        <w:rPr>
          <w:rFonts w:asciiTheme="majorHAnsi" w:hAnsiTheme="majorHAnsi" w:cstheme="majorHAnsi"/>
          <w:color w:val="808080" w:themeColor="background1" w:themeShade="80"/>
          <w:sz w:val="16"/>
          <w:szCs w:val="16"/>
        </w:rPr>
        <w:t xml:space="preserve">, Jan. 28, 2016. </w:t>
      </w:r>
      <w:r w:rsidRPr="001167CB">
        <w:rPr>
          <w:rFonts w:asciiTheme="majorHAnsi" w:hAnsiTheme="majorHAnsi" w:cstheme="majorHAnsi"/>
          <w:i/>
          <w:color w:val="808080" w:themeColor="background1" w:themeShade="80"/>
          <w:sz w:val="16"/>
          <w:szCs w:val="16"/>
        </w:rPr>
        <w:t xml:space="preserve">See also </w:t>
      </w:r>
      <w:r w:rsidRPr="001167CB">
        <w:rPr>
          <w:rFonts w:asciiTheme="majorHAnsi" w:hAnsiTheme="majorHAnsi" w:cstheme="majorHAnsi"/>
          <w:color w:val="808080" w:themeColor="background1" w:themeShade="80"/>
          <w:sz w:val="16"/>
          <w:szCs w:val="16"/>
        </w:rPr>
        <w:t xml:space="preserve">National Resources Defense Council, </w:t>
      </w:r>
      <w:hyperlink r:id="rId71" w:history="1">
        <w:r w:rsidRPr="001167CB">
          <w:rPr>
            <w:rStyle w:val="Hyperlink"/>
            <w:rFonts w:asciiTheme="majorHAnsi" w:hAnsiTheme="majorHAnsi" w:cstheme="majorHAnsi"/>
            <w:color w:val="808080" w:themeColor="background1" w:themeShade="80"/>
            <w:sz w:val="16"/>
            <w:szCs w:val="16"/>
          </w:rPr>
          <w:t>REPORT: Nearly One in Four Americans’ Drinking Water Comes from Untested or Contaminated Systems</w:t>
        </w:r>
      </w:hyperlink>
      <w:r w:rsidRPr="001167CB">
        <w:rPr>
          <w:rFonts w:asciiTheme="majorHAnsi" w:hAnsiTheme="majorHAnsi" w:cstheme="majorHAnsi"/>
          <w:color w:val="808080" w:themeColor="background1" w:themeShade="80"/>
          <w:sz w:val="16"/>
          <w:szCs w:val="16"/>
        </w:rPr>
        <w:t xml:space="preserve">, May 2, 2017. NPR, </w:t>
      </w:r>
    </w:p>
  </w:footnote>
  <w:footnote w:id="41">
    <w:p w14:paraId="4097BE80"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i/>
          <w:color w:val="808080" w:themeColor="background1" w:themeShade="80"/>
          <w:sz w:val="16"/>
          <w:szCs w:val="16"/>
        </w:rPr>
        <w:t>See</w:t>
      </w:r>
      <w:r w:rsidRPr="001167CB">
        <w:rPr>
          <w:rFonts w:asciiTheme="majorHAnsi" w:hAnsiTheme="majorHAnsi" w:cstheme="majorHAnsi"/>
          <w:color w:val="808080" w:themeColor="background1" w:themeShade="80"/>
          <w:sz w:val="16"/>
          <w:szCs w:val="16"/>
        </w:rPr>
        <w:t xml:space="preserve"> CERD, </w:t>
      </w:r>
      <w:hyperlink r:id="rId72" w:history="1">
        <w:r w:rsidRPr="001167CB">
          <w:rPr>
            <w:rStyle w:val="Hyperlink"/>
            <w:rFonts w:asciiTheme="majorHAnsi" w:hAnsiTheme="majorHAnsi" w:cstheme="majorHAnsi"/>
            <w:bCs/>
            <w:iCs/>
            <w:color w:val="808080" w:themeColor="background1" w:themeShade="80"/>
            <w:sz w:val="16"/>
            <w:szCs w:val="16"/>
          </w:rPr>
          <w:t>Concluding Observations 2014</w:t>
        </w:r>
      </w:hyperlink>
      <w:r w:rsidRPr="001167CB">
        <w:rPr>
          <w:rFonts w:asciiTheme="majorHAnsi" w:hAnsiTheme="majorHAnsi" w:cstheme="majorHAnsi"/>
          <w:color w:val="808080" w:themeColor="background1" w:themeShade="80"/>
          <w:sz w:val="16"/>
          <w:szCs w:val="16"/>
          <w:lang w:val="en-GB"/>
        </w:rPr>
        <w:t xml:space="preserve">, </w:t>
      </w:r>
      <w:r w:rsidRPr="001167CB">
        <w:rPr>
          <w:rFonts w:asciiTheme="majorHAnsi" w:hAnsiTheme="majorHAnsi" w:cstheme="majorHAnsi"/>
          <w:color w:val="808080" w:themeColor="background1" w:themeShade="80"/>
          <w:sz w:val="16"/>
          <w:szCs w:val="16"/>
        </w:rPr>
        <w:t xml:space="preserve">Sept. </w:t>
      </w:r>
      <w:r w:rsidRPr="001167CB">
        <w:rPr>
          <w:rFonts w:asciiTheme="majorHAnsi" w:hAnsiTheme="majorHAnsi" w:cstheme="majorHAnsi"/>
          <w:color w:val="808080" w:themeColor="background1" w:themeShade="80"/>
          <w:sz w:val="16"/>
          <w:szCs w:val="16"/>
          <w:lang w:val="en-GB"/>
        </w:rPr>
        <w:t xml:space="preserve">25, 2014, para. 10 (“[…] racial and ethnic minorities, as well as indigenous peoples, continue to be disproportionately affected by the negative health impact of pollution caused by the extractive and manufacturing industries.”). In this regard, </w:t>
      </w:r>
      <w:r w:rsidRPr="001167CB">
        <w:rPr>
          <w:rFonts w:asciiTheme="majorHAnsi" w:hAnsiTheme="majorHAnsi" w:cstheme="majorHAnsi"/>
          <w:i/>
          <w:color w:val="808080" w:themeColor="background1" w:themeShade="80"/>
          <w:sz w:val="16"/>
          <w:szCs w:val="16"/>
          <w:lang w:val="en-GB"/>
        </w:rPr>
        <w:t>see also</w:t>
      </w:r>
      <w:r w:rsidRPr="001167CB">
        <w:rPr>
          <w:rFonts w:asciiTheme="majorHAnsi" w:hAnsiTheme="majorHAnsi" w:cstheme="majorHAnsi"/>
          <w:color w:val="808080" w:themeColor="background1" w:themeShade="80"/>
          <w:sz w:val="16"/>
          <w:szCs w:val="16"/>
          <w:lang w:val="en-GB"/>
        </w:rPr>
        <w:t xml:space="preserve"> Washington Post, </w:t>
      </w:r>
      <w:hyperlink r:id="rId73" w:history="1">
        <w:r w:rsidRPr="001167CB">
          <w:rPr>
            <w:rStyle w:val="Hyperlink"/>
            <w:rFonts w:asciiTheme="majorHAnsi" w:hAnsiTheme="majorHAnsi" w:cstheme="majorHAnsi"/>
            <w:color w:val="808080" w:themeColor="background1" w:themeShade="80"/>
            <w:sz w:val="16"/>
            <w:szCs w:val="16"/>
            <w:lang w:val="en-GB"/>
          </w:rPr>
          <w:t xml:space="preserve">Freddie </w:t>
        </w:r>
        <w:proofErr w:type="spellStart"/>
        <w:r w:rsidRPr="001167CB">
          <w:rPr>
            <w:rStyle w:val="Hyperlink"/>
            <w:rFonts w:asciiTheme="majorHAnsi" w:hAnsiTheme="majorHAnsi" w:cstheme="majorHAnsi"/>
            <w:color w:val="808080" w:themeColor="background1" w:themeShade="80"/>
            <w:sz w:val="16"/>
            <w:szCs w:val="16"/>
            <w:lang w:val="en-GB"/>
          </w:rPr>
          <w:t>Gray’s</w:t>
        </w:r>
        <w:proofErr w:type="spellEnd"/>
        <w:r w:rsidRPr="001167CB">
          <w:rPr>
            <w:rStyle w:val="Hyperlink"/>
            <w:rFonts w:asciiTheme="majorHAnsi" w:hAnsiTheme="majorHAnsi" w:cstheme="majorHAnsi"/>
            <w:color w:val="808080" w:themeColor="background1" w:themeShade="80"/>
            <w:sz w:val="16"/>
            <w:szCs w:val="16"/>
            <w:lang w:val="en-GB"/>
          </w:rPr>
          <w:t xml:space="preserve"> life a study on the effects of lead paint on poor blacks</w:t>
        </w:r>
      </w:hyperlink>
      <w:r w:rsidRPr="001167CB">
        <w:rPr>
          <w:rFonts w:asciiTheme="majorHAnsi" w:hAnsiTheme="majorHAnsi" w:cstheme="majorHAnsi"/>
          <w:color w:val="808080" w:themeColor="background1" w:themeShade="80"/>
          <w:sz w:val="16"/>
          <w:szCs w:val="16"/>
          <w:lang w:val="en-GB"/>
        </w:rPr>
        <w:t xml:space="preserve">, </w:t>
      </w:r>
      <w:r w:rsidRPr="001167CB">
        <w:rPr>
          <w:rFonts w:asciiTheme="majorHAnsi" w:hAnsiTheme="majorHAnsi" w:cstheme="majorHAnsi"/>
          <w:color w:val="808080" w:themeColor="background1" w:themeShade="80"/>
          <w:sz w:val="16"/>
          <w:szCs w:val="16"/>
        </w:rPr>
        <w:t xml:space="preserve">Apr. </w:t>
      </w:r>
      <w:r w:rsidRPr="001167CB">
        <w:rPr>
          <w:rFonts w:asciiTheme="majorHAnsi" w:hAnsiTheme="majorHAnsi" w:cstheme="majorHAnsi"/>
          <w:color w:val="808080" w:themeColor="background1" w:themeShade="80"/>
          <w:sz w:val="16"/>
          <w:szCs w:val="16"/>
          <w:lang w:val="en-GB"/>
        </w:rPr>
        <w:t xml:space="preserve">29, 2015; IACHR, </w:t>
      </w:r>
      <w:hyperlink r:id="rId74" w:history="1">
        <w:r w:rsidRPr="001167CB">
          <w:rPr>
            <w:rStyle w:val="Hyperlink"/>
            <w:rFonts w:asciiTheme="majorHAnsi" w:hAnsiTheme="majorHAnsi" w:cstheme="majorHAnsi"/>
            <w:color w:val="808080" w:themeColor="background1" w:themeShade="80"/>
            <w:sz w:val="16"/>
            <w:szCs w:val="16"/>
          </w:rPr>
          <w:t>Indigenous Peoples, Communities of African Descent, and Extractive Industries</w:t>
        </w:r>
      </w:hyperlink>
      <w:r w:rsidRPr="001167CB">
        <w:rPr>
          <w:rFonts w:asciiTheme="majorHAnsi" w:hAnsiTheme="majorHAnsi" w:cstheme="majorHAnsi"/>
          <w:color w:val="808080" w:themeColor="background1" w:themeShade="80"/>
          <w:sz w:val="16"/>
          <w:szCs w:val="16"/>
        </w:rPr>
        <w:t>, OEA/</w:t>
      </w:r>
      <w:proofErr w:type="spellStart"/>
      <w:r w:rsidRPr="001167CB">
        <w:rPr>
          <w:rFonts w:asciiTheme="majorHAnsi" w:hAnsiTheme="majorHAnsi" w:cstheme="majorHAnsi"/>
          <w:color w:val="808080" w:themeColor="background1" w:themeShade="80"/>
          <w:sz w:val="16"/>
          <w:szCs w:val="16"/>
        </w:rPr>
        <w:t>Ser.L</w:t>
      </w:r>
      <w:proofErr w:type="spellEnd"/>
      <w:r w:rsidRPr="001167CB">
        <w:rPr>
          <w:rFonts w:asciiTheme="majorHAnsi" w:hAnsiTheme="majorHAnsi" w:cstheme="majorHAnsi"/>
          <w:color w:val="808080" w:themeColor="background1" w:themeShade="80"/>
          <w:sz w:val="16"/>
          <w:szCs w:val="16"/>
        </w:rPr>
        <w:t>/V/II., Doc. 47/15 (2015).</w:t>
      </w:r>
    </w:p>
  </w:footnote>
  <w:footnote w:id="42">
    <w:p w14:paraId="18741828"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Allan S. Noonan, et al., </w:t>
      </w:r>
      <w:hyperlink r:id="rId75" w:history="1">
        <w:r w:rsidRPr="001167CB">
          <w:rPr>
            <w:rStyle w:val="Hyperlink"/>
            <w:rFonts w:asciiTheme="majorHAnsi" w:hAnsiTheme="majorHAnsi" w:cstheme="majorHAnsi"/>
            <w:color w:val="808080" w:themeColor="background1" w:themeShade="80"/>
            <w:sz w:val="16"/>
            <w:szCs w:val="16"/>
          </w:rPr>
          <w:t>Improving the health of African Americans in the USA: an overdue opportunity for social justice</w:t>
        </w:r>
      </w:hyperlink>
      <w:r w:rsidRPr="001167CB">
        <w:rPr>
          <w:rFonts w:asciiTheme="majorHAnsi" w:hAnsiTheme="majorHAnsi" w:cstheme="majorHAnsi"/>
          <w:color w:val="808080" w:themeColor="background1" w:themeShade="80"/>
          <w:sz w:val="16"/>
          <w:szCs w:val="16"/>
        </w:rPr>
        <w:t xml:space="preserve">, 2016; </w:t>
      </w:r>
      <w:r w:rsidRPr="001167CB">
        <w:rPr>
          <w:rFonts w:asciiTheme="majorHAnsi" w:hAnsiTheme="majorHAnsi" w:cstheme="majorHAnsi"/>
          <w:i/>
          <w:color w:val="808080" w:themeColor="background1" w:themeShade="80"/>
          <w:sz w:val="16"/>
          <w:szCs w:val="16"/>
        </w:rPr>
        <w:t>see also</w:t>
      </w:r>
      <w:r w:rsidRPr="001167CB">
        <w:rPr>
          <w:rFonts w:asciiTheme="majorHAnsi" w:hAnsiTheme="majorHAnsi" w:cstheme="majorHAnsi"/>
          <w:color w:val="808080" w:themeColor="background1" w:themeShade="80"/>
          <w:sz w:val="16"/>
          <w:szCs w:val="16"/>
        </w:rPr>
        <w:t xml:space="preserve"> </w:t>
      </w:r>
      <w:r w:rsidRPr="001167CB">
        <w:rPr>
          <w:rFonts w:asciiTheme="majorHAnsi" w:eastAsia="Times New Roman" w:hAnsiTheme="majorHAnsi" w:cstheme="majorHAnsi"/>
          <w:bCs/>
          <w:color w:val="808080" w:themeColor="background1" w:themeShade="80"/>
          <w:sz w:val="16"/>
          <w:szCs w:val="16"/>
          <w:lang w:eastAsia="es-ES"/>
        </w:rPr>
        <w:t xml:space="preserve">IACHR, </w:t>
      </w:r>
      <w:hyperlink r:id="rId76" w:history="1">
        <w:r w:rsidRPr="001167CB">
          <w:rPr>
            <w:rStyle w:val="Hyperlink"/>
            <w:rFonts w:asciiTheme="majorHAnsi" w:eastAsia="Times New Roman" w:hAnsiTheme="majorHAnsi" w:cstheme="majorHAnsi"/>
            <w:bCs/>
            <w:color w:val="808080" w:themeColor="background1" w:themeShade="80"/>
            <w:sz w:val="16"/>
            <w:szCs w:val="16"/>
            <w:lang w:eastAsia="es-ES"/>
          </w:rPr>
          <w:t>People of African Descent in the Americas</w:t>
        </w:r>
      </w:hyperlink>
      <w:r w:rsidRPr="001167CB">
        <w:rPr>
          <w:rFonts w:asciiTheme="majorHAnsi" w:eastAsia="Times New Roman" w:hAnsiTheme="majorHAnsi" w:cstheme="majorHAnsi"/>
          <w:bCs/>
          <w:color w:val="808080" w:themeColor="background1" w:themeShade="80"/>
          <w:sz w:val="16"/>
          <w:szCs w:val="16"/>
          <w:lang w:eastAsia="es-ES"/>
        </w:rPr>
        <w:t xml:space="preserve"> (2011)</w:t>
      </w:r>
      <w:r w:rsidRPr="001167CB">
        <w:rPr>
          <w:rFonts w:asciiTheme="majorHAnsi" w:eastAsia="Times New Roman" w:hAnsiTheme="majorHAnsi" w:cstheme="majorHAnsi"/>
          <w:color w:val="808080" w:themeColor="background1" w:themeShade="80"/>
          <w:sz w:val="16"/>
          <w:szCs w:val="16"/>
          <w:lang w:eastAsia="es-ES"/>
        </w:rPr>
        <w:t xml:space="preserve">, para. 52; </w:t>
      </w:r>
      <w:r w:rsidRPr="001167CB">
        <w:rPr>
          <w:rFonts w:asciiTheme="majorHAnsi" w:hAnsiTheme="majorHAnsi" w:cstheme="majorHAnsi"/>
          <w:color w:val="808080" w:themeColor="background1" w:themeShade="80"/>
          <w:sz w:val="16"/>
          <w:szCs w:val="16"/>
        </w:rPr>
        <w:t xml:space="preserve">CERD, </w:t>
      </w:r>
      <w:hyperlink r:id="rId77" w:history="1">
        <w:r w:rsidRPr="001167CB">
          <w:rPr>
            <w:rStyle w:val="Hyperlink"/>
            <w:rFonts w:asciiTheme="majorHAnsi" w:hAnsiTheme="majorHAnsi" w:cstheme="majorHAnsi"/>
            <w:bCs/>
            <w:iCs/>
            <w:color w:val="808080" w:themeColor="background1" w:themeShade="80"/>
            <w:sz w:val="16"/>
            <w:szCs w:val="16"/>
          </w:rPr>
          <w:t>Concluding Observations 2014</w:t>
        </w:r>
      </w:hyperlink>
      <w:r w:rsidRPr="001167CB">
        <w:rPr>
          <w:rFonts w:asciiTheme="majorHAnsi" w:hAnsiTheme="majorHAnsi" w:cstheme="majorHAnsi"/>
          <w:color w:val="808080" w:themeColor="background1" w:themeShade="80"/>
          <w:sz w:val="16"/>
          <w:szCs w:val="16"/>
          <w:lang w:val="en-GB"/>
        </w:rPr>
        <w:t>, para. 15</w:t>
      </w:r>
      <w:r w:rsidRPr="001167CB">
        <w:rPr>
          <w:rFonts w:asciiTheme="majorHAnsi" w:eastAsia="Times New Roman" w:hAnsiTheme="majorHAnsi" w:cstheme="majorHAnsi"/>
          <w:color w:val="808080" w:themeColor="background1" w:themeShade="80"/>
          <w:sz w:val="16"/>
          <w:szCs w:val="16"/>
          <w:lang w:eastAsia="es-ES"/>
        </w:rPr>
        <w:t>.</w:t>
      </w:r>
    </w:p>
  </w:footnote>
  <w:footnote w:id="43">
    <w:p w14:paraId="38CF8056"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lang w:val="en-GB"/>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LA Times, </w:t>
      </w:r>
      <w:hyperlink r:id="rId78" w:history="1">
        <w:r w:rsidRPr="001167CB">
          <w:rPr>
            <w:rStyle w:val="Hyperlink"/>
            <w:rFonts w:asciiTheme="majorHAnsi" w:hAnsiTheme="majorHAnsi" w:cstheme="majorHAnsi"/>
            <w:color w:val="808080" w:themeColor="background1" w:themeShade="80"/>
            <w:sz w:val="16"/>
            <w:szCs w:val="16"/>
          </w:rPr>
          <w:t>The quiet crisis among African Americans: Pregnancy and childbirth are killing women at inexplicable rates</w:t>
        </w:r>
      </w:hyperlink>
      <w:r w:rsidRPr="001167CB">
        <w:rPr>
          <w:rFonts w:asciiTheme="majorHAnsi" w:hAnsiTheme="majorHAnsi" w:cstheme="majorHAnsi"/>
          <w:color w:val="808080" w:themeColor="background1" w:themeShade="80"/>
          <w:sz w:val="16"/>
          <w:szCs w:val="16"/>
        </w:rPr>
        <w:t xml:space="preserve">, Oct. 26, 2017; In Our Own Voice, </w:t>
      </w:r>
      <w:hyperlink r:id="rId79" w:history="1">
        <w:r w:rsidRPr="001167CB">
          <w:rPr>
            <w:rStyle w:val="Hyperlink"/>
            <w:rFonts w:asciiTheme="majorHAnsi" w:hAnsiTheme="majorHAnsi" w:cstheme="majorHAnsi"/>
            <w:color w:val="808080" w:themeColor="background1" w:themeShade="80"/>
            <w:sz w:val="16"/>
            <w:szCs w:val="16"/>
          </w:rPr>
          <w:t>Our Bodies, Our Lives, Our Voices: The State of Black Women and Reproductive Justice</w:t>
        </w:r>
      </w:hyperlink>
      <w:r w:rsidRPr="001167CB">
        <w:rPr>
          <w:rFonts w:asciiTheme="majorHAnsi" w:hAnsiTheme="majorHAnsi" w:cstheme="majorHAnsi"/>
          <w:color w:val="808080" w:themeColor="background1" w:themeShade="80"/>
          <w:sz w:val="16"/>
          <w:szCs w:val="16"/>
        </w:rPr>
        <w:t xml:space="preserve">, June 2017; CERD, </w:t>
      </w:r>
      <w:hyperlink r:id="rId80" w:history="1">
        <w:r w:rsidRPr="001167CB">
          <w:rPr>
            <w:rStyle w:val="Hyperlink"/>
            <w:rFonts w:asciiTheme="majorHAnsi" w:hAnsiTheme="majorHAnsi" w:cstheme="majorHAnsi"/>
            <w:bCs/>
            <w:iCs/>
            <w:color w:val="808080" w:themeColor="background1" w:themeShade="80"/>
            <w:sz w:val="16"/>
            <w:szCs w:val="16"/>
          </w:rPr>
          <w:t>Concluding Observations 2014</w:t>
        </w:r>
      </w:hyperlink>
      <w:r w:rsidRPr="001167CB">
        <w:rPr>
          <w:rFonts w:asciiTheme="majorHAnsi" w:hAnsiTheme="majorHAnsi" w:cstheme="majorHAnsi"/>
          <w:color w:val="808080" w:themeColor="background1" w:themeShade="80"/>
          <w:sz w:val="16"/>
          <w:szCs w:val="16"/>
          <w:lang w:val="en-GB"/>
        </w:rPr>
        <w:t xml:space="preserve">, </w:t>
      </w:r>
      <w:r w:rsidRPr="001167CB">
        <w:rPr>
          <w:rFonts w:asciiTheme="majorHAnsi" w:hAnsiTheme="majorHAnsi" w:cstheme="majorHAnsi"/>
          <w:color w:val="808080" w:themeColor="background1" w:themeShade="80"/>
          <w:sz w:val="16"/>
          <w:szCs w:val="16"/>
        </w:rPr>
        <w:t xml:space="preserve">Sept. </w:t>
      </w:r>
      <w:r w:rsidRPr="001167CB">
        <w:rPr>
          <w:rFonts w:asciiTheme="majorHAnsi" w:hAnsiTheme="majorHAnsi" w:cstheme="majorHAnsi"/>
          <w:color w:val="808080" w:themeColor="background1" w:themeShade="80"/>
          <w:sz w:val="16"/>
          <w:szCs w:val="16"/>
          <w:lang w:val="en-GB"/>
        </w:rPr>
        <w:t xml:space="preserve">25, 2014, para. 15; </w:t>
      </w:r>
      <w:r w:rsidRPr="001167CB">
        <w:rPr>
          <w:rFonts w:asciiTheme="majorHAnsi" w:eastAsia="Times New Roman" w:hAnsiTheme="majorHAnsi" w:cstheme="majorHAnsi"/>
          <w:bCs/>
          <w:color w:val="808080" w:themeColor="background1" w:themeShade="80"/>
          <w:sz w:val="16"/>
          <w:szCs w:val="16"/>
          <w:lang w:eastAsia="es-ES"/>
        </w:rPr>
        <w:t xml:space="preserve">IACHR, </w:t>
      </w:r>
      <w:hyperlink r:id="rId81" w:history="1">
        <w:r w:rsidRPr="001167CB">
          <w:rPr>
            <w:rStyle w:val="Hyperlink"/>
            <w:rFonts w:asciiTheme="majorHAnsi" w:eastAsia="Times New Roman" w:hAnsiTheme="majorHAnsi" w:cstheme="majorHAnsi"/>
            <w:bCs/>
            <w:color w:val="808080" w:themeColor="background1" w:themeShade="80"/>
            <w:sz w:val="16"/>
            <w:szCs w:val="16"/>
            <w:lang w:eastAsia="es-ES"/>
          </w:rPr>
          <w:t>People of African Descent in the Americas</w:t>
        </w:r>
      </w:hyperlink>
      <w:r w:rsidRPr="001167CB">
        <w:rPr>
          <w:rFonts w:asciiTheme="majorHAnsi" w:eastAsia="Times New Roman" w:hAnsiTheme="majorHAnsi" w:cstheme="majorHAnsi"/>
          <w:bCs/>
          <w:color w:val="808080" w:themeColor="background1" w:themeShade="80"/>
          <w:sz w:val="16"/>
          <w:szCs w:val="16"/>
          <w:lang w:eastAsia="es-ES"/>
        </w:rPr>
        <w:t xml:space="preserve"> (2011)</w:t>
      </w:r>
      <w:r w:rsidRPr="001167CB">
        <w:rPr>
          <w:rFonts w:asciiTheme="majorHAnsi" w:eastAsia="Times New Roman" w:hAnsiTheme="majorHAnsi" w:cstheme="majorHAnsi"/>
          <w:color w:val="808080" w:themeColor="background1" w:themeShade="80"/>
          <w:sz w:val="16"/>
          <w:szCs w:val="16"/>
          <w:lang w:eastAsia="es-ES"/>
        </w:rPr>
        <w:t>, para. 68.</w:t>
      </w:r>
    </w:p>
  </w:footnote>
  <w:footnote w:id="44">
    <w:p w14:paraId="0B7B39DD"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CNN, </w:t>
      </w:r>
      <w:hyperlink r:id="rId82" w:history="1">
        <w:r w:rsidRPr="001167CB">
          <w:rPr>
            <w:rStyle w:val="Hyperlink"/>
            <w:rFonts w:asciiTheme="majorHAnsi" w:hAnsiTheme="majorHAnsi" w:cstheme="majorHAnsi"/>
            <w:color w:val="808080" w:themeColor="background1" w:themeShade="80"/>
            <w:sz w:val="16"/>
            <w:szCs w:val="16"/>
          </w:rPr>
          <w:t>Racism in medicine: An 'open secret'</w:t>
        </w:r>
      </w:hyperlink>
      <w:r w:rsidRPr="001167CB">
        <w:rPr>
          <w:rFonts w:asciiTheme="majorHAnsi" w:hAnsiTheme="majorHAnsi" w:cstheme="majorHAnsi"/>
          <w:color w:val="808080" w:themeColor="background1" w:themeShade="80"/>
          <w:sz w:val="16"/>
          <w:szCs w:val="16"/>
        </w:rPr>
        <w:t xml:space="preserve">, Oct. 26, 2016; U.S. News &amp; World Report, </w:t>
      </w:r>
      <w:hyperlink r:id="rId83" w:history="1">
        <w:r w:rsidRPr="001167CB">
          <w:rPr>
            <w:rStyle w:val="Hyperlink"/>
            <w:rFonts w:asciiTheme="majorHAnsi" w:hAnsiTheme="majorHAnsi" w:cstheme="majorHAnsi"/>
            <w:color w:val="808080" w:themeColor="background1" w:themeShade="80"/>
            <w:sz w:val="16"/>
            <w:szCs w:val="16"/>
          </w:rPr>
          <w:t>Racial Bias in Medicine Leads to Worse Care for Minorities</w:t>
        </w:r>
      </w:hyperlink>
      <w:r w:rsidRPr="001167CB">
        <w:rPr>
          <w:rFonts w:asciiTheme="majorHAnsi" w:hAnsiTheme="majorHAnsi" w:cstheme="majorHAnsi"/>
          <w:color w:val="808080" w:themeColor="background1" w:themeShade="80"/>
          <w:sz w:val="16"/>
          <w:szCs w:val="16"/>
        </w:rPr>
        <w:t xml:space="preserve">, Feb. 11, 2016. </w:t>
      </w:r>
    </w:p>
  </w:footnote>
  <w:footnote w:id="45">
    <w:p w14:paraId="116785DD"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Handbook of Research in Education Finance and Policy, </w:t>
      </w:r>
      <w:hyperlink r:id="rId84" w:history="1">
        <w:r w:rsidRPr="001167CB">
          <w:rPr>
            <w:rStyle w:val="Hyperlink"/>
            <w:rFonts w:asciiTheme="majorHAnsi" w:hAnsiTheme="majorHAnsi" w:cstheme="majorHAnsi"/>
            <w:color w:val="808080" w:themeColor="background1" w:themeShade="80"/>
            <w:sz w:val="16"/>
            <w:szCs w:val="16"/>
          </w:rPr>
          <w:t>Patterns and Trends in Racial/Ethnic and Socioeconomic Academic Achievement Gaps</w:t>
        </w:r>
      </w:hyperlink>
      <w:r w:rsidRPr="001167CB">
        <w:rPr>
          <w:rFonts w:asciiTheme="majorHAnsi" w:hAnsiTheme="majorHAnsi" w:cstheme="majorHAnsi"/>
          <w:color w:val="808080" w:themeColor="background1" w:themeShade="80"/>
          <w:sz w:val="16"/>
          <w:szCs w:val="16"/>
        </w:rPr>
        <w:t xml:space="preserve">; Brookings Institution, </w:t>
      </w:r>
      <w:hyperlink r:id="rId85" w:history="1">
        <w:r w:rsidRPr="001167CB">
          <w:rPr>
            <w:rStyle w:val="Hyperlink"/>
            <w:rFonts w:asciiTheme="majorHAnsi" w:hAnsiTheme="majorHAnsi" w:cstheme="majorHAnsi"/>
            <w:color w:val="808080" w:themeColor="background1" w:themeShade="80"/>
            <w:sz w:val="16"/>
            <w:szCs w:val="16"/>
          </w:rPr>
          <w:t>7 findings that illustrate racial disparities in education</w:t>
        </w:r>
      </w:hyperlink>
      <w:r w:rsidRPr="001167CB">
        <w:rPr>
          <w:rFonts w:asciiTheme="majorHAnsi" w:hAnsiTheme="majorHAnsi" w:cstheme="majorHAnsi"/>
          <w:color w:val="808080" w:themeColor="background1" w:themeShade="80"/>
          <w:sz w:val="16"/>
          <w:szCs w:val="16"/>
        </w:rPr>
        <w:t xml:space="preserve">, June 6, 2016; </w:t>
      </w:r>
      <w:r w:rsidRPr="001167CB">
        <w:rPr>
          <w:rFonts w:asciiTheme="majorHAnsi" w:hAnsiTheme="majorHAnsi" w:cstheme="majorHAnsi"/>
          <w:i/>
          <w:color w:val="808080" w:themeColor="background1" w:themeShade="80"/>
          <w:sz w:val="16"/>
          <w:szCs w:val="16"/>
        </w:rPr>
        <w:t>see also</w:t>
      </w:r>
      <w:r w:rsidRPr="001167CB">
        <w:rPr>
          <w:rFonts w:asciiTheme="majorHAnsi" w:hAnsiTheme="majorHAnsi" w:cstheme="majorHAnsi"/>
          <w:color w:val="808080" w:themeColor="background1" w:themeShade="80"/>
          <w:sz w:val="16"/>
          <w:szCs w:val="16"/>
        </w:rPr>
        <w:t xml:space="preserve"> </w:t>
      </w:r>
      <w:r w:rsidRPr="001167CB">
        <w:rPr>
          <w:rFonts w:asciiTheme="majorHAnsi" w:eastAsia="Times New Roman" w:hAnsiTheme="majorHAnsi" w:cstheme="majorHAnsi"/>
          <w:bCs/>
          <w:color w:val="808080" w:themeColor="background1" w:themeShade="80"/>
          <w:sz w:val="16"/>
          <w:szCs w:val="16"/>
          <w:lang w:eastAsia="es-ES"/>
        </w:rPr>
        <w:t xml:space="preserve">IACHR, </w:t>
      </w:r>
      <w:hyperlink r:id="rId86" w:history="1">
        <w:r w:rsidRPr="001167CB">
          <w:rPr>
            <w:rStyle w:val="Hyperlink"/>
            <w:rFonts w:asciiTheme="majorHAnsi" w:eastAsia="Times New Roman" w:hAnsiTheme="majorHAnsi" w:cstheme="majorHAnsi"/>
            <w:bCs/>
            <w:color w:val="808080" w:themeColor="background1" w:themeShade="80"/>
            <w:sz w:val="16"/>
            <w:szCs w:val="16"/>
            <w:lang w:eastAsia="es-ES"/>
          </w:rPr>
          <w:t>People of African Descent in the Americas</w:t>
        </w:r>
      </w:hyperlink>
      <w:r w:rsidRPr="001167CB">
        <w:rPr>
          <w:rFonts w:asciiTheme="majorHAnsi" w:eastAsia="Times New Roman" w:hAnsiTheme="majorHAnsi" w:cstheme="majorHAnsi"/>
          <w:bCs/>
          <w:color w:val="808080" w:themeColor="background1" w:themeShade="80"/>
          <w:sz w:val="16"/>
          <w:szCs w:val="16"/>
          <w:lang w:eastAsia="es-ES"/>
        </w:rPr>
        <w:t xml:space="preserve"> (2011)</w:t>
      </w:r>
      <w:r w:rsidRPr="001167CB">
        <w:rPr>
          <w:rFonts w:asciiTheme="majorHAnsi" w:eastAsia="Times New Roman" w:hAnsiTheme="majorHAnsi" w:cstheme="majorHAnsi"/>
          <w:color w:val="808080" w:themeColor="background1" w:themeShade="80"/>
          <w:sz w:val="16"/>
          <w:szCs w:val="16"/>
          <w:lang w:eastAsia="es-ES"/>
        </w:rPr>
        <w:t xml:space="preserve">, paras. 53-54; </w:t>
      </w:r>
      <w:r w:rsidRPr="001167CB">
        <w:rPr>
          <w:rFonts w:asciiTheme="majorHAnsi" w:hAnsiTheme="majorHAnsi" w:cstheme="majorHAnsi"/>
          <w:color w:val="808080" w:themeColor="background1" w:themeShade="80"/>
          <w:sz w:val="16"/>
          <w:szCs w:val="16"/>
        </w:rPr>
        <w:t xml:space="preserve">CERD, </w:t>
      </w:r>
      <w:hyperlink r:id="rId87" w:history="1">
        <w:r w:rsidRPr="001167CB">
          <w:rPr>
            <w:rStyle w:val="Hyperlink"/>
            <w:rFonts w:asciiTheme="majorHAnsi" w:hAnsiTheme="majorHAnsi" w:cstheme="majorHAnsi"/>
            <w:bCs/>
            <w:iCs/>
            <w:color w:val="808080" w:themeColor="background1" w:themeShade="80"/>
            <w:sz w:val="16"/>
            <w:szCs w:val="16"/>
          </w:rPr>
          <w:t>Concluding Observations 2014</w:t>
        </w:r>
      </w:hyperlink>
      <w:r w:rsidRPr="001167CB">
        <w:rPr>
          <w:rFonts w:asciiTheme="majorHAnsi" w:hAnsiTheme="majorHAnsi" w:cstheme="majorHAnsi"/>
          <w:color w:val="808080" w:themeColor="background1" w:themeShade="80"/>
          <w:sz w:val="16"/>
          <w:szCs w:val="16"/>
          <w:lang w:val="en-GB"/>
        </w:rPr>
        <w:t xml:space="preserve">, </w:t>
      </w:r>
      <w:r w:rsidRPr="001167CB">
        <w:rPr>
          <w:rFonts w:asciiTheme="majorHAnsi" w:hAnsiTheme="majorHAnsi" w:cstheme="majorHAnsi"/>
          <w:color w:val="808080" w:themeColor="background1" w:themeShade="80"/>
          <w:sz w:val="16"/>
          <w:szCs w:val="16"/>
        </w:rPr>
        <w:t xml:space="preserve">Sept. </w:t>
      </w:r>
      <w:r w:rsidRPr="001167CB">
        <w:rPr>
          <w:rFonts w:asciiTheme="majorHAnsi" w:hAnsiTheme="majorHAnsi" w:cstheme="majorHAnsi"/>
          <w:color w:val="808080" w:themeColor="background1" w:themeShade="80"/>
          <w:sz w:val="16"/>
          <w:szCs w:val="16"/>
          <w:lang w:val="en-GB"/>
        </w:rPr>
        <w:t>25, 2014, para. 14.</w:t>
      </w:r>
    </w:p>
  </w:footnote>
  <w:footnote w:id="46">
    <w:p w14:paraId="4B873A10"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USA Today, </w:t>
      </w:r>
      <w:hyperlink r:id="rId88" w:history="1">
        <w:r w:rsidRPr="001167CB">
          <w:rPr>
            <w:rStyle w:val="Hyperlink"/>
            <w:rFonts w:asciiTheme="majorHAnsi" w:hAnsiTheme="majorHAnsi" w:cstheme="majorHAnsi"/>
            <w:color w:val="808080" w:themeColor="background1" w:themeShade="80"/>
            <w:sz w:val="16"/>
            <w:szCs w:val="16"/>
          </w:rPr>
          <w:t>Report: The race gap in higher education is very real</w:t>
        </w:r>
      </w:hyperlink>
      <w:r w:rsidRPr="001167CB">
        <w:rPr>
          <w:rFonts w:asciiTheme="majorHAnsi" w:hAnsiTheme="majorHAnsi" w:cstheme="majorHAnsi"/>
          <w:color w:val="808080" w:themeColor="background1" w:themeShade="80"/>
          <w:sz w:val="16"/>
          <w:szCs w:val="16"/>
        </w:rPr>
        <w:t xml:space="preserve">, Mar. 7, 2017; The Chronicle of Higher Education, </w:t>
      </w:r>
      <w:hyperlink r:id="rId89" w:history="1">
        <w:r w:rsidRPr="001167CB">
          <w:rPr>
            <w:rStyle w:val="Hyperlink"/>
            <w:rFonts w:asciiTheme="majorHAnsi" w:hAnsiTheme="majorHAnsi" w:cstheme="majorHAnsi"/>
            <w:color w:val="808080" w:themeColor="background1" w:themeShade="80"/>
            <w:sz w:val="16"/>
            <w:szCs w:val="16"/>
          </w:rPr>
          <w:t>Racial Disparities in Higher Education: an Overview</w:t>
        </w:r>
      </w:hyperlink>
      <w:r w:rsidRPr="001167CB">
        <w:rPr>
          <w:rFonts w:asciiTheme="majorHAnsi" w:hAnsiTheme="majorHAnsi" w:cstheme="majorHAnsi"/>
          <w:color w:val="808080" w:themeColor="background1" w:themeShade="80"/>
          <w:sz w:val="16"/>
          <w:szCs w:val="16"/>
        </w:rPr>
        <w:t>, Nov. 10, 2015.</w:t>
      </w:r>
    </w:p>
  </w:footnote>
  <w:footnote w:id="47">
    <w:p w14:paraId="1DCB5C4B"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i/>
          <w:color w:val="808080" w:themeColor="background1" w:themeShade="80"/>
          <w:sz w:val="16"/>
          <w:szCs w:val="16"/>
        </w:rPr>
        <w:t>See</w:t>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i/>
          <w:color w:val="808080" w:themeColor="background1" w:themeShade="80"/>
          <w:sz w:val="16"/>
          <w:szCs w:val="16"/>
        </w:rPr>
        <w:t>e.g.</w:t>
      </w:r>
      <w:r w:rsidRPr="001167CB">
        <w:rPr>
          <w:rFonts w:asciiTheme="majorHAnsi" w:hAnsiTheme="majorHAnsi" w:cstheme="majorHAnsi"/>
          <w:color w:val="808080" w:themeColor="background1" w:themeShade="80"/>
          <w:sz w:val="16"/>
          <w:szCs w:val="16"/>
        </w:rPr>
        <w:t xml:space="preserve">, Washington Post, </w:t>
      </w:r>
      <w:hyperlink r:id="rId90" w:history="1">
        <w:r w:rsidRPr="001167CB">
          <w:rPr>
            <w:rStyle w:val="Hyperlink"/>
            <w:rFonts w:asciiTheme="majorHAnsi" w:hAnsiTheme="majorHAnsi" w:cstheme="majorHAnsi"/>
            <w:color w:val="808080" w:themeColor="background1" w:themeShade="80"/>
            <w:sz w:val="16"/>
            <w:szCs w:val="16"/>
          </w:rPr>
          <w:t>Do voter identification laws suppress minority voting? Yes. We did the research</w:t>
        </w:r>
      </w:hyperlink>
      <w:r w:rsidRPr="001167CB">
        <w:rPr>
          <w:rFonts w:asciiTheme="majorHAnsi" w:hAnsiTheme="majorHAnsi" w:cstheme="majorHAnsi"/>
          <w:color w:val="808080" w:themeColor="background1" w:themeShade="80"/>
          <w:sz w:val="16"/>
          <w:szCs w:val="16"/>
        </w:rPr>
        <w:t xml:space="preserve">., Feb. 15, 2017; POLITICO Magazine, </w:t>
      </w:r>
      <w:hyperlink r:id="rId91" w:history="1">
        <w:proofErr w:type="gramStart"/>
        <w:r w:rsidRPr="001167CB">
          <w:rPr>
            <w:rStyle w:val="Hyperlink"/>
            <w:rFonts w:asciiTheme="majorHAnsi" w:hAnsiTheme="majorHAnsi" w:cstheme="majorHAnsi"/>
            <w:color w:val="808080" w:themeColor="background1" w:themeShade="80"/>
            <w:sz w:val="16"/>
            <w:szCs w:val="16"/>
          </w:rPr>
          <w:t>The</w:t>
        </w:r>
        <w:proofErr w:type="gramEnd"/>
        <w:r w:rsidRPr="001167CB">
          <w:rPr>
            <w:rStyle w:val="Hyperlink"/>
            <w:rFonts w:asciiTheme="majorHAnsi" w:hAnsiTheme="majorHAnsi" w:cstheme="majorHAnsi"/>
            <w:color w:val="808080" w:themeColor="background1" w:themeShade="80"/>
            <w:sz w:val="16"/>
            <w:szCs w:val="16"/>
          </w:rPr>
          <w:t xml:space="preserve"> Real Voting Problem in the 2016 Election</w:t>
        </w:r>
      </w:hyperlink>
      <w:r w:rsidRPr="001167CB">
        <w:rPr>
          <w:rFonts w:asciiTheme="majorHAnsi" w:hAnsiTheme="majorHAnsi" w:cstheme="majorHAnsi"/>
          <w:color w:val="808080" w:themeColor="background1" w:themeShade="80"/>
          <w:sz w:val="16"/>
          <w:szCs w:val="16"/>
        </w:rPr>
        <w:t>, Oct. 24, 2016.</w:t>
      </w:r>
    </w:p>
  </w:footnote>
  <w:footnote w:id="48">
    <w:p w14:paraId="1DA072FA" w14:textId="77777777" w:rsidR="005C2394" w:rsidRPr="001167CB" w:rsidRDefault="005C2394" w:rsidP="002C64F8">
      <w:pPr>
        <w:pStyle w:val="FootnoteText"/>
        <w:spacing w:after="40"/>
        <w:ind w:left="547" w:hanging="547"/>
        <w:jc w:val="both"/>
        <w:rPr>
          <w:rFonts w:asciiTheme="majorHAnsi" w:hAnsiTheme="majorHAnsi" w:cstheme="majorHAnsi"/>
          <w: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U.N., Human Rights Comm., </w:t>
      </w:r>
      <w:hyperlink r:id="rId92" w:history="1">
        <w:r w:rsidRPr="001167CB">
          <w:rPr>
            <w:rStyle w:val="Hyperlink"/>
            <w:rFonts w:asciiTheme="majorHAnsi" w:hAnsiTheme="majorHAnsi" w:cstheme="majorHAnsi"/>
            <w:bCs/>
            <w:i/>
            <w:color w:val="808080" w:themeColor="background1" w:themeShade="80"/>
            <w:sz w:val="16"/>
            <w:szCs w:val="16"/>
          </w:rPr>
          <w:t>Concluding observations on the fourth periodic report of the United States of America</w:t>
        </w:r>
        <w:r w:rsidRPr="001167CB">
          <w:rPr>
            <w:rStyle w:val="Hyperlink"/>
            <w:rFonts w:asciiTheme="majorHAnsi" w:hAnsiTheme="majorHAnsi" w:cstheme="majorHAnsi"/>
            <w:bCs/>
            <w:color w:val="808080" w:themeColor="background1" w:themeShade="80"/>
            <w:sz w:val="16"/>
            <w:szCs w:val="16"/>
          </w:rPr>
          <w:t>, U.N. Doc CCPR/C/USA/CO/4</w:t>
        </w:r>
      </w:hyperlink>
      <w:r w:rsidRPr="001167CB">
        <w:rPr>
          <w:rFonts w:asciiTheme="majorHAnsi" w:hAnsiTheme="majorHAnsi" w:cstheme="majorHAnsi"/>
          <w:bCs/>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 xml:space="preserve">Apr. </w:t>
      </w:r>
      <w:r w:rsidRPr="001167CB">
        <w:rPr>
          <w:rFonts w:asciiTheme="majorHAnsi" w:hAnsiTheme="majorHAnsi" w:cstheme="majorHAnsi"/>
          <w:bCs/>
          <w:color w:val="808080" w:themeColor="background1" w:themeShade="80"/>
          <w:sz w:val="16"/>
          <w:szCs w:val="16"/>
        </w:rPr>
        <w:t>23, 2014</w:t>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i/>
          <w:color w:val="808080" w:themeColor="background1" w:themeShade="80"/>
          <w:sz w:val="16"/>
          <w:szCs w:val="16"/>
        </w:rPr>
        <w:t>see also</w:t>
      </w:r>
      <w:r w:rsidRPr="001167CB">
        <w:rPr>
          <w:rFonts w:asciiTheme="majorHAnsi" w:eastAsia="Times New Roman" w:hAnsiTheme="majorHAnsi" w:cstheme="majorHAnsi"/>
          <w:color w:val="808080" w:themeColor="background1" w:themeShade="80"/>
          <w:sz w:val="16"/>
          <w:szCs w:val="16"/>
          <w:lang w:eastAsia="es-ES"/>
        </w:rPr>
        <w:t xml:space="preserve"> </w:t>
      </w:r>
      <w:r w:rsidRPr="001167CB">
        <w:rPr>
          <w:rFonts w:asciiTheme="majorHAnsi" w:eastAsia="Times New Roman" w:hAnsiTheme="majorHAnsi" w:cstheme="majorHAnsi"/>
          <w:bCs/>
          <w:color w:val="808080" w:themeColor="background1" w:themeShade="80"/>
          <w:sz w:val="16"/>
          <w:szCs w:val="16"/>
          <w:lang w:eastAsia="es-ES"/>
        </w:rPr>
        <w:t xml:space="preserve">IACHR, </w:t>
      </w:r>
      <w:hyperlink r:id="rId93" w:history="1">
        <w:r w:rsidRPr="001167CB">
          <w:rPr>
            <w:rStyle w:val="Hyperlink"/>
            <w:rFonts w:asciiTheme="majorHAnsi" w:eastAsia="Times New Roman" w:hAnsiTheme="majorHAnsi" w:cstheme="majorHAnsi"/>
            <w:bCs/>
            <w:color w:val="808080" w:themeColor="background1" w:themeShade="80"/>
            <w:sz w:val="16"/>
            <w:szCs w:val="16"/>
            <w:lang w:eastAsia="es-ES"/>
          </w:rPr>
          <w:t>People of African Descent in the Americas</w:t>
        </w:r>
      </w:hyperlink>
      <w:r w:rsidRPr="001167CB">
        <w:rPr>
          <w:rFonts w:asciiTheme="majorHAnsi" w:eastAsia="Times New Roman" w:hAnsiTheme="majorHAnsi" w:cstheme="majorHAnsi"/>
          <w:bCs/>
          <w:color w:val="808080" w:themeColor="background1" w:themeShade="80"/>
          <w:sz w:val="16"/>
          <w:szCs w:val="16"/>
          <w:lang w:eastAsia="es-ES"/>
        </w:rPr>
        <w:t xml:space="preserve"> (2011)</w:t>
      </w:r>
      <w:r w:rsidRPr="001167CB">
        <w:rPr>
          <w:rFonts w:asciiTheme="majorHAnsi" w:eastAsia="Times New Roman" w:hAnsiTheme="majorHAnsi" w:cstheme="majorHAnsi"/>
          <w:color w:val="808080" w:themeColor="background1" w:themeShade="80"/>
          <w:sz w:val="16"/>
          <w:szCs w:val="16"/>
          <w:lang w:eastAsia="es-ES"/>
        </w:rPr>
        <w:t>, para. 55-56.</w:t>
      </w:r>
    </w:p>
  </w:footnote>
  <w:footnote w:id="49">
    <w:p w14:paraId="2F67B078"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Slate, </w:t>
      </w:r>
      <w:hyperlink r:id="rId94" w:history="1">
        <w:proofErr w:type="gramStart"/>
        <w:r w:rsidRPr="001167CB">
          <w:rPr>
            <w:rStyle w:val="Hyperlink"/>
            <w:rFonts w:asciiTheme="majorHAnsi" w:hAnsiTheme="majorHAnsi" w:cstheme="majorHAnsi"/>
            <w:color w:val="808080" w:themeColor="background1" w:themeShade="80"/>
            <w:sz w:val="16"/>
            <w:szCs w:val="16"/>
          </w:rPr>
          <w:t>The</w:t>
        </w:r>
        <w:proofErr w:type="gramEnd"/>
        <w:r w:rsidRPr="001167CB">
          <w:rPr>
            <w:rStyle w:val="Hyperlink"/>
            <w:rFonts w:asciiTheme="majorHAnsi" w:hAnsiTheme="majorHAnsi" w:cstheme="majorHAnsi"/>
            <w:color w:val="808080" w:themeColor="background1" w:themeShade="80"/>
            <w:sz w:val="16"/>
            <w:szCs w:val="16"/>
          </w:rPr>
          <w:t xml:space="preserve"> Invisible Segregation of Diverse Neighborhoods</w:t>
        </w:r>
      </w:hyperlink>
      <w:r w:rsidRPr="001167CB">
        <w:rPr>
          <w:rFonts w:asciiTheme="majorHAnsi" w:hAnsiTheme="majorHAnsi" w:cstheme="majorHAnsi"/>
          <w:color w:val="808080" w:themeColor="background1" w:themeShade="80"/>
          <w:sz w:val="16"/>
          <w:szCs w:val="16"/>
        </w:rPr>
        <w:t xml:space="preserve">, July 24, 2017; New York Times, </w:t>
      </w:r>
      <w:hyperlink r:id="rId95" w:history="1">
        <w:r w:rsidRPr="001167CB">
          <w:rPr>
            <w:rStyle w:val="Hyperlink"/>
            <w:rFonts w:asciiTheme="majorHAnsi" w:hAnsiTheme="majorHAnsi" w:cstheme="majorHAnsi"/>
            <w:color w:val="808080" w:themeColor="background1" w:themeShade="80"/>
            <w:sz w:val="16"/>
            <w:szCs w:val="16"/>
          </w:rPr>
          <w:t>Affluent and Black, but Still Trapped by Segregation</w:t>
        </w:r>
      </w:hyperlink>
      <w:r w:rsidRPr="001167CB">
        <w:rPr>
          <w:rFonts w:asciiTheme="majorHAnsi" w:hAnsiTheme="majorHAnsi" w:cstheme="majorHAnsi"/>
          <w:color w:val="808080" w:themeColor="background1" w:themeShade="80"/>
          <w:sz w:val="16"/>
          <w:szCs w:val="16"/>
        </w:rPr>
        <w:t>, Aug. 20, 2016.</w:t>
      </w:r>
    </w:p>
  </w:footnote>
  <w:footnote w:id="50">
    <w:p w14:paraId="37E9C8A8"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Seattle Times, </w:t>
      </w:r>
      <w:hyperlink r:id="rId96" w:history="1">
        <w:r w:rsidRPr="001167CB">
          <w:rPr>
            <w:rStyle w:val="Hyperlink"/>
            <w:rFonts w:asciiTheme="majorHAnsi" w:hAnsiTheme="majorHAnsi" w:cstheme="majorHAnsi"/>
            <w:color w:val="808080" w:themeColor="background1" w:themeShade="80"/>
            <w:sz w:val="16"/>
            <w:szCs w:val="16"/>
          </w:rPr>
          <w:t>Segregation worse in schools 60 years after Brown v. Board of Education</w:t>
        </w:r>
      </w:hyperlink>
      <w:r w:rsidRPr="001167CB">
        <w:rPr>
          <w:rFonts w:asciiTheme="majorHAnsi" w:hAnsiTheme="majorHAnsi" w:cstheme="majorHAnsi"/>
          <w:color w:val="808080" w:themeColor="background1" w:themeShade="80"/>
          <w:sz w:val="16"/>
          <w:szCs w:val="16"/>
        </w:rPr>
        <w:t xml:space="preserve">, Sept. 14, 2017; The Atlantic, </w:t>
      </w:r>
      <w:hyperlink r:id="rId97" w:history="1">
        <w:r w:rsidRPr="001167CB">
          <w:rPr>
            <w:rStyle w:val="Hyperlink"/>
            <w:rFonts w:asciiTheme="majorHAnsi" w:hAnsiTheme="majorHAnsi" w:cstheme="majorHAnsi"/>
            <w:color w:val="808080" w:themeColor="background1" w:themeShade="80"/>
            <w:sz w:val="16"/>
            <w:szCs w:val="16"/>
          </w:rPr>
          <w:t>Segregation Now . . . .</w:t>
        </w:r>
      </w:hyperlink>
      <w:r w:rsidRPr="001167CB">
        <w:rPr>
          <w:rFonts w:asciiTheme="majorHAnsi" w:hAnsiTheme="majorHAnsi" w:cstheme="majorHAnsi"/>
          <w:color w:val="808080" w:themeColor="background1" w:themeShade="80"/>
          <w:sz w:val="16"/>
          <w:szCs w:val="16"/>
        </w:rPr>
        <w:t xml:space="preserve">, May 2014; </w:t>
      </w:r>
      <w:proofErr w:type="spellStart"/>
      <w:r w:rsidRPr="001167CB">
        <w:rPr>
          <w:rFonts w:asciiTheme="majorHAnsi" w:hAnsiTheme="majorHAnsi" w:cstheme="majorHAnsi"/>
          <w:color w:val="808080" w:themeColor="background1" w:themeShade="80"/>
          <w:sz w:val="16"/>
          <w:szCs w:val="16"/>
        </w:rPr>
        <w:t>ProPublica</w:t>
      </w:r>
      <w:proofErr w:type="spellEnd"/>
      <w:r w:rsidRPr="001167CB">
        <w:rPr>
          <w:rFonts w:asciiTheme="majorHAnsi" w:hAnsiTheme="majorHAnsi" w:cstheme="majorHAnsi"/>
          <w:color w:val="808080" w:themeColor="background1" w:themeShade="80"/>
          <w:sz w:val="16"/>
          <w:szCs w:val="16"/>
        </w:rPr>
        <w:t xml:space="preserve">, </w:t>
      </w:r>
      <w:hyperlink r:id="rId98" w:anchor="intro" w:history="1">
        <w:r w:rsidRPr="001167CB">
          <w:rPr>
            <w:rStyle w:val="Hyperlink"/>
            <w:rFonts w:asciiTheme="majorHAnsi" w:hAnsiTheme="majorHAnsi" w:cstheme="majorHAnsi"/>
            <w:color w:val="808080" w:themeColor="background1" w:themeShade="80"/>
            <w:sz w:val="16"/>
            <w:szCs w:val="16"/>
          </w:rPr>
          <w:t xml:space="preserve">Segregation Now: The </w:t>
        </w:r>
        <w:proofErr w:type="spellStart"/>
        <w:r w:rsidRPr="001167CB">
          <w:rPr>
            <w:rStyle w:val="Hyperlink"/>
            <w:rFonts w:asciiTheme="majorHAnsi" w:hAnsiTheme="majorHAnsi" w:cstheme="majorHAnsi"/>
            <w:color w:val="808080" w:themeColor="background1" w:themeShade="80"/>
            <w:sz w:val="16"/>
            <w:szCs w:val="16"/>
          </w:rPr>
          <w:t>Resegregation</w:t>
        </w:r>
        <w:proofErr w:type="spellEnd"/>
        <w:r w:rsidRPr="001167CB">
          <w:rPr>
            <w:rStyle w:val="Hyperlink"/>
            <w:rFonts w:asciiTheme="majorHAnsi" w:hAnsiTheme="majorHAnsi" w:cstheme="majorHAnsi"/>
            <w:color w:val="808080" w:themeColor="background1" w:themeShade="80"/>
            <w:sz w:val="16"/>
            <w:szCs w:val="16"/>
          </w:rPr>
          <w:t xml:space="preserve"> of America’s Schools</w:t>
        </w:r>
      </w:hyperlink>
      <w:r w:rsidRPr="001167CB">
        <w:rPr>
          <w:rFonts w:asciiTheme="majorHAnsi" w:hAnsiTheme="majorHAnsi" w:cstheme="majorHAnsi"/>
          <w:color w:val="808080" w:themeColor="background1" w:themeShade="80"/>
          <w:sz w:val="16"/>
          <w:szCs w:val="16"/>
        </w:rPr>
        <w:t xml:space="preserve">, Apr. 16, 2014; Washington Post, </w:t>
      </w:r>
      <w:hyperlink r:id="rId99" w:history="1">
        <w:r w:rsidRPr="001167CB">
          <w:rPr>
            <w:rStyle w:val="Hyperlink"/>
            <w:rFonts w:asciiTheme="majorHAnsi" w:hAnsiTheme="majorHAnsi" w:cstheme="majorHAnsi"/>
            <w:color w:val="808080" w:themeColor="background1" w:themeShade="80"/>
            <w:sz w:val="16"/>
            <w:szCs w:val="16"/>
          </w:rPr>
          <w:t>The most segregated schools may not be in the states you’d expect</w:t>
        </w:r>
      </w:hyperlink>
      <w:r w:rsidRPr="001167CB">
        <w:rPr>
          <w:rFonts w:asciiTheme="majorHAnsi" w:hAnsiTheme="majorHAnsi" w:cstheme="majorHAnsi"/>
          <w:color w:val="808080" w:themeColor="background1" w:themeShade="80"/>
          <w:sz w:val="16"/>
          <w:szCs w:val="16"/>
        </w:rPr>
        <w:t>, May 15, 2014.</w:t>
      </w:r>
    </w:p>
  </w:footnote>
  <w:footnote w:id="51">
    <w:p w14:paraId="1EC39F70"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proofErr w:type="spellStart"/>
      <w:r w:rsidRPr="001167CB">
        <w:rPr>
          <w:rFonts w:asciiTheme="majorHAnsi" w:hAnsiTheme="majorHAnsi" w:cstheme="majorHAnsi"/>
          <w:color w:val="808080" w:themeColor="background1" w:themeShade="80"/>
          <w:sz w:val="16"/>
          <w:szCs w:val="16"/>
        </w:rPr>
        <w:t>Kimberlé</w:t>
      </w:r>
      <w:proofErr w:type="spellEnd"/>
      <w:r w:rsidRPr="001167CB">
        <w:rPr>
          <w:rFonts w:asciiTheme="majorHAnsi" w:hAnsiTheme="majorHAnsi" w:cstheme="majorHAnsi"/>
          <w:color w:val="808080" w:themeColor="background1" w:themeShade="80"/>
          <w:sz w:val="16"/>
          <w:szCs w:val="16"/>
        </w:rPr>
        <w:t xml:space="preserve"> Crenshaw, </w:t>
      </w:r>
      <w:hyperlink r:id="rId100" w:history="1">
        <w:proofErr w:type="spellStart"/>
        <w:r w:rsidRPr="001167CB">
          <w:rPr>
            <w:rStyle w:val="Hyperlink"/>
            <w:rFonts w:asciiTheme="majorHAnsi" w:hAnsiTheme="majorHAnsi" w:cstheme="majorHAnsi"/>
            <w:color w:val="808080" w:themeColor="background1" w:themeShade="80"/>
            <w:sz w:val="16"/>
            <w:szCs w:val="16"/>
          </w:rPr>
          <w:t>Demarginalizing</w:t>
        </w:r>
        <w:proofErr w:type="spellEnd"/>
        <w:r w:rsidRPr="001167CB">
          <w:rPr>
            <w:rStyle w:val="Hyperlink"/>
            <w:rFonts w:asciiTheme="majorHAnsi" w:hAnsiTheme="majorHAnsi" w:cstheme="majorHAnsi"/>
            <w:color w:val="808080" w:themeColor="background1" w:themeShade="80"/>
            <w:sz w:val="16"/>
            <w:szCs w:val="16"/>
          </w:rPr>
          <w:t xml:space="preserve"> the Intersection of Race and Sex: A Black Feminist Critique of Antidiscrimination Doctrine, Feminist Theory and Antiracist Politics</w:t>
        </w:r>
      </w:hyperlink>
      <w:r w:rsidRPr="001167CB">
        <w:rPr>
          <w:rFonts w:asciiTheme="majorHAnsi" w:hAnsiTheme="majorHAnsi" w:cstheme="majorHAnsi"/>
          <w:i/>
          <w:color w:val="808080" w:themeColor="background1" w:themeShade="80"/>
          <w:sz w:val="16"/>
          <w:szCs w:val="16"/>
        </w:rPr>
        <w:t>, U. Chicago Legal Forum</w:t>
      </w:r>
      <w:r w:rsidRPr="001167CB">
        <w:rPr>
          <w:rFonts w:asciiTheme="majorHAnsi" w:hAnsiTheme="majorHAnsi" w:cstheme="majorHAnsi"/>
          <w:color w:val="808080" w:themeColor="background1" w:themeShade="80"/>
          <w:sz w:val="16"/>
          <w:szCs w:val="16"/>
        </w:rPr>
        <w:t xml:space="preserve"> (1989); </w:t>
      </w:r>
      <w:r w:rsidRPr="001167CB">
        <w:rPr>
          <w:rFonts w:asciiTheme="majorHAnsi" w:hAnsiTheme="majorHAnsi" w:cstheme="majorHAnsi"/>
          <w:i/>
          <w:color w:val="808080" w:themeColor="background1" w:themeShade="80"/>
          <w:sz w:val="16"/>
          <w:szCs w:val="16"/>
        </w:rPr>
        <w:t>see also, e.g.,</w:t>
      </w:r>
      <w:r w:rsidRPr="001167CB">
        <w:rPr>
          <w:rFonts w:asciiTheme="majorHAnsi" w:hAnsiTheme="majorHAnsi" w:cstheme="majorHAnsi"/>
          <w:color w:val="808080" w:themeColor="background1" w:themeShade="80"/>
          <w:sz w:val="16"/>
          <w:szCs w:val="16"/>
        </w:rPr>
        <w:t xml:space="preserve"> Columbia Law School, </w:t>
      </w:r>
      <w:hyperlink r:id="rId101" w:history="1">
        <w:proofErr w:type="spellStart"/>
        <w:r w:rsidRPr="001167CB">
          <w:rPr>
            <w:rStyle w:val="Hyperlink"/>
            <w:rFonts w:asciiTheme="majorHAnsi" w:hAnsiTheme="majorHAnsi" w:cstheme="majorHAnsi"/>
            <w:color w:val="808080" w:themeColor="background1" w:themeShade="80"/>
            <w:sz w:val="16"/>
            <w:szCs w:val="16"/>
          </w:rPr>
          <w:t>Kimberlé</w:t>
        </w:r>
        <w:proofErr w:type="spellEnd"/>
        <w:r w:rsidRPr="001167CB">
          <w:rPr>
            <w:rStyle w:val="Hyperlink"/>
            <w:rFonts w:asciiTheme="majorHAnsi" w:hAnsiTheme="majorHAnsi" w:cstheme="majorHAnsi"/>
            <w:color w:val="808080" w:themeColor="background1" w:themeShade="80"/>
            <w:sz w:val="16"/>
            <w:szCs w:val="16"/>
          </w:rPr>
          <w:t xml:space="preserve"> Crenshaw on Intersectionality, More than Two Decades Later</w:t>
        </w:r>
      </w:hyperlink>
      <w:r w:rsidRPr="001167CB">
        <w:rPr>
          <w:rFonts w:asciiTheme="majorHAnsi" w:hAnsiTheme="majorHAnsi" w:cstheme="majorHAnsi"/>
          <w:color w:val="808080" w:themeColor="background1" w:themeShade="80"/>
          <w:sz w:val="16"/>
          <w:szCs w:val="16"/>
        </w:rPr>
        <w:t>, June 8, 2017.</w:t>
      </w:r>
    </w:p>
  </w:footnote>
  <w:footnote w:id="52">
    <w:p w14:paraId="51C84D53"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i/>
          <w:color w:val="808080" w:themeColor="background1" w:themeShade="80"/>
          <w:sz w:val="16"/>
          <w:szCs w:val="16"/>
        </w:rPr>
        <w:t>See</w:t>
      </w:r>
      <w:r w:rsidRPr="001167CB">
        <w:rPr>
          <w:rFonts w:asciiTheme="majorHAnsi" w:hAnsiTheme="majorHAnsi" w:cstheme="majorHAnsi"/>
          <w:color w:val="808080" w:themeColor="background1" w:themeShade="80"/>
          <w:sz w:val="16"/>
          <w:szCs w:val="16"/>
        </w:rPr>
        <w:t xml:space="preserve"> </w:t>
      </w:r>
      <w:r w:rsidRPr="001167CB">
        <w:rPr>
          <w:rFonts w:asciiTheme="majorHAnsi" w:eastAsia="Times New Roman" w:hAnsiTheme="majorHAnsi" w:cstheme="majorHAnsi"/>
          <w:bCs/>
          <w:color w:val="808080" w:themeColor="background1" w:themeShade="80"/>
          <w:sz w:val="16"/>
          <w:szCs w:val="16"/>
          <w:lang w:eastAsia="es-ES"/>
        </w:rPr>
        <w:t xml:space="preserve">IACHR, </w:t>
      </w:r>
      <w:hyperlink r:id="rId102" w:history="1">
        <w:r w:rsidRPr="001167CB">
          <w:rPr>
            <w:rStyle w:val="Hyperlink"/>
            <w:rFonts w:asciiTheme="majorHAnsi" w:eastAsia="Times New Roman" w:hAnsiTheme="majorHAnsi" w:cstheme="majorHAnsi"/>
            <w:bCs/>
            <w:color w:val="808080" w:themeColor="background1" w:themeShade="80"/>
            <w:sz w:val="16"/>
            <w:szCs w:val="16"/>
            <w:lang w:eastAsia="es-ES"/>
          </w:rPr>
          <w:t>People of African Descent in the Americas</w:t>
        </w:r>
      </w:hyperlink>
      <w:r w:rsidRPr="001167CB">
        <w:rPr>
          <w:rFonts w:asciiTheme="majorHAnsi" w:eastAsia="Times New Roman" w:hAnsiTheme="majorHAnsi" w:cstheme="majorHAnsi"/>
          <w:bCs/>
          <w:color w:val="808080" w:themeColor="background1" w:themeShade="80"/>
          <w:sz w:val="16"/>
          <w:szCs w:val="16"/>
          <w:lang w:eastAsia="es-ES"/>
        </w:rPr>
        <w:t xml:space="preserve"> (2011)</w:t>
      </w:r>
      <w:r w:rsidRPr="001167CB">
        <w:rPr>
          <w:rFonts w:asciiTheme="majorHAnsi" w:eastAsia="Times New Roman" w:hAnsiTheme="majorHAnsi" w:cstheme="majorHAnsi"/>
          <w:color w:val="808080" w:themeColor="background1" w:themeShade="80"/>
          <w:sz w:val="16"/>
          <w:szCs w:val="16"/>
          <w:lang w:eastAsia="es-ES"/>
        </w:rPr>
        <w:t>, paras. 59-61.</w:t>
      </w:r>
    </w:p>
  </w:footnote>
  <w:footnote w:id="53">
    <w:p w14:paraId="0C4B477E"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i/>
          <w:color w:val="808080" w:themeColor="background1" w:themeShade="80"/>
          <w:sz w:val="16"/>
          <w:szCs w:val="16"/>
        </w:rPr>
        <w:t>See</w:t>
      </w:r>
      <w:r w:rsidRPr="001167CB">
        <w:rPr>
          <w:rFonts w:asciiTheme="majorHAnsi" w:hAnsiTheme="majorHAnsi" w:cstheme="majorHAnsi"/>
          <w:color w:val="808080" w:themeColor="background1" w:themeShade="80"/>
          <w:sz w:val="16"/>
          <w:szCs w:val="16"/>
        </w:rPr>
        <w:t xml:space="preserve"> IACHR, </w:t>
      </w:r>
      <w:hyperlink r:id="rId103" w:history="1">
        <w:r w:rsidRPr="001167CB">
          <w:rPr>
            <w:rStyle w:val="Hyperlink"/>
            <w:rFonts w:asciiTheme="majorHAnsi" w:hAnsiTheme="majorHAnsi" w:cstheme="majorHAnsi"/>
            <w:color w:val="808080" w:themeColor="background1" w:themeShade="80"/>
            <w:sz w:val="16"/>
            <w:szCs w:val="16"/>
          </w:rPr>
          <w:t>Indigenous Women</w:t>
        </w:r>
      </w:hyperlink>
      <w:r w:rsidRPr="001167CB">
        <w:rPr>
          <w:rFonts w:asciiTheme="majorHAnsi" w:hAnsiTheme="majorHAnsi" w:cstheme="majorHAnsi"/>
          <w:color w:val="808080" w:themeColor="background1" w:themeShade="80"/>
          <w:sz w:val="16"/>
          <w:szCs w:val="16"/>
        </w:rPr>
        <w:t>, OEA/</w:t>
      </w:r>
      <w:proofErr w:type="spellStart"/>
      <w:r w:rsidRPr="001167CB">
        <w:rPr>
          <w:rFonts w:asciiTheme="majorHAnsi" w:hAnsiTheme="majorHAnsi" w:cstheme="majorHAnsi"/>
          <w:color w:val="808080" w:themeColor="background1" w:themeShade="80"/>
          <w:sz w:val="16"/>
          <w:szCs w:val="16"/>
        </w:rPr>
        <w:t>Ser.L</w:t>
      </w:r>
      <w:proofErr w:type="spellEnd"/>
      <w:r w:rsidRPr="001167CB">
        <w:rPr>
          <w:rFonts w:asciiTheme="majorHAnsi" w:hAnsiTheme="majorHAnsi" w:cstheme="majorHAnsi"/>
          <w:color w:val="808080" w:themeColor="background1" w:themeShade="80"/>
          <w:sz w:val="16"/>
          <w:szCs w:val="16"/>
        </w:rPr>
        <w:t xml:space="preserve">/V/II., Doc. 44/17, (2017), para. 38 (citing </w:t>
      </w:r>
      <w:r w:rsidRPr="001167CB">
        <w:rPr>
          <w:rFonts w:asciiTheme="majorHAnsi" w:eastAsia="Times New Roman" w:hAnsiTheme="majorHAnsi" w:cstheme="majorHAnsi"/>
          <w:bCs/>
          <w:color w:val="808080" w:themeColor="background1" w:themeShade="80"/>
          <w:sz w:val="16"/>
          <w:szCs w:val="16"/>
          <w:lang w:eastAsia="es-ES"/>
        </w:rPr>
        <w:t xml:space="preserve">IACHR, </w:t>
      </w:r>
      <w:hyperlink r:id="rId104" w:history="1">
        <w:r w:rsidRPr="001167CB">
          <w:rPr>
            <w:rStyle w:val="Hyperlink"/>
            <w:rFonts w:asciiTheme="majorHAnsi" w:eastAsia="Times New Roman" w:hAnsiTheme="majorHAnsi" w:cstheme="majorHAnsi"/>
            <w:bCs/>
            <w:color w:val="808080" w:themeColor="background1" w:themeShade="80"/>
            <w:sz w:val="16"/>
            <w:szCs w:val="16"/>
            <w:lang w:eastAsia="es-ES"/>
          </w:rPr>
          <w:t>People of African Descent in the Americas</w:t>
        </w:r>
      </w:hyperlink>
      <w:r w:rsidRPr="001167CB">
        <w:rPr>
          <w:rFonts w:asciiTheme="majorHAnsi" w:eastAsia="Times New Roman" w:hAnsiTheme="majorHAnsi" w:cstheme="majorHAnsi"/>
          <w:bCs/>
          <w:color w:val="808080" w:themeColor="background1" w:themeShade="80"/>
          <w:sz w:val="16"/>
          <w:szCs w:val="16"/>
          <w:lang w:eastAsia="es-ES"/>
        </w:rPr>
        <w:t xml:space="preserve"> (2011)</w:t>
      </w:r>
      <w:r w:rsidRPr="001167CB">
        <w:rPr>
          <w:rFonts w:asciiTheme="majorHAnsi" w:eastAsia="Times New Roman" w:hAnsiTheme="majorHAnsi" w:cstheme="majorHAnsi"/>
          <w:color w:val="808080" w:themeColor="background1" w:themeShade="80"/>
          <w:sz w:val="16"/>
          <w:szCs w:val="16"/>
          <w:lang w:eastAsia="es-ES"/>
        </w:rPr>
        <w:t xml:space="preserve">, para. 60. </w:t>
      </w:r>
      <w:r w:rsidRPr="001167CB">
        <w:rPr>
          <w:rFonts w:asciiTheme="majorHAnsi" w:eastAsia="Times New Roman" w:hAnsiTheme="majorHAnsi" w:cstheme="majorHAnsi"/>
          <w:i/>
          <w:color w:val="808080" w:themeColor="background1" w:themeShade="80"/>
          <w:sz w:val="16"/>
          <w:szCs w:val="16"/>
          <w:lang w:eastAsia="es-ES"/>
        </w:rPr>
        <w:t>See also</w:t>
      </w:r>
      <w:r w:rsidRPr="001167CB">
        <w:rPr>
          <w:rFonts w:asciiTheme="majorHAnsi" w:eastAsia="Times New Roman" w:hAnsiTheme="majorHAnsi" w:cstheme="majorHAnsi"/>
          <w:color w:val="808080" w:themeColor="background1" w:themeShade="80"/>
          <w:sz w:val="16"/>
          <w:szCs w:val="16"/>
          <w:lang w:eastAsia="es-ES"/>
        </w:rPr>
        <w:t xml:space="preserve"> U.N., Comm. Elimination of Discrimination against Women (CEDAW), </w:t>
      </w:r>
      <w:proofErr w:type="gramStart"/>
      <w:r w:rsidRPr="001167CB">
        <w:rPr>
          <w:rFonts w:asciiTheme="majorHAnsi" w:eastAsia="Times New Roman" w:hAnsiTheme="majorHAnsi" w:cstheme="majorHAnsi"/>
          <w:i/>
          <w:color w:val="808080" w:themeColor="background1" w:themeShade="80"/>
          <w:sz w:val="16"/>
          <w:szCs w:val="16"/>
          <w:lang w:eastAsia="es-ES"/>
        </w:rPr>
        <w:t>General</w:t>
      </w:r>
      <w:proofErr w:type="gramEnd"/>
      <w:r w:rsidRPr="001167CB">
        <w:rPr>
          <w:rFonts w:asciiTheme="majorHAnsi" w:eastAsia="Times New Roman" w:hAnsiTheme="majorHAnsi" w:cstheme="majorHAnsi"/>
          <w:i/>
          <w:color w:val="808080" w:themeColor="background1" w:themeShade="80"/>
          <w:sz w:val="16"/>
          <w:szCs w:val="16"/>
          <w:lang w:eastAsia="es-ES"/>
        </w:rPr>
        <w:t xml:space="preserve"> Recommendation 28 on the Obligations of States Parties under Section 2 of the CEDAW</w:t>
      </w:r>
      <w:r w:rsidRPr="001167CB">
        <w:rPr>
          <w:rFonts w:asciiTheme="majorHAnsi" w:eastAsia="Times New Roman" w:hAnsiTheme="majorHAnsi" w:cstheme="majorHAnsi"/>
          <w:color w:val="808080" w:themeColor="background1" w:themeShade="80"/>
          <w:sz w:val="16"/>
          <w:szCs w:val="16"/>
          <w:lang w:eastAsia="es-ES"/>
        </w:rPr>
        <w:t xml:space="preserve">, </w:t>
      </w:r>
      <w:r w:rsidRPr="001167CB">
        <w:rPr>
          <w:rFonts w:asciiTheme="majorHAnsi" w:hAnsiTheme="majorHAnsi" w:cstheme="majorHAnsi"/>
          <w:color w:val="808080" w:themeColor="background1" w:themeShade="80"/>
          <w:sz w:val="16"/>
          <w:szCs w:val="16"/>
        </w:rPr>
        <w:t xml:space="preserve">Oct. </w:t>
      </w:r>
      <w:r w:rsidRPr="001167CB">
        <w:rPr>
          <w:rFonts w:asciiTheme="majorHAnsi" w:eastAsia="Times New Roman" w:hAnsiTheme="majorHAnsi" w:cstheme="majorHAnsi"/>
          <w:color w:val="808080" w:themeColor="background1" w:themeShade="80"/>
          <w:sz w:val="16"/>
          <w:szCs w:val="16"/>
          <w:lang w:eastAsia="es-ES"/>
        </w:rPr>
        <w:t>19, 2010, para. 18).</w:t>
      </w:r>
    </w:p>
  </w:footnote>
  <w:footnote w:id="54">
    <w:p w14:paraId="3F025430"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IACHR, </w:t>
      </w:r>
      <w:hyperlink r:id="rId105" w:history="1">
        <w:r w:rsidRPr="001167CB">
          <w:rPr>
            <w:rStyle w:val="Hyperlink"/>
            <w:rFonts w:asciiTheme="majorHAnsi" w:hAnsiTheme="majorHAnsi" w:cstheme="majorHAnsi"/>
            <w:color w:val="808080" w:themeColor="background1" w:themeShade="80"/>
            <w:sz w:val="16"/>
            <w:szCs w:val="16"/>
          </w:rPr>
          <w:t>Human Rights in the Dominican Republic</w:t>
        </w:r>
      </w:hyperlink>
      <w:r w:rsidRPr="001167CB">
        <w:rPr>
          <w:rFonts w:asciiTheme="majorHAnsi" w:hAnsiTheme="majorHAnsi" w:cstheme="majorHAnsi"/>
          <w:color w:val="808080" w:themeColor="background1" w:themeShade="80"/>
          <w:sz w:val="16"/>
          <w:szCs w:val="16"/>
        </w:rPr>
        <w:t xml:space="preserve"> (2015), para. 92.</w:t>
      </w:r>
    </w:p>
  </w:footnote>
  <w:footnote w:id="55">
    <w:p w14:paraId="57647DBE"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Id. at para. 93.</w:t>
      </w:r>
    </w:p>
  </w:footnote>
  <w:footnote w:id="56">
    <w:p w14:paraId="4538C6BA"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Slate, </w:t>
      </w:r>
      <w:hyperlink r:id="rId106" w:history="1">
        <w:r w:rsidRPr="001167CB">
          <w:rPr>
            <w:rStyle w:val="Hyperlink"/>
            <w:rFonts w:asciiTheme="majorHAnsi" w:hAnsiTheme="majorHAnsi" w:cstheme="majorHAnsi"/>
            <w:color w:val="808080" w:themeColor="background1" w:themeShade="80"/>
            <w:sz w:val="16"/>
            <w:szCs w:val="16"/>
          </w:rPr>
          <w:t>The Birth of Race-Based Slavery</w:t>
        </w:r>
      </w:hyperlink>
      <w:r w:rsidRPr="001167CB">
        <w:rPr>
          <w:rFonts w:asciiTheme="majorHAnsi" w:hAnsiTheme="majorHAnsi" w:cstheme="majorHAnsi"/>
          <w:color w:val="808080" w:themeColor="background1" w:themeShade="80"/>
          <w:sz w:val="16"/>
          <w:szCs w:val="16"/>
        </w:rPr>
        <w:t xml:space="preserve">, May 19, 2015 (reprinted from Peter H. Wood, </w:t>
      </w:r>
      <w:r w:rsidRPr="001167CB">
        <w:rPr>
          <w:rFonts w:asciiTheme="majorHAnsi" w:hAnsiTheme="majorHAnsi" w:cstheme="majorHAnsi"/>
          <w:i/>
          <w:color w:val="808080" w:themeColor="background1" w:themeShade="80"/>
          <w:sz w:val="16"/>
          <w:szCs w:val="16"/>
        </w:rPr>
        <w:t>Strange New Land: Africans in Colonial America</w:t>
      </w:r>
      <w:r w:rsidRPr="001167CB">
        <w:rPr>
          <w:rFonts w:asciiTheme="majorHAnsi" w:hAnsiTheme="majorHAnsi" w:cstheme="majorHAnsi"/>
          <w:color w:val="808080" w:themeColor="background1" w:themeShade="80"/>
          <w:sz w:val="16"/>
          <w:szCs w:val="16"/>
        </w:rPr>
        <w:t xml:space="preserve">, New York: Oxford University Press, 2003). </w:t>
      </w:r>
    </w:p>
  </w:footnote>
  <w:footnote w:id="57">
    <w:p w14:paraId="2E2CAC35"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i/>
          <w:color w:val="808080" w:themeColor="background1" w:themeShade="80"/>
          <w:sz w:val="16"/>
          <w:szCs w:val="16"/>
        </w:rPr>
        <w:t>See id</w:t>
      </w:r>
      <w:r w:rsidRPr="001167CB">
        <w:rPr>
          <w:rFonts w:asciiTheme="majorHAnsi" w:hAnsiTheme="majorHAnsi" w:cstheme="majorHAnsi"/>
          <w:color w:val="808080" w:themeColor="background1" w:themeShade="80"/>
          <w:sz w:val="16"/>
          <w:szCs w:val="16"/>
        </w:rPr>
        <w:t>.</w:t>
      </w:r>
    </w:p>
  </w:footnote>
  <w:footnote w:id="58">
    <w:p w14:paraId="02D7308B"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Victor E. </w:t>
      </w:r>
      <w:proofErr w:type="spellStart"/>
      <w:r w:rsidRPr="001167CB">
        <w:rPr>
          <w:rFonts w:asciiTheme="majorHAnsi" w:hAnsiTheme="majorHAnsi" w:cstheme="majorHAnsi"/>
          <w:color w:val="808080" w:themeColor="background1" w:themeShade="80"/>
          <w:sz w:val="16"/>
          <w:szCs w:val="16"/>
        </w:rPr>
        <w:t>Kappeler</w:t>
      </w:r>
      <w:proofErr w:type="spellEnd"/>
      <w:r w:rsidRPr="001167CB">
        <w:rPr>
          <w:rFonts w:asciiTheme="majorHAnsi" w:hAnsiTheme="majorHAnsi" w:cstheme="majorHAnsi"/>
          <w:color w:val="808080" w:themeColor="background1" w:themeShade="80"/>
          <w:sz w:val="16"/>
          <w:szCs w:val="16"/>
        </w:rPr>
        <w:t xml:space="preserve"> (Eastern Kentucky University), </w:t>
      </w:r>
      <w:hyperlink r:id="rId107" w:history="1">
        <w:r w:rsidRPr="001167CB">
          <w:rPr>
            <w:rStyle w:val="Hyperlink"/>
            <w:rFonts w:asciiTheme="majorHAnsi" w:hAnsiTheme="majorHAnsi" w:cstheme="majorHAnsi"/>
            <w:color w:val="808080" w:themeColor="background1" w:themeShade="80"/>
            <w:sz w:val="16"/>
            <w:szCs w:val="16"/>
          </w:rPr>
          <w:t>A Brief History of Slavery and the Origins of American Policing</w:t>
        </w:r>
      </w:hyperlink>
      <w:r w:rsidRPr="001167CB">
        <w:rPr>
          <w:rFonts w:asciiTheme="majorHAnsi" w:hAnsiTheme="majorHAnsi" w:cstheme="majorHAnsi"/>
          <w:color w:val="808080" w:themeColor="background1" w:themeShade="80"/>
          <w:sz w:val="16"/>
          <w:szCs w:val="16"/>
        </w:rPr>
        <w:t xml:space="preserve">, 2014. </w:t>
      </w:r>
      <w:r w:rsidRPr="001167CB">
        <w:rPr>
          <w:rFonts w:asciiTheme="majorHAnsi" w:hAnsiTheme="majorHAnsi" w:cstheme="majorHAnsi"/>
          <w:i/>
          <w:color w:val="808080" w:themeColor="background1" w:themeShade="80"/>
          <w:sz w:val="16"/>
          <w:szCs w:val="16"/>
        </w:rPr>
        <w:t>See also</w:t>
      </w:r>
      <w:r w:rsidRPr="001167CB">
        <w:rPr>
          <w:rFonts w:asciiTheme="majorHAnsi" w:hAnsiTheme="majorHAnsi" w:cstheme="majorHAnsi"/>
          <w:color w:val="808080" w:themeColor="background1" w:themeShade="80"/>
          <w:sz w:val="16"/>
          <w:szCs w:val="16"/>
        </w:rPr>
        <w:t xml:space="preserve"> Katheryn Russell-Brown, “Making Implicit Bias Explicit,” in Angela J. Davis (ed.), </w:t>
      </w:r>
      <w:r w:rsidRPr="001167CB">
        <w:rPr>
          <w:rFonts w:asciiTheme="majorHAnsi" w:hAnsiTheme="majorHAnsi" w:cstheme="majorHAnsi"/>
          <w:i/>
          <w:color w:val="808080" w:themeColor="background1" w:themeShade="80"/>
          <w:sz w:val="16"/>
          <w:szCs w:val="16"/>
        </w:rPr>
        <w:t xml:space="preserve">Policing the Black Man </w:t>
      </w:r>
      <w:r w:rsidRPr="001167CB">
        <w:rPr>
          <w:rFonts w:asciiTheme="majorHAnsi" w:hAnsiTheme="majorHAnsi" w:cstheme="majorHAnsi"/>
          <w:color w:val="808080" w:themeColor="background1" w:themeShade="80"/>
          <w:sz w:val="16"/>
          <w:szCs w:val="16"/>
        </w:rPr>
        <w:t>(New York: Pantheon, 2017) [hereinafter “</w:t>
      </w:r>
      <w:r w:rsidRPr="001167CB">
        <w:rPr>
          <w:rFonts w:asciiTheme="majorHAnsi" w:hAnsiTheme="majorHAnsi" w:cstheme="majorHAnsi"/>
          <w:i/>
          <w:color w:val="808080" w:themeColor="background1" w:themeShade="80"/>
          <w:sz w:val="16"/>
          <w:szCs w:val="16"/>
        </w:rPr>
        <w:t>Policing the Black Man</w:t>
      </w:r>
      <w:r w:rsidRPr="001167CB">
        <w:rPr>
          <w:rFonts w:asciiTheme="majorHAnsi" w:hAnsiTheme="majorHAnsi" w:cstheme="majorHAnsi"/>
          <w:color w:val="808080" w:themeColor="background1" w:themeShade="80"/>
          <w:sz w:val="16"/>
          <w:szCs w:val="16"/>
        </w:rPr>
        <w:t xml:space="preserve">”]; Southern Poverty Law Center, </w:t>
      </w:r>
      <w:hyperlink r:id="rId108" w:history="1">
        <w:r w:rsidRPr="001167CB">
          <w:rPr>
            <w:rStyle w:val="Hyperlink"/>
            <w:rFonts w:asciiTheme="majorHAnsi" w:hAnsiTheme="majorHAnsi" w:cstheme="majorHAnsi"/>
            <w:color w:val="808080" w:themeColor="background1" w:themeShade="80"/>
            <w:sz w:val="16"/>
            <w:szCs w:val="16"/>
          </w:rPr>
          <w:t>Ku Klux Klan: A History of Racism and Violence</w:t>
        </w:r>
      </w:hyperlink>
      <w:r w:rsidRPr="001167CB">
        <w:rPr>
          <w:rFonts w:asciiTheme="majorHAnsi" w:hAnsiTheme="majorHAnsi" w:cstheme="majorHAnsi"/>
          <w:color w:val="808080" w:themeColor="background1" w:themeShade="80"/>
          <w:sz w:val="16"/>
          <w:szCs w:val="16"/>
        </w:rPr>
        <w:t>, 2011 (“The mounted patrols, or regulators […] prowled Southern roads, enforcing the curfew for slaves, looking for runaways, and guarding rural areas against the threat of black uprisings. They were authorized by law to give a specific number of lashes to any violators they caught.”)</w:t>
      </w:r>
    </w:p>
  </w:footnote>
  <w:footnote w:id="59">
    <w:p w14:paraId="146DFC52"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Katheryn Russell-Brown, “Making Implicit Bias Explicit,” in </w:t>
      </w:r>
      <w:r w:rsidRPr="001167CB">
        <w:rPr>
          <w:rFonts w:asciiTheme="majorHAnsi" w:hAnsiTheme="majorHAnsi" w:cstheme="majorHAnsi"/>
          <w:i/>
          <w:color w:val="808080" w:themeColor="background1" w:themeShade="80"/>
          <w:sz w:val="16"/>
          <w:szCs w:val="16"/>
        </w:rPr>
        <w:t xml:space="preserve">Policing the Black Man </w:t>
      </w:r>
      <w:r w:rsidRPr="001167CB">
        <w:rPr>
          <w:rFonts w:asciiTheme="majorHAnsi" w:hAnsiTheme="majorHAnsi" w:cstheme="majorHAnsi"/>
          <w:color w:val="808080" w:themeColor="background1" w:themeShade="80"/>
          <w:sz w:val="16"/>
          <w:szCs w:val="16"/>
        </w:rPr>
        <w:t>(2017), p. 140.</w:t>
      </w:r>
    </w:p>
  </w:footnote>
  <w:footnote w:id="60">
    <w:p w14:paraId="5A7595A1" w14:textId="77777777" w:rsidR="005C2394" w:rsidRPr="001167CB" w:rsidRDefault="005C2394" w:rsidP="002C64F8">
      <w:pPr>
        <w:spacing w:after="40" w:line="240" w:lineRule="auto"/>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New York Times, </w:t>
      </w:r>
      <w:hyperlink r:id="rId109" w:history="1">
        <w:r w:rsidRPr="001167CB">
          <w:rPr>
            <w:rStyle w:val="Hyperlink"/>
            <w:rFonts w:asciiTheme="majorHAnsi" w:hAnsiTheme="majorHAnsi" w:cstheme="majorHAnsi"/>
            <w:color w:val="808080" w:themeColor="background1" w:themeShade="80"/>
            <w:sz w:val="16"/>
            <w:szCs w:val="16"/>
          </w:rPr>
          <w:t>How the Slave Trade Built America</w:t>
        </w:r>
      </w:hyperlink>
      <w:r w:rsidRPr="001167CB">
        <w:rPr>
          <w:rFonts w:asciiTheme="majorHAnsi" w:hAnsiTheme="majorHAnsi" w:cstheme="majorHAnsi"/>
          <w:color w:val="808080" w:themeColor="background1" w:themeShade="80"/>
          <w:sz w:val="16"/>
          <w:szCs w:val="16"/>
        </w:rPr>
        <w:t>, Apr. 3, 2015 (“</w:t>
      </w:r>
      <w:r w:rsidRPr="001167CB">
        <w:rPr>
          <w:rFonts w:asciiTheme="majorHAnsi" w:eastAsia="Cambria" w:hAnsiTheme="majorHAnsi" w:cstheme="majorHAnsi"/>
          <w:color w:val="808080" w:themeColor="background1" w:themeShade="80"/>
          <w:sz w:val="16"/>
          <w:szCs w:val="16"/>
        </w:rPr>
        <w:t xml:space="preserve">Slave owners in the Upper South profited because they received cash for the people they sold. Slave owners in the Lower South profited because the people they purchased were forced to labor in the immensely productive cotton and sugar fields. The merchants who supplied clothing and food to the slave traders profited, as did steamboat, railroad and </w:t>
      </w:r>
      <w:proofErr w:type="spellStart"/>
      <w:r w:rsidRPr="001167CB">
        <w:rPr>
          <w:rFonts w:asciiTheme="majorHAnsi" w:eastAsia="Cambria" w:hAnsiTheme="majorHAnsi" w:cstheme="majorHAnsi"/>
          <w:color w:val="808080" w:themeColor="background1" w:themeShade="80"/>
          <w:sz w:val="16"/>
          <w:szCs w:val="16"/>
        </w:rPr>
        <w:t>shipowners</w:t>
      </w:r>
      <w:proofErr w:type="spellEnd"/>
      <w:r w:rsidRPr="001167CB">
        <w:rPr>
          <w:rFonts w:asciiTheme="majorHAnsi" w:eastAsia="Cambria" w:hAnsiTheme="majorHAnsi" w:cstheme="majorHAnsi"/>
          <w:color w:val="808080" w:themeColor="background1" w:themeShade="80"/>
          <w:sz w:val="16"/>
          <w:szCs w:val="16"/>
        </w:rPr>
        <w:t xml:space="preserve"> who carried enslaved people. Capitalists in the North profited by investing in banks that handled the exchange of money for people, or in insurance companies that provided insurance for the owners’ investments in enslaved people. So did foreign investors in Southern securities, some of which were issued on mortgaged slaves. The hotbed of American abolitionism — New England — was also the home of America’s cotton textile industry, which grew rich on the backs of the enslaved people forced to pick cotton.</w:t>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i/>
          <w:color w:val="808080" w:themeColor="background1" w:themeShade="80"/>
          <w:sz w:val="16"/>
          <w:szCs w:val="16"/>
        </w:rPr>
        <w:t>See also</w:t>
      </w:r>
      <w:r w:rsidRPr="001167CB">
        <w:rPr>
          <w:rFonts w:asciiTheme="majorHAnsi" w:hAnsiTheme="majorHAnsi" w:cstheme="majorHAnsi"/>
          <w:color w:val="808080" w:themeColor="background1" w:themeShade="80"/>
          <w:sz w:val="16"/>
          <w:szCs w:val="16"/>
        </w:rPr>
        <w:t xml:space="preserve"> Boston Globe, </w:t>
      </w:r>
      <w:hyperlink r:id="rId110" w:history="1">
        <w:r w:rsidRPr="001167CB">
          <w:rPr>
            <w:rStyle w:val="Hyperlink"/>
            <w:rFonts w:asciiTheme="majorHAnsi" w:hAnsiTheme="majorHAnsi" w:cstheme="majorHAnsi"/>
            <w:color w:val="808080" w:themeColor="background1" w:themeShade="80"/>
            <w:sz w:val="16"/>
            <w:szCs w:val="16"/>
          </w:rPr>
          <w:t>Slave trade helped build early New England economy</w:t>
        </w:r>
      </w:hyperlink>
      <w:r w:rsidRPr="001167CB">
        <w:rPr>
          <w:rFonts w:asciiTheme="majorHAnsi" w:hAnsiTheme="majorHAnsi" w:cstheme="majorHAnsi"/>
          <w:color w:val="808080" w:themeColor="background1" w:themeShade="80"/>
          <w:sz w:val="16"/>
          <w:szCs w:val="16"/>
        </w:rPr>
        <w:t>, June 23, 2016.</w:t>
      </w:r>
    </w:p>
  </w:footnote>
  <w:footnote w:id="61">
    <w:p w14:paraId="6BFA2909"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This clause (Art. I, Sec. 2, para. 3) provided that enslaved (Afro-descendant) persons would be counted for census purposes as “three-fifths” of a (free, white) person, an intentional agreement to increase the political representation of the Southern states vis a vis the North in the House of Representatives, where representation is determined by state population. As a result, slaves were counted to determine the number of state House delegates, but could not vote, thus increasing the relative political power of Southern whites.</w:t>
      </w:r>
    </w:p>
  </w:footnote>
  <w:footnote w:id="62">
    <w:p w14:paraId="77053F85"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At issue was whether, as additional territories in the west were settled and admitted to the union as states, the relative number of slave states versus </w:t>
      </w:r>
      <w:proofErr w:type="gramStart"/>
      <w:r w:rsidRPr="001167CB">
        <w:rPr>
          <w:rFonts w:asciiTheme="majorHAnsi" w:hAnsiTheme="majorHAnsi" w:cstheme="majorHAnsi"/>
          <w:color w:val="808080" w:themeColor="background1" w:themeShade="80"/>
          <w:sz w:val="16"/>
          <w:szCs w:val="16"/>
        </w:rPr>
        <w:t>free</w:t>
      </w:r>
      <w:proofErr w:type="gramEnd"/>
      <w:r w:rsidRPr="001167CB">
        <w:rPr>
          <w:rFonts w:asciiTheme="majorHAnsi" w:hAnsiTheme="majorHAnsi" w:cstheme="majorHAnsi"/>
          <w:color w:val="808080" w:themeColor="background1" w:themeShade="80"/>
          <w:sz w:val="16"/>
          <w:szCs w:val="16"/>
        </w:rPr>
        <w:t xml:space="preserve"> states would shift. Any shift would affect the balance of power in the Senate, where each state has two representatives regardless of population, and thus the ability to end slavery or continue it in perpetuity. These debates played out multiple times in the early 1800s, including in the passage of the Northwest Ordinance (1807), the Missouri Compromise of 1820 (which prohibited slavery north of the 36°30’ parallel), the Kansas-Nebraska Act (1854), and the Compromise of 1850, among others.</w:t>
      </w:r>
    </w:p>
  </w:footnote>
  <w:footnote w:id="63">
    <w:p w14:paraId="1F62B7E5"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The Fugitive Slave Act of 1850 was an essential element of the Compromise of 1850 (see previous footnote), and replaced the Fugitive Slave Act of 1793. The new Act made it easier to arrest Blacks accused of being escaped slaves, and created financial incentives for federal officials to the arrest and return of alleged “fugitive slaves” (and imposed fines and penalties on those who refused to cooperate), implicating Northern states in the physical and legal enforcement of slavery in the Southern states. </w:t>
      </w:r>
      <w:r w:rsidRPr="001167CB">
        <w:rPr>
          <w:rFonts w:asciiTheme="majorHAnsi" w:hAnsiTheme="majorHAnsi" w:cstheme="majorHAnsi"/>
          <w:i/>
          <w:color w:val="808080" w:themeColor="background1" w:themeShade="80"/>
          <w:sz w:val="16"/>
          <w:szCs w:val="16"/>
        </w:rPr>
        <w:t>See</w:t>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i/>
          <w:color w:val="808080" w:themeColor="background1" w:themeShade="80"/>
          <w:sz w:val="16"/>
          <w:szCs w:val="16"/>
        </w:rPr>
        <w:t>e.g.</w:t>
      </w:r>
      <w:r w:rsidRPr="001167CB">
        <w:rPr>
          <w:rFonts w:asciiTheme="majorHAnsi" w:hAnsiTheme="majorHAnsi" w:cstheme="majorHAnsi"/>
          <w:color w:val="808080" w:themeColor="background1" w:themeShade="80"/>
          <w:sz w:val="16"/>
          <w:szCs w:val="16"/>
        </w:rPr>
        <w:t xml:space="preserve">, The Atlantic, </w:t>
      </w:r>
      <w:hyperlink r:id="rId111" w:history="1">
        <w:r w:rsidRPr="001167CB">
          <w:rPr>
            <w:rStyle w:val="Hyperlink"/>
            <w:rFonts w:asciiTheme="majorHAnsi" w:hAnsiTheme="majorHAnsi" w:cstheme="majorHAnsi"/>
            <w:color w:val="808080" w:themeColor="background1" w:themeShade="80"/>
            <w:sz w:val="16"/>
            <w:szCs w:val="16"/>
          </w:rPr>
          <w:t>The Old Jim Crow</w:t>
        </w:r>
      </w:hyperlink>
      <w:r w:rsidRPr="001167CB">
        <w:rPr>
          <w:rFonts w:asciiTheme="majorHAnsi" w:hAnsiTheme="majorHAnsi" w:cstheme="majorHAnsi"/>
          <w:color w:val="808080" w:themeColor="background1" w:themeShade="80"/>
          <w:sz w:val="16"/>
          <w:szCs w:val="16"/>
        </w:rPr>
        <w:t xml:space="preserve">, Oct. 15, 2014. This Act became a flashpoint in the growing anti-slavery unrest in the years leading up to the Civil War. </w:t>
      </w:r>
      <w:r w:rsidRPr="001167CB">
        <w:rPr>
          <w:rFonts w:asciiTheme="majorHAnsi" w:hAnsiTheme="majorHAnsi" w:cstheme="majorHAnsi"/>
          <w:i/>
          <w:color w:val="808080" w:themeColor="background1" w:themeShade="80"/>
          <w:sz w:val="16"/>
          <w:szCs w:val="16"/>
        </w:rPr>
        <w:t>See</w:t>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i/>
          <w:color w:val="808080" w:themeColor="background1" w:themeShade="80"/>
          <w:sz w:val="16"/>
          <w:szCs w:val="16"/>
        </w:rPr>
        <w:t>also</w:t>
      </w:r>
      <w:r w:rsidRPr="001167CB">
        <w:rPr>
          <w:rFonts w:asciiTheme="majorHAnsi" w:hAnsiTheme="majorHAnsi" w:cstheme="majorHAnsi"/>
          <w:color w:val="808080" w:themeColor="background1" w:themeShade="80"/>
          <w:sz w:val="16"/>
          <w:szCs w:val="16"/>
        </w:rPr>
        <w:t xml:space="preserve"> Stanley Campbell, </w:t>
      </w:r>
      <w:r w:rsidRPr="001167CB">
        <w:rPr>
          <w:rFonts w:asciiTheme="majorHAnsi" w:hAnsiTheme="majorHAnsi" w:cstheme="majorHAnsi"/>
          <w:i/>
          <w:color w:val="808080" w:themeColor="background1" w:themeShade="80"/>
          <w:sz w:val="16"/>
          <w:szCs w:val="16"/>
        </w:rPr>
        <w:t>The Slave Catchers: Enforcement of the Fugitive Slave Law, 1850–1860</w:t>
      </w:r>
      <w:r w:rsidRPr="001167CB">
        <w:rPr>
          <w:rFonts w:asciiTheme="majorHAnsi" w:hAnsiTheme="majorHAnsi" w:cstheme="majorHAnsi"/>
          <w:color w:val="808080" w:themeColor="background1" w:themeShade="80"/>
          <w:sz w:val="16"/>
          <w:szCs w:val="16"/>
        </w:rPr>
        <w:t xml:space="preserve"> (Chapel Hill: University of North Carolina Press, 1970).</w:t>
      </w:r>
    </w:p>
  </w:footnote>
  <w:footnote w:id="64">
    <w:p w14:paraId="2935994B"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Dred Scott v. </w:t>
      </w:r>
      <w:proofErr w:type="spellStart"/>
      <w:r w:rsidRPr="001167CB">
        <w:rPr>
          <w:rFonts w:asciiTheme="majorHAnsi" w:hAnsiTheme="majorHAnsi" w:cstheme="majorHAnsi"/>
          <w:color w:val="808080" w:themeColor="background1" w:themeShade="80"/>
          <w:sz w:val="16"/>
          <w:szCs w:val="16"/>
        </w:rPr>
        <w:t>Sandford</w:t>
      </w:r>
      <w:proofErr w:type="spellEnd"/>
      <w:r w:rsidRPr="001167CB">
        <w:rPr>
          <w:rFonts w:asciiTheme="majorHAnsi" w:hAnsiTheme="majorHAnsi" w:cstheme="majorHAnsi"/>
          <w:color w:val="808080" w:themeColor="background1" w:themeShade="80"/>
          <w:sz w:val="16"/>
          <w:szCs w:val="16"/>
        </w:rPr>
        <w:t>, 60 U.S. 393, 404, 407 (1857).</w:t>
      </w:r>
    </w:p>
  </w:footnote>
  <w:footnote w:id="65">
    <w:p w14:paraId="0846A891"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“Prior to the Civil War, many jurisdictions made slaves into “criminals” by […] enact[</w:t>
      </w:r>
      <w:proofErr w:type="spellStart"/>
      <w:r w:rsidRPr="001167CB">
        <w:rPr>
          <w:rFonts w:asciiTheme="majorHAnsi" w:hAnsiTheme="majorHAnsi" w:cstheme="majorHAnsi"/>
          <w:color w:val="808080" w:themeColor="background1" w:themeShade="80"/>
          <w:sz w:val="16"/>
          <w:szCs w:val="16"/>
        </w:rPr>
        <w:t>ing</w:t>
      </w:r>
      <w:proofErr w:type="spellEnd"/>
      <w:r w:rsidRPr="001167CB">
        <w:rPr>
          <w:rFonts w:asciiTheme="majorHAnsi" w:hAnsiTheme="majorHAnsi" w:cstheme="majorHAnsi"/>
          <w:color w:val="808080" w:themeColor="background1" w:themeShade="80"/>
          <w:sz w:val="16"/>
          <w:szCs w:val="16"/>
        </w:rPr>
        <w:t xml:space="preserve">] criminal statutes barring slaves from learning to read, leaving their masters’ property without a proper pass, engaging in “unbecoming” conduct in the presence of a white female, assembling to worship outside the supervisory presence of a white person, neglecting to step out of the way when a white person approached on a walkway, smoking in public, walking with a cane, making loud noises, or defending themselves from assaults. Governed by a separate law of crimes, slaves were also subjected to a separate brand of punishment. Slaves […] were subjected to capital punishment for a wider range of crimes than any other sector of the population. Virginia, for instance, defined seventy-three capital crimes applicable to slaves but only one—first degree murder—applicable to whites." The Atlantic, </w:t>
      </w:r>
      <w:hyperlink r:id="rId112" w:history="1">
        <w:proofErr w:type="gramStart"/>
        <w:r w:rsidRPr="001167CB">
          <w:rPr>
            <w:rStyle w:val="Hyperlink"/>
            <w:rFonts w:asciiTheme="majorHAnsi" w:hAnsiTheme="majorHAnsi" w:cstheme="majorHAnsi"/>
            <w:color w:val="808080" w:themeColor="background1" w:themeShade="80"/>
            <w:sz w:val="16"/>
            <w:szCs w:val="16"/>
          </w:rPr>
          <w:t>The</w:t>
        </w:r>
        <w:proofErr w:type="gramEnd"/>
        <w:r w:rsidRPr="001167CB">
          <w:rPr>
            <w:rStyle w:val="Hyperlink"/>
            <w:rFonts w:asciiTheme="majorHAnsi" w:hAnsiTheme="majorHAnsi" w:cstheme="majorHAnsi"/>
            <w:color w:val="808080" w:themeColor="background1" w:themeShade="80"/>
            <w:sz w:val="16"/>
            <w:szCs w:val="16"/>
          </w:rPr>
          <w:t xml:space="preserve"> Old Jim Crow</w:t>
        </w:r>
      </w:hyperlink>
      <w:r w:rsidRPr="001167CB">
        <w:rPr>
          <w:rFonts w:asciiTheme="majorHAnsi" w:hAnsiTheme="majorHAnsi" w:cstheme="majorHAnsi"/>
          <w:color w:val="808080" w:themeColor="background1" w:themeShade="80"/>
          <w:sz w:val="16"/>
          <w:szCs w:val="16"/>
        </w:rPr>
        <w:t>, Oct. 15, 2014.</w:t>
      </w:r>
    </w:p>
  </w:footnote>
  <w:footnote w:id="66">
    <w:p w14:paraId="19BD7FBF"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i/>
          <w:color w:val="808080" w:themeColor="background1" w:themeShade="80"/>
          <w:sz w:val="16"/>
          <w:szCs w:val="16"/>
        </w:rPr>
        <w:t>See</w:t>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i/>
          <w:color w:val="808080" w:themeColor="background1" w:themeShade="80"/>
          <w:sz w:val="16"/>
          <w:szCs w:val="16"/>
        </w:rPr>
        <w:t>e.g.</w:t>
      </w:r>
      <w:r w:rsidRPr="001167CB">
        <w:rPr>
          <w:rFonts w:asciiTheme="majorHAnsi" w:hAnsiTheme="majorHAnsi" w:cstheme="majorHAnsi"/>
          <w:color w:val="808080" w:themeColor="background1" w:themeShade="80"/>
          <w:sz w:val="16"/>
          <w:szCs w:val="16"/>
        </w:rPr>
        <w:t xml:space="preserve">, Frederick Douglass, </w:t>
      </w:r>
      <w:r w:rsidRPr="001167CB">
        <w:rPr>
          <w:rFonts w:asciiTheme="majorHAnsi" w:hAnsiTheme="majorHAnsi" w:cstheme="majorHAnsi"/>
          <w:i/>
          <w:color w:val="808080" w:themeColor="background1" w:themeShade="80"/>
          <w:sz w:val="16"/>
          <w:szCs w:val="16"/>
        </w:rPr>
        <w:t>Narrative of the Life of Frederick Douglass, an American Slave</w:t>
      </w:r>
      <w:r w:rsidRPr="001167CB">
        <w:rPr>
          <w:rFonts w:asciiTheme="majorHAnsi" w:hAnsiTheme="majorHAnsi" w:cstheme="majorHAnsi"/>
          <w:color w:val="808080" w:themeColor="background1" w:themeShade="80"/>
          <w:sz w:val="16"/>
          <w:szCs w:val="16"/>
        </w:rPr>
        <w:t xml:space="preserve"> (Boston: The Anti-Slavery Society, 1845; reprint New York: Dover, 1995); Harriet Jacobs, </w:t>
      </w:r>
      <w:r w:rsidRPr="001167CB">
        <w:rPr>
          <w:rFonts w:asciiTheme="majorHAnsi" w:hAnsiTheme="majorHAnsi" w:cstheme="majorHAnsi"/>
          <w:i/>
          <w:color w:val="808080" w:themeColor="background1" w:themeShade="80"/>
          <w:sz w:val="16"/>
          <w:szCs w:val="16"/>
        </w:rPr>
        <w:t xml:space="preserve">Incidents in the Life of a Slave Girl </w:t>
      </w:r>
      <w:r w:rsidRPr="001167CB">
        <w:rPr>
          <w:rFonts w:asciiTheme="majorHAnsi" w:hAnsiTheme="majorHAnsi" w:cstheme="majorHAnsi"/>
          <w:color w:val="808080" w:themeColor="background1" w:themeShade="80"/>
          <w:sz w:val="16"/>
          <w:szCs w:val="16"/>
        </w:rPr>
        <w:t xml:space="preserve">(Boston, 1861; reprint New York: Dover, 2001); </w:t>
      </w:r>
      <w:proofErr w:type="spellStart"/>
      <w:r w:rsidRPr="001167CB">
        <w:rPr>
          <w:rFonts w:asciiTheme="majorHAnsi" w:hAnsiTheme="majorHAnsi" w:cstheme="majorHAnsi"/>
          <w:color w:val="808080" w:themeColor="background1" w:themeShade="80"/>
          <w:sz w:val="16"/>
          <w:szCs w:val="16"/>
        </w:rPr>
        <w:t>Thavolia</w:t>
      </w:r>
      <w:proofErr w:type="spellEnd"/>
      <w:r w:rsidRPr="001167CB">
        <w:rPr>
          <w:rFonts w:asciiTheme="majorHAnsi" w:hAnsiTheme="majorHAnsi" w:cstheme="majorHAnsi"/>
          <w:color w:val="808080" w:themeColor="background1" w:themeShade="80"/>
          <w:sz w:val="16"/>
          <w:szCs w:val="16"/>
        </w:rPr>
        <w:t xml:space="preserve"> </w:t>
      </w:r>
      <w:proofErr w:type="spellStart"/>
      <w:r w:rsidRPr="001167CB">
        <w:rPr>
          <w:rFonts w:asciiTheme="majorHAnsi" w:hAnsiTheme="majorHAnsi" w:cstheme="majorHAnsi"/>
          <w:color w:val="808080" w:themeColor="background1" w:themeShade="80"/>
          <w:sz w:val="16"/>
          <w:szCs w:val="16"/>
        </w:rPr>
        <w:t>Glymph</w:t>
      </w:r>
      <w:proofErr w:type="spellEnd"/>
      <w:r w:rsidRPr="001167CB">
        <w:rPr>
          <w:rFonts w:asciiTheme="majorHAnsi" w:hAnsiTheme="majorHAnsi" w:cstheme="majorHAnsi"/>
          <w:i/>
          <w:color w:val="808080" w:themeColor="background1" w:themeShade="80"/>
          <w:sz w:val="16"/>
          <w:szCs w:val="16"/>
        </w:rPr>
        <w:t>, Out of the House of Bondage: The Transformation of the Plantation Household</w:t>
      </w:r>
      <w:r w:rsidRPr="001167CB">
        <w:rPr>
          <w:rFonts w:asciiTheme="majorHAnsi" w:hAnsiTheme="majorHAnsi" w:cstheme="majorHAnsi"/>
          <w:color w:val="808080" w:themeColor="background1" w:themeShade="80"/>
          <w:sz w:val="16"/>
          <w:szCs w:val="16"/>
        </w:rPr>
        <w:t xml:space="preserve"> (New York: Cambridge, 2008); Dorothy Roberts, </w:t>
      </w:r>
      <w:r w:rsidRPr="001167CB">
        <w:rPr>
          <w:rFonts w:asciiTheme="majorHAnsi" w:hAnsiTheme="majorHAnsi" w:cstheme="majorHAnsi"/>
          <w:i/>
          <w:color w:val="808080" w:themeColor="background1" w:themeShade="80"/>
          <w:sz w:val="16"/>
          <w:szCs w:val="16"/>
        </w:rPr>
        <w:t>Killing the Black Body: Race, Reproduction, and the Meaning of Liberty</w:t>
      </w:r>
      <w:r w:rsidRPr="001167CB">
        <w:rPr>
          <w:rFonts w:asciiTheme="majorHAnsi" w:hAnsiTheme="majorHAnsi" w:cstheme="majorHAnsi"/>
          <w:color w:val="808080" w:themeColor="background1" w:themeShade="80"/>
          <w:sz w:val="16"/>
          <w:szCs w:val="16"/>
        </w:rPr>
        <w:t xml:space="preserve"> (New York: Vintage, 1998); Edward Baptist, </w:t>
      </w:r>
      <w:r w:rsidRPr="001167CB">
        <w:rPr>
          <w:rFonts w:asciiTheme="majorHAnsi" w:hAnsiTheme="majorHAnsi" w:cstheme="majorHAnsi"/>
          <w:i/>
          <w:color w:val="808080" w:themeColor="background1" w:themeShade="80"/>
          <w:sz w:val="16"/>
          <w:szCs w:val="16"/>
        </w:rPr>
        <w:t>The Half Has Never Been Told: Slavery and the Making of American Capitalism</w:t>
      </w:r>
      <w:r w:rsidRPr="001167CB">
        <w:rPr>
          <w:rFonts w:asciiTheme="majorHAnsi" w:hAnsiTheme="majorHAnsi" w:cstheme="majorHAnsi"/>
          <w:color w:val="808080" w:themeColor="background1" w:themeShade="80"/>
          <w:sz w:val="16"/>
          <w:szCs w:val="16"/>
        </w:rPr>
        <w:t xml:space="preserve"> (New York: Basic Books, 2014).</w:t>
      </w:r>
    </w:p>
  </w:footnote>
  <w:footnote w:id="67">
    <w:p w14:paraId="15DA774A"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Victor E. </w:t>
      </w:r>
      <w:proofErr w:type="spellStart"/>
      <w:r w:rsidRPr="001167CB">
        <w:rPr>
          <w:rFonts w:asciiTheme="majorHAnsi" w:hAnsiTheme="majorHAnsi" w:cstheme="majorHAnsi"/>
          <w:color w:val="808080" w:themeColor="background1" w:themeShade="80"/>
          <w:sz w:val="16"/>
          <w:szCs w:val="16"/>
        </w:rPr>
        <w:t>Kappeler</w:t>
      </w:r>
      <w:proofErr w:type="spellEnd"/>
      <w:r w:rsidRPr="001167CB">
        <w:rPr>
          <w:rFonts w:asciiTheme="majorHAnsi" w:hAnsiTheme="majorHAnsi" w:cstheme="majorHAnsi"/>
          <w:color w:val="808080" w:themeColor="background1" w:themeShade="80"/>
          <w:sz w:val="16"/>
          <w:szCs w:val="16"/>
        </w:rPr>
        <w:t xml:space="preserve"> (Eastern Kentucky University), </w:t>
      </w:r>
      <w:hyperlink r:id="rId113" w:history="1">
        <w:r w:rsidRPr="001167CB">
          <w:rPr>
            <w:rStyle w:val="Hyperlink"/>
            <w:rFonts w:asciiTheme="majorHAnsi" w:hAnsiTheme="majorHAnsi" w:cstheme="majorHAnsi"/>
            <w:color w:val="808080" w:themeColor="background1" w:themeShade="80"/>
            <w:sz w:val="16"/>
            <w:szCs w:val="16"/>
          </w:rPr>
          <w:t>A Brief History of Slavery and the Origins of American Policing</w:t>
        </w:r>
      </w:hyperlink>
      <w:r w:rsidRPr="001167CB">
        <w:rPr>
          <w:rFonts w:asciiTheme="majorHAnsi" w:hAnsiTheme="majorHAnsi" w:cstheme="majorHAnsi"/>
          <w:color w:val="808080" w:themeColor="background1" w:themeShade="80"/>
          <w:sz w:val="16"/>
          <w:szCs w:val="16"/>
        </w:rPr>
        <w:t>, 2014.</w:t>
      </w:r>
    </w:p>
  </w:footnote>
  <w:footnote w:id="68">
    <w:p w14:paraId="791F0E7F"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Id. (citing Turner et al. (2006), Ignoring the Past: Coverage of Slavery and Slave Patrols in Criminal Justice Texts, </w:t>
      </w:r>
      <w:r w:rsidRPr="001167CB">
        <w:rPr>
          <w:rFonts w:asciiTheme="majorHAnsi" w:hAnsiTheme="majorHAnsi" w:cstheme="majorHAnsi"/>
          <w:i/>
          <w:color w:val="808080" w:themeColor="background1" w:themeShade="80"/>
          <w:sz w:val="16"/>
          <w:szCs w:val="16"/>
        </w:rPr>
        <w:t>Journal of Criminal Justice Education</w:t>
      </w:r>
      <w:r w:rsidRPr="001167CB">
        <w:rPr>
          <w:rFonts w:asciiTheme="majorHAnsi" w:hAnsiTheme="majorHAnsi" w:cstheme="majorHAnsi"/>
          <w:color w:val="808080" w:themeColor="background1" w:themeShade="80"/>
          <w:sz w:val="16"/>
          <w:szCs w:val="16"/>
        </w:rPr>
        <w:t>, 17:(1), 186).</w:t>
      </w:r>
    </w:p>
  </w:footnote>
  <w:footnote w:id="69">
    <w:p w14:paraId="377C1C51"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Figure estimated in today’s dollars. The Atlantic, </w:t>
      </w:r>
      <w:hyperlink r:id="rId114" w:history="1">
        <w:r w:rsidRPr="001167CB">
          <w:rPr>
            <w:rStyle w:val="Hyperlink"/>
            <w:rFonts w:asciiTheme="majorHAnsi" w:hAnsiTheme="majorHAnsi" w:cstheme="majorHAnsi"/>
            <w:color w:val="808080" w:themeColor="background1" w:themeShade="80"/>
            <w:sz w:val="16"/>
            <w:szCs w:val="16"/>
          </w:rPr>
          <w:t>Slavery Made America</w:t>
        </w:r>
      </w:hyperlink>
      <w:r w:rsidRPr="001167CB">
        <w:rPr>
          <w:rFonts w:asciiTheme="majorHAnsi" w:hAnsiTheme="majorHAnsi" w:cstheme="majorHAnsi"/>
          <w:color w:val="808080" w:themeColor="background1" w:themeShade="80"/>
          <w:sz w:val="16"/>
          <w:szCs w:val="16"/>
        </w:rPr>
        <w:t xml:space="preserve">, June 24, 2014 (citing David Blight (Yale University), </w:t>
      </w:r>
      <w:hyperlink r:id="rId115" w:history="1">
        <w:r w:rsidRPr="001167CB">
          <w:rPr>
            <w:rStyle w:val="Hyperlink"/>
            <w:rFonts w:asciiTheme="majorHAnsi" w:hAnsiTheme="majorHAnsi" w:cstheme="majorHAnsi"/>
            <w:color w:val="808080" w:themeColor="background1" w:themeShade="80"/>
            <w:sz w:val="16"/>
            <w:szCs w:val="16"/>
          </w:rPr>
          <w:t>The Civil War and Reconstruction Era, 1845-1877</w:t>
        </w:r>
      </w:hyperlink>
      <w:r w:rsidRPr="001167CB">
        <w:rPr>
          <w:rFonts w:asciiTheme="majorHAnsi" w:hAnsiTheme="majorHAnsi" w:cstheme="majorHAnsi"/>
          <w:color w:val="808080" w:themeColor="background1" w:themeShade="80"/>
          <w:sz w:val="16"/>
          <w:szCs w:val="16"/>
        </w:rPr>
        <w:t xml:space="preserve">, 2008); </w:t>
      </w:r>
      <w:r w:rsidRPr="001167CB">
        <w:rPr>
          <w:rFonts w:asciiTheme="majorHAnsi" w:hAnsiTheme="majorHAnsi" w:cstheme="majorHAnsi"/>
          <w:i/>
          <w:color w:val="808080" w:themeColor="background1" w:themeShade="80"/>
          <w:sz w:val="16"/>
          <w:szCs w:val="16"/>
        </w:rPr>
        <w:t>see also</w:t>
      </w:r>
      <w:r w:rsidRPr="001167CB">
        <w:rPr>
          <w:rFonts w:asciiTheme="majorHAnsi" w:hAnsiTheme="majorHAnsi" w:cstheme="majorHAnsi"/>
          <w:color w:val="808080" w:themeColor="background1" w:themeShade="80"/>
          <w:sz w:val="16"/>
          <w:szCs w:val="16"/>
        </w:rPr>
        <w:t xml:space="preserve"> Roger L. Ransom (U. California-Riverside), </w:t>
      </w:r>
      <w:hyperlink r:id="rId116" w:history="1">
        <w:r w:rsidRPr="001167CB">
          <w:rPr>
            <w:rStyle w:val="Hyperlink"/>
            <w:rFonts w:asciiTheme="majorHAnsi" w:hAnsiTheme="majorHAnsi" w:cstheme="majorHAnsi"/>
            <w:color w:val="808080" w:themeColor="background1" w:themeShade="80"/>
            <w:sz w:val="16"/>
            <w:szCs w:val="16"/>
          </w:rPr>
          <w:t>The Economics of the Civil War</w:t>
        </w:r>
      </w:hyperlink>
      <w:r w:rsidRPr="001167CB">
        <w:rPr>
          <w:rFonts w:asciiTheme="majorHAnsi" w:hAnsiTheme="majorHAnsi" w:cstheme="majorHAnsi"/>
          <w:color w:val="808080" w:themeColor="background1" w:themeShade="80"/>
          <w:sz w:val="16"/>
          <w:szCs w:val="16"/>
        </w:rPr>
        <w:t>, 2004 (estimating the value of all slaves in the U.S. in 1860 at $3 billion);</w:t>
      </w:r>
      <w:r w:rsidRPr="001167CB">
        <w:rPr>
          <w:rFonts w:asciiTheme="majorHAnsi" w:hAnsiTheme="majorHAnsi" w:cstheme="majorHAnsi"/>
          <w: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 xml:space="preserve">Edward Baptist, </w:t>
      </w:r>
      <w:r w:rsidRPr="001167CB">
        <w:rPr>
          <w:rFonts w:asciiTheme="majorHAnsi" w:hAnsiTheme="majorHAnsi" w:cstheme="majorHAnsi"/>
          <w:i/>
          <w:color w:val="808080" w:themeColor="background1" w:themeShade="80"/>
          <w:sz w:val="16"/>
          <w:szCs w:val="16"/>
        </w:rPr>
        <w:t>The Half Has Never Been Told: Slavery and the Making of American Capitalism</w:t>
      </w:r>
      <w:r w:rsidRPr="001167CB">
        <w:rPr>
          <w:rFonts w:asciiTheme="majorHAnsi" w:hAnsiTheme="majorHAnsi" w:cstheme="majorHAnsi"/>
          <w:color w:val="808080" w:themeColor="background1" w:themeShade="80"/>
          <w:sz w:val="16"/>
          <w:szCs w:val="16"/>
        </w:rPr>
        <w:t xml:space="preserve"> (New York: Basic Books, 2014).</w:t>
      </w:r>
    </w:p>
  </w:footnote>
  <w:footnote w:id="70">
    <w:p w14:paraId="2F5724C5"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i/>
          <w:color w:val="808080" w:themeColor="background1" w:themeShade="80"/>
          <w:sz w:val="16"/>
          <w:szCs w:val="16"/>
        </w:rPr>
        <w:t>See</w:t>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i/>
          <w:color w:val="808080" w:themeColor="background1" w:themeShade="80"/>
          <w:sz w:val="16"/>
          <w:szCs w:val="16"/>
        </w:rPr>
        <w:t>e.g.</w:t>
      </w:r>
      <w:r w:rsidRPr="001167CB">
        <w:rPr>
          <w:rFonts w:asciiTheme="majorHAnsi" w:hAnsiTheme="majorHAnsi" w:cstheme="majorHAnsi"/>
          <w:color w:val="808080" w:themeColor="background1" w:themeShade="80"/>
          <w:sz w:val="16"/>
          <w:szCs w:val="16"/>
        </w:rPr>
        <w:t xml:space="preserve">, James McPherson, </w:t>
      </w:r>
      <w:r w:rsidRPr="001167CB">
        <w:rPr>
          <w:rFonts w:asciiTheme="majorHAnsi" w:hAnsiTheme="majorHAnsi" w:cstheme="majorHAnsi"/>
          <w:i/>
          <w:color w:val="808080" w:themeColor="background1" w:themeShade="80"/>
          <w:sz w:val="16"/>
          <w:szCs w:val="16"/>
        </w:rPr>
        <w:t>Battle Cry of Freedom: The Civil War Era</w:t>
      </w:r>
      <w:r w:rsidRPr="001167CB">
        <w:rPr>
          <w:rFonts w:asciiTheme="majorHAnsi" w:hAnsiTheme="majorHAnsi" w:cstheme="majorHAnsi"/>
          <w:color w:val="808080" w:themeColor="background1" w:themeShade="80"/>
          <w:sz w:val="16"/>
          <w:szCs w:val="16"/>
        </w:rPr>
        <w:t xml:space="preserve"> (New York: Oxford University Press, 1988).</w:t>
      </w:r>
    </w:p>
  </w:footnote>
  <w:footnote w:id="71">
    <w:p w14:paraId="3D2A6F23"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i/>
          <w:color w:val="808080" w:themeColor="background1" w:themeShade="80"/>
          <w:sz w:val="16"/>
          <w:szCs w:val="16"/>
        </w:rPr>
        <w:t>See</w:t>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i/>
          <w:color w:val="808080" w:themeColor="background1" w:themeShade="80"/>
          <w:sz w:val="16"/>
          <w:szCs w:val="16"/>
        </w:rPr>
        <w:t>e.g.</w:t>
      </w:r>
      <w:r w:rsidRPr="001167CB">
        <w:rPr>
          <w:rFonts w:asciiTheme="majorHAnsi" w:hAnsiTheme="majorHAnsi" w:cstheme="majorHAnsi"/>
          <w:color w:val="808080" w:themeColor="background1" w:themeShade="80"/>
          <w:sz w:val="16"/>
          <w:szCs w:val="16"/>
        </w:rPr>
        <w:t xml:space="preserve">, Equal Justice Initiative, </w:t>
      </w:r>
      <w:hyperlink r:id="rId117" w:history="1">
        <w:r w:rsidRPr="001167CB">
          <w:rPr>
            <w:rStyle w:val="Hyperlink"/>
            <w:rFonts w:asciiTheme="majorHAnsi" w:hAnsiTheme="majorHAnsi" w:cstheme="majorHAnsi"/>
            <w:color w:val="808080" w:themeColor="background1" w:themeShade="80"/>
            <w:sz w:val="16"/>
            <w:szCs w:val="16"/>
          </w:rPr>
          <w:t>Lynching in America</w:t>
        </w:r>
      </w:hyperlink>
      <w:r w:rsidRPr="001167CB">
        <w:rPr>
          <w:rFonts w:asciiTheme="majorHAnsi" w:hAnsiTheme="majorHAnsi" w:cstheme="majorHAnsi"/>
          <w:color w:val="808080" w:themeColor="background1" w:themeShade="80"/>
          <w:sz w:val="16"/>
          <w:szCs w:val="16"/>
        </w:rPr>
        <w:t xml:space="preserve"> (3d edition), 2017, p. 7; U.N., Working group on People of African Descent. </w:t>
      </w:r>
      <w:hyperlink r:id="rId118" w:history="1">
        <w:r w:rsidRPr="001167CB">
          <w:rPr>
            <w:rStyle w:val="Hyperlink"/>
            <w:rFonts w:asciiTheme="majorHAnsi" w:hAnsiTheme="majorHAnsi" w:cstheme="majorHAnsi"/>
            <w:bCs/>
            <w:color w:val="808080" w:themeColor="background1" w:themeShade="80"/>
            <w:sz w:val="16"/>
            <w:szCs w:val="16"/>
          </w:rPr>
          <w:t>Report on mission to the U.S.</w:t>
        </w:r>
      </w:hyperlink>
      <w:r w:rsidRPr="001167CB">
        <w:rPr>
          <w:rFonts w:asciiTheme="majorHAnsi" w:hAnsiTheme="majorHAnsi" w:cstheme="majorHAnsi"/>
          <w:bCs/>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 xml:space="preserve">Aug. 18, 2016, para. 6. </w:t>
      </w:r>
    </w:p>
  </w:footnote>
  <w:footnote w:id="72">
    <w:p w14:paraId="1FF655D4"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i/>
          <w:color w:val="808080" w:themeColor="background1" w:themeShade="80"/>
          <w:sz w:val="16"/>
          <w:szCs w:val="16"/>
        </w:rPr>
        <w:t>See</w:t>
      </w:r>
      <w:r w:rsidRPr="001167CB">
        <w:rPr>
          <w:rFonts w:asciiTheme="majorHAnsi" w:hAnsiTheme="majorHAnsi" w:cstheme="majorHAnsi"/>
          <w:color w:val="808080" w:themeColor="background1" w:themeShade="80"/>
          <w:sz w:val="16"/>
          <w:szCs w:val="16"/>
        </w:rPr>
        <w:t xml:space="preserve"> </w:t>
      </w:r>
      <w:proofErr w:type="spellStart"/>
      <w:r w:rsidRPr="001167CB">
        <w:rPr>
          <w:rFonts w:asciiTheme="majorHAnsi" w:hAnsiTheme="majorHAnsi" w:cstheme="majorHAnsi"/>
          <w:color w:val="808080" w:themeColor="background1" w:themeShade="80"/>
          <w:sz w:val="16"/>
          <w:szCs w:val="16"/>
        </w:rPr>
        <w:t>Amdt</w:t>
      </w:r>
      <w:proofErr w:type="spellEnd"/>
      <w:r w:rsidRPr="001167CB">
        <w:rPr>
          <w:rFonts w:asciiTheme="majorHAnsi" w:hAnsiTheme="majorHAnsi" w:cstheme="majorHAnsi"/>
          <w:color w:val="808080" w:themeColor="background1" w:themeShade="80"/>
          <w:sz w:val="16"/>
          <w:szCs w:val="16"/>
        </w:rPr>
        <w:t xml:space="preserve">. XIV, sec. 5. Section 2 also effectively overturns the “Three-Fifths Compromise” by mandating that representatives be apportioned proportionately, counting all persons in each state as whole persons (“excluding Indians not taxed”).  </w:t>
      </w:r>
    </w:p>
  </w:footnote>
  <w:footnote w:id="73">
    <w:p w14:paraId="48475DC3"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During the Reconstruction period, at least 2,000 African American men held public office, from local office to U.S. Senate seats. History.com, </w:t>
      </w:r>
      <w:hyperlink r:id="rId119" w:history="1">
        <w:r w:rsidRPr="001167CB">
          <w:rPr>
            <w:rStyle w:val="Hyperlink"/>
            <w:rFonts w:asciiTheme="majorHAnsi" w:hAnsiTheme="majorHAnsi" w:cstheme="majorHAnsi"/>
            <w:color w:val="808080" w:themeColor="background1" w:themeShade="80"/>
            <w:sz w:val="16"/>
            <w:szCs w:val="16"/>
          </w:rPr>
          <w:t xml:space="preserve">Black Leadership </w:t>
        </w:r>
        <w:proofErr w:type="gramStart"/>
        <w:r w:rsidRPr="001167CB">
          <w:rPr>
            <w:rStyle w:val="Hyperlink"/>
            <w:rFonts w:asciiTheme="majorHAnsi" w:hAnsiTheme="majorHAnsi" w:cstheme="majorHAnsi"/>
            <w:color w:val="808080" w:themeColor="background1" w:themeShade="80"/>
            <w:sz w:val="16"/>
            <w:szCs w:val="16"/>
          </w:rPr>
          <w:t>During</w:t>
        </w:r>
        <w:proofErr w:type="gramEnd"/>
        <w:r w:rsidRPr="001167CB">
          <w:rPr>
            <w:rStyle w:val="Hyperlink"/>
            <w:rFonts w:asciiTheme="majorHAnsi" w:hAnsiTheme="majorHAnsi" w:cstheme="majorHAnsi"/>
            <w:color w:val="808080" w:themeColor="background1" w:themeShade="80"/>
            <w:sz w:val="16"/>
            <w:szCs w:val="16"/>
          </w:rPr>
          <w:t xml:space="preserve"> Reconstruction</w:t>
        </w:r>
      </w:hyperlink>
      <w:r w:rsidRPr="001167CB">
        <w:rPr>
          <w:rFonts w:asciiTheme="majorHAnsi" w:hAnsiTheme="majorHAnsi" w:cstheme="majorHAnsi"/>
          <w:color w:val="808080" w:themeColor="background1" w:themeShade="80"/>
          <w:sz w:val="16"/>
          <w:szCs w:val="16"/>
        </w:rPr>
        <w:t>, 2010. As Thomas Miller, a Black lawyer and legislator in South Carolina, would recall in 1895 about the Reconstruction years: “We were eight years in power. We had built schoolhouses, established charitable institutions, built and maintained the penitentiary system, provided for the education of the deaf and dumb, rebuilt the ferries. In short, we had reconstructed the State and placed it upon the road to prosperity.” Quoted in Ta-</w:t>
      </w:r>
      <w:proofErr w:type="spellStart"/>
      <w:r w:rsidRPr="001167CB">
        <w:rPr>
          <w:rFonts w:asciiTheme="majorHAnsi" w:hAnsiTheme="majorHAnsi" w:cstheme="majorHAnsi"/>
          <w:color w:val="808080" w:themeColor="background1" w:themeShade="80"/>
          <w:sz w:val="16"/>
          <w:szCs w:val="16"/>
        </w:rPr>
        <w:t>Nehisi</w:t>
      </w:r>
      <w:proofErr w:type="spellEnd"/>
      <w:r w:rsidRPr="001167CB">
        <w:rPr>
          <w:rFonts w:asciiTheme="majorHAnsi" w:hAnsiTheme="majorHAnsi" w:cstheme="majorHAnsi"/>
          <w:color w:val="808080" w:themeColor="background1" w:themeShade="80"/>
          <w:sz w:val="16"/>
          <w:szCs w:val="16"/>
        </w:rPr>
        <w:t xml:space="preserve"> Coates, </w:t>
      </w:r>
      <w:r w:rsidRPr="001167CB">
        <w:rPr>
          <w:rFonts w:asciiTheme="majorHAnsi" w:hAnsiTheme="majorHAnsi" w:cstheme="majorHAnsi"/>
          <w:i/>
          <w:color w:val="808080" w:themeColor="background1" w:themeShade="80"/>
          <w:sz w:val="16"/>
          <w:szCs w:val="16"/>
        </w:rPr>
        <w:t>We Were Eight Years in Power: An American Tragedy</w:t>
      </w:r>
      <w:r w:rsidRPr="001167CB">
        <w:rPr>
          <w:rFonts w:asciiTheme="majorHAnsi" w:hAnsiTheme="majorHAnsi" w:cstheme="majorHAnsi"/>
          <w:color w:val="808080" w:themeColor="background1" w:themeShade="80"/>
          <w:sz w:val="16"/>
          <w:szCs w:val="16"/>
        </w:rPr>
        <w:t xml:space="preserve"> (New York: Random House, 2017).</w:t>
      </w:r>
    </w:p>
  </w:footnote>
  <w:footnote w:id="74">
    <w:p w14:paraId="74E4E112"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lang w:val="en-GB"/>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Style w:val="reference-text"/>
          <w:rFonts w:asciiTheme="majorHAnsi" w:hAnsiTheme="majorHAnsi" w:cstheme="majorHAnsi"/>
          <w:color w:val="808080" w:themeColor="background1" w:themeShade="80"/>
          <w:sz w:val="16"/>
          <w:szCs w:val="16"/>
        </w:rPr>
        <w:t>W.E.B. DuBois,</w:t>
      </w:r>
      <w:r w:rsidRPr="001167CB">
        <w:rPr>
          <w:rStyle w:val="reference-text"/>
          <w:rFonts w:asciiTheme="majorHAnsi" w:hAnsiTheme="majorHAnsi" w:cstheme="majorHAnsi"/>
          <w:i/>
          <w:color w:val="808080" w:themeColor="background1" w:themeShade="80"/>
          <w:sz w:val="16"/>
          <w:szCs w:val="16"/>
        </w:rPr>
        <w:t xml:space="preserve"> </w:t>
      </w:r>
      <w:r w:rsidRPr="001167CB">
        <w:rPr>
          <w:rStyle w:val="reference-text"/>
          <w:rFonts w:asciiTheme="majorHAnsi" w:hAnsiTheme="majorHAnsi" w:cstheme="majorHAnsi"/>
          <w:i/>
          <w:iCs/>
          <w:color w:val="808080" w:themeColor="background1" w:themeShade="80"/>
          <w:sz w:val="16"/>
          <w:szCs w:val="16"/>
        </w:rPr>
        <w:t>Black Reconstruction in America, 1868-1880</w:t>
      </w:r>
      <w:r w:rsidRPr="001167CB">
        <w:rPr>
          <w:rStyle w:val="reference-text"/>
          <w:rFonts w:asciiTheme="majorHAnsi" w:hAnsiTheme="majorHAnsi" w:cstheme="majorHAnsi"/>
          <w:i/>
          <w:color w:val="808080" w:themeColor="background1" w:themeShade="80"/>
          <w:sz w:val="16"/>
          <w:szCs w:val="16"/>
        </w:rPr>
        <w:t xml:space="preserve"> </w:t>
      </w:r>
      <w:r w:rsidRPr="001167CB">
        <w:rPr>
          <w:rStyle w:val="reference-text"/>
          <w:rFonts w:asciiTheme="majorHAnsi" w:hAnsiTheme="majorHAnsi" w:cstheme="majorHAnsi"/>
          <w:color w:val="808080" w:themeColor="background1" w:themeShade="80"/>
          <w:sz w:val="16"/>
          <w:szCs w:val="16"/>
        </w:rPr>
        <w:t xml:space="preserve">(New York: Oxford University Press, 1935). Black women, of course, would wait until the passage of the Nineteenth Amendment in 1920 to enjoy the legal right to vote. </w:t>
      </w:r>
    </w:p>
  </w:footnote>
  <w:footnote w:id="75">
    <w:p w14:paraId="0B9B6A93"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Equal Justice Initiative, </w:t>
      </w:r>
      <w:hyperlink r:id="rId120" w:history="1">
        <w:r w:rsidRPr="001167CB">
          <w:rPr>
            <w:rStyle w:val="Hyperlink"/>
            <w:rFonts w:asciiTheme="majorHAnsi" w:hAnsiTheme="majorHAnsi" w:cstheme="majorHAnsi"/>
            <w:color w:val="808080" w:themeColor="background1" w:themeShade="80"/>
            <w:sz w:val="16"/>
            <w:szCs w:val="16"/>
          </w:rPr>
          <w:t>Lynching in America</w:t>
        </w:r>
      </w:hyperlink>
      <w:r w:rsidRPr="001167CB">
        <w:rPr>
          <w:rFonts w:asciiTheme="majorHAnsi" w:hAnsiTheme="majorHAnsi" w:cstheme="majorHAnsi"/>
          <w:color w:val="808080" w:themeColor="background1" w:themeShade="80"/>
          <w:sz w:val="16"/>
          <w:szCs w:val="16"/>
        </w:rPr>
        <w:t xml:space="preserve"> (3d edition), 2017, p. 11. </w:t>
      </w:r>
    </w:p>
  </w:footnote>
  <w:footnote w:id="76">
    <w:p w14:paraId="645446C4"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Id. at p. 12 (citing Eric </w:t>
      </w:r>
      <w:proofErr w:type="spellStart"/>
      <w:r w:rsidRPr="001167CB">
        <w:rPr>
          <w:rFonts w:asciiTheme="majorHAnsi" w:hAnsiTheme="majorHAnsi" w:cstheme="majorHAnsi"/>
          <w:color w:val="808080" w:themeColor="background1" w:themeShade="80"/>
          <w:sz w:val="16"/>
          <w:szCs w:val="16"/>
        </w:rPr>
        <w:t>Foner</w:t>
      </w:r>
      <w:proofErr w:type="spellEnd"/>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i/>
          <w:color w:val="808080" w:themeColor="background1" w:themeShade="80"/>
          <w:sz w:val="16"/>
          <w:szCs w:val="16"/>
        </w:rPr>
        <w:t>Reconstruction: America’s Unfinished Revolution, 1863-1877</w:t>
      </w:r>
      <w:r w:rsidRPr="001167CB">
        <w:rPr>
          <w:rFonts w:asciiTheme="majorHAnsi" w:hAnsiTheme="majorHAnsi" w:cstheme="majorHAnsi"/>
          <w:color w:val="808080" w:themeColor="background1" w:themeShade="80"/>
          <w:sz w:val="16"/>
          <w:szCs w:val="16"/>
        </w:rPr>
        <w:t xml:space="preserve"> (New York: HarperCollins, 1988).</w:t>
      </w:r>
    </w:p>
  </w:footnote>
  <w:footnote w:id="77">
    <w:p w14:paraId="102BC458" w14:textId="7AEBF8DC"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Smithsonian Magazine, </w:t>
      </w:r>
      <w:hyperlink r:id="rId121" w:history="1">
        <w:proofErr w:type="gramStart"/>
        <w:r w:rsidRPr="001167CB">
          <w:rPr>
            <w:rStyle w:val="Hyperlink"/>
            <w:rFonts w:asciiTheme="majorHAnsi" w:hAnsiTheme="majorHAnsi" w:cstheme="majorHAnsi"/>
            <w:color w:val="808080" w:themeColor="background1" w:themeShade="80"/>
            <w:sz w:val="16"/>
            <w:szCs w:val="16"/>
          </w:rPr>
          <w:t>The</w:t>
        </w:r>
        <w:proofErr w:type="gramEnd"/>
        <w:r w:rsidRPr="001167CB">
          <w:rPr>
            <w:rStyle w:val="Hyperlink"/>
            <w:rFonts w:asciiTheme="majorHAnsi" w:hAnsiTheme="majorHAnsi" w:cstheme="majorHAnsi"/>
            <w:color w:val="808080" w:themeColor="background1" w:themeShade="80"/>
            <w:sz w:val="16"/>
            <w:szCs w:val="16"/>
          </w:rPr>
          <w:t xml:space="preserve"> 1873 Colfax Massacre Crippled the Reconstruction Era</w:t>
        </w:r>
      </w:hyperlink>
      <w:r w:rsidRPr="001167CB">
        <w:rPr>
          <w:rFonts w:asciiTheme="majorHAnsi" w:hAnsiTheme="majorHAnsi" w:cstheme="majorHAnsi"/>
          <w:color w:val="808080" w:themeColor="background1" w:themeShade="80"/>
          <w:sz w:val="16"/>
          <w:szCs w:val="16"/>
        </w:rPr>
        <w:t xml:space="preserve">, Apr. 13, 2016. This event would further have legal repercussions, as the white defendants charged in the massacre were later acquitted in </w:t>
      </w:r>
      <w:r w:rsidRPr="001167CB">
        <w:rPr>
          <w:rFonts w:asciiTheme="majorHAnsi" w:hAnsiTheme="majorHAnsi" w:cstheme="majorHAnsi"/>
          <w:i/>
          <w:color w:val="808080" w:themeColor="background1" w:themeShade="80"/>
          <w:sz w:val="16"/>
          <w:szCs w:val="16"/>
        </w:rPr>
        <w:t>U.S. v. Cruikshank</w:t>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i/>
          <w:color w:val="808080" w:themeColor="background1" w:themeShade="80"/>
          <w:sz w:val="16"/>
          <w:szCs w:val="16"/>
        </w:rPr>
        <w:t>see supra</w:t>
      </w:r>
      <w:r w:rsidRPr="001167CB">
        <w:rPr>
          <w:rFonts w:asciiTheme="majorHAnsi" w:hAnsiTheme="majorHAnsi" w:cstheme="majorHAnsi"/>
          <w:color w:val="808080" w:themeColor="background1" w:themeShade="80"/>
          <w:sz w:val="16"/>
          <w:szCs w:val="16"/>
        </w:rPr>
        <w:t xml:space="preserve"> para. </w:t>
      </w:r>
      <w:r w:rsidRPr="001167CB">
        <w:rPr>
          <w:rFonts w:asciiTheme="majorHAnsi" w:hAnsiTheme="majorHAnsi" w:cstheme="majorHAnsi"/>
          <w:color w:val="808080" w:themeColor="background1" w:themeShade="80"/>
          <w:sz w:val="16"/>
          <w:szCs w:val="16"/>
        </w:rPr>
        <w:fldChar w:fldCharType="begin"/>
      </w:r>
      <w:r w:rsidRPr="001167CB">
        <w:rPr>
          <w:rFonts w:asciiTheme="majorHAnsi" w:hAnsiTheme="majorHAnsi" w:cstheme="majorHAnsi"/>
          <w:color w:val="808080" w:themeColor="background1" w:themeShade="80"/>
          <w:sz w:val="16"/>
          <w:szCs w:val="16"/>
        </w:rPr>
        <w:instrText xml:space="preserve"> REF _Ref507082453 \r \h  \* MERGEFORMAT </w:instrText>
      </w:r>
      <w:r w:rsidRPr="001167CB">
        <w:rPr>
          <w:rFonts w:asciiTheme="majorHAnsi" w:hAnsiTheme="majorHAnsi" w:cstheme="majorHAnsi"/>
          <w:color w:val="808080" w:themeColor="background1" w:themeShade="80"/>
          <w:sz w:val="16"/>
          <w:szCs w:val="16"/>
        </w:rPr>
      </w:r>
      <w:r w:rsidRPr="001167CB">
        <w:rPr>
          <w:rFonts w:asciiTheme="majorHAnsi" w:hAnsiTheme="majorHAnsi" w:cstheme="majorHAnsi"/>
          <w:color w:val="808080" w:themeColor="background1" w:themeShade="80"/>
          <w:sz w:val="16"/>
          <w:szCs w:val="16"/>
        </w:rPr>
        <w:fldChar w:fldCharType="separate"/>
      </w:r>
      <w:r w:rsidRPr="001167CB">
        <w:rPr>
          <w:rFonts w:asciiTheme="majorHAnsi" w:hAnsiTheme="majorHAnsi" w:cstheme="majorHAnsi"/>
          <w:color w:val="808080" w:themeColor="background1" w:themeShade="80"/>
          <w:sz w:val="16"/>
          <w:szCs w:val="16"/>
        </w:rPr>
        <w:t>58</w:t>
      </w:r>
      <w:r w:rsidRPr="001167CB">
        <w:rPr>
          <w:rFonts w:asciiTheme="majorHAnsi" w:hAnsiTheme="majorHAnsi" w:cstheme="majorHAnsi"/>
          <w:color w:val="808080" w:themeColor="background1" w:themeShade="80"/>
          <w:sz w:val="16"/>
          <w:szCs w:val="16"/>
        </w:rPr>
        <w:fldChar w:fldCharType="end"/>
      </w:r>
      <w:r w:rsidRPr="001167CB">
        <w:rPr>
          <w:rFonts w:asciiTheme="majorHAnsi" w:hAnsiTheme="majorHAnsi" w:cstheme="majorHAnsi"/>
          <w:color w:val="808080" w:themeColor="background1" w:themeShade="80"/>
          <w:sz w:val="16"/>
          <w:szCs w:val="16"/>
        </w:rPr>
        <w:t>).</w:t>
      </w:r>
    </w:p>
  </w:footnote>
  <w:footnote w:id="78">
    <w:p w14:paraId="7A181019"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63 U.S. 537 (1896).</w:t>
      </w:r>
    </w:p>
  </w:footnote>
  <w:footnote w:id="79">
    <w:p w14:paraId="082E8EC3" w14:textId="2DFA7C1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189 U.S. 475 (1903). In </w:t>
      </w:r>
      <w:r w:rsidRPr="001167CB">
        <w:rPr>
          <w:rFonts w:asciiTheme="majorHAnsi" w:hAnsiTheme="majorHAnsi" w:cstheme="majorHAnsi"/>
          <w:i/>
          <w:color w:val="808080" w:themeColor="background1" w:themeShade="80"/>
          <w:sz w:val="16"/>
          <w:szCs w:val="16"/>
        </w:rPr>
        <w:t>Giles</w:t>
      </w:r>
      <w:r w:rsidRPr="001167CB">
        <w:rPr>
          <w:rFonts w:asciiTheme="majorHAnsi" w:hAnsiTheme="majorHAnsi" w:cstheme="majorHAnsi"/>
          <w:color w:val="808080" w:themeColor="background1" w:themeShade="80"/>
          <w:sz w:val="16"/>
          <w:szCs w:val="16"/>
        </w:rPr>
        <w:t xml:space="preserve">, the Supreme Court declined to review an Alabama law that required that registered voters be of “good character,” a requirement that was enforced in a racially biased manner to disenfranchise virtually all Black voters. This decision effectively sanctioned the disenfranchisement of Black voters in the South, signaling that the federal government would not intervene to enforce the 15th Amendment. This situation persisted at least until the passage of the Voting Rights Act of 1965. </w:t>
      </w:r>
      <w:r w:rsidRPr="001167CB">
        <w:rPr>
          <w:rFonts w:asciiTheme="majorHAnsi" w:hAnsiTheme="majorHAnsi" w:cstheme="majorHAnsi"/>
          <w:i/>
          <w:color w:val="808080" w:themeColor="background1" w:themeShade="80"/>
          <w:sz w:val="16"/>
          <w:szCs w:val="16"/>
        </w:rPr>
        <w:t>See infra</w:t>
      </w:r>
      <w:r w:rsidRPr="001167CB">
        <w:rPr>
          <w:rFonts w:asciiTheme="majorHAnsi" w:hAnsiTheme="majorHAnsi" w:cstheme="majorHAnsi"/>
          <w:color w:val="808080" w:themeColor="background1" w:themeShade="80"/>
          <w:sz w:val="16"/>
          <w:szCs w:val="16"/>
        </w:rPr>
        <w:t xml:space="preserve"> para. </w:t>
      </w:r>
      <w:r w:rsidRPr="001167CB">
        <w:rPr>
          <w:rFonts w:asciiTheme="majorHAnsi" w:hAnsiTheme="majorHAnsi" w:cstheme="majorHAnsi"/>
          <w:color w:val="808080" w:themeColor="background1" w:themeShade="80"/>
          <w:sz w:val="16"/>
          <w:szCs w:val="16"/>
        </w:rPr>
        <w:fldChar w:fldCharType="begin"/>
      </w:r>
      <w:r w:rsidRPr="001167CB">
        <w:rPr>
          <w:rFonts w:asciiTheme="majorHAnsi" w:hAnsiTheme="majorHAnsi" w:cstheme="majorHAnsi"/>
          <w:color w:val="808080" w:themeColor="background1" w:themeShade="80"/>
          <w:sz w:val="16"/>
          <w:szCs w:val="16"/>
        </w:rPr>
        <w:instrText xml:space="preserve"> REF _Ref507082559 \r \h  \* MERGEFORMAT </w:instrText>
      </w:r>
      <w:r w:rsidRPr="001167CB">
        <w:rPr>
          <w:rFonts w:asciiTheme="majorHAnsi" w:hAnsiTheme="majorHAnsi" w:cstheme="majorHAnsi"/>
          <w:color w:val="808080" w:themeColor="background1" w:themeShade="80"/>
          <w:sz w:val="16"/>
          <w:szCs w:val="16"/>
        </w:rPr>
      </w:r>
      <w:r w:rsidRPr="001167CB">
        <w:rPr>
          <w:rFonts w:asciiTheme="majorHAnsi" w:hAnsiTheme="majorHAnsi" w:cstheme="majorHAnsi"/>
          <w:color w:val="808080" w:themeColor="background1" w:themeShade="80"/>
          <w:sz w:val="16"/>
          <w:szCs w:val="16"/>
        </w:rPr>
        <w:fldChar w:fldCharType="separate"/>
      </w:r>
      <w:r w:rsidRPr="001167CB">
        <w:rPr>
          <w:rFonts w:asciiTheme="majorHAnsi" w:hAnsiTheme="majorHAnsi" w:cstheme="majorHAnsi"/>
          <w:color w:val="808080" w:themeColor="background1" w:themeShade="80"/>
          <w:sz w:val="16"/>
          <w:szCs w:val="16"/>
        </w:rPr>
        <w:t>63</w:t>
      </w:r>
      <w:r w:rsidRPr="001167CB">
        <w:rPr>
          <w:rFonts w:asciiTheme="majorHAnsi" w:hAnsiTheme="majorHAnsi" w:cstheme="majorHAnsi"/>
          <w:color w:val="808080" w:themeColor="background1" w:themeShade="80"/>
          <w:sz w:val="16"/>
          <w:szCs w:val="16"/>
        </w:rPr>
        <w:fldChar w:fldCharType="end"/>
      </w:r>
      <w:r w:rsidRPr="001167CB">
        <w:rPr>
          <w:rFonts w:asciiTheme="majorHAnsi" w:hAnsiTheme="majorHAnsi" w:cstheme="majorHAnsi"/>
          <w:color w:val="808080" w:themeColor="background1" w:themeShade="80"/>
          <w:sz w:val="16"/>
          <w:szCs w:val="16"/>
        </w:rPr>
        <w:t>.</w:t>
      </w:r>
    </w:p>
  </w:footnote>
  <w:footnote w:id="80">
    <w:p w14:paraId="7D279618"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Slaughter-House Cases, 83 U.S. 36 (1873); U.S. v. Cruikshank, 92 U.S. 542 (1875); Civil Rights Cases, 109 U.S. 3 (1883). The Civil Rights Cases </w:t>
      </w:r>
      <w:proofErr w:type="spellStart"/>
      <w:r w:rsidRPr="001167CB">
        <w:rPr>
          <w:rFonts w:asciiTheme="majorHAnsi" w:hAnsiTheme="majorHAnsi" w:cstheme="majorHAnsi"/>
          <w:color w:val="808080" w:themeColor="background1" w:themeShade="80"/>
          <w:sz w:val="16"/>
          <w:szCs w:val="16"/>
        </w:rPr>
        <w:t>cases</w:t>
      </w:r>
      <w:proofErr w:type="spellEnd"/>
      <w:r w:rsidRPr="001167CB">
        <w:rPr>
          <w:rFonts w:asciiTheme="majorHAnsi" w:hAnsiTheme="majorHAnsi" w:cstheme="majorHAnsi"/>
          <w:color w:val="808080" w:themeColor="background1" w:themeShade="80"/>
          <w:sz w:val="16"/>
          <w:szCs w:val="16"/>
        </w:rPr>
        <w:t xml:space="preserve"> ruled unconstitutional the Civil Rights Act of 1875, which banned race discrimination in access to services offered to the public. The decision was effectively reversed in jurisprudence of the Supreme Court from 1937, and finally by legislation in the Civil Rights Act of 1964. On the three cases mentioned, </w:t>
      </w:r>
      <w:r w:rsidRPr="001167CB">
        <w:rPr>
          <w:rFonts w:asciiTheme="majorHAnsi" w:hAnsiTheme="majorHAnsi" w:cstheme="majorHAnsi"/>
          <w:i/>
          <w:color w:val="808080" w:themeColor="background1" w:themeShade="80"/>
          <w:sz w:val="16"/>
          <w:szCs w:val="16"/>
        </w:rPr>
        <w:t>see also</w:t>
      </w:r>
      <w:r w:rsidRPr="001167CB">
        <w:rPr>
          <w:rFonts w:asciiTheme="majorHAnsi" w:hAnsiTheme="majorHAnsi" w:cstheme="majorHAnsi"/>
          <w:color w:val="808080" w:themeColor="background1" w:themeShade="80"/>
          <w:sz w:val="16"/>
          <w:szCs w:val="16"/>
        </w:rPr>
        <w:t xml:space="preserve"> Equal Justice Initiative, </w:t>
      </w:r>
      <w:hyperlink r:id="rId122" w:history="1">
        <w:r w:rsidRPr="001167CB">
          <w:rPr>
            <w:rStyle w:val="Hyperlink"/>
            <w:rFonts w:asciiTheme="majorHAnsi" w:hAnsiTheme="majorHAnsi" w:cstheme="majorHAnsi"/>
            <w:color w:val="808080" w:themeColor="background1" w:themeShade="80"/>
            <w:sz w:val="16"/>
            <w:szCs w:val="16"/>
          </w:rPr>
          <w:t>Lynching in America</w:t>
        </w:r>
      </w:hyperlink>
      <w:r w:rsidRPr="001167CB">
        <w:rPr>
          <w:rFonts w:asciiTheme="majorHAnsi" w:hAnsiTheme="majorHAnsi" w:cstheme="majorHAnsi"/>
          <w:color w:val="808080" w:themeColor="background1" w:themeShade="80"/>
          <w:sz w:val="16"/>
          <w:szCs w:val="16"/>
        </w:rPr>
        <w:t xml:space="preserve"> (3d edition), 2017, p. 16-18.</w:t>
      </w:r>
    </w:p>
  </w:footnote>
  <w:footnote w:id="81">
    <w:p w14:paraId="72B60CF4" w14:textId="63BC27A6"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The “state action” doctrine has had widespread and long-lasting effects on the development of constitutional jurisprudence and the justiciability of human rights violations in the United States, as it effectively placed a wide range of private violations of rights beyond the reach of federal power to provide a remedy. In this regard, consider the landmark Supreme Court cases which outlawed racial discrimination by private businesses (see para. </w:t>
      </w:r>
      <w:r w:rsidRPr="001167CB">
        <w:rPr>
          <w:rFonts w:asciiTheme="majorHAnsi" w:hAnsiTheme="majorHAnsi" w:cstheme="majorHAnsi"/>
          <w:color w:val="808080" w:themeColor="background1" w:themeShade="80"/>
          <w:sz w:val="16"/>
          <w:szCs w:val="16"/>
        </w:rPr>
        <w:fldChar w:fldCharType="begin"/>
      </w:r>
      <w:r w:rsidRPr="001167CB">
        <w:rPr>
          <w:rFonts w:asciiTheme="majorHAnsi" w:hAnsiTheme="majorHAnsi" w:cstheme="majorHAnsi"/>
          <w:color w:val="808080" w:themeColor="background1" w:themeShade="80"/>
          <w:sz w:val="16"/>
          <w:szCs w:val="16"/>
        </w:rPr>
        <w:instrText xml:space="preserve"> REF _Ref507082559 \r \h  \* MERGEFORMAT </w:instrText>
      </w:r>
      <w:r w:rsidRPr="001167CB">
        <w:rPr>
          <w:rFonts w:asciiTheme="majorHAnsi" w:hAnsiTheme="majorHAnsi" w:cstheme="majorHAnsi"/>
          <w:color w:val="808080" w:themeColor="background1" w:themeShade="80"/>
          <w:sz w:val="16"/>
          <w:szCs w:val="16"/>
        </w:rPr>
      </w:r>
      <w:r w:rsidRPr="001167CB">
        <w:rPr>
          <w:rFonts w:asciiTheme="majorHAnsi" w:hAnsiTheme="majorHAnsi" w:cstheme="majorHAnsi"/>
          <w:color w:val="808080" w:themeColor="background1" w:themeShade="80"/>
          <w:sz w:val="16"/>
          <w:szCs w:val="16"/>
        </w:rPr>
        <w:fldChar w:fldCharType="separate"/>
      </w:r>
      <w:r w:rsidRPr="001167CB">
        <w:rPr>
          <w:rFonts w:asciiTheme="majorHAnsi" w:hAnsiTheme="majorHAnsi" w:cstheme="majorHAnsi"/>
          <w:color w:val="808080" w:themeColor="background1" w:themeShade="80"/>
          <w:sz w:val="16"/>
          <w:szCs w:val="16"/>
        </w:rPr>
        <w:t>63</w:t>
      </w:r>
      <w:r w:rsidRPr="001167CB">
        <w:rPr>
          <w:rFonts w:asciiTheme="majorHAnsi" w:hAnsiTheme="majorHAnsi" w:cstheme="majorHAnsi"/>
          <w:color w:val="808080" w:themeColor="background1" w:themeShade="80"/>
          <w:sz w:val="16"/>
          <w:szCs w:val="16"/>
        </w:rPr>
        <w:fldChar w:fldCharType="end"/>
      </w:r>
      <w:r w:rsidRPr="001167CB">
        <w:rPr>
          <w:rFonts w:asciiTheme="majorHAnsi" w:hAnsiTheme="majorHAnsi" w:cstheme="majorHAnsi"/>
          <w:color w:val="808080" w:themeColor="background1" w:themeShade="80"/>
          <w:sz w:val="16"/>
          <w:szCs w:val="16"/>
        </w:rPr>
        <w:t xml:space="preserve">), finding the Constitutional authority to do so under the Commerce Clause (Art. I, Sec. 8, Clause 3) rather than the Fourteenth Amendment. </w:t>
      </w:r>
    </w:p>
  </w:footnote>
  <w:footnote w:id="82">
    <w:p w14:paraId="4D1BDEC2"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Quoted in Equal Justice Initiative, </w:t>
      </w:r>
      <w:hyperlink r:id="rId123" w:history="1">
        <w:r w:rsidRPr="001167CB">
          <w:rPr>
            <w:rStyle w:val="Hyperlink"/>
            <w:rFonts w:asciiTheme="majorHAnsi" w:hAnsiTheme="majorHAnsi" w:cstheme="majorHAnsi"/>
            <w:color w:val="808080" w:themeColor="background1" w:themeShade="80"/>
            <w:sz w:val="16"/>
            <w:szCs w:val="16"/>
          </w:rPr>
          <w:t>Lynching in America</w:t>
        </w:r>
      </w:hyperlink>
      <w:r w:rsidRPr="001167CB">
        <w:rPr>
          <w:rFonts w:asciiTheme="majorHAnsi" w:hAnsiTheme="majorHAnsi" w:cstheme="majorHAnsi"/>
          <w:color w:val="808080" w:themeColor="background1" w:themeShade="80"/>
          <w:sz w:val="16"/>
          <w:szCs w:val="16"/>
        </w:rPr>
        <w:t xml:space="preserve"> (3d edition), 2017, p. 21.</w:t>
      </w:r>
    </w:p>
  </w:footnote>
  <w:footnote w:id="83">
    <w:p w14:paraId="413D8487"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Equal Justice Initiative, </w:t>
      </w:r>
      <w:hyperlink r:id="rId124" w:history="1">
        <w:r w:rsidRPr="001167CB">
          <w:rPr>
            <w:rStyle w:val="Hyperlink"/>
            <w:rFonts w:asciiTheme="majorHAnsi" w:hAnsiTheme="majorHAnsi" w:cstheme="majorHAnsi"/>
            <w:color w:val="808080" w:themeColor="background1" w:themeShade="80"/>
            <w:sz w:val="16"/>
            <w:szCs w:val="16"/>
          </w:rPr>
          <w:t>Lynching in America</w:t>
        </w:r>
      </w:hyperlink>
      <w:r w:rsidRPr="001167CB">
        <w:rPr>
          <w:rFonts w:asciiTheme="majorHAnsi" w:hAnsiTheme="majorHAnsi" w:cstheme="majorHAnsi"/>
          <w:color w:val="808080" w:themeColor="background1" w:themeShade="80"/>
          <w:sz w:val="16"/>
          <w:szCs w:val="16"/>
        </w:rPr>
        <w:t xml:space="preserve"> (3d edition), 2017, p. 23; </w:t>
      </w:r>
      <w:r w:rsidRPr="001167CB">
        <w:rPr>
          <w:rFonts w:asciiTheme="majorHAnsi" w:hAnsiTheme="majorHAnsi" w:cstheme="majorHAnsi"/>
          <w:i/>
          <w:color w:val="808080" w:themeColor="background1" w:themeShade="80"/>
          <w:sz w:val="16"/>
          <w:szCs w:val="16"/>
        </w:rPr>
        <w:t>see also</w:t>
      </w:r>
      <w:r w:rsidRPr="001167CB">
        <w:rPr>
          <w:rFonts w:asciiTheme="majorHAnsi" w:hAnsiTheme="majorHAnsi" w:cstheme="majorHAnsi"/>
          <w:color w:val="808080" w:themeColor="background1" w:themeShade="80"/>
          <w:sz w:val="16"/>
          <w:szCs w:val="16"/>
        </w:rPr>
        <w:t xml:space="preserve"> David </w:t>
      </w:r>
      <w:proofErr w:type="spellStart"/>
      <w:r w:rsidRPr="001167CB">
        <w:rPr>
          <w:rFonts w:asciiTheme="majorHAnsi" w:hAnsiTheme="majorHAnsi" w:cstheme="majorHAnsi"/>
          <w:color w:val="808080" w:themeColor="background1" w:themeShade="80"/>
          <w:sz w:val="16"/>
          <w:szCs w:val="16"/>
        </w:rPr>
        <w:t>Oshinsky</w:t>
      </w:r>
      <w:proofErr w:type="spellEnd"/>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bCs/>
          <w:i/>
          <w:color w:val="808080" w:themeColor="background1" w:themeShade="80"/>
          <w:sz w:val="16"/>
          <w:szCs w:val="16"/>
        </w:rPr>
        <w:t xml:space="preserve">Worse than Slavery: </w:t>
      </w:r>
      <w:proofErr w:type="spellStart"/>
      <w:r w:rsidRPr="001167CB">
        <w:rPr>
          <w:rFonts w:asciiTheme="majorHAnsi" w:hAnsiTheme="majorHAnsi" w:cstheme="majorHAnsi"/>
          <w:bCs/>
          <w:i/>
          <w:color w:val="808080" w:themeColor="background1" w:themeShade="80"/>
          <w:sz w:val="16"/>
          <w:szCs w:val="16"/>
        </w:rPr>
        <w:t>Parchman</w:t>
      </w:r>
      <w:proofErr w:type="spellEnd"/>
      <w:r w:rsidRPr="001167CB">
        <w:rPr>
          <w:rFonts w:asciiTheme="majorHAnsi" w:hAnsiTheme="majorHAnsi" w:cstheme="majorHAnsi"/>
          <w:bCs/>
          <w:i/>
          <w:color w:val="808080" w:themeColor="background1" w:themeShade="80"/>
          <w:sz w:val="16"/>
          <w:szCs w:val="16"/>
        </w:rPr>
        <w:t xml:space="preserve"> Farm and the Ordeal of Jim Crow Justice</w:t>
      </w:r>
      <w:r w:rsidRPr="001167CB">
        <w:rPr>
          <w:rFonts w:asciiTheme="majorHAnsi" w:hAnsiTheme="majorHAnsi" w:cstheme="majorHAnsi"/>
          <w:bCs/>
          <w:color w:val="808080" w:themeColor="background1" w:themeShade="80"/>
          <w:sz w:val="16"/>
          <w:szCs w:val="16"/>
        </w:rPr>
        <w:t xml:space="preserve"> (New York: Free Press, 1997); Douglas Blackmon, </w:t>
      </w:r>
      <w:r w:rsidRPr="001167CB">
        <w:rPr>
          <w:rFonts w:asciiTheme="majorHAnsi" w:hAnsiTheme="majorHAnsi" w:cstheme="majorHAnsi"/>
          <w:bCs/>
          <w:i/>
          <w:color w:val="808080" w:themeColor="background1" w:themeShade="80"/>
          <w:sz w:val="16"/>
          <w:szCs w:val="16"/>
        </w:rPr>
        <w:t>Slavery by Another Name: The Re-Enslavement of Black Americans from the Civil War to World War II</w:t>
      </w:r>
      <w:r w:rsidRPr="001167CB">
        <w:rPr>
          <w:rFonts w:asciiTheme="majorHAnsi" w:hAnsiTheme="majorHAnsi" w:cstheme="majorHAnsi"/>
          <w:bCs/>
          <w:color w:val="808080" w:themeColor="background1" w:themeShade="80"/>
          <w:sz w:val="16"/>
          <w:szCs w:val="16"/>
        </w:rPr>
        <w:t xml:space="preserve"> (New York: Random House, 2008); </w:t>
      </w:r>
      <w:r w:rsidRPr="001167CB">
        <w:rPr>
          <w:rFonts w:asciiTheme="majorHAnsi" w:hAnsiTheme="majorHAnsi" w:cstheme="majorHAnsi"/>
          <w:color w:val="808080" w:themeColor="background1" w:themeShade="80"/>
          <w:sz w:val="16"/>
          <w:szCs w:val="16"/>
        </w:rPr>
        <w:t xml:space="preserve">Michelle Alexander, </w:t>
      </w:r>
      <w:r w:rsidRPr="001167CB">
        <w:rPr>
          <w:rFonts w:asciiTheme="majorHAnsi" w:hAnsiTheme="majorHAnsi" w:cstheme="majorHAnsi"/>
          <w:i/>
          <w:color w:val="808080" w:themeColor="background1" w:themeShade="80"/>
          <w:sz w:val="16"/>
          <w:szCs w:val="16"/>
        </w:rPr>
        <w:t>The New Jim Crow: Mass Incarceration in the Age of Colorblindness</w:t>
      </w:r>
      <w:r w:rsidRPr="001167CB">
        <w:rPr>
          <w:rFonts w:asciiTheme="majorHAnsi" w:hAnsiTheme="majorHAnsi" w:cstheme="majorHAnsi"/>
          <w:color w:val="808080" w:themeColor="background1" w:themeShade="80"/>
          <w:sz w:val="16"/>
          <w:szCs w:val="16"/>
        </w:rPr>
        <w:t xml:space="preserve"> (New York: The New Press, 2010), p. 156-57.</w:t>
      </w:r>
    </w:p>
  </w:footnote>
  <w:footnote w:id="84">
    <w:p w14:paraId="701216E4"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Equal Justice Initiative, </w:t>
      </w:r>
      <w:hyperlink r:id="rId125" w:history="1">
        <w:r w:rsidRPr="001167CB">
          <w:rPr>
            <w:rStyle w:val="Hyperlink"/>
            <w:rFonts w:asciiTheme="majorHAnsi" w:hAnsiTheme="majorHAnsi" w:cstheme="majorHAnsi"/>
            <w:color w:val="808080" w:themeColor="background1" w:themeShade="80"/>
            <w:sz w:val="16"/>
            <w:szCs w:val="16"/>
          </w:rPr>
          <w:t>Lynching in America</w:t>
        </w:r>
      </w:hyperlink>
      <w:r w:rsidRPr="001167CB">
        <w:rPr>
          <w:rFonts w:asciiTheme="majorHAnsi" w:hAnsiTheme="majorHAnsi" w:cstheme="majorHAnsi"/>
          <w:color w:val="808080" w:themeColor="background1" w:themeShade="80"/>
          <w:sz w:val="16"/>
          <w:szCs w:val="16"/>
        </w:rPr>
        <w:t xml:space="preserve"> (3d edition), 2017, p. 23 (citing Jennifer Rae Taylor, Constitutionally Unprotected: Prison Slavery, Felon Disenfranchisement, and the Criminal Exception to Citizenship Rights, 47 </w:t>
      </w:r>
      <w:r w:rsidRPr="001167CB">
        <w:rPr>
          <w:rFonts w:asciiTheme="majorHAnsi" w:hAnsiTheme="majorHAnsi" w:cstheme="majorHAnsi"/>
          <w:i/>
          <w:color w:val="808080" w:themeColor="background1" w:themeShade="80"/>
          <w:sz w:val="16"/>
          <w:szCs w:val="16"/>
        </w:rPr>
        <w:t>Gonzaga Law Review</w:t>
      </w:r>
      <w:r w:rsidRPr="001167CB">
        <w:rPr>
          <w:rFonts w:asciiTheme="majorHAnsi" w:hAnsiTheme="majorHAnsi" w:cstheme="majorHAnsi"/>
          <w:color w:val="808080" w:themeColor="background1" w:themeShade="80"/>
          <w:sz w:val="16"/>
          <w:szCs w:val="16"/>
        </w:rPr>
        <w:t xml:space="preserve"> 365, 374 (2012)); </w:t>
      </w:r>
      <w:r w:rsidRPr="001167CB">
        <w:rPr>
          <w:rFonts w:asciiTheme="majorHAnsi" w:hAnsiTheme="majorHAnsi" w:cstheme="majorHAnsi"/>
          <w:i/>
          <w:color w:val="808080" w:themeColor="background1" w:themeShade="80"/>
          <w:sz w:val="16"/>
          <w:szCs w:val="16"/>
        </w:rPr>
        <w:t>see also</w:t>
      </w:r>
      <w:r w:rsidRPr="001167CB">
        <w:rPr>
          <w:rFonts w:asciiTheme="majorHAnsi" w:hAnsiTheme="majorHAnsi" w:cstheme="majorHAnsi"/>
          <w:color w:val="808080" w:themeColor="background1" w:themeShade="80"/>
          <w:sz w:val="16"/>
          <w:szCs w:val="16"/>
        </w:rPr>
        <w:t xml:space="preserve"> David </w:t>
      </w:r>
      <w:proofErr w:type="spellStart"/>
      <w:r w:rsidRPr="001167CB">
        <w:rPr>
          <w:rFonts w:asciiTheme="majorHAnsi" w:hAnsiTheme="majorHAnsi" w:cstheme="majorHAnsi"/>
          <w:color w:val="808080" w:themeColor="background1" w:themeShade="80"/>
          <w:sz w:val="16"/>
          <w:szCs w:val="16"/>
        </w:rPr>
        <w:t>Oshinsky</w:t>
      </w:r>
      <w:proofErr w:type="spellEnd"/>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bCs/>
          <w:i/>
          <w:color w:val="808080" w:themeColor="background1" w:themeShade="80"/>
          <w:sz w:val="16"/>
          <w:szCs w:val="16"/>
        </w:rPr>
        <w:t xml:space="preserve">Worse than Slavery: </w:t>
      </w:r>
      <w:proofErr w:type="spellStart"/>
      <w:r w:rsidRPr="001167CB">
        <w:rPr>
          <w:rFonts w:asciiTheme="majorHAnsi" w:hAnsiTheme="majorHAnsi" w:cstheme="majorHAnsi"/>
          <w:bCs/>
          <w:i/>
          <w:color w:val="808080" w:themeColor="background1" w:themeShade="80"/>
          <w:sz w:val="16"/>
          <w:szCs w:val="16"/>
        </w:rPr>
        <w:t>Parchman</w:t>
      </w:r>
      <w:proofErr w:type="spellEnd"/>
      <w:r w:rsidRPr="001167CB">
        <w:rPr>
          <w:rFonts w:asciiTheme="majorHAnsi" w:hAnsiTheme="majorHAnsi" w:cstheme="majorHAnsi"/>
          <w:bCs/>
          <w:i/>
          <w:color w:val="808080" w:themeColor="background1" w:themeShade="80"/>
          <w:sz w:val="16"/>
          <w:szCs w:val="16"/>
        </w:rPr>
        <w:t xml:space="preserve"> Farm and the Ordeal of Jim Crow Justice</w:t>
      </w:r>
      <w:r w:rsidRPr="001167CB">
        <w:rPr>
          <w:rFonts w:asciiTheme="majorHAnsi" w:hAnsiTheme="majorHAnsi" w:cstheme="majorHAnsi"/>
          <w:bCs/>
          <w:color w:val="808080" w:themeColor="background1" w:themeShade="80"/>
          <w:sz w:val="16"/>
          <w:szCs w:val="16"/>
        </w:rPr>
        <w:t xml:space="preserve"> (New York: Free Press, 1997); Douglas Blackmon, </w:t>
      </w:r>
      <w:r w:rsidRPr="001167CB">
        <w:rPr>
          <w:rFonts w:asciiTheme="majorHAnsi" w:hAnsiTheme="majorHAnsi" w:cstheme="majorHAnsi"/>
          <w:bCs/>
          <w:i/>
          <w:color w:val="808080" w:themeColor="background1" w:themeShade="80"/>
          <w:sz w:val="16"/>
          <w:szCs w:val="16"/>
        </w:rPr>
        <w:t>Slavery by Another Name: The Re-Enslavement of Black Americans from the Civil War to World War II</w:t>
      </w:r>
      <w:r w:rsidRPr="001167CB">
        <w:rPr>
          <w:rFonts w:asciiTheme="majorHAnsi" w:hAnsiTheme="majorHAnsi" w:cstheme="majorHAnsi"/>
          <w:bCs/>
          <w:color w:val="808080" w:themeColor="background1" w:themeShade="80"/>
          <w:sz w:val="16"/>
          <w:szCs w:val="16"/>
        </w:rPr>
        <w:t xml:space="preserve"> (New York: Random House, 2008) (excerpted in Wall Street Journal, </w:t>
      </w:r>
      <w:hyperlink r:id="rId126" w:history="1">
        <w:r w:rsidRPr="001167CB">
          <w:rPr>
            <w:rStyle w:val="Hyperlink"/>
            <w:rFonts w:asciiTheme="majorHAnsi" w:hAnsiTheme="majorHAnsi" w:cstheme="majorHAnsi"/>
            <w:color w:val="808080" w:themeColor="background1" w:themeShade="80"/>
            <w:sz w:val="16"/>
            <w:szCs w:val="16"/>
          </w:rPr>
          <w:t>A Different Kind of Slavery</w:t>
        </w:r>
      </w:hyperlink>
      <w:r w:rsidRPr="001167CB">
        <w:rPr>
          <w:rFonts w:asciiTheme="majorHAnsi" w:hAnsiTheme="majorHAnsi" w:cstheme="majorHAnsi"/>
          <w:bCs/>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 xml:space="preserve">Mar. </w:t>
      </w:r>
      <w:r w:rsidRPr="001167CB">
        <w:rPr>
          <w:rFonts w:asciiTheme="majorHAnsi" w:hAnsiTheme="majorHAnsi" w:cstheme="majorHAnsi"/>
          <w:bCs/>
          <w:color w:val="808080" w:themeColor="background1" w:themeShade="80"/>
          <w:sz w:val="16"/>
          <w:szCs w:val="16"/>
        </w:rPr>
        <w:t xml:space="preserve">29, 2008; </w:t>
      </w:r>
      <w:r w:rsidRPr="001167CB">
        <w:rPr>
          <w:rFonts w:asciiTheme="majorHAnsi" w:hAnsiTheme="majorHAnsi" w:cstheme="majorHAnsi"/>
          <w:bCs/>
          <w:i/>
          <w:color w:val="808080" w:themeColor="background1" w:themeShade="80"/>
          <w:sz w:val="16"/>
          <w:szCs w:val="16"/>
        </w:rPr>
        <w:t>see also</w:t>
      </w:r>
      <w:r w:rsidRPr="001167CB">
        <w:rPr>
          <w:rFonts w:asciiTheme="majorHAnsi" w:hAnsiTheme="majorHAnsi" w:cstheme="majorHAnsi"/>
          <w:bCs/>
          <w:color w:val="808080" w:themeColor="background1" w:themeShade="80"/>
          <w:sz w:val="16"/>
          <w:szCs w:val="16"/>
        </w:rPr>
        <w:t xml:space="preserve"> Wall Street Journal, </w:t>
      </w:r>
      <w:hyperlink r:id="rId127" w:history="1">
        <w:r w:rsidRPr="001167CB">
          <w:rPr>
            <w:rStyle w:val="Hyperlink"/>
            <w:rFonts w:asciiTheme="majorHAnsi" w:hAnsiTheme="majorHAnsi" w:cstheme="majorHAnsi"/>
            <w:color w:val="808080" w:themeColor="background1" w:themeShade="80"/>
            <w:sz w:val="16"/>
            <w:szCs w:val="16"/>
          </w:rPr>
          <w:t>From Alabama's Past, Capitalism Teamed With Racism to Create Cruel Partnership</w:t>
        </w:r>
      </w:hyperlink>
      <w:r w:rsidRPr="001167CB">
        <w:rPr>
          <w:rFonts w:asciiTheme="majorHAnsi" w:hAnsiTheme="majorHAnsi" w:cstheme="majorHAnsi"/>
          <w:bCs/>
          <w:color w:val="808080" w:themeColor="background1" w:themeShade="80"/>
          <w:sz w:val="16"/>
          <w:szCs w:val="16"/>
        </w:rPr>
        <w:t>, July 16, 2001).</w:t>
      </w:r>
    </w:p>
  </w:footnote>
  <w:footnote w:id="85">
    <w:p w14:paraId="01051F98"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bCs/>
          <w:color w:val="808080" w:themeColor="background1" w:themeShade="80"/>
          <w:sz w:val="16"/>
          <w:szCs w:val="16"/>
        </w:rPr>
        <w:t xml:space="preserve">U.N., Working Group on People of African Descent, </w:t>
      </w:r>
      <w:hyperlink r:id="rId128" w:history="1">
        <w:r w:rsidRPr="001167CB">
          <w:rPr>
            <w:rStyle w:val="Hyperlink"/>
            <w:rFonts w:asciiTheme="majorHAnsi" w:hAnsiTheme="majorHAnsi" w:cstheme="majorHAnsi"/>
            <w:bCs/>
            <w:color w:val="808080" w:themeColor="background1" w:themeShade="80"/>
            <w:sz w:val="16"/>
            <w:szCs w:val="16"/>
          </w:rPr>
          <w:t>Report on mission to the U.S.</w:t>
        </w:r>
      </w:hyperlink>
      <w:r w:rsidRPr="001167CB">
        <w:rPr>
          <w:rFonts w:asciiTheme="majorHAnsi" w:hAnsiTheme="majorHAnsi" w:cstheme="majorHAnsi"/>
          <w:bCs/>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 xml:space="preserve">Aug. </w:t>
      </w:r>
      <w:r w:rsidRPr="001167CB">
        <w:rPr>
          <w:rFonts w:asciiTheme="majorHAnsi" w:hAnsiTheme="majorHAnsi" w:cstheme="majorHAnsi"/>
          <w:bCs/>
          <w:color w:val="808080" w:themeColor="background1" w:themeShade="80"/>
          <w:sz w:val="16"/>
          <w:szCs w:val="16"/>
        </w:rPr>
        <w:t>18, 2016</w:t>
      </w:r>
      <w:r w:rsidRPr="001167CB">
        <w:rPr>
          <w:rFonts w:asciiTheme="majorHAnsi" w:hAnsiTheme="majorHAnsi" w:cstheme="majorHAnsi"/>
          <w:color w:val="808080" w:themeColor="background1" w:themeShade="80"/>
          <w:sz w:val="16"/>
          <w:szCs w:val="16"/>
        </w:rPr>
        <w:t>, para. 7.</w:t>
      </w:r>
    </w:p>
  </w:footnote>
  <w:footnote w:id="86">
    <w:p w14:paraId="3C99B9F3" w14:textId="5520FB89"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From 1885 to 1908, all eleven former Confederate states rewrote their constitutions to include provisions restricting voting rights with poll taxes, literacy tests, and felon </w:t>
      </w:r>
      <w:proofErr w:type="spellStart"/>
      <w:r w:rsidRPr="001167CB">
        <w:rPr>
          <w:rFonts w:asciiTheme="majorHAnsi" w:hAnsiTheme="majorHAnsi" w:cstheme="majorHAnsi"/>
          <w:color w:val="808080" w:themeColor="background1" w:themeShade="80"/>
          <w:sz w:val="16"/>
          <w:szCs w:val="16"/>
        </w:rPr>
        <w:t>disenfrachisement</w:t>
      </w:r>
      <w:proofErr w:type="spellEnd"/>
      <w:r w:rsidRPr="001167CB">
        <w:rPr>
          <w:rFonts w:asciiTheme="majorHAnsi" w:hAnsiTheme="majorHAnsi" w:cstheme="majorHAnsi"/>
          <w:color w:val="808080" w:themeColor="background1" w:themeShade="80"/>
          <w:sz w:val="16"/>
          <w:szCs w:val="16"/>
        </w:rPr>
        <w:t xml:space="preserve">; poll taxes and literacy tests remained legal until the passage of the Voting Rights Act in 1965. Equal Justice Initiative, </w:t>
      </w:r>
      <w:hyperlink r:id="rId129" w:history="1">
        <w:r w:rsidRPr="001167CB">
          <w:rPr>
            <w:rStyle w:val="Hyperlink"/>
            <w:rFonts w:asciiTheme="majorHAnsi" w:hAnsiTheme="majorHAnsi" w:cstheme="majorHAnsi"/>
            <w:color w:val="808080" w:themeColor="background1" w:themeShade="80"/>
            <w:sz w:val="16"/>
            <w:szCs w:val="16"/>
          </w:rPr>
          <w:t>Lynching in America</w:t>
        </w:r>
      </w:hyperlink>
      <w:r w:rsidRPr="001167CB">
        <w:rPr>
          <w:rFonts w:asciiTheme="majorHAnsi" w:hAnsiTheme="majorHAnsi" w:cstheme="majorHAnsi"/>
          <w:color w:val="808080" w:themeColor="background1" w:themeShade="80"/>
          <w:sz w:val="16"/>
          <w:szCs w:val="16"/>
        </w:rPr>
        <w:t xml:space="preserve"> (3d edition), 2017, p. 23. </w:t>
      </w:r>
      <w:r w:rsidRPr="001167CB">
        <w:rPr>
          <w:rFonts w:asciiTheme="majorHAnsi" w:hAnsiTheme="majorHAnsi" w:cstheme="majorHAnsi"/>
          <w:i/>
          <w:color w:val="808080" w:themeColor="background1" w:themeShade="80"/>
          <w:sz w:val="16"/>
          <w:szCs w:val="16"/>
        </w:rPr>
        <w:t xml:space="preserve">See supra </w:t>
      </w:r>
      <w:r w:rsidRPr="001167CB">
        <w:rPr>
          <w:rFonts w:asciiTheme="majorHAnsi" w:hAnsiTheme="majorHAnsi" w:cstheme="majorHAnsi"/>
          <w:color w:val="808080" w:themeColor="background1" w:themeShade="80"/>
          <w:sz w:val="16"/>
          <w:szCs w:val="16"/>
        </w:rPr>
        <w:t xml:space="preserve">para. </w:t>
      </w:r>
      <w:r w:rsidRPr="001167CB">
        <w:rPr>
          <w:rFonts w:asciiTheme="majorHAnsi" w:hAnsiTheme="majorHAnsi" w:cstheme="majorHAnsi"/>
          <w:color w:val="808080" w:themeColor="background1" w:themeShade="80"/>
          <w:sz w:val="16"/>
          <w:szCs w:val="16"/>
        </w:rPr>
        <w:fldChar w:fldCharType="begin"/>
      </w:r>
      <w:r w:rsidRPr="001167CB">
        <w:rPr>
          <w:rFonts w:asciiTheme="majorHAnsi" w:hAnsiTheme="majorHAnsi" w:cstheme="majorHAnsi"/>
          <w:color w:val="808080" w:themeColor="background1" w:themeShade="80"/>
          <w:sz w:val="16"/>
          <w:szCs w:val="16"/>
        </w:rPr>
        <w:instrText xml:space="preserve"> REF _Ref507082453 \r \h  \* MERGEFORMAT </w:instrText>
      </w:r>
      <w:r w:rsidRPr="001167CB">
        <w:rPr>
          <w:rFonts w:asciiTheme="majorHAnsi" w:hAnsiTheme="majorHAnsi" w:cstheme="majorHAnsi"/>
          <w:color w:val="808080" w:themeColor="background1" w:themeShade="80"/>
          <w:sz w:val="16"/>
          <w:szCs w:val="16"/>
        </w:rPr>
      </w:r>
      <w:r w:rsidRPr="001167CB">
        <w:rPr>
          <w:rFonts w:asciiTheme="majorHAnsi" w:hAnsiTheme="majorHAnsi" w:cstheme="majorHAnsi"/>
          <w:color w:val="808080" w:themeColor="background1" w:themeShade="80"/>
          <w:sz w:val="16"/>
          <w:szCs w:val="16"/>
        </w:rPr>
        <w:fldChar w:fldCharType="separate"/>
      </w:r>
      <w:r w:rsidRPr="001167CB">
        <w:rPr>
          <w:rFonts w:asciiTheme="majorHAnsi" w:hAnsiTheme="majorHAnsi" w:cstheme="majorHAnsi"/>
          <w:color w:val="808080" w:themeColor="background1" w:themeShade="80"/>
          <w:sz w:val="16"/>
          <w:szCs w:val="16"/>
        </w:rPr>
        <w:t>58</w:t>
      </w:r>
      <w:r w:rsidRPr="001167CB">
        <w:rPr>
          <w:rFonts w:asciiTheme="majorHAnsi" w:hAnsiTheme="majorHAnsi" w:cstheme="majorHAnsi"/>
          <w:color w:val="808080" w:themeColor="background1" w:themeShade="80"/>
          <w:sz w:val="16"/>
          <w:szCs w:val="16"/>
        </w:rPr>
        <w:fldChar w:fldCharType="end"/>
      </w:r>
      <w:r w:rsidRPr="001167CB">
        <w:rPr>
          <w:rFonts w:asciiTheme="majorHAnsi" w:hAnsiTheme="majorHAnsi" w:cstheme="majorHAnsi"/>
          <w:color w:val="808080" w:themeColor="background1" w:themeShade="80"/>
          <w:sz w:val="16"/>
          <w:szCs w:val="16"/>
        </w:rPr>
        <w:t>.</w:t>
      </w:r>
    </w:p>
  </w:footnote>
  <w:footnote w:id="87">
    <w:p w14:paraId="707F6DCD"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Ex-Confederate soldiers in the south formed the Klan in the months after the end of the Civil War in 1865, and became more organized and violent over the subsequent years. Southern Poverty Law Center, </w:t>
      </w:r>
      <w:hyperlink r:id="rId130" w:history="1">
        <w:r w:rsidRPr="001167CB">
          <w:rPr>
            <w:rStyle w:val="Hyperlink"/>
            <w:rFonts w:asciiTheme="majorHAnsi" w:hAnsiTheme="majorHAnsi" w:cstheme="majorHAnsi"/>
            <w:color w:val="808080" w:themeColor="background1" w:themeShade="80"/>
            <w:sz w:val="16"/>
            <w:szCs w:val="16"/>
          </w:rPr>
          <w:t>Ku Klux Klan: A History of Racism and Violence</w:t>
        </w:r>
      </w:hyperlink>
      <w:r w:rsidRPr="001167CB">
        <w:rPr>
          <w:rFonts w:asciiTheme="majorHAnsi" w:hAnsiTheme="majorHAnsi" w:cstheme="majorHAnsi"/>
          <w:color w:val="808080" w:themeColor="background1" w:themeShade="80"/>
          <w:sz w:val="16"/>
          <w:szCs w:val="16"/>
        </w:rPr>
        <w:t>, 2011.</w:t>
      </w:r>
    </w:p>
  </w:footnote>
  <w:footnote w:id="88">
    <w:p w14:paraId="63A44490"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proofErr w:type="spellStart"/>
      <w:r w:rsidRPr="001167CB">
        <w:rPr>
          <w:rFonts w:asciiTheme="majorHAnsi" w:hAnsiTheme="majorHAnsi" w:cstheme="majorHAnsi"/>
          <w:color w:val="808080" w:themeColor="background1" w:themeShade="80"/>
          <w:sz w:val="16"/>
          <w:szCs w:val="16"/>
        </w:rPr>
        <w:t>Lynchings</w:t>
      </w:r>
      <w:proofErr w:type="spellEnd"/>
      <w:r w:rsidRPr="001167CB">
        <w:rPr>
          <w:rFonts w:asciiTheme="majorHAnsi" w:hAnsiTheme="majorHAnsi" w:cstheme="majorHAnsi"/>
          <w:color w:val="808080" w:themeColor="background1" w:themeShade="80"/>
          <w:sz w:val="16"/>
          <w:szCs w:val="16"/>
        </w:rPr>
        <w:t xml:space="preserve"> were violent, public acts of torture that traumatized Blacks throughout the country and were largely tolerated by state and federal officials. A recent report documented 4,084 racial terror </w:t>
      </w:r>
      <w:proofErr w:type="spellStart"/>
      <w:r w:rsidRPr="001167CB">
        <w:rPr>
          <w:rFonts w:asciiTheme="majorHAnsi" w:hAnsiTheme="majorHAnsi" w:cstheme="majorHAnsi"/>
          <w:color w:val="808080" w:themeColor="background1" w:themeShade="80"/>
          <w:sz w:val="16"/>
          <w:szCs w:val="16"/>
        </w:rPr>
        <w:t>lynchings</w:t>
      </w:r>
      <w:proofErr w:type="spellEnd"/>
      <w:r w:rsidRPr="001167CB">
        <w:rPr>
          <w:rFonts w:asciiTheme="majorHAnsi" w:hAnsiTheme="majorHAnsi" w:cstheme="majorHAnsi"/>
          <w:color w:val="808080" w:themeColor="background1" w:themeShade="80"/>
          <w:sz w:val="16"/>
          <w:szCs w:val="16"/>
        </w:rPr>
        <w:t xml:space="preserve"> in twelve southern states between 1877 and 1950, at least 800 more </w:t>
      </w:r>
      <w:proofErr w:type="spellStart"/>
      <w:r w:rsidRPr="001167CB">
        <w:rPr>
          <w:rFonts w:asciiTheme="majorHAnsi" w:hAnsiTheme="majorHAnsi" w:cstheme="majorHAnsi"/>
          <w:color w:val="808080" w:themeColor="background1" w:themeShade="80"/>
          <w:sz w:val="16"/>
          <w:szCs w:val="16"/>
        </w:rPr>
        <w:t>lynchings</w:t>
      </w:r>
      <w:proofErr w:type="spellEnd"/>
      <w:r w:rsidRPr="001167CB">
        <w:rPr>
          <w:rFonts w:asciiTheme="majorHAnsi" w:hAnsiTheme="majorHAnsi" w:cstheme="majorHAnsi"/>
          <w:color w:val="808080" w:themeColor="background1" w:themeShade="80"/>
          <w:sz w:val="16"/>
          <w:szCs w:val="16"/>
        </w:rPr>
        <w:t xml:space="preserve"> in these states than previously reported. The report also documented more than 300 racial terror </w:t>
      </w:r>
      <w:proofErr w:type="spellStart"/>
      <w:r w:rsidRPr="001167CB">
        <w:rPr>
          <w:rFonts w:asciiTheme="majorHAnsi" w:hAnsiTheme="majorHAnsi" w:cstheme="majorHAnsi"/>
          <w:color w:val="808080" w:themeColor="background1" w:themeShade="80"/>
          <w:sz w:val="16"/>
          <w:szCs w:val="16"/>
        </w:rPr>
        <w:t>lynchings</w:t>
      </w:r>
      <w:proofErr w:type="spellEnd"/>
      <w:r w:rsidRPr="001167CB">
        <w:rPr>
          <w:rFonts w:asciiTheme="majorHAnsi" w:hAnsiTheme="majorHAnsi" w:cstheme="majorHAnsi"/>
          <w:color w:val="808080" w:themeColor="background1" w:themeShade="80"/>
          <w:sz w:val="16"/>
          <w:szCs w:val="16"/>
        </w:rPr>
        <w:t xml:space="preserve"> in other states during this period. Equal Justice Initiative, </w:t>
      </w:r>
      <w:hyperlink r:id="rId131" w:history="1">
        <w:r w:rsidRPr="001167CB">
          <w:rPr>
            <w:rStyle w:val="Hyperlink"/>
            <w:rFonts w:asciiTheme="majorHAnsi" w:hAnsiTheme="majorHAnsi" w:cstheme="majorHAnsi"/>
            <w:color w:val="808080" w:themeColor="background1" w:themeShade="80"/>
            <w:sz w:val="16"/>
            <w:szCs w:val="16"/>
          </w:rPr>
          <w:t>Lynching in America</w:t>
        </w:r>
      </w:hyperlink>
      <w:r w:rsidRPr="001167CB">
        <w:rPr>
          <w:rFonts w:asciiTheme="majorHAnsi" w:hAnsiTheme="majorHAnsi" w:cstheme="majorHAnsi"/>
          <w:color w:val="808080" w:themeColor="background1" w:themeShade="80"/>
          <w:sz w:val="16"/>
          <w:szCs w:val="16"/>
        </w:rPr>
        <w:t xml:space="preserve"> (3d edition), 2017. </w:t>
      </w:r>
      <w:r w:rsidRPr="001167CB">
        <w:rPr>
          <w:rStyle w:val="reference-accessdate"/>
          <w:rFonts w:asciiTheme="majorHAnsi" w:hAnsiTheme="majorHAnsi" w:cstheme="majorHAnsi"/>
          <w:i/>
          <w:iCs/>
          <w:color w:val="808080" w:themeColor="background1" w:themeShade="80"/>
          <w:sz w:val="16"/>
          <w:szCs w:val="16"/>
        </w:rPr>
        <w:t xml:space="preserve">See also </w:t>
      </w:r>
      <w:r w:rsidRPr="001167CB">
        <w:rPr>
          <w:rFonts w:asciiTheme="majorHAnsi" w:hAnsiTheme="majorHAnsi" w:cstheme="majorHAnsi"/>
          <w:bCs/>
          <w:color w:val="808080" w:themeColor="background1" w:themeShade="80"/>
          <w:sz w:val="16"/>
          <w:szCs w:val="16"/>
        </w:rPr>
        <w:t xml:space="preserve">U.N., Working Group on People of African Descent, </w:t>
      </w:r>
      <w:hyperlink r:id="rId132" w:history="1">
        <w:r w:rsidRPr="001167CB">
          <w:rPr>
            <w:rStyle w:val="Hyperlink"/>
            <w:rFonts w:asciiTheme="majorHAnsi" w:hAnsiTheme="majorHAnsi" w:cstheme="majorHAnsi"/>
            <w:bCs/>
            <w:color w:val="808080" w:themeColor="background1" w:themeShade="80"/>
            <w:sz w:val="16"/>
            <w:szCs w:val="16"/>
          </w:rPr>
          <w:t>Report on mission to the U.S.</w:t>
        </w:r>
      </w:hyperlink>
      <w:r w:rsidRPr="001167CB">
        <w:rPr>
          <w:rFonts w:asciiTheme="majorHAnsi" w:hAnsiTheme="majorHAnsi" w:cstheme="majorHAnsi"/>
          <w:bCs/>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 xml:space="preserve">Aug. </w:t>
      </w:r>
      <w:r w:rsidRPr="001167CB">
        <w:rPr>
          <w:rFonts w:asciiTheme="majorHAnsi" w:hAnsiTheme="majorHAnsi" w:cstheme="majorHAnsi"/>
          <w:bCs/>
          <w:color w:val="808080" w:themeColor="background1" w:themeShade="80"/>
          <w:sz w:val="16"/>
          <w:szCs w:val="16"/>
        </w:rPr>
        <w:t>18, 2016</w:t>
      </w:r>
      <w:r w:rsidRPr="001167CB">
        <w:rPr>
          <w:rFonts w:asciiTheme="majorHAnsi" w:hAnsiTheme="majorHAnsi" w:cstheme="majorHAnsi"/>
          <w:color w:val="808080" w:themeColor="background1" w:themeShade="80"/>
          <w:sz w:val="16"/>
          <w:szCs w:val="16"/>
        </w:rPr>
        <w:t xml:space="preserve">, </w:t>
      </w:r>
      <w:proofErr w:type="gramStart"/>
      <w:r w:rsidRPr="001167CB">
        <w:rPr>
          <w:rFonts w:asciiTheme="majorHAnsi" w:hAnsiTheme="majorHAnsi" w:cstheme="majorHAnsi"/>
          <w:color w:val="808080" w:themeColor="background1" w:themeShade="80"/>
          <w:sz w:val="16"/>
          <w:szCs w:val="16"/>
        </w:rPr>
        <w:t>para</w:t>
      </w:r>
      <w:proofErr w:type="gramEnd"/>
      <w:r w:rsidRPr="001167CB">
        <w:rPr>
          <w:rFonts w:asciiTheme="majorHAnsi" w:hAnsiTheme="majorHAnsi" w:cstheme="majorHAnsi"/>
          <w:color w:val="808080" w:themeColor="background1" w:themeShade="80"/>
          <w:sz w:val="16"/>
          <w:szCs w:val="16"/>
        </w:rPr>
        <w:t>. 7.</w:t>
      </w:r>
    </w:p>
    <w:p w14:paraId="2FE72227" w14:textId="77777777" w:rsidR="005C2394" w:rsidRPr="001167CB" w:rsidRDefault="005C2394" w:rsidP="000A1E39">
      <w:pPr>
        <w:pStyle w:val="FootnoteText"/>
        <w:spacing w:after="40"/>
        <w:ind w:left="547"/>
        <w:jc w:val="both"/>
        <w:rPr>
          <w:rFonts w:asciiTheme="majorHAnsi" w:hAnsiTheme="majorHAnsi" w:cstheme="majorHAnsi"/>
          <w:color w:val="808080" w:themeColor="background1" w:themeShade="80"/>
          <w:sz w:val="16"/>
          <w:szCs w:val="16"/>
        </w:rPr>
      </w:pPr>
      <w:r w:rsidRPr="001167CB">
        <w:rPr>
          <w:rFonts w:asciiTheme="majorHAnsi" w:hAnsiTheme="majorHAnsi" w:cstheme="majorHAnsi"/>
          <w:color w:val="808080" w:themeColor="background1" w:themeShade="80"/>
          <w:sz w:val="16"/>
          <w:szCs w:val="16"/>
        </w:rPr>
        <w:t xml:space="preserve">The EJI found that the decline of lynching “relied heavily on the increased use of capital punishment imposed by court order following an often accelerated trial. That the death penalty’s roots are sunk deep in the legacy of lynching is evidenced by the fact that public executions to mollify the mob continued after the practice was legally banned.” EJI, </w:t>
      </w:r>
      <w:hyperlink r:id="rId133" w:history="1">
        <w:r w:rsidRPr="001167CB">
          <w:rPr>
            <w:rStyle w:val="Hyperlink"/>
            <w:rFonts w:asciiTheme="majorHAnsi" w:hAnsiTheme="majorHAnsi" w:cstheme="majorHAnsi"/>
            <w:color w:val="808080" w:themeColor="background1" w:themeShade="80"/>
            <w:sz w:val="16"/>
            <w:szCs w:val="16"/>
          </w:rPr>
          <w:t>Lynching in America</w:t>
        </w:r>
      </w:hyperlink>
      <w:r w:rsidRPr="001167CB">
        <w:rPr>
          <w:rFonts w:asciiTheme="majorHAnsi" w:hAnsiTheme="majorHAnsi" w:cstheme="majorHAnsi"/>
          <w:color w:val="808080" w:themeColor="background1" w:themeShade="80"/>
          <w:sz w:val="16"/>
          <w:szCs w:val="16"/>
        </w:rPr>
        <w:t xml:space="preserve"> (3d edition), 2017.</w:t>
      </w:r>
    </w:p>
  </w:footnote>
  <w:footnote w:id="89">
    <w:p w14:paraId="511603D7"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i/>
          <w:color w:val="808080" w:themeColor="background1" w:themeShade="80"/>
          <w:sz w:val="16"/>
          <w:szCs w:val="16"/>
        </w:rPr>
        <w:t xml:space="preserve">See, e.g., </w:t>
      </w:r>
      <w:r w:rsidRPr="001167CB">
        <w:rPr>
          <w:rFonts w:asciiTheme="majorHAnsi" w:hAnsiTheme="majorHAnsi" w:cstheme="majorHAnsi"/>
          <w:color w:val="808080" w:themeColor="background1" w:themeShade="80"/>
          <w:sz w:val="16"/>
          <w:szCs w:val="16"/>
        </w:rPr>
        <w:t xml:space="preserve">William A. </w:t>
      </w:r>
      <w:proofErr w:type="spellStart"/>
      <w:r w:rsidRPr="001167CB">
        <w:rPr>
          <w:rFonts w:asciiTheme="majorHAnsi" w:hAnsiTheme="majorHAnsi" w:cstheme="majorHAnsi"/>
          <w:color w:val="808080" w:themeColor="background1" w:themeShade="80"/>
          <w:sz w:val="16"/>
          <w:szCs w:val="16"/>
        </w:rPr>
        <w:t>Darity</w:t>
      </w:r>
      <w:proofErr w:type="spellEnd"/>
      <w:r w:rsidRPr="001167CB">
        <w:rPr>
          <w:rFonts w:asciiTheme="majorHAnsi" w:hAnsiTheme="majorHAnsi" w:cstheme="majorHAnsi"/>
          <w:color w:val="808080" w:themeColor="background1" w:themeShade="80"/>
          <w:sz w:val="16"/>
          <w:szCs w:val="16"/>
        </w:rPr>
        <w:t xml:space="preserve">, Jr. &amp; Dania Frank (2005), “The Economics of Reparations,” in Conrad et al., eds., </w:t>
      </w:r>
      <w:r w:rsidRPr="001167CB">
        <w:rPr>
          <w:rFonts w:asciiTheme="majorHAnsi" w:hAnsiTheme="majorHAnsi" w:cstheme="majorHAnsi"/>
          <w:i/>
          <w:color w:val="808080" w:themeColor="background1" w:themeShade="80"/>
          <w:sz w:val="16"/>
          <w:szCs w:val="16"/>
        </w:rPr>
        <w:t>African Americans in the US Economy</w:t>
      </w:r>
      <w:r w:rsidRPr="001167CB">
        <w:rPr>
          <w:rFonts w:asciiTheme="majorHAnsi" w:hAnsiTheme="majorHAnsi" w:cstheme="majorHAnsi"/>
          <w:color w:val="808080" w:themeColor="background1" w:themeShade="80"/>
          <w:sz w:val="16"/>
          <w:szCs w:val="16"/>
        </w:rPr>
        <w:t xml:space="preserve"> (2005), p. 335. The authors argue that the grotesque violence of public </w:t>
      </w:r>
      <w:proofErr w:type="spellStart"/>
      <w:r w:rsidRPr="001167CB">
        <w:rPr>
          <w:rFonts w:asciiTheme="majorHAnsi" w:hAnsiTheme="majorHAnsi" w:cstheme="majorHAnsi"/>
          <w:color w:val="808080" w:themeColor="background1" w:themeShade="80"/>
          <w:sz w:val="16"/>
          <w:szCs w:val="16"/>
        </w:rPr>
        <w:t>lynchings</w:t>
      </w:r>
      <w:proofErr w:type="spellEnd"/>
      <w:r w:rsidRPr="001167CB">
        <w:rPr>
          <w:rFonts w:asciiTheme="majorHAnsi" w:hAnsiTheme="majorHAnsi" w:cstheme="majorHAnsi"/>
          <w:color w:val="808080" w:themeColor="background1" w:themeShade="80"/>
          <w:sz w:val="16"/>
          <w:szCs w:val="16"/>
        </w:rPr>
        <w:t xml:space="preserve"> was closely linked to the theft of Black property, citing hundreds of documented cases of land theft as well as the race riots in Wilmington, NC (1898), Tulsa, Oklahoma (1921), and Rosewood, Florida (1923), which burned prosperous Black communities in those cities to the ground. </w:t>
      </w:r>
    </w:p>
  </w:footnote>
  <w:footnote w:id="90">
    <w:p w14:paraId="549E287E"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i/>
          <w:color w:val="808080" w:themeColor="background1" w:themeShade="80"/>
          <w:sz w:val="16"/>
          <w:szCs w:val="16"/>
        </w:rPr>
        <w:t xml:space="preserve">See </w:t>
      </w:r>
      <w:r w:rsidRPr="001167CB">
        <w:rPr>
          <w:rFonts w:asciiTheme="majorHAnsi" w:hAnsiTheme="majorHAnsi" w:cstheme="majorHAnsi"/>
          <w:color w:val="808080" w:themeColor="background1" w:themeShade="80"/>
          <w:sz w:val="16"/>
          <w:szCs w:val="16"/>
        </w:rPr>
        <w:t xml:space="preserve">The Atlantic Magazine, </w:t>
      </w:r>
      <w:hyperlink r:id="rId134" w:history="1">
        <w:r w:rsidRPr="001167CB">
          <w:rPr>
            <w:rStyle w:val="Hyperlink"/>
            <w:rFonts w:asciiTheme="majorHAnsi" w:hAnsiTheme="majorHAnsi" w:cstheme="majorHAnsi"/>
            <w:color w:val="808080" w:themeColor="background1" w:themeShade="80"/>
            <w:sz w:val="16"/>
            <w:szCs w:val="16"/>
          </w:rPr>
          <w:t>The Case for Reparations</w:t>
        </w:r>
      </w:hyperlink>
      <w:r w:rsidRPr="001167CB">
        <w:rPr>
          <w:rFonts w:asciiTheme="majorHAnsi" w:hAnsiTheme="majorHAnsi" w:cstheme="majorHAnsi"/>
          <w:color w:val="808080" w:themeColor="background1" w:themeShade="80"/>
          <w:sz w:val="16"/>
          <w:szCs w:val="16"/>
        </w:rPr>
        <w:t xml:space="preserve">, June 2014; Richard Rothstein, </w:t>
      </w:r>
      <w:r w:rsidRPr="001167CB">
        <w:rPr>
          <w:rFonts w:asciiTheme="majorHAnsi" w:hAnsiTheme="majorHAnsi" w:cstheme="majorHAnsi"/>
          <w:i/>
          <w:color w:val="808080" w:themeColor="background1" w:themeShade="80"/>
          <w:sz w:val="16"/>
          <w:szCs w:val="16"/>
        </w:rPr>
        <w:t>The Color of Law: A Forgotten History of How Our Government Segregated America</w:t>
      </w:r>
      <w:r w:rsidRPr="001167CB">
        <w:rPr>
          <w:rFonts w:asciiTheme="majorHAnsi" w:hAnsiTheme="majorHAnsi" w:cstheme="majorHAnsi"/>
          <w:color w:val="808080" w:themeColor="background1" w:themeShade="80"/>
          <w:sz w:val="16"/>
          <w:szCs w:val="16"/>
        </w:rPr>
        <w:t xml:space="preserve"> (New York: </w:t>
      </w:r>
      <w:proofErr w:type="spellStart"/>
      <w:r w:rsidRPr="001167CB">
        <w:rPr>
          <w:rFonts w:asciiTheme="majorHAnsi" w:hAnsiTheme="majorHAnsi" w:cstheme="majorHAnsi"/>
          <w:color w:val="808080" w:themeColor="background1" w:themeShade="80"/>
          <w:sz w:val="16"/>
          <w:szCs w:val="16"/>
        </w:rPr>
        <w:t>Liveright</w:t>
      </w:r>
      <w:proofErr w:type="spellEnd"/>
      <w:r w:rsidRPr="001167CB">
        <w:rPr>
          <w:rFonts w:asciiTheme="majorHAnsi" w:hAnsiTheme="majorHAnsi" w:cstheme="majorHAnsi"/>
          <w:color w:val="808080" w:themeColor="background1" w:themeShade="80"/>
          <w:sz w:val="16"/>
          <w:szCs w:val="16"/>
        </w:rPr>
        <w:t>, 2017).</w:t>
      </w:r>
    </w:p>
  </w:footnote>
  <w:footnote w:id="91">
    <w:p w14:paraId="52845E5C"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i/>
          <w:color w:val="808080" w:themeColor="background1" w:themeShade="80"/>
          <w:sz w:val="16"/>
          <w:szCs w:val="16"/>
        </w:rPr>
        <w:t>See</w:t>
      </w:r>
      <w:r w:rsidRPr="001167CB">
        <w:rPr>
          <w:rFonts w:asciiTheme="majorHAnsi" w:hAnsiTheme="majorHAnsi" w:cstheme="majorHAnsi"/>
          <w:color w:val="808080" w:themeColor="background1" w:themeShade="80"/>
          <w:sz w:val="16"/>
          <w:szCs w:val="16"/>
        </w:rPr>
        <w:t xml:space="preserve"> New Yorker, </w:t>
      </w:r>
      <w:hyperlink r:id="rId135" w:history="1">
        <w:r w:rsidRPr="001167CB">
          <w:rPr>
            <w:rStyle w:val="Hyperlink"/>
            <w:rFonts w:asciiTheme="majorHAnsi" w:hAnsiTheme="majorHAnsi" w:cstheme="majorHAnsi"/>
            <w:color w:val="808080" w:themeColor="background1" w:themeShade="80"/>
            <w:sz w:val="16"/>
            <w:szCs w:val="16"/>
          </w:rPr>
          <w:t>The Widening Racial Wealth Divide</w:t>
        </w:r>
      </w:hyperlink>
      <w:r w:rsidRPr="001167CB">
        <w:rPr>
          <w:rFonts w:asciiTheme="majorHAnsi" w:hAnsiTheme="majorHAnsi" w:cstheme="majorHAnsi"/>
          <w:color w:val="808080" w:themeColor="background1" w:themeShade="80"/>
          <w:sz w:val="16"/>
          <w:szCs w:val="16"/>
        </w:rPr>
        <w:t xml:space="preserve">, Oct. 10, 2016; Forbes, </w:t>
      </w:r>
      <w:hyperlink r:id="rId136" w:anchor="6a3532261f45" w:history="1">
        <w:r w:rsidRPr="001167CB">
          <w:rPr>
            <w:rStyle w:val="Hyperlink"/>
            <w:rFonts w:asciiTheme="majorHAnsi" w:hAnsiTheme="majorHAnsi" w:cstheme="majorHAnsi"/>
            <w:color w:val="808080" w:themeColor="background1" w:themeShade="80"/>
            <w:sz w:val="16"/>
            <w:szCs w:val="16"/>
          </w:rPr>
          <w:t>The Racial Wealth Gap: Why A Typical White Household Has 16 Times The Wealth Of A Black One</w:t>
        </w:r>
      </w:hyperlink>
      <w:r w:rsidRPr="001167CB">
        <w:rPr>
          <w:rFonts w:asciiTheme="majorHAnsi" w:hAnsiTheme="majorHAnsi" w:cstheme="majorHAnsi"/>
          <w:color w:val="808080" w:themeColor="background1" w:themeShade="80"/>
          <w:sz w:val="16"/>
          <w:szCs w:val="16"/>
        </w:rPr>
        <w:t xml:space="preserve">, Mar. 26, 2015. Since the 2008 financial crisis, there has been increasing scrutiny of predatory lending practices against Black and other minority communities. Chicago Tribune, </w:t>
      </w:r>
      <w:hyperlink r:id="rId137" w:history="1">
        <w:proofErr w:type="gramStart"/>
        <w:r w:rsidRPr="001167CB">
          <w:rPr>
            <w:rStyle w:val="Hyperlink"/>
            <w:rFonts w:asciiTheme="majorHAnsi" w:hAnsiTheme="majorHAnsi" w:cstheme="majorHAnsi"/>
            <w:color w:val="808080" w:themeColor="background1" w:themeShade="80"/>
            <w:sz w:val="16"/>
            <w:szCs w:val="16"/>
          </w:rPr>
          <w:t>Why</w:t>
        </w:r>
        <w:proofErr w:type="gramEnd"/>
        <w:r w:rsidRPr="001167CB">
          <w:rPr>
            <w:rStyle w:val="Hyperlink"/>
            <w:rFonts w:asciiTheme="majorHAnsi" w:hAnsiTheme="majorHAnsi" w:cstheme="majorHAnsi"/>
            <w:color w:val="808080" w:themeColor="background1" w:themeShade="80"/>
            <w:sz w:val="16"/>
            <w:szCs w:val="16"/>
          </w:rPr>
          <w:t xml:space="preserve"> black homeownership rates lag even as the housing market recovers</w:t>
        </w:r>
      </w:hyperlink>
      <w:r w:rsidRPr="001167CB">
        <w:rPr>
          <w:rFonts w:asciiTheme="majorHAnsi" w:hAnsiTheme="majorHAnsi" w:cstheme="majorHAnsi"/>
          <w:color w:val="808080" w:themeColor="background1" w:themeShade="80"/>
          <w:sz w:val="16"/>
          <w:szCs w:val="16"/>
        </w:rPr>
        <w:t xml:space="preserve">, June 21, 2017; New York Times, </w:t>
      </w:r>
      <w:hyperlink r:id="rId138" w:history="1">
        <w:r w:rsidRPr="001167CB">
          <w:rPr>
            <w:rStyle w:val="Hyperlink"/>
            <w:rFonts w:asciiTheme="majorHAnsi" w:hAnsiTheme="majorHAnsi" w:cstheme="majorHAnsi"/>
            <w:color w:val="808080" w:themeColor="background1" w:themeShade="80"/>
            <w:sz w:val="16"/>
            <w:szCs w:val="16"/>
          </w:rPr>
          <w:t>How Homeownership Became the Engine of American Inequality</w:t>
        </w:r>
      </w:hyperlink>
      <w:r w:rsidRPr="001167CB">
        <w:rPr>
          <w:rFonts w:asciiTheme="majorHAnsi" w:hAnsiTheme="majorHAnsi" w:cstheme="majorHAnsi"/>
          <w:color w:val="808080" w:themeColor="background1" w:themeShade="80"/>
          <w:sz w:val="16"/>
          <w:szCs w:val="16"/>
        </w:rPr>
        <w:t xml:space="preserve">, May 9, 2017. </w:t>
      </w:r>
    </w:p>
  </w:footnote>
  <w:footnote w:id="92">
    <w:p w14:paraId="3B24E18A"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Equal Justice Initiative, </w:t>
      </w:r>
      <w:hyperlink r:id="rId139" w:history="1">
        <w:r w:rsidRPr="001167CB">
          <w:rPr>
            <w:rStyle w:val="Hyperlink"/>
            <w:rFonts w:asciiTheme="majorHAnsi" w:hAnsiTheme="majorHAnsi" w:cstheme="majorHAnsi"/>
            <w:color w:val="808080" w:themeColor="background1" w:themeShade="80"/>
            <w:sz w:val="16"/>
            <w:szCs w:val="16"/>
          </w:rPr>
          <w:t>Lynching in America</w:t>
        </w:r>
      </w:hyperlink>
      <w:r w:rsidRPr="001167CB">
        <w:rPr>
          <w:rFonts w:asciiTheme="majorHAnsi" w:hAnsiTheme="majorHAnsi" w:cstheme="majorHAnsi"/>
          <w:color w:val="808080" w:themeColor="background1" w:themeShade="80"/>
          <w:sz w:val="16"/>
          <w:szCs w:val="16"/>
        </w:rPr>
        <w:t xml:space="preserve"> (3d edition), 2017, p. 58.</w:t>
      </w:r>
    </w:p>
  </w:footnote>
  <w:footnote w:id="93">
    <w:p w14:paraId="10ED371D"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i/>
          <w:color w:val="808080" w:themeColor="background1" w:themeShade="80"/>
          <w:sz w:val="16"/>
          <w:szCs w:val="16"/>
        </w:rPr>
        <w:t>Brown I</w:t>
      </w:r>
      <w:r w:rsidRPr="001167CB">
        <w:rPr>
          <w:rFonts w:asciiTheme="majorHAnsi" w:hAnsiTheme="majorHAnsi" w:cstheme="majorHAnsi"/>
          <w:color w:val="808080" w:themeColor="background1" w:themeShade="80"/>
          <w:sz w:val="16"/>
          <w:szCs w:val="16"/>
        </w:rPr>
        <w:t>,</w:t>
      </w:r>
      <w:r w:rsidRPr="001167CB">
        <w:rPr>
          <w:rFonts w:asciiTheme="majorHAnsi" w:hAnsiTheme="majorHAnsi" w:cstheme="majorHAnsi"/>
          <w: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 xml:space="preserve">347 U.S. 483 (1954); </w:t>
      </w:r>
      <w:r w:rsidRPr="001167CB">
        <w:rPr>
          <w:rFonts w:asciiTheme="majorHAnsi" w:hAnsiTheme="majorHAnsi" w:cstheme="majorHAnsi"/>
          <w:i/>
          <w:color w:val="808080" w:themeColor="background1" w:themeShade="80"/>
          <w:sz w:val="16"/>
          <w:szCs w:val="16"/>
        </w:rPr>
        <w:t>Brown II</w:t>
      </w:r>
      <w:r w:rsidRPr="001167CB">
        <w:rPr>
          <w:rFonts w:asciiTheme="majorHAnsi" w:hAnsiTheme="majorHAnsi" w:cstheme="majorHAnsi"/>
          <w:color w:val="808080" w:themeColor="background1" w:themeShade="80"/>
          <w:sz w:val="16"/>
          <w:szCs w:val="16"/>
        </w:rPr>
        <w:t xml:space="preserve">, 349 U.S. 294 (1955). Prior public university desegregation cases included </w:t>
      </w:r>
      <w:proofErr w:type="spellStart"/>
      <w:r w:rsidRPr="001167CB">
        <w:rPr>
          <w:rFonts w:asciiTheme="majorHAnsi" w:hAnsiTheme="majorHAnsi" w:cstheme="majorHAnsi"/>
          <w:i/>
          <w:color w:val="808080" w:themeColor="background1" w:themeShade="80"/>
          <w:sz w:val="16"/>
          <w:szCs w:val="16"/>
        </w:rPr>
        <w:t>Sweatt</w:t>
      </w:r>
      <w:proofErr w:type="spellEnd"/>
      <w:r w:rsidRPr="001167CB">
        <w:rPr>
          <w:rFonts w:asciiTheme="majorHAnsi" w:hAnsiTheme="majorHAnsi" w:cstheme="majorHAnsi"/>
          <w:i/>
          <w:color w:val="808080" w:themeColor="background1" w:themeShade="80"/>
          <w:sz w:val="16"/>
          <w:szCs w:val="16"/>
        </w:rPr>
        <w:t xml:space="preserve"> v. Painter</w:t>
      </w:r>
      <w:r w:rsidRPr="001167CB">
        <w:rPr>
          <w:rFonts w:asciiTheme="majorHAnsi" w:hAnsiTheme="majorHAnsi" w:cstheme="majorHAnsi"/>
          <w:color w:val="808080" w:themeColor="background1" w:themeShade="80"/>
          <w:sz w:val="16"/>
          <w:szCs w:val="16"/>
        </w:rPr>
        <w:t xml:space="preserve">, 339 U.S. 629 (1950) (regarding desegregation of the University of Texas School of Law), and </w:t>
      </w:r>
      <w:r w:rsidRPr="001167CB">
        <w:rPr>
          <w:rFonts w:asciiTheme="majorHAnsi" w:hAnsiTheme="majorHAnsi" w:cstheme="majorHAnsi"/>
          <w:i/>
          <w:color w:val="808080" w:themeColor="background1" w:themeShade="80"/>
          <w:sz w:val="16"/>
          <w:szCs w:val="16"/>
        </w:rPr>
        <w:t>McLaurin v. Oklahoma State Regents</w:t>
      </w:r>
      <w:r w:rsidRPr="001167CB">
        <w:rPr>
          <w:rFonts w:asciiTheme="majorHAnsi" w:hAnsiTheme="majorHAnsi" w:cstheme="majorHAnsi"/>
          <w:color w:val="808080" w:themeColor="background1" w:themeShade="80"/>
          <w:sz w:val="16"/>
          <w:szCs w:val="16"/>
        </w:rPr>
        <w:t>, 339 U.S. 637 (1950) (regarding desegregation of the University of Oklahoma School of Law).</w:t>
      </w:r>
    </w:p>
  </w:footnote>
  <w:footnote w:id="94">
    <w:p w14:paraId="77680E0D"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Heart of Atlanta Motel v. U.S., 379 U.S. 241 (1964); </w:t>
      </w:r>
      <w:proofErr w:type="spellStart"/>
      <w:r w:rsidRPr="001167CB">
        <w:rPr>
          <w:rFonts w:asciiTheme="majorHAnsi" w:hAnsiTheme="majorHAnsi" w:cstheme="majorHAnsi"/>
          <w:color w:val="808080" w:themeColor="background1" w:themeShade="80"/>
          <w:sz w:val="16"/>
          <w:szCs w:val="16"/>
        </w:rPr>
        <w:t>Katzenbach</w:t>
      </w:r>
      <w:proofErr w:type="spellEnd"/>
      <w:r w:rsidRPr="001167CB">
        <w:rPr>
          <w:rFonts w:asciiTheme="majorHAnsi" w:hAnsiTheme="majorHAnsi" w:cstheme="majorHAnsi"/>
          <w:color w:val="808080" w:themeColor="background1" w:themeShade="80"/>
          <w:sz w:val="16"/>
          <w:szCs w:val="16"/>
        </w:rPr>
        <w:t xml:space="preserve"> v. McClung (“Ollie’s Barbeque”), 379 U.S. 294 (1964).</w:t>
      </w:r>
    </w:p>
  </w:footnote>
  <w:footnote w:id="95">
    <w:p w14:paraId="6DF0039A"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These include not only Civil Rights and Black Power movements but also, among others, the American Indian Movement, the Red Power and Chicano Movements, the United Farm Workers Movement, the rise of the New Left and the anti-Vietnam War movement, and the women’s liberation and gay liberation movements.</w:t>
      </w:r>
    </w:p>
  </w:footnote>
  <w:footnote w:id="96">
    <w:p w14:paraId="2BC726F4"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John </w:t>
      </w:r>
      <w:proofErr w:type="spellStart"/>
      <w:r w:rsidRPr="001167CB">
        <w:rPr>
          <w:rFonts w:asciiTheme="majorHAnsi" w:hAnsiTheme="majorHAnsi" w:cstheme="majorHAnsi"/>
          <w:color w:val="808080" w:themeColor="background1" w:themeShade="80"/>
          <w:sz w:val="16"/>
          <w:szCs w:val="16"/>
        </w:rPr>
        <w:t>Erlichman</w:t>
      </w:r>
      <w:proofErr w:type="spellEnd"/>
      <w:r w:rsidRPr="001167CB">
        <w:rPr>
          <w:rFonts w:asciiTheme="majorHAnsi" w:hAnsiTheme="majorHAnsi" w:cstheme="majorHAnsi"/>
          <w:color w:val="808080" w:themeColor="background1" w:themeShade="80"/>
          <w:sz w:val="16"/>
          <w:szCs w:val="16"/>
        </w:rPr>
        <w:t xml:space="preserve">, a Watergate co-conspirator and former domestic policy adviser to President Richard Nixon (1969-74), was quoted in a 1994 interview recently published by Harper’s saying, "[The Nixon Administration] had two enemies: the antiwar left and black people [...] We knew we couldn’t make it illegal to be either against the war or black, but by getting the public to associate the hippies with marijuana and blacks with heroin, and then criminalizing both heavily, we could disrupt those communities. We could arrest their leaders, raid their homes, break up their meetings, and vilify them night after night on the evening news. Did we know we were lying about the drugs? Of course we did." Harper’s Magazine, </w:t>
      </w:r>
      <w:hyperlink r:id="rId140" w:history="1">
        <w:r w:rsidRPr="001167CB">
          <w:rPr>
            <w:rStyle w:val="Hyperlink"/>
            <w:rFonts w:asciiTheme="majorHAnsi" w:hAnsiTheme="majorHAnsi" w:cstheme="majorHAnsi"/>
            <w:color w:val="808080" w:themeColor="background1" w:themeShade="80"/>
            <w:sz w:val="16"/>
            <w:szCs w:val="16"/>
          </w:rPr>
          <w:t>Legalize It All: How to win the war on drugs</w:t>
        </w:r>
      </w:hyperlink>
      <w:r w:rsidRPr="001167CB">
        <w:rPr>
          <w:rFonts w:asciiTheme="majorHAnsi" w:hAnsiTheme="majorHAnsi" w:cstheme="majorHAnsi"/>
          <w:color w:val="808080" w:themeColor="background1" w:themeShade="80"/>
          <w:sz w:val="16"/>
          <w:szCs w:val="16"/>
        </w:rPr>
        <w:t>, Apr. 2016.</w:t>
      </w:r>
    </w:p>
    <w:p w14:paraId="122E29CC" w14:textId="77777777" w:rsidR="005C2394" w:rsidRPr="001167CB" w:rsidRDefault="005C2394" w:rsidP="00F233D9">
      <w:pPr>
        <w:pStyle w:val="FootnoteText"/>
        <w:spacing w:after="40"/>
        <w:ind w:left="547"/>
        <w:jc w:val="both"/>
        <w:rPr>
          <w:rFonts w:asciiTheme="majorHAnsi" w:hAnsiTheme="majorHAnsi" w:cstheme="majorHAnsi"/>
          <w:color w:val="808080" w:themeColor="background1" w:themeShade="80"/>
          <w:sz w:val="16"/>
          <w:szCs w:val="16"/>
        </w:rPr>
      </w:pPr>
      <w:r w:rsidRPr="001167CB">
        <w:rPr>
          <w:rFonts w:asciiTheme="majorHAnsi" w:hAnsiTheme="majorHAnsi" w:cstheme="majorHAnsi"/>
          <w:color w:val="808080" w:themeColor="background1" w:themeShade="80"/>
          <w:sz w:val="16"/>
          <w:szCs w:val="16"/>
        </w:rPr>
        <w:t>Activists associated with many of the movements listed above were also actively pursued and harassed by the federal government, most prominently the FBI under the Counterintelligence Program (“COINTELPRO”), during the 1960s as well.</w:t>
      </w:r>
    </w:p>
  </w:footnote>
  <w:footnote w:id="97">
    <w:p w14:paraId="100631B5"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IACHR, </w:t>
      </w:r>
      <w:hyperlink r:id="rId141" w:history="1">
        <w:r w:rsidRPr="001167CB">
          <w:rPr>
            <w:rStyle w:val="Hyperlink"/>
            <w:rFonts w:asciiTheme="majorHAnsi" w:hAnsiTheme="majorHAnsi" w:cstheme="majorHAnsi"/>
            <w:color w:val="808080" w:themeColor="background1" w:themeShade="80"/>
            <w:sz w:val="16"/>
            <w:szCs w:val="16"/>
          </w:rPr>
          <w:t>Measures to Reduce Pretrial Detention</w:t>
        </w:r>
      </w:hyperlink>
      <w:r w:rsidRPr="001167CB">
        <w:rPr>
          <w:rFonts w:asciiTheme="majorHAnsi" w:hAnsiTheme="majorHAnsi" w:cstheme="majorHAnsi"/>
          <w:color w:val="808080" w:themeColor="background1" w:themeShade="80"/>
          <w:sz w:val="16"/>
          <w:szCs w:val="16"/>
        </w:rPr>
        <w:t>, OEA/</w:t>
      </w:r>
      <w:proofErr w:type="spellStart"/>
      <w:r w:rsidRPr="001167CB">
        <w:rPr>
          <w:rFonts w:asciiTheme="majorHAnsi" w:hAnsiTheme="majorHAnsi" w:cstheme="majorHAnsi"/>
          <w:color w:val="808080" w:themeColor="background1" w:themeShade="80"/>
          <w:sz w:val="16"/>
          <w:szCs w:val="16"/>
        </w:rPr>
        <w:t>Ser.L</w:t>
      </w:r>
      <w:proofErr w:type="spellEnd"/>
      <w:r w:rsidRPr="001167CB">
        <w:rPr>
          <w:rFonts w:asciiTheme="majorHAnsi" w:hAnsiTheme="majorHAnsi" w:cstheme="majorHAnsi"/>
          <w:color w:val="808080" w:themeColor="background1" w:themeShade="80"/>
          <w:sz w:val="16"/>
          <w:szCs w:val="16"/>
        </w:rPr>
        <w:t xml:space="preserve">/V/II.163, (2017), para. 9; </w:t>
      </w:r>
      <w:r w:rsidRPr="001167CB">
        <w:rPr>
          <w:rFonts w:asciiTheme="majorHAnsi" w:hAnsiTheme="majorHAnsi" w:cstheme="majorHAnsi"/>
          <w:i/>
          <w:color w:val="808080" w:themeColor="background1" w:themeShade="80"/>
          <w:sz w:val="16"/>
          <w:szCs w:val="16"/>
        </w:rPr>
        <w:t>see also</w:t>
      </w:r>
      <w:r w:rsidRPr="001167CB">
        <w:rPr>
          <w:rFonts w:asciiTheme="majorHAnsi" w:hAnsiTheme="majorHAnsi" w:cstheme="majorHAnsi"/>
          <w:color w:val="808080" w:themeColor="background1" w:themeShade="80"/>
          <w:sz w:val="16"/>
          <w:szCs w:val="16"/>
        </w:rPr>
        <w:t xml:space="preserve"> IACHR, 150th Period of Sessions, “Drug Policies and Human Rights in the Americas,” Mar. 25, 2014. Video available at: </w:t>
      </w:r>
      <w:hyperlink r:id="rId142" w:history="1">
        <w:r w:rsidRPr="001167CB">
          <w:rPr>
            <w:rStyle w:val="Hyperlink"/>
            <w:rFonts w:asciiTheme="majorHAnsi" w:hAnsiTheme="majorHAnsi" w:cstheme="majorHAnsi"/>
            <w:color w:val="808080" w:themeColor="background1" w:themeShade="80"/>
            <w:sz w:val="16"/>
            <w:szCs w:val="16"/>
          </w:rPr>
          <w:t>https://www.youtube.com/watch?v=YqsAddPVcMI</w:t>
        </w:r>
      </w:hyperlink>
      <w:r w:rsidRPr="001167CB">
        <w:rPr>
          <w:rFonts w:asciiTheme="majorHAnsi" w:hAnsiTheme="majorHAnsi" w:cstheme="majorHAnsi"/>
          <w:color w:val="808080" w:themeColor="background1" w:themeShade="80"/>
          <w:sz w:val="16"/>
          <w:szCs w:val="16"/>
        </w:rPr>
        <w:t xml:space="preserve">. </w:t>
      </w:r>
    </w:p>
  </w:footnote>
  <w:footnote w:id="98">
    <w:p w14:paraId="58ADA1E0"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Human Rights Committee, </w:t>
      </w:r>
      <w:hyperlink r:id="rId143" w:history="1">
        <w:r w:rsidRPr="001167CB">
          <w:rPr>
            <w:rStyle w:val="Hyperlink"/>
            <w:rFonts w:asciiTheme="majorHAnsi" w:hAnsiTheme="majorHAnsi" w:cstheme="majorHAnsi"/>
            <w:i/>
            <w:color w:val="808080" w:themeColor="background1" w:themeShade="80"/>
            <w:sz w:val="16"/>
            <w:szCs w:val="16"/>
          </w:rPr>
          <w:t>Report of the Special Rapporteur on the rights to freedom of peaceful assembly and of association on his follow-up Mission to the United States of America</w:t>
        </w:r>
      </w:hyperlink>
      <w:r w:rsidRPr="001167CB">
        <w:rPr>
          <w:rFonts w:asciiTheme="majorHAnsi" w:hAnsiTheme="majorHAnsi" w:cstheme="majorHAnsi"/>
          <w:color w:val="808080" w:themeColor="background1" w:themeShade="80"/>
          <w:sz w:val="16"/>
          <w:szCs w:val="16"/>
        </w:rPr>
        <w:t xml:space="preserve">, A/HRC/35/28/Add.2, June 12, 2017, para. 13 (citations omitted); </w:t>
      </w:r>
      <w:r w:rsidRPr="001167CB">
        <w:rPr>
          <w:rFonts w:asciiTheme="majorHAnsi" w:hAnsiTheme="majorHAnsi" w:cstheme="majorHAnsi"/>
          <w:i/>
          <w:color w:val="808080" w:themeColor="background1" w:themeShade="80"/>
          <w:sz w:val="16"/>
          <w:szCs w:val="16"/>
        </w:rPr>
        <w:t>see also</w:t>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bCs/>
          <w:color w:val="808080" w:themeColor="background1" w:themeShade="80"/>
          <w:sz w:val="16"/>
          <w:szCs w:val="16"/>
        </w:rPr>
        <w:t xml:space="preserve">U.N., Working Group on People of African Descent, </w:t>
      </w:r>
      <w:hyperlink r:id="rId144" w:history="1">
        <w:r w:rsidRPr="001167CB">
          <w:rPr>
            <w:rStyle w:val="Hyperlink"/>
            <w:rFonts w:asciiTheme="majorHAnsi" w:hAnsiTheme="majorHAnsi" w:cstheme="majorHAnsi"/>
            <w:bCs/>
            <w:color w:val="808080" w:themeColor="background1" w:themeShade="80"/>
            <w:sz w:val="16"/>
            <w:szCs w:val="16"/>
          </w:rPr>
          <w:t>Report on mission to the U.S.</w:t>
        </w:r>
      </w:hyperlink>
      <w:r w:rsidRPr="001167CB">
        <w:rPr>
          <w:rFonts w:asciiTheme="majorHAnsi" w:hAnsiTheme="majorHAnsi" w:cstheme="majorHAnsi"/>
          <w:bCs/>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 xml:space="preserve">Aug. </w:t>
      </w:r>
      <w:r w:rsidRPr="001167CB">
        <w:rPr>
          <w:rFonts w:asciiTheme="majorHAnsi" w:hAnsiTheme="majorHAnsi" w:cstheme="majorHAnsi"/>
          <w:bCs/>
          <w:color w:val="808080" w:themeColor="background1" w:themeShade="80"/>
          <w:sz w:val="16"/>
          <w:szCs w:val="16"/>
        </w:rPr>
        <w:t>18, 2016</w:t>
      </w:r>
      <w:r w:rsidRPr="001167CB">
        <w:rPr>
          <w:rFonts w:asciiTheme="majorHAnsi" w:hAnsiTheme="majorHAnsi" w:cstheme="majorHAnsi"/>
          <w:color w:val="808080" w:themeColor="background1" w:themeShade="80"/>
          <w:sz w:val="16"/>
          <w:szCs w:val="16"/>
        </w:rPr>
        <w:t>, para. 31.</w:t>
      </w:r>
    </w:p>
  </w:footnote>
  <w:footnote w:id="99">
    <w:p w14:paraId="18280643"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Bureau of Justice Statistics (BJS), </w:t>
      </w:r>
      <w:hyperlink r:id="rId145" w:history="1">
        <w:r w:rsidRPr="001167CB">
          <w:rPr>
            <w:rStyle w:val="Hyperlink"/>
            <w:rFonts w:asciiTheme="majorHAnsi" w:hAnsiTheme="majorHAnsi" w:cstheme="majorHAnsi"/>
            <w:color w:val="808080" w:themeColor="background1" w:themeShade="80"/>
            <w:sz w:val="16"/>
            <w:szCs w:val="16"/>
          </w:rPr>
          <w:t>Bulletin: Prisoners 1925-81</w:t>
        </w:r>
      </w:hyperlink>
      <w:r w:rsidRPr="001167CB">
        <w:rPr>
          <w:rFonts w:asciiTheme="majorHAnsi" w:hAnsiTheme="majorHAnsi" w:cstheme="majorHAnsi"/>
          <w:color w:val="808080" w:themeColor="background1" w:themeShade="80"/>
          <w:sz w:val="16"/>
          <w:szCs w:val="16"/>
        </w:rPr>
        <w:t xml:space="preserve">, Dec. 1982; BJS, </w:t>
      </w:r>
      <w:hyperlink r:id="rId146" w:history="1">
        <w:r w:rsidRPr="001167CB">
          <w:rPr>
            <w:rStyle w:val="Hyperlink"/>
            <w:rFonts w:asciiTheme="majorHAnsi" w:hAnsiTheme="majorHAnsi" w:cstheme="majorHAnsi"/>
            <w:color w:val="808080" w:themeColor="background1" w:themeShade="80"/>
            <w:sz w:val="16"/>
            <w:szCs w:val="16"/>
          </w:rPr>
          <w:t>Prisoners in 2016</w:t>
        </w:r>
      </w:hyperlink>
      <w:r w:rsidRPr="001167CB">
        <w:rPr>
          <w:rFonts w:asciiTheme="majorHAnsi" w:hAnsiTheme="majorHAnsi" w:cstheme="majorHAnsi"/>
          <w:color w:val="808080" w:themeColor="background1" w:themeShade="80"/>
          <w:sz w:val="16"/>
          <w:szCs w:val="16"/>
        </w:rPr>
        <w:t>, Jan. 9, 2018.</w:t>
      </w:r>
    </w:p>
  </w:footnote>
  <w:footnote w:id="100">
    <w:p w14:paraId="528503CB" w14:textId="32E72F48"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i/>
          <w:color w:val="808080" w:themeColor="background1" w:themeShade="80"/>
          <w:sz w:val="16"/>
          <w:szCs w:val="16"/>
        </w:rPr>
        <w:t xml:space="preserve">See infra </w:t>
      </w:r>
      <w:r w:rsidRPr="001167CB">
        <w:rPr>
          <w:rFonts w:asciiTheme="majorHAnsi" w:hAnsiTheme="majorHAnsi" w:cstheme="majorHAnsi"/>
          <w:color w:val="808080" w:themeColor="background1" w:themeShade="80"/>
          <w:sz w:val="16"/>
          <w:szCs w:val="16"/>
        </w:rPr>
        <w:t xml:space="preserve">paras. </w:t>
      </w:r>
      <w:r w:rsidRPr="001167CB">
        <w:rPr>
          <w:rFonts w:asciiTheme="majorHAnsi" w:hAnsiTheme="majorHAnsi" w:cstheme="majorHAnsi"/>
          <w:color w:val="808080" w:themeColor="background1" w:themeShade="80"/>
          <w:sz w:val="16"/>
          <w:szCs w:val="16"/>
        </w:rPr>
        <w:fldChar w:fldCharType="begin"/>
      </w:r>
      <w:r w:rsidRPr="001167CB">
        <w:rPr>
          <w:rFonts w:asciiTheme="majorHAnsi" w:hAnsiTheme="majorHAnsi" w:cstheme="majorHAnsi"/>
          <w:color w:val="808080" w:themeColor="background1" w:themeShade="80"/>
          <w:sz w:val="16"/>
          <w:szCs w:val="16"/>
        </w:rPr>
        <w:instrText xml:space="preserve"> REF _Ref507083898 \r \h  \* MERGEFORMAT </w:instrText>
      </w:r>
      <w:r w:rsidRPr="001167CB">
        <w:rPr>
          <w:rFonts w:asciiTheme="majorHAnsi" w:hAnsiTheme="majorHAnsi" w:cstheme="majorHAnsi"/>
          <w:color w:val="808080" w:themeColor="background1" w:themeShade="80"/>
          <w:sz w:val="16"/>
          <w:szCs w:val="16"/>
        </w:rPr>
      </w:r>
      <w:r w:rsidRPr="001167CB">
        <w:rPr>
          <w:rFonts w:asciiTheme="majorHAnsi" w:hAnsiTheme="majorHAnsi" w:cstheme="majorHAnsi"/>
          <w:color w:val="808080" w:themeColor="background1" w:themeShade="80"/>
          <w:sz w:val="16"/>
          <w:szCs w:val="16"/>
        </w:rPr>
        <w:fldChar w:fldCharType="separate"/>
      </w:r>
      <w:r w:rsidRPr="001167CB">
        <w:rPr>
          <w:rFonts w:asciiTheme="majorHAnsi" w:hAnsiTheme="majorHAnsi" w:cstheme="majorHAnsi"/>
          <w:color w:val="808080" w:themeColor="background1" w:themeShade="80"/>
          <w:sz w:val="16"/>
          <w:szCs w:val="16"/>
        </w:rPr>
        <w:t>129</w:t>
      </w:r>
      <w:r w:rsidRPr="001167CB">
        <w:rPr>
          <w:rFonts w:asciiTheme="majorHAnsi" w:hAnsiTheme="majorHAnsi" w:cstheme="majorHAnsi"/>
          <w:color w:val="808080" w:themeColor="background1" w:themeShade="80"/>
          <w:sz w:val="16"/>
          <w:szCs w:val="16"/>
        </w:rPr>
        <w:fldChar w:fldCharType="end"/>
      </w:r>
      <w:r w:rsidRPr="001167CB">
        <w:rPr>
          <w:rFonts w:asciiTheme="majorHAnsi" w:hAnsiTheme="majorHAnsi" w:cstheme="majorHAnsi"/>
          <w:color w:val="808080" w:themeColor="background1" w:themeShade="80"/>
          <w:sz w:val="16"/>
          <w:szCs w:val="16"/>
        </w:rPr>
        <w:t>-134.</w:t>
      </w:r>
    </w:p>
  </w:footnote>
  <w:footnote w:id="101">
    <w:p w14:paraId="53EF5936"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The Atlantic Magazine, </w:t>
      </w:r>
      <w:hyperlink r:id="rId147" w:history="1">
        <w:r w:rsidRPr="001167CB">
          <w:rPr>
            <w:rStyle w:val="Hyperlink"/>
            <w:rFonts w:asciiTheme="majorHAnsi" w:hAnsiTheme="majorHAnsi" w:cstheme="majorHAnsi"/>
            <w:color w:val="808080" w:themeColor="background1" w:themeShade="80"/>
            <w:sz w:val="16"/>
            <w:szCs w:val="16"/>
          </w:rPr>
          <w:t>Broken Windows: The police and neighborhood safety</w:t>
        </w:r>
      </w:hyperlink>
      <w:r w:rsidRPr="001167CB">
        <w:rPr>
          <w:rFonts w:asciiTheme="majorHAnsi" w:hAnsiTheme="majorHAnsi" w:cstheme="majorHAnsi"/>
          <w:color w:val="808080" w:themeColor="background1" w:themeShade="80"/>
          <w:sz w:val="16"/>
          <w:szCs w:val="16"/>
        </w:rPr>
        <w:t>, Mar. 1982 (“[I]f a window in a building is broken and is left unrepaired, all the rest of the windows will soon be broken. […] one unrepaired broken window is a signal that no one cares, and so breaking more windows costs nothing.”).</w:t>
      </w:r>
    </w:p>
  </w:footnote>
  <w:footnote w:id="102">
    <w:p w14:paraId="203E5DFC"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i/>
          <w:color w:val="808080" w:themeColor="background1" w:themeShade="80"/>
          <w:sz w:val="16"/>
          <w:szCs w:val="16"/>
        </w:rPr>
        <w:t>Id</w:t>
      </w:r>
      <w:r w:rsidRPr="001167CB">
        <w:rPr>
          <w:rFonts w:asciiTheme="majorHAnsi" w:hAnsiTheme="majorHAnsi" w:cstheme="majorHAnsi"/>
          <w:color w:val="808080" w:themeColor="background1" w:themeShade="80"/>
          <w:sz w:val="16"/>
          <w:szCs w:val="16"/>
        </w:rPr>
        <w:t xml:space="preserve">. </w:t>
      </w:r>
    </w:p>
  </w:footnote>
  <w:footnote w:id="103">
    <w:p w14:paraId="13A85F92"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“This wish to "decriminalize" disreputable behavior that "harms no one" […] is, we think, a mistake. Arresting a single drunk or a single vagrant who has harmed no identifiable person seems unjust, and in a sense it is. But failing to do anything about a score of drunks or a hundred vagrants may destroy an entire community. […] Of course, agencies other than the police could attend to the problems posed by drunks or the mentally ill, but in most communities especially where the "deinstitutionalization" movement has been strong—they do not.” The Atlantic Magazine, </w:t>
      </w:r>
      <w:hyperlink r:id="rId148" w:history="1">
        <w:r w:rsidRPr="001167CB">
          <w:rPr>
            <w:rStyle w:val="Hyperlink"/>
            <w:rFonts w:asciiTheme="majorHAnsi" w:hAnsiTheme="majorHAnsi" w:cstheme="majorHAnsi"/>
            <w:color w:val="808080" w:themeColor="background1" w:themeShade="80"/>
            <w:sz w:val="16"/>
            <w:szCs w:val="16"/>
          </w:rPr>
          <w:t>Broken Windows: The police and neighborhood safety</w:t>
        </w:r>
      </w:hyperlink>
      <w:r w:rsidRPr="001167CB">
        <w:rPr>
          <w:rFonts w:asciiTheme="majorHAnsi" w:hAnsiTheme="majorHAnsi" w:cstheme="majorHAnsi"/>
          <w:color w:val="808080" w:themeColor="background1" w:themeShade="80"/>
          <w:sz w:val="16"/>
          <w:szCs w:val="16"/>
        </w:rPr>
        <w:t>, Mar. 1982.</w:t>
      </w:r>
    </w:p>
  </w:footnote>
  <w:footnote w:id="104">
    <w:p w14:paraId="3D672168"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Los Angeles Times, </w:t>
      </w:r>
      <w:hyperlink r:id="rId149" w:history="1">
        <w:r w:rsidRPr="001167CB">
          <w:rPr>
            <w:rStyle w:val="Hyperlink"/>
            <w:rFonts w:asciiTheme="majorHAnsi" w:hAnsiTheme="majorHAnsi" w:cstheme="majorHAnsi"/>
            <w:color w:val="808080" w:themeColor="background1" w:themeShade="80"/>
            <w:sz w:val="16"/>
            <w:szCs w:val="16"/>
          </w:rPr>
          <w:t>Bratton's ‘broken windows’</w:t>
        </w:r>
      </w:hyperlink>
      <w:r w:rsidRPr="001167CB">
        <w:rPr>
          <w:rFonts w:asciiTheme="majorHAnsi" w:hAnsiTheme="majorHAnsi" w:cstheme="majorHAnsi"/>
          <w:color w:val="808080" w:themeColor="background1" w:themeShade="80"/>
          <w:sz w:val="16"/>
          <w:szCs w:val="16"/>
        </w:rPr>
        <w:t>, Apr. 20, 2006.</w:t>
      </w:r>
    </w:p>
  </w:footnote>
  <w:footnote w:id="105">
    <w:p w14:paraId="3879638E" w14:textId="72E1AC6C"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i/>
          <w:color w:val="808080" w:themeColor="background1" w:themeShade="80"/>
          <w:sz w:val="16"/>
          <w:szCs w:val="16"/>
        </w:rPr>
        <w:t>See infra</w:t>
      </w:r>
      <w:r w:rsidRPr="001167CB">
        <w:rPr>
          <w:rFonts w:asciiTheme="majorHAnsi" w:hAnsiTheme="majorHAnsi" w:cstheme="majorHAnsi"/>
          <w:color w:val="808080" w:themeColor="background1" w:themeShade="80"/>
          <w:sz w:val="16"/>
          <w:szCs w:val="16"/>
        </w:rPr>
        <w:t xml:space="preserve"> para. </w:t>
      </w:r>
      <w:r w:rsidRPr="001167CB">
        <w:rPr>
          <w:rFonts w:asciiTheme="majorHAnsi" w:hAnsiTheme="majorHAnsi" w:cstheme="majorHAnsi"/>
          <w:color w:val="808080" w:themeColor="background1" w:themeShade="80"/>
          <w:sz w:val="16"/>
          <w:szCs w:val="16"/>
        </w:rPr>
        <w:fldChar w:fldCharType="begin"/>
      </w:r>
      <w:r w:rsidRPr="001167CB">
        <w:rPr>
          <w:rFonts w:asciiTheme="majorHAnsi" w:hAnsiTheme="majorHAnsi" w:cstheme="majorHAnsi"/>
          <w:color w:val="808080" w:themeColor="background1" w:themeShade="80"/>
          <w:sz w:val="16"/>
          <w:szCs w:val="16"/>
        </w:rPr>
        <w:instrText xml:space="preserve"> REF _Ref507084368 \r \h  \* MERGEFORMAT </w:instrText>
      </w:r>
      <w:r w:rsidRPr="001167CB">
        <w:rPr>
          <w:rFonts w:asciiTheme="majorHAnsi" w:hAnsiTheme="majorHAnsi" w:cstheme="majorHAnsi"/>
          <w:color w:val="808080" w:themeColor="background1" w:themeShade="80"/>
          <w:sz w:val="16"/>
          <w:szCs w:val="16"/>
        </w:rPr>
      </w:r>
      <w:r w:rsidRPr="001167CB">
        <w:rPr>
          <w:rFonts w:asciiTheme="majorHAnsi" w:hAnsiTheme="majorHAnsi" w:cstheme="majorHAnsi"/>
          <w:color w:val="808080" w:themeColor="background1" w:themeShade="80"/>
          <w:sz w:val="16"/>
          <w:szCs w:val="16"/>
        </w:rPr>
        <w:fldChar w:fldCharType="separate"/>
      </w:r>
      <w:r w:rsidRPr="001167CB">
        <w:rPr>
          <w:rFonts w:asciiTheme="majorHAnsi" w:hAnsiTheme="majorHAnsi" w:cstheme="majorHAnsi"/>
          <w:color w:val="808080" w:themeColor="background1" w:themeShade="80"/>
          <w:sz w:val="16"/>
          <w:szCs w:val="16"/>
        </w:rPr>
        <w:t>80</w:t>
      </w:r>
      <w:r w:rsidRPr="001167CB">
        <w:rPr>
          <w:rFonts w:asciiTheme="majorHAnsi" w:hAnsiTheme="majorHAnsi" w:cstheme="majorHAnsi"/>
          <w:color w:val="808080" w:themeColor="background1" w:themeShade="80"/>
          <w:sz w:val="16"/>
          <w:szCs w:val="16"/>
        </w:rPr>
        <w:fldChar w:fldCharType="end"/>
      </w:r>
      <w:r w:rsidRPr="001167CB">
        <w:rPr>
          <w:rFonts w:asciiTheme="majorHAnsi" w:hAnsiTheme="majorHAnsi" w:cstheme="majorHAnsi"/>
          <w:color w:val="808080" w:themeColor="background1" w:themeShade="80"/>
          <w:sz w:val="16"/>
          <w:szCs w:val="16"/>
        </w:rPr>
        <w:t>.</w:t>
      </w:r>
    </w:p>
  </w:footnote>
  <w:footnote w:id="106">
    <w:p w14:paraId="23ED1116"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ACLU, </w:t>
      </w:r>
      <w:hyperlink r:id="rId150" w:history="1">
        <w:r w:rsidRPr="001167CB">
          <w:rPr>
            <w:rStyle w:val="Hyperlink"/>
            <w:rFonts w:asciiTheme="majorHAnsi" w:hAnsiTheme="majorHAnsi" w:cstheme="majorHAnsi"/>
            <w:color w:val="808080" w:themeColor="background1" w:themeShade="80"/>
            <w:sz w:val="16"/>
            <w:szCs w:val="16"/>
          </w:rPr>
          <w:t>War Comes Home: The Excessive Militarization of American Policing</w:t>
        </w:r>
      </w:hyperlink>
      <w:r w:rsidRPr="001167CB">
        <w:rPr>
          <w:rFonts w:asciiTheme="majorHAnsi" w:hAnsiTheme="majorHAnsi" w:cstheme="majorHAnsi"/>
          <w:color w:val="808080" w:themeColor="background1" w:themeShade="80"/>
          <w:sz w:val="16"/>
          <w:szCs w:val="16"/>
        </w:rPr>
        <w:t>, June 2014, p. 16.</w:t>
      </w:r>
    </w:p>
  </w:footnote>
  <w:footnote w:id="107">
    <w:p w14:paraId="58B52BF1"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i/>
          <w:color w:val="808080" w:themeColor="background1" w:themeShade="80"/>
          <w:sz w:val="16"/>
          <w:szCs w:val="16"/>
        </w:rPr>
        <w:t>Id</w:t>
      </w:r>
      <w:r w:rsidRPr="001167CB">
        <w:rPr>
          <w:rFonts w:asciiTheme="majorHAnsi" w:hAnsiTheme="majorHAnsi" w:cstheme="majorHAnsi"/>
          <w:color w:val="808080" w:themeColor="background1" w:themeShade="80"/>
          <w:sz w:val="16"/>
          <w:szCs w:val="16"/>
        </w:rPr>
        <w:t>. at p. 17.</w:t>
      </w:r>
    </w:p>
  </w:footnote>
  <w:footnote w:id="108">
    <w:p w14:paraId="3963AA2C"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IACHR, </w:t>
      </w:r>
      <w:hyperlink r:id="rId151" w:history="1">
        <w:r w:rsidRPr="001167CB">
          <w:rPr>
            <w:rStyle w:val="Hyperlink"/>
            <w:rFonts w:asciiTheme="majorHAnsi" w:hAnsiTheme="majorHAnsi" w:cstheme="majorHAnsi"/>
            <w:bCs/>
            <w:color w:val="808080" w:themeColor="background1" w:themeShade="80"/>
            <w:sz w:val="16"/>
            <w:szCs w:val="16"/>
          </w:rPr>
          <w:t>Walter Scott Press Release</w:t>
        </w:r>
      </w:hyperlink>
      <w:r w:rsidRPr="001167CB">
        <w:rPr>
          <w:rFonts w:asciiTheme="majorHAnsi" w:hAnsiTheme="majorHAnsi" w:cstheme="majorHAnsi"/>
          <w:color w:val="808080" w:themeColor="background1" w:themeShade="80"/>
          <w:sz w:val="16"/>
          <w:szCs w:val="16"/>
        </w:rPr>
        <w:t xml:space="preserve">, Apr. 17, 2015; </w:t>
      </w:r>
      <w:r w:rsidRPr="001167CB">
        <w:rPr>
          <w:rFonts w:asciiTheme="majorHAnsi" w:hAnsiTheme="majorHAnsi" w:cstheme="majorHAnsi"/>
          <w:i/>
          <w:color w:val="808080" w:themeColor="background1" w:themeShade="80"/>
          <w:sz w:val="16"/>
          <w:szCs w:val="16"/>
        </w:rPr>
        <w:t>see also</w:t>
      </w:r>
      <w:r w:rsidRPr="001167CB">
        <w:rPr>
          <w:rFonts w:asciiTheme="majorHAnsi" w:hAnsiTheme="majorHAnsi" w:cstheme="majorHAnsi"/>
          <w:color w:val="808080" w:themeColor="background1" w:themeShade="80"/>
          <w:sz w:val="16"/>
          <w:szCs w:val="16"/>
        </w:rPr>
        <w:t xml:space="preserve"> IACHR, </w:t>
      </w:r>
      <w:hyperlink r:id="rId152" w:history="1">
        <w:r w:rsidRPr="001167CB">
          <w:rPr>
            <w:rStyle w:val="Hyperlink"/>
            <w:rFonts w:asciiTheme="majorHAnsi" w:hAnsiTheme="majorHAnsi" w:cstheme="majorHAnsi"/>
            <w:color w:val="808080" w:themeColor="background1" w:themeShade="80"/>
            <w:sz w:val="16"/>
            <w:szCs w:val="16"/>
          </w:rPr>
          <w:t>Hearing on Reports of Excessive Use of Force by the Police against People of African Descent in the United States</w:t>
        </w:r>
      </w:hyperlink>
      <w:r w:rsidRPr="001167CB">
        <w:rPr>
          <w:rFonts w:asciiTheme="majorHAnsi" w:hAnsiTheme="majorHAnsi" w:cstheme="majorHAnsi"/>
          <w:color w:val="808080" w:themeColor="background1" w:themeShade="80"/>
          <w:sz w:val="16"/>
          <w:szCs w:val="16"/>
        </w:rPr>
        <w:t xml:space="preserve">, 156th regular session, Oct. 23, 2015. In its 2016 Press Release, the IACHR expressed its concern over the deaths of Freddie Gray, Michael Brown, </w:t>
      </w:r>
      <w:proofErr w:type="spellStart"/>
      <w:r w:rsidRPr="001167CB">
        <w:rPr>
          <w:rFonts w:asciiTheme="majorHAnsi" w:hAnsiTheme="majorHAnsi" w:cstheme="majorHAnsi"/>
          <w:color w:val="808080" w:themeColor="background1" w:themeShade="80"/>
          <w:sz w:val="16"/>
          <w:szCs w:val="16"/>
        </w:rPr>
        <w:t>Tamir</w:t>
      </w:r>
      <w:proofErr w:type="spellEnd"/>
      <w:r w:rsidRPr="001167CB">
        <w:rPr>
          <w:rFonts w:asciiTheme="majorHAnsi" w:hAnsiTheme="majorHAnsi" w:cstheme="majorHAnsi"/>
          <w:color w:val="808080" w:themeColor="background1" w:themeShade="80"/>
          <w:sz w:val="16"/>
          <w:szCs w:val="16"/>
        </w:rPr>
        <w:t xml:space="preserve"> Rice, Eric Garner, </w:t>
      </w:r>
      <w:proofErr w:type="spellStart"/>
      <w:r w:rsidRPr="001167CB">
        <w:rPr>
          <w:rFonts w:asciiTheme="majorHAnsi" w:hAnsiTheme="majorHAnsi" w:cstheme="majorHAnsi"/>
          <w:color w:val="808080" w:themeColor="background1" w:themeShade="80"/>
          <w:sz w:val="16"/>
          <w:szCs w:val="16"/>
        </w:rPr>
        <w:t>Philando</w:t>
      </w:r>
      <w:proofErr w:type="spellEnd"/>
      <w:r w:rsidRPr="001167CB">
        <w:rPr>
          <w:rFonts w:asciiTheme="majorHAnsi" w:hAnsiTheme="majorHAnsi" w:cstheme="majorHAnsi"/>
          <w:color w:val="808080" w:themeColor="background1" w:themeShade="80"/>
          <w:sz w:val="16"/>
          <w:szCs w:val="16"/>
        </w:rPr>
        <w:t xml:space="preserve"> Castile, and Alton Sterling, as well as continued impunity in these cases (e.g. dismissal of charges prior to trial; failure to fire officers involved). </w:t>
      </w:r>
    </w:p>
  </w:footnote>
  <w:footnote w:id="109">
    <w:p w14:paraId="3F8429DC" w14:textId="77777777" w:rsidR="005C2394" w:rsidRPr="001167CB" w:rsidRDefault="005C2394" w:rsidP="002C64F8">
      <w:pPr>
        <w:pStyle w:val="FootnoteText"/>
        <w:spacing w:after="40"/>
        <w:ind w:left="547" w:hanging="547"/>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NPR, </w:t>
      </w:r>
      <w:hyperlink r:id="rId153" w:history="1">
        <w:r w:rsidRPr="001167CB">
          <w:rPr>
            <w:rStyle w:val="Hyperlink"/>
            <w:rFonts w:asciiTheme="majorHAnsi" w:hAnsiTheme="majorHAnsi" w:cstheme="majorHAnsi"/>
            <w:color w:val="808080" w:themeColor="background1" w:themeShade="80"/>
            <w:sz w:val="16"/>
            <w:szCs w:val="16"/>
          </w:rPr>
          <w:t xml:space="preserve">When LA Erupted In Anger: A Look Back At </w:t>
        </w:r>
        <w:proofErr w:type="gramStart"/>
        <w:r w:rsidRPr="001167CB">
          <w:rPr>
            <w:rStyle w:val="Hyperlink"/>
            <w:rFonts w:asciiTheme="majorHAnsi" w:hAnsiTheme="majorHAnsi" w:cstheme="majorHAnsi"/>
            <w:color w:val="808080" w:themeColor="background1" w:themeShade="80"/>
            <w:sz w:val="16"/>
            <w:szCs w:val="16"/>
          </w:rPr>
          <w:t>The</w:t>
        </w:r>
        <w:proofErr w:type="gramEnd"/>
        <w:r w:rsidRPr="001167CB">
          <w:rPr>
            <w:rStyle w:val="Hyperlink"/>
            <w:rFonts w:asciiTheme="majorHAnsi" w:hAnsiTheme="majorHAnsi" w:cstheme="majorHAnsi"/>
            <w:color w:val="808080" w:themeColor="background1" w:themeShade="80"/>
            <w:sz w:val="16"/>
            <w:szCs w:val="16"/>
          </w:rPr>
          <w:t xml:space="preserve"> Rodney King Riots</w:t>
        </w:r>
      </w:hyperlink>
      <w:r w:rsidRPr="001167CB">
        <w:rPr>
          <w:rFonts w:asciiTheme="majorHAnsi" w:hAnsiTheme="majorHAnsi" w:cstheme="majorHAnsi"/>
          <w:color w:val="808080" w:themeColor="background1" w:themeShade="80"/>
          <w:sz w:val="16"/>
          <w:szCs w:val="16"/>
        </w:rPr>
        <w:t>, Apr. 26, 2017.</w:t>
      </w:r>
    </w:p>
  </w:footnote>
  <w:footnote w:id="110">
    <w:p w14:paraId="4C46A886" w14:textId="77777777" w:rsidR="005C2394" w:rsidRPr="001167CB" w:rsidRDefault="005C2394" w:rsidP="002C64F8">
      <w:pPr>
        <w:pStyle w:val="FootnoteText"/>
        <w:spacing w:after="40"/>
        <w:ind w:left="547" w:hanging="547"/>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New York Times, </w:t>
      </w:r>
      <w:hyperlink r:id="rId154" w:history="1">
        <w:r w:rsidRPr="001167CB">
          <w:rPr>
            <w:rStyle w:val="Hyperlink"/>
            <w:rFonts w:asciiTheme="majorHAnsi" w:hAnsiTheme="majorHAnsi" w:cstheme="majorHAnsi"/>
            <w:color w:val="808080" w:themeColor="background1" w:themeShade="80"/>
            <w:sz w:val="16"/>
            <w:szCs w:val="16"/>
          </w:rPr>
          <w:t>Officers in Bronx Fire 41 Shots, And an Unarmed Man Is Killed</w:t>
        </w:r>
      </w:hyperlink>
      <w:r w:rsidRPr="001167CB">
        <w:rPr>
          <w:rFonts w:asciiTheme="majorHAnsi" w:hAnsiTheme="majorHAnsi" w:cstheme="majorHAnsi"/>
          <w:color w:val="808080" w:themeColor="background1" w:themeShade="80"/>
          <w:sz w:val="16"/>
          <w:szCs w:val="16"/>
        </w:rPr>
        <w:t>, Feb. 5, 1999.</w:t>
      </w:r>
    </w:p>
  </w:footnote>
  <w:footnote w:id="111">
    <w:p w14:paraId="4DBC0115" w14:textId="648AA9EB"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i/>
          <w:color w:val="808080" w:themeColor="background1" w:themeShade="80"/>
          <w:sz w:val="16"/>
          <w:szCs w:val="16"/>
        </w:rPr>
        <w:t xml:space="preserve">See </w:t>
      </w:r>
      <w:r w:rsidRPr="001167CB">
        <w:rPr>
          <w:rFonts w:asciiTheme="majorHAnsi" w:hAnsiTheme="majorHAnsi" w:cstheme="majorHAnsi"/>
          <w:bCs/>
          <w:color w:val="808080" w:themeColor="background1" w:themeShade="80"/>
          <w:sz w:val="16"/>
          <w:szCs w:val="16"/>
        </w:rPr>
        <w:t xml:space="preserve">IACHR, 150th Period of Sessions, </w:t>
      </w:r>
      <w:hyperlink r:id="rId155" w:history="1">
        <w:r w:rsidRPr="001167CB">
          <w:rPr>
            <w:rStyle w:val="Hyperlink"/>
            <w:rFonts w:asciiTheme="majorHAnsi" w:hAnsiTheme="majorHAnsi" w:cstheme="majorHAnsi"/>
            <w:bCs/>
            <w:color w:val="808080" w:themeColor="background1" w:themeShade="80"/>
            <w:sz w:val="16"/>
            <w:szCs w:val="16"/>
          </w:rPr>
          <w:t>“‘Stand Your Ground’ Laws” Hearing</w:t>
        </w:r>
      </w:hyperlink>
      <w:r w:rsidRPr="001167CB">
        <w:rPr>
          <w:rFonts w:asciiTheme="majorHAnsi" w:hAnsiTheme="majorHAnsi" w:cstheme="majorHAnsi"/>
          <w:bCs/>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 xml:space="preserve">Oct. </w:t>
      </w:r>
      <w:r w:rsidRPr="001167CB">
        <w:rPr>
          <w:rFonts w:asciiTheme="majorHAnsi" w:hAnsiTheme="majorHAnsi" w:cstheme="majorHAnsi"/>
          <w:bCs/>
          <w:color w:val="808080" w:themeColor="background1" w:themeShade="80"/>
          <w:sz w:val="16"/>
          <w:szCs w:val="16"/>
        </w:rPr>
        <w:t>27, 2014.</w:t>
      </w:r>
      <w:r w:rsidRPr="001167CB">
        <w:rPr>
          <w:rFonts w:asciiTheme="majorHAnsi" w:hAnsiTheme="majorHAnsi" w:cstheme="majorHAnsi"/>
          <w:color w:val="808080" w:themeColor="background1" w:themeShade="80"/>
          <w:sz w:val="16"/>
          <w:szCs w:val="16"/>
        </w:rPr>
        <w:t xml:space="preserve"> Although Martin was killed by a private individual and his killing raises different legal issues related to Florida’s “Stand Your Ground” law under which George Zimmerman successfully argued he was not guilty of murder (</w:t>
      </w:r>
      <w:r w:rsidRPr="001167CB">
        <w:rPr>
          <w:rFonts w:asciiTheme="majorHAnsi" w:hAnsiTheme="majorHAnsi" w:cstheme="majorHAnsi"/>
          <w:i/>
          <w:color w:val="808080" w:themeColor="background1" w:themeShade="80"/>
          <w:sz w:val="16"/>
          <w:szCs w:val="16"/>
        </w:rPr>
        <w:t xml:space="preserve">see infra </w:t>
      </w:r>
      <w:r w:rsidRPr="001167CB">
        <w:rPr>
          <w:rFonts w:asciiTheme="majorHAnsi" w:hAnsiTheme="majorHAnsi" w:cstheme="majorHAnsi"/>
          <w:color w:val="808080" w:themeColor="background1" w:themeShade="80"/>
          <w:sz w:val="16"/>
          <w:szCs w:val="16"/>
        </w:rPr>
        <w:t xml:space="preserve">paras. </w:t>
      </w:r>
      <w:r w:rsidRPr="001167CB">
        <w:rPr>
          <w:rFonts w:asciiTheme="majorHAnsi" w:hAnsiTheme="majorHAnsi" w:cstheme="majorHAnsi"/>
          <w:color w:val="808080" w:themeColor="background1" w:themeShade="80"/>
          <w:sz w:val="16"/>
          <w:szCs w:val="16"/>
        </w:rPr>
        <w:fldChar w:fldCharType="begin"/>
      </w:r>
      <w:r w:rsidRPr="001167CB">
        <w:rPr>
          <w:rFonts w:asciiTheme="majorHAnsi" w:hAnsiTheme="majorHAnsi" w:cstheme="majorHAnsi"/>
          <w:color w:val="808080" w:themeColor="background1" w:themeShade="80"/>
          <w:sz w:val="16"/>
          <w:szCs w:val="16"/>
        </w:rPr>
        <w:instrText xml:space="preserve"> REF _Ref507167635 \r \h  \* MERGEFORMAT </w:instrText>
      </w:r>
      <w:r w:rsidRPr="001167CB">
        <w:rPr>
          <w:rFonts w:asciiTheme="majorHAnsi" w:hAnsiTheme="majorHAnsi" w:cstheme="majorHAnsi"/>
          <w:color w:val="808080" w:themeColor="background1" w:themeShade="80"/>
          <w:sz w:val="16"/>
          <w:szCs w:val="16"/>
        </w:rPr>
      </w:r>
      <w:r w:rsidRPr="001167CB">
        <w:rPr>
          <w:rFonts w:asciiTheme="majorHAnsi" w:hAnsiTheme="majorHAnsi" w:cstheme="majorHAnsi"/>
          <w:color w:val="808080" w:themeColor="background1" w:themeShade="80"/>
          <w:sz w:val="16"/>
          <w:szCs w:val="16"/>
        </w:rPr>
        <w:fldChar w:fldCharType="separate"/>
      </w:r>
      <w:r w:rsidRPr="001167CB">
        <w:rPr>
          <w:rFonts w:asciiTheme="majorHAnsi" w:hAnsiTheme="majorHAnsi" w:cstheme="majorHAnsi"/>
          <w:color w:val="808080" w:themeColor="background1" w:themeShade="80"/>
          <w:sz w:val="16"/>
          <w:szCs w:val="16"/>
        </w:rPr>
        <w:t>152</w:t>
      </w:r>
      <w:r w:rsidRPr="001167CB">
        <w:rPr>
          <w:rFonts w:asciiTheme="majorHAnsi" w:hAnsiTheme="majorHAnsi" w:cstheme="majorHAnsi"/>
          <w:color w:val="808080" w:themeColor="background1" w:themeShade="80"/>
          <w:sz w:val="16"/>
          <w:szCs w:val="16"/>
        </w:rPr>
        <w:fldChar w:fldCharType="end"/>
      </w:r>
      <w:r w:rsidRPr="001167CB">
        <w:rPr>
          <w:rFonts w:asciiTheme="majorHAnsi" w:hAnsiTheme="majorHAnsi" w:cstheme="majorHAnsi"/>
          <w:color w:val="808080" w:themeColor="background1" w:themeShade="80"/>
          <w:sz w:val="16"/>
          <w:szCs w:val="16"/>
        </w:rPr>
        <w:t>-157), his death was a key moment for raising public consciousness of the problem of excessive use of force against African Americans and the emergence of social movements like Black Lives Matter.</w:t>
      </w:r>
    </w:p>
  </w:footnote>
  <w:footnote w:id="112">
    <w:p w14:paraId="40826BC1"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i/>
          <w:iCs/>
          <w:color w:val="808080" w:themeColor="background1" w:themeShade="80"/>
          <w:sz w:val="16"/>
          <w:szCs w:val="16"/>
        </w:rPr>
        <w:t xml:space="preserve">See </w:t>
      </w:r>
      <w:r w:rsidRPr="001167CB">
        <w:rPr>
          <w:rFonts w:asciiTheme="majorHAnsi" w:hAnsiTheme="majorHAnsi" w:cstheme="majorHAnsi"/>
          <w:color w:val="808080" w:themeColor="background1" w:themeShade="80"/>
          <w:sz w:val="16"/>
          <w:szCs w:val="16"/>
        </w:rPr>
        <w:t xml:space="preserve">Black Lives Matter website: </w:t>
      </w:r>
      <w:hyperlink r:id="rId156" w:history="1">
        <w:r w:rsidRPr="001167CB">
          <w:rPr>
            <w:rStyle w:val="Hyperlink"/>
            <w:rFonts w:asciiTheme="majorHAnsi" w:hAnsiTheme="majorHAnsi" w:cstheme="majorHAnsi"/>
            <w:color w:val="808080" w:themeColor="background1" w:themeShade="80"/>
            <w:sz w:val="16"/>
            <w:szCs w:val="16"/>
          </w:rPr>
          <w:t>http://blacklivesmatter.com/</w:t>
        </w:r>
      </w:hyperlink>
      <w:r w:rsidRPr="001167CB">
        <w:rPr>
          <w:rFonts w:asciiTheme="majorHAnsi" w:hAnsiTheme="majorHAnsi" w:cstheme="majorHAnsi"/>
          <w:color w:val="808080" w:themeColor="background1" w:themeShade="80"/>
          <w:sz w:val="16"/>
          <w:szCs w:val="16"/>
        </w:rPr>
        <w:t>, last visited Jan. 30, 2018. BLM is “a call to action and a response to the virulent anti-Black racism that permeates [...] society” and addresses “extrajudicial killings of Black people by police and vigilantes.”</w:t>
      </w:r>
    </w:p>
  </w:footnote>
  <w:footnote w:id="113">
    <w:p w14:paraId="666C9EE2"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IACHR, </w:t>
      </w:r>
      <w:hyperlink r:id="rId157" w:history="1">
        <w:r w:rsidRPr="001167CB">
          <w:rPr>
            <w:rStyle w:val="Hyperlink"/>
            <w:rFonts w:asciiTheme="majorHAnsi" w:hAnsiTheme="majorHAnsi" w:cstheme="majorHAnsi"/>
            <w:bCs/>
            <w:color w:val="808080" w:themeColor="background1" w:themeShade="80"/>
            <w:sz w:val="16"/>
            <w:szCs w:val="16"/>
          </w:rPr>
          <w:t>Eric Garner and Michael Brown Press Release</w:t>
        </w:r>
      </w:hyperlink>
      <w:r w:rsidRPr="001167CB">
        <w:rPr>
          <w:rFonts w:asciiTheme="majorHAnsi" w:hAnsiTheme="majorHAnsi" w:cstheme="majorHAnsi"/>
          <w:color w:val="808080" w:themeColor="background1" w:themeShade="80"/>
          <w:sz w:val="16"/>
          <w:szCs w:val="16"/>
        </w:rPr>
        <w:t xml:space="preserve">, Aug. 22, 2014; IACHR, </w:t>
      </w:r>
      <w:hyperlink r:id="rId158" w:history="1">
        <w:r w:rsidRPr="001167CB">
          <w:rPr>
            <w:rStyle w:val="Hyperlink"/>
            <w:rFonts w:asciiTheme="majorHAnsi" w:hAnsiTheme="majorHAnsi" w:cstheme="majorHAnsi"/>
            <w:bCs/>
            <w:color w:val="808080" w:themeColor="background1" w:themeShade="80"/>
            <w:sz w:val="16"/>
            <w:szCs w:val="16"/>
          </w:rPr>
          <w:t>Walter Scott Press Release</w:t>
        </w:r>
      </w:hyperlink>
      <w:r w:rsidRPr="001167CB">
        <w:rPr>
          <w:rFonts w:asciiTheme="majorHAnsi" w:hAnsiTheme="majorHAnsi" w:cstheme="majorHAnsi"/>
          <w:color w:val="808080" w:themeColor="background1" w:themeShade="80"/>
          <w:sz w:val="16"/>
          <w:szCs w:val="16"/>
        </w:rPr>
        <w:t>, Apr. 17, 2015.</w:t>
      </w:r>
    </w:p>
  </w:footnote>
  <w:footnote w:id="114">
    <w:p w14:paraId="701820C9" w14:textId="77777777" w:rsidR="005C2394" w:rsidRPr="001167CB" w:rsidRDefault="005C2394" w:rsidP="002C64F8">
      <w:pPr>
        <w:pStyle w:val="FootnoteText"/>
        <w:spacing w:after="40"/>
        <w:ind w:left="547" w:hanging="547"/>
        <w:contextualSpacing/>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IACHR, </w:t>
      </w:r>
      <w:hyperlink r:id="rId159" w:history="1">
        <w:r w:rsidRPr="001167CB">
          <w:rPr>
            <w:rStyle w:val="Hyperlink"/>
            <w:rFonts w:asciiTheme="majorHAnsi" w:hAnsiTheme="majorHAnsi" w:cstheme="majorHAnsi"/>
            <w:color w:val="808080" w:themeColor="background1" w:themeShade="80"/>
            <w:sz w:val="16"/>
            <w:szCs w:val="16"/>
          </w:rPr>
          <w:t>Violence, Children and Organized Crime</w:t>
        </w:r>
      </w:hyperlink>
      <w:r w:rsidRPr="001167CB">
        <w:rPr>
          <w:rFonts w:asciiTheme="majorHAnsi" w:hAnsiTheme="majorHAnsi" w:cstheme="majorHAnsi"/>
          <w:color w:val="808080" w:themeColor="background1" w:themeShade="80"/>
          <w:sz w:val="16"/>
          <w:szCs w:val="16"/>
        </w:rPr>
        <w:t xml:space="preserve">, OAS/ </w:t>
      </w:r>
      <w:proofErr w:type="spellStart"/>
      <w:r w:rsidRPr="001167CB">
        <w:rPr>
          <w:rFonts w:asciiTheme="majorHAnsi" w:hAnsiTheme="majorHAnsi" w:cstheme="majorHAnsi"/>
          <w:color w:val="808080" w:themeColor="background1" w:themeShade="80"/>
          <w:sz w:val="16"/>
          <w:szCs w:val="16"/>
        </w:rPr>
        <w:t>Ser.L</w:t>
      </w:r>
      <w:proofErr w:type="spellEnd"/>
      <w:r w:rsidRPr="001167CB">
        <w:rPr>
          <w:rFonts w:asciiTheme="majorHAnsi" w:hAnsiTheme="majorHAnsi" w:cstheme="majorHAnsi"/>
          <w:color w:val="808080" w:themeColor="background1" w:themeShade="80"/>
          <w:sz w:val="16"/>
          <w:szCs w:val="16"/>
        </w:rPr>
        <w:t>/V/II.Doc.40/15 (2015), para. 191.</w:t>
      </w:r>
    </w:p>
  </w:footnote>
  <w:footnote w:id="115">
    <w:p w14:paraId="68AEB34E" w14:textId="2E1F3E5B"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i/>
          <w:color w:val="808080" w:themeColor="background1" w:themeShade="80"/>
          <w:sz w:val="16"/>
          <w:szCs w:val="16"/>
        </w:rPr>
        <w:t>See also supra</w:t>
      </w:r>
      <w:r w:rsidRPr="001167CB">
        <w:rPr>
          <w:rFonts w:asciiTheme="majorHAnsi" w:hAnsiTheme="majorHAnsi" w:cstheme="majorHAnsi"/>
          <w:color w:val="808080" w:themeColor="background1" w:themeShade="80"/>
          <w:sz w:val="16"/>
          <w:szCs w:val="16"/>
        </w:rPr>
        <w:t xml:space="preserve"> para. </w:t>
      </w:r>
      <w:r w:rsidRPr="001167CB">
        <w:rPr>
          <w:rFonts w:asciiTheme="majorHAnsi" w:hAnsiTheme="majorHAnsi" w:cstheme="majorHAnsi"/>
          <w:color w:val="808080" w:themeColor="background1" w:themeShade="80"/>
          <w:sz w:val="16"/>
          <w:szCs w:val="16"/>
        </w:rPr>
        <w:fldChar w:fldCharType="begin"/>
      </w:r>
      <w:r w:rsidRPr="001167CB">
        <w:rPr>
          <w:rFonts w:asciiTheme="majorHAnsi" w:hAnsiTheme="majorHAnsi" w:cstheme="majorHAnsi"/>
          <w:color w:val="808080" w:themeColor="background1" w:themeShade="80"/>
          <w:sz w:val="16"/>
          <w:szCs w:val="16"/>
        </w:rPr>
        <w:instrText xml:space="preserve"> REF _Ref504647147 \r \h  \* MERGEFORMAT </w:instrText>
      </w:r>
      <w:r w:rsidRPr="001167CB">
        <w:rPr>
          <w:rFonts w:asciiTheme="majorHAnsi" w:hAnsiTheme="majorHAnsi" w:cstheme="majorHAnsi"/>
          <w:color w:val="808080" w:themeColor="background1" w:themeShade="80"/>
          <w:sz w:val="16"/>
          <w:szCs w:val="16"/>
        </w:rPr>
      </w:r>
      <w:r w:rsidRPr="001167CB">
        <w:rPr>
          <w:rFonts w:asciiTheme="majorHAnsi" w:hAnsiTheme="majorHAnsi" w:cstheme="majorHAnsi"/>
          <w:color w:val="808080" w:themeColor="background1" w:themeShade="80"/>
          <w:sz w:val="16"/>
          <w:szCs w:val="16"/>
        </w:rPr>
        <w:fldChar w:fldCharType="separate"/>
      </w:r>
      <w:r w:rsidRPr="001167CB">
        <w:rPr>
          <w:rFonts w:asciiTheme="majorHAnsi" w:hAnsiTheme="majorHAnsi" w:cstheme="majorHAnsi"/>
          <w:color w:val="808080" w:themeColor="background1" w:themeShade="80"/>
          <w:sz w:val="16"/>
          <w:szCs w:val="16"/>
        </w:rPr>
        <w:t>65</w:t>
      </w:r>
      <w:r w:rsidRPr="001167CB">
        <w:rPr>
          <w:rFonts w:asciiTheme="majorHAnsi" w:hAnsiTheme="majorHAnsi" w:cstheme="majorHAnsi"/>
          <w:color w:val="808080" w:themeColor="background1" w:themeShade="80"/>
          <w:sz w:val="16"/>
          <w:szCs w:val="16"/>
        </w:rPr>
        <w:fldChar w:fldCharType="end"/>
      </w:r>
      <w:r w:rsidRPr="001167CB">
        <w:rPr>
          <w:rFonts w:asciiTheme="majorHAnsi" w:hAnsiTheme="majorHAnsi" w:cstheme="majorHAnsi"/>
          <w:color w:val="808080" w:themeColor="background1" w:themeShade="80"/>
          <w:sz w:val="16"/>
          <w:szCs w:val="16"/>
        </w:rPr>
        <w:t>.</w:t>
      </w:r>
    </w:p>
  </w:footnote>
  <w:footnote w:id="116">
    <w:p w14:paraId="1121B3F2"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lang w:val="en-GB"/>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eastAsia="Times New Roman" w:hAnsiTheme="majorHAnsi" w:cstheme="majorHAnsi"/>
          <w:bCs/>
          <w:color w:val="808080" w:themeColor="background1" w:themeShade="80"/>
          <w:sz w:val="16"/>
          <w:szCs w:val="16"/>
          <w:lang w:eastAsia="es-ES"/>
        </w:rPr>
        <w:t xml:space="preserve">IACHR, </w:t>
      </w:r>
      <w:hyperlink r:id="rId160" w:history="1">
        <w:r w:rsidRPr="001167CB">
          <w:rPr>
            <w:rStyle w:val="Hyperlink"/>
            <w:rFonts w:asciiTheme="majorHAnsi" w:eastAsia="Times New Roman" w:hAnsiTheme="majorHAnsi" w:cstheme="majorHAnsi"/>
            <w:bCs/>
            <w:color w:val="808080" w:themeColor="background1" w:themeShade="80"/>
            <w:sz w:val="16"/>
            <w:szCs w:val="16"/>
            <w:lang w:eastAsia="es-ES"/>
          </w:rPr>
          <w:t>People of African Descent in the Americas</w:t>
        </w:r>
      </w:hyperlink>
      <w:r w:rsidRPr="001167CB">
        <w:rPr>
          <w:rFonts w:asciiTheme="majorHAnsi" w:eastAsia="Times New Roman" w:hAnsiTheme="majorHAnsi" w:cstheme="majorHAnsi"/>
          <w:bCs/>
          <w:color w:val="808080" w:themeColor="background1" w:themeShade="80"/>
          <w:sz w:val="16"/>
          <w:szCs w:val="16"/>
          <w:lang w:eastAsia="es-ES"/>
        </w:rPr>
        <w:t xml:space="preserve"> (2011)</w:t>
      </w:r>
      <w:r w:rsidRPr="001167CB">
        <w:rPr>
          <w:rFonts w:asciiTheme="majorHAnsi" w:eastAsia="Times New Roman" w:hAnsiTheme="majorHAnsi" w:cstheme="majorHAnsi"/>
          <w:color w:val="808080" w:themeColor="background1" w:themeShade="80"/>
          <w:sz w:val="16"/>
          <w:szCs w:val="16"/>
          <w:lang w:eastAsia="es-ES"/>
        </w:rPr>
        <w:t xml:space="preserve">, para. 143. </w:t>
      </w:r>
    </w:p>
  </w:footnote>
  <w:footnote w:id="117">
    <w:p w14:paraId="55010103" w14:textId="19844283"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i/>
          <w:color w:val="808080" w:themeColor="background1" w:themeShade="80"/>
          <w:sz w:val="16"/>
          <w:szCs w:val="16"/>
        </w:rPr>
        <w:t>See infra</w:t>
      </w:r>
      <w:r w:rsidRPr="001167CB">
        <w:rPr>
          <w:rFonts w:asciiTheme="majorHAnsi" w:hAnsiTheme="majorHAnsi" w:cstheme="majorHAnsi"/>
          <w:color w:val="808080" w:themeColor="background1" w:themeShade="80"/>
          <w:sz w:val="16"/>
          <w:szCs w:val="16"/>
        </w:rPr>
        <w:t xml:space="preserve"> paras. 191-196.</w:t>
      </w:r>
    </w:p>
  </w:footnote>
  <w:footnote w:id="118">
    <w:p w14:paraId="2290AF7A" w14:textId="77777777" w:rsidR="005C2394" w:rsidRPr="001167CB" w:rsidRDefault="005C2394" w:rsidP="002C64F8">
      <w:pPr>
        <w:pStyle w:val="FootnoteText"/>
        <w:spacing w:after="40"/>
        <w:ind w:left="547" w:hanging="547"/>
        <w:contextualSpacing/>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eastAsia="Times New Roman" w:hAnsiTheme="majorHAnsi" w:cstheme="majorHAnsi"/>
          <w:bCs/>
          <w:color w:val="808080" w:themeColor="background1" w:themeShade="80"/>
          <w:sz w:val="16"/>
          <w:szCs w:val="16"/>
          <w:lang w:eastAsia="es-ES"/>
        </w:rPr>
        <w:t xml:space="preserve">IACHR, </w:t>
      </w:r>
      <w:hyperlink r:id="rId161" w:history="1">
        <w:r w:rsidRPr="001167CB">
          <w:rPr>
            <w:rStyle w:val="Hyperlink"/>
            <w:rFonts w:asciiTheme="majorHAnsi" w:eastAsia="Times New Roman" w:hAnsiTheme="majorHAnsi" w:cstheme="majorHAnsi"/>
            <w:bCs/>
            <w:color w:val="808080" w:themeColor="background1" w:themeShade="80"/>
            <w:sz w:val="16"/>
            <w:szCs w:val="16"/>
            <w:lang w:eastAsia="es-ES"/>
          </w:rPr>
          <w:t>People of African Descent in the Americas</w:t>
        </w:r>
      </w:hyperlink>
      <w:r w:rsidRPr="001167CB">
        <w:rPr>
          <w:rFonts w:asciiTheme="majorHAnsi" w:eastAsia="Times New Roman" w:hAnsiTheme="majorHAnsi" w:cstheme="majorHAnsi"/>
          <w:bCs/>
          <w:color w:val="808080" w:themeColor="background1" w:themeShade="80"/>
          <w:sz w:val="16"/>
          <w:szCs w:val="16"/>
          <w:lang w:eastAsia="es-ES"/>
        </w:rPr>
        <w:t xml:space="preserve"> (2011)</w:t>
      </w:r>
      <w:r w:rsidRPr="001167CB">
        <w:rPr>
          <w:rFonts w:asciiTheme="majorHAnsi" w:eastAsia="Times New Roman" w:hAnsiTheme="majorHAnsi" w:cstheme="majorHAnsi"/>
          <w:color w:val="808080" w:themeColor="background1" w:themeShade="80"/>
          <w:sz w:val="16"/>
          <w:szCs w:val="16"/>
          <w:lang w:eastAsia="es-ES"/>
        </w:rPr>
        <w:t>,</w:t>
      </w:r>
      <w:r w:rsidRPr="001167CB">
        <w:rPr>
          <w:rFonts w:asciiTheme="majorHAnsi" w:hAnsiTheme="majorHAnsi" w:cstheme="majorHAnsi"/>
          <w:color w:val="808080" w:themeColor="background1" w:themeShade="80"/>
          <w:sz w:val="16"/>
          <w:szCs w:val="16"/>
        </w:rPr>
        <w:t xml:space="preserve"> para. 148.</w:t>
      </w:r>
    </w:p>
  </w:footnote>
  <w:footnote w:id="119">
    <w:p w14:paraId="23A89791"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National Advisory Commission on Civil Disorders, </w:t>
      </w:r>
      <w:r w:rsidRPr="001167CB">
        <w:rPr>
          <w:rFonts w:asciiTheme="majorHAnsi" w:hAnsiTheme="majorHAnsi" w:cstheme="majorHAnsi"/>
          <w:i/>
          <w:color w:val="808080" w:themeColor="background1" w:themeShade="80"/>
          <w:sz w:val="16"/>
          <w:szCs w:val="16"/>
        </w:rPr>
        <w:t>Report of the National Advisory Commission on Civil Disorders</w:t>
      </w:r>
      <w:r w:rsidRPr="001167CB">
        <w:rPr>
          <w:rFonts w:asciiTheme="majorHAnsi" w:hAnsiTheme="majorHAnsi" w:cstheme="majorHAnsi"/>
          <w:color w:val="808080" w:themeColor="background1" w:themeShade="80"/>
          <w:sz w:val="16"/>
          <w:szCs w:val="16"/>
        </w:rPr>
        <w:t xml:space="preserve"> (Washington, D.C.: U.S. Government Printing Office, 1968), p. 5; </w:t>
      </w:r>
      <w:r w:rsidRPr="001167CB">
        <w:rPr>
          <w:rFonts w:asciiTheme="majorHAnsi" w:hAnsiTheme="majorHAnsi" w:cstheme="majorHAnsi"/>
          <w:i/>
          <w:color w:val="808080" w:themeColor="background1" w:themeShade="80"/>
          <w:sz w:val="16"/>
          <w:szCs w:val="16"/>
        </w:rPr>
        <w:t xml:space="preserve">see also </w:t>
      </w:r>
      <w:r w:rsidRPr="001167CB">
        <w:rPr>
          <w:rFonts w:asciiTheme="majorHAnsi" w:hAnsiTheme="majorHAnsi" w:cstheme="majorHAnsi"/>
          <w:color w:val="808080" w:themeColor="background1" w:themeShade="80"/>
          <w:sz w:val="16"/>
          <w:szCs w:val="16"/>
        </w:rPr>
        <w:t xml:space="preserve">Steven </w:t>
      </w:r>
      <w:proofErr w:type="spellStart"/>
      <w:r w:rsidRPr="001167CB">
        <w:rPr>
          <w:rFonts w:asciiTheme="majorHAnsi" w:hAnsiTheme="majorHAnsi" w:cstheme="majorHAnsi"/>
          <w:color w:val="808080" w:themeColor="background1" w:themeShade="80"/>
          <w:sz w:val="16"/>
          <w:szCs w:val="16"/>
        </w:rPr>
        <w:t>Gillon</w:t>
      </w:r>
      <w:proofErr w:type="spellEnd"/>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i/>
          <w:color w:val="808080" w:themeColor="background1" w:themeShade="80"/>
          <w:sz w:val="16"/>
          <w:szCs w:val="16"/>
        </w:rPr>
        <w:t xml:space="preserve">Separate and Unequal: The </w:t>
      </w:r>
      <w:proofErr w:type="spellStart"/>
      <w:r w:rsidRPr="001167CB">
        <w:rPr>
          <w:rFonts w:asciiTheme="majorHAnsi" w:hAnsiTheme="majorHAnsi" w:cstheme="majorHAnsi"/>
          <w:i/>
          <w:color w:val="808080" w:themeColor="background1" w:themeShade="80"/>
          <w:sz w:val="16"/>
          <w:szCs w:val="16"/>
        </w:rPr>
        <w:t>Kerner</w:t>
      </w:r>
      <w:proofErr w:type="spellEnd"/>
      <w:r w:rsidRPr="001167CB">
        <w:rPr>
          <w:rFonts w:asciiTheme="majorHAnsi" w:hAnsiTheme="majorHAnsi" w:cstheme="majorHAnsi"/>
          <w:i/>
          <w:color w:val="808080" w:themeColor="background1" w:themeShade="80"/>
          <w:sz w:val="16"/>
          <w:szCs w:val="16"/>
        </w:rPr>
        <w:t xml:space="preserve"> Commission and the Unraveling of American Liberalism</w:t>
      </w:r>
      <w:r w:rsidRPr="001167CB">
        <w:rPr>
          <w:rFonts w:asciiTheme="majorHAnsi" w:hAnsiTheme="majorHAnsi" w:cstheme="majorHAnsi"/>
          <w:color w:val="808080" w:themeColor="background1" w:themeShade="80"/>
          <w:sz w:val="16"/>
          <w:szCs w:val="16"/>
        </w:rPr>
        <w:t xml:space="preserve"> (New York: Basic Books, 2018); Smithsonian, </w:t>
      </w:r>
      <w:hyperlink r:id="rId162" w:anchor="EIdcLdmkVHvlrpYi.99" w:history="1">
        <w:r w:rsidRPr="001167CB">
          <w:rPr>
            <w:rStyle w:val="Hyperlink"/>
            <w:rFonts w:asciiTheme="majorHAnsi" w:hAnsiTheme="majorHAnsi" w:cstheme="majorHAnsi"/>
            <w:color w:val="808080" w:themeColor="background1" w:themeShade="80"/>
            <w:sz w:val="16"/>
            <w:szCs w:val="16"/>
          </w:rPr>
          <w:t xml:space="preserve">Study Shows Little Change Since </w:t>
        </w:r>
        <w:proofErr w:type="spellStart"/>
        <w:r w:rsidRPr="001167CB">
          <w:rPr>
            <w:rStyle w:val="Hyperlink"/>
            <w:rFonts w:asciiTheme="majorHAnsi" w:hAnsiTheme="majorHAnsi" w:cstheme="majorHAnsi"/>
            <w:color w:val="808080" w:themeColor="background1" w:themeShade="80"/>
            <w:sz w:val="16"/>
            <w:szCs w:val="16"/>
          </w:rPr>
          <w:t>Kerner</w:t>
        </w:r>
        <w:proofErr w:type="spellEnd"/>
        <w:r w:rsidRPr="001167CB">
          <w:rPr>
            <w:rStyle w:val="Hyperlink"/>
            <w:rFonts w:asciiTheme="majorHAnsi" w:hAnsiTheme="majorHAnsi" w:cstheme="majorHAnsi"/>
            <w:color w:val="808080" w:themeColor="background1" w:themeShade="80"/>
            <w:sz w:val="16"/>
            <w:szCs w:val="16"/>
          </w:rPr>
          <w:t xml:space="preserve"> Commission Reported on Racism 50 Years Ago</w:t>
        </w:r>
      </w:hyperlink>
      <w:r w:rsidRPr="001167CB">
        <w:rPr>
          <w:rFonts w:asciiTheme="majorHAnsi" w:hAnsiTheme="majorHAnsi" w:cstheme="majorHAnsi"/>
          <w:color w:val="808080" w:themeColor="background1" w:themeShade="80"/>
          <w:sz w:val="16"/>
          <w:szCs w:val="16"/>
        </w:rPr>
        <w:t>, Mar. 2, 2018.</w:t>
      </w:r>
    </w:p>
  </w:footnote>
  <w:footnote w:id="120">
    <w:p w14:paraId="15CB4AA7"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eastAsia="Times New Roman" w:hAnsiTheme="majorHAnsi" w:cstheme="majorHAnsi"/>
          <w:color w:val="808080" w:themeColor="background1" w:themeShade="80"/>
          <w:sz w:val="16"/>
          <w:szCs w:val="16"/>
          <w:lang w:eastAsia="es-ES"/>
        </w:rPr>
        <w:t xml:space="preserve">The Commission received information that following the September 2001 terrorist attacks, a shift in federal policing priorities influenced the culture of local policing toward “homeland security” and greater militarization. This led to </w:t>
      </w:r>
      <w:r w:rsidRPr="001167CB">
        <w:rPr>
          <w:rFonts w:asciiTheme="majorHAnsi" w:hAnsiTheme="majorHAnsi" w:cstheme="majorHAnsi"/>
          <w:color w:val="808080" w:themeColor="background1" w:themeShade="80"/>
          <w:sz w:val="16"/>
          <w:szCs w:val="16"/>
          <w:shd w:val="clear" w:color="auto" w:fill="FFFFFF"/>
        </w:rPr>
        <w:t xml:space="preserve">the adoption of a “warrior mentality” rather than a “guardian mentality” by police toward the communities they serve. </w:t>
      </w:r>
      <w:r w:rsidRPr="001167CB">
        <w:rPr>
          <w:rFonts w:asciiTheme="majorHAnsi" w:hAnsiTheme="majorHAnsi" w:cstheme="majorHAnsi"/>
          <w:color w:val="808080" w:themeColor="background1" w:themeShade="80"/>
          <w:sz w:val="16"/>
          <w:szCs w:val="16"/>
        </w:rPr>
        <w:t xml:space="preserve">Interview with Mayor Regalado, IACHR visit to the United States, Sept. 21, 2015. </w:t>
      </w:r>
      <w:r w:rsidRPr="001167CB">
        <w:rPr>
          <w:rFonts w:asciiTheme="majorHAnsi" w:hAnsiTheme="majorHAnsi" w:cstheme="majorHAnsi"/>
          <w:i/>
          <w:color w:val="808080" w:themeColor="background1" w:themeShade="80"/>
          <w:sz w:val="16"/>
          <w:szCs w:val="16"/>
        </w:rPr>
        <w:t>Accord</w:t>
      </w:r>
      <w:r w:rsidRPr="001167CB">
        <w:rPr>
          <w:rFonts w:asciiTheme="majorHAnsi" w:hAnsiTheme="majorHAnsi" w:cstheme="majorHAnsi"/>
          <w:color w:val="808080" w:themeColor="background1" w:themeShade="80"/>
          <w:sz w:val="16"/>
          <w:szCs w:val="16"/>
        </w:rPr>
        <w:t xml:space="preserve">. ACLU, </w:t>
      </w:r>
      <w:hyperlink r:id="rId163" w:history="1">
        <w:r w:rsidRPr="001167CB">
          <w:rPr>
            <w:rStyle w:val="Hyperlink"/>
            <w:rFonts w:asciiTheme="majorHAnsi" w:hAnsiTheme="majorHAnsi" w:cstheme="majorHAnsi"/>
            <w:color w:val="808080" w:themeColor="background1" w:themeShade="80"/>
            <w:sz w:val="16"/>
            <w:szCs w:val="16"/>
          </w:rPr>
          <w:t>War Comes Home: The Excessive Militarization of American Policing</w:t>
        </w:r>
      </w:hyperlink>
      <w:r w:rsidRPr="001167CB">
        <w:rPr>
          <w:rFonts w:asciiTheme="majorHAnsi" w:hAnsiTheme="majorHAnsi" w:cstheme="majorHAnsi"/>
          <w:color w:val="808080" w:themeColor="background1" w:themeShade="80"/>
          <w:sz w:val="16"/>
          <w:szCs w:val="16"/>
        </w:rPr>
        <w:t xml:space="preserve">, June 2014. </w:t>
      </w:r>
    </w:p>
    <w:p w14:paraId="32FBAC41" w14:textId="77777777" w:rsidR="005C2394" w:rsidRPr="001167CB" w:rsidRDefault="005C2394" w:rsidP="00F233D9">
      <w:pPr>
        <w:pStyle w:val="FootnoteText"/>
        <w:spacing w:after="40"/>
        <w:ind w:left="547"/>
        <w:jc w:val="both"/>
        <w:rPr>
          <w:rFonts w:asciiTheme="majorHAnsi" w:hAnsiTheme="majorHAnsi" w:cstheme="majorHAnsi"/>
          <w:color w:val="808080" w:themeColor="background1" w:themeShade="80"/>
          <w:sz w:val="16"/>
          <w:szCs w:val="16"/>
        </w:rPr>
      </w:pPr>
      <w:r w:rsidRPr="001167CB">
        <w:rPr>
          <w:rFonts w:asciiTheme="majorHAnsi" w:hAnsiTheme="majorHAnsi" w:cstheme="majorHAnsi"/>
          <w:color w:val="808080" w:themeColor="background1" w:themeShade="80"/>
          <w:sz w:val="16"/>
          <w:szCs w:val="16"/>
        </w:rPr>
        <w:t xml:space="preserve">Available information indicates that surveillance and racial profiling have been reinforced since the introduction of the Patriot Act in October 2001, which “affects not only [U.S.] citizens but also has a disparate impact on the detention, treatment and deportation of undocumented migrants, including people of African descent, who enter the [U.S.],” and particularly impacts Muslims and people of Middle Eastern descent. </w:t>
      </w:r>
      <w:r w:rsidRPr="001167CB">
        <w:rPr>
          <w:rFonts w:asciiTheme="majorHAnsi" w:hAnsiTheme="majorHAnsi" w:cstheme="majorHAnsi"/>
          <w:bCs/>
          <w:color w:val="808080" w:themeColor="background1" w:themeShade="80"/>
          <w:sz w:val="16"/>
          <w:szCs w:val="16"/>
        </w:rPr>
        <w:t xml:space="preserve">U.N., Working Group on People of African Descent. </w:t>
      </w:r>
      <w:hyperlink r:id="rId164" w:history="1">
        <w:r w:rsidRPr="001167CB">
          <w:rPr>
            <w:rStyle w:val="Hyperlink"/>
            <w:rFonts w:asciiTheme="majorHAnsi" w:hAnsiTheme="majorHAnsi" w:cstheme="majorHAnsi"/>
            <w:bCs/>
            <w:color w:val="808080" w:themeColor="background1" w:themeShade="80"/>
            <w:sz w:val="16"/>
            <w:szCs w:val="16"/>
          </w:rPr>
          <w:t>Report on mission to the U.S.</w:t>
        </w:r>
      </w:hyperlink>
      <w:r w:rsidRPr="001167CB">
        <w:rPr>
          <w:rFonts w:asciiTheme="majorHAnsi" w:hAnsiTheme="majorHAnsi" w:cstheme="majorHAnsi"/>
          <w:bCs/>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 xml:space="preserve">Aug. </w:t>
      </w:r>
      <w:r w:rsidRPr="001167CB">
        <w:rPr>
          <w:rFonts w:asciiTheme="majorHAnsi" w:hAnsiTheme="majorHAnsi" w:cstheme="majorHAnsi"/>
          <w:bCs/>
          <w:color w:val="808080" w:themeColor="background1" w:themeShade="80"/>
          <w:sz w:val="16"/>
          <w:szCs w:val="16"/>
        </w:rPr>
        <w:t>18, 2016</w:t>
      </w:r>
      <w:r w:rsidRPr="001167CB">
        <w:rPr>
          <w:rFonts w:asciiTheme="majorHAnsi" w:hAnsiTheme="majorHAnsi" w:cstheme="majorHAnsi"/>
          <w:color w:val="808080" w:themeColor="background1" w:themeShade="80"/>
          <w:sz w:val="16"/>
          <w:szCs w:val="16"/>
        </w:rPr>
        <w:t xml:space="preserve">, para. 24; </w:t>
      </w:r>
      <w:r w:rsidRPr="001167CB">
        <w:rPr>
          <w:rFonts w:asciiTheme="majorHAnsi" w:hAnsiTheme="majorHAnsi" w:cstheme="majorHAnsi"/>
          <w:bCs/>
          <w:color w:val="808080" w:themeColor="background1" w:themeShade="80"/>
          <w:sz w:val="16"/>
          <w:szCs w:val="16"/>
        </w:rPr>
        <w:t xml:space="preserve">IACHR, 154th Period of Sessions, </w:t>
      </w:r>
      <w:hyperlink r:id="rId165" w:history="1">
        <w:r w:rsidRPr="001167CB">
          <w:rPr>
            <w:rStyle w:val="Hyperlink"/>
            <w:rFonts w:asciiTheme="majorHAnsi" w:hAnsiTheme="majorHAnsi" w:cstheme="majorHAnsi"/>
            <w:bCs/>
            <w:color w:val="808080" w:themeColor="background1" w:themeShade="80"/>
            <w:sz w:val="16"/>
            <w:szCs w:val="16"/>
          </w:rPr>
          <w:t>“Criminal Justice and Race” Hearing</w:t>
        </w:r>
      </w:hyperlink>
      <w:r w:rsidRPr="001167CB">
        <w:rPr>
          <w:rFonts w:asciiTheme="majorHAnsi" w:hAnsiTheme="majorHAnsi" w:cstheme="majorHAnsi"/>
          <w:bCs/>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 xml:space="preserve">Mar. </w:t>
      </w:r>
      <w:r w:rsidRPr="001167CB">
        <w:rPr>
          <w:rFonts w:asciiTheme="majorHAnsi" w:hAnsiTheme="majorHAnsi" w:cstheme="majorHAnsi"/>
          <w:bCs/>
          <w:color w:val="808080" w:themeColor="background1" w:themeShade="80"/>
          <w:sz w:val="16"/>
          <w:szCs w:val="16"/>
        </w:rPr>
        <w:t>16, 2015</w:t>
      </w:r>
      <w:r w:rsidRPr="001167CB">
        <w:rPr>
          <w:rStyle w:val="Hyperlink"/>
          <w:rFonts w:asciiTheme="majorHAnsi" w:hAnsiTheme="majorHAnsi" w:cstheme="majorHAnsi"/>
          <w:color w:val="808080" w:themeColor="background1" w:themeShade="80"/>
          <w:sz w:val="16"/>
          <w:szCs w:val="16"/>
          <w:u w:val="none"/>
        </w:rPr>
        <w:t xml:space="preserve">; </w:t>
      </w:r>
      <w:r w:rsidRPr="001167CB">
        <w:rPr>
          <w:rFonts w:asciiTheme="majorHAnsi" w:hAnsiTheme="majorHAnsi" w:cstheme="majorHAnsi"/>
          <w:bCs/>
          <w:color w:val="808080" w:themeColor="background1" w:themeShade="80"/>
          <w:sz w:val="16"/>
          <w:szCs w:val="16"/>
        </w:rPr>
        <w:t xml:space="preserve">CERD, </w:t>
      </w:r>
      <w:hyperlink r:id="rId166" w:history="1">
        <w:r w:rsidRPr="001167CB">
          <w:rPr>
            <w:rStyle w:val="Hyperlink"/>
            <w:rFonts w:asciiTheme="majorHAnsi" w:hAnsiTheme="majorHAnsi" w:cstheme="majorHAnsi"/>
            <w:bCs/>
            <w:color w:val="808080" w:themeColor="background1" w:themeShade="80"/>
            <w:sz w:val="16"/>
            <w:szCs w:val="16"/>
          </w:rPr>
          <w:t>Concluding Observations 2014</w:t>
        </w:r>
      </w:hyperlink>
      <w:r w:rsidRPr="001167CB">
        <w:rPr>
          <w:rFonts w:asciiTheme="majorHAnsi" w:hAnsiTheme="majorHAnsi" w:cstheme="majorHAnsi"/>
          <w:bCs/>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 xml:space="preserve">Sept. </w:t>
      </w:r>
      <w:r w:rsidRPr="001167CB">
        <w:rPr>
          <w:rFonts w:asciiTheme="majorHAnsi" w:hAnsiTheme="majorHAnsi" w:cstheme="majorHAnsi"/>
          <w:bCs/>
          <w:color w:val="808080" w:themeColor="background1" w:themeShade="80"/>
          <w:sz w:val="16"/>
          <w:szCs w:val="16"/>
        </w:rPr>
        <w:t>25, 2014</w:t>
      </w:r>
      <w:r w:rsidRPr="001167CB">
        <w:rPr>
          <w:rFonts w:asciiTheme="majorHAnsi" w:hAnsiTheme="majorHAnsi" w:cstheme="majorHAnsi"/>
          <w:color w:val="808080" w:themeColor="background1" w:themeShade="80"/>
          <w:sz w:val="16"/>
          <w:szCs w:val="16"/>
        </w:rPr>
        <w:t>, para. 8.</w:t>
      </w:r>
    </w:p>
  </w:footnote>
  <w:footnote w:id="121">
    <w:p w14:paraId="7C0C0D4E"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bCs/>
          <w:color w:val="808080" w:themeColor="background1" w:themeShade="80"/>
          <w:sz w:val="16"/>
          <w:szCs w:val="16"/>
        </w:rPr>
        <w:t xml:space="preserve">IACHR, 153d Period of Sessions, </w:t>
      </w:r>
      <w:hyperlink r:id="rId167" w:history="1">
        <w:r w:rsidRPr="001167CB">
          <w:rPr>
            <w:rStyle w:val="Hyperlink"/>
            <w:rFonts w:asciiTheme="majorHAnsi" w:hAnsiTheme="majorHAnsi" w:cstheme="majorHAnsi"/>
            <w:bCs/>
            <w:color w:val="808080" w:themeColor="background1" w:themeShade="80"/>
            <w:sz w:val="16"/>
            <w:szCs w:val="16"/>
          </w:rPr>
          <w:t>“Racism in the Justice System”</w:t>
        </w:r>
      </w:hyperlink>
      <w:r w:rsidRPr="001167CB">
        <w:rPr>
          <w:rFonts w:asciiTheme="majorHAnsi" w:hAnsiTheme="majorHAnsi" w:cstheme="majorHAnsi"/>
          <w:bCs/>
          <w:color w:val="808080" w:themeColor="background1" w:themeShade="80"/>
          <w:sz w:val="16"/>
          <w:szCs w:val="16"/>
        </w:rPr>
        <w:t xml:space="preserve"> Hearing, </w:t>
      </w:r>
      <w:r w:rsidRPr="001167CB">
        <w:rPr>
          <w:rFonts w:asciiTheme="majorHAnsi" w:hAnsiTheme="majorHAnsi" w:cstheme="majorHAnsi"/>
          <w:color w:val="808080" w:themeColor="background1" w:themeShade="80"/>
          <w:sz w:val="16"/>
          <w:szCs w:val="16"/>
        </w:rPr>
        <w:t xml:space="preserve">Oct. </w:t>
      </w:r>
      <w:r w:rsidRPr="001167CB">
        <w:rPr>
          <w:rFonts w:asciiTheme="majorHAnsi" w:hAnsiTheme="majorHAnsi" w:cstheme="majorHAnsi"/>
          <w:bCs/>
          <w:color w:val="808080" w:themeColor="background1" w:themeShade="80"/>
          <w:sz w:val="16"/>
          <w:szCs w:val="16"/>
        </w:rPr>
        <w:t>27, 2014</w:t>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lang w:val="en"/>
        </w:rPr>
        <w:t xml:space="preserve">NYCLU, </w:t>
      </w:r>
      <w:hyperlink r:id="rId168" w:history="1">
        <w:r w:rsidRPr="001167CB">
          <w:rPr>
            <w:rStyle w:val="Hyperlink"/>
            <w:rFonts w:asciiTheme="majorHAnsi" w:hAnsiTheme="majorHAnsi" w:cstheme="majorHAnsi"/>
            <w:color w:val="808080" w:themeColor="background1" w:themeShade="80"/>
            <w:sz w:val="16"/>
            <w:szCs w:val="16"/>
            <w:lang w:val="en"/>
          </w:rPr>
          <w:t>Testimony Before City Council Public Safety &amp; Courts and Legal Services Committees On Summons Court Operations and Impact</w:t>
        </w:r>
      </w:hyperlink>
      <w:r w:rsidRPr="001167CB">
        <w:rPr>
          <w:rFonts w:asciiTheme="majorHAnsi" w:hAnsiTheme="majorHAnsi" w:cstheme="majorHAnsi"/>
          <w:color w:val="808080" w:themeColor="background1" w:themeShade="80"/>
          <w:sz w:val="16"/>
          <w:szCs w:val="16"/>
          <w:lang w:val="en"/>
        </w:rPr>
        <w:t xml:space="preserve">, </w:t>
      </w:r>
      <w:r w:rsidRPr="001167CB">
        <w:rPr>
          <w:rFonts w:asciiTheme="majorHAnsi" w:hAnsiTheme="majorHAnsi" w:cstheme="majorHAnsi"/>
          <w:color w:val="808080" w:themeColor="background1" w:themeShade="80"/>
          <w:sz w:val="16"/>
          <w:szCs w:val="16"/>
        </w:rPr>
        <w:t xml:space="preserve">Dec. </w:t>
      </w:r>
      <w:r w:rsidRPr="001167CB">
        <w:rPr>
          <w:rFonts w:asciiTheme="majorHAnsi" w:hAnsiTheme="majorHAnsi" w:cstheme="majorHAnsi"/>
          <w:color w:val="808080" w:themeColor="background1" w:themeShade="80"/>
          <w:sz w:val="16"/>
          <w:szCs w:val="16"/>
          <w:lang w:val="en"/>
        </w:rPr>
        <w:t>15, 2014.</w:t>
      </w:r>
    </w:p>
  </w:footnote>
  <w:footnote w:id="122">
    <w:p w14:paraId="7567656A"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Frontline (PBS), </w:t>
      </w:r>
      <w:hyperlink r:id="rId169" w:history="1">
        <w:proofErr w:type="gramStart"/>
        <w:r w:rsidRPr="001167CB">
          <w:rPr>
            <w:rStyle w:val="Hyperlink"/>
            <w:rFonts w:asciiTheme="majorHAnsi" w:hAnsiTheme="majorHAnsi" w:cstheme="majorHAnsi"/>
            <w:color w:val="808080" w:themeColor="background1" w:themeShade="80"/>
            <w:sz w:val="16"/>
            <w:szCs w:val="16"/>
          </w:rPr>
          <w:t>The</w:t>
        </w:r>
        <w:proofErr w:type="gramEnd"/>
        <w:r w:rsidRPr="001167CB">
          <w:rPr>
            <w:rStyle w:val="Hyperlink"/>
            <w:rFonts w:asciiTheme="majorHAnsi" w:hAnsiTheme="majorHAnsi" w:cstheme="majorHAnsi"/>
            <w:color w:val="808080" w:themeColor="background1" w:themeShade="80"/>
            <w:sz w:val="16"/>
            <w:szCs w:val="16"/>
          </w:rPr>
          <w:t xml:space="preserve"> Problem with “Broken Windows” Policing</w:t>
        </w:r>
      </w:hyperlink>
      <w:r w:rsidRPr="001167CB">
        <w:rPr>
          <w:rFonts w:asciiTheme="majorHAnsi" w:hAnsiTheme="majorHAnsi" w:cstheme="majorHAnsi"/>
          <w:color w:val="808080" w:themeColor="background1" w:themeShade="80"/>
          <w:sz w:val="16"/>
          <w:szCs w:val="16"/>
        </w:rPr>
        <w:t>, June 28, 2016.</w:t>
      </w:r>
    </w:p>
  </w:footnote>
  <w:footnote w:id="123">
    <w:p w14:paraId="1AAA8BEC"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Id.</w:t>
      </w:r>
    </w:p>
  </w:footnote>
  <w:footnote w:id="124">
    <w:p w14:paraId="1BC68C51"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Terry v. Ohio, 392 U.S. 1 (1968); </w:t>
      </w:r>
      <w:r w:rsidRPr="001167CB">
        <w:rPr>
          <w:rFonts w:asciiTheme="majorHAnsi" w:hAnsiTheme="majorHAnsi" w:cstheme="majorHAnsi"/>
          <w:i/>
          <w:color w:val="808080" w:themeColor="background1" w:themeShade="80"/>
          <w:sz w:val="16"/>
          <w:szCs w:val="16"/>
        </w:rPr>
        <w:t>see also</w:t>
      </w:r>
      <w:r w:rsidRPr="001167CB">
        <w:rPr>
          <w:rFonts w:asciiTheme="majorHAnsi" w:hAnsiTheme="majorHAnsi" w:cstheme="majorHAnsi"/>
          <w:color w:val="808080" w:themeColor="background1" w:themeShade="80"/>
          <w:sz w:val="16"/>
          <w:szCs w:val="16"/>
        </w:rPr>
        <w:t xml:space="preserve"> Adams v. Williams, 407 U.S. 143 (1972).</w:t>
      </w:r>
    </w:p>
  </w:footnote>
  <w:footnote w:id="125">
    <w:p w14:paraId="2B01C004"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Illinois v. </w:t>
      </w:r>
      <w:proofErr w:type="spellStart"/>
      <w:r w:rsidRPr="001167CB">
        <w:rPr>
          <w:rFonts w:asciiTheme="majorHAnsi" w:hAnsiTheme="majorHAnsi" w:cstheme="majorHAnsi"/>
          <w:color w:val="808080" w:themeColor="background1" w:themeShade="80"/>
          <w:sz w:val="16"/>
          <w:szCs w:val="16"/>
        </w:rPr>
        <w:t>Wardlow</w:t>
      </w:r>
      <w:proofErr w:type="spellEnd"/>
      <w:r w:rsidRPr="001167CB">
        <w:rPr>
          <w:rFonts w:asciiTheme="majorHAnsi" w:hAnsiTheme="majorHAnsi" w:cstheme="majorHAnsi"/>
          <w:color w:val="808080" w:themeColor="background1" w:themeShade="80"/>
          <w:sz w:val="16"/>
          <w:szCs w:val="16"/>
        </w:rPr>
        <w:t>, 528 U.S. 119, 121-24 (2000).</w:t>
      </w:r>
    </w:p>
  </w:footnote>
  <w:footnote w:id="126">
    <w:p w14:paraId="7D3022F4"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proofErr w:type="spellStart"/>
      <w:r w:rsidRPr="001167CB">
        <w:rPr>
          <w:rFonts w:asciiTheme="majorHAnsi" w:hAnsiTheme="majorHAnsi" w:cstheme="majorHAnsi"/>
          <w:color w:val="808080" w:themeColor="background1" w:themeShade="80"/>
          <w:sz w:val="16"/>
          <w:szCs w:val="16"/>
        </w:rPr>
        <w:t>Whren</w:t>
      </w:r>
      <w:proofErr w:type="spellEnd"/>
      <w:r w:rsidRPr="001167CB">
        <w:rPr>
          <w:rFonts w:asciiTheme="majorHAnsi" w:hAnsiTheme="majorHAnsi" w:cstheme="majorHAnsi"/>
          <w:color w:val="808080" w:themeColor="background1" w:themeShade="80"/>
          <w:sz w:val="16"/>
          <w:szCs w:val="16"/>
        </w:rPr>
        <w:t xml:space="preserve"> v. U.S., 517 U.S. 806 (1996).</w:t>
      </w:r>
    </w:p>
  </w:footnote>
  <w:footnote w:id="127">
    <w:p w14:paraId="3AB9F21D"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The Leadership Conference on Civil and Human Rights, </w:t>
      </w:r>
      <w:hyperlink r:id="rId170" w:history="1">
        <w:r w:rsidRPr="001167CB">
          <w:rPr>
            <w:rStyle w:val="Hyperlink"/>
            <w:rFonts w:asciiTheme="majorHAnsi" w:hAnsiTheme="majorHAnsi" w:cstheme="majorHAnsi"/>
            <w:color w:val="808080" w:themeColor="background1" w:themeShade="80"/>
            <w:sz w:val="16"/>
            <w:szCs w:val="16"/>
          </w:rPr>
          <w:t>Restoring a National Consensus: The Need to End Racial Profiling in America</w:t>
        </w:r>
      </w:hyperlink>
      <w:r w:rsidRPr="001167CB">
        <w:rPr>
          <w:rFonts w:asciiTheme="majorHAnsi" w:hAnsiTheme="majorHAnsi" w:cstheme="majorHAnsi"/>
          <w:color w:val="808080" w:themeColor="background1" w:themeShade="80"/>
          <w:sz w:val="16"/>
          <w:szCs w:val="16"/>
        </w:rPr>
        <w:t>, Mar. 2011, 9-12. This report aggregates studies on racial profiling and incidents from Texas, California, West Virginia, Minnesota, Illinois, New York, Arizona, New Jersey, Mississippi, Tennessee, and New Mexico, among other states.</w:t>
      </w:r>
    </w:p>
  </w:footnote>
  <w:footnote w:id="128">
    <w:p w14:paraId="0A8A0599"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Cited in </w:t>
      </w:r>
      <w:r w:rsidRPr="001167CB">
        <w:rPr>
          <w:rFonts w:asciiTheme="majorHAnsi" w:hAnsiTheme="majorHAnsi" w:cstheme="majorHAnsi"/>
          <w:i/>
          <w:color w:val="808080" w:themeColor="background1" w:themeShade="80"/>
          <w:sz w:val="16"/>
          <w:szCs w:val="16"/>
        </w:rPr>
        <w:t>id</w:t>
      </w:r>
      <w:r w:rsidRPr="001167CB">
        <w:rPr>
          <w:rFonts w:asciiTheme="majorHAnsi" w:hAnsiTheme="majorHAnsi" w:cstheme="majorHAnsi"/>
          <w:color w:val="808080" w:themeColor="background1" w:themeShade="80"/>
          <w:sz w:val="16"/>
          <w:szCs w:val="16"/>
        </w:rPr>
        <w:t xml:space="preserve">. </w:t>
      </w:r>
      <w:proofErr w:type="gramStart"/>
      <w:r w:rsidRPr="001167CB">
        <w:rPr>
          <w:rFonts w:asciiTheme="majorHAnsi" w:hAnsiTheme="majorHAnsi" w:cstheme="majorHAnsi"/>
          <w:color w:val="808080" w:themeColor="background1" w:themeShade="80"/>
          <w:sz w:val="16"/>
          <w:szCs w:val="16"/>
        </w:rPr>
        <w:t>at</w:t>
      </w:r>
      <w:proofErr w:type="gramEnd"/>
      <w:r w:rsidRPr="001167CB">
        <w:rPr>
          <w:rFonts w:asciiTheme="majorHAnsi" w:hAnsiTheme="majorHAnsi" w:cstheme="majorHAnsi"/>
          <w:color w:val="808080" w:themeColor="background1" w:themeShade="80"/>
          <w:sz w:val="16"/>
          <w:szCs w:val="16"/>
        </w:rPr>
        <w:t xml:space="preserve"> 11.</w:t>
      </w:r>
    </w:p>
  </w:footnote>
  <w:footnote w:id="129">
    <w:p w14:paraId="6C0587DC"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IACHR, </w:t>
      </w:r>
      <w:hyperlink r:id="rId171" w:history="1">
        <w:r w:rsidRPr="001167CB">
          <w:rPr>
            <w:rStyle w:val="Hyperlink"/>
            <w:rFonts w:asciiTheme="majorHAnsi" w:hAnsiTheme="majorHAnsi" w:cstheme="majorHAnsi"/>
            <w:bCs/>
            <w:color w:val="808080" w:themeColor="background1" w:themeShade="80"/>
            <w:sz w:val="16"/>
            <w:szCs w:val="16"/>
          </w:rPr>
          <w:t>On-Site Visit Press Release</w:t>
        </w:r>
      </w:hyperlink>
      <w:r w:rsidRPr="001167CB">
        <w:rPr>
          <w:rFonts w:asciiTheme="majorHAnsi" w:hAnsiTheme="majorHAnsi" w:cstheme="majorHAnsi"/>
          <w:color w:val="808080" w:themeColor="background1" w:themeShade="80"/>
          <w:sz w:val="16"/>
          <w:szCs w:val="16"/>
        </w:rPr>
        <w:t>, Oct. 16, 2015.</w:t>
      </w:r>
    </w:p>
  </w:footnote>
  <w:footnote w:id="130">
    <w:p w14:paraId="2B39F57D"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Id.</w:t>
      </w:r>
    </w:p>
  </w:footnote>
  <w:footnote w:id="131">
    <w:p w14:paraId="698B8BE8"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Id.</w:t>
      </w:r>
    </w:p>
  </w:footnote>
  <w:footnote w:id="132">
    <w:p w14:paraId="298338C5"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New York Times, </w:t>
      </w:r>
      <w:hyperlink r:id="rId172" w:history="1">
        <w:r w:rsidRPr="001167CB">
          <w:rPr>
            <w:rStyle w:val="Hyperlink"/>
            <w:rFonts w:asciiTheme="majorHAnsi" w:hAnsiTheme="majorHAnsi" w:cstheme="majorHAnsi"/>
            <w:color w:val="808080" w:themeColor="background1" w:themeShade="80"/>
            <w:sz w:val="16"/>
            <w:szCs w:val="16"/>
          </w:rPr>
          <w:t>On Stop-and-Frisk, We Can’t Celebrate Just Yet</w:t>
        </w:r>
      </w:hyperlink>
      <w:r w:rsidRPr="001167CB">
        <w:rPr>
          <w:rFonts w:asciiTheme="majorHAnsi" w:hAnsiTheme="majorHAnsi" w:cstheme="majorHAnsi"/>
          <w:color w:val="808080" w:themeColor="background1" w:themeShade="80"/>
          <w:sz w:val="16"/>
          <w:szCs w:val="16"/>
        </w:rPr>
        <w:t xml:space="preserve">, Jan. 7, 2018 (citing Amy E. </w:t>
      </w:r>
      <w:proofErr w:type="spellStart"/>
      <w:r w:rsidRPr="001167CB">
        <w:rPr>
          <w:rFonts w:asciiTheme="majorHAnsi" w:hAnsiTheme="majorHAnsi" w:cstheme="majorHAnsi"/>
          <w:color w:val="808080" w:themeColor="background1" w:themeShade="80"/>
          <w:sz w:val="16"/>
          <w:szCs w:val="16"/>
        </w:rPr>
        <w:t>Lerman</w:t>
      </w:r>
      <w:proofErr w:type="spellEnd"/>
      <w:r w:rsidRPr="001167CB">
        <w:rPr>
          <w:rFonts w:asciiTheme="majorHAnsi" w:hAnsiTheme="majorHAnsi" w:cstheme="majorHAnsi"/>
          <w:color w:val="808080" w:themeColor="background1" w:themeShade="80"/>
          <w:sz w:val="16"/>
          <w:szCs w:val="16"/>
        </w:rPr>
        <w:t xml:space="preserve"> &amp; </w:t>
      </w:r>
      <w:proofErr w:type="spellStart"/>
      <w:r w:rsidRPr="001167CB">
        <w:rPr>
          <w:rFonts w:asciiTheme="majorHAnsi" w:hAnsiTheme="majorHAnsi" w:cstheme="majorHAnsi"/>
          <w:color w:val="808080" w:themeColor="background1" w:themeShade="80"/>
          <w:sz w:val="16"/>
          <w:szCs w:val="16"/>
        </w:rPr>
        <w:t>Vesla</w:t>
      </w:r>
      <w:proofErr w:type="spellEnd"/>
      <w:r w:rsidRPr="001167CB">
        <w:rPr>
          <w:rFonts w:asciiTheme="majorHAnsi" w:hAnsiTheme="majorHAnsi" w:cstheme="majorHAnsi"/>
          <w:color w:val="808080" w:themeColor="background1" w:themeShade="80"/>
          <w:sz w:val="16"/>
          <w:szCs w:val="16"/>
        </w:rPr>
        <w:t xml:space="preserve"> M. Weaver, </w:t>
      </w:r>
      <w:r w:rsidRPr="001167CB">
        <w:rPr>
          <w:rFonts w:asciiTheme="majorHAnsi" w:hAnsiTheme="majorHAnsi" w:cstheme="majorHAnsi"/>
          <w:i/>
          <w:color w:val="808080" w:themeColor="background1" w:themeShade="80"/>
          <w:sz w:val="16"/>
          <w:szCs w:val="16"/>
        </w:rPr>
        <w:t>Arresting Citizenship: The Democratic Consequences of American Crime Control</w:t>
      </w:r>
      <w:r w:rsidRPr="001167CB">
        <w:rPr>
          <w:rFonts w:asciiTheme="majorHAnsi" w:hAnsiTheme="majorHAnsi" w:cstheme="majorHAnsi"/>
          <w:color w:val="808080" w:themeColor="background1" w:themeShade="80"/>
          <w:sz w:val="16"/>
          <w:szCs w:val="16"/>
        </w:rPr>
        <w:t xml:space="preserve"> (Chicago: University of Chicago Press, 2014).</w:t>
      </w:r>
    </w:p>
  </w:footnote>
  <w:footnote w:id="133">
    <w:p w14:paraId="2A25B037"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Id. (citing the presentation “Crime is Insufficient: Explaining Racial Disparities in Use of Force,” available at: </w:t>
      </w:r>
      <w:hyperlink r:id="rId173" w:history="1">
        <w:r w:rsidRPr="001167CB">
          <w:rPr>
            <w:rStyle w:val="Hyperlink"/>
            <w:rFonts w:asciiTheme="majorHAnsi" w:hAnsiTheme="majorHAnsi" w:cstheme="majorHAnsi"/>
            <w:color w:val="808080" w:themeColor="background1" w:themeShade="80"/>
            <w:sz w:val="16"/>
            <w:szCs w:val="16"/>
          </w:rPr>
          <w:t>https://convention2.allacademic.com/one/asc/asc17/index.php?program_focus=view_paper&amp;selected_paper_id=1276548&amp;cmd=online_program_direct_link&amp;sub_action=online_program</w:t>
        </w:r>
      </w:hyperlink>
      <w:r w:rsidRPr="001167CB">
        <w:rPr>
          <w:rFonts w:asciiTheme="majorHAnsi" w:hAnsiTheme="majorHAnsi" w:cstheme="majorHAnsi"/>
          <w:color w:val="808080" w:themeColor="background1" w:themeShade="80"/>
          <w:sz w:val="16"/>
          <w:szCs w:val="16"/>
        </w:rPr>
        <w:t xml:space="preserve">). </w:t>
      </w:r>
    </w:p>
  </w:footnote>
  <w:footnote w:id="134">
    <w:p w14:paraId="02E5EEDF"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i/>
          <w:color w:val="808080" w:themeColor="background1" w:themeShade="80"/>
          <w:sz w:val="16"/>
          <w:szCs w:val="16"/>
        </w:rPr>
        <w:t>See, e.g.</w:t>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bCs/>
          <w:color w:val="808080" w:themeColor="background1" w:themeShade="80"/>
          <w:sz w:val="16"/>
          <w:szCs w:val="16"/>
        </w:rPr>
        <w:t xml:space="preserve">IACHR, 154th Period of Sessions, </w:t>
      </w:r>
      <w:hyperlink r:id="rId174" w:history="1">
        <w:r w:rsidRPr="001167CB">
          <w:rPr>
            <w:rStyle w:val="Hyperlink"/>
            <w:rFonts w:asciiTheme="majorHAnsi" w:hAnsiTheme="majorHAnsi" w:cstheme="majorHAnsi"/>
            <w:bCs/>
            <w:color w:val="808080" w:themeColor="background1" w:themeShade="80"/>
            <w:sz w:val="16"/>
            <w:szCs w:val="16"/>
          </w:rPr>
          <w:t>“Criminal Justice and Race” Hearing</w:t>
        </w:r>
      </w:hyperlink>
      <w:r w:rsidRPr="001167CB">
        <w:rPr>
          <w:rFonts w:asciiTheme="majorHAnsi" w:hAnsiTheme="majorHAnsi" w:cstheme="majorHAnsi"/>
          <w:bCs/>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 xml:space="preserve">Mar. </w:t>
      </w:r>
      <w:r w:rsidRPr="001167CB">
        <w:rPr>
          <w:rFonts w:asciiTheme="majorHAnsi" w:hAnsiTheme="majorHAnsi" w:cstheme="majorHAnsi"/>
          <w:bCs/>
          <w:color w:val="808080" w:themeColor="background1" w:themeShade="80"/>
          <w:sz w:val="16"/>
          <w:szCs w:val="16"/>
        </w:rPr>
        <w:t>16, 2015</w:t>
      </w:r>
      <w:r w:rsidRPr="001167CB">
        <w:rPr>
          <w:rStyle w:val="Hyperlink"/>
          <w:rFonts w:asciiTheme="majorHAnsi" w:hAnsiTheme="majorHAnsi" w:cstheme="majorHAnsi"/>
          <w:color w:val="808080" w:themeColor="background1" w:themeShade="80"/>
          <w:sz w:val="16"/>
          <w:szCs w:val="16"/>
        </w:rPr>
        <w:t>.</w:t>
      </w:r>
    </w:p>
  </w:footnote>
  <w:footnote w:id="135">
    <w:p w14:paraId="4A09A007"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Style w:val="reference-text"/>
          <w:rFonts w:asciiTheme="majorHAnsi" w:hAnsiTheme="majorHAnsi" w:cstheme="majorHAnsi"/>
          <w:color w:val="808080" w:themeColor="background1" w:themeShade="80"/>
          <w:sz w:val="16"/>
          <w:szCs w:val="16"/>
        </w:rPr>
        <w:t>Civil Rights Bureau of the New York State Attorney General’s Office,</w:t>
      </w:r>
      <w:r w:rsidRPr="001167CB">
        <w:rPr>
          <w:rFonts w:asciiTheme="majorHAnsi" w:hAnsiTheme="majorHAnsi" w:cstheme="majorHAnsi"/>
          <w:color w:val="808080" w:themeColor="background1" w:themeShade="80"/>
          <w:sz w:val="16"/>
          <w:szCs w:val="16"/>
        </w:rPr>
        <w:t xml:space="preserve"> </w:t>
      </w:r>
      <w:hyperlink r:id="rId175" w:history="1">
        <w:r w:rsidRPr="001167CB">
          <w:rPr>
            <w:rStyle w:val="Hyperlink"/>
            <w:rFonts w:asciiTheme="majorHAnsi" w:hAnsiTheme="majorHAnsi" w:cstheme="majorHAnsi"/>
            <w:color w:val="808080" w:themeColor="background1" w:themeShade="80"/>
            <w:sz w:val="16"/>
            <w:szCs w:val="16"/>
          </w:rPr>
          <w:t>Stop and Frisk Report of November 2013</w:t>
        </w:r>
      </w:hyperlink>
      <w:r w:rsidRPr="001167CB">
        <w:rPr>
          <w:rStyle w:val="reference-text"/>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 xml:space="preserve">Nov. </w:t>
      </w:r>
      <w:r w:rsidRPr="001167CB">
        <w:rPr>
          <w:rStyle w:val="reference-text"/>
          <w:rFonts w:asciiTheme="majorHAnsi" w:hAnsiTheme="majorHAnsi" w:cstheme="majorHAnsi"/>
          <w:color w:val="808080" w:themeColor="background1" w:themeShade="80"/>
          <w:sz w:val="16"/>
          <w:szCs w:val="16"/>
        </w:rPr>
        <w:t xml:space="preserve">2013. </w:t>
      </w:r>
      <w:r w:rsidRPr="001167CB">
        <w:rPr>
          <w:rFonts w:asciiTheme="majorHAnsi" w:hAnsiTheme="majorHAnsi" w:cstheme="majorHAnsi"/>
          <w:color w:val="808080" w:themeColor="background1" w:themeShade="80"/>
          <w:sz w:val="16"/>
          <w:szCs w:val="16"/>
        </w:rPr>
        <w:t>“Stop and Frisk” is a policing tactic comprised of two separate acts that involve two different levels of justification. To stop a person, a police officer must have reasonable suspicion that the person has committed, is committing, or is about to commit an unlawful act. To frisk a person, the officer must have a reason to believe that the person stopped has a weapon that poses a threat to the officer’s safety.</w:t>
      </w:r>
      <w:r w:rsidRPr="001167CB">
        <w:rPr>
          <w:rFonts w:asciiTheme="majorHAnsi" w:hAnsiTheme="majorHAnsi" w:cstheme="majorHAnsi"/>
          <w:i/>
          <w:color w:val="808080" w:themeColor="background1" w:themeShade="80"/>
          <w:sz w:val="16"/>
          <w:szCs w:val="16"/>
        </w:rPr>
        <w:t xml:space="preserve"> See </w:t>
      </w:r>
      <w:r w:rsidRPr="001167CB">
        <w:rPr>
          <w:rFonts w:asciiTheme="majorHAnsi" w:hAnsiTheme="majorHAnsi" w:cstheme="majorHAnsi"/>
          <w:color w:val="808080" w:themeColor="background1" w:themeShade="80"/>
          <w:sz w:val="16"/>
          <w:szCs w:val="16"/>
        </w:rPr>
        <w:t>Terry v. Ohio, 392 U.S. 1 (1968).</w:t>
      </w:r>
    </w:p>
  </w:footnote>
  <w:footnote w:id="136">
    <w:p w14:paraId="6E4CFD2A"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For example, in New York, police issued 1.8 million quality of life summonses for offenses like disorderly conduct, public urination, and drinking or marijuana possession between 2010 and 2015, but the NYPD’s Office of the Inspector General found “no evidence” of any link between these summonses and a decrease in felony crime rates during that time. New York City Department of Investigation Office of the Inspector General for the NYPD (OIG-NYPD), </w:t>
      </w:r>
      <w:hyperlink r:id="rId176" w:history="1">
        <w:r w:rsidRPr="001167CB">
          <w:rPr>
            <w:rStyle w:val="Hyperlink"/>
            <w:rFonts w:asciiTheme="majorHAnsi" w:hAnsiTheme="majorHAnsi" w:cstheme="majorHAnsi"/>
            <w:color w:val="808080" w:themeColor="background1" w:themeShade="80"/>
            <w:sz w:val="16"/>
            <w:szCs w:val="16"/>
          </w:rPr>
          <w:t>An Analysis of Quality-of-Life Summonses, Quality-of-Life Misdemeanor Arrests, and Felony Crime in New York City, 2010-2015</w:t>
        </w:r>
      </w:hyperlink>
      <w:r w:rsidRPr="001167CB">
        <w:rPr>
          <w:rFonts w:asciiTheme="majorHAnsi" w:hAnsiTheme="majorHAnsi" w:cstheme="majorHAnsi"/>
          <w:color w:val="808080" w:themeColor="background1" w:themeShade="80"/>
          <w:sz w:val="16"/>
          <w:szCs w:val="16"/>
        </w:rPr>
        <w:t xml:space="preserve">, June 22, 2016; </w:t>
      </w:r>
      <w:r w:rsidRPr="001167CB">
        <w:rPr>
          <w:rFonts w:asciiTheme="majorHAnsi" w:hAnsiTheme="majorHAnsi" w:cstheme="majorHAnsi"/>
          <w:i/>
          <w:color w:val="808080" w:themeColor="background1" w:themeShade="80"/>
          <w:sz w:val="16"/>
          <w:szCs w:val="16"/>
        </w:rPr>
        <w:t>see also</w:t>
      </w:r>
      <w:r w:rsidRPr="001167CB">
        <w:rPr>
          <w:rFonts w:asciiTheme="majorHAnsi" w:hAnsiTheme="majorHAnsi" w:cstheme="majorHAnsi"/>
          <w:color w:val="808080" w:themeColor="background1" w:themeShade="80"/>
          <w:sz w:val="16"/>
          <w:szCs w:val="16"/>
        </w:rPr>
        <w:t xml:space="preserve"> Bernard E. Harcourt &amp; Jens Ludwig, </w:t>
      </w:r>
      <w:hyperlink r:id="rId177" w:history="1">
        <w:r w:rsidRPr="001167CB">
          <w:rPr>
            <w:rStyle w:val="Hyperlink"/>
            <w:rFonts w:asciiTheme="majorHAnsi" w:hAnsiTheme="majorHAnsi" w:cstheme="majorHAnsi"/>
            <w:color w:val="808080" w:themeColor="background1" w:themeShade="80"/>
            <w:sz w:val="16"/>
            <w:szCs w:val="16"/>
          </w:rPr>
          <w:t>Broken Windows: New Evidence from New York City and a Five-City Social Experiment</w:t>
        </w:r>
      </w:hyperlink>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i/>
          <w:color w:val="808080" w:themeColor="background1" w:themeShade="80"/>
          <w:sz w:val="16"/>
          <w:szCs w:val="16"/>
        </w:rPr>
        <w:t>University of Chicago Law Review</w:t>
      </w:r>
      <w:r w:rsidRPr="001167CB">
        <w:rPr>
          <w:rFonts w:asciiTheme="majorHAnsi" w:hAnsiTheme="majorHAnsi" w:cstheme="majorHAnsi"/>
          <w:color w:val="808080" w:themeColor="background1" w:themeShade="80"/>
          <w:sz w:val="16"/>
          <w:szCs w:val="16"/>
        </w:rPr>
        <w:t xml:space="preserve">, Vol. 73 (2006); Bernard E. Harcourt &amp; Jens Ludwig, </w:t>
      </w:r>
      <w:hyperlink r:id="rId178" w:history="1">
        <w:r w:rsidRPr="001167CB">
          <w:rPr>
            <w:rStyle w:val="Hyperlink"/>
            <w:rFonts w:asciiTheme="majorHAnsi" w:hAnsiTheme="majorHAnsi" w:cstheme="majorHAnsi"/>
            <w:color w:val="808080" w:themeColor="background1" w:themeShade="80"/>
            <w:sz w:val="16"/>
            <w:szCs w:val="16"/>
          </w:rPr>
          <w:t>Reefer Madness: Broken Windows Policing and Misdemeanor Marijuana Arrests in New York</w:t>
        </w:r>
      </w:hyperlink>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i/>
          <w:color w:val="808080" w:themeColor="background1" w:themeShade="80"/>
          <w:sz w:val="16"/>
          <w:szCs w:val="16"/>
        </w:rPr>
        <w:t>University of Chicago Public Law &amp; Legal Theory Working Paper</w:t>
      </w:r>
      <w:r w:rsidRPr="001167CB">
        <w:rPr>
          <w:rFonts w:asciiTheme="majorHAnsi" w:hAnsiTheme="majorHAnsi" w:cstheme="majorHAnsi"/>
          <w:color w:val="808080" w:themeColor="background1" w:themeShade="80"/>
          <w:sz w:val="16"/>
          <w:szCs w:val="16"/>
        </w:rPr>
        <w:t>, No. 142 (2006).</w:t>
      </w:r>
    </w:p>
  </w:footnote>
  <w:footnote w:id="137">
    <w:p w14:paraId="1A993630"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New York Civil Liberties Union (NYCLU), </w:t>
      </w:r>
      <w:hyperlink r:id="rId179" w:history="1">
        <w:r w:rsidRPr="001167CB">
          <w:rPr>
            <w:rStyle w:val="Hyperlink"/>
            <w:rFonts w:asciiTheme="majorHAnsi" w:hAnsiTheme="majorHAnsi" w:cstheme="majorHAnsi"/>
            <w:color w:val="808080" w:themeColor="background1" w:themeShade="80"/>
            <w:sz w:val="16"/>
            <w:szCs w:val="16"/>
          </w:rPr>
          <w:t>NYC Must Reform Aggressive Policing of Low-Level Offenses and Summons Court Operations</w:t>
        </w:r>
      </w:hyperlink>
      <w:r w:rsidRPr="001167CB">
        <w:rPr>
          <w:rFonts w:asciiTheme="majorHAnsi" w:hAnsiTheme="majorHAnsi" w:cstheme="majorHAnsi"/>
          <w:color w:val="808080" w:themeColor="background1" w:themeShade="80"/>
          <w:sz w:val="16"/>
          <w:szCs w:val="16"/>
        </w:rPr>
        <w:t>, Dec. 15, 2014.</w:t>
      </w:r>
    </w:p>
  </w:footnote>
  <w:footnote w:id="138">
    <w:p w14:paraId="02C081B8"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i/>
          <w:color w:val="808080" w:themeColor="background1" w:themeShade="80"/>
          <w:sz w:val="16"/>
          <w:szCs w:val="16"/>
        </w:rPr>
        <w:t>Floyd v. City of New York</w:t>
      </w:r>
      <w:r w:rsidRPr="001167CB">
        <w:rPr>
          <w:rFonts w:asciiTheme="majorHAnsi" w:hAnsiTheme="majorHAnsi" w:cstheme="majorHAnsi"/>
          <w:color w:val="808080" w:themeColor="background1" w:themeShade="80"/>
          <w:sz w:val="16"/>
          <w:szCs w:val="16"/>
        </w:rPr>
        <w:t>, 959 F. Supp. 2d 540 (S.D.N.Y. 2013) (finding that the NYPD’s Stop and Frisk program violates the Fourteenth Amendment’s non-discrimination protection and Fourth Amendment’s protection from unreasonable searches and seizures).</w:t>
      </w:r>
    </w:p>
  </w:footnote>
  <w:footnote w:id="139">
    <w:p w14:paraId="2E3D1EC0"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NYCLU, </w:t>
      </w:r>
      <w:hyperlink r:id="rId180" w:history="1">
        <w:r w:rsidRPr="001167CB">
          <w:rPr>
            <w:rStyle w:val="Hyperlink"/>
            <w:rFonts w:asciiTheme="majorHAnsi" w:hAnsiTheme="majorHAnsi" w:cstheme="majorHAnsi"/>
            <w:color w:val="808080" w:themeColor="background1" w:themeShade="80"/>
            <w:sz w:val="16"/>
            <w:szCs w:val="16"/>
          </w:rPr>
          <w:t>Stop-and-Frisk Data</w:t>
        </w:r>
      </w:hyperlink>
      <w:r w:rsidRPr="001167CB">
        <w:rPr>
          <w:rFonts w:asciiTheme="majorHAnsi" w:hAnsiTheme="majorHAnsi" w:cstheme="majorHAnsi"/>
          <w:color w:val="808080" w:themeColor="background1" w:themeShade="80"/>
          <w:sz w:val="16"/>
          <w:szCs w:val="16"/>
        </w:rPr>
        <w:t>, May 23, 2017.</w:t>
      </w:r>
    </w:p>
  </w:footnote>
  <w:footnote w:id="140">
    <w:p w14:paraId="79D17A59" w14:textId="054D88B4" w:rsidR="005C2394" w:rsidRPr="001167CB" w:rsidRDefault="005C2394" w:rsidP="002C64F8">
      <w:pPr>
        <w:tabs>
          <w:tab w:val="center" w:pos="4680"/>
        </w:tabs>
        <w:spacing w:after="40" w:line="240" w:lineRule="auto"/>
        <w:ind w:left="547" w:hanging="547"/>
        <w:contextualSpacing/>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NYCLU, </w:t>
      </w:r>
      <w:hyperlink r:id="rId181" w:history="1">
        <w:r w:rsidRPr="001167CB">
          <w:rPr>
            <w:rStyle w:val="Hyperlink"/>
            <w:rFonts w:asciiTheme="majorHAnsi" w:hAnsiTheme="majorHAnsi" w:cstheme="majorHAnsi"/>
            <w:color w:val="808080" w:themeColor="background1" w:themeShade="80"/>
            <w:sz w:val="16"/>
            <w:szCs w:val="16"/>
          </w:rPr>
          <w:t>Stop and Frisks Report</w:t>
        </w:r>
      </w:hyperlink>
      <w:r w:rsidRPr="001167CB">
        <w:rPr>
          <w:rFonts w:asciiTheme="majorHAnsi" w:hAnsiTheme="majorHAnsi" w:cstheme="majorHAnsi"/>
          <w:color w:val="808080" w:themeColor="background1" w:themeShade="80"/>
          <w:sz w:val="16"/>
          <w:szCs w:val="16"/>
        </w:rPr>
        <w:t>. July 13, 2017.</w:t>
      </w:r>
    </w:p>
  </w:footnote>
  <w:footnote w:id="141">
    <w:p w14:paraId="744FADED" w14:textId="77777777" w:rsidR="005C2394" w:rsidRPr="001167CB" w:rsidRDefault="005C2394" w:rsidP="002C64F8">
      <w:pPr>
        <w:spacing w:after="40" w:line="240" w:lineRule="auto"/>
        <w:ind w:left="547" w:hanging="547"/>
        <w:contextualSpacing/>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United States Census Bureau, </w:t>
      </w:r>
      <w:hyperlink r:id="rId182" w:history="1">
        <w:r w:rsidRPr="001167CB">
          <w:rPr>
            <w:rStyle w:val="Hyperlink"/>
            <w:rFonts w:asciiTheme="majorHAnsi" w:hAnsiTheme="majorHAnsi" w:cstheme="majorHAnsi"/>
            <w:color w:val="808080" w:themeColor="background1" w:themeShade="80"/>
            <w:sz w:val="16"/>
            <w:szCs w:val="16"/>
          </w:rPr>
          <w:t xml:space="preserve">State and County </w:t>
        </w:r>
        <w:proofErr w:type="spellStart"/>
        <w:r w:rsidRPr="001167CB">
          <w:rPr>
            <w:rStyle w:val="Hyperlink"/>
            <w:rFonts w:asciiTheme="majorHAnsi" w:hAnsiTheme="majorHAnsi" w:cstheme="majorHAnsi"/>
            <w:color w:val="808080" w:themeColor="background1" w:themeShade="80"/>
            <w:sz w:val="16"/>
            <w:szCs w:val="16"/>
          </w:rPr>
          <w:t>Quickfacts</w:t>
        </w:r>
        <w:proofErr w:type="spellEnd"/>
        <w:r w:rsidRPr="001167CB">
          <w:rPr>
            <w:rStyle w:val="Hyperlink"/>
            <w:rFonts w:asciiTheme="majorHAnsi" w:hAnsiTheme="majorHAnsi" w:cstheme="majorHAnsi"/>
            <w:color w:val="808080" w:themeColor="background1" w:themeShade="80"/>
            <w:sz w:val="16"/>
            <w:szCs w:val="16"/>
          </w:rPr>
          <w:t>: New York (city)</w:t>
        </w:r>
      </w:hyperlink>
      <w:r w:rsidRPr="001167CB">
        <w:rPr>
          <w:rFonts w:asciiTheme="majorHAnsi" w:hAnsiTheme="majorHAnsi" w:cstheme="majorHAnsi"/>
          <w:color w:val="808080" w:themeColor="background1" w:themeShade="80"/>
          <w:sz w:val="16"/>
          <w:szCs w:val="16"/>
        </w:rPr>
        <w:t>, 2016.</w:t>
      </w:r>
    </w:p>
  </w:footnote>
  <w:footnote w:id="142">
    <w:p w14:paraId="2FD05835"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NYCLU, </w:t>
      </w:r>
      <w:hyperlink r:id="rId183" w:history="1">
        <w:r w:rsidRPr="001167CB">
          <w:rPr>
            <w:rStyle w:val="Hyperlink"/>
            <w:rFonts w:asciiTheme="majorHAnsi" w:hAnsiTheme="majorHAnsi" w:cstheme="majorHAnsi"/>
            <w:color w:val="808080" w:themeColor="background1" w:themeShade="80"/>
            <w:sz w:val="16"/>
            <w:szCs w:val="16"/>
          </w:rPr>
          <w:t>Stop-and-Frisk Data</w:t>
        </w:r>
      </w:hyperlink>
      <w:r w:rsidRPr="001167CB">
        <w:rPr>
          <w:rFonts w:asciiTheme="majorHAnsi" w:hAnsiTheme="majorHAnsi" w:cstheme="majorHAnsi"/>
          <w:color w:val="808080" w:themeColor="background1" w:themeShade="80"/>
          <w:sz w:val="16"/>
          <w:szCs w:val="16"/>
        </w:rPr>
        <w:t>, May 23, 2017.</w:t>
      </w:r>
    </w:p>
  </w:footnote>
  <w:footnote w:id="143">
    <w:p w14:paraId="66D4AD83"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lang w:val="en-GB"/>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bCs/>
          <w:color w:val="808080" w:themeColor="background1" w:themeShade="80"/>
          <w:sz w:val="16"/>
          <w:szCs w:val="16"/>
        </w:rPr>
        <w:t xml:space="preserve">IACHR, </w:t>
      </w:r>
      <w:hyperlink r:id="rId184" w:history="1">
        <w:r w:rsidRPr="001167CB">
          <w:rPr>
            <w:rStyle w:val="Hyperlink"/>
            <w:rFonts w:asciiTheme="majorHAnsi" w:hAnsiTheme="majorHAnsi" w:cstheme="majorHAnsi"/>
            <w:bCs/>
            <w:color w:val="808080" w:themeColor="background1" w:themeShade="80"/>
            <w:sz w:val="16"/>
            <w:szCs w:val="16"/>
          </w:rPr>
          <w:t>On-Site Visit Press Release</w:t>
        </w:r>
      </w:hyperlink>
      <w:r w:rsidRPr="001167CB">
        <w:rPr>
          <w:rFonts w:asciiTheme="majorHAnsi" w:hAnsiTheme="majorHAnsi" w:cstheme="majorHAnsi"/>
          <w:bCs/>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 xml:space="preserve">Oct. </w:t>
      </w:r>
      <w:r w:rsidRPr="001167CB">
        <w:rPr>
          <w:rFonts w:asciiTheme="majorHAnsi" w:hAnsiTheme="majorHAnsi" w:cstheme="majorHAnsi"/>
          <w:bCs/>
          <w:color w:val="808080" w:themeColor="background1" w:themeShade="80"/>
          <w:sz w:val="16"/>
          <w:szCs w:val="16"/>
        </w:rPr>
        <w:t>16, 2015</w:t>
      </w:r>
      <w:r w:rsidRPr="001167CB">
        <w:rPr>
          <w:rFonts w:asciiTheme="majorHAnsi" w:hAnsiTheme="majorHAnsi" w:cstheme="majorHAnsi"/>
          <w:color w:val="808080" w:themeColor="background1" w:themeShade="80"/>
          <w:sz w:val="16"/>
          <w:szCs w:val="16"/>
        </w:rPr>
        <w:t>.</w:t>
      </w:r>
    </w:p>
  </w:footnote>
  <w:footnote w:id="144">
    <w:p w14:paraId="081166A4" w14:textId="77777777" w:rsidR="005C2394" w:rsidRPr="001167CB" w:rsidRDefault="005C2394" w:rsidP="002C64F8">
      <w:pPr>
        <w:spacing w:after="40" w:line="240" w:lineRule="auto"/>
        <w:ind w:left="547" w:hanging="547"/>
        <w:contextualSpacing/>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ACLU of Illinois, </w:t>
      </w:r>
      <w:hyperlink r:id="rId185" w:history="1">
        <w:r w:rsidRPr="001167CB">
          <w:rPr>
            <w:rStyle w:val="Hyperlink"/>
            <w:rFonts w:asciiTheme="majorHAnsi" w:hAnsiTheme="majorHAnsi" w:cstheme="majorHAnsi"/>
            <w:color w:val="808080" w:themeColor="background1" w:themeShade="80"/>
            <w:sz w:val="16"/>
            <w:szCs w:val="16"/>
          </w:rPr>
          <w:t>Stop and Frisk</w:t>
        </w:r>
      </w:hyperlink>
      <w:r w:rsidRPr="001167CB">
        <w:rPr>
          <w:rFonts w:asciiTheme="majorHAnsi" w:hAnsiTheme="majorHAnsi" w:cstheme="majorHAnsi"/>
          <w:color w:val="808080" w:themeColor="background1" w:themeShade="80"/>
          <w:sz w:val="16"/>
          <w:szCs w:val="16"/>
        </w:rPr>
        <w:t>, last visited Nov. 20, 2017.</w:t>
      </w:r>
    </w:p>
  </w:footnote>
  <w:footnote w:id="145">
    <w:p w14:paraId="1E9B5235"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i/>
          <w:color w:val="808080" w:themeColor="background1" w:themeShade="80"/>
          <w:sz w:val="16"/>
          <w:szCs w:val="16"/>
        </w:rPr>
        <w:t>Id</w:t>
      </w:r>
      <w:r w:rsidRPr="001167CB">
        <w:rPr>
          <w:rFonts w:asciiTheme="majorHAnsi" w:hAnsiTheme="majorHAnsi" w:cstheme="majorHAnsi"/>
          <w:color w:val="808080" w:themeColor="background1" w:themeShade="80"/>
          <w:sz w:val="16"/>
          <w:szCs w:val="16"/>
        </w:rPr>
        <w:t>.</w:t>
      </w:r>
    </w:p>
  </w:footnote>
  <w:footnote w:id="146">
    <w:p w14:paraId="47AD90AC"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ACLU of Minnesota, </w:t>
      </w:r>
      <w:hyperlink r:id="rId186" w:history="1">
        <w:r w:rsidRPr="001167CB">
          <w:rPr>
            <w:rStyle w:val="Hyperlink"/>
            <w:rFonts w:asciiTheme="majorHAnsi" w:hAnsiTheme="majorHAnsi" w:cstheme="majorHAnsi"/>
            <w:color w:val="808080" w:themeColor="background1" w:themeShade="80"/>
            <w:sz w:val="16"/>
            <w:szCs w:val="16"/>
          </w:rPr>
          <w:t>ACLU Finds Severe Racial Disparities in Low-Level Arrests by Minneapolis Police</w:t>
        </w:r>
      </w:hyperlink>
      <w:r w:rsidRPr="001167CB">
        <w:rPr>
          <w:rFonts w:asciiTheme="majorHAnsi" w:hAnsiTheme="majorHAnsi" w:cstheme="majorHAnsi"/>
          <w:color w:val="808080" w:themeColor="background1" w:themeShade="80"/>
          <w:sz w:val="16"/>
          <w:szCs w:val="16"/>
        </w:rPr>
        <w:t>, May 28, 2015 (“Patterns of racial bias and over-criminalization show blacks and Native Americans disproportionately affected”).</w:t>
      </w:r>
    </w:p>
  </w:footnote>
  <w:footnote w:id="147">
    <w:p w14:paraId="6893F305"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Washington Lawyers’ Committee for Civil Rights &amp; Urban Affairs, </w:t>
      </w:r>
      <w:hyperlink r:id="rId187" w:history="1">
        <w:r w:rsidRPr="001167CB">
          <w:rPr>
            <w:rStyle w:val="Hyperlink"/>
            <w:rFonts w:asciiTheme="majorHAnsi" w:hAnsiTheme="majorHAnsi" w:cstheme="majorHAnsi"/>
            <w:color w:val="808080" w:themeColor="background1" w:themeShade="80"/>
            <w:sz w:val="16"/>
            <w:szCs w:val="16"/>
          </w:rPr>
          <w:t>Racial Disparities in Arrests in the District of Columbia, 2009-2011</w:t>
        </w:r>
      </w:hyperlink>
      <w:r w:rsidRPr="001167CB">
        <w:rPr>
          <w:rFonts w:asciiTheme="majorHAnsi" w:hAnsiTheme="majorHAnsi" w:cstheme="majorHAnsi"/>
          <w:color w:val="808080" w:themeColor="background1" w:themeShade="80"/>
          <w:sz w:val="16"/>
          <w:szCs w:val="16"/>
        </w:rPr>
        <w:t>, July 2013.</w:t>
      </w:r>
    </w:p>
  </w:footnote>
  <w:footnote w:id="148">
    <w:p w14:paraId="0EDEED2C"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NPR, </w:t>
      </w:r>
      <w:hyperlink r:id="rId188" w:history="1">
        <w:r w:rsidRPr="001167CB">
          <w:rPr>
            <w:rStyle w:val="Hyperlink"/>
            <w:rFonts w:asciiTheme="majorHAnsi" w:hAnsiTheme="majorHAnsi" w:cstheme="majorHAnsi"/>
            <w:color w:val="808080" w:themeColor="background1" w:themeShade="80"/>
            <w:sz w:val="16"/>
            <w:szCs w:val="16"/>
          </w:rPr>
          <w:t>LAPD Report Finds Racial Disparity In Approval And Trust Of Police</w:t>
        </w:r>
      </w:hyperlink>
      <w:r w:rsidRPr="001167CB">
        <w:rPr>
          <w:rFonts w:asciiTheme="majorHAnsi" w:hAnsiTheme="majorHAnsi" w:cstheme="majorHAnsi"/>
          <w:color w:val="808080" w:themeColor="background1" w:themeShade="80"/>
          <w:sz w:val="16"/>
          <w:szCs w:val="16"/>
        </w:rPr>
        <w:t>, Nov. 15, 2016.</w:t>
      </w:r>
    </w:p>
  </w:footnote>
  <w:footnote w:id="149">
    <w:p w14:paraId="193D691C"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proofErr w:type="spellStart"/>
      <w:r w:rsidRPr="001167CB">
        <w:rPr>
          <w:rFonts w:asciiTheme="majorHAnsi" w:hAnsiTheme="majorHAnsi" w:cstheme="majorHAnsi"/>
          <w:color w:val="808080" w:themeColor="background1" w:themeShade="80"/>
          <w:sz w:val="16"/>
          <w:szCs w:val="16"/>
        </w:rPr>
        <w:t>ProPublica</w:t>
      </w:r>
      <w:proofErr w:type="spellEnd"/>
      <w:r w:rsidRPr="001167CB">
        <w:rPr>
          <w:rFonts w:asciiTheme="majorHAnsi" w:hAnsiTheme="majorHAnsi" w:cstheme="majorHAnsi"/>
          <w:color w:val="808080" w:themeColor="background1" w:themeShade="80"/>
          <w:sz w:val="16"/>
          <w:szCs w:val="16"/>
        </w:rPr>
        <w:t xml:space="preserve">, </w:t>
      </w:r>
      <w:hyperlink r:id="rId189" w:history="1">
        <w:r w:rsidRPr="001167CB">
          <w:rPr>
            <w:rStyle w:val="Hyperlink"/>
            <w:rFonts w:asciiTheme="majorHAnsi" w:hAnsiTheme="majorHAnsi" w:cstheme="majorHAnsi"/>
            <w:color w:val="808080" w:themeColor="background1" w:themeShade="80"/>
            <w:sz w:val="16"/>
            <w:szCs w:val="16"/>
          </w:rPr>
          <w:t>Walking While Black: Jacksonville’s enforcement of pedestrian violations raises concerns that it’s another example of racial profiling</w:t>
        </w:r>
      </w:hyperlink>
      <w:r w:rsidRPr="001167CB">
        <w:rPr>
          <w:rFonts w:asciiTheme="majorHAnsi" w:hAnsiTheme="majorHAnsi" w:cstheme="majorHAnsi"/>
          <w:color w:val="808080" w:themeColor="background1" w:themeShade="80"/>
          <w:sz w:val="16"/>
          <w:szCs w:val="16"/>
        </w:rPr>
        <w:t>, Nov. 16, 2017.</w:t>
      </w:r>
    </w:p>
  </w:footnote>
  <w:footnote w:id="150">
    <w:p w14:paraId="63F60C85"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proofErr w:type="spellStart"/>
      <w:r w:rsidRPr="001167CB">
        <w:rPr>
          <w:rFonts w:asciiTheme="majorHAnsi" w:hAnsiTheme="majorHAnsi" w:cstheme="majorHAnsi"/>
          <w:color w:val="808080" w:themeColor="background1" w:themeShade="80"/>
          <w:sz w:val="16"/>
          <w:szCs w:val="16"/>
        </w:rPr>
        <w:t>Vox</w:t>
      </w:r>
      <w:proofErr w:type="spellEnd"/>
      <w:r w:rsidRPr="001167CB">
        <w:rPr>
          <w:rFonts w:asciiTheme="majorHAnsi" w:hAnsiTheme="majorHAnsi" w:cstheme="majorHAnsi"/>
          <w:color w:val="808080" w:themeColor="background1" w:themeShade="80"/>
          <w:sz w:val="16"/>
          <w:szCs w:val="16"/>
        </w:rPr>
        <w:t xml:space="preserve">, </w:t>
      </w:r>
      <w:hyperlink r:id="rId190" w:history="1">
        <w:r w:rsidRPr="001167CB">
          <w:rPr>
            <w:rStyle w:val="Hyperlink"/>
            <w:rFonts w:asciiTheme="majorHAnsi" w:hAnsiTheme="majorHAnsi" w:cstheme="majorHAnsi"/>
            <w:color w:val="808080" w:themeColor="background1" w:themeShade="80"/>
            <w:sz w:val="16"/>
            <w:szCs w:val="16"/>
          </w:rPr>
          <w:t>Cities across the country have been riddled with accusations of police abuse</w:t>
        </w:r>
      </w:hyperlink>
      <w:r w:rsidRPr="001167CB">
        <w:rPr>
          <w:rFonts w:asciiTheme="majorHAnsi" w:hAnsiTheme="majorHAnsi" w:cstheme="majorHAnsi"/>
          <w:color w:val="808080" w:themeColor="background1" w:themeShade="80"/>
          <w:sz w:val="16"/>
          <w:szCs w:val="16"/>
        </w:rPr>
        <w:t>, last updated May 6, 2017.</w:t>
      </w:r>
    </w:p>
  </w:footnote>
  <w:footnote w:id="151">
    <w:p w14:paraId="714B30BE"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U.S. DOJ, </w:t>
      </w:r>
      <w:hyperlink r:id="rId191" w:history="1">
        <w:r w:rsidRPr="001167CB">
          <w:rPr>
            <w:rStyle w:val="Hyperlink"/>
            <w:rFonts w:asciiTheme="majorHAnsi" w:hAnsiTheme="majorHAnsi" w:cstheme="majorHAnsi"/>
            <w:color w:val="808080" w:themeColor="background1" w:themeShade="80"/>
            <w:sz w:val="16"/>
            <w:szCs w:val="16"/>
          </w:rPr>
          <w:t>Justice Department Announces Findings of Two Civil Rights Investigations in Ferguson, Missouri</w:t>
        </w:r>
      </w:hyperlink>
      <w:r w:rsidRPr="001167CB">
        <w:rPr>
          <w:rFonts w:asciiTheme="majorHAnsi" w:hAnsiTheme="majorHAnsi" w:cstheme="majorHAnsi"/>
          <w:color w:val="808080" w:themeColor="background1" w:themeShade="80"/>
          <w:sz w:val="16"/>
          <w:szCs w:val="16"/>
        </w:rPr>
        <w:t xml:space="preserve">, Mar. 4, 2015; </w:t>
      </w:r>
      <w:r w:rsidRPr="001167CB">
        <w:rPr>
          <w:rFonts w:asciiTheme="majorHAnsi" w:hAnsiTheme="majorHAnsi" w:cstheme="majorHAnsi"/>
          <w:i/>
          <w:color w:val="808080" w:themeColor="background1" w:themeShade="80"/>
          <w:sz w:val="16"/>
          <w:szCs w:val="16"/>
        </w:rPr>
        <w:t xml:space="preserve">see also </w:t>
      </w:r>
      <w:r w:rsidRPr="001167CB">
        <w:rPr>
          <w:rFonts w:asciiTheme="majorHAnsi" w:hAnsiTheme="majorHAnsi" w:cstheme="majorHAnsi"/>
          <w:color w:val="808080" w:themeColor="background1" w:themeShade="80"/>
          <w:sz w:val="16"/>
          <w:szCs w:val="16"/>
        </w:rPr>
        <w:t xml:space="preserve">U.S. DOJ Civil Rights Division, </w:t>
      </w:r>
      <w:hyperlink r:id="rId192" w:history="1">
        <w:r w:rsidRPr="001167CB">
          <w:rPr>
            <w:rStyle w:val="Hyperlink"/>
            <w:rFonts w:asciiTheme="majorHAnsi" w:hAnsiTheme="majorHAnsi" w:cstheme="majorHAnsi"/>
            <w:color w:val="808080" w:themeColor="background1" w:themeShade="80"/>
            <w:sz w:val="16"/>
            <w:szCs w:val="16"/>
          </w:rPr>
          <w:t>Investigation of the Ferguson Police Department</w:t>
        </w:r>
      </w:hyperlink>
      <w:r w:rsidRPr="001167CB">
        <w:rPr>
          <w:rFonts w:asciiTheme="majorHAnsi" w:hAnsiTheme="majorHAnsi" w:cstheme="majorHAnsi"/>
          <w:color w:val="808080" w:themeColor="background1" w:themeShade="80"/>
          <w:sz w:val="16"/>
          <w:szCs w:val="16"/>
        </w:rPr>
        <w:t xml:space="preserve">, Mar. 4, 2015; </w:t>
      </w:r>
      <w:r w:rsidRPr="001167CB">
        <w:rPr>
          <w:rFonts w:asciiTheme="majorHAnsi" w:hAnsiTheme="majorHAnsi" w:cstheme="majorHAnsi"/>
          <w:bCs/>
          <w:color w:val="808080" w:themeColor="background1" w:themeShade="80"/>
          <w:sz w:val="16"/>
          <w:szCs w:val="16"/>
        </w:rPr>
        <w:t xml:space="preserve">IACHR, 154th Period of Sessions, </w:t>
      </w:r>
      <w:hyperlink r:id="rId193" w:history="1">
        <w:r w:rsidRPr="001167CB">
          <w:rPr>
            <w:rStyle w:val="Hyperlink"/>
            <w:rFonts w:asciiTheme="majorHAnsi" w:hAnsiTheme="majorHAnsi" w:cstheme="majorHAnsi"/>
            <w:bCs/>
            <w:color w:val="808080" w:themeColor="background1" w:themeShade="80"/>
            <w:sz w:val="16"/>
            <w:szCs w:val="16"/>
          </w:rPr>
          <w:t>“Criminal Justice and Race” Hearing</w:t>
        </w:r>
      </w:hyperlink>
      <w:r w:rsidRPr="001167CB">
        <w:rPr>
          <w:rFonts w:asciiTheme="majorHAnsi" w:hAnsiTheme="majorHAnsi" w:cstheme="majorHAnsi"/>
          <w:bCs/>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 xml:space="preserve">Mar. </w:t>
      </w:r>
      <w:r w:rsidRPr="001167CB">
        <w:rPr>
          <w:rFonts w:asciiTheme="majorHAnsi" w:hAnsiTheme="majorHAnsi" w:cstheme="majorHAnsi"/>
          <w:bCs/>
          <w:color w:val="808080" w:themeColor="background1" w:themeShade="80"/>
          <w:sz w:val="16"/>
          <w:szCs w:val="16"/>
        </w:rPr>
        <w:t>16, 2015</w:t>
      </w:r>
      <w:r w:rsidRPr="001167CB">
        <w:rPr>
          <w:rFonts w:asciiTheme="majorHAnsi" w:hAnsiTheme="majorHAnsi" w:cstheme="majorHAnsi"/>
          <w:color w:val="808080" w:themeColor="background1" w:themeShade="80"/>
          <w:sz w:val="16"/>
          <w:szCs w:val="16"/>
        </w:rPr>
        <w:t>.</w:t>
      </w:r>
    </w:p>
  </w:footnote>
  <w:footnote w:id="152">
    <w:p w14:paraId="6C99CE79"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hyperlink r:id="rId194" w:history="1">
        <w:r w:rsidRPr="001167CB">
          <w:rPr>
            <w:rStyle w:val="Hyperlink"/>
            <w:rFonts w:asciiTheme="majorHAnsi" w:hAnsiTheme="majorHAnsi" w:cstheme="majorHAnsi"/>
            <w:color w:val="808080" w:themeColor="background1" w:themeShade="80"/>
            <w:sz w:val="16"/>
            <w:szCs w:val="16"/>
          </w:rPr>
          <w:t>Policing and Profit</w:t>
        </w:r>
      </w:hyperlink>
      <w:r w:rsidRPr="001167CB">
        <w:rPr>
          <w:rFonts w:asciiTheme="majorHAnsi" w:hAnsiTheme="majorHAnsi" w:cstheme="majorHAnsi"/>
          <w:color w:val="808080" w:themeColor="background1" w:themeShade="80"/>
          <w:sz w:val="16"/>
          <w:szCs w:val="16"/>
        </w:rPr>
        <w:t xml:space="preserve">, 128 </w:t>
      </w:r>
      <w:r w:rsidRPr="001167CB">
        <w:rPr>
          <w:rFonts w:asciiTheme="majorHAnsi" w:hAnsiTheme="majorHAnsi" w:cstheme="majorHAnsi"/>
          <w:i/>
          <w:color w:val="808080" w:themeColor="background1" w:themeShade="80"/>
          <w:sz w:val="16"/>
          <w:szCs w:val="16"/>
        </w:rPr>
        <w:t>Harvard Law Review</w:t>
      </w:r>
      <w:r w:rsidRPr="001167CB">
        <w:rPr>
          <w:rFonts w:asciiTheme="majorHAnsi" w:hAnsiTheme="majorHAnsi" w:cstheme="majorHAnsi"/>
          <w:color w:val="808080" w:themeColor="background1" w:themeShade="80"/>
          <w:sz w:val="16"/>
          <w:szCs w:val="16"/>
        </w:rPr>
        <w:t xml:space="preserve"> 1723 (2015).</w:t>
      </w:r>
    </w:p>
  </w:footnote>
  <w:footnote w:id="153">
    <w:p w14:paraId="6392F60F"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U.S. DOJ, </w:t>
      </w:r>
      <w:hyperlink r:id="rId195" w:history="1">
        <w:r w:rsidRPr="001167CB">
          <w:rPr>
            <w:rStyle w:val="Hyperlink"/>
            <w:rFonts w:asciiTheme="majorHAnsi" w:hAnsiTheme="majorHAnsi" w:cstheme="majorHAnsi"/>
            <w:color w:val="808080" w:themeColor="background1" w:themeShade="80"/>
            <w:sz w:val="16"/>
            <w:szCs w:val="16"/>
          </w:rPr>
          <w:t>Justice Department Announces Findings of Two Civil Rights Investigations in Ferguson, Missouri</w:t>
        </w:r>
      </w:hyperlink>
      <w:r w:rsidRPr="001167CB">
        <w:rPr>
          <w:rFonts w:asciiTheme="majorHAnsi" w:hAnsiTheme="majorHAnsi" w:cstheme="majorHAnsi"/>
          <w:color w:val="808080" w:themeColor="background1" w:themeShade="80"/>
          <w:sz w:val="16"/>
          <w:szCs w:val="16"/>
        </w:rPr>
        <w:t xml:space="preserve">, Mar. 4, 2015; </w:t>
      </w:r>
      <w:r w:rsidRPr="001167CB">
        <w:rPr>
          <w:rFonts w:asciiTheme="majorHAnsi" w:hAnsiTheme="majorHAnsi" w:cstheme="majorHAnsi"/>
          <w:i/>
          <w:color w:val="808080" w:themeColor="background1" w:themeShade="80"/>
          <w:sz w:val="16"/>
          <w:szCs w:val="16"/>
        </w:rPr>
        <w:t xml:space="preserve">see also </w:t>
      </w:r>
      <w:r w:rsidRPr="001167CB">
        <w:rPr>
          <w:rFonts w:asciiTheme="majorHAnsi" w:hAnsiTheme="majorHAnsi" w:cstheme="majorHAnsi"/>
          <w:color w:val="808080" w:themeColor="background1" w:themeShade="80"/>
          <w:sz w:val="16"/>
          <w:szCs w:val="16"/>
        </w:rPr>
        <w:t xml:space="preserve">U.S. DOJ Civil Rights Division, </w:t>
      </w:r>
      <w:hyperlink r:id="rId196" w:history="1">
        <w:r w:rsidRPr="001167CB">
          <w:rPr>
            <w:rStyle w:val="Hyperlink"/>
            <w:rFonts w:asciiTheme="majorHAnsi" w:hAnsiTheme="majorHAnsi" w:cstheme="majorHAnsi"/>
            <w:color w:val="808080" w:themeColor="background1" w:themeShade="80"/>
            <w:sz w:val="16"/>
            <w:szCs w:val="16"/>
          </w:rPr>
          <w:t>Investigation of the Ferguson Police Department</w:t>
        </w:r>
      </w:hyperlink>
      <w:r w:rsidRPr="001167CB">
        <w:rPr>
          <w:rFonts w:asciiTheme="majorHAnsi" w:hAnsiTheme="majorHAnsi" w:cstheme="majorHAnsi"/>
          <w:color w:val="808080" w:themeColor="background1" w:themeShade="80"/>
          <w:sz w:val="16"/>
          <w:szCs w:val="16"/>
        </w:rPr>
        <w:t xml:space="preserve">, Mar. 4, 2015; </w:t>
      </w:r>
      <w:r w:rsidRPr="001167CB">
        <w:rPr>
          <w:rFonts w:asciiTheme="majorHAnsi" w:hAnsiTheme="majorHAnsi" w:cstheme="majorHAnsi"/>
          <w:bCs/>
          <w:color w:val="808080" w:themeColor="background1" w:themeShade="80"/>
          <w:sz w:val="16"/>
          <w:szCs w:val="16"/>
        </w:rPr>
        <w:t xml:space="preserve">IACHR, 154th Period of Sessions, </w:t>
      </w:r>
      <w:hyperlink r:id="rId197" w:history="1">
        <w:r w:rsidRPr="001167CB">
          <w:rPr>
            <w:rStyle w:val="Hyperlink"/>
            <w:rFonts w:asciiTheme="majorHAnsi" w:hAnsiTheme="majorHAnsi" w:cstheme="majorHAnsi"/>
            <w:bCs/>
            <w:color w:val="808080" w:themeColor="background1" w:themeShade="80"/>
            <w:sz w:val="16"/>
            <w:szCs w:val="16"/>
          </w:rPr>
          <w:t>“Criminal Justice and Race” Hearing</w:t>
        </w:r>
      </w:hyperlink>
      <w:r w:rsidRPr="001167CB">
        <w:rPr>
          <w:rFonts w:asciiTheme="majorHAnsi" w:hAnsiTheme="majorHAnsi" w:cstheme="majorHAnsi"/>
          <w:bCs/>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 xml:space="preserve">Mar. </w:t>
      </w:r>
      <w:r w:rsidRPr="001167CB">
        <w:rPr>
          <w:rFonts w:asciiTheme="majorHAnsi" w:hAnsiTheme="majorHAnsi" w:cstheme="majorHAnsi"/>
          <w:bCs/>
          <w:color w:val="808080" w:themeColor="background1" w:themeShade="80"/>
          <w:sz w:val="16"/>
          <w:szCs w:val="16"/>
        </w:rPr>
        <w:t>16, 2015</w:t>
      </w:r>
      <w:r w:rsidRPr="001167CB">
        <w:rPr>
          <w:rFonts w:asciiTheme="majorHAnsi" w:hAnsiTheme="majorHAnsi" w:cstheme="majorHAnsi"/>
          <w:color w:val="808080" w:themeColor="background1" w:themeShade="80"/>
          <w:sz w:val="16"/>
          <w:szCs w:val="16"/>
        </w:rPr>
        <w:t>.</w:t>
      </w:r>
    </w:p>
  </w:footnote>
  <w:footnote w:id="154">
    <w:p w14:paraId="17F69244" w14:textId="77777777" w:rsidR="005C2394" w:rsidRPr="001167CB" w:rsidRDefault="005C2394" w:rsidP="002C64F8">
      <w:pPr>
        <w:spacing w:after="40" w:line="240" w:lineRule="auto"/>
        <w:ind w:left="547" w:hanging="547"/>
        <w:contextualSpacing/>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U.S. DOJ Civil Rights Division, </w:t>
      </w:r>
      <w:hyperlink r:id="rId198" w:history="1">
        <w:r w:rsidRPr="001167CB">
          <w:rPr>
            <w:rStyle w:val="Hyperlink"/>
            <w:rFonts w:asciiTheme="majorHAnsi" w:hAnsiTheme="majorHAnsi" w:cstheme="majorHAnsi"/>
            <w:color w:val="808080" w:themeColor="background1" w:themeShade="80"/>
            <w:sz w:val="16"/>
            <w:szCs w:val="16"/>
          </w:rPr>
          <w:t>Investigation of the Ferguson Police Department</w:t>
        </w:r>
      </w:hyperlink>
      <w:r w:rsidRPr="001167CB">
        <w:rPr>
          <w:rFonts w:asciiTheme="majorHAnsi" w:hAnsiTheme="majorHAnsi" w:cstheme="majorHAnsi"/>
          <w:color w:val="808080" w:themeColor="background1" w:themeShade="80"/>
          <w:sz w:val="16"/>
          <w:szCs w:val="16"/>
        </w:rPr>
        <w:t>, Mar. 4, 2015, p. 4.</w:t>
      </w:r>
    </w:p>
  </w:footnote>
  <w:footnote w:id="155">
    <w:p w14:paraId="6955F4FF" w14:textId="77777777" w:rsidR="005C2394" w:rsidRPr="001167CB" w:rsidRDefault="005C2394" w:rsidP="002C64F8">
      <w:pPr>
        <w:spacing w:after="40" w:line="240" w:lineRule="auto"/>
        <w:ind w:left="547" w:hanging="547"/>
        <w:contextualSpacing/>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Id. at 4-11.</w:t>
      </w:r>
    </w:p>
  </w:footnote>
  <w:footnote w:id="156">
    <w:p w14:paraId="21A4C09E"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U.S. DOJ, </w:t>
      </w:r>
      <w:hyperlink r:id="rId199" w:history="1">
        <w:r w:rsidRPr="001167CB">
          <w:rPr>
            <w:rStyle w:val="Hyperlink"/>
            <w:rFonts w:asciiTheme="majorHAnsi" w:hAnsiTheme="majorHAnsi" w:cstheme="majorHAnsi"/>
            <w:color w:val="808080" w:themeColor="background1" w:themeShade="80"/>
            <w:sz w:val="16"/>
            <w:szCs w:val="16"/>
          </w:rPr>
          <w:t>Justice Department Announces Findings of Two Civil Rights Investigations in Ferguson, Missouri</w:t>
        </w:r>
      </w:hyperlink>
      <w:r w:rsidRPr="001167CB">
        <w:rPr>
          <w:rFonts w:asciiTheme="majorHAnsi" w:hAnsiTheme="majorHAnsi" w:cstheme="majorHAnsi"/>
          <w:color w:val="808080" w:themeColor="background1" w:themeShade="80"/>
          <w:sz w:val="16"/>
          <w:szCs w:val="16"/>
        </w:rPr>
        <w:t xml:space="preserve">, Mar. 4, 2015; </w:t>
      </w:r>
      <w:r w:rsidRPr="001167CB">
        <w:rPr>
          <w:rFonts w:asciiTheme="majorHAnsi" w:hAnsiTheme="majorHAnsi" w:cstheme="majorHAnsi"/>
          <w:i/>
          <w:color w:val="808080" w:themeColor="background1" w:themeShade="80"/>
          <w:sz w:val="16"/>
          <w:szCs w:val="16"/>
        </w:rPr>
        <w:t xml:space="preserve">see also </w:t>
      </w:r>
      <w:r w:rsidRPr="001167CB">
        <w:rPr>
          <w:rFonts w:asciiTheme="majorHAnsi" w:hAnsiTheme="majorHAnsi" w:cstheme="majorHAnsi"/>
          <w:color w:val="808080" w:themeColor="background1" w:themeShade="80"/>
          <w:sz w:val="16"/>
          <w:szCs w:val="16"/>
        </w:rPr>
        <w:t xml:space="preserve">U.S. DOJ Civil Rights Division, </w:t>
      </w:r>
      <w:hyperlink r:id="rId200" w:history="1">
        <w:r w:rsidRPr="001167CB">
          <w:rPr>
            <w:rStyle w:val="Hyperlink"/>
            <w:rFonts w:asciiTheme="majorHAnsi" w:hAnsiTheme="majorHAnsi" w:cstheme="majorHAnsi"/>
            <w:color w:val="808080" w:themeColor="background1" w:themeShade="80"/>
            <w:sz w:val="16"/>
            <w:szCs w:val="16"/>
          </w:rPr>
          <w:t>Investigation of the Ferguson Police Department</w:t>
        </w:r>
      </w:hyperlink>
      <w:r w:rsidRPr="001167CB">
        <w:rPr>
          <w:rFonts w:asciiTheme="majorHAnsi" w:hAnsiTheme="majorHAnsi" w:cstheme="majorHAnsi"/>
          <w:color w:val="808080" w:themeColor="background1" w:themeShade="80"/>
          <w:sz w:val="16"/>
          <w:szCs w:val="16"/>
        </w:rPr>
        <w:t>, Mar. 4, 2015.</w:t>
      </w:r>
    </w:p>
  </w:footnote>
  <w:footnote w:id="157">
    <w:p w14:paraId="487E290B"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i/>
          <w:color w:val="808080" w:themeColor="background1" w:themeShade="80"/>
          <w:sz w:val="16"/>
          <w:szCs w:val="16"/>
        </w:rPr>
        <w:t>See generally</w:t>
      </w:r>
      <w:r w:rsidRPr="001167CB">
        <w:rPr>
          <w:rFonts w:asciiTheme="majorHAnsi" w:hAnsiTheme="majorHAnsi" w:cstheme="majorHAnsi"/>
          <w:color w:val="808080" w:themeColor="background1" w:themeShade="80"/>
          <w:sz w:val="16"/>
          <w:szCs w:val="16"/>
        </w:rPr>
        <w:t xml:space="preserve"> </w:t>
      </w:r>
      <w:hyperlink r:id="rId201" w:history="1">
        <w:r w:rsidRPr="001167CB">
          <w:rPr>
            <w:rStyle w:val="Hyperlink"/>
            <w:rFonts w:asciiTheme="majorHAnsi" w:hAnsiTheme="majorHAnsi" w:cstheme="majorHAnsi"/>
            <w:color w:val="808080" w:themeColor="background1" w:themeShade="80"/>
            <w:sz w:val="16"/>
            <w:szCs w:val="16"/>
          </w:rPr>
          <w:t>Policing and Profit</w:t>
        </w:r>
      </w:hyperlink>
      <w:r w:rsidRPr="001167CB">
        <w:rPr>
          <w:rFonts w:asciiTheme="majorHAnsi" w:hAnsiTheme="majorHAnsi" w:cstheme="majorHAnsi"/>
          <w:color w:val="808080" w:themeColor="background1" w:themeShade="80"/>
          <w:sz w:val="16"/>
          <w:szCs w:val="16"/>
        </w:rPr>
        <w:t xml:space="preserve">, 128 </w:t>
      </w:r>
      <w:r w:rsidRPr="001167CB">
        <w:rPr>
          <w:rFonts w:asciiTheme="majorHAnsi" w:hAnsiTheme="majorHAnsi" w:cstheme="majorHAnsi"/>
          <w:i/>
          <w:color w:val="808080" w:themeColor="background1" w:themeShade="80"/>
          <w:sz w:val="16"/>
          <w:szCs w:val="16"/>
        </w:rPr>
        <w:t>Harvard Law Review</w:t>
      </w:r>
      <w:r w:rsidRPr="001167CB">
        <w:rPr>
          <w:rFonts w:asciiTheme="majorHAnsi" w:hAnsiTheme="majorHAnsi" w:cstheme="majorHAnsi"/>
          <w:color w:val="808080" w:themeColor="background1" w:themeShade="80"/>
          <w:sz w:val="16"/>
          <w:szCs w:val="16"/>
        </w:rPr>
        <w:t xml:space="preserve"> 1723 (2015).</w:t>
      </w:r>
    </w:p>
  </w:footnote>
  <w:footnote w:id="158">
    <w:p w14:paraId="2AF954F4"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Office of the High Commissioner for Human Rights, </w:t>
      </w:r>
      <w:hyperlink r:id="rId202" w:history="1">
        <w:r w:rsidRPr="001167CB">
          <w:rPr>
            <w:rStyle w:val="Hyperlink"/>
            <w:rFonts w:asciiTheme="majorHAnsi" w:hAnsiTheme="majorHAnsi" w:cstheme="majorHAnsi"/>
            <w:color w:val="808080" w:themeColor="background1" w:themeShade="80"/>
            <w:sz w:val="16"/>
            <w:szCs w:val="16"/>
          </w:rPr>
          <w:t>Statement on Visit to the USA, by Professor Philip Alston, United Nations Special Rapporteur on extreme poverty and human rights</w:t>
        </w:r>
      </w:hyperlink>
      <w:r w:rsidRPr="001167CB">
        <w:rPr>
          <w:rFonts w:asciiTheme="majorHAnsi" w:hAnsiTheme="majorHAnsi" w:cstheme="majorHAnsi"/>
          <w:color w:val="808080" w:themeColor="background1" w:themeShade="80"/>
          <w:sz w:val="16"/>
          <w:szCs w:val="16"/>
        </w:rPr>
        <w:t>, Dec. 15, 2017.</w:t>
      </w:r>
    </w:p>
  </w:footnote>
  <w:footnote w:id="159">
    <w:p w14:paraId="3A3CD2D5"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i/>
          <w:color w:val="808080" w:themeColor="background1" w:themeShade="80"/>
          <w:sz w:val="16"/>
          <w:szCs w:val="16"/>
        </w:rPr>
        <w:t>See also generally</w:t>
      </w:r>
      <w:r w:rsidRPr="001167CB">
        <w:rPr>
          <w:rFonts w:asciiTheme="majorHAnsi" w:hAnsiTheme="majorHAnsi" w:cstheme="majorHAnsi"/>
          <w:color w:val="808080" w:themeColor="background1" w:themeShade="80"/>
          <w:sz w:val="16"/>
          <w:szCs w:val="16"/>
        </w:rPr>
        <w:t xml:space="preserve"> IACHR, </w:t>
      </w:r>
      <w:hyperlink r:id="rId203" w:history="1">
        <w:r w:rsidRPr="001167CB">
          <w:rPr>
            <w:rStyle w:val="Hyperlink"/>
            <w:rFonts w:asciiTheme="majorHAnsi" w:hAnsiTheme="majorHAnsi" w:cstheme="majorHAnsi"/>
            <w:color w:val="808080" w:themeColor="background1" w:themeShade="80"/>
            <w:sz w:val="16"/>
            <w:szCs w:val="16"/>
          </w:rPr>
          <w:t>Report on Citizen Security and Human Rights</w:t>
        </w:r>
      </w:hyperlink>
      <w:r w:rsidRPr="001167CB">
        <w:rPr>
          <w:rFonts w:asciiTheme="majorHAnsi" w:hAnsiTheme="majorHAnsi" w:cstheme="majorHAnsi"/>
          <w:color w:val="808080" w:themeColor="background1" w:themeShade="80"/>
          <w:sz w:val="16"/>
          <w:szCs w:val="16"/>
        </w:rPr>
        <w:t>, OEA/</w:t>
      </w:r>
      <w:proofErr w:type="spellStart"/>
      <w:r w:rsidRPr="001167CB">
        <w:rPr>
          <w:rFonts w:asciiTheme="majorHAnsi" w:hAnsiTheme="majorHAnsi" w:cstheme="majorHAnsi"/>
          <w:color w:val="808080" w:themeColor="background1" w:themeShade="80"/>
          <w:sz w:val="16"/>
          <w:szCs w:val="16"/>
        </w:rPr>
        <w:t>Ser.L</w:t>
      </w:r>
      <w:proofErr w:type="spellEnd"/>
      <w:r w:rsidRPr="001167CB">
        <w:rPr>
          <w:rFonts w:asciiTheme="majorHAnsi" w:hAnsiTheme="majorHAnsi" w:cstheme="majorHAnsi"/>
          <w:color w:val="808080" w:themeColor="background1" w:themeShade="80"/>
          <w:sz w:val="16"/>
          <w:szCs w:val="16"/>
        </w:rPr>
        <w:t>/V/II., Doc. 57 (2009) [hereinafter “Citizen Security and Human Rights”].</w:t>
      </w:r>
    </w:p>
  </w:footnote>
  <w:footnote w:id="160">
    <w:p w14:paraId="4A710614"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These bodies refer not only to practices like “Stop and Frisk” but also to practices of surveillance of Muslim and Middle Eastern communities by the FBI and TSA, and the Secure Communities and INA § 287(g) immigration enforcement programs, among others. Human Rights </w:t>
      </w:r>
      <w:proofErr w:type="gramStart"/>
      <w:r w:rsidRPr="001167CB">
        <w:rPr>
          <w:rFonts w:asciiTheme="majorHAnsi" w:hAnsiTheme="majorHAnsi" w:cstheme="majorHAnsi"/>
          <w:color w:val="808080" w:themeColor="background1" w:themeShade="80"/>
          <w:sz w:val="16"/>
          <w:szCs w:val="16"/>
        </w:rPr>
        <w:t>Comm..</w:t>
      </w:r>
      <w:proofErr w:type="gramEnd"/>
      <w:r w:rsidRPr="001167CB">
        <w:rPr>
          <w:rFonts w:asciiTheme="majorHAnsi" w:hAnsiTheme="majorHAnsi" w:cstheme="majorHAnsi"/>
          <w:color w:val="808080" w:themeColor="background1" w:themeShade="80"/>
          <w:sz w:val="16"/>
          <w:szCs w:val="16"/>
        </w:rPr>
        <w:t xml:space="preserve"> </w:t>
      </w:r>
      <w:hyperlink r:id="rId204" w:history="1">
        <w:r w:rsidRPr="001167CB">
          <w:rPr>
            <w:rStyle w:val="Hyperlink"/>
            <w:rFonts w:asciiTheme="majorHAnsi" w:hAnsiTheme="majorHAnsi" w:cstheme="majorHAnsi"/>
            <w:bCs/>
            <w:color w:val="808080" w:themeColor="background1" w:themeShade="80"/>
            <w:sz w:val="16"/>
            <w:szCs w:val="16"/>
          </w:rPr>
          <w:t>Concluding Observations 2014</w:t>
        </w:r>
      </w:hyperlink>
      <w:r w:rsidRPr="001167CB">
        <w:rPr>
          <w:rFonts w:asciiTheme="majorHAnsi" w:hAnsiTheme="majorHAnsi" w:cstheme="majorHAnsi"/>
          <w:color w:val="808080" w:themeColor="background1" w:themeShade="80"/>
          <w:sz w:val="16"/>
          <w:szCs w:val="16"/>
        </w:rPr>
        <w:t xml:space="preserve">, Apr. 23, 2014, para. 7; </w:t>
      </w:r>
      <w:r w:rsidRPr="001167CB">
        <w:rPr>
          <w:rFonts w:asciiTheme="majorHAnsi" w:hAnsiTheme="majorHAnsi" w:cstheme="majorHAnsi"/>
          <w:bCs/>
          <w:color w:val="808080" w:themeColor="background1" w:themeShade="80"/>
          <w:sz w:val="16"/>
          <w:szCs w:val="16"/>
        </w:rPr>
        <w:t xml:space="preserve">CERD, </w:t>
      </w:r>
      <w:hyperlink r:id="rId205" w:history="1">
        <w:r w:rsidRPr="001167CB">
          <w:rPr>
            <w:rStyle w:val="Hyperlink"/>
            <w:rFonts w:asciiTheme="majorHAnsi" w:hAnsiTheme="majorHAnsi" w:cstheme="majorHAnsi"/>
            <w:bCs/>
            <w:color w:val="808080" w:themeColor="background1" w:themeShade="80"/>
            <w:sz w:val="16"/>
            <w:szCs w:val="16"/>
          </w:rPr>
          <w:t>Concluding Observations 2014</w:t>
        </w:r>
      </w:hyperlink>
      <w:r w:rsidRPr="001167CB">
        <w:rPr>
          <w:rFonts w:asciiTheme="majorHAnsi" w:hAnsiTheme="majorHAnsi" w:cstheme="majorHAnsi"/>
          <w:bCs/>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 xml:space="preserve">Sept. </w:t>
      </w:r>
      <w:r w:rsidRPr="001167CB">
        <w:rPr>
          <w:rFonts w:asciiTheme="majorHAnsi" w:hAnsiTheme="majorHAnsi" w:cstheme="majorHAnsi"/>
          <w:bCs/>
          <w:color w:val="808080" w:themeColor="background1" w:themeShade="80"/>
          <w:sz w:val="16"/>
          <w:szCs w:val="16"/>
        </w:rPr>
        <w:t>25, 2014</w:t>
      </w:r>
      <w:r w:rsidRPr="001167CB">
        <w:rPr>
          <w:rFonts w:asciiTheme="majorHAnsi" w:hAnsiTheme="majorHAnsi" w:cstheme="majorHAnsi"/>
          <w:color w:val="808080" w:themeColor="background1" w:themeShade="80"/>
          <w:sz w:val="16"/>
          <w:szCs w:val="16"/>
        </w:rPr>
        <w:t>, para. 8.</w:t>
      </w:r>
    </w:p>
  </w:footnote>
  <w:footnote w:id="161">
    <w:p w14:paraId="6D02F8CA" w14:textId="2E686C10"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i/>
          <w:color w:val="808080" w:themeColor="background1" w:themeShade="80"/>
          <w:sz w:val="16"/>
          <w:szCs w:val="16"/>
        </w:rPr>
        <w:t>See supra</w:t>
      </w:r>
      <w:r w:rsidRPr="001167CB">
        <w:rPr>
          <w:rFonts w:asciiTheme="majorHAnsi" w:hAnsiTheme="majorHAnsi" w:cstheme="majorHAnsi"/>
          <w:color w:val="808080" w:themeColor="background1" w:themeShade="80"/>
          <w:sz w:val="16"/>
          <w:szCs w:val="16"/>
        </w:rPr>
        <w:t xml:space="preserve"> para. </w:t>
      </w:r>
      <w:r w:rsidRPr="001167CB">
        <w:rPr>
          <w:rFonts w:asciiTheme="majorHAnsi" w:hAnsiTheme="majorHAnsi" w:cstheme="majorHAnsi"/>
          <w:color w:val="808080" w:themeColor="background1" w:themeShade="80"/>
          <w:sz w:val="16"/>
          <w:szCs w:val="16"/>
          <w:lang w:val="es-MX"/>
        </w:rPr>
        <w:fldChar w:fldCharType="begin"/>
      </w:r>
      <w:r w:rsidRPr="001167CB">
        <w:rPr>
          <w:rFonts w:asciiTheme="majorHAnsi" w:hAnsiTheme="majorHAnsi" w:cstheme="majorHAnsi"/>
          <w:color w:val="808080" w:themeColor="background1" w:themeShade="80"/>
          <w:sz w:val="16"/>
          <w:szCs w:val="16"/>
        </w:rPr>
        <w:instrText xml:space="preserve"> REF _Ref507148704 \r \h  \* MERGEFORMAT </w:instrText>
      </w:r>
      <w:r w:rsidRPr="001167CB">
        <w:rPr>
          <w:rFonts w:asciiTheme="majorHAnsi" w:hAnsiTheme="majorHAnsi" w:cstheme="majorHAnsi"/>
          <w:color w:val="808080" w:themeColor="background1" w:themeShade="80"/>
          <w:sz w:val="16"/>
          <w:szCs w:val="16"/>
          <w:lang w:val="es-MX"/>
        </w:rPr>
      </w:r>
      <w:r w:rsidRPr="001167CB">
        <w:rPr>
          <w:rFonts w:asciiTheme="majorHAnsi" w:hAnsiTheme="majorHAnsi" w:cstheme="majorHAnsi"/>
          <w:color w:val="808080" w:themeColor="background1" w:themeShade="80"/>
          <w:sz w:val="16"/>
          <w:szCs w:val="16"/>
          <w:lang w:val="es-MX"/>
        </w:rPr>
        <w:fldChar w:fldCharType="separate"/>
      </w:r>
      <w:r w:rsidRPr="001167CB">
        <w:rPr>
          <w:rFonts w:asciiTheme="majorHAnsi" w:hAnsiTheme="majorHAnsi" w:cstheme="majorHAnsi"/>
          <w:color w:val="808080" w:themeColor="background1" w:themeShade="80"/>
          <w:sz w:val="16"/>
          <w:szCs w:val="16"/>
        </w:rPr>
        <w:t>66</w:t>
      </w:r>
      <w:r w:rsidRPr="001167CB">
        <w:rPr>
          <w:rFonts w:asciiTheme="majorHAnsi" w:hAnsiTheme="majorHAnsi" w:cstheme="majorHAnsi"/>
          <w:color w:val="808080" w:themeColor="background1" w:themeShade="80"/>
          <w:sz w:val="16"/>
          <w:szCs w:val="16"/>
          <w:lang w:val="es-MX"/>
        </w:rPr>
        <w:fldChar w:fldCharType="end"/>
      </w:r>
      <w:r w:rsidRPr="001167CB">
        <w:rPr>
          <w:rFonts w:asciiTheme="majorHAnsi" w:hAnsiTheme="majorHAnsi" w:cstheme="majorHAnsi"/>
          <w:color w:val="808080" w:themeColor="background1" w:themeShade="80"/>
          <w:sz w:val="16"/>
          <w:szCs w:val="16"/>
        </w:rPr>
        <w:t>.</w:t>
      </w:r>
    </w:p>
  </w:footnote>
  <w:footnote w:id="162">
    <w:p w14:paraId="260F612F"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bookmarkStart w:id="69" w:name="_Hlk498797947"/>
      <w:r w:rsidRPr="001167CB">
        <w:rPr>
          <w:rFonts w:asciiTheme="majorHAnsi" w:hAnsiTheme="majorHAnsi" w:cstheme="majorHAnsi"/>
          <w:color w:val="808080" w:themeColor="background1" w:themeShade="80"/>
          <w:sz w:val="16"/>
          <w:szCs w:val="16"/>
        </w:rPr>
        <w:tab/>
        <w:t xml:space="preserve">ACLU. </w:t>
      </w:r>
      <w:hyperlink r:id="rId206" w:history="1">
        <w:r w:rsidRPr="001167CB">
          <w:rPr>
            <w:rStyle w:val="Hyperlink"/>
            <w:rFonts w:asciiTheme="majorHAnsi" w:hAnsiTheme="majorHAnsi" w:cstheme="majorHAnsi"/>
            <w:iCs/>
            <w:color w:val="808080" w:themeColor="background1" w:themeShade="80"/>
            <w:sz w:val="16"/>
            <w:szCs w:val="16"/>
          </w:rPr>
          <w:t>War Comes Home</w:t>
        </w:r>
        <w:r w:rsidRPr="001167CB">
          <w:rPr>
            <w:rStyle w:val="Hyperlink"/>
            <w:rFonts w:asciiTheme="majorHAnsi" w:hAnsiTheme="majorHAnsi" w:cstheme="majorHAnsi"/>
            <w:color w:val="808080" w:themeColor="background1" w:themeShade="80"/>
            <w:sz w:val="16"/>
            <w:szCs w:val="16"/>
          </w:rPr>
          <w:t>.</w:t>
        </w:r>
      </w:hyperlink>
      <w:r w:rsidRPr="001167CB">
        <w:rPr>
          <w:rFonts w:asciiTheme="majorHAnsi" w:hAnsiTheme="majorHAnsi" w:cstheme="majorHAnsi"/>
          <w:color w:val="808080" w:themeColor="background1" w:themeShade="80"/>
          <w:sz w:val="16"/>
          <w:szCs w:val="16"/>
        </w:rPr>
        <w:t xml:space="preserve"> </w:t>
      </w:r>
      <w:hyperlink r:id="rId207" w:history="1">
        <w:r w:rsidRPr="001167CB">
          <w:rPr>
            <w:rStyle w:val="Hyperlink"/>
            <w:rFonts w:asciiTheme="majorHAnsi" w:hAnsiTheme="majorHAnsi" w:cstheme="majorHAnsi"/>
            <w:color w:val="808080" w:themeColor="background1" w:themeShade="80"/>
            <w:sz w:val="16"/>
            <w:szCs w:val="16"/>
          </w:rPr>
          <w:t>The Excessive Militarization of American Policing</w:t>
        </w:r>
      </w:hyperlink>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lang w:val="en-GB"/>
        </w:rPr>
        <w:t>June 2014, p</w:t>
      </w:r>
      <w:r w:rsidRPr="001167CB">
        <w:rPr>
          <w:rFonts w:asciiTheme="majorHAnsi" w:hAnsiTheme="majorHAnsi" w:cstheme="majorHAnsi"/>
          <w:color w:val="808080" w:themeColor="background1" w:themeShade="80"/>
          <w:sz w:val="16"/>
          <w:szCs w:val="16"/>
        </w:rPr>
        <w:t>. 2.</w:t>
      </w:r>
      <w:bookmarkEnd w:id="69"/>
    </w:p>
  </w:footnote>
  <w:footnote w:id="163">
    <w:p w14:paraId="37100F08"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Id. at 5.</w:t>
      </w:r>
    </w:p>
  </w:footnote>
  <w:footnote w:id="164">
    <w:p w14:paraId="7E1D8044"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Id. at 3.</w:t>
      </w:r>
    </w:p>
  </w:footnote>
  <w:footnote w:id="165">
    <w:p w14:paraId="4CCEB327" w14:textId="77777777" w:rsidR="005C2394" w:rsidRPr="001167CB" w:rsidRDefault="005C2394" w:rsidP="002C64F8">
      <w:pPr>
        <w:spacing w:after="40" w:line="240" w:lineRule="auto"/>
        <w:ind w:left="547" w:hanging="547"/>
        <w:contextualSpacing/>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Id. at 2. </w:t>
      </w:r>
      <w:r w:rsidRPr="001167CB">
        <w:rPr>
          <w:rFonts w:asciiTheme="majorHAnsi" w:hAnsiTheme="majorHAnsi" w:cstheme="majorHAnsi"/>
          <w:i/>
          <w:color w:val="808080" w:themeColor="background1" w:themeShade="80"/>
          <w:sz w:val="16"/>
          <w:szCs w:val="16"/>
        </w:rPr>
        <w:t>Accord</w:t>
      </w:r>
      <w:r w:rsidRPr="001167CB">
        <w:rPr>
          <w:rFonts w:asciiTheme="majorHAnsi" w:hAnsiTheme="majorHAnsi" w:cstheme="majorHAnsi"/>
          <w:color w:val="808080" w:themeColor="background1" w:themeShade="80"/>
          <w:sz w:val="16"/>
          <w:szCs w:val="16"/>
        </w:rPr>
        <w:t>. Testimony during on-site visit.</w:t>
      </w:r>
    </w:p>
  </w:footnote>
  <w:footnote w:id="166">
    <w:p w14:paraId="30BBC226"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Reuters, </w:t>
      </w:r>
      <w:hyperlink r:id="rId208" w:history="1">
        <w:r w:rsidRPr="001167CB">
          <w:rPr>
            <w:rStyle w:val="Hyperlink"/>
            <w:rFonts w:asciiTheme="majorHAnsi" w:hAnsiTheme="majorHAnsi" w:cstheme="majorHAnsi"/>
            <w:color w:val="808080" w:themeColor="background1" w:themeShade="80"/>
            <w:sz w:val="16"/>
            <w:szCs w:val="16"/>
          </w:rPr>
          <w:t>Obama sets new limits on police use of military equipment</w:t>
        </w:r>
      </w:hyperlink>
      <w:r w:rsidRPr="001167CB">
        <w:rPr>
          <w:rFonts w:asciiTheme="majorHAnsi" w:hAnsiTheme="majorHAnsi" w:cstheme="majorHAnsi"/>
          <w:color w:val="808080" w:themeColor="background1" w:themeShade="80"/>
          <w:sz w:val="16"/>
          <w:szCs w:val="16"/>
        </w:rPr>
        <w:t xml:space="preserve">, May 18, 2015. </w:t>
      </w:r>
    </w:p>
  </w:footnote>
  <w:footnote w:id="167">
    <w:p w14:paraId="2E14039F"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Law Enforcement Equipment Working Group, </w:t>
      </w:r>
      <w:hyperlink r:id="rId209" w:history="1">
        <w:r w:rsidRPr="001167CB">
          <w:rPr>
            <w:rStyle w:val="Hyperlink"/>
            <w:rFonts w:asciiTheme="majorHAnsi" w:hAnsiTheme="majorHAnsi" w:cstheme="majorHAnsi"/>
            <w:iCs/>
            <w:color w:val="808080" w:themeColor="background1" w:themeShade="80"/>
            <w:sz w:val="16"/>
            <w:szCs w:val="16"/>
          </w:rPr>
          <w:t>Recommendations Pursuant to EXECUTIVE ORDER 13688, Federal Support for Local Law Enforcement Equipment Acquisition</w:t>
        </w:r>
      </w:hyperlink>
      <w:r w:rsidRPr="001167CB">
        <w:rPr>
          <w:rFonts w:asciiTheme="majorHAnsi" w:hAnsiTheme="majorHAnsi" w:cstheme="majorHAnsi"/>
          <w:color w:val="808080" w:themeColor="background1" w:themeShade="80"/>
          <w:sz w:val="16"/>
          <w:szCs w:val="16"/>
        </w:rPr>
        <w:t xml:space="preserve">, May 2015.  </w:t>
      </w:r>
    </w:p>
  </w:footnote>
  <w:footnote w:id="168">
    <w:p w14:paraId="50DBC01B"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Washington Post, </w:t>
      </w:r>
      <w:hyperlink r:id="rId210" w:history="1">
        <w:r w:rsidRPr="001167CB">
          <w:rPr>
            <w:rStyle w:val="Hyperlink"/>
            <w:rFonts w:asciiTheme="majorHAnsi" w:hAnsiTheme="majorHAnsi" w:cstheme="majorHAnsi"/>
            <w:color w:val="808080" w:themeColor="background1" w:themeShade="80"/>
            <w:sz w:val="16"/>
            <w:szCs w:val="16"/>
          </w:rPr>
          <w:t>Obama moves to demilitarize America’s police</w:t>
        </w:r>
      </w:hyperlink>
      <w:r w:rsidRPr="001167CB">
        <w:rPr>
          <w:rFonts w:asciiTheme="majorHAnsi" w:hAnsiTheme="majorHAnsi" w:cstheme="majorHAnsi"/>
          <w:color w:val="808080" w:themeColor="background1" w:themeShade="80"/>
          <w:sz w:val="16"/>
          <w:szCs w:val="16"/>
        </w:rPr>
        <w:t>, May 18, 2015.</w:t>
      </w:r>
    </w:p>
  </w:footnote>
  <w:footnote w:id="169">
    <w:p w14:paraId="1965A161"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White House, </w:t>
      </w:r>
      <w:hyperlink r:id="rId211" w:history="1">
        <w:r w:rsidRPr="001167CB">
          <w:rPr>
            <w:rStyle w:val="Hyperlink"/>
            <w:rFonts w:asciiTheme="majorHAnsi" w:hAnsiTheme="majorHAnsi" w:cstheme="majorHAnsi"/>
            <w:iCs/>
            <w:color w:val="808080" w:themeColor="background1" w:themeShade="80"/>
            <w:sz w:val="16"/>
            <w:szCs w:val="16"/>
          </w:rPr>
          <w:t>Presidential Executive Order on Restoring State, Tribal, and Local Law Enforcement's Access to Life-Saving Equipment and Resources</w:t>
        </w:r>
      </w:hyperlink>
      <w:r w:rsidRPr="001167CB">
        <w:rPr>
          <w:rFonts w:asciiTheme="majorHAnsi" w:hAnsiTheme="majorHAnsi" w:cstheme="majorHAnsi"/>
          <w:color w:val="808080" w:themeColor="background1" w:themeShade="80"/>
          <w:sz w:val="16"/>
          <w:szCs w:val="16"/>
        </w:rPr>
        <w:t>, Aug. 28, 2017.</w:t>
      </w:r>
    </w:p>
  </w:footnote>
  <w:footnote w:id="170">
    <w:p w14:paraId="6AECCA59"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Fonts w:asciiTheme="majorHAnsi" w:hAnsiTheme="majorHAnsi" w:cstheme="majorHAnsi"/>
          <w:color w:val="808080" w:themeColor="background1" w:themeShade="80"/>
          <w:sz w:val="16"/>
          <w:szCs w:val="16"/>
          <w:vertAlign w:val="superscript"/>
        </w:rPr>
        <w:footnoteRef/>
      </w:r>
      <w:r w:rsidRPr="001167CB">
        <w:rPr>
          <w:rFonts w:asciiTheme="majorHAnsi" w:hAnsiTheme="majorHAnsi" w:cstheme="majorHAnsi"/>
          <w:color w:val="808080" w:themeColor="background1" w:themeShade="80"/>
          <w:sz w:val="16"/>
          <w:szCs w:val="16"/>
          <w:vertAlign w:val="superscript"/>
        </w:rPr>
        <w:t xml:space="preserve"> </w:t>
      </w:r>
      <w:r w:rsidRPr="001167CB">
        <w:rPr>
          <w:rFonts w:asciiTheme="majorHAnsi" w:hAnsiTheme="majorHAnsi" w:cstheme="majorHAnsi"/>
          <w:color w:val="808080" w:themeColor="background1" w:themeShade="80"/>
          <w:sz w:val="16"/>
          <w:szCs w:val="16"/>
          <w:vertAlign w:val="superscript"/>
        </w:rPr>
        <w:tab/>
      </w:r>
      <w:r w:rsidRPr="001167CB">
        <w:rPr>
          <w:rFonts w:asciiTheme="majorHAnsi" w:hAnsiTheme="majorHAnsi" w:cstheme="majorHAnsi"/>
          <w:color w:val="808080" w:themeColor="background1" w:themeShade="80"/>
          <w:sz w:val="16"/>
          <w:szCs w:val="16"/>
        </w:rPr>
        <w:t xml:space="preserve">IACHR, Annual Report 2016. </w:t>
      </w:r>
      <w:hyperlink r:id="rId212" w:history="1">
        <w:r w:rsidRPr="001167CB">
          <w:rPr>
            <w:rStyle w:val="Hyperlink"/>
            <w:rFonts w:asciiTheme="majorHAnsi" w:hAnsiTheme="majorHAnsi" w:cstheme="majorHAnsi"/>
            <w:color w:val="808080" w:themeColor="background1" w:themeShade="80"/>
            <w:sz w:val="16"/>
            <w:szCs w:val="16"/>
          </w:rPr>
          <w:t xml:space="preserve">Report of the Special Rapporteur for Freedom of Expression. </w:t>
        </w:r>
        <w:proofErr w:type="spellStart"/>
        <w:r w:rsidRPr="001167CB">
          <w:rPr>
            <w:rStyle w:val="Hyperlink"/>
            <w:rFonts w:asciiTheme="majorHAnsi" w:hAnsiTheme="majorHAnsi" w:cstheme="majorHAnsi"/>
            <w:color w:val="808080" w:themeColor="background1" w:themeShade="80"/>
            <w:sz w:val="16"/>
            <w:szCs w:val="16"/>
            <w:lang w:val="fr-CA"/>
          </w:rPr>
          <w:t>Chapter</w:t>
        </w:r>
        <w:proofErr w:type="spellEnd"/>
        <w:r w:rsidRPr="001167CB">
          <w:rPr>
            <w:rStyle w:val="Hyperlink"/>
            <w:rFonts w:asciiTheme="majorHAnsi" w:hAnsiTheme="majorHAnsi" w:cstheme="majorHAnsi"/>
            <w:color w:val="808080" w:themeColor="background1" w:themeShade="80"/>
            <w:sz w:val="16"/>
            <w:szCs w:val="16"/>
            <w:lang w:val="fr-CA"/>
          </w:rPr>
          <w:t xml:space="preserve"> VI (</w:t>
        </w:r>
        <w:proofErr w:type="spellStart"/>
        <w:r w:rsidRPr="001167CB">
          <w:rPr>
            <w:rStyle w:val="Hyperlink"/>
            <w:rFonts w:asciiTheme="majorHAnsi" w:hAnsiTheme="majorHAnsi" w:cstheme="majorHAnsi"/>
            <w:color w:val="808080" w:themeColor="background1" w:themeShade="80"/>
            <w:sz w:val="16"/>
            <w:szCs w:val="16"/>
            <w:lang w:val="fr-CA"/>
          </w:rPr>
          <w:t>Recommendations</w:t>
        </w:r>
        <w:proofErr w:type="spellEnd"/>
        <w:r w:rsidRPr="001167CB">
          <w:rPr>
            <w:rStyle w:val="Hyperlink"/>
            <w:rFonts w:asciiTheme="majorHAnsi" w:hAnsiTheme="majorHAnsi" w:cstheme="majorHAnsi"/>
            <w:color w:val="808080" w:themeColor="background1" w:themeShade="80"/>
            <w:sz w:val="16"/>
            <w:szCs w:val="16"/>
            <w:lang w:val="fr-CA"/>
          </w:rPr>
          <w:t xml:space="preserve"> on Social </w:t>
        </w:r>
        <w:proofErr w:type="spellStart"/>
        <w:r w:rsidRPr="001167CB">
          <w:rPr>
            <w:rStyle w:val="Hyperlink"/>
            <w:rFonts w:asciiTheme="majorHAnsi" w:hAnsiTheme="majorHAnsi" w:cstheme="majorHAnsi"/>
            <w:color w:val="808080" w:themeColor="background1" w:themeShade="80"/>
            <w:sz w:val="16"/>
            <w:szCs w:val="16"/>
            <w:lang w:val="fr-CA"/>
          </w:rPr>
          <w:t>Protest</w:t>
        </w:r>
        <w:proofErr w:type="spellEnd"/>
        <w:r w:rsidRPr="001167CB">
          <w:rPr>
            <w:rStyle w:val="Hyperlink"/>
            <w:rFonts w:asciiTheme="majorHAnsi" w:hAnsiTheme="majorHAnsi" w:cstheme="majorHAnsi"/>
            <w:color w:val="808080" w:themeColor="background1" w:themeShade="80"/>
            <w:sz w:val="16"/>
            <w:szCs w:val="16"/>
            <w:lang w:val="fr-CA"/>
          </w:rPr>
          <w:t>)</w:t>
        </w:r>
      </w:hyperlink>
      <w:r w:rsidRPr="001167CB">
        <w:rPr>
          <w:rFonts w:asciiTheme="majorHAnsi" w:hAnsiTheme="majorHAnsi" w:cstheme="majorHAnsi"/>
          <w:color w:val="808080" w:themeColor="background1" w:themeShade="80"/>
          <w:sz w:val="16"/>
          <w:szCs w:val="16"/>
          <w:lang w:val="fr-CA"/>
        </w:rPr>
        <w:t>. OEA/</w:t>
      </w:r>
      <w:proofErr w:type="spellStart"/>
      <w:r w:rsidRPr="001167CB">
        <w:rPr>
          <w:rFonts w:asciiTheme="majorHAnsi" w:hAnsiTheme="majorHAnsi" w:cstheme="majorHAnsi"/>
          <w:color w:val="808080" w:themeColor="background1" w:themeShade="80"/>
          <w:sz w:val="16"/>
          <w:szCs w:val="16"/>
          <w:lang w:val="fr-CA"/>
        </w:rPr>
        <w:t>Ser.L</w:t>
      </w:r>
      <w:proofErr w:type="spellEnd"/>
      <w:r w:rsidRPr="001167CB">
        <w:rPr>
          <w:rFonts w:asciiTheme="majorHAnsi" w:hAnsiTheme="majorHAnsi" w:cstheme="majorHAnsi"/>
          <w:color w:val="808080" w:themeColor="background1" w:themeShade="80"/>
          <w:sz w:val="16"/>
          <w:szCs w:val="16"/>
          <w:lang w:val="fr-CA"/>
        </w:rPr>
        <w:t xml:space="preserve">/V/II. Doc. 22/17. </w:t>
      </w:r>
      <w:r w:rsidRPr="001167CB">
        <w:rPr>
          <w:rFonts w:asciiTheme="majorHAnsi" w:hAnsiTheme="majorHAnsi" w:cstheme="majorHAnsi"/>
          <w:color w:val="808080" w:themeColor="background1" w:themeShade="80"/>
          <w:sz w:val="16"/>
          <w:szCs w:val="16"/>
        </w:rPr>
        <w:t>Mar. 9, 2015.</w:t>
      </w:r>
    </w:p>
  </w:footnote>
  <w:footnote w:id="171">
    <w:p w14:paraId="191B9672"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ACLU, </w:t>
      </w:r>
      <w:hyperlink r:id="rId213" w:history="1">
        <w:r w:rsidRPr="001167CB">
          <w:rPr>
            <w:rStyle w:val="Hyperlink"/>
            <w:rFonts w:asciiTheme="majorHAnsi" w:hAnsiTheme="majorHAnsi" w:cstheme="majorHAnsi"/>
            <w:color w:val="808080" w:themeColor="background1" w:themeShade="80"/>
            <w:sz w:val="16"/>
            <w:szCs w:val="16"/>
          </w:rPr>
          <w:t>Trump Just Gave Thousands of Bayonets And Hundreds of Grenade Launchers Back To Police</w:t>
        </w:r>
      </w:hyperlink>
      <w:r w:rsidRPr="001167CB">
        <w:rPr>
          <w:rFonts w:asciiTheme="majorHAnsi" w:hAnsiTheme="majorHAnsi" w:cstheme="majorHAnsi"/>
          <w:color w:val="808080" w:themeColor="background1" w:themeShade="80"/>
          <w:sz w:val="16"/>
          <w:szCs w:val="16"/>
        </w:rPr>
        <w:t>, Aug. 28, 2017</w:t>
      </w:r>
      <w:r w:rsidRPr="001167CB">
        <w:rPr>
          <w:rFonts w:asciiTheme="majorHAnsi" w:hAnsiTheme="majorHAnsi" w:cstheme="majorHAnsi"/>
          <w:i/>
          <w:color w:val="808080" w:themeColor="background1" w:themeShade="80"/>
          <w:sz w:val="16"/>
          <w:szCs w:val="16"/>
        </w:rPr>
        <w:t>.</w:t>
      </w:r>
    </w:p>
  </w:footnote>
  <w:footnote w:id="172">
    <w:p w14:paraId="5FE66130" w14:textId="497D1F3A" w:rsidR="005C2394" w:rsidRPr="001167CB" w:rsidRDefault="005C2394" w:rsidP="002C64F8">
      <w:pPr>
        <w:pStyle w:val="FootnoteText"/>
        <w:tabs>
          <w:tab w:val="left" w:pos="0"/>
        </w:tabs>
        <w:spacing w:after="40"/>
        <w:ind w:left="547" w:hanging="547"/>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 </w:t>
      </w:r>
      <w:r w:rsidRPr="001167CB">
        <w:rPr>
          <w:rFonts w:asciiTheme="majorHAnsi" w:hAnsiTheme="majorHAnsi" w:cstheme="majorHAnsi"/>
          <w:i/>
          <w:color w:val="808080" w:themeColor="background1" w:themeShade="80"/>
          <w:sz w:val="16"/>
          <w:szCs w:val="16"/>
        </w:rPr>
        <w:t>See infra</w:t>
      </w:r>
      <w:r>
        <w:rPr>
          <w:rFonts w:asciiTheme="majorHAnsi" w:hAnsiTheme="majorHAnsi" w:cstheme="majorHAnsi"/>
          <w:i/>
          <w:color w:val="808080" w:themeColor="background1" w:themeShade="80"/>
          <w:sz w:val="16"/>
          <w:szCs w:val="16"/>
        </w:rPr>
        <w:t>.</w:t>
      </w:r>
      <w:r w:rsidRPr="001167CB">
        <w:rPr>
          <w:rFonts w:asciiTheme="majorHAnsi" w:hAnsiTheme="majorHAnsi" w:cstheme="majorHAnsi"/>
          <w:color w:val="808080" w:themeColor="background1" w:themeShade="80"/>
          <w:sz w:val="16"/>
          <w:szCs w:val="16"/>
        </w:rPr>
        <w:t xml:space="preserve"> </w:t>
      </w:r>
      <w:r>
        <w:rPr>
          <w:rFonts w:asciiTheme="majorHAnsi" w:hAnsiTheme="majorHAnsi" w:cstheme="majorHAnsi"/>
          <w:color w:val="808080" w:themeColor="background1" w:themeShade="80"/>
          <w:sz w:val="16"/>
          <w:szCs w:val="16"/>
        </w:rPr>
        <w:t xml:space="preserve"> International Framework regarding the Use of Force Legality, Absolute Necessity and Proportionality.</w:t>
      </w:r>
    </w:p>
  </w:footnote>
  <w:footnote w:id="173">
    <w:p w14:paraId="242B5205"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GAO, </w:t>
      </w:r>
      <w:hyperlink r:id="rId214" w:history="1">
        <w:r w:rsidRPr="001167CB">
          <w:rPr>
            <w:rStyle w:val="Hyperlink"/>
            <w:rFonts w:asciiTheme="majorHAnsi" w:hAnsiTheme="majorHAnsi" w:cstheme="majorHAnsi"/>
            <w:iCs/>
            <w:color w:val="808080" w:themeColor="background1" w:themeShade="80"/>
            <w:sz w:val="16"/>
            <w:szCs w:val="16"/>
          </w:rPr>
          <w:t>DOD EXCESS PROPERTY: Enhanced Controls Needed for Access to Excess Controlled Property</w:t>
        </w:r>
      </w:hyperlink>
      <w:r w:rsidRPr="001167CB">
        <w:rPr>
          <w:rFonts w:asciiTheme="majorHAnsi" w:hAnsiTheme="majorHAnsi" w:cstheme="majorHAnsi"/>
          <w:color w:val="808080" w:themeColor="background1" w:themeShade="80"/>
          <w:sz w:val="16"/>
          <w:szCs w:val="16"/>
        </w:rPr>
        <w:t xml:space="preserve">, July 2017.  </w:t>
      </w:r>
    </w:p>
  </w:footnote>
  <w:footnote w:id="174">
    <w:p w14:paraId="2CF64CA7"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i/>
          <w:color w:val="808080" w:themeColor="background1" w:themeShade="80"/>
          <w:sz w:val="16"/>
          <w:szCs w:val="16"/>
        </w:rPr>
        <w:t>See</w:t>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i/>
          <w:color w:val="808080" w:themeColor="background1" w:themeShade="80"/>
          <w:sz w:val="16"/>
          <w:szCs w:val="16"/>
        </w:rPr>
        <w:t>e.g.</w:t>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bCs/>
          <w:color w:val="808080" w:themeColor="background1" w:themeShade="80"/>
          <w:sz w:val="16"/>
          <w:szCs w:val="16"/>
        </w:rPr>
        <w:t xml:space="preserve">IACHR, 156th Period of Sessions, </w:t>
      </w:r>
      <w:hyperlink r:id="rId215" w:history="1">
        <w:r w:rsidRPr="001167CB">
          <w:rPr>
            <w:rStyle w:val="Hyperlink"/>
            <w:rFonts w:asciiTheme="majorHAnsi" w:hAnsiTheme="majorHAnsi" w:cstheme="majorHAnsi"/>
            <w:bCs/>
            <w:color w:val="808080" w:themeColor="background1" w:themeShade="80"/>
            <w:sz w:val="16"/>
            <w:szCs w:val="16"/>
          </w:rPr>
          <w:t>“Police Killings” Hearing</w:t>
        </w:r>
      </w:hyperlink>
      <w:r w:rsidRPr="001167CB">
        <w:rPr>
          <w:rFonts w:asciiTheme="majorHAnsi" w:hAnsiTheme="majorHAnsi" w:cstheme="majorHAnsi"/>
          <w:bCs/>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 xml:space="preserve">Oct. </w:t>
      </w:r>
      <w:r w:rsidRPr="001167CB">
        <w:rPr>
          <w:rFonts w:asciiTheme="majorHAnsi" w:hAnsiTheme="majorHAnsi" w:cstheme="majorHAnsi"/>
          <w:bCs/>
          <w:color w:val="808080" w:themeColor="background1" w:themeShade="80"/>
          <w:sz w:val="16"/>
          <w:szCs w:val="16"/>
        </w:rPr>
        <w:t>23, 2015</w:t>
      </w:r>
      <w:r w:rsidRPr="001167CB">
        <w:rPr>
          <w:rFonts w:asciiTheme="majorHAnsi" w:hAnsiTheme="majorHAnsi" w:cstheme="majorHAnsi"/>
          <w:color w:val="808080" w:themeColor="background1" w:themeShade="80"/>
          <w:sz w:val="16"/>
          <w:szCs w:val="16"/>
        </w:rPr>
        <w:t xml:space="preserve">; Press Release No. 120/2015, </w:t>
      </w:r>
      <w:hyperlink r:id="rId216" w:history="1">
        <w:r w:rsidRPr="001167CB">
          <w:rPr>
            <w:rStyle w:val="Hyperlink"/>
            <w:rFonts w:asciiTheme="majorHAnsi" w:hAnsiTheme="majorHAnsi" w:cstheme="majorHAnsi"/>
            <w:color w:val="808080" w:themeColor="background1" w:themeShade="80"/>
            <w:sz w:val="16"/>
            <w:szCs w:val="16"/>
          </w:rPr>
          <w:t>IACHR Wraps Up its 156th Session</w:t>
        </w:r>
      </w:hyperlink>
      <w:r w:rsidRPr="001167CB">
        <w:rPr>
          <w:rFonts w:asciiTheme="majorHAnsi" w:hAnsiTheme="majorHAnsi" w:cstheme="majorHAnsi"/>
          <w:color w:val="808080" w:themeColor="background1" w:themeShade="80"/>
          <w:sz w:val="16"/>
          <w:szCs w:val="16"/>
        </w:rPr>
        <w:t>, Oct. 28, 2015;</w:t>
      </w:r>
      <w:r w:rsidRPr="001167CB">
        <w:rPr>
          <w:rFonts w:asciiTheme="majorHAnsi" w:hAnsiTheme="majorHAnsi" w:cstheme="majorHAnsi"/>
          <w:bCs/>
          <w:color w:val="808080" w:themeColor="background1" w:themeShade="80"/>
          <w:sz w:val="16"/>
          <w:szCs w:val="16"/>
        </w:rPr>
        <w:t xml:space="preserve"> </w:t>
      </w:r>
      <w:hyperlink r:id="rId217" w:history="1">
        <w:r w:rsidRPr="001167CB">
          <w:rPr>
            <w:rStyle w:val="Hyperlink"/>
            <w:rFonts w:asciiTheme="majorHAnsi" w:hAnsiTheme="majorHAnsi" w:cstheme="majorHAnsi"/>
            <w:bCs/>
            <w:color w:val="808080" w:themeColor="background1" w:themeShade="80"/>
            <w:sz w:val="16"/>
            <w:szCs w:val="16"/>
          </w:rPr>
          <w:t>Walter Scott Press Release</w:t>
        </w:r>
      </w:hyperlink>
      <w:r w:rsidRPr="001167CB">
        <w:rPr>
          <w:rFonts w:asciiTheme="majorHAnsi" w:hAnsiTheme="majorHAnsi" w:cstheme="majorHAnsi"/>
          <w:bCs/>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 xml:space="preserve">Apr. </w:t>
      </w:r>
      <w:r w:rsidRPr="001167CB">
        <w:rPr>
          <w:rFonts w:asciiTheme="majorHAnsi" w:hAnsiTheme="majorHAnsi" w:cstheme="majorHAnsi"/>
          <w:bCs/>
          <w:color w:val="808080" w:themeColor="background1" w:themeShade="80"/>
          <w:sz w:val="16"/>
          <w:szCs w:val="16"/>
        </w:rPr>
        <w:t>17, 2015</w:t>
      </w:r>
      <w:r w:rsidRPr="001167CB">
        <w:rPr>
          <w:rFonts w:asciiTheme="majorHAnsi" w:hAnsiTheme="majorHAnsi" w:cstheme="majorHAnsi"/>
          <w:color w:val="808080" w:themeColor="background1" w:themeShade="80"/>
          <w:sz w:val="16"/>
          <w:szCs w:val="16"/>
        </w:rPr>
        <w:t xml:space="preserve">. </w:t>
      </w:r>
    </w:p>
  </w:footnote>
  <w:footnote w:id="175">
    <w:p w14:paraId="7FE77D67"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bCs/>
          <w:color w:val="808080" w:themeColor="background1" w:themeShade="80"/>
          <w:sz w:val="16"/>
          <w:szCs w:val="16"/>
        </w:rPr>
        <w:t xml:space="preserve">CERD, </w:t>
      </w:r>
      <w:hyperlink r:id="rId218" w:history="1">
        <w:r w:rsidRPr="001167CB">
          <w:rPr>
            <w:rStyle w:val="Hyperlink"/>
            <w:rFonts w:asciiTheme="majorHAnsi" w:hAnsiTheme="majorHAnsi" w:cstheme="majorHAnsi"/>
            <w:bCs/>
            <w:color w:val="808080" w:themeColor="background1" w:themeShade="80"/>
            <w:sz w:val="16"/>
            <w:szCs w:val="16"/>
          </w:rPr>
          <w:t>Concluding Observations 2014</w:t>
        </w:r>
      </w:hyperlink>
      <w:r w:rsidRPr="001167CB">
        <w:rPr>
          <w:rFonts w:asciiTheme="majorHAnsi" w:hAnsiTheme="majorHAnsi" w:cstheme="majorHAnsi"/>
          <w:bCs/>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 xml:space="preserve">Sept. </w:t>
      </w:r>
      <w:r w:rsidRPr="001167CB">
        <w:rPr>
          <w:rFonts w:asciiTheme="majorHAnsi" w:hAnsiTheme="majorHAnsi" w:cstheme="majorHAnsi"/>
          <w:bCs/>
          <w:color w:val="808080" w:themeColor="background1" w:themeShade="80"/>
          <w:sz w:val="16"/>
          <w:szCs w:val="16"/>
        </w:rPr>
        <w:t>25, 2014</w:t>
      </w:r>
      <w:r w:rsidRPr="001167CB">
        <w:rPr>
          <w:rFonts w:asciiTheme="majorHAnsi" w:hAnsiTheme="majorHAnsi" w:cstheme="majorHAnsi"/>
          <w:color w:val="808080" w:themeColor="background1" w:themeShade="80"/>
          <w:sz w:val="16"/>
          <w:szCs w:val="16"/>
        </w:rPr>
        <w:t xml:space="preserve">, para. 17; </w:t>
      </w:r>
      <w:r w:rsidRPr="001167CB">
        <w:rPr>
          <w:rFonts w:asciiTheme="majorHAnsi" w:hAnsiTheme="majorHAnsi" w:cstheme="majorHAnsi"/>
          <w:bCs/>
          <w:color w:val="808080" w:themeColor="background1" w:themeShade="80"/>
          <w:sz w:val="16"/>
          <w:szCs w:val="16"/>
        </w:rPr>
        <w:t xml:space="preserve">U.N., Working Group on People of African Descent. </w:t>
      </w:r>
      <w:hyperlink r:id="rId219" w:history="1">
        <w:r w:rsidRPr="001167CB">
          <w:rPr>
            <w:rStyle w:val="Hyperlink"/>
            <w:rFonts w:asciiTheme="majorHAnsi" w:hAnsiTheme="majorHAnsi" w:cstheme="majorHAnsi"/>
            <w:bCs/>
            <w:color w:val="808080" w:themeColor="background1" w:themeShade="80"/>
            <w:sz w:val="16"/>
            <w:szCs w:val="16"/>
          </w:rPr>
          <w:t>Report on mission to the U.S.</w:t>
        </w:r>
      </w:hyperlink>
      <w:r w:rsidRPr="001167CB">
        <w:rPr>
          <w:rFonts w:asciiTheme="majorHAnsi" w:hAnsiTheme="majorHAnsi" w:cstheme="majorHAnsi"/>
          <w:bCs/>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 xml:space="preserve">Aug. </w:t>
      </w:r>
      <w:r w:rsidRPr="001167CB">
        <w:rPr>
          <w:rFonts w:asciiTheme="majorHAnsi" w:hAnsiTheme="majorHAnsi" w:cstheme="majorHAnsi"/>
          <w:bCs/>
          <w:color w:val="808080" w:themeColor="background1" w:themeShade="80"/>
          <w:sz w:val="16"/>
          <w:szCs w:val="16"/>
        </w:rPr>
        <w:t>18, 2016</w:t>
      </w:r>
      <w:r w:rsidRPr="001167CB">
        <w:rPr>
          <w:rFonts w:asciiTheme="majorHAnsi" w:hAnsiTheme="majorHAnsi" w:cstheme="majorHAnsi"/>
          <w:color w:val="808080" w:themeColor="background1" w:themeShade="80"/>
          <w:sz w:val="16"/>
          <w:szCs w:val="16"/>
        </w:rPr>
        <w:t xml:space="preserve">, para. 20. </w:t>
      </w:r>
    </w:p>
  </w:footnote>
  <w:footnote w:id="176">
    <w:p w14:paraId="6EC2D758"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bCs/>
          <w:color w:val="808080" w:themeColor="background1" w:themeShade="80"/>
          <w:sz w:val="16"/>
          <w:szCs w:val="16"/>
        </w:rPr>
        <w:t xml:space="preserve">IACHR, </w:t>
      </w:r>
      <w:hyperlink r:id="rId220" w:history="1">
        <w:r w:rsidRPr="001167CB">
          <w:rPr>
            <w:rStyle w:val="Hyperlink"/>
            <w:rFonts w:asciiTheme="majorHAnsi" w:hAnsiTheme="majorHAnsi" w:cstheme="majorHAnsi"/>
            <w:bCs/>
            <w:color w:val="808080" w:themeColor="background1" w:themeShade="80"/>
            <w:sz w:val="16"/>
            <w:szCs w:val="16"/>
          </w:rPr>
          <w:t>Eric Garner and Michael Brown Press Release</w:t>
        </w:r>
      </w:hyperlink>
      <w:r w:rsidRPr="001167CB">
        <w:rPr>
          <w:rFonts w:asciiTheme="majorHAnsi" w:hAnsiTheme="majorHAnsi" w:cstheme="majorHAnsi"/>
          <w:bCs/>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 xml:space="preserve">Aug. </w:t>
      </w:r>
      <w:r w:rsidRPr="001167CB">
        <w:rPr>
          <w:rFonts w:asciiTheme="majorHAnsi" w:hAnsiTheme="majorHAnsi" w:cstheme="majorHAnsi"/>
          <w:bCs/>
          <w:color w:val="808080" w:themeColor="background1" w:themeShade="80"/>
          <w:sz w:val="16"/>
          <w:szCs w:val="16"/>
        </w:rPr>
        <w:t>22, 2014</w:t>
      </w:r>
      <w:r w:rsidRPr="001167CB">
        <w:rPr>
          <w:rFonts w:asciiTheme="majorHAnsi" w:hAnsiTheme="majorHAnsi" w:cstheme="majorHAnsi"/>
          <w:color w:val="808080" w:themeColor="background1" w:themeShade="80"/>
          <w:sz w:val="16"/>
          <w:szCs w:val="16"/>
        </w:rPr>
        <w:t>;</w:t>
      </w:r>
      <w:r w:rsidRPr="001167CB">
        <w:rPr>
          <w:rFonts w:asciiTheme="majorHAnsi" w:hAnsiTheme="majorHAnsi" w:cstheme="majorHAnsi"/>
          <w:bCs/>
          <w:color w:val="808080" w:themeColor="background1" w:themeShade="80"/>
          <w:sz w:val="16"/>
          <w:szCs w:val="16"/>
        </w:rPr>
        <w:t xml:space="preserve"> </w:t>
      </w:r>
      <w:hyperlink r:id="rId221" w:history="1">
        <w:r w:rsidRPr="001167CB">
          <w:rPr>
            <w:rStyle w:val="Hyperlink"/>
            <w:rFonts w:asciiTheme="majorHAnsi" w:hAnsiTheme="majorHAnsi" w:cstheme="majorHAnsi"/>
            <w:bCs/>
            <w:color w:val="808080" w:themeColor="background1" w:themeShade="80"/>
            <w:sz w:val="16"/>
            <w:szCs w:val="16"/>
          </w:rPr>
          <w:t>Walter Scott Press Release</w:t>
        </w:r>
      </w:hyperlink>
      <w:r w:rsidRPr="001167CB">
        <w:rPr>
          <w:rFonts w:asciiTheme="majorHAnsi" w:hAnsiTheme="majorHAnsi" w:cstheme="majorHAnsi"/>
          <w:bCs/>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 xml:space="preserve">Apr. </w:t>
      </w:r>
      <w:r w:rsidRPr="001167CB">
        <w:rPr>
          <w:rFonts w:asciiTheme="majorHAnsi" w:hAnsiTheme="majorHAnsi" w:cstheme="majorHAnsi"/>
          <w:bCs/>
          <w:color w:val="808080" w:themeColor="background1" w:themeShade="80"/>
          <w:sz w:val="16"/>
          <w:szCs w:val="16"/>
        </w:rPr>
        <w:t>17, 2015</w:t>
      </w:r>
      <w:r w:rsidRPr="001167CB">
        <w:rPr>
          <w:rFonts w:asciiTheme="majorHAnsi" w:hAnsiTheme="majorHAnsi" w:cstheme="majorHAnsi"/>
          <w:color w:val="808080" w:themeColor="background1" w:themeShade="80"/>
          <w:sz w:val="16"/>
          <w:szCs w:val="16"/>
        </w:rPr>
        <w:t xml:space="preserve">; </w:t>
      </w:r>
      <w:hyperlink r:id="rId222" w:history="1">
        <w:r w:rsidRPr="001167CB">
          <w:rPr>
            <w:rStyle w:val="Hyperlink"/>
            <w:rFonts w:asciiTheme="majorHAnsi" w:hAnsiTheme="majorHAnsi" w:cstheme="majorHAnsi"/>
            <w:bCs/>
            <w:color w:val="808080" w:themeColor="background1" w:themeShade="80"/>
            <w:sz w:val="16"/>
            <w:szCs w:val="16"/>
          </w:rPr>
          <w:t>Investigation of Police Killings Press Release</w:t>
        </w:r>
      </w:hyperlink>
      <w:r w:rsidRPr="001167CB">
        <w:rPr>
          <w:rFonts w:asciiTheme="majorHAnsi" w:hAnsiTheme="majorHAnsi" w:cstheme="majorHAnsi"/>
          <w:color w:val="808080" w:themeColor="background1" w:themeShade="80"/>
          <w:sz w:val="16"/>
          <w:szCs w:val="16"/>
        </w:rPr>
        <w:t>, Aug. 23, 2016.</w:t>
      </w:r>
    </w:p>
  </w:footnote>
  <w:footnote w:id="177">
    <w:p w14:paraId="43CC3FC8"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i/>
          <w:color w:val="808080" w:themeColor="background1" w:themeShade="80"/>
          <w:sz w:val="16"/>
          <w:szCs w:val="16"/>
        </w:rPr>
        <w:t xml:space="preserve">See, e.g., </w:t>
      </w:r>
      <w:r w:rsidRPr="001167CB">
        <w:rPr>
          <w:rFonts w:asciiTheme="majorHAnsi" w:hAnsiTheme="majorHAnsi" w:cstheme="majorHAnsi"/>
          <w:color w:val="808080" w:themeColor="background1" w:themeShade="80"/>
          <w:sz w:val="16"/>
          <w:szCs w:val="16"/>
        </w:rPr>
        <w:t xml:space="preserve">Washington Post, </w:t>
      </w:r>
      <w:hyperlink r:id="rId223" w:history="1">
        <w:r w:rsidRPr="001167CB">
          <w:rPr>
            <w:rStyle w:val="Hyperlink"/>
            <w:rFonts w:asciiTheme="majorHAnsi" w:hAnsiTheme="majorHAnsi" w:cstheme="majorHAnsi"/>
            <w:color w:val="808080" w:themeColor="background1" w:themeShade="80"/>
            <w:sz w:val="16"/>
            <w:szCs w:val="16"/>
          </w:rPr>
          <w:t>FBI director calls lack of data on police shootings ‘ridiculous,’ ‘embarrassing’</w:t>
        </w:r>
      </w:hyperlink>
      <w:r w:rsidRPr="001167CB">
        <w:rPr>
          <w:rFonts w:asciiTheme="majorHAnsi" w:hAnsiTheme="majorHAnsi" w:cstheme="majorHAnsi"/>
          <w:color w:val="808080" w:themeColor="background1" w:themeShade="80"/>
          <w:sz w:val="16"/>
          <w:szCs w:val="16"/>
        </w:rPr>
        <w:t>, Oct. 7, 2015. In light of the lack of a mandatory federal database, four principal non-governmental databases have been established to track killings by police officers. Two are maintained by newspapers—The Guardian’s “</w:t>
      </w:r>
      <w:hyperlink r:id="rId224" w:history="1">
        <w:r w:rsidRPr="001167CB">
          <w:rPr>
            <w:rStyle w:val="Hyperlink"/>
            <w:rFonts w:asciiTheme="majorHAnsi" w:hAnsiTheme="majorHAnsi" w:cstheme="majorHAnsi"/>
            <w:color w:val="808080" w:themeColor="background1" w:themeShade="80"/>
            <w:sz w:val="16"/>
            <w:szCs w:val="16"/>
          </w:rPr>
          <w:t>The Counted</w:t>
        </w:r>
      </w:hyperlink>
      <w:r w:rsidRPr="001167CB">
        <w:rPr>
          <w:rFonts w:asciiTheme="majorHAnsi" w:hAnsiTheme="majorHAnsi" w:cstheme="majorHAnsi"/>
          <w:color w:val="808080" w:themeColor="background1" w:themeShade="80"/>
          <w:sz w:val="16"/>
          <w:szCs w:val="16"/>
        </w:rPr>
        <w:t>” and The Washington Post’s “</w:t>
      </w:r>
      <w:hyperlink r:id="rId225" w:history="1">
        <w:r w:rsidRPr="001167CB">
          <w:rPr>
            <w:rStyle w:val="Hyperlink"/>
            <w:rFonts w:asciiTheme="majorHAnsi" w:hAnsiTheme="majorHAnsi" w:cstheme="majorHAnsi"/>
            <w:color w:val="808080" w:themeColor="background1" w:themeShade="80"/>
            <w:sz w:val="16"/>
            <w:szCs w:val="16"/>
          </w:rPr>
          <w:t>Fatal Force</w:t>
        </w:r>
      </w:hyperlink>
      <w:r w:rsidRPr="001167CB">
        <w:rPr>
          <w:rFonts w:asciiTheme="majorHAnsi" w:hAnsiTheme="majorHAnsi" w:cstheme="majorHAnsi"/>
          <w:color w:val="808080" w:themeColor="background1" w:themeShade="80"/>
          <w:sz w:val="16"/>
          <w:szCs w:val="16"/>
        </w:rPr>
        <w:t>”—and two are maintained by citizen activist groups—“</w:t>
      </w:r>
      <w:hyperlink r:id="rId226" w:history="1">
        <w:r w:rsidRPr="001167CB">
          <w:rPr>
            <w:rStyle w:val="Hyperlink"/>
            <w:rFonts w:asciiTheme="majorHAnsi" w:hAnsiTheme="majorHAnsi" w:cstheme="majorHAnsi"/>
            <w:color w:val="808080" w:themeColor="background1" w:themeShade="80"/>
            <w:sz w:val="16"/>
            <w:szCs w:val="16"/>
          </w:rPr>
          <w:t>Fatal Encounters</w:t>
        </w:r>
      </w:hyperlink>
      <w:r w:rsidRPr="001167CB">
        <w:rPr>
          <w:rFonts w:asciiTheme="majorHAnsi" w:hAnsiTheme="majorHAnsi" w:cstheme="majorHAnsi"/>
          <w:color w:val="808080" w:themeColor="background1" w:themeShade="80"/>
          <w:sz w:val="16"/>
          <w:szCs w:val="16"/>
        </w:rPr>
        <w:t>” and “</w:t>
      </w:r>
      <w:hyperlink r:id="rId227" w:history="1">
        <w:r w:rsidRPr="001167CB">
          <w:rPr>
            <w:rStyle w:val="Hyperlink"/>
            <w:rFonts w:asciiTheme="majorHAnsi" w:hAnsiTheme="majorHAnsi" w:cstheme="majorHAnsi"/>
            <w:color w:val="808080" w:themeColor="background1" w:themeShade="80"/>
            <w:sz w:val="16"/>
            <w:szCs w:val="16"/>
          </w:rPr>
          <w:t>Killed by Police</w:t>
        </w:r>
      </w:hyperlink>
      <w:r w:rsidRPr="001167CB">
        <w:rPr>
          <w:rFonts w:asciiTheme="majorHAnsi" w:hAnsiTheme="majorHAnsi" w:cstheme="majorHAnsi"/>
          <w:color w:val="808080" w:themeColor="background1" w:themeShade="80"/>
          <w:sz w:val="16"/>
          <w:szCs w:val="16"/>
        </w:rPr>
        <w:t xml:space="preserve">.” </w:t>
      </w:r>
    </w:p>
  </w:footnote>
  <w:footnote w:id="178">
    <w:p w14:paraId="0DB7BC64" w14:textId="01BCB9C9"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i/>
          <w:color w:val="808080" w:themeColor="background1" w:themeShade="80"/>
          <w:sz w:val="16"/>
          <w:szCs w:val="16"/>
        </w:rPr>
        <w:t>See infra</w:t>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fldChar w:fldCharType="begin"/>
      </w:r>
      <w:r w:rsidRPr="001167CB">
        <w:rPr>
          <w:rFonts w:asciiTheme="majorHAnsi" w:hAnsiTheme="majorHAnsi" w:cstheme="majorHAnsi"/>
          <w:color w:val="808080" w:themeColor="background1" w:themeShade="80"/>
          <w:sz w:val="16"/>
          <w:szCs w:val="16"/>
        </w:rPr>
        <w:instrText xml:space="preserve"> REF _Ref507149138 \h  \* MERGEFORMAT </w:instrText>
      </w:r>
      <w:r w:rsidRPr="001167CB">
        <w:rPr>
          <w:rFonts w:asciiTheme="majorHAnsi" w:hAnsiTheme="majorHAnsi" w:cstheme="majorHAnsi"/>
          <w:color w:val="808080" w:themeColor="background1" w:themeShade="80"/>
          <w:sz w:val="16"/>
          <w:szCs w:val="16"/>
        </w:rPr>
      </w:r>
      <w:r w:rsidRPr="001167CB">
        <w:rPr>
          <w:rFonts w:asciiTheme="majorHAnsi" w:hAnsiTheme="majorHAnsi" w:cstheme="majorHAnsi"/>
          <w:color w:val="808080" w:themeColor="background1" w:themeShade="80"/>
          <w:sz w:val="16"/>
          <w:szCs w:val="16"/>
        </w:rPr>
        <w:fldChar w:fldCharType="separate"/>
      </w:r>
      <w:r w:rsidRPr="001167CB">
        <w:rPr>
          <w:rFonts w:asciiTheme="majorHAnsi" w:hAnsiTheme="majorHAnsi" w:cstheme="majorHAnsi"/>
          <w:color w:val="808080" w:themeColor="background1" w:themeShade="80"/>
          <w:sz w:val="16"/>
          <w:szCs w:val="16"/>
          <w:lang w:val="en"/>
        </w:rPr>
        <w:t xml:space="preserve">International Framework regarding Access to Justice: Due Diligence, Accountability, </w:t>
      </w:r>
      <w:proofErr w:type="gramStart"/>
      <w:r w:rsidRPr="001167CB">
        <w:rPr>
          <w:rFonts w:asciiTheme="majorHAnsi" w:hAnsiTheme="majorHAnsi" w:cstheme="majorHAnsi"/>
          <w:color w:val="808080" w:themeColor="background1" w:themeShade="80"/>
          <w:sz w:val="16"/>
          <w:szCs w:val="16"/>
          <w:lang w:val="en"/>
        </w:rPr>
        <w:t>Institutional</w:t>
      </w:r>
      <w:proofErr w:type="gramEnd"/>
      <w:r w:rsidRPr="001167CB">
        <w:rPr>
          <w:rFonts w:asciiTheme="majorHAnsi" w:hAnsiTheme="majorHAnsi" w:cstheme="majorHAnsi"/>
          <w:color w:val="808080" w:themeColor="background1" w:themeShade="80"/>
          <w:sz w:val="16"/>
          <w:szCs w:val="16"/>
          <w:lang w:val="en"/>
        </w:rPr>
        <w:t xml:space="preserve"> </w:t>
      </w:r>
      <w:r w:rsidRPr="001167CB">
        <w:rPr>
          <w:rFonts w:asciiTheme="majorHAnsi" w:hAnsiTheme="majorHAnsi" w:cstheme="majorHAnsi"/>
          <w:color w:val="808080" w:themeColor="background1" w:themeShade="80"/>
          <w:sz w:val="16"/>
          <w:szCs w:val="16"/>
        </w:rPr>
        <w:t>Independence</w:t>
      </w:r>
      <w:r w:rsidRPr="001167CB">
        <w:rPr>
          <w:rFonts w:asciiTheme="majorHAnsi" w:hAnsiTheme="majorHAnsi" w:cstheme="majorHAnsi"/>
          <w:color w:val="808080" w:themeColor="background1" w:themeShade="80"/>
          <w:sz w:val="16"/>
          <w:szCs w:val="16"/>
        </w:rPr>
        <w:fldChar w:fldCharType="end"/>
      </w:r>
      <w:r w:rsidRPr="001167CB">
        <w:rPr>
          <w:rFonts w:asciiTheme="majorHAnsi" w:hAnsiTheme="majorHAnsi" w:cstheme="majorHAnsi"/>
          <w:color w:val="808080" w:themeColor="background1" w:themeShade="80"/>
          <w:sz w:val="16"/>
          <w:szCs w:val="16"/>
        </w:rPr>
        <w:t>.</w:t>
      </w:r>
    </w:p>
  </w:footnote>
  <w:footnote w:id="179">
    <w:p w14:paraId="5CC30EE9" w14:textId="77777777" w:rsidR="005C2394" w:rsidRPr="001167CB" w:rsidRDefault="005C2394" w:rsidP="002C64F8">
      <w:pPr>
        <w:spacing w:after="40" w:line="240" w:lineRule="auto"/>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vertAlign w:val="superscript"/>
        </w:rPr>
        <w:t xml:space="preserve"> </w:t>
      </w:r>
      <w:r w:rsidRPr="001167CB">
        <w:rPr>
          <w:rFonts w:asciiTheme="majorHAnsi" w:hAnsiTheme="majorHAnsi" w:cstheme="majorHAnsi"/>
          <w:color w:val="808080" w:themeColor="background1" w:themeShade="80"/>
          <w:sz w:val="16"/>
          <w:szCs w:val="16"/>
          <w:vertAlign w:val="superscript"/>
        </w:rPr>
        <w:tab/>
      </w:r>
      <w:r w:rsidRPr="001167CB">
        <w:rPr>
          <w:rFonts w:asciiTheme="majorHAnsi" w:hAnsiTheme="majorHAnsi" w:cstheme="majorHAnsi"/>
          <w:color w:val="808080" w:themeColor="background1" w:themeShade="80"/>
          <w:sz w:val="16"/>
          <w:szCs w:val="16"/>
        </w:rPr>
        <w:t xml:space="preserve">New York Times, </w:t>
      </w:r>
      <w:hyperlink r:id="rId228" w:history="1">
        <w:r w:rsidRPr="001167CB">
          <w:rPr>
            <w:rStyle w:val="Hyperlink"/>
            <w:rFonts w:asciiTheme="majorHAnsi" w:hAnsiTheme="majorHAnsi" w:cstheme="majorHAnsi"/>
            <w:bCs/>
            <w:color w:val="808080" w:themeColor="background1" w:themeShade="80"/>
            <w:sz w:val="16"/>
            <w:szCs w:val="16"/>
          </w:rPr>
          <w:t>Why Are Police Officers More Dangerous Than Airplanes?</w:t>
        </w:r>
      </w:hyperlink>
      <w:r w:rsidRPr="001167CB">
        <w:rPr>
          <w:rFonts w:asciiTheme="majorHAnsi" w:hAnsiTheme="majorHAnsi" w:cstheme="majorHAnsi"/>
          <w:bCs/>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 xml:space="preserve">Aug. </w:t>
      </w:r>
      <w:r w:rsidRPr="001167CB">
        <w:rPr>
          <w:rFonts w:asciiTheme="majorHAnsi" w:hAnsiTheme="majorHAnsi" w:cstheme="majorHAnsi"/>
          <w:bCs/>
          <w:color w:val="808080" w:themeColor="background1" w:themeShade="80"/>
          <w:sz w:val="16"/>
          <w:szCs w:val="16"/>
        </w:rPr>
        <w:t>2017.</w:t>
      </w:r>
    </w:p>
  </w:footnote>
  <w:footnote w:id="180">
    <w:p w14:paraId="421FDE88"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hyperlink r:id="rId229" w:history="1">
        <w:r w:rsidRPr="001167CB">
          <w:rPr>
            <w:rStyle w:val="Hyperlink"/>
            <w:rFonts w:asciiTheme="majorHAnsi" w:hAnsiTheme="majorHAnsi" w:cstheme="majorHAnsi"/>
            <w:color w:val="808080" w:themeColor="background1" w:themeShade="80"/>
            <w:sz w:val="16"/>
            <w:szCs w:val="16"/>
          </w:rPr>
          <w:t>Fata</w:t>
        </w:r>
      </w:hyperlink>
      <w:r w:rsidRPr="001167CB">
        <w:rPr>
          <w:rStyle w:val="Hyperlink"/>
          <w:rFonts w:asciiTheme="majorHAnsi" w:hAnsiTheme="majorHAnsi" w:cstheme="majorHAnsi"/>
          <w:color w:val="808080" w:themeColor="background1" w:themeShade="80"/>
          <w:sz w:val="16"/>
          <w:szCs w:val="16"/>
        </w:rPr>
        <w:t>l Force: 2017</w:t>
      </w:r>
      <w:r w:rsidRPr="001167CB">
        <w:rPr>
          <w:rFonts w:asciiTheme="majorHAnsi" w:hAnsiTheme="majorHAnsi" w:cstheme="majorHAnsi"/>
          <w:color w:val="808080" w:themeColor="background1" w:themeShade="80"/>
          <w:sz w:val="16"/>
          <w:szCs w:val="16"/>
        </w:rPr>
        <w:t xml:space="preserve">; Washington Post, </w:t>
      </w:r>
      <w:hyperlink r:id="rId230" w:history="1">
        <w:r w:rsidRPr="001167CB">
          <w:rPr>
            <w:rStyle w:val="Hyperlink"/>
            <w:rFonts w:asciiTheme="majorHAnsi" w:hAnsiTheme="majorHAnsi" w:cstheme="majorHAnsi"/>
            <w:color w:val="808080" w:themeColor="background1" w:themeShade="80"/>
            <w:sz w:val="16"/>
            <w:szCs w:val="16"/>
          </w:rPr>
          <w:t>Nationwide, police shot and killed nearly 1,000 people in 2017</w:t>
        </w:r>
      </w:hyperlink>
      <w:r w:rsidRPr="001167CB">
        <w:rPr>
          <w:rFonts w:asciiTheme="majorHAnsi" w:hAnsiTheme="majorHAnsi" w:cstheme="majorHAnsi"/>
          <w:color w:val="808080" w:themeColor="background1" w:themeShade="80"/>
          <w:sz w:val="16"/>
          <w:szCs w:val="16"/>
        </w:rPr>
        <w:t>, Jan. 6, 2018.</w:t>
      </w:r>
    </w:p>
  </w:footnote>
  <w:footnote w:id="181">
    <w:p w14:paraId="5BA8D1BC"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PRI, </w:t>
      </w:r>
      <w:hyperlink r:id="rId231" w:history="1">
        <w:proofErr w:type="gramStart"/>
        <w:r w:rsidRPr="001167CB">
          <w:rPr>
            <w:rStyle w:val="Hyperlink"/>
            <w:rFonts w:asciiTheme="majorHAnsi" w:hAnsiTheme="majorHAnsi" w:cstheme="majorHAnsi"/>
            <w:color w:val="808080" w:themeColor="background1" w:themeShade="80"/>
            <w:sz w:val="16"/>
            <w:szCs w:val="16"/>
          </w:rPr>
          <w:t>When</w:t>
        </w:r>
        <w:proofErr w:type="gramEnd"/>
        <w:r w:rsidRPr="001167CB">
          <w:rPr>
            <w:rStyle w:val="Hyperlink"/>
            <w:rFonts w:asciiTheme="majorHAnsi" w:hAnsiTheme="majorHAnsi" w:cstheme="majorHAnsi"/>
            <w:color w:val="808080" w:themeColor="background1" w:themeShade="80"/>
            <w:sz w:val="16"/>
            <w:szCs w:val="16"/>
          </w:rPr>
          <w:t xml:space="preserve"> it comes to police shootings, the US doesn't look like a developed nation</w:t>
        </w:r>
      </w:hyperlink>
      <w:r w:rsidRPr="001167CB">
        <w:rPr>
          <w:rFonts w:asciiTheme="majorHAnsi" w:hAnsiTheme="majorHAnsi" w:cstheme="majorHAnsi"/>
          <w:color w:val="808080" w:themeColor="background1" w:themeShade="80"/>
          <w:sz w:val="16"/>
          <w:szCs w:val="16"/>
        </w:rPr>
        <w:t>, July 12, 2016.</w:t>
      </w:r>
    </w:p>
  </w:footnote>
  <w:footnote w:id="182">
    <w:p w14:paraId="7682FA53" w14:textId="77777777" w:rsidR="005C2394" w:rsidRPr="001167CB" w:rsidRDefault="005C2394" w:rsidP="002C64F8">
      <w:pPr>
        <w:pStyle w:val="FootnoteText"/>
        <w:spacing w:after="40"/>
        <w:ind w:left="547" w:hanging="547"/>
        <w:contextualSpacing/>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The Washington Post database registered 223 African Americans among the 987 total killings by police registered in the United States during 2017 (23 percent of total killings). Washington Post, </w:t>
      </w:r>
      <w:hyperlink r:id="rId232" w:history="1">
        <w:r w:rsidRPr="001167CB">
          <w:rPr>
            <w:rStyle w:val="Hyperlink"/>
            <w:rFonts w:asciiTheme="majorHAnsi" w:hAnsiTheme="majorHAnsi" w:cstheme="majorHAnsi"/>
            <w:color w:val="808080" w:themeColor="background1" w:themeShade="80"/>
            <w:sz w:val="16"/>
            <w:szCs w:val="16"/>
          </w:rPr>
          <w:t>Fata</w:t>
        </w:r>
      </w:hyperlink>
      <w:r w:rsidRPr="001167CB">
        <w:rPr>
          <w:rStyle w:val="Hyperlink"/>
          <w:rFonts w:asciiTheme="majorHAnsi" w:hAnsiTheme="majorHAnsi" w:cstheme="majorHAnsi"/>
          <w:color w:val="808080" w:themeColor="background1" w:themeShade="80"/>
          <w:sz w:val="16"/>
          <w:szCs w:val="16"/>
        </w:rPr>
        <w:t>l Force: 2017</w:t>
      </w:r>
      <w:r w:rsidRPr="001167CB">
        <w:rPr>
          <w:rFonts w:asciiTheme="majorHAnsi" w:hAnsiTheme="majorHAnsi" w:cstheme="majorHAnsi"/>
          <w:color w:val="808080" w:themeColor="background1" w:themeShade="80"/>
          <w:sz w:val="16"/>
          <w:szCs w:val="16"/>
        </w:rPr>
        <w:t>, last visited Nov. 8, 2017.</w:t>
      </w:r>
    </w:p>
  </w:footnote>
  <w:footnote w:id="183">
    <w:p w14:paraId="19CA4AF9"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i/>
          <w:color w:val="808080" w:themeColor="background1" w:themeShade="80"/>
          <w:sz w:val="16"/>
          <w:szCs w:val="16"/>
        </w:rPr>
        <w:t>See</w:t>
      </w:r>
      <w:r w:rsidRPr="001167CB">
        <w:rPr>
          <w:rFonts w:asciiTheme="majorHAnsi" w:hAnsiTheme="majorHAnsi" w:cstheme="majorHAnsi"/>
          <w:color w:val="808080" w:themeColor="background1" w:themeShade="80"/>
          <w:sz w:val="16"/>
          <w:szCs w:val="16"/>
        </w:rPr>
        <w:t xml:space="preserve"> Washington Post, </w:t>
      </w:r>
      <w:hyperlink r:id="rId233" w:history="1">
        <w:r w:rsidRPr="001167CB">
          <w:rPr>
            <w:rStyle w:val="Hyperlink"/>
            <w:rFonts w:asciiTheme="majorHAnsi" w:hAnsiTheme="majorHAnsi" w:cstheme="majorHAnsi"/>
            <w:color w:val="808080" w:themeColor="background1" w:themeShade="80"/>
            <w:sz w:val="16"/>
            <w:szCs w:val="16"/>
          </w:rPr>
          <w:t>Fatal Force: 2016</w:t>
        </w:r>
      </w:hyperlink>
      <w:r w:rsidRPr="001167CB">
        <w:rPr>
          <w:rFonts w:asciiTheme="majorHAnsi" w:hAnsiTheme="majorHAnsi" w:cstheme="majorHAnsi"/>
          <w:color w:val="808080" w:themeColor="background1" w:themeShade="80"/>
          <w:sz w:val="16"/>
          <w:szCs w:val="16"/>
        </w:rPr>
        <w:t xml:space="preserve">, last visited Oct. 23, 2017; </w:t>
      </w:r>
      <w:hyperlink r:id="rId234" w:history="1">
        <w:r w:rsidRPr="001167CB">
          <w:rPr>
            <w:rStyle w:val="Hyperlink"/>
            <w:rFonts w:asciiTheme="majorHAnsi" w:hAnsiTheme="majorHAnsi" w:cstheme="majorHAnsi"/>
            <w:color w:val="808080" w:themeColor="background1" w:themeShade="80"/>
            <w:sz w:val="16"/>
            <w:szCs w:val="16"/>
          </w:rPr>
          <w:t>Fatal Force: 2015</w:t>
        </w:r>
      </w:hyperlink>
      <w:r w:rsidRPr="001167CB">
        <w:rPr>
          <w:rFonts w:asciiTheme="majorHAnsi" w:hAnsiTheme="majorHAnsi" w:cstheme="majorHAnsi"/>
          <w:color w:val="808080" w:themeColor="background1" w:themeShade="80"/>
          <w:sz w:val="16"/>
          <w:szCs w:val="16"/>
        </w:rPr>
        <w:t xml:space="preserve">, last visited Oct. 23, 2017. </w:t>
      </w:r>
    </w:p>
  </w:footnote>
  <w:footnote w:id="184">
    <w:p w14:paraId="00AB0003" w14:textId="77777777" w:rsidR="005C2394" w:rsidRPr="001167CB" w:rsidRDefault="005C2394" w:rsidP="002C64F8">
      <w:pPr>
        <w:spacing w:after="40" w:line="240" w:lineRule="auto"/>
        <w:ind w:left="547" w:hanging="547"/>
        <w:contextualSpacing/>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bCs/>
          <w:color w:val="808080" w:themeColor="background1" w:themeShade="80"/>
          <w:sz w:val="16"/>
          <w:szCs w:val="16"/>
        </w:rPr>
        <w:t xml:space="preserve">IACHR, 156th Period of Sessions, </w:t>
      </w:r>
      <w:hyperlink r:id="rId235" w:history="1">
        <w:r w:rsidRPr="001167CB">
          <w:rPr>
            <w:rStyle w:val="Hyperlink"/>
            <w:rFonts w:asciiTheme="majorHAnsi" w:hAnsiTheme="majorHAnsi" w:cstheme="majorHAnsi"/>
            <w:bCs/>
            <w:color w:val="808080" w:themeColor="background1" w:themeShade="80"/>
            <w:sz w:val="16"/>
            <w:szCs w:val="16"/>
          </w:rPr>
          <w:t>“Police Killings” Hearing</w:t>
        </w:r>
      </w:hyperlink>
      <w:r w:rsidRPr="001167CB">
        <w:rPr>
          <w:rFonts w:asciiTheme="majorHAnsi" w:hAnsiTheme="majorHAnsi" w:cstheme="majorHAnsi"/>
          <w:bCs/>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 xml:space="preserve">Oct. </w:t>
      </w:r>
      <w:r w:rsidRPr="001167CB">
        <w:rPr>
          <w:rFonts w:asciiTheme="majorHAnsi" w:hAnsiTheme="majorHAnsi" w:cstheme="majorHAnsi"/>
          <w:bCs/>
          <w:color w:val="808080" w:themeColor="background1" w:themeShade="80"/>
          <w:sz w:val="16"/>
          <w:szCs w:val="16"/>
        </w:rPr>
        <w:t>23, 2015</w:t>
      </w:r>
      <w:r w:rsidRPr="001167CB">
        <w:rPr>
          <w:rFonts w:asciiTheme="majorHAnsi" w:hAnsiTheme="majorHAnsi" w:cstheme="majorHAnsi"/>
          <w:color w:val="808080" w:themeColor="background1" w:themeShade="80"/>
          <w:sz w:val="16"/>
          <w:szCs w:val="16"/>
        </w:rPr>
        <w:t>.</w:t>
      </w:r>
    </w:p>
  </w:footnote>
  <w:footnote w:id="185">
    <w:p w14:paraId="3B2C267E" w14:textId="208D934C"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James Buehler, “</w:t>
      </w:r>
      <w:r w:rsidRPr="001167CB">
        <w:rPr>
          <w:rFonts w:asciiTheme="majorHAnsi" w:hAnsiTheme="majorHAnsi" w:cstheme="majorHAnsi"/>
          <w:iCs/>
          <w:color w:val="808080" w:themeColor="background1" w:themeShade="80"/>
          <w:sz w:val="16"/>
          <w:szCs w:val="16"/>
        </w:rPr>
        <w:t>R</w:t>
      </w:r>
      <w:hyperlink r:id="rId236" w:history="1">
        <w:r w:rsidRPr="001167CB">
          <w:rPr>
            <w:rStyle w:val="Hyperlink"/>
            <w:rFonts w:asciiTheme="majorHAnsi" w:hAnsiTheme="majorHAnsi" w:cstheme="majorHAnsi"/>
            <w:iCs/>
            <w:color w:val="808080" w:themeColor="background1" w:themeShade="80"/>
            <w:sz w:val="16"/>
            <w:szCs w:val="16"/>
          </w:rPr>
          <w:t>acial/Ethnic Disparities in the Use of Lethal Force by US Police, 2010–2014</w:t>
        </w:r>
      </w:hyperlink>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i/>
          <w:color w:val="808080" w:themeColor="background1" w:themeShade="80"/>
          <w:sz w:val="16"/>
          <w:szCs w:val="16"/>
        </w:rPr>
        <w:t>American Journal of Public Health</w:t>
      </w:r>
      <w:r w:rsidRPr="001167CB">
        <w:rPr>
          <w:rFonts w:asciiTheme="majorHAnsi" w:hAnsiTheme="majorHAnsi" w:cstheme="majorHAnsi"/>
          <w:color w:val="808080" w:themeColor="background1" w:themeShade="80"/>
          <w:sz w:val="16"/>
          <w:szCs w:val="16"/>
        </w:rPr>
        <w:t xml:space="preserve">, Jan. 11, 2017. </w:t>
      </w:r>
    </w:p>
  </w:footnote>
  <w:footnote w:id="186">
    <w:p w14:paraId="27CD7A7B"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i/>
          <w:color w:val="808080" w:themeColor="background1" w:themeShade="80"/>
          <w:sz w:val="16"/>
          <w:szCs w:val="16"/>
        </w:rPr>
        <w:t xml:space="preserve"> </w:t>
      </w:r>
      <w:r w:rsidRPr="001167CB">
        <w:rPr>
          <w:rFonts w:asciiTheme="majorHAnsi" w:hAnsiTheme="majorHAnsi" w:cstheme="majorHAnsi"/>
          <w:i/>
          <w:color w:val="808080" w:themeColor="background1" w:themeShade="80"/>
          <w:sz w:val="16"/>
          <w:szCs w:val="16"/>
        </w:rPr>
        <w:tab/>
      </w:r>
      <w:r w:rsidRPr="001167CB">
        <w:rPr>
          <w:rFonts w:asciiTheme="majorHAnsi" w:hAnsiTheme="majorHAnsi" w:cstheme="majorHAnsi"/>
          <w:color w:val="808080" w:themeColor="background1" w:themeShade="80"/>
          <w:sz w:val="16"/>
          <w:szCs w:val="16"/>
        </w:rPr>
        <w:t xml:space="preserve">Cody Ross, </w:t>
      </w:r>
      <w:r w:rsidRPr="001167CB">
        <w:rPr>
          <w:rFonts w:asciiTheme="majorHAnsi" w:hAnsiTheme="majorHAnsi" w:cstheme="majorHAnsi"/>
          <w:i/>
          <w:color w:val="808080" w:themeColor="background1" w:themeShade="80"/>
          <w:sz w:val="16"/>
          <w:szCs w:val="16"/>
        </w:rPr>
        <w:t>A Multi-Level Bayesian Analysis of Racial Bias in Police Shootings at the County-Level in the United States,</w:t>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i/>
          <w:color w:val="808080" w:themeColor="background1" w:themeShade="80"/>
          <w:sz w:val="16"/>
          <w:szCs w:val="16"/>
        </w:rPr>
        <w:t>2011–2014</w:t>
      </w:r>
      <w:r w:rsidRPr="001167CB">
        <w:rPr>
          <w:rFonts w:asciiTheme="majorHAnsi" w:hAnsiTheme="majorHAnsi" w:cstheme="majorHAnsi"/>
          <w:color w:val="808080" w:themeColor="background1" w:themeShade="80"/>
          <w:sz w:val="16"/>
          <w:szCs w:val="16"/>
        </w:rPr>
        <w:t xml:space="preserve">, </w:t>
      </w:r>
      <w:proofErr w:type="spellStart"/>
      <w:r w:rsidRPr="001167CB">
        <w:rPr>
          <w:rFonts w:asciiTheme="majorHAnsi" w:hAnsiTheme="majorHAnsi" w:cstheme="majorHAnsi"/>
          <w:color w:val="808080" w:themeColor="background1" w:themeShade="80"/>
          <w:sz w:val="16"/>
          <w:szCs w:val="16"/>
        </w:rPr>
        <w:t>Plos</w:t>
      </w:r>
      <w:proofErr w:type="spellEnd"/>
      <w:r w:rsidRPr="001167CB">
        <w:rPr>
          <w:rFonts w:asciiTheme="majorHAnsi" w:hAnsiTheme="majorHAnsi" w:cstheme="majorHAnsi"/>
          <w:color w:val="808080" w:themeColor="background1" w:themeShade="80"/>
          <w:sz w:val="16"/>
          <w:szCs w:val="16"/>
        </w:rPr>
        <w:t xml:space="preserve"> Journals, Nov. 5, 2015.</w:t>
      </w:r>
    </w:p>
  </w:footnote>
  <w:footnote w:id="187">
    <w:p w14:paraId="10E0834C"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bCs/>
          <w:color w:val="808080" w:themeColor="background1" w:themeShade="80"/>
          <w:sz w:val="16"/>
          <w:szCs w:val="16"/>
        </w:rPr>
        <w:t xml:space="preserve">IACHR, 156th Period of Sessions, </w:t>
      </w:r>
      <w:hyperlink r:id="rId237" w:history="1">
        <w:r w:rsidRPr="001167CB">
          <w:rPr>
            <w:rStyle w:val="Hyperlink"/>
            <w:rFonts w:asciiTheme="majorHAnsi" w:hAnsiTheme="majorHAnsi" w:cstheme="majorHAnsi"/>
            <w:bCs/>
            <w:color w:val="808080" w:themeColor="background1" w:themeShade="80"/>
            <w:sz w:val="16"/>
            <w:szCs w:val="16"/>
          </w:rPr>
          <w:t>“Police Killings” Hearing</w:t>
        </w:r>
      </w:hyperlink>
      <w:r w:rsidRPr="001167CB">
        <w:rPr>
          <w:rFonts w:asciiTheme="majorHAnsi" w:hAnsiTheme="majorHAnsi" w:cstheme="majorHAnsi"/>
          <w:bCs/>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 xml:space="preserve">Oct. </w:t>
      </w:r>
      <w:r w:rsidRPr="001167CB">
        <w:rPr>
          <w:rFonts w:asciiTheme="majorHAnsi" w:hAnsiTheme="majorHAnsi" w:cstheme="majorHAnsi"/>
          <w:bCs/>
          <w:color w:val="808080" w:themeColor="background1" w:themeShade="80"/>
          <w:sz w:val="16"/>
          <w:szCs w:val="16"/>
        </w:rPr>
        <w:t>23, 2015</w:t>
      </w:r>
      <w:r w:rsidRPr="001167CB">
        <w:rPr>
          <w:rFonts w:asciiTheme="majorHAnsi" w:hAnsiTheme="majorHAnsi" w:cstheme="majorHAnsi"/>
          <w:color w:val="808080" w:themeColor="background1" w:themeShade="80"/>
          <w:sz w:val="16"/>
          <w:szCs w:val="16"/>
        </w:rPr>
        <w:t>.</w:t>
      </w:r>
    </w:p>
  </w:footnote>
  <w:footnote w:id="188">
    <w:p w14:paraId="1019C072"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New York Times, </w:t>
      </w:r>
      <w:hyperlink r:id="rId238" w:history="1">
        <w:r w:rsidRPr="001167CB">
          <w:rPr>
            <w:rStyle w:val="Hyperlink"/>
            <w:rFonts w:asciiTheme="majorHAnsi" w:hAnsiTheme="majorHAnsi" w:cstheme="majorHAnsi"/>
            <w:color w:val="808080" w:themeColor="background1" w:themeShade="80"/>
            <w:sz w:val="16"/>
            <w:szCs w:val="16"/>
          </w:rPr>
          <w:t>Officers in Bronx Fire 41 Shots, And an Unarmed Man Is Killed</w:t>
        </w:r>
      </w:hyperlink>
      <w:r w:rsidRPr="001167CB">
        <w:rPr>
          <w:rFonts w:asciiTheme="majorHAnsi" w:hAnsiTheme="majorHAnsi" w:cstheme="majorHAnsi"/>
          <w:color w:val="808080" w:themeColor="background1" w:themeShade="80"/>
          <w:sz w:val="16"/>
          <w:szCs w:val="16"/>
        </w:rPr>
        <w:t>, Feb. 5, 1999.</w:t>
      </w:r>
    </w:p>
  </w:footnote>
  <w:footnote w:id="189">
    <w:p w14:paraId="46F893FB"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i/>
          <w:color w:val="808080" w:themeColor="background1" w:themeShade="80"/>
          <w:sz w:val="16"/>
          <w:szCs w:val="16"/>
        </w:rPr>
        <w:t>See, e.g.,</w:t>
      </w:r>
      <w:r w:rsidRPr="001167CB">
        <w:rPr>
          <w:rFonts w:asciiTheme="majorHAnsi" w:hAnsiTheme="majorHAnsi" w:cstheme="majorHAnsi"/>
          <w:color w:val="808080" w:themeColor="background1" w:themeShade="80"/>
          <w:sz w:val="16"/>
          <w:szCs w:val="16"/>
        </w:rPr>
        <w:t xml:space="preserve"> LA Times, </w:t>
      </w:r>
      <w:hyperlink r:id="rId239" w:history="1">
        <w:r w:rsidRPr="001167CB">
          <w:rPr>
            <w:rStyle w:val="Hyperlink"/>
            <w:rFonts w:asciiTheme="majorHAnsi" w:hAnsiTheme="majorHAnsi" w:cstheme="majorHAnsi"/>
            <w:color w:val="808080" w:themeColor="background1" w:themeShade="80"/>
            <w:sz w:val="16"/>
            <w:szCs w:val="16"/>
          </w:rPr>
          <w:t>Cops shoot and kill someone about 1,000 times a year. Few are prosecuted. What can be done?</w:t>
        </w:r>
      </w:hyperlink>
      <w:r w:rsidRPr="001167CB">
        <w:rPr>
          <w:rFonts w:asciiTheme="majorHAnsi" w:hAnsiTheme="majorHAnsi" w:cstheme="majorHAnsi"/>
          <w:color w:val="808080" w:themeColor="background1" w:themeShade="80"/>
          <w:sz w:val="16"/>
          <w:szCs w:val="16"/>
        </w:rPr>
        <w:t>, Dec. 15, 2016.</w:t>
      </w:r>
    </w:p>
  </w:footnote>
  <w:footnote w:id="190">
    <w:p w14:paraId="4951D15C"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i/>
          <w:color w:val="808080" w:themeColor="background1" w:themeShade="80"/>
          <w:sz w:val="16"/>
          <w:szCs w:val="16"/>
        </w:rPr>
        <w:t>See, e.g.</w:t>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bCs/>
          <w:color w:val="808080" w:themeColor="background1" w:themeShade="80"/>
          <w:sz w:val="16"/>
          <w:szCs w:val="16"/>
        </w:rPr>
        <w:t xml:space="preserve">IACHR, 166th Period of Sessions, </w:t>
      </w:r>
      <w:hyperlink r:id="rId240" w:history="1">
        <w:r w:rsidRPr="001167CB">
          <w:rPr>
            <w:rStyle w:val="Hyperlink"/>
            <w:rFonts w:asciiTheme="majorHAnsi" w:hAnsiTheme="majorHAnsi" w:cstheme="majorHAnsi"/>
            <w:bCs/>
            <w:color w:val="808080" w:themeColor="background1" w:themeShade="80"/>
            <w:sz w:val="16"/>
            <w:szCs w:val="16"/>
          </w:rPr>
          <w:t>“Impunity for Police Killings” Hearing</w:t>
        </w:r>
      </w:hyperlink>
      <w:r w:rsidRPr="001167CB">
        <w:rPr>
          <w:rFonts w:asciiTheme="majorHAnsi" w:hAnsiTheme="majorHAnsi" w:cstheme="majorHAnsi"/>
          <w:bCs/>
          <w:color w:val="808080" w:themeColor="background1" w:themeShade="80"/>
          <w:sz w:val="16"/>
          <w:szCs w:val="16"/>
        </w:rPr>
        <w:t>,</w:t>
      </w:r>
      <w:r w:rsidRPr="001167CB">
        <w:rPr>
          <w:rFonts w:asciiTheme="majorHAnsi" w:hAnsiTheme="majorHAnsi" w:cstheme="majorHAnsi"/>
          <w:color w:val="808080" w:themeColor="background1" w:themeShade="80"/>
          <w:sz w:val="16"/>
          <w:szCs w:val="16"/>
        </w:rPr>
        <w:t xml:space="preserve"> Dec. </w:t>
      </w:r>
      <w:r w:rsidRPr="001167CB">
        <w:rPr>
          <w:rFonts w:asciiTheme="majorHAnsi" w:hAnsiTheme="majorHAnsi" w:cstheme="majorHAnsi"/>
          <w:bCs/>
          <w:color w:val="808080" w:themeColor="background1" w:themeShade="80"/>
          <w:sz w:val="16"/>
          <w:szCs w:val="16"/>
        </w:rPr>
        <w:t>7, 2017</w:t>
      </w:r>
      <w:r w:rsidRPr="001167CB">
        <w:rPr>
          <w:rFonts w:asciiTheme="majorHAnsi" w:hAnsiTheme="majorHAnsi" w:cstheme="majorHAnsi"/>
          <w:color w:val="808080" w:themeColor="background1" w:themeShade="80"/>
          <w:sz w:val="16"/>
          <w:szCs w:val="16"/>
        </w:rPr>
        <w:t>.</w:t>
      </w:r>
    </w:p>
  </w:footnote>
  <w:footnote w:id="191">
    <w:p w14:paraId="62D993B5"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IACHR, </w:t>
      </w:r>
      <w:hyperlink r:id="rId241" w:history="1">
        <w:r w:rsidRPr="001167CB">
          <w:rPr>
            <w:rStyle w:val="Hyperlink"/>
            <w:rFonts w:asciiTheme="majorHAnsi" w:hAnsiTheme="majorHAnsi" w:cstheme="majorHAnsi"/>
            <w:color w:val="808080" w:themeColor="background1" w:themeShade="80"/>
            <w:sz w:val="16"/>
            <w:szCs w:val="16"/>
          </w:rPr>
          <w:t>Citizen Security and Human Rights</w:t>
        </w:r>
      </w:hyperlink>
      <w:r w:rsidRPr="001167CB">
        <w:rPr>
          <w:rFonts w:asciiTheme="majorHAnsi" w:hAnsiTheme="majorHAnsi" w:cstheme="majorHAnsi"/>
          <w:color w:val="808080" w:themeColor="background1" w:themeShade="80"/>
          <w:sz w:val="16"/>
          <w:szCs w:val="16"/>
        </w:rPr>
        <w:t xml:space="preserve"> (2009), para. 31.</w:t>
      </w:r>
    </w:p>
  </w:footnote>
  <w:footnote w:id="192">
    <w:p w14:paraId="50046610"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bCs/>
          <w:color w:val="808080" w:themeColor="background1" w:themeShade="80"/>
          <w:sz w:val="16"/>
          <w:szCs w:val="16"/>
        </w:rPr>
        <w:t xml:space="preserve">Human Rights </w:t>
      </w:r>
      <w:proofErr w:type="gramStart"/>
      <w:r w:rsidRPr="001167CB">
        <w:rPr>
          <w:rFonts w:asciiTheme="majorHAnsi" w:hAnsiTheme="majorHAnsi" w:cstheme="majorHAnsi"/>
          <w:bCs/>
          <w:color w:val="808080" w:themeColor="background1" w:themeShade="80"/>
          <w:sz w:val="16"/>
          <w:szCs w:val="16"/>
        </w:rPr>
        <w:t>Comm..</w:t>
      </w:r>
      <w:proofErr w:type="gramEnd"/>
      <w:r w:rsidRPr="001167CB">
        <w:rPr>
          <w:rFonts w:asciiTheme="majorHAnsi" w:hAnsiTheme="majorHAnsi" w:cstheme="majorHAnsi"/>
          <w:bCs/>
          <w:color w:val="808080" w:themeColor="background1" w:themeShade="80"/>
          <w:sz w:val="16"/>
          <w:szCs w:val="16"/>
        </w:rPr>
        <w:t xml:space="preserve"> </w:t>
      </w:r>
      <w:hyperlink r:id="rId242" w:history="1">
        <w:r w:rsidRPr="001167CB">
          <w:rPr>
            <w:rStyle w:val="Hyperlink"/>
            <w:rFonts w:asciiTheme="majorHAnsi" w:hAnsiTheme="majorHAnsi" w:cstheme="majorHAnsi"/>
            <w:bCs/>
            <w:color w:val="808080" w:themeColor="background1" w:themeShade="80"/>
            <w:sz w:val="16"/>
            <w:szCs w:val="16"/>
          </w:rPr>
          <w:t>Concluding Observations 2014</w:t>
        </w:r>
      </w:hyperlink>
      <w:r w:rsidRPr="001167CB">
        <w:rPr>
          <w:rFonts w:asciiTheme="majorHAnsi" w:hAnsiTheme="majorHAnsi" w:cstheme="majorHAnsi"/>
          <w:bCs/>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 xml:space="preserve">Apr. </w:t>
      </w:r>
      <w:r w:rsidRPr="001167CB">
        <w:rPr>
          <w:rFonts w:asciiTheme="majorHAnsi" w:hAnsiTheme="majorHAnsi" w:cstheme="majorHAnsi"/>
          <w:bCs/>
          <w:color w:val="808080" w:themeColor="background1" w:themeShade="80"/>
          <w:sz w:val="16"/>
          <w:szCs w:val="16"/>
        </w:rPr>
        <w:t>23, 2014</w:t>
      </w:r>
      <w:r w:rsidRPr="001167CB">
        <w:rPr>
          <w:rFonts w:asciiTheme="majorHAnsi" w:hAnsiTheme="majorHAnsi" w:cstheme="majorHAnsi"/>
          <w:color w:val="808080" w:themeColor="background1" w:themeShade="80"/>
          <w:sz w:val="16"/>
          <w:szCs w:val="16"/>
        </w:rPr>
        <w:t>, para. 11.</w:t>
      </w:r>
    </w:p>
  </w:footnote>
  <w:footnote w:id="193">
    <w:p w14:paraId="53CC4F73"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bCs/>
          <w:color w:val="808080" w:themeColor="background1" w:themeShade="80"/>
          <w:sz w:val="16"/>
          <w:szCs w:val="16"/>
        </w:rPr>
        <w:t xml:space="preserve">CERD, </w:t>
      </w:r>
      <w:hyperlink r:id="rId243" w:history="1">
        <w:r w:rsidRPr="001167CB">
          <w:rPr>
            <w:rStyle w:val="Hyperlink"/>
            <w:rFonts w:asciiTheme="majorHAnsi" w:hAnsiTheme="majorHAnsi" w:cstheme="majorHAnsi"/>
            <w:bCs/>
            <w:color w:val="808080" w:themeColor="background1" w:themeShade="80"/>
            <w:sz w:val="16"/>
            <w:szCs w:val="16"/>
          </w:rPr>
          <w:t>Concluding Observations 2014</w:t>
        </w:r>
      </w:hyperlink>
      <w:r w:rsidRPr="001167CB">
        <w:rPr>
          <w:rFonts w:asciiTheme="majorHAnsi" w:hAnsiTheme="majorHAnsi" w:cstheme="majorHAnsi"/>
          <w:bCs/>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 xml:space="preserve">Sept. </w:t>
      </w:r>
      <w:r w:rsidRPr="001167CB">
        <w:rPr>
          <w:rFonts w:asciiTheme="majorHAnsi" w:hAnsiTheme="majorHAnsi" w:cstheme="majorHAnsi"/>
          <w:bCs/>
          <w:color w:val="808080" w:themeColor="background1" w:themeShade="80"/>
          <w:sz w:val="16"/>
          <w:szCs w:val="16"/>
        </w:rPr>
        <w:t>25, 2014</w:t>
      </w:r>
      <w:r w:rsidRPr="001167CB">
        <w:rPr>
          <w:rFonts w:asciiTheme="majorHAnsi" w:hAnsiTheme="majorHAnsi" w:cstheme="majorHAnsi"/>
          <w:color w:val="808080" w:themeColor="background1" w:themeShade="80"/>
          <w:sz w:val="16"/>
          <w:szCs w:val="16"/>
        </w:rPr>
        <w:t xml:space="preserve">, para. 17. On border violence and cross-border use of force, </w:t>
      </w:r>
      <w:r w:rsidRPr="001167CB">
        <w:rPr>
          <w:rFonts w:asciiTheme="majorHAnsi" w:hAnsiTheme="majorHAnsi" w:cstheme="majorHAnsi"/>
          <w:i/>
          <w:color w:val="808080" w:themeColor="background1" w:themeShade="80"/>
          <w:sz w:val="16"/>
          <w:szCs w:val="16"/>
        </w:rPr>
        <w:t xml:space="preserve">see also </w:t>
      </w:r>
      <w:r w:rsidRPr="001167CB">
        <w:rPr>
          <w:rFonts w:asciiTheme="majorHAnsi" w:hAnsiTheme="majorHAnsi" w:cstheme="majorHAnsi"/>
          <w:color w:val="808080" w:themeColor="background1" w:themeShade="80"/>
          <w:sz w:val="16"/>
          <w:szCs w:val="16"/>
        </w:rPr>
        <w:t xml:space="preserve">Slate, </w:t>
      </w:r>
      <w:hyperlink r:id="rId244" w:history="1">
        <w:r w:rsidRPr="001167CB">
          <w:rPr>
            <w:rStyle w:val="Hyperlink"/>
            <w:rFonts w:asciiTheme="majorHAnsi" w:hAnsiTheme="majorHAnsi" w:cstheme="majorHAnsi"/>
            <w:color w:val="808080" w:themeColor="background1" w:themeShade="80"/>
            <w:sz w:val="16"/>
            <w:szCs w:val="16"/>
          </w:rPr>
          <w:t>A Supreme Court Conundrum: A federal agent standing on U.S. soil shot and killed someone across the border in Mexico. Was the shooting unconstitutional?</w:t>
        </w:r>
      </w:hyperlink>
      <w:r w:rsidRPr="001167CB">
        <w:rPr>
          <w:rFonts w:asciiTheme="majorHAnsi" w:hAnsiTheme="majorHAnsi" w:cstheme="majorHAnsi"/>
          <w:color w:val="808080" w:themeColor="background1" w:themeShade="80"/>
          <w:sz w:val="16"/>
          <w:szCs w:val="16"/>
        </w:rPr>
        <w:t xml:space="preserve"> Feb. 20, 2017; NPR, </w:t>
      </w:r>
      <w:hyperlink r:id="rId245" w:history="1">
        <w:r w:rsidRPr="001167CB">
          <w:rPr>
            <w:rStyle w:val="Hyperlink"/>
            <w:rFonts w:asciiTheme="majorHAnsi" w:hAnsiTheme="majorHAnsi" w:cstheme="majorHAnsi"/>
            <w:color w:val="808080" w:themeColor="background1" w:themeShade="80"/>
            <w:sz w:val="16"/>
            <w:szCs w:val="16"/>
          </w:rPr>
          <w:t>Supreme Court Sends Cross-Border Shooting Case Back To Lower Court</w:t>
        </w:r>
      </w:hyperlink>
      <w:r w:rsidRPr="001167CB">
        <w:rPr>
          <w:rFonts w:asciiTheme="majorHAnsi" w:hAnsiTheme="majorHAnsi" w:cstheme="majorHAnsi"/>
          <w:color w:val="808080" w:themeColor="background1" w:themeShade="80"/>
          <w:sz w:val="16"/>
          <w:szCs w:val="16"/>
        </w:rPr>
        <w:t>, June 26, 2017.</w:t>
      </w:r>
    </w:p>
  </w:footnote>
  <w:footnote w:id="194">
    <w:p w14:paraId="6010CE3C"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bCs/>
          <w:color w:val="808080" w:themeColor="background1" w:themeShade="80"/>
          <w:sz w:val="16"/>
          <w:szCs w:val="16"/>
        </w:rPr>
        <w:t xml:space="preserve">U.N., Working Group on People of African Descent. </w:t>
      </w:r>
      <w:hyperlink r:id="rId246" w:history="1">
        <w:r w:rsidRPr="001167CB">
          <w:rPr>
            <w:rStyle w:val="Hyperlink"/>
            <w:rFonts w:asciiTheme="majorHAnsi" w:hAnsiTheme="majorHAnsi" w:cstheme="majorHAnsi"/>
            <w:bCs/>
            <w:color w:val="808080" w:themeColor="background1" w:themeShade="80"/>
            <w:sz w:val="16"/>
            <w:szCs w:val="16"/>
          </w:rPr>
          <w:t>Report on mission to the U.S.</w:t>
        </w:r>
      </w:hyperlink>
      <w:r w:rsidRPr="001167CB">
        <w:rPr>
          <w:rFonts w:asciiTheme="majorHAnsi" w:hAnsiTheme="majorHAnsi" w:cstheme="majorHAnsi"/>
          <w:bCs/>
          <w:color w:val="808080" w:themeColor="background1" w:themeShade="80"/>
          <w:sz w:val="16"/>
          <w:szCs w:val="16"/>
        </w:rPr>
        <w:t>, Aug. 18, 2016</w:t>
      </w:r>
      <w:r w:rsidRPr="001167CB">
        <w:rPr>
          <w:rFonts w:asciiTheme="majorHAnsi" w:hAnsiTheme="majorHAnsi" w:cstheme="majorHAnsi"/>
          <w:color w:val="808080" w:themeColor="background1" w:themeShade="80"/>
          <w:sz w:val="16"/>
          <w:szCs w:val="16"/>
        </w:rPr>
        <w:t>, paras. 20-26.</w:t>
      </w:r>
    </w:p>
  </w:footnote>
  <w:footnote w:id="195">
    <w:p w14:paraId="7FC4BD5E" w14:textId="77777777" w:rsidR="005C2394" w:rsidRPr="001167CB" w:rsidRDefault="005C2394" w:rsidP="002C64F8">
      <w:pPr>
        <w:pStyle w:val="NoSpacing"/>
        <w:spacing w:after="40"/>
        <w:ind w:left="547" w:hanging="547"/>
        <w:contextualSpacing/>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U.N., Report of the Special Rapporteur on extrajudicial, summary or arbitrary executions, Philip Alston, </w:t>
      </w:r>
      <w:r w:rsidRPr="001167CB">
        <w:rPr>
          <w:rFonts w:asciiTheme="majorHAnsi" w:hAnsiTheme="majorHAnsi" w:cstheme="majorHAnsi"/>
          <w:i/>
          <w:color w:val="808080" w:themeColor="background1" w:themeShade="80"/>
          <w:sz w:val="16"/>
          <w:szCs w:val="16"/>
        </w:rPr>
        <w:t>Study on police oversight mechanisms</w:t>
      </w:r>
      <w:r w:rsidRPr="001167CB">
        <w:rPr>
          <w:rFonts w:asciiTheme="majorHAnsi" w:hAnsiTheme="majorHAnsi" w:cstheme="majorHAnsi"/>
          <w:color w:val="808080" w:themeColor="background1" w:themeShade="80"/>
          <w:sz w:val="16"/>
          <w:szCs w:val="16"/>
        </w:rPr>
        <w:t>, A/HRC/14/2/Ad. 8, May 28, 2010, para. 10.</w:t>
      </w:r>
    </w:p>
  </w:footnote>
  <w:footnote w:id="196">
    <w:p w14:paraId="39A1BCBB" w14:textId="452243DC" w:rsidR="005C2394" w:rsidRPr="001167CB" w:rsidRDefault="005C2394" w:rsidP="002C64F8">
      <w:pPr>
        <w:pStyle w:val="FootnoteText"/>
        <w:spacing w:after="40"/>
        <w:ind w:left="547" w:hanging="547"/>
        <w:contextualSpacing/>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Amnesty International (AI), </w:t>
      </w:r>
      <w:hyperlink r:id="rId247">
        <w:r w:rsidRPr="001167CB">
          <w:rPr>
            <w:rStyle w:val="Hyperlink"/>
            <w:rFonts w:asciiTheme="majorHAnsi" w:hAnsiTheme="majorHAnsi" w:cstheme="majorHAnsi"/>
            <w:i/>
            <w:color w:val="808080" w:themeColor="background1" w:themeShade="80"/>
            <w:sz w:val="16"/>
            <w:szCs w:val="16"/>
          </w:rPr>
          <w:t xml:space="preserve">Deadly Force: Police Use of Lethal Force </w:t>
        </w:r>
        <w:proofErr w:type="gramStart"/>
        <w:r w:rsidRPr="001167CB">
          <w:rPr>
            <w:rStyle w:val="Hyperlink"/>
            <w:rFonts w:asciiTheme="majorHAnsi" w:hAnsiTheme="majorHAnsi" w:cstheme="majorHAnsi"/>
            <w:i/>
            <w:color w:val="808080" w:themeColor="background1" w:themeShade="80"/>
            <w:sz w:val="16"/>
            <w:szCs w:val="16"/>
          </w:rPr>
          <w:t>In</w:t>
        </w:r>
        <w:proofErr w:type="gramEnd"/>
        <w:r w:rsidRPr="001167CB">
          <w:rPr>
            <w:rStyle w:val="Hyperlink"/>
            <w:rFonts w:asciiTheme="majorHAnsi" w:hAnsiTheme="majorHAnsi" w:cstheme="majorHAnsi"/>
            <w:i/>
            <w:color w:val="808080" w:themeColor="background1" w:themeShade="80"/>
            <w:sz w:val="16"/>
            <w:szCs w:val="16"/>
          </w:rPr>
          <w:t xml:space="preserve"> The United States</w:t>
        </w:r>
      </w:hyperlink>
      <w:r w:rsidRPr="001167CB">
        <w:rPr>
          <w:rStyle w:val="Hyperlink"/>
          <w:rFonts w:asciiTheme="majorHAnsi" w:hAnsiTheme="majorHAnsi" w:cstheme="majorHAnsi"/>
          <w: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June, 2015, p. 22.</w:t>
      </w:r>
    </w:p>
  </w:footnote>
  <w:footnote w:id="197">
    <w:p w14:paraId="0CD215E6"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Vera Institute of Justice, </w:t>
      </w:r>
      <w:hyperlink r:id="rId248" w:history="1">
        <w:r w:rsidRPr="001167CB">
          <w:rPr>
            <w:rStyle w:val="Hyperlink"/>
            <w:rFonts w:asciiTheme="majorHAnsi" w:hAnsiTheme="majorHAnsi" w:cstheme="majorHAnsi"/>
            <w:color w:val="808080" w:themeColor="background1" w:themeShade="80"/>
            <w:sz w:val="16"/>
            <w:szCs w:val="16"/>
          </w:rPr>
          <w:t>To Protect and Serve: New Trends in State-Level Policing Reform, 2015-2016</w:t>
        </w:r>
      </w:hyperlink>
      <w:r w:rsidRPr="001167CB">
        <w:rPr>
          <w:rFonts w:asciiTheme="majorHAnsi" w:hAnsiTheme="majorHAnsi" w:cstheme="majorHAnsi"/>
          <w:color w:val="808080" w:themeColor="background1" w:themeShade="80"/>
          <w:sz w:val="16"/>
          <w:szCs w:val="16"/>
        </w:rPr>
        <w:t>, Apr. 2017.</w:t>
      </w:r>
    </w:p>
  </w:footnote>
  <w:footnote w:id="198">
    <w:p w14:paraId="729EC25D"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471 U.S. 1 (1985).</w:t>
      </w:r>
    </w:p>
  </w:footnote>
  <w:footnote w:id="199">
    <w:p w14:paraId="4F935143" w14:textId="77777777" w:rsidR="005C2394" w:rsidRPr="001167CB" w:rsidRDefault="005C2394" w:rsidP="002C64F8">
      <w:pPr>
        <w:pStyle w:val="FootnoteText"/>
        <w:spacing w:after="40"/>
        <w:ind w:left="547" w:hanging="547"/>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Washington Post, </w:t>
      </w:r>
      <w:hyperlink r:id="rId249" w:history="1">
        <w:r w:rsidRPr="001167CB">
          <w:rPr>
            <w:rStyle w:val="Hyperlink"/>
            <w:rFonts w:asciiTheme="majorHAnsi" w:hAnsiTheme="majorHAnsi" w:cstheme="majorHAnsi"/>
            <w:color w:val="808080" w:themeColor="background1" w:themeShade="80"/>
            <w:sz w:val="16"/>
            <w:szCs w:val="16"/>
          </w:rPr>
          <w:t>‘Just shoot me,’ an armed man told a cop. The officer didn’t — and was fired, his lawsuit claimed</w:t>
        </w:r>
      </w:hyperlink>
      <w:r w:rsidRPr="001167CB">
        <w:rPr>
          <w:rFonts w:asciiTheme="majorHAnsi" w:hAnsiTheme="majorHAnsi" w:cstheme="majorHAnsi"/>
          <w:color w:val="808080" w:themeColor="background1" w:themeShade="80"/>
          <w:sz w:val="16"/>
          <w:szCs w:val="16"/>
        </w:rPr>
        <w:t>, Feb.12</w:t>
      </w:r>
      <w:proofErr w:type="gramStart"/>
      <w:r w:rsidRPr="001167CB">
        <w:rPr>
          <w:rFonts w:asciiTheme="majorHAnsi" w:hAnsiTheme="majorHAnsi" w:cstheme="majorHAnsi"/>
          <w:color w:val="808080" w:themeColor="background1" w:themeShade="80"/>
          <w:sz w:val="16"/>
          <w:szCs w:val="16"/>
        </w:rPr>
        <w:t>,2018</w:t>
      </w:r>
      <w:proofErr w:type="gramEnd"/>
      <w:r w:rsidRPr="001167CB">
        <w:rPr>
          <w:rFonts w:asciiTheme="majorHAnsi" w:hAnsiTheme="majorHAnsi" w:cstheme="majorHAnsi"/>
          <w:color w:val="808080" w:themeColor="background1" w:themeShade="80"/>
          <w:sz w:val="16"/>
          <w:szCs w:val="16"/>
        </w:rPr>
        <w:t>.</w:t>
      </w:r>
    </w:p>
  </w:footnote>
  <w:footnote w:id="200">
    <w:p w14:paraId="61A14B55"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bCs/>
          <w:color w:val="808080" w:themeColor="background1" w:themeShade="80"/>
          <w:sz w:val="16"/>
          <w:szCs w:val="16"/>
        </w:rPr>
        <w:t xml:space="preserve">IACHR, </w:t>
      </w:r>
      <w:hyperlink r:id="rId250" w:history="1">
        <w:r w:rsidRPr="001167CB">
          <w:rPr>
            <w:rStyle w:val="Hyperlink"/>
            <w:rFonts w:asciiTheme="majorHAnsi" w:hAnsiTheme="majorHAnsi" w:cstheme="majorHAnsi"/>
            <w:bCs/>
            <w:color w:val="808080" w:themeColor="background1" w:themeShade="80"/>
            <w:sz w:val="16"/>
            <w:szCs w:val="16"/>
          </w:rPr>
          <w:t>Eric Garner and Michael Brown Press Release</w:t>
        </w:r>
      </w:hyperlink>
      <w:r w:rsidRPr="001167CB">
        <w:rPr>
          <w:rFonts w:asciiTheme="majorHAnsi" w:hAnsiTheme="majorHAnsi" w:cstheme="majorHAnsi"/>
          <w:bCs/>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 xml:space="preserve">Aug. </w:t>
      </w:r>
      <w:r w:rsidRPr="001167CB">
        <w:rPr>
          <w:rFonts w:asciiTheme="majorHAnsi" w:hAnsiTheme="majorHAnsi" w:cstheme="majorHAnsi"/>
          <w:bCs/>
          <w:color w:val="808080" w:themeColor="background1" w:themeShade="80"/>
          <w:sz w:val="16"/>
          <w:szCs w:val="16"/>
        </w:rPr>
        <w:t>22, 2014</w:t>
      </w:r>
      <w:r w:rsidRPr="001167CB">
        <w:rPr>
          <w:rFonts w:asciiTheme="majorHAnsi" w:hAnsiTheme="majorHAnsi" w:cstheme="majorHAnsi"/>
          <w:color w:val="808080" w:themeColor="background1" w:themeShade="80"/>
          <w:sz w:val="16"/>
          <w:szCs w:val="16"/>
        </w:rPr>
        <w:t>.</w:t>
      </w:r>
    </w:p>
  </w:footnote>
  <w:footnote w:id="201">
    <w:p w14:paraId="03D3ED79"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bCs/>
          <w:color w:val="808080" w:themeColor="background1" w:themeShade="80"/>
          <w:sz w:val="16"/>
          <w:szCs w:val="16"/>
        </w:rPr>
        <w:t xml:space="preserve">IACHR, </w:t>
      </w:r>
      <w:hyperlink r:id="rId251" w:history="1">
        <w:r w:rsidRPr="001167CB">
          <w:rPr>
            <w:rStyle w:val="Hyperlink"/>
            <w:rFonts w:asciiTheme="majorHAnsi" w:hAnsiTheme="majorHAnsi" w:cstheme="majorHAnsi"/>
            <w:bCs/>
            <w:color w:val="808080" w:themeColor="background1" w:themeShade="80"/>
            <w:sz w:val="16"/>
            <w:szCs w:val="16"/>
          </w:rPr>
          <w:t>Walter Scott Press Release</w:t>
        </w:r>
      </w:hyperlink>
      <w:r w:rsidRPr="001167CB">
        <w:rPr>
          <w:rFonts w:asciiTheme="majorHAnsi" w:hAnsiTheme="majorHAnsi" w:cstheme="majorHAnsi"/>
          <w:bCs/>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 xml:space="preserve">Apr. </w:t>
      </w:r>
      <w:r w:rsidRPr="001167CB">
        <w:rPr>
          <w:rFonts w:asciiTheme="majorHAnsi" w:hAnsiTheme="majorHAnsi" w:cstheme="majorHAnsi"/>
          <w:bCs/>
          <w:color w:val="808080" w:themeColor="background1" w:themeShade="80"/>
          <w:sz w:val="16"/>
          <w:szCs w:val="16"/>
        </w:rPr>
        <w:t>17, 2015</w:t>
      </w:r>
      <w:r w:rsidRPr="001167CB">
        <w:rPr>
          <w:rFonts w:asciiTheme="majorHAnsi" w:hAnsiTheme="majorHAnsi" w:cstheme="majorHAnsi"/>
          <w:color w:val="808080" w:themeColor="background1" w:themeShade="80"/>
          <w:sz w:val="16"/>
          <w:szCs w:val="16"/>
        </w:rPr>
        <w:t xml:space="preserve">. </w:t>
      </w:r>
    </w:p>
  </w:footnote>
  <w:footnote w:id="202">
    <w:p w14:paraId="7449FC84"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bCs/>
          <w:color w:val="808080" w:themeColor="background1" w:themeShade="80"/>
          <w:sz w:val="16"/>
          <w:szCs w:val="16"/>
        </w:rPr>
        <w:t xml:space="preserve">IACHR, </w:t>
      </w:r>
      <w:hyperlink r:id="rId252" w:history="1">
        <w:r w:rsidRPr="001167CB">
          <w:rPr>
            <w:rStyle w:val="Hyperlink"/>
            <w:rFonts w:asciiTheme="majorHAnsi" w:hAnsiTheme="majorHAnsi" w:cstheme="majorHAnsi"/>
            <w:bCs/>
            <w:color w:val="808080" w:themeColor="background1" w:themeShade="80"/>
            <w:sz w:val="16"/>
            <w:szCs w:val="16"/>
          </w:rPr>
          <w:t>Investigation of Police Killings Press Release</w:t>
        </w:r>
      </w:hyperlink>
      <w:r w:rsidRPr="001167CB">
        <w:rPr>
          <w:rFonts w:asciiTheme="majorHAnsi" w:hAnsiTheme="majorHAnsi" w:cstheme="majorHAnsi"/>
          <w:bCs/>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 xml:space="preserve">Aug. </w:t>
      </w:r>
      <w:r w:rsidRPr="001167CB">
        <w:rPr>
          <w:rFonts w:asciiTheme="majorHAnsi" w:hAnsiTheme="majorHAnsi" w:cstheme="majorHAnsi"/>
          <w:bCs/>
          <w:color w:val="808080" w:themeColor="background1" w:themeShade="80"/>
          <w:sz w:val="16"/>
          <w:szCs w:val="16"/>
        </w:rPr>
        <w:t>23, 2016</w:t>
      </w:r>
      <w:r w:rsidRPr="001167CB">
        <w:rPr>
          <w:rFonts w:asciiTheme="majorHAnsi" w:hAnsiTheme="majorHAnsi" w:cstheme="majorHAnsi"/>
          <w:color w:val="808080" w:themeColor="background1" w:themeShade="80"/>
          <w:sz w:val="16"/>
          <w:szCs w:val="16"/>
        </w:rPr>
        <w:t>.</w:t>
      </w:r>
    </w:p>
  </w:footnote>
  <w:footnote w:id="203">
    <w:p w14:paraId="556951AF"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bCs/>
          <w:color w:val="808080" w:themeColor="background1" w:themeShade="80"/>
          <w:sz w:val="16"/>
          <w:szCs w:val="16"/>
        </w:rPr>
        <w:t xml:space="preserve">IACHR, 156th Period of Sessions, </w:t>
      </w:r>
      <w:hyperlink r:id="rId253" w:history="1">
        <w:r w:rsidRPr="001167CB">
          <w:rPr>
            <w:rStyle w:val="Hyperlink"/>
            <w:rFonts w:asciiTheme="majorHAnsi" w:hAnsiTheme="majorHAnsi" w:cstheme="majorHAnsi"/>
            <w:bCs/>
            <w:color w:val="808080" w:themeColor="background1" w:themeShade="80"/>
            <w:sz w:val="16"/>
            <w:szCs w:val="16"/>
          </w:rPr>
          <w:t>“Police Killings” Hearing</w:t>
        </w:r>
      </w:hyperlink>
      <w:r w:rsidRPr="001167CB">
        <w:rPr>
          <w:rFonts w:asciiTheme="majorHAnsi" w:hAnsiTheme="majorHAnsi" w:cstheme="majorHAnsi"/>
          <w:bCs/>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 xml:space="preserve">Oct. </w:t>
      </w:r>
      <w:r w:rsidRPr="001167CB">
        <w:rPr>
          <w:rFonts w:asciiTheme="majorHAnsi" w:hAnsiTheme="majorHAnsi" w:cstheme="majorHAnsi"/>
          <w:bCs/>
          <w:color w:val="808080" w:themeColor="background1" w:themeShade="80"/>
          <w:sz w:val="16"/>
          <w:szCs w:val="16"/>
        </w:rPr>
        <w:t>23, 2015</w:t>
      </w:r>
      <w:r w:rsidRPr="001167CB">
        <w:rPr>
          <w:rFonts w:asciiTheme="majorHAnsi" w:hAnsiTheme="majorHAnsi" w:cstheme="majorHAnsi"/>
          <w:color w:val="808080" w:themeColor="background1" w:themeShade="80"/>
          <w:sz w:val="16"/>
          <w:szCs w:val="16"/>
        </w:rPr>
        <w:t>;</w:t>
      </w:r>
      <w:r w:rsidRPr="001167CB">
        <w:rPr>
          <w:rFonts w:asciiTheme="majorHAnsi" w:hAnsiTheme="majorHAnsi" w:cstheme="majorHAnsi"/>
          <w:bCs/>
          <w:color w:val="808080" w:themeColor="background1" w:themeShade="80"/>
          <w:sz w:val="16"/>
          <w:szCs w:val="16"/>
        </w:rPr>
        <w:t xml:space="preserve"> 166th Period of Sessions, </w:t>
      </w:r>
      <w:hyperlink r:id="rId254" w:history="1">
        <w:r w:rsidRPr="001167CB">
          <w:rPr>
            <w:rStyle w:val="Hyperlink"/>
            <w:rFonts w:asciiTheme="majorHAnsi" w:hAnsiTheme="majorHAnsi" w:cstheme="majorHAnsi"/>
            <w:bCs/>
            <w:color w:val="808080" w:themeColor="background1" w:themeShade="80"/>
            <w:sz w:val="16"/>
            <w:szCs w:val="16"/>
          </w:rPr>
          <w:t>“Impunity for Police Killings” Hearing</w:t>
        </w:r>
      </w:hyperlink>
      <w:r w:rsidRPr="001167CB">
        <w:rPr>
          <w:rFonts w:asciiTheme="majorHAnsi" w:hAnsiTheme="majorHAnsi" w:cstheme="majorHAnsi"/>
          <w:bCs/>
          <w:color w:val="808080" w:themeColor="background1" w:themeShade="80"/>
          <w:sz w:val="16"/>
          <w:szCs w:val="16"/>
        </w:rPr>
        <w:t>,</w:t>
      </w:r>
      <w:r w:rsidRPr="001167CB">
        <w:rPr>
          <w:rFonts w:asciiTheme="majorHAnsi" w:hAnsiTheme="majorHAnsi" w:cstheme="majorHAnsi"/>
          <w:color w:val="808080" w:themeColor="background1" w:themeShade="80"/>
          <w:sz w:val="16"/>
          <w:szCs w:val="16"/>
        </w:rPr>
        <w:t xml:space="preserve"> Dec. </w:t>
      </w:r>
      <w:r w:rsidRPr="001167CB">
        <w:rPr>
          <w:rFonts w:asciiTheme="majorHAnsi" w:hAnsiTheme="majorHAnsi" w:cstheme="majorHAnsi"/>
          <w:bCs/>
          <w:color w:val="808080" w:themeColor="background1" w:themeShade="80"/>
          <w:sz w:val="16"/>
          <w:szCs w:val="16"/>
        </w:rPr>
        <w:t>7, 2017</w:t>
      </w:r>
      <w:r w:rsidRPr="001167CB">
        <w:rPr>
          <w:rFonts w:asciiTheme="majorHAnsi" w:hAnsiTheme="majorHAnsi" w:cstheme="majorHAnsi"/>
          <w:color w:val="808080" w:themeColor="background1" w:themeShade="80"/>
          <w:sz w:val="16"/>
          <w:szCs w:val="16"/>
        </w:rPr>
        <w:t>.</w:t>
      </w:r>
    </w:p>
  </w:footnote>
  <w:footnote w:id="204">
    <w:p w14:paraId="446F789F"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New York Times, </w:t>
      </w:r>
      <w:hyperlink r:id="rId255" w:history="1">
        <w:r w:rsidRPr="001167CB">
          <w:rPr>
            <w:rStyle w:val="Hyperlink"/>
            <w:rFonts w:asciiTheme="majorHAnsi" w:hAnsiTheme="majorHAnsi" w:cstheme="majorHAnsi"/>
            <w:color w:val="808080" w:themeColor="background1" w:themeShade="80"/>
            <w:sz w:val="16"/>
            <w:szCs w:val="16"/>
          </w:rPr>
          <w:t>Stephon Clark Was Shot 8 Times Primarily in His Back, Family-Ordered Autopsy Finds</w:t>
        </w:r>
      </w:hyperlink>
      <w:r w:rsidRPr="001167CB">
        <w:rPr>
          <w:rFonts w:asciiTheme="majorHAnsi" w:hAnsiTheme="majorHAnsi" w:cstheme="majorHAnsi"/>
          <w:color w:val="808080" w:themeColor="background1" w:themeShade="80"/>
          <w:sz w:val="16"/>
          <w:szCs w:val="16"/>
        </w:rPr>
        <w:t>, Mar. 30, 2018.</w:t>
      </w:r>
    </w:p>
  </w:footnote>
  <w:footnote w:id="205">
    <w:p w14:paraId="037341A2"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bCs/>
          <w:color w:val="808080" w:themeColor="background1" w:themeShade="80"/>
          <w:sz w:val="16"/>
          <w:szCs w:val="16"/>
        </w:rPr>
        <w:t xml:space="preserve">IACHR, </w:t>
      </w:r>
      <w:hyperlink r:id="rId256" w:history="1">
        <w:r w:rsidRPr="001167CB">
          <w:rPr>
            <w:rStyle w:val="Hyperlink"/>
            <w:rFonts w:asciiTheme="majorHAnsi" w:hAnsiTheme="majorHAnsi" w:cstheme="majorHAnsi"/>
            <w:bCs/>
            <w:color w:val="808080" w:themeColor="background1" w:themeShade="80"/>
            <w:sz w:val="16"/>
            <w:szCs w:val="16"/>
          </w:rPr>
          <w:t>On-Site Visit Press Release</w:t>
        </w:r>
      </w:hyperlink>
      <w:r w:rsidRPr="001167CB">
        <w:rPr>
          <w:rFonts w:asciiTheme="majorHAnsi" w:hAnsiTheme="majorHAnsi" w:cstheme="majorHAnsi"/>
          <w:bCs/>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 xml:space="preserve">Oct. </w:t>
      </w:r>
      <w:r w:rsidRPr="001167CB">
        <w:rPr>
          <w:rFonts w:asciiTheme="majorHAnsi" w:hAnsiTheme="majorHAnsi" w:cstheme="majorHAnsi"/>
          <w:bCs/>
          <w:color w:val="808080" w:themeColor="background1" w:themeShade="80"/>
          <w:sz w:val="16"/>
          <w:szCs w:val="16"/>
        </w:rPr>
        <w:t>16, 2015</w:t>
      </w:r>
      <w:r w:rsidRPr="001167CB">
        <w:rPr>
          <w:rFonts w:asciiTheme="majorHAnsi" w:hAnsiTheme="majorHAnsi" w:cstheme="majorHAnsi"/>
          <w:color w:val="808080" w:themeColor="background1" w:themeShade="80"/>
          <w:sz w:val="16"/>
          <w:szCs w:val="16"/>
        </w:rPr>
        <w:t>.</w:t>
      </w:r>
    </w:p>
  </w:footnote>
  <w:footnote w:id="206">
    <w:p w14:paraId="3DDF7374" w14:textId="77777777" w:rsidR="005C2394" w:rsidRPr="001167CB" w:rsidRDefault="005C2394" w:rsidP="00E03D8F">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bCs/>
          <w:color w:val="808080" w:themeColor="background1" w:themeShade="80"/>
          <w:sz w:val="16"/>
          <w:szCs w:val="16"/>
        </w:rPr>
        <w:t xml:space="preserve">IACHR, 156th Period of Sessions, </w:t>
      </w:r>
      <w:hyperlink r:id="rId257" w:history="1">
        <w:r w:rsidRPr="001167CB">
          <w:rPr>
            <w:rStyle w:val="Hyperlink"/>
            <w:rFonts w:asciiTheme="majorHAnsi" w:hAnsiTheme="majorHAnsi" w:cstheme="majorHAnsi"/>
            <w:bCs/>
            <w:color w:val="808080" w:themeColor="background1" w:themeShade="80"/>
            <w:sz w:val="16"/>
            <w:szCs w:val="16"/>
          </w:rPr>
          <w:t>“Police Killings” Hearing</w:t>
        </w:r>
      </w:hyperlink>
      <w:r w:rsidRPr="001167CB">
        <w:rPr>
          <w:rFonts w:asciiTheme="majorHAnsi" w:hAnsiTheme="majorHAnsi" w:cstheme="majorHAnsi"/>
          <w:bCs/>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 xml:space="preserve">Oct. </w:t>
      </w:r>
      <w:r w:rsidRPr="001167CB">
        <w:rPr>
          <w:rFonts w:asciiTheme="majorHAnsi" w:hAnsiTheme="majorHAnsi" w:cstheme="majorHAnsi"/>
          <w:bCs/>
          <w:color w:val="808080" w:themeColor="background1" w:themeShade="80"/>
          <w:sz w:val="16"/>
          <w:szCs w:val="16"/>
        </w:rPr>
        <w:t>23, 2015</w:t>
      </w:r>
      <w:r w:rsidRPr="001167CB">
        <w:rPr>
          <w:rFonts w:asciiTheme="majorHAnsi" w:hAnsiTheme="majorHAnsi" w:cstheme="majorHAnsi"/>
          <w:color w:val="808080" w:themeColor="background1" w:themeShade="80"/>
          <w:sz w:val="16"/>
          <w:szCs w:val="16"/>
        </w:rPr>
        <w:t>.</w:t>
      </w:r>
    </w:p>
  </w:footnote>
  <w:footnote w:id="207">
    <w:p w14:paraId="31A451D4" w14:textId="77777777" w:rsidR="005C2394" w:rsidRPr="001167CB" w:rsidRDefault="005C2394" w:rsidP="003A1642">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bCs/>
          <w:color w:val="808080" w:themeColor="background1" w:themeShade="80"/>
          <w:sz w:val="16"/>
          <w:szCs w:val="16"/>
        </w:rPr>
        <w:t>Id</w:t>
      </w:r>
      <w:r w:rsidRPr="001167CB">
        <w:rPr>
          <w:rFonts w:asciiTheme="majorHAnsi" w:hAnsiTheme="majorHAnsi" w:cstheme="majorHAnsi"/>
          <w:color w:val="808080" w:themeColor="background1" w:themeShade="80"/>
          <w:sz w:val="16"/>
          <w:szCs w:val="16"/>
        </w:rPr>
        <w:t>.</w:t>
      </w:r>
    </w:p>
  </w:footnote>
  <w:footnote w:id="208">
    <w:p w14:paraId="5CEF4CDC"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IACHR, </w:t>
      </w:r>
      <w:hyperlink r:id="rId258" w:history="1">
        <w:r w:rsidRPr="001167CB">
          <w:rPr>
            <w:rStyle w:val="Hyperlink"/>
            <w:rFonts w:asciiTheme="majorHAnsi" w:hAnsiTheme="majorHAnsi" w:cstheme="majorHAnsi"/>
            <w:color w:val="808080" w:themeColor="background1" w:themeShade="80"/>
            <w:sz w:val="16"/>
            <w:szCs w:val="16"/>
          </w:rPr>
          <w:t xml:space="preserve">Annual Report 2015: Chapter IV </w:t>
        </w:r>
        <w:proofErr w:type="gramStart"/>
        <w:r w:rsidRPr="001167CB">
          <w:rPr>
            <w:rStyle w:val="Hyperlink"/>
            <w:rFonts w:asciiTheme="majorHAnsi" w:hAnsiTheme="majorHAnsi" w:cstheme="majorHAnsi"/>
            <w:color w:val="808080" w:themeColor="background1" w:themeShade="80"/>
            <w:sz w:val="16"/>
            <w:szCs w:val="16"/>
          </w:rPr>
          <w:t>The</w:t>
        </w:r>
        <w:proofErr w:type="gramEnd"/>
        <w:r w:rsidRPr="001167CB">
          <w:rPr>
            <w:rStyle w:val="Hyperlink"/>
            <w:rFonts w:asciiTheme="majorHAnsi" w:hAnsiTheme="majorHAnsi" w:cstheme="majorHAnsi"/>
            <w:color w:val="808080" w:themeColor="background1" w:themeShade="80"/>
            <w:sz w:val="16"/>
            <w:szCs w:val="16"/>
          </w:rPr>
          <w:t xml:space="preserve"> Use of Force</w:t>
        </w:r>
      </w:hyperlink>
      <w:r w:rsidRPr="001167CB">
        <w:rPr>
          <w:rFonts w:asciiTheme="majorHAnsi" w:hAnsiTheme="majorHAnsi" w:cstheme="majorHAnsi"/>
          <w:color w:val="808080" w:themeColor="background1" w:themeShade="80"/>
          <w:sz w:val="16"/>
          <w:szCs w:val="16"/>
        </w:rPr>
        <w:t xml:space="preserve">, para. 224 (citing U.N., Special Rapporteur on extrajudicial, summary or arbitrary executions, Christof </w:t>
      </w:r>
      <w:proofErr w:type="spellStart"/>
      <w:r w:rsidRPr="001167CB">
        <w:rPr>
          <w:rFonts w:asciiTheme="majorHAnsi" w:hAnsiTheme="majorHAnsi" w:cstheme="majorHAnsi"/>
          <w:color w:val="808080" w:themeColor="background1" w:themeShade="80"/>
          <w:sz w:val="16"/>
          <w:szCs w:val="16"/>
        </w:rPr>
        <w:t>Heyns</w:t>
      </w:r>
      <w:proofErr w:type="spellEnd"/>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i/>
          <w:color w:val="808080" w:themeColor="background1" w:themeShade="80"/>
          <w:sz w:val="16"/>
          <w:szCs w:val="16"/>
        </w:rPr>
        <w:t>Use of information and communications technologies to secure the right to life</w:t>
      </w:r>
      <w:r w:rsidRPr="001167CB">
        <w:rPr>
          <w:rFonts w:asciiTheme="majorHAnsi" w:hAnsiTheme="majorHAnsi" w:cstheme="majorHAnsi"/>
          <w:color w:val="808080" w:themeColor="background1" w:themeShade="80"/>
          <w:sz w:val="16"/>
          <w:szCs w:val="16"/>
        </w:rPr>
        <w:t>. 24 Apr. 2015, para. 57).</w:t>
      </w:r>
    </w:p>
  </w:footnote>
  <w:footnote w:id="209">
    <w:p w14:paraId="636480DE"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Id. </w:t>
      </w:r>
    </w:p>
  </w:footnote>
  <w:footnote w:id="210">
    <w:p w14:paraId="21B0A289"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bCs/>
          <w:color w:val="808080" w:themeColor="background1" w:themeShade="80"/>
          <w:sz w:val="16"/>
          <w:szCs w:val="16"/>
        </w:rPr>
        <w:t xml:space="preserve">IACHR, 156th Period of Sessions, </w:t>
      </w:r>
      <w:hyperlink r:id="rId259" w:history="1">
        <w:r w:rsidRPr="001167CB">
          <w:rPr>
            <w:rStyle w:val="Hyperlink"/>
            <w:rFonts w:asciiTheme="majorHAnsi" w:hAnsiTheme="majorHAnsi" w:cstheme="majorHAnsi"/>
            <w:bCs/>
            <w:color w:val="808080" w:themeColor="background1" w:themeShade="80"/>
            <w:sz w:val="16"/>
            <w:szCs w:val="16"/>
          </w:rPr>
          <w:t>“Police Killings” Hearing</w:t>
        </w:r>
      </w:hyperlink>
      <w:r w:rsidRPr="001167CB">
        <w:rPr>
          <w:rFonts w:asciiTheme="majorHAnsi" w:hAnsiTheme="majorHAnsi" w:cstheme="majorHAnsi"/>
          <w:bCs/>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 xml:space="preserve">Oct. </w:t>
      </w:r>
      <w:r w:rsidRPr="001167CB">
        <w:rPr>
          <w:rFonts w:asciiTheme="majorHAnsi" w:hAnsiTheme="majorHAnsi" w:cstheme="majorHAnsi"/>
          <w:bCs/>
          <w:color w:val="808080" w:themeColor="background1" w:themeShade="80"/>
          <w:sz w:val="16"/>
          <w:szCs w:val="16"/>
        </w:rPr>
        <w:t>23, 2015</w:t>
      </w:r>
      <w:r w:rsidRPr="001167CB">
        <w:rPr>
          <w:rFonts w:asciiTheme="majorHAnsi" w:hAnsiTheme="majorHAnsi" w:cstheme="majorHAnsi"/>
          <w:color w:val="808080" w:themeColor="background1" w:themeShade="80"/>
          <w:sz w:val="16"/>
          <w:szCs w:val="16"/>
        </w:rPr>
        <w:t>.</w:t>
      </w:r>
    </w:p>
  </w:footnote>
  <w:footnote w:id="211">
    <w:p w14:paraId="10582C1A" w14:textId="77777777" w:rsidR="005C2394" w:rsidRPr="001167CB" w:rsidRDefault="005C2394" w:rsidP="002C64F8">
      <w:pPr>
        <w:pStyle w:val="FootnoteText"/>
        <w:spacing w:after="40"/>
        <w:ind w:left="547" w:hanging="547"/>
        <w:jc w:val="both"/>
        <w:rPr>
          <w:rFonts w:asciiTheme="majorHAnsi" w:hAnsiTheme="majorHAnsi" w:cstheme="majorHAnsi"/>
          <w:bCs/>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bCs/>
          <w:color w:val="808080" w:themeColor="background1" w:themeShade="80"/>
          <w:sz w:val="16"/>
          <w:szCs w:val="16"/>
        </w:rPr>
        <w:t xml:space="preserve">IACHR, </w:t>
      </w:r>
      <w:hyperlink r:id="rId260" w:history="1">
        <w:r w:rsidRPr="001167CB">
          <w:rPr>
            <w:rStyle w:val="Hyperlink"/>
            <w:rFonts w:asciiTheme="majorHAnsi" w:hAnsiTheme="majorHAnsi" w:cstheme="majorHAnsi"/>
            <w:bCs/>
            <w:color w:val="808080" w:themeColor="background1" w:themeShade="80"/>
            <w:sz w:val="16"/>
            <w:szCs w:val="16"/>
          </w:rPr>
          <w:t>Eric Garner and Michael Brown Press Release</w:t>
        </w:r>
      </w:hyperlink>
      <w:r w:rsidRPr="001167CB">
        <w:rPr>
          <w:rFonts w:asciiTheme="majorHAnsi" w:hAnsiTheme="majorHAnsi" w:cstheme="majorHAnsi"/>
          <w:bCs/>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 xml:space="preserve">Aug. </w:t>
      </w:r>
      <w:r w:rsidRPr="001167CB">
        <w:rPr>
          <w:rFonts w:asciiTheme="majorHAnsi" w:hAnsiTheme="majorHAnsi" w:cstheme="majorHAnsi"/>
          <w:bCs/>
          <w:color w:val="808080" w:themeColor="background1" w:themeShade="80"/>
          <w:sz w:val="16"/>
          <w:szCs w:val="16"/>
        </w:rPr>
        <w:t>22, 2014</w:t>
      </w:r>
      <w:r w:rsidRPr="001167CB">
        <w:rPr>
          <w:rFonts w:asciiTheme="majorHAnsi" w:hAnsiTheme="majorHAnsi" w:cstheme="majorHAnsi"/>
          <w:color w:val="808080" w:themeColor="background1" w:themeShade="80"/>
          <w:sz w:val="16"/>
          <w:szCs w:val="16"/>
        </w:rPr>
        <w:t>.</w:t>
      </w:r>
    </w:p>
  </w:footnote>
  <w:footnote w:id="212">
    <w:p w14:paraId="21A09C1E"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bCs/>
          <w:color w:val="808080" w:themeColor="background1" w:themeShade="80"/>
          <w:sz w:val="16"/>
          <w:szCs w:val="16"/>
        </w:rPr>
        <w:t xml:space="preserve">IACHR, </w:t>
      </w:r>
      <w:hyperlink r:id="rId261" w:history="1">
        <w:r w:rsidRPr="001167CB">
          <w:rPr>
            <w:rStyle w:val="Hyperlink"/>
            <w:rFonts w:asciiTheme="majorHAnsi" w:hAnsiTheme="majorHAnsi" w:cstheme="majorHAnsi"/>
            <w:bCs/>
            <w:color w:val="808080" w:themeColor="background1" w:themeShade="80"/>
            <w:sz w:val="16"/>
            <w:szCs w:val="16"/>
          </w:rPr>
          <w:t>Walter Scott Press Release</w:t>
        </w:r>
      </w:hyperlink>
      <w:r w:rsidRPr="001167CB">
        <w:rPr>
          <w:rFonts w:asciiTheme="majorHAnsi" w:hAnsiTheme="majorHAnsi" w:cstheme="majorHAnsi"/>
          <w:bCs/>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 xml:space="preserve">Apr. </w:t>
      </w:r>
      <w:r w:rsidRPr="001167CB">
        <w:rPr>
          <w:rFonts w:asciiTheme="majorHAnsi" w:hAnsiTheme="majorHAnsi" w:cstheme="majorHAnsi"/>
          <w:bCs/>
          <w:color w:val="808080" w:themeColor="background1" w:themeShade="80"/>
          <w:sz w:val="16"/>
          <w:szCs w:val="16"/>
        </w:rPr>
        <w:t>17, 2015</w:t>
      </w:r>
      <w:r w:rsidRPr="001167CB">
        <w:rPr>
          <w:rFonts w:asciiTheme="majorHAnsi" w:hAnsiTheme="majorHAnsi" w:cstheme="majorHAnsi"/>
          <w:color w:val="808080" w:themeColor="background1" w:themeShade="80"/>
          <w:sz w:val="16"/>
          <w:szCs w:val="16"/>
        </w:rPr>
        <w:t>.</w:t>
      </w:r>
    </w:p>
  </w:footnote>
  <w:footnote w:id="213">
    <w:p w14:paraId="2991E6FE"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bCs/>
          <w:color w:val="808080" w:themeColor="background1" w:themeShade="80"/>
          <w:sz w:val="16"/>
          <w:szCs w:val="16"/>
        </w:rPr>
        <w:t xml:space="preserve">U.N., Working Group on People of African Descent. </w:t>
      </w:r>
      <w:hyperlink r:id="rId262" w:history="1">
        <w:r w:rsidRPr="001167CB">
          <w:rPr>
            <w:rStyle w:val="Hyperlink"/>
            <w:rFonts w:asciiTheme="majorHAnsi" w:hAnsiTheme="majorHAnsi" w:cstheme="majorHAnsi"/>
            <w:bCs/>
            <w:color w:val="808080" w:themeColor="background1" w:themeShade="80"/>
            <w:sz w:val="16"/>
            <w:szCs w:val="16"/>
          </w:rPr>
          <w:t>Report on mission to the U.S.</w:t>
        </w:r>
      </w:hyperlink>
      <w:r w:rsidRPr="001167CB">
        <w:rPr>
          <w:rFonts w:asciiTheme="majorHAnsi" w:hAnsiTheme="majorHAnsi" w:cstheme="majorHAnsi"/>
          <w:bCs/>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 xml:space="preserve">Aug. </w:t>
      </w:r>
      <w:r w:rsidRPr="001167CB">
        <w:rPr>
          <w:rFonts w:asciiTheme="majorHAnsi" w:hAnsiTheme="majorHAnsi" w:cstheme="majorHAnsi"/>
          <w:bCs/>
          <w:color w:val="808080" w:themeColor="background1" w:themeShade="80"/>
          <w:sz w:val="16"/>
          <w:szCs w:val="16"/>
        </w:rPr>
        <w:t>18, 2016</w:t>
      </w:r>
      <w:r w:rsidRPr="001167CB">
        <w:rPr>
          <w:rFonts w:asciiTheme="majorHAnsi" w:hAnsiTheme="majorHAnsi" w:cstheme="majorHAnsi"/>
          <w:color w:val="808080" w:themeColor="background1" w:themeShade="80"/>
          <w:sz w:val="16"/>
          <w:szCs w:val="16"/>
        </w:rPr>
        <w:t>, para. 20.</w:t>
      </w:r>
    </w:p>
  </w:footnote>
  <w:footnote w:id="214">
    <w:p w14:paraId="5D576BAC"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Mothers against Police Brutality, Community Justice Project and Dream Defenders, </w:t>
      </w:r>
      <w:r w:rsidRPr="001167CB">
        <w:rPr>
          <w:rFonts w:asciiTheme="majorHAnsi" w:hAnsiTheme="majorHAnsi" w:cstheme="majorHAnsi"/>
          <w:i/>
          <w:color w:val="808080" w:themeColor="background1" w:themeShade="80"/>
          <w:sz w:val="16"/>
          <w:szCs w:val="16"/>
        </w:rPr>
        <w:t xml:space="preserve">Submission to the United Nations Committee Against Torture on the List of Issues Prior to Reporting for the United States of America (6th Periodic Report), </w:t>
      </w:r>
      <w:r w:rsidRPr="001167CB">
        <w:rPr>
          <w:rFonts w:asciiTheme="majorHAnsi" w:hAnsiTheme="majorHAnsi" w:cstheme="majorHAnsi"/>
          <w:color w:val="808080" w:themeColor="background1" w:themeShade="80"/>
          <w:sz w:val="16"/>
          <w:szCs w:val="16"/>
        </w:rPr>
        <w:t xml:space="preserve">Aug. 2017. </w:t>
      </w:r>
    </w:p>
  </w:footnote>
  <w:footnote w:id="215">
    <w:p w14:paraId="7DCA97AC"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Washington Post, </w:t>
      </w:r>
      <w:hyperlink r:id="rId263" w:history="1">
        <w:r w:rsidRPr="001167CB">
          <w:rPr>
            <w:rStyle w:val="Hyperlink"/>
            <w:rFonts w:asciiTheme="majorHAnsi" w:hAnsiTheme="majorHAnsi" w:cstheme="majorHAnsi"/>
            <w:color w:val="808080" w:themeColor="background1" w:themeShade="80"/>
            <w:sz w:val="16"/>
            <w:szCs w:val="16"/>
          </w:rPr>
          <w:t>Thousands Dead, Few Prosecuted</w:t>
        </w:r>
      </w:hyperlink>
      <w:r w:rsidRPr="001167CB">
        <w:rPr>
          <w:rFonts w:asciiTheme="majorHAnsi" w:hAnsiTheme="majorHAnsi" w:cstheme="majorHAnsi"/>
          <w:color w:val="808080" w:themeColor="background1" w:themeShade="80"/>
          <w:sz w:val="16"/>
          <w:szCs w:val="16"/>
        </w:rPr>
        <w:t xml:space="preserve">, Apr. 11, 2015. </w:t>
      </w:r>
    </w:p>
  </w:footnote>
  <w:footnote w:id="216">
    <w:p w14:paraId="60299ACB"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i/>
          <w:color w:val="808080" w:themeColor="background1" w:themeShade="80"/>
          <w:sz w:val="16"/>
          <w:szCs w:val="16"/>
        </w:rPr>
        <w:t>Id</w:t>
      </w:r>
      <w:r w:rsidRPr="001167CB">
        <w:rPr>
          <w:rFonts w:asciiTheme="majorHAnsi" w:hAnsiTheme="majorHAnsi" w:cstheme="majorHAnsi"/>
          <w:color w:val="808080" w:themeColor="background1" w:themeShade="80"/>
          <w:sz w:val="16"/>
          <w:szCs w:val="16"/>
        </w:rPr>
        <w:t>.</w:t>
      </w:r>
    </w:p>
  </w:footnote>
  <w:footnote w:id="217">
    <w:p w14:paraId="37243A95"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lang w:val="en-GB"/>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The Guardian, </w:t>
      </w:r>
      <w:hyperlink r:id="rId264" w:history="1">
        <w:r w:rsidRPr="001167CB">
          <w:rPr>
            <w:rStyle w:val="Hyperlink"/>
            <w:rFonts w:asciiTheme="majorHAnsi" w:hAnsiTheme="majorHAnsi" w:cstheme="majorHAnsi"/>
            <w:color w:val="808080" w:themeColor="background1" w:themeShade="80"/>
            <w:sz w:val="16"/>
            <w:szCs w:val="16"/>
          </w:rPr>
          <w:t>Dozens of killings by US police ruled justified without public being notified</w:t>
        </w:r>
      </w:hyperlink>
      <w:r w:rsidRPr="001167CB">
        <w:rPr>
          <w:rFonts w:asciiTheme="majorHAnsi" w:hAnsiTheme="majorHAnsi" w:cstheme="majorHAnsi"/>
          <w:color w:val="808080" w:themeColor="background1" w:themeShade="80"/>
          <w:sz w:val="16"/>
          <w:szCs w:val="16"/>
        </w:rPr>
        <w:t>, Apr. 13, 2016.</w:t>
      </w:r>
    </w:p>
  </w:footnote>
  <w:footnote w:id="218">
    <w:p w14:paraId="03E841FF"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Washington Post, </w:t>
      </w:r>
      <w:hyperlink r:id="rId265" w:history="1">
        <w:r w:rsidRPr="001167CB">
          <w:rPr>
            <w:rStyle w:val="Hyperlink"/>
            <w:rFonts w:asciiTheme="majorHAnsi" w:hAnsiTheme="majorHAnsi" w:cstheme="majorHAnsi"/>
            <w:color w:val="808080" w:themeColor="background1" w:themeShade="80"/>
            <w:sz w:val="16"/>
            <w:szCs w:val="16"/>
          </w:rPr>
          <w:t>More Police Go to Trial in Killings, but Convictions Remain Rare</w:t>
        </w:r>
      </w:hyperlink>
      <w:r w:rsidRPr="001167CB">
        <w:rPr>
          <w:rFonts w:asciiTheme="majorHAnsi" w:hAnsiTheme="majorHAnsi" w:cstheme="majorHAnsi"/>
          <w:color w:val="808080" w:themeColor="background1" w:themeShade="80"/>
          <w:sz w:val="16"/>
          <w:szCs w:val="16"/>
        </w:rPr>
        <w:t xml:space="preserve">, Sept. 23, 2015. </w:t>
      </w:r>
      <w:r w:rsidRPr="001167CB">
        <w:rPr>
          <w:rFonts w:asciiTheme="majorHAnsi" w:hAnsiTheme="majorHAnsi" w:cstheme="majorHAnsi"/>
          <w:i/>
          <w:iCs/>
          <w:color w:val="808080" w:themeColor="background1" w:themeShade="80"/>
          <w:sz w:val="16"/>
          <w:szCs w:val="16"/>
        </w:rPr>
        <w:t xml:space="preserve">See also </w:t>
      </w:r>
      <w:r w:rsidRPr="001167CB">
        <w:rPr>
          <w:rFonts w:asciiTheme="majorHAnsi" w:hAnsiTheme="majorHAnsi" w:cstheme="majorHAnsi"/>
          <w:iCs/>
          <w:color w:val="808080" w:themeColor="background1" w:themeShade="80"/>
          <w:sz w:val="16"/>
          <w:szCs w:val="16"/>
        </w:rPr>
        <w:t>Mapping Police Violence: Police Violence Map</w:t>
      </w:r>
      <w:r w:rsidRPr="001167CB">
        <w:rPr>
          <w:rFonts w:asciiTheme="majorHAnsi" w:hAnsiTheme="majorHAnsi" w:cstheme="majorHAnsi"/>
          <w:color w:val="808080" w:themeColor="background1" w:themeShade="80"/>
          <w:sz w:val="16"/>
          <w:szCs w:val="16"/>
        </w:rPr>
        <w:t xml:space="preserve">, </w:t>
      </w:r>
      <w:hyperlink r:id="rId266" w:history="1">
        <w:r w:rsidRPr="001167CB">
          <w:rPr>
            <w:rStyle w:val="Hyperlink"/>
            <w:rFonts w:asciiTheme="majorHAnsi" w:hAnsiTheme="majorHAnsi" w:cstheme="majorHAnsi"/>
            <w:color w:val="808080" w:themeColor="background1" w:themeShade="80"/>
            <w:sz w:val="16"/>
            <w:szCs w:val="16"/>
          </w:rPr>
          <w:t>https://mappingpoliceviolence.org</w:t>
        </w:r>
      </w:hyperlink>
      <w:r w:rsidRPr="001167CB">
        <w:rPr>
          <w:rFonts w:asciiTheme="majorHAnsi" w:hAnsiTheme="majorHAnsi" w:cstheme="majorHAnsi"/>
          <w:color w:val="808080" w:themeColor="background1" w:themeShade="80"/>
          <w:sz w:val="16"/>
          <w:szCs w:val="16"/>
        </w:rPr>
        <w:t xml:space="preserve"> (finding that 99% of cases in 2015 have not resulted in any officer(s) being convicted of a crime); </w:t>
      </w:r>
      <w:r w:rsidRPr="001167CB">
        <w:rPr>
          <w:rFonts w:asciiTheme="majorHAnsi" w:hAnsiTheme="majorHAnsi" w:cstheme="majorHAnsi"/>
          <w:i/>
          <w:iCs/>
          <w:color w:val="808080" w:themeColor="background1" w:themeShade="80"/>
          <w:sz w:val="16"/>
          <w:szCs w:val="16"/>
        </w:rPr>
        <w:t xml:space="preserve">See also </w:t>
      </w:r>
      <w:r w:rsidRPr="001167CB">
        <w:rPr>
          <w:rFonts w:asciiTheme="majorHAnsi" w:hAnsiTheme="majorHAnsi" w:cstheme="majorHAnsi"/>
          <w:color w:val="808080" w:themeColor="background1" w:themeShade="80"/>
          <w:sz w:val="16"/>
          <w:szCs w:val="16"/>
        </w:rPr>
        <w:t xml:space="preserve">L.A. Times, </w:t>
      </w:r>
      <w:hyperlink r:id="rId267" w:history="1">
        <w:r w:rsidRPr="001167CB">
          <w:rPr>
            <w:rStyle w:val="Hyperlink"/>
            <w:rFonts w:asciiTheme="majorHAnsi" w:hAnsiTheme="majorHAnsi" w:cstheme="majorHAnsi"/>
            <w:iCs/>
            <w:color w:val="808080" w:themeColor="background1" w:themeShade="80"/>
            <w:sz w:val="16"/>
            <w:szCs w:val="16"/>
          </w:rPr>
          <w:t>Cops shoot and kill someone about 1,000 times a year. Few are prosecuted. What can be done?</w:t>
        </w:r>
      </w:hyperlink>
      <w:r w:rsidRPr="001167CB">
        <w:rPr>
          <w:rFonts w:asciiTheme="majorHAnsi" w:hAnsiTheme="majorHAnsi" w:cstheme="majorHAnsi"/>
          <w:color w:val="808080" w:themeColor="background1" w:themeShade="80"/>
          <w:sz w:val="16"/>
          <w:szCs w:val="16"/>
        </w:rPr>
        <w:t xml:space="preserve"> Dec. 15, 2016.</w:t>
      </w:r>
    </w:p>
  </w:footnote>
  <w:footnote w:id="219">
    <w:p w14:paraId="00387B47"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New York Times, </w:t>
      </w:r>
      <w:hyperlink r:id="rId268" w:history="1">
        <w:r w:rsidRPr="001167CB">
          <w:rPr>
            <w:rStyle w:val="Hyperlink"/>
            <w:rFonts w:asciiTheme="majorHAnsi" w:hAnsiTheme="majorHAnsi" w:cstheme="majorHAnsi"/>
            <w:color w:val="808080" w:themeColor="background1" w:themeShade="80"/>
            <w:sz w:val="16"/>
            <w:szCs w:val="16"/>
          </w:rPr>
          <w:t>Looking for Accountability in Police-Involved Deaths of Blacks</w:t>
        </w:r>
      </w:hyperlink>
      <w:r w:rsidRPr="001167CB">
        <w:rPr>
          <w:rFonts w:asciiTheme="majorHAnsi" w:hAnsiTheme="majorHAnsi" w:cstheme="majorHAnsi"/>
          <w:color w:val="808080" w:themeColor="background1" w:themeShade="80"/>
          <w:sz w:val="16"/>
          <w:szCs w:val="16"/>
        </w:rPr>
        <w:t xml:space="preserve">, May 3, 2017. </w:t>
      </w:r>
    </w:p>
  </w:footnote>
  <w:footnote w:id="220">
    <w:p w14:paraId="11DE09A5" w14:textId="77777777" w:rsidR="005C2394" w:rsidRPr="001167CB" w:rsidRDefault="005C2394" w:rsidP="002C64F8">
      <w:pPr>
        <w:pStyle w:val="FootnoteText"/>
        <w:spacing w:after="40"/>
        <w:ind w:left="547" w:hanging="547"/>
        <w:jc w:val="both"/>
        <w:rPr>
          <w:rFonts w:asciiTheme="majorHAnsi" w:hAnsiTheme="majorHAnsi" w:cstheme="majorHAnsi"/>
          <w:bCs/>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bCs/>
          <w:color w:val="808080" w:themeColor="background1" w:themeShade="80"/>
          <w:sz w:val="16"/>
          <w:szCs w:val="16"/>
        </w:rPr>
        <w:t xml:space="preserve">IACHR, </w:t>
      </w:r>
      <w:hyperlink r:id="rId269" w:history="1">
        <w:r w:rsidRPr="001167CB">
          <w:rPr>
            <w:rStyle w:val="Hyperlink"/>
            <w:rFonts w:asciiTheme="majorHAnsi" w:hAnsiTheme="majorHAnsi" w:cstheme="majorHAnsi"/>
            <w:bCs/>
            <w:color w:val="808080" w:themeColor="background1" w:themeShade="80"/>
            <w:sz w:val="16"/>
            <w:szCs w:val="16"/>
          </w:rPr>
          <w:t>Eric Garner and Michael Brown Press Release</w:t>
        </w:r>
      </w:hyperlink>
      <w:r w:rsidRPr="001167CB">
        <w:rPr>
          <w:rFonts w:asciiTheme="majorHAnsi" w:hAnsiTheme="majorHAnsi" w:cstheme="majorHAnsi"/>
          <w:bCs/>
          <w:color w:val="808080" w:themeColor="background1" w:themeShade="80"/>
          <w:sz w:val="16"/>
          <w:szCs w:val="16"/>
        </w:rPr>
        <w:t>, Aug. 22, 2014</w:t>
      </w:r>
      <w:proofErr w:type="gramStart"/>
      <w:r w:rsidRPr="001167CB">
        <w:rPr>
          <w:rFonts w:asciiTheme="majorHAnsi" w:hAnsiTheme="majorHAnsi" w:cstheme="majorHAnsi"/>
          <w:bCs/>
          <w:color w:val="808080" w:themeColor="background1" w:themeShade="80"/>
          <w:sz w:val="16"/>
          <w:szCs w:val="16"/>
        </w:rPr>
        <w:t>;,</w:t>
      </w:r>
      <w:proofErr w:type="gramEnd"/>
      <w:r w:rsidRPr="001167CB">
        <w:rPr>
          <w:rFonts w:asciiTheme="majorHAnsi" w:hAnsiTheme="majorHAnsi" w:cstheme="majorHAnsi"/>
          <w:bCs/>
          <w:color w:val="808080" w:themeColor="background1" w:themeShade="80"/>
          <w:sz w:val="16"/>
          <w:szCs w:val="16"/>
        </w:rPr>
        <w:t xml:space="preserve"> </w:t>
      </w:r>
      <w:hyperlink r:id="rId270" w:history="1">
        <w:r w:rsidRPr="001167CB">
          <w:rPr>
            <w:rStyle w:val="Hyperlink"/>
            <w:rFonts w:asciiTheme="majorHAnsi" w:hAnsiTheme="majorHAnsi" w:cstheme="majorHAnsi"/>
            <w:bCs/>
            <w:color w:val="808080" w:themeColor="background1" w:themeShade="80"/>
            <w:sz w:val="16"/>
            <w:szCs w:val="16"/>
          </w:rPr>
          <w:t>Investigation of Police Killings Press Release</w:t>
        </w:r>
      </w:hyperlink>
      <w:r w:rsidRPr="001167CB">
        <w:rPr>
          <w:rFonts w:asciiTheme="majorHAnsi" w:hAnsiTheme="majorHAnsi" w:cstheme="majorHAnsi"/>
          <w:bCs/>
          <w:color w:val="808080" w:themeColor="background1" w:themeShade="80"/>
          <w:sz w:val="16"/>
          <w:szCs w:val="16"/>
        </w:rPr>
        <w:t>, Aug. 23, 2016</w:t>
      </w:r>
      <w:r w:rsidRPr="001167CB">
        <w:rPr>
          <w:rFonts w:asciiTheme="majorHAnsi" w:hAnsiTheme="majorHAnsi" w:cstheme="majorHAnsi"/>
          <w:color w:val="808080" w:themeColor="background1" w:themeShade="80"/>
          <w:sz w:val="16"/>
          <w:szCs w:val="16"/>
        </w:rPr>
        <w:t>.</w:t>
      </w:r>
    </w:p>
  </w:footnote>
  <w:footnote w:id="221">
    <w:p w14:paraId="0E24B0EC"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bCs/>
          <w:color w:val="808080" w:themeColor="background1" w:themeShade="80"/>
          <w:sz w:val="16"/>
          <w:szCs w:val="16"/>
        </w:rPr>
        <w:t xml:space="preserve">IACHR, </w:t>
      </w:r>
      <w:hyperlink r:id="rId271" w:history="1">
        <w:r w:rsidRPr="001167CB">
          <w:rPr>
            <w:rStyle w:val="Hyperlink"/>
            <w:rFonts w:asciiTheme="majorHAnsi" w:hAnsiTheme="majorHAnsi" w:cstheme="majorHAnsi"/>
            <w:bCs/>
            <w:color w:val="808080" w:themeColor="background1" w:themeShade="80"/>
            <w:sz w:val="16"/>
            <w:szCs w:val="16"/>
          </w:rPr>
          <w:t>Investigation of Police Killings Press Release</w:t>
        </w:r>
      </w:hyperlink>
      <w:r w:rsidRPr="001167CB">
        <w:rPr>
          <w:rFonts w:asciiTheme="majorHAnsi" w:hAnsiTheme="majorHAnsi" w:cstheme="majorHAnsi"/>
          <w:bCs/>
          <w:color w:val="808080" w:themeColor="background1" w:themeShade="80"/>
          <w:sz w:val="16"/>
          <w:szCs w:val="16"/>
        </w:rPr>
        <w:t>, Aug. 23, 2016</w:t>
      </w:r>
      <w:r w:rsidRPr="001167CB">
        <w:rPr>
          <w:rFonts w:asciiTheme="majorHAnsi" w:hAnsiTheme="majorHAnsi" w:cstheme="majorHAnsi"/>
          <w:color w:val="808080" w:themeColor="background1" w:themeShade="80"/>
          <w:sz w:val="16"/>
          <w:szCs w:val="16"/>
        </w:rPr>
        <w:t>.</w:t>
      </w:r>
    </w:p>
  </w:footnote>
  <w:footnote w:id="222">
    <w:p w14:paraId="30A41580" w14:textId="77777777" w:rsidR="005C2394" w:rsidRPr="001167CB" w:rsidRDefault="005C2394" w:rsidP="002C64F8">
      <w:pPr>
        <w:pStyle w:val="FootnoteText"/>
        <w:spacing w:after="40"/>
        <w:ind w:left="547" w:hanging="547"/>
        <w:contextualSpacing/>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New York Times, </w:t>
      </w:r>
      <w:hyperlink r:id="rId272" w:history="1">
        <w:r w:rsidRPr="001167CB">
          <w:rPr>
            <w:rStyle w:val="Hyperlink"/>
            <w:rFonts w:asciiTheme="majorHAnsi" w:hAnsiTheme="majorHAnsi" w:cstheme="majorHAnsi"/>
            <w:color w:val="808080" w:themeColor="background1" w:themeShade="80"/>
            <w:sz w:val="16"/>
            <w:szCs w:val="16"/>
            <w:lang w:val="en"/>
          </w:rPr>
          <w:t xml:space="preserve">Why N.F.L. Players Started Taking a Knee </w:t>
        </w:r>
        <w:proofErr w:type="gramStart"/>
        <w:r w:rsidRPr="001167CB">
          <w:rPr>
            <w:rStyle w:val="Hyperlink"/>
            <w:rFonts w:asciiTheme="majorHAnsi" w:hAnsiTheme="majorHAnsi" w:cstheme="majorHAnsi"/>
            <w:color w:val="808080" w:themeColor="background1" w:themeShade="80"/>
            <w:sz w:val="16"/>
            <w:szCs w:val="16"/>
            <w:lang w:val="en"/>
          </w:rPr>
          <w:t>During</w:t>
        </w:r>
        <w:proofErr w:type="gramEnd"/>
        <w:r w:rsidRPr="001167CB">
          <w:rPr>
            <w:rStyle w:val="Hyperlink"/>
            <w:rFonts w:asciiTheme="majorHAnsi" w:hAnsiTheme="majorHAnsi" w:cstheme="majorHAnsi"/>
            <w:color w:val="808080" w:themeColor="background1" w:themeShade="80"/>
            <w:sz w:val="16"/>
            <w:szCs w:val="16"/>
            <w:lang w:val="en"/>
          </w:rPr>
          <w:t xml:space="preserve"> the Anthem</w:t>
        </w:r>
      </w:hyperlink>
      <w:r w:rsidRPr="001167CB">
        <w:rPr>
          <w:rFonts w:asciiTheme="majorHAnsi" w:hAnsiTheme="majorHAnsi" w:cstheme="majorHAnsi"/>
          <w:color w:val="808080" w:themeColor="background1" w:themeShade="80"/>
          <w:sz w:val="16"/>
          <w:szCs w:val="16"/>
          <w:lang w:val="en"/>
        </w:rPr>
        <w:t>,</w:t>
      </w:r>
      <w:r w:rsidRPr="001167CB">
        <w:rPr>
          <w:rFonts w:asciiTheme="majorHAnsi" w:hAnsiTheme="majorHAnsi" w:cstheme="majorHAnsi"/>
          <w:color w:val="808080" w:themeColor="background1" w:themeShade="80"/>
          <w:sz w:val="16"/>
          <w:szCs w:val="16"/>
        </w:rPr>
        <w:t xml:space="preserve"> Sept. 25, 2017. New York Times, </w:t>
      </w:r>
      <w:hyperlink r:id="rId273" w:history="1">
        <w:r w:rsidRPr="001167CB">
          <w:rPr>
            <w:rStyle w:val="Hyperlink"/>
            <w:rFonts w:asciiTheme="majorHAnsi" w:hAnsiTheme="majorHAnsi" w:cstheme="majorHAnsi"/>
            <w:color w:val="808080" w:themeColor="background1" w:themeShade="80"/>
            <w:sz w:val="16"/>
            <w:szCs w:val="16"/>
          </w:rPr>
          <w:t xml:space="preserve">Minnesota Officer Acquitted in Killing of </w:t>
        </w:r>
        <w:proofErr w:type="spellStart"/>
        <w:r w:rsidRPr="001167CB">
          <w:rPr>
            <w:rStyle w:val="Hyperlink"/>
            <w:rFonts w:asciiTheme="majorHAnsi" w:hAnsiTheme="majorHAnsi" w:cstheme="majorHAnsi"/>
            <w:color w:val="808080" w:themeColor="background1" w:themeShade="80"/>
            <w:sz w:val="16"/>
            <w:szCs w:val="16"/>
          </w:rPr>
          <w:t>Philando</w:t>
        </w:r>
        <w:proofErr w:type="spellEnd"/>
        <w:r w:rsidRPr="001167CB">
          <w:rPr>
            <w:rStyle w:val="Hyperlink"/>
            <w:rFonts w:asciiTheme="majorHAnsi" w:hAnsiTheme="majorHAnsi" w:cstheme="majorHAnsi"/>
            <w:color w:val="808080" w:themeColor="background1" w:themeShade="80"/>
            <w:sz w:val="16"/>
            <w:szCs w:val="16"/>
          </w:rPr>
          <w:t xml:space="preserve"> Castile</w:t>
        </w:r>
      </w:hyperlink>
      <w:r w:rsidRPr="001167CB">
        <w:rPr>
          <w:rFonts w:asciiTheme="majorHAnsi" w:hAnsiTheme="majorHAnsi" w:cstheme="majorHAnsi"/>
          <w:color w:val="808080" w:themeColor="background1" w:themeShade="80"/>
          <w:sz w:val="16"/>
          <w:szCs w:val="16"/>
        </w:rPr>
        <w:t xml:space="preserve">, June. 6, 2017. ABC News, </w:t>
      </w:r>
      <w:hyperlink r:id="rId274" w:history="1">
        <w:r w:rsidRPr="001167CB">
          <w:rPr>
            <w:rStyle w:val="Hyperlink"/>
            <w:rFonts w:asciiTheme="majorHAnsi" w:hAnsiTheme="majorHAnsi" w:cstheme="majorHAnsi"/>
            <w:color w:val="808080" w:themeColor="background1" w:themeShade="80"/>
            <w:sz w:val="16"/>
            <w:szCs w:val="16"/>
          </w:rPr>
          <w:t>Tulsa police officer acquitted in death of unarmed African-American man</w:t>
        </w:r>
      </w:hyperlink>
      <w:r w:rsidRPr="001167CB">
        <w:rPr>
          <w:rFonts w:asciiTheme="majorHAnsi" w:hAnsiTheme="majorHAnsi" w:cstheme="majorHAnsi"/>
          <w:color w:val="808080" w:themeColor="background1" w:themeShade="80"/>
          <w:sz w:val="16"/>
          <w:szCs w:val="16"/>
        </w:rPr>
        <w:t xml:space="preserve">, May 18, 2017. CNN News, </w:t>
      </w:r>
      <w:hyperlink r:id="rId275" w:history="1">
        <w:r w:rsidRPr="001167CB">
          <w:rPr>
            <w:rStyle w:val="Hyperlink"/>
            <w:rFonts w:asciiTheme="majorHAnsi" w:hAnsiTheme="majorHAnsi" w:cstheme="majorHAnsi"/>
            <w:color w:val="808080" w:themeColor="background1" w:themeShade="80"/>
            <w:sz w:val="16"/>
            <w:szCs w:val="16"/>
          </w:rPr>
          <w:t>No federal charges against officers in Alton Sterling death</w:t>
        </w:r>
      </w:hyperlink>
      <w:r w:rsidRPr="001167CB">
        <w:rPr>
          <w:rFonts w:asciiTheme="majorHAnsi" w:hAnsiTheme="majorHAnsi" w:cstheme="majorHAnsi"/>
          <w:color w:val="808080" w:themeColor="background1" w:themeShade="80"/>
          <w:sz w:val="16"/>
          <w:szCs w:val="16"/>
        </w:rPr>
        <w:t xml:space="preserve">, June 27, 2017; CNN, </w:t>
      </w:r>
      <w:hyperlink r:id="rId276" w:history="1">
        <w:r w:rsidRPr="001167CB">
          <w:rPr>
            <w:rStyle w:val="Hyperlink"/>
            <w:rFonts w:asciiTheme="majorHAnsi" w:hAnsiTheme="majorHAnsi" w:cstheme="majorHAnsi"/>
            <w:color w:val="808080" w:themeColor="background1" w:themeShade="80"/>
            <w:sz w:val="16"/>
            <w:szCs w:val="16"/>
          </w:rPr>
          <w:t>St. Louis ex-officer acquitted in fatal shooting of black driver</w:t>
        </w:r>
      </w:hyperlink>
      <w:r w:rsidRPr="001167CB">
        <w:rPr>
          <w:rFonts w:asciiTheme="majorHAnsi" w:hAnsiTheme="majorHAnsi" w:cstheme="majorHAnsi"/>
          <w:color w:val="808080" w:themeColor="background1" w:themeShade="80"/>
          <w:sz w:val="16"/>
          <w:szCs w:val="16"/>
        </w:rPr>
        <w:t xml:space="preserve">, Sept. 16, 2017; </w:t>
      </w:r>
      <w:r w:rsidRPr="001167CB">
        <w:rPr>
          <w:rFonts w:asciiTheme="majorHAnsi" w:hAnsiTheme="majorHAnsi" w:cstheme="majorHAnsi"/>
          <w:color w:val="808080" w:themeColor="background1" w:themeShade="80"/>
          <w:sz w:val="16"/>
          <w:szCs w:val="16"/>
          <w:lang w:val="en-GB"/>
        </w:rPr>
        <w:t xml:space="preserve">CBS News, </w:t>
      </w:r>
      <w:hyperlink r:id="rId277" w:history="1">
        <w:r w:rsidRPr="001167CB">
          <w:rPr>
            <w:rStyle w:val="Hyperlink"/>
            <w:rFonts w:asciiTheme="majorHAnsi" w:hAnsiTheme="majorHAnsi" w:cstheme="majorHAnsi"/>
            <w:color w:val="808080" w:themeColor="background1" w:themeShade="80"/>
            <w:sz w:val="16"/>
            <w:szCs w:val="16"/>
            <w:lang w:val="en-GB"/>
          </w:rPr>
          <w:t>Terence Crutcher shooting ignites debate</w:t>
        </w:r>
      </w:hyperlink>
      <w:r w:rsidRPr="001167CB">
        <w:rPr>
          <w:rFonts w:asciiTheme="majorHAnsi" w:hAnsiTheme="majorHAnsi" w:cstheme="majorHAnsi"/>
          <w:color w:val="808080" w:themeColor="background1" w:themeShade="80"/>
          <w:sz w:val="16"/>
          <w:szCs w:val="16"/>
          <w:lang w:val="en-GB"/>
        </w:rPr>
        <w:t xml:space="preserve">, </w:t>
      </w:r>
      <w:r w:rsidRPr="001167CB">
        <w:rPr>
          <w:rFonts w:asciiTheme="majorHAnsi" w:hAnsiTheme="majorHAnsi" w:cstheme="majorHAnsi"/>
          <w:color w:val="808080" w:themeColor="background1" w:themeShade="80"/>
          <w:sz w:val="16"/>
          <w:szCs w:val="16"/>
        </w:rPr>
        <w:t xml:space="preserve">Apr. </w:t>
      </w:r>
      <w:r w:rsidRPr="001167CB">
        <w:rPr>
          <w:rFonts w:asciiTheme="majorHAnsi" w:hAnsiTheme="majorHAnsi" w:cstheme="majorHAnsi"/>
          <w:color w:val="808080" w:themeColor="background1" w:themeShade="80"/>
          <w:sz w:val="16"/>
          <w:szCs w:val="16"/>
          <w:lang w:val="en-GB"/>
        </w:rPr>
        <w:t xml:space="preserve">4, 2017; </w:t>
      </w:r>
      <w:r w:rsidRPr="001167CB">
        <w:rPr>
          <w:rFonts w:asciiTheme="majorHAnsi" w:hAnsiTheme="majorHAnsi" w:cstheme="majorHAnsi"/>
          <w:i/>
          <w:color w:val="808080" w:themeColor="background1" w:themeShade="80"/>
          <w:sz w:val="16"/>
          <w:szCs w:val="16"/>
        </w:rPr>
        <w:t>see also</w:t>
      </w:r>
      <w:r w:rsidRPr="001167CB">
        <w:rPr>
          <w:rFonts w:asciiTheme="majorHAnsi" w:hAnsiTheme="majorHAnsi" w:cstheme="majorHAnsi"/>
          <w:color w:val="808080" w:themeColor="background1" w:themeShade="80"/>
          <w:sz w:val="16"/>
          <w:szCs w:val="16"/>
        </w:rPr>
        <w:t xml:space="preserve"> New York Times, </w:t>
      </w:r>
      <w:hyperlink r:id="rId278" w:history="1">
        <w:r w:rsidRPr="001167CB">
          <w:rPr>
            <w:rStyle w:val="Hyperlink"/>
            <w:rFonts w:asciiTheme="majorHAnsi" w:hAnsiTheme="majorHAnsi" w:cstheme="majorHAnsi"/>
            <w:color w:val="808080" w:themeColor="background1" w:themeShade="80"/>
            <w:sz w:val="16"/>
            <w:szCs w:val="16"/>
          </w:rPr>
          <w:t>Looking for Accountability in Police-Involved Deaths of Blacks</w:t>
        </w:r>
      </w:hyperlink>
      <w:r w:rsidRPr="001167CB">
        <w:rPr>
          <w:rFonts w:asciiTheme="majorHAnsi" w:hAnsiTheme="majorHAnsi" w:cstheme="majorHAnsi"/>
          <w:color w:val="808080" w:themeColor="background1" w:themeShade="80"/>
          <w:sz w:val="16"/>
          <w:szCs w:val="16"/>
        </w:rPr>
        <w:t>, May 3, 2017;</w:t>
      </w:r>
      <w:r w:rsidRPr="001167CB">
        <w:rPr>
          <w:rFonts w:asciiTheme="majorHAnsi" w:hAnsiTheme="majorHAnsi" w:cstheme="majorHAnsi"/>
          <w:color w:val="808080" w:themeColor="background1" w:themeShade="80"/>
          <w:sz w:val="16"/>
          <w:szCs w:val="16"/>
          <w:lang w:val="en-GB"/>
        </w:rPr>
        <w:t xml:space="preserve"> </w:t>
      </w:r>
      <w:r w:rsidRPr="001167CB">
        <w:rPr>
          <w:rFonts w:asciiTheme="majorHAnsi" w:hAnsiTheme="majorHAnsi" w:cstheme="majorHAnsi"/>
          <w:color w:val="808080" w:themeColor="background1" w:themeShade="80"/>
          <w:sz w:val="16"/>
          <w:szCs w:val="16"/>
        </w:rPr>
        <w:t xml:space="preserve">Guardian, </w:t>
      </w:r>
      <w:hyperlink r:id="rId279" w:history="1">
        <w:r w:rsidRPr="001167CB">
          <w:rPr>
            <w:rStyle w:val="Hyperlink"/>
            <w:rFonts w:asciiTheme="majorHAnsi" w:hAnsiTheme="majorHAnsi" w:cstheme="majorHAnsi"/>
            <w:color w:val="808080" w:themeColor="background1" w:themeShade="80"/>
            <w:sz w:val="16"/>
            <w:szCs w:val="16"/>
          </w:rPr>
          <w:t xml:space="preserve">Cleveland police handcuff </w:t>
        </w:r>
        <w:proofErr w:type="spellStart"/>
        <w:r w:rsidRPr="001167CB">
          <w:rPr>
            <w:rStyle w:val="Hyperlink"/>
            <w:rFonts w:asciiTheme="majorHAnsi" w:hAnsiTheme="majorHAnsi" w:cstheme="majorHAnsi"/>
            <w:color w:val="808080" w:themeColor="background1" w:themeShade="80"/>
            <w:sz w:val="16"/>
            <w:szCs w:val="16"/>
          </w:rPr>
          <w:t>Tamir</w:t>
        </w:r>
        <w:proofErr w:type="spellEnd"/>
        <w:r w:rsidRPr="001167CB">
          <w:rPr>
            <w:rStyle w:val="Hyperlink"/>
            <w:rFonts w:asciiTheme="majorHAnsi" w:hAnsiTheme="majorHAnsi" w:cstheme="majorHAnsi"/>
            <w:color w:val="808080" w:themeColor="background1" w:themeShade="80"/>
            <w:sz w:val="16"/>
            <w:szCs w:val="16"/>
          </w:rPr>
          <w:t xml:space="preserve"> Rice's sister after shooting 12-year-old – video</w:t>
        </w:r>
      </w:hyperlink>
      <w:r w:rsidRPr="001167CB">
        <w:rPr>
          <w:rFonts w:asciiTheme="majorHAnsi" w:hAnsiTheme="majorHAnsi" w:cstheme="majorHAnsi"/>
          <w:color w:val="808080" w:themeColor="background1" w:themeShade="80"/>
          <w:sz w:val="16"/>
          <w:szCs w:val="16"/>
        </w:rPr>
        <w:t>, Jan. 8, 2015.</w:t>
      </w:r>
    </w:p>
  </w:footnote>
  <w:footnote w:id="223">
    <w:p w14:paraId="5ED23276" w14:textId="77777777" w:rsidR="005C2394" w:rsidRPr="001167CB" w:rsidRDefault="005C2394" w:rsidP="003A1642">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bCs/>
          <w:color w:val="808080" w:themeColor="background1" w:themeShade="80"/>
          <w:sz w:val="16"/>
          <w:szCs w:val="16"/>
        </w:rPr>
        <w:t xml:space="preserve">IACHR, 156th Period of Sessions, </w:t>
      </w:r>
      <w:hyperlink r:id="rId280" w:history="1">
        <w:r w:rsidRPr="001167CB">
          <w:rPr>
            <w:rStyle w:val="Hyperlink"/>
            <w:rFonts w:asciiTheme="majorHAnsi" w:hAnsiTheme="majorHAnsi" w:cstheme="majorHAnsi"/>
            <w:bCs/>
            <w:color w:val="808080" w:themeColor="background1" w:themeShade="80"/>
            <w:sz w:val="16"/>
            <w:szCs w:val="16"/>
          </w:rPr>
          <w:t>“Police Killings” Hearing</w:t>
        </w:r>
      </w:hyperlink>
      <w:r w:rsidRPr="001167CB">
        <w:rPr>
          <w:rFonts w:asciiTheme="majorHAnsi" w:hAnsiTheme="majorHAnsi" w:cstheme="majorHAnsi"/>
          <w:bCs/>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 xml:space="preserve">Oct. </w:t>
      </w:r>
      <w:r w:rsidRPr="001167CB">
        <w:rPr>
          <w:rFonts w:asciiTheme="majorHAnsi" w:hAnsiTheme="majorHAnsi" w:cstheme="majorHAnsi"/>
          <w:bCs/>
          <w:color w:val="808080" w:themeColor="background1" w:themeShade="80"/>
          <w:sz w:val="16"/>
          <w:szCs w:val="16"/>
        </w:rPr>
        <w:t>23, 2015</w:t>
      </w:r>
      <w:r w:rsidRPr="001167CB">
        <w:rPr>
          <w:rFonts w:asciiTheme="majorHAnsi" w:hAnsiTheme="majorHAnsi" w:cstheme="majorHAnsi"/>
          <w:color w:val="808080" w:themeColor="background1" w:themeShade="80"/>
          <w:sz w:val="16"/>
          <w:szCs w:val="16"/>
        </w:rPr>
        <w:t>.</w:t>
      </w:r>
    </w:p>
  </w:footnote>
  <w:footnote w:id="224">
    <w:p w14:paraId="7D13D2F4" w14:textId="77777777" w:rsidR="005C2394" w:rsidRPr="001167CB" w:rsidRDefault="005C2394" w:rsidP="00625D97">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bCs/>
          <w:color w:val="808080" w:themeColor="background1" w:themeShade="80"/>
          <w:sz w:val="16"/>
          <w:szCs w:val="16"/>
        </w:rPr>
        <w:t>Id.</w:t>
      </w:r>
    </w:p>
  </w:footnote>
  <w:footnote w:id="225">
    <w:p w14:paraId="4ECBFC85"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New York Times, </w:t>
      </w:r>
      <w:hyperlink r:id="rId281" w:history="1">
        <w:r w:rsidRPr="001167CB">
          <w:rPr>
            <w:rStyle w:val="Hyperlink"/>
            <w:rFonts w:asciiTheme="majorHAnsi" w:hAnsiTheme="majorHAnsi" w:cstheme="majorHAnsi"/>
            <w:color w:val="808080" w:themeColor="background1" w:themeShade="80"/>
            <w:sz w:val="16"/>
            <w:szCs w:val="16"/>
          </w:rPr>
          <w:t>Erica Garner, Activist and Daughter of Eric Garner, Dies at 27</w:t>
        </w:r>
      </w:hyperlink>
      <w:r w:rsidRPr="001167CB">
        <w:rPr>
          <w:rFonts w:asciiTheme="majorHAnsi" w:hAnsiTheme="majorHAnsi" w:cstheme="majorHAnsi"/>
          <w:color w:val="808080" w:themeColor="background1" w:themeShade="80"/>
          <w:sz w:val="16"/>
          <w:szCs w:val="16"/>
        </w:rPr>
        <w:t>, Dec. 30, 2017.</w:t>
      </w:r>
    </w:p>
  </w:footnote>
  <w:footnote w:id="226">
    <w:p w14:paraId="02A3676B"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Id.</w:t>
      </w:r>
    </w:p>
  </w:footnote>
  <w:footnote w:id="227">
    <w:p w14:paraId="51C312F7"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Roger A. Fairfax, Jr., “The Grand Jury and Police Violence Against Black Men,” in </w:t>
      </w:r>
      <w:r w:rsidRPr="001167CB">
        <w:rPr>
          <w:rFonts w:asciiTheme="majorHAnsi" w:hAnsiTheme="majorHAnsi" w:cstheme="majorHAnsi"/>
          <w:i/>
          <w:color w:val="808080" w:themeColor="background1" w:themeShade="80"/>
          <w:sz w:val="16"/>
          <w:szCs w:val="16"/>
        </w:rPr>
        <w:t xml:space="preserve">Policing the Black Man </w:t>
      </w:r>
      <w:r w:rsidRPr="001167CB">
        <w:rPr>
          <w:rFonts w:asciiTheme="majorHAnsi" w:hAnsiTheme="majorHAnsi" w:cstheme="majorHAnsi"/>
          <w:color w:val="808080" w:themeColor="background1" w:themeShade="80"/>
          <w:sz w:val="16"/>
          <w:szCs w:val="16"/>
        </w:rPr>
        <w:t>(2017), pp. 220-228.</w:t>
      </w:r>
    </w:p>
  </w:footnote>
  <w:footnote w:id="228">
    <w:p w14:paraId="43BB762F"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Houston Chronicle, </w:t>
      </w:r>
      <w:hyperlink r:id="rId282" w:history="1">
        <w:r w:rsidRPr="001167CB">
          <w:rPr>
            <w:rStyle w:val="Hyperlink"/>
            <w:rFonts w:asciiTheme="majorHAnsi" w:hAnsiTheme="majorHAnsi" w:cstheme="majorHAnsi"/>
            <w:color w:val="808080" w:themeColor="background1" w:themeShade="80"/>
            <w:sz w:val="16"/>
            <w:szCs w:val="16"/>
          </w:rPr>
          <w:t>Hard to Charge</w:t>
        </w:r>
      </w:hyperlink>
      <w:r w:rsidRPr="001167CB">
        <w:rPr>
          <w:rFonts w:asciiTheme="majorHAnsi" w:hAnsiTheme="majorHAnsi" w:cstheme="majorHAnsi"/>
          <w:color w:val="808080" w:themeColor="background1" w:themeShade="80"/>
          <w:sz w:val="16"/>
          <w:szCs w:val="16"/>
        </w:rPr>
        <w:t xml:space="preserve">, last visited Jan. 29, 2018; </w:t>
      </w:r>
      <w:r w:rsidRPr="001167CB">
        <w:rPr>
          <w:rFonts w:asciiTheme="majorHAnsi" w:hAnsiTheme="majorHAnsi" w:cstheme="majorHAnsi"/>
          <w:i/>
          <w:color w:val="808080" w:themeColor="background1" w:themeShade="80"/>
          <w:sz w:val="16"/>
          <w:szCs w:val="16"/>
        </w:rPr>
        <w:t>see also</w:t>
      </w:r>
      <w:r w:rsidRPr="001167CB">
        <w:rPr>
          <w:rFonts w:asciiTheme="majorHAnsi" w:hAnsiTheme="majorHAnsi" w:cstheme="majorHAnsi"/>
          <w:color w:val="808080" w:themeColor="background1" w:themeShade="80"/>
          <w:sz w:val="16"/>
          <w:szCs w:val="16"/>
        </w:rPr>
        <w:t xml:space="preserve"> New York Times, </w:t>
      </w:r>
      <w:hyperlink r:id="rId283" w:history="1">
        <w:r w:rsidRPr="001167CB">
          <w:rPr>
            <w:rStyle w:val="Hyperlink"/>
            <w:rFonts w:asciiTheme="majorHAnsi" w:hAnsiTheme="majorHAnsi" w:cstheme="majorHAnsi"/>
            <w:color w:val="808080" w:themeColor="background1" w:themeShade="80"/>
            <w:sz w:val="16"/>
            <w:szCs w:val="16"/>
          </w:rPr>
          <w:t>Grand Jury System, With Exceptions, Favors the Police in Fatalities</w:t>
        </w:r>
      </w:hyperlink>
      <w:r w:rsidRPr="001167CB">
        <w:rPr>
          <w:rFonts w:asciiTheme="majorHAnsi" w:hAnsiTheme="majorHAnsi" w:cstheme="majorHAnsi"/>
          <w:color w:val="808080" w:themeColor="background1" w:themeShade="80"/>
          <w:sz w:val="16"/>
          <w:szCs w:val="16"/>
        </w:rPr>
        <w:t>, Dec. 7, 2014.</w:t>
      </w:r>
    </w:p>
  </w:footnote>
  <w:footnote w:id="229">
    <w:p w14:paraId="09B1BB80"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Request for hearing received from Robert F. Kennedy Human Rights for 156th Period of Sessions, Oct. 23, 2015, p. 2 [hereinafter “RFK Request for hearing, 156th Period of Sessions, Oct. 23, 2015”].</w:t>
      </w:r>
    </w:p>
  </w:footnote>
  <w:footnote w:id="230">
    <w:p w14:paraId="0272C97D"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Information received from RFK Human Rights during 166th Period of Sessions, Dec. 7, 2017, p. 1 (citing MSNBC, </w:t>
      </w:r>
      <w:hyperlink r:id="rId284" w:history="1">
        <w:r w:rsidRPr="001167CB">
          <w:rPr>
            <w:rStyle w:val="Hyperlink"/>
            <w:rFonts w:asciiTheme="majorHAnsi" w:hAnsiTheme="majorHAnsi" w:cstheme="majorHAnsi"/>
            <w:color w:val="808080" w:themeColor="background1" w:themeShade="80"/>
            <w:sz w:val="16"/>
            <w:szCs w:val="16"/>
          </w:rPr>
          <w:t>Prosecutors and Police: The Inherent Conflict in our Courts</w:t>
        </w:r>
      </w:hyperlink>
      <w:r w:rsidRPr="001167CB">
        <w:rPr>
          <w:rFonts w:asciiTheme="majorHAnsi" w:hAnsiTheme="majorHAnsi" w:cstheme="majorHAnsi"/>
          <w:color w:val="808080" w:themeColor="background1" w:themeShade="80"/>
          <w:sz w:val="16"/>
          <w:szCs w:val="16"/>
        </w:rPr>
        <w:t xml:space="preserve">, Dec. 5, 2014, FiveThirtyEight, </w:t>
      </w:r>
      <w:hyperlink r:id="rId285" w:history="1">
        <w:r w:rsidRPr="001167CB">
          <w:rPr>
            <w:rStyle w:val="Hyperlink"/>
            <w:rFonts w:asciiTheme="majorHAnsi" w:hAnsiTheme="majorHAnsi" w:cstheme="majorHAnsi"/>
            <w:color w:val="808080" w:themeColor="background1" w:themeShade="80"/>
            <w:sz w:val="16"/>
            <w:szCs w:val="16"/>
          </w:rPr>
          <w:t>Allegations of Police Misconduct Rarely Result in Charge</w:t>
        </w:r>
      </w:hyperlink>
      <w:r w:rsidRPr="001167CB">
        <w:rPr>
          <w:rFonts w:asciiTheme="majorHAnsi" w:hAnsiTheme="majorHAnsi" w:cstheme="majorHAnsi"/>
          <w:color w:val="808080" w:themeColor="background1" w:themeShade="80"/>
          <w:sz w:val="16"/>
          <w:szCs w:val="16"/>
        </w:rPr>
        <w:t xml:space="preserve">s, Nov. 25, 2014; Washington Post, </w:t>
      </w:r>
      <w:hyperlink r:id="rId286" w:history="1">
        <w:r w:rsidRPr="001167CB">
          <w:rPr>
            <w:rStyle w:val="Hyperlink"/>
            <w:rFonts w:asciiTheme="majorHAnsi" w:hAnsiTheme="majorHAnsi" w:cstheme="majorHAnsi"/>
            <w:color w:val="808080" w:themeColor="background1" w:themeShade="80"/>
            <w:sz w:val="16"/>
            <w:szCs w:val="16"/>
          </w:rPr>
          <w:t>Thousands Dead, Few Prosecuted</w:t>
        </w:r>
      </w:hyperlink>
      <w:r w:rsidRPr="001167CB">
        <w:rPr>
          <w:rFonts w:asciiTheme="majorHAnsi" w:hAnsiTheme="majorHAnsi" w:cstheme="majorHAnsi"/>
          <w:color w:val="808080" w:themeColor="background1" w:themeShade="80"/>
          <w:sz w:val="16"/>
          <w:szCs w:val="16"/>
        </w:rPr>
        <w:t xml:space="preserve">, Apr. 11, 2015; Houston Chronicle, </w:t>
      </w:r>
      <w:hyperlink r:id="rId287" w:history="1">
        <w:r w:rsidRPr="001167CB">
          <w:rPr>
            <w:rStyle w:val="Hyperlink"/>
            <w:rFonts w:asciiTheme="majorHAnsi" w:hAnsiTheme="majorHAnsi" w:cstheme="majorHAnsi"/>
            <w:color w:val="808080" w:themeColor="background1" w:themeShade="80"/>
            <w:sz w:val="16"/>
            <w:szCs w:val="16"/>
          </w:rPr>
          <w:t>Hard to Charge</w:t>
        </w:r>
      </w:hyperlink>
      <w:r w:rsidRPr="001167CB">
        <w:rPr>
          <w:rFonts w:asciiTheme="majorHAnsi" w:hAnsiTheme="majorHAnsi" w:cstheme="majorHAnsi"/>
          <w:color w:val="808080" w:themeColor="background1" w:themeShade="80"/>
          <w:sz w:val="16"/>
          <w:szCs w:val="16"/>
        </w:rPr>
        <w:t xml:space="preserve">, last visited Oct. 5, 2015; </w:t>
      </w:r>
      <w:hyperlink r:id="rId288" w:history="1">
        <w:r w:rsidRPr="001167CB">
          <w:rPr>
            <w:rStyle w:val="Hyperlink"/>
            <w:rFonts w:asciiTheme="majorHAnsi" w:hAnsiTheme="majorHAnsi" w:cstheme="majorHAnsi"/>
            <w:color w:val="808080" w:themeColor="background1" w:themeShade="80"/>
            <w:sz w:val="16"/>
            <w:szCs w:val="16"/>
          </w:rPr>
          <w:t>Federal Justice Statistics 2010 – Statistical Tables</w:t>
        </w:r>
      </w:hyperlink>
      <w:r w:rsidRPr="001167CB">
        <w:rPr>
          <w:rFonts w:asciiTheme="majorHAnsi" w:hAnsiTheme="majorHAnsi" w:cstheme="majorHAnsi"/>
          <w:color w:val="808080" w:themeColor="background1" w:themeShade="80"/>
          <w:sz w:val="16"/>
          <w:szCs w:val="16"/>
        </w:rPr>
        <w:t>, Dec. 2013) [hereinafter “RFK Submission, 166th Period of Sessions, Dec. 7, 2017”].</w:t>
      </w:r>
    </w:p>
  </w:footnote>
  <w:footnote w:id="231">
    <w:p w14:paraId="08A8656E"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RFK Request for hearing, 156th Period of Sessions, Oct. 23, 2015, p. 2.</w:t>
      </w:r>
    </w:p>
  </w:footnote>
  <w:footnote w:id="232">
    <w:p w14:paraId="3F47D619"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RFK Submission, 166th Period of Sessions, Dec. 7, 2017, p. 2.</w:t>
      </w:r>
    </w:p>
  </w:footnote>
  <w:footnote w:id="233">
    <w:p w14:paraId="41ED6333"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Bureau of Justice Statistics, </w:t>
      </w:r>
      <w:hyperlink r:id="rId289" w:history="1">
        <w:r w:rsidRPr="001167CB">
          <w:rPr>
            <w:rStyle w:val="Hyperlink"/>
            <w:rFonts w:asciiTheme="majorHAnsi" w:hAnsiTheme="majorHAnsi" w:cstheme="majorHAnsi"/>
            <w:color w:val="808080" w:themeColor="background1" w:themeShade="80"/>
            <w:sz w:val="16"/>
            <w:szCs w:val="16"/>
          </w:rPr>
          <w:t xml:space="preserve">Citizen Complaints </w:t>
        </w:r>
        <w:proofErr w:type="gramStart"/>
        <w:r w:rsidRPr="001167CB">
          <w:rPr>
            <w:rStyle w:val="Hyperlink"/>
            <w:rFonts w:asciiTheme="majorHAnsi" w:hAnsiTheme="majorHAnsi" w:cstheme="majorHAnsi"/>
            <w:color w:val="808080" w:themeColor="background1" w:themeShade="80"/>
            <w:sz w:val="16"/>
            <w:szCs w:val="16"/>
          </w:rPr>
          <w:t>About</w:t>
        </w:r>
        <w:proofErr w:type="gramEnd"/>
        <w:r w:rsidRPr="001167CB">
          <w:rPr>
            <w:rStyle w:val="Hyperlink"/>
            <w:rFonts w:asciiTheme="majorHAnsi" w:hAnsiTheme="majorHAnsi" w:cstheme="majorHAnsi"/>
            <w:color w:val="808080" w:themeColor="background1" w:themeShade="80"/>
            <w:sz w:val="16"/>
            <w:szCs w:val="16"/>
          </w:rPr>
          <w:t xml:space="preserve"> Police Use of Force</w:t>
        </w:r>
      </w:hyperlink>
      <w:r w:rsidRPr="001167CB">
        <w:rPr>
          <w:rFonts w:asciiTheme="majorHAnsi" w:hAnsiTheme="majorHAnsi" w:cstheme="majorHAnsi"/>
          <w:color w:val="808080" w:themeColor="background1" w:themeShade="80"/>
          <w:sz w:val="16"/>
          <w:szCs w:val="16"/>
        </w:rPr>
        <w:t>, June 2006.</w:t>
      </w:r>
    </w:p>
  </w:footnote>
  <w:footnote w:id="234">
    <w:p w14:paraId="4B037C2F"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Id. at 5. However, it is not clear that there is a direct relationship between the mere existence of an internal affairs unit and a higher rate of police accountability. “Among all agencies having an internal affairs unit, the overall rate of citizen force complaints was higher than those not having a unit (54 per agency versus 5 per agency), as were the rates of complaint per 100 officers [...] Overall, force complaints received by agencies having an internal affairs unit were more than twice as likely to be found not sustained than in agencies not having an internal affairs unit (37% versus 16%). Force complaints in agencies not having an internal affairs unit were more likely to result in officers being exonerated (47% versus 20%). The sustain rate was roughly equivalent in both types of agencies.”</w:t>
      </w:r>
    </w:p>
  </w:footnote>
  <w:footnote w:id="235">
    <w:p w14:paraId="5FBFFD0D"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ACLU of New Jersey, </w:t>
      </w:r>
      <w:hyperlink r:id="rId290" w:history="1">
        <w:r w:rsidRPr="001167CB">
          <w:rPr>
            <w:rStyle w:val="Hyperlink"/>
            <w:rFonts w:asciiTheme="majorHAnsi" w:hAnsiTheme="majorHAnsi" w:cstheme="majorHAnsi"/>
            <w:color w:val="808080" w:themeColor="background1" w:themeShade="80"/>
            <w:sz w:val="16"/>
            <w:szCs w:val="16"/>
          </w:rPr>
          <w:t>The Crisis Continues Inside Police and Internal Affairs</w:t>
        </w:r>
      </w:hyperlink>
      <w:r w:rsidRPr="001167CB">
        <w:rPr>
          <w:rFonts w:asciiTheme="majorHAnsi" w:hAnsiTheme="majorHAnsi" w:cstheme="majorHAnsi"/>
          <w:color w:val="808080" w:themeColor="background1" w:themeShade="80"/>
          <w:sz w:val="16"/>
          <w:szCs w:val="16"/>
        </w:rPr>
        <w:t>, Feb. 2013.</w:t>
      </w:r>
    </w:p>
  </w:footnote>
  <w:footnote w:id="236">
    <w:p w14:paraId="635BBDBA" w14:textId="77777777" w:rsidR="005C2394" w:rsidRPr="001167CB" w:rsidRDefault="005C2394" w:rsidP="002C64F8">
      <w:pPr>
        <w:pStyle w:val="FootnoteText"/>
        <w:spacing w:after="40"/>
        <w:ind w:left="547" w:hanging="547"/>
        <w:jc w:val="both"/>
        <w:rPr>
          <w:rFonts w:asciiTheme="majorHAnsi" w:hAnsiTheme="majorHAnsi" w:cstheme="majorHAnsi"/>
          <w: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See, e.g., LA Times, </w:t>
      </w:r>
      <w:hyperlink r:id="rId291" w:history="1">
        <w:r w:rsidRPr="001167CB">
          <w:rPr>
            <w:rStyle w:val="Hyperlink"/>
            <w:rFonts w:asciiTheme="majorHAnsi" w:hAnsiTheme="majorHAnsi" w:cstheme="majorHAnsi"/>
            <w:color w:val="808080" w:themeColor="background1" w:themeShade="80"/>
            <w:sz w:val="16"/>
            <w:szCs w:val="16"/>
          </w:rPr>
          <w:t>LAPD found no bias in all 1,356 complaints filed against officers</w:t>
        </w:r>
      </w:hyperlink>
      <w:r w:rsidRPr="001167CB">
        <w:rPr>
          <w:rFonts w:asciiTheme="majorHAnsi" w:hAnsiTheme="majorHAnsi" w:cstheme="majorHAnsi"/>
          <w:color w:val="808080" w:themeColor="background1" w:themeShade="80"/>
          <w:sz w:val="16"/>
          <w:szCs w:val="16"/>
        </w:rPr>
        <w:t xml:space="preserve">, Dec. 15, 2015; New Yorker, </w:t>
      </w:r>
      <w:hyperlink r:id="rId292" w:history="1">
        <w:r w:rsidRPr="001167CB">
          <w:rPr>
            <w:rStyle w:val="Hyperlink"/>
            <w:rFonts w:asciiTheme="majorHAnsi" w:hAnsiTheme="majorHAnsi" w:cstheme="majorHAnsi"/>
            <w:color w:val="808080" w:themeColor="background1" w:themeShade="80"/>
            <w:sz w:val="16"/>
            <w:szCs w:val="16"/>
          </w:rPr>
          <w:t>Bad Cops, Good Cops</w:t>
        </w:r>
      </w:hyperlink>
      <w:r w:rsidRPr="001167CB">
        <w:rPr>
          <w:rFonts w:asciiTheme="majorHAnsi" w:hAnsiTheme="majorHAnsi" w:cstheme="majorHAnsi"/>
          <w:color w:val="808080" w:themeColor="background1" w:themeShade="80"/>
          <w:sz w:val="16"/>
          <w:szCs w:val="16"/>
        </w:rPr>
        <w:t xml:space="preserve">, Dec. 21, 2015. </w:t>
      </w:r>
      <w:r w:rsidRPr="001167CB">
        <w:rPr>
          <w:rFonts w:asciiTheme="majorHAnsi" w:hAnsiTheme="majorHAnsi" w:cstheme="majorHAnsi"/>
          <w:i/>
          <w:color w:val="808080" w:themeColor="background1" w:themeShade="80"/>
          <w:sz w:val="16"/>
          <w:szCs w:val="16"/>
        </w:rPr>
        <w:t xml:space="preserve">See also </w:t>
      </w:r>
      <w:r w:rsidRPr="001167CB">
        <w:rPr>
          <w:rFonts w:asciiTheme="majorHAnsi" w:hAnsiTheme="majorHAnsi" w:cstheme="majorHAnsi"/>
          <w:color w:val="808080" w:themeColor="background1" w:themeShade="80"/>
          <w:sz w:val="16"/>
          <w:szCs w:val="16"/>
        </w:rPr>
        <w:t xml:space="preserve">RFK Submission, 166th Period of Sessions, </w:t>
      </w:r>
      <w:proofErr w:type="gramStart"/>
      <w:r w:rsidRPr="001167CB">
        <w:rPr>
          <w:rFonts w:asciiTheme="majorHAnsi" w:hAnsiTheme="majorHAnsi" w:cstheme="majorHAnsi"/>
          <w:color w:val="808080" w:themeColor="background1" w:themeShade="80"/>
          <w:sz w:val="16"/>
          <w:szCs w:val="16"/>
        </w:rPr>
        <w:t>Dec</w:t>
      </w:r>
      <w:proofErr w:type="gramEnd"/>
      <w:r w:rsidRPr="001167CB">
        <w:rPr>
          <w:rFonts w:asciiTheme="majorHAnsi" w:hAnsiTheme="majorHAnsi" w:cstheme="majorHAnsi"/>
          <w:color w:val="808080" w:themeColor="background1" w:themeShade="80"/>
          <w:sz w:val="16"/>
          <w:szCs w:val="16"/>
        </w:rPr>
        <w:t>. 7, 2017.</w:t>
      </w:r>
    </w:p>
  </w:footnote>
  <w:footnote w:id="237">
    <w:p w14:paraId="518A78E3"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The Marshall Project, </w:t>
      </w:r>
      <w:hyperlink r:id="rId293" w:history="1">
        <w:r w:rsidRPr="001167CB">
          <w:rPr>
            <w:rStyle w:val="Hyperlink"/>
            <w:rFonts w:asciiTheme="majorHAnsi" w:hAnsiTheme="majorHAnsi" w:cstheme="majorHAnsi"/>
            <w:color w:val="808080" w:themeColor="background1" w:themeShade="80"/>
            <w:sz w:val="16"/>
            <w:szCs w:val="16"/>
          </w:rPr>
          <w:t>Blue Shield</w:t>
        </w:r>
      </w:hyperlink>
      <w:r w:rsidRPr="001167CB">
        <w:rPr>
          <w:rFonts w:asciiTheme="majorHAnsi" w:hAnsiTheme="majorHAnsi" w:cstheme="majorHAnsi"/>
          <w:color w:val="808080" w:themeColor="background1" w:themeShade="80"/>
          <w:sz w:val="16"/>
          <w:szCs w:val="16"/>
        </w:rPr>
        <w:t xml:space="preserve">, Apr. 27, 2015; New York Times, </w:t>
      </w:r>
      <w:hyperlink r:id="rId294" w:history="1">
        <w:r w:rsidRPr="001167CB">
          <w:rPr>
            <w:rStyle w:val="Hyperlink"/>
            <w:rFonts w:asciiTheme="majorHAnsi" w:hAnsiTheme="majorHAnsi" w:cstheme="majorHAnsi"/>
            <w:color w:val="808080" w:themeColor="background1" w:themeShade="80"/>
            <w:sz w:val="16"/>
            <w:szCs w:val="16"/>
          </w:rPr>
          <w:t>The Police Officers’ Bill of Rights Creates a Double Standard</w:t>
        </w:r>
      </w:hyperlink>
      <w:r w:rsidRPr="001167CB">
        <w:rPr>
          <w:rFonts w:asciiTheme="majorHAnsi" w:hAnsiTheme="majorHAnsi" w:cstheme="majorHAnsi"/>
          <w:color w:val="808080" w:themeColor="background1" w:themeShade="80"/>
          <w:sz w:val="16"/>
          <w:szCs w:val="16"/>
        </w:rPr>
        <w:t xml:space="preserve">, June 27, 2015; Human Rights Committee, </w:t>
      </w:r>
      <w:hyperlink r:id="rId295" w:history="1">
        <w:r w:rsidRPr="001167CB">
          <w:rPr>
            <w:rStyle w:val="Hyperlink"/>
            <w:rFonts w:asciiTheme="majorHAnsi" w:hAnsiTheme="majorHAnsi" w:cstheme="majorHAnsi"/>
            <w:i/>
            <w:color w:val="808080" w:themeColor="background1" w:themeShade="80"/>
            <w:sz w:val="16"/>
            <w:szCs w:val="16"/>
          </w:rPr>
          <w:t>Report of the Special Rapporteur on the rights to freedom of peaceful assembly and of association on his follow-up Mission to the United States of America</w:t>
        </w:r>
      </w:hyperlink>
      <w:r w:rsidRPr="001167CB">
        <w:rPr>
          <w:rFonts w:asciiTheme="majorHAnsi" w:hAnsiTheme="majorHAnsi" w:cstheme="majorHAnsi"/>
          <w:color w:val="808080" w:themeColor="background1" w:themeShade="80"/>
          <w:sz w:val="16"/>
          <w:szCs w:val="16"/>
        </w:rPr>
        <w:t>, A/HRC/35/28/Add.2, June 12, 2017, para. 41.</w:t>
      </w:r>
    </w:p>
  </w:footnote>
  <w:footnote w:id="238">
    <w:p w14:paraId="484C8105"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Information received from Robert F. Kennedy (RFK) Human Rights during 156th Period of Sessions, updated Feb. 12, 2016, p. 82 (also available at: </w:t>
      </w:r>
      <w:hyperlink r:id="rId296" w:history="1">
        <w:r w:rsidRPr="001167CB">
          <w:rPr>
            <w:rStyle w:val="Hyperlink"/>
            <w:rFonts w:asciiTheme="majorHAnsi" w:hAnsiTheme="majorHAnsi" w:cstheme="majorHAnsi"/>
            <w:color w:val="808080" w:themeColor="background1" w:themeShade="80"/>
            <w:sz w:val="16"/>
            <w:szCs w:val="16"/>
          </w:rPr>
          <w:t>http://rfkhumanrights.org/media/filer_public/7d/84/7d8409c1-588f-4163-b552-1f6428e685db/iachr_thematic_ hearing_submission_-_excessive_use_of_force_by_police_against_black_americans.pdf</w:t>
        </w:r>
      </w:hyperlink>
      <w:r w:rsidRPr="001167CB">
        <w:rPr>
          <w:rFonts w:asciiTheme="majorHAnsi" w:hAnsiTheme="majorHAnsi" w:cstheme="majorHAnsi"/>
          <w:color w:val="808080" w:themeColor="background1" w:themeShade="80"/>
          <w:sz w:val="16"/>
          <w:szCs w:val="16"/>
        </w:rPr>
        <w:t>) [hereinafter “Excessive Use of Force”].</w:t>
      </w:r>
    </w:p>
  </w:footnote>
  <w:footnote w:id="239">
    <w:p w14:paraId="39FE6D84"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Vera Institute of Justice, </w:t>
      </w:r>
      <w:hyperlink r:id="rId297" w:history="1">
        <w:r w:rsidRPr="001167CB">
          <w:rPr>
            <w:rStyle w:val="Hyperlink"/>
            <w:rFonts w:asciiTheme="majorHAnsi" w:hAnsiTheme="majorHAnsi" w:cstheme="majorHAnsi"/>
            <w:color w:val="808080" w:themeColor="background1" w:themeShade="80"/>
            <w:sz w:val="16"/>
            <w:szCs w:val="16"/>
          </w:rPr>
          <w:t>Civilian Oversight of Policing: Lessons from the Literature</w:t>
        </w:r>
      </w:hyperlink>
      <w:r w:rsidRPr="001167CB">
        <w:rPr>
          <w:rFonts w:asciiTheme="majorHAnsi" w:hAnsiTheme="majorHAnsi" w:cstheme="majorHAnsi"/>
          <w:color w:val="808080" w:themeColor="background1" w:themeShade="80"/>
          <w:sz w:val="16"/>
          <w:szCs w:val="16"/>
        </w:rPr>
        <w:t>, May 5-8, 2002.</w:t>
      </w:r>
    </w:p>
  </w:footnote>
  <w:footnote w:id="240">
    <w:p w14:paraId="70BC2C7A"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RFK Human Rights, </w:t>
      </w:r>
      <w:hyperlink r:id="rId298" w:history="1">
        <w:r w:rsidRPr="001167CB">
          <w:rPr>
            <w:rStyle w:val="Hyperlink"/>
            <w:rFonts w:asciiTheme="majorHAnsi" w:hAnsiTheme="majorHAnsi" w:cstheme="majorHAnsi"/>
            <w:color w:val="808080" w:themeColor="background1" w:themeShade="80"/>
            <w:sz w:val="16"/>
            <w:szCs w:val="16"/>
          </w:rPr>
          <w:t>Excessive Use of Force</w:t>
        </w:r>
      </w:hyperlink>
      <w:r w:rsidRPr="001167CB">
        <w:rPr>
          <w:rFonts w:asciiTheme="majorHAnsi" w:hAnsiTheme="majorHAnsi" w:cstheme="majorHAnsi"/>
          <w:color w:val="808080" w:themeColor="background1" w:themeShade="80"/>
          <w:sz w:val="16"/>
          <w:szCs w:val="16"/>
        </w:rPr>
        <w:t>, updated Feb. 12, 2016, p. 83.</w:t>
      </w:r>
    </w:p>
  </w:footnote>
  <w:footnote w:id="241">
    <w:p w14:paraId="7E03481E"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Id. at p. 80.</w:t>
      </w:r>
    </w:p>
  </w:footnote>
  <w:footnote w:id="242">
    <w:p w14:paraId="5EF29438"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Cato Institute: Policemisconduct.net, </w:t>
      </w:r>
      <w:hyperlink r:id="rId299" w:history="1">
        <w:proofErr w:type="gramStart"/>
        <w:r w:rsidRPr="001167CB">
          <w:rPr>
            <w:rStyle w:val="Hyperlink"/>
            <w:rFonts w:asciiTheme="majorHAnsi" w:hAnsiTheme="majorHAnsi" w:cstheme="majorHAnsi"/>
            <w:color w:val="808080" w:themeColor="background1" w:themeShade="80"/>
            <w:sz w:val="16"/>
            <w:szCs w:val="16"/>
          </w:rPr>
          <w:t>The</w:t>
        </w:r>
        <w:proofErr w:type="gramEnd"/>
        <w:r w:rsidRPr="001167CB">
          <w:rPr>
            <w:rStyle w:val="Hyperlink"/>
            <w:rFonts w:asciiTheme="majorHAnsi" w:hAnsiTheme="majorHAnsi" w:cstheme="majorHAnsi"/>
            <w:color w:val="808080" w:themeColor="background1" w:themeShade="80"/>
            <w:sz w:val="16"/>
            <w:szCs w:val="16"/>
          </w:rPr>
          <w:t xml:space="preserve"> Truth About Police Misconduct Litigation</w:t>
        </w:r>
      </w:hyperlink>
      <w:r w:rsidRPr="001167CB">
        <w:rPr>
          <w:rFonts w:asciiTheme="majorHAnsi" w:hAnsiTheme="majorHAnsi" w:cstheme="majorHAnsi"/>
          <w:color w:val="808080" w:themeColor="background1" w:themeShade="80"/>
          <w:sz w:val="16"/>
          <w:szCs w:val="16"/>
        </w:rPr>
        <w:t>, Feb. 22, 2010.</w:t>
      </w:r>
    </w:p>
  </w:footnote>
  <w:footnote w:id="243">
    <w:p w14:paraId="1B2D02C9"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Id.</w:t>
      </w:r>
    </w:p>
  </w:footnote>
  <w:footnote w:id="244">
    <w:p w14:paraId="28D095B7"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RFK Human Rights, </w:t>
      </w:r>
      <w:hyperlink r:id="rId300" w:history="1">
        <w:r w:rsidRPr="001167CB">
          <w:rPr>
            <w:rStyle w:val="Hyperlink"/>
            <w:rFonts w:asciiTheme="majorHAnsi" w:hAnsiTheme="majorHAnsi" w:cstheme="majorHAnsi"/>
            <w:color w:val="808080" w:themeColor="background1" w:themeShade="80"/>
            <w:sz w:val="16"/>
            <w:szCs w:val="16"/>
          </w:rPr>
          <w:t>Excessive Use of Force</w:t>
        </w:r>
      </w:hyperlink>
      <w:r w:rsidRPr="001167CB">
        <w:rPr>
          <w:rFonts w:asciiTheme="majorHAnsi" w:hAnsiTheme="majorHAnsi" w:cstheme="majorHAnsi"/>
          <w:color w:val="808080" w:themeColor="background1" w:themeShade="80"/>
          <w:sz w:val="16"/>
          <w:szCs w:val="16"/>
        </w:rPr>
        <w:t>, updated Feb. 12, 2016, p. 80.</w:t>
      </w:r>
    </w:p>
  </w:footnote>
  <w:footnote w:id="245">
    <w:p w14:paraId="650C45E6"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Free Speech Radio News, </w:t>
      </w:r>
      <w:hyperlink r:id="rId301" w:history="1">
        <w:r w:rsidRPr="001167CB">
          <w:rPr>
            <w:rStyle w:val="Hyperlink"/>
            <w:rFonts w:asciiTheme="majorHAnsi" w:hAnsiTheme="majorHAnsi" w:cstheme="majorHAnsi"/>
            <w:color w:val="808080" w:themeColor="background1" w:themeShade="80"/>
            <w:sz w:val="16"/>
            <w:szCs w:val="16"/>
          </w:rPr>
          <w:t xml:space="preserve">Civil Suits </w:t>
        </w:r>
        <w:proofErr w:type="gramStart"/>
        <w:r w:rsidRPr="001167CB">
          <w:rPr>
            <w:rStyle w:val="Hyperlink"/>
            <w:rFonts w:asciiTheme="majorHAnsi" w:hAnsiTheme="majorHAnsi" w:cstheme="majorHAnsi"/>
            <w:color w:val="808080" w:themeColor="background1" w:themeShade="80"/>
            <w:sz w:val="16"/>
            <w:szCs w:val="16"/>
          </w:rPr>
          <w:t>Against</w:t>
        </w:r>
        <w:proofErr w:type="gramEnd"/>
        <w:r w:rsidRPr="001167CB">
          <w:rPr>
            <w:rStyle w:val="Hyperlink"/>
            <w:rFonts w:asciiTheme="majorHAnsi" w:hAnsiTheme="majorHAnsi" w:cstheme="majorHAnsi"/>
            <w:color w:val="808080" w:themeColor="background1" w:themeShade="80"/>
            <w:sz w:val="16"/>
            <w:szCs w:val="16"/>
          </w:rPr>
          <w:t xml:space="preserve"> Police Cost Taxpayers Millions But Rarely Result in Reforms</w:t>
        </w:r>
      </w:hyperlink>
      <w:r w:rsidRPr="001167CB">
        <w:rPr>
          <w:rFonts w:asciiTheme="majorHAnsi" w:hAnsiTheme="majorHAnsi" w:cstheme="majorHAnsi"/>
          <w:color w:val="808080" w:themeColor="background1" w:themeShade="80"/>
          <w:sz w:val="16"/>
          <w:szCs w:val="16"/>
        </w:rPr>
        <w:t>, June 23, 2015.</w:t>
      </w:r>
    </w:p>
  </w:footnote>
  <w:footnote w:id="246">
    <w:p w14:paraId="22E28024"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Wall Street Journal, </w:t>
      </w:r>
      <w:hyperlink r:id="rId302" w:history="1">
        <w:r w:rsidRPr="001167CB">
          <w:rPr>
            <w:rStyle w:val="Hyperlink"/>
            <w:rFonts w:asciiTheme="majorHAnsi" w:hAnsiTheme="majorHAnsi" w:cstheme="majorHAnsi"/>
            <w:color w:val="808080" w:themeColor="background1" w:themeShade="80"/>
            <w:sz w:val="16"/>
            <w:szCs w:val="16"/>
          </w:rPr>
          <w:t>Cost of Police-Misconduct Cases Soars in Big U.S. Cities</w:t>
        </w:r>
      </w:hyperlink>
      <w:r w:rsidRPr="001167CB">
        <w:rPr>
          <w:rFonts w:asciiTheme="majorHAnsi" w:hAnsiTheme="majorHAnsi" w:cstheme="majorHAnsi"/>
          <w:color w:val="808080" w:themeColor="background1" w:themeShade="80"/>
          <w:sz w:val="16"/>
          <w:szCs w:val="16"/>
        </w:rPr>
        <w:t>, July 15, 2015. The ten cities are New York City, Chicago, Los Angeles, Philadelphia, Houston, Washington, D.C., Dallas, Phoenix, Baltimore, and Miami-Dade.</w:t>
      </w:r>
    </w:p>
  </w:footnote>
  <w:footnote w:id="247">
    <w:p w14:paraId="665ABB05"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The statute requires the State to prove 1) that the defendant acted under color of law; 2) that the defendant acted willfully; 3) that the defendant deprived the victim of a federally protected right OR subjected the victim to different punishment on the basis of alienage, color, or race, and 4) any aggravating circumstances, such as having caused bodily injury or death. </w:t>
      </w:r>
      <w:r w:rsidRPr="001167CB">
        <w:rPr>
          <w:rFonts w:asciiTheme="majorHAnsi" w:hAnsiTheme="majorHAnsi" w:cstheme="majorHAnsi"/>
          <w:i/>
          <w:color w:val="808080" w:themeColor="background1" w:themeShade="80"/>
          <w:sz w:val="16"/>
          <w:szCs w:val="16"/>
        </w:rPr>
        <w:t>See</w:t>
      </w:r>
      <w:r w:rsidRPr="001167CB">
        <w:rPr>
          <w:rFonts w:asciiTheme="majorHAnsi" w:hAnsiTheme="majorHAnsi" w:cstheme="majorHAnsi"/>
          <w:color w:val="808080" w:themeColor="background1" w:themeShade="80"/>
          <w:sz w:val="16"/>
          <w:szCs w:val="16"/>
        </w:rPr>
        <w:t xml:space="preserve"> 18 U.S.C. § 242, available at: </w:t>
      </w:r>
      <w:hyperlink r:id="rId303" w:history="1">
        <w:r w:rsidRPr="001167CB">
          <w:rPr>
            <w:rStyle w:val="Hyperlink"/>
            <w:rFonts w:asciiTheme="majorHAnsi" w:hAnsiTheme="majorHAnsi" w:cstheme="majorHAnsi"/>
            <w:color w:val="808080" w:themeColor="background1" w:themeShade="80"/>
            <w:sz w:val="16"/>
            <w:szCs w:val="16"/>
          </w:rPr>
          <w:t>https://www.law.cornell.edu/uscode/text/18/242</w:t>
        </w:r>
      </w:hyperlink>
      <w:r w:rsidRPr="001167CB">
        <w:rPr>
          <w:rFonts w:asciiTheme="majorHAnsi" w:hAnsiTheme="majorHAnsi" w:cstheme="majorHAnsi"/>
          <w:color w:val="808080" w:themeColor="background1" w:themeShade="80"/>
          <w:sz w:val="16"/>
          <w:szCs w:val="16"/>
        </w:rPr>
        <w:t xml:space="preserve">. </w:t>
      </w:r>
    </w:p>
  </w:footnote>
  <w:footnote w:id="248">
    <w:p w14:paraId="41C595C5"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Slate, </w:t>
      </w:r>
      <w:hyperlink r:id="rId304" w:history="1">
        <w:r w:rsidRPr="001167CB">
          <w:rPr>
            <w:rStyle w:val="Hyperlink"/>
            <w:rFonts w:asciiTheme="majorHAnsi" w:hAnsiTheme="majorHAnsi" w:cstheme="majorHAnsi"/>
            <w:color w:val="808080" w:themeColor="background1" w:themeShade="80"/>
            <w:sz w:val="16"/>
            <w:szCs w:val="16"/>
          </w:rPr>
          <w:t>Will Justice Department Charge Darren Wilson?</w:t>
        </w:r>
      </w:hyperlink>
      <w:r w:rsidRPr="001167CB">
        <w:rPr>
          <w:rFonts w:asciiTheme="majorHAnsi" w:hAnsiTheme="majorHAnsi" w:cstheme="majorHAnsi"/>
          <w:color w:val="808080" w:themeColor="background1" w:themeShade="80"/>
          <w:sz w:val="16"/>
          <w:szCs w:val="16"/>
        </w:rPr>
        <w:t>, Mar. 14, 2015.</w:t>
      </w:r>
    </w:p>
  </w:footnote>
  <w:footnote w:id="249">
    <w:p w14:paraId="540F7012"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POLITICO, </w:t>
      </w:r>
      <w:hyperlink r:id="rId305" w:history="1">
        <w:r w:rsidRPr="001167CB">
          <w:rPr>
            <w:rStyle w:val="Hyperlink"/>
            <w:rFonts w:asciiTheme="majorHAnsi" w:hAnsiTheme="majorHAnsi" w:cstheme="majorHAnsi"/>
            <w:color w:val="808080" w:themeColor="background1" w:themeShade="80"/>
            <w:sz w:val="16"/>
            <w:szCs w:val="16"/>
          </w:rPr>
          <w:t>Holder's parting shot: It's too hard to bring civil rights cases</w:t>
        </w:r>
      </w:hyperlink>
      <w:r w:rsidRPr="001167CB">
        <w:rPr>
          <w:rFonts w:asciiTheme="majorHAnsi" w:hAnsiTheme="majorHAnsi" w:cstheme="majorHAnsi"/>
          <w:color w:val="808080" w:themeColor="background1" w:themeShade="80"/>
          <w:sz w:val="16"/>
          <w:szCs w:val="16"/>
        </w:rPr>
        <w:t>, Feb. 27, 2015.</w:t>
      </w:r>
    </w:p>
  </w:footnote>
  <w:footnote w:id="250">
    <w:p w14:paraId="6F4B43A5"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RFK Human Rights, </w:t>
      </w:r>
      <w:hyperlink r:id="rId306" w:history="1">
        <w:r w:rsidRPr="001167CB">
          <w:rPr>
            <w:rStyle w:val="Hyperlink"/>
            <w:rFonts w:asciiTheme="majorHAnsi" w:hAnsiTheme="majorHAnsi" w:cstheme="majorHAnsi"/>
            <w:color w:val="808080" w:themeColor="background1" w:themeShade="80"/>
            <w:sz w:val="16"/>
            <w:szCs w:val="16"/>
          </w:rPr>
          <w:t>Excessive Use of Force</w:t>
        </w:r>
      </w:hyperlink>
      <w:r w:rsidRPr="001167CB">
        <w:rPr>
          <w:rFonts w:asciiTheme="majorHAnsi" w:hAnsiTheme="majorHAnsi" w:cstheme="majorHAnsi"/>
          <w:color w:val="808080" w:themeColor="background1" w:themeShade="80"/>
          <w:sz w:val="16"/>
          <w:szCs w:val="16"/>
        </w:rPr>
        <w:t>, updated Feb. 12, 2016, p. 84-85.</w:t>
      </w:r>
    </w:p>
  </w:footnote>
  <w:footnote w:id="251">
    <w:p w14:paraId="356EFA5E"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bCs/>
          <w:color w:val="808080" w:themeColor="background1" w:themeShade="80"/>
          <w:sz w:val="16"/>
          <w:szCs w:val="16"/>
        </w:rPr>
        <w:t xml:space="preserve">IACHR, 156th Period of Sessions, </w:t>
      </w:r>
      <w:hyperlink r:id="rId307" w:history="1">
        <w:r w:rsidRPr="001167CB">
          <w:rPr>
            <w:rStyle w:val="Hyperlink"/>
            <w:rFonts w:asciiTheme="majorHAnsi" w:hAnsiTheme="majorHAnsi" w:cstheme="majorHAnsi"/>
            <w:bCs/>
            <w:color w:val="808080" w:themeColor="background1" w:themeShade="80"/>
            <w:sz w:val="16"/>
            <w:szCs w:val="16"/>
          </w:rPr>
          <w:t>“Police Killings” Hearing</w:t>
        </w:r>
      </w:hyperlink>
      <w:r w:rsidRPr="001167CB">
        <w:rPr>
          <w:rFonts w:asciiTheme="majorHAnsi" w:hAnsiTheme="majorHAnsi" w:cstheme="majorHAnsi"/>
          <w:bCs/>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 xml:space="preserve">Oct. </w:t>
      </w:r>
      <w:r w:rsidRPr="001167CB">
        <w:rPr>
          <w:rFonts w:asciiTheme="majorHAnsi" w:hAnsiTheme="majorHAnsi" w:cstheme="majorHAnsi"/>
          <w:bCs/>
          <w:color w:val="808080" w:themeColor="background1" w:themeShade="80"/>
          <w:sz w:val="16"/>
          <w:szCs w:val="16"/>
        </w:rPr>
        <w:t>23, 2015</w:t>
      </w:r>
      <w:r w:rsidRPr="001167CB">
        <w:rPr>
          <w:rFonts w:asciiTheme="majorHAnsi" w:hAnsiTheme="majorHAnsi" w:cstheme="majorHAnsi"/>
          <w:color w:val="808080" w:themeColor="background1" w:themeShade="80"/>
          <w:sz w:val="16"/>
          <w:szCs w:val="16"/>
        </w:rPr>
        <w:t>.</w:t>
      </w:r>
    </w:p>
  </w:footnote>
  <w:footnote w:id="252">
    <w:p w14:paraId="7D87B180"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bCs/>
          <w:color w:val="808080" w:themeColor="background1" w:themeShade="80"/>
          <w:sz w:val="16"/>
          <w:szCs w:val="16"/>
        </w:rPr>
        <w:t xml:space="preserve">IACHR, </w:t>
      </w:r>
      <w:hyperlink r:id="rId308" w:history="1">
        <w:r w:rsidRPr="001167CB">
          <w:rPr>
            <w:rStyle w:val="Hyperlink"/>
            <w:rFonts w:asciiTheme="majorHAnsi" w:hAnsiTheme="majorHAnsi" w:cstheme="majorHAnsi"/>
            <w:bCs/>
            <w:color w:val="808080" w:themeColor="background1" w:themeShade="80"/>
            <w:sz w:val="16"/>
            <w:szCs w:val="16"/>
          </w:rPr>
          <w:t>On-Site Visit Press Release</w:t>
        </w:r>
      </w:hyperlink>
      <w:r w:rsidRPr="001167CB">
        <w:rPr>
          <w:rFonts w:asciiTheme="majorHAnsi" w:hAnsiTheme="majorHAnsi" w:cstheme="majorHAnsi"/>
          <w:bCs/>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 xml:space="preserve">Oct. </w:t>
      </w:r>
      <w:r w:rsidRPr="001167CB">
        <w:rPr>
          <w:rFonts w:asciiTheme="majorHAnsi" w:hAnsiTheme="majorHAnsi" w:cstheme="majorHAnsi"/>
          <w:bCs/>
          <w:color w:val="808080" w:themeColor="background1" w:themeShade="80"/>
          <w:sz w:val="16"/>
          <w:szCs w:val="16"/>
        </w:rPr>
        <w:t>16, 2015</w:t>
      </w:r>
      <w:r w:rsidRPr="001167CB">
        <w:rPr>
          <w:rFonts w:asciiTheme="majorHAnsi" w:hAnsiTheme="majorHAnsi" w:cstheme="majorHAnsi"/>
          <w:color w:val="808080" w:themeColor="background1" w:themeShade="80"/>
          <w:sz w:val="16"/>
          <w:szCs w:val="16"/>
        </w:rPr>
        <w:t>.</w:t>
      </w:r>
    </w:p>
  </w:footnote>
  <w:footnote w:id="253">
    <w:p w14:paraId="59B17508"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i/>
          <w:color w:val="808080" w:themeColor="background1" w:themeShade="80"/>
          <w:sz w:val="16"/>
          <w:szCs w:val="16"/>
        </w:rPr>
        <w:t>See, e.g.,</w:t>
      </w:r>
      <w:r w:rsidRPr="001167CB">
        <w:rPr>
          <w:rFonts w:asciiTheme="majorHAnsi" w:hAnsiTheme="majorHAnsi" w:cstheme="majorHAnsi"/>
          <w:color w:val="808080" w:themeColor="background1" w:themeShade="80"/>
          <w:sz w:val="16"/>
          <w:szCs w:val="16"/>
        </w:rPr>
        <w:t xml:space="preserve"> Justin Hansford, </w:t>
      </w:r>
      <w:hyperlink r:id="rId309" w:history="1">
        <w:r w:rsidRPr="001167CB">
          <w:rPr>
            <w:rStyle w:val="Hyperlink"/>
            <w:rFonts w:asciiTheme="majorHAnsi" w:hAnsiTheme="majorHAnsi" w:cstheme="majorHAnsi"/>
            <w:color w:val="808080" w:themeColor="background1" w:themeShade="80"/>
            <w:sz w:val="16"/>
            <w:szCs w:val="16"/>
          </w:rPr>
          <w:t>The First Amendment Freedom of Assembly as a Racial Project</w:t>
        </w:r>
      </w:hyperlink>
      <w:r w:rsidRPr="001167CB">
        <w:rPr>
          <w:rFonts w:asciiTheme="majorHAnsi" w:hAnsiTheme="majorHAnsi" w:cstheme="majorHAnsi"/>
          <w:color w:val="808080" w:themeColor="background1" w:themeShade="80"/>
          <w:sz w:val="16"/>
          <w:szCs w:val="16"/>
        </w:rPr>
        <w:t>, 127 Yale L.J. Forum, Jan. 20, 2018.</w:t>
      </w:r>
    </w:p>
  </w:footnote>
  <w:footnote w:id="254">
    <w:p w14:paraId="07E3A5BA"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i/>
          <w:color w:val="808080" w:themeColor="background1" w:themeShade="80"/>
          <w:sz w:val="16"/>
          <w:szCs w:val="16"/>
        </w:rPr>
        <w:t>See</w:t>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i/>
          <w:color w:val="808080" w:themeColor="background1" w:themeShade="80"/>
          <w:sz w:val="16"/>
          <w:szCs w:val="16"/>
        </w:rPr>
        <w:t>e.g.</w:t>
      </w:r>
      <w:r w:rsidRPr="001167CB">
        <w:rPr>
          <w:rFonts w:asciiTheme="majorHAnsi" w:hAnsiTheme="majorHAnsi" w:cstheme="majorHAnsi"/>
          <w:color w:val="808080" w:themeColor="background1" w:themeShade="80"/>
          <w:sz w:val="16"/>
          <w:szCs w:val="16"/>
        </w:rPr>
        <w:t xml:space="preserve">, IACHR, 166th Period of Sessions, </w:t>
      </w:r>
      <w:proofErr w:type="gramStart"/>
      <w:r w:rsidRPr="001167CB">
        <w:rPr>
          <w:rFonts w:asciiTheme="majorHAnsi" w:hAnsiTheme="majorHAnsi" w:cstheme="majorHAnsi"/>
          <w:color w:val="808080" w:themeColor="background1" w:themeShade="80"/>
          <w:sz w:val="16"/>
          <w:szCs w:val="16"/>
        </w:rPr>
        <w:t>Thematic</w:t>
      </w:r>
      <w:proofErr w:type="gramEnd"/>
      <w:r w:rsidRPr="001167CB">
        <w:rPr>
          <w:rFonts w:asciiTheme="majorHAnsi" w:hAnsiTheme="majorHAnsi" w:cstheme="majorHAnsi"/>
          <w:color w:val="808080" w:themeColor="background1" w:themeShade="80"/>
          <w:sz w:val="16"/>
          <w:szCs w:val="16"/>
        </w:rPr>
        <w:t xml:space="preserve"> Hearing: Rights to association, peaceful assembly and freedom of expression in the United States, Oct. 27, 2014. Video of hearing available at: </w:t>
      </w:r>
      <w:hyperlink r:id="rId310" w:history="1">
        <w:r w:rsidRPr="001167CB">
          <w:rPr>
            <w:rStyle w:val="Hyperlink"/>
            <w:rFonts w:asciiTheme="majorHAnsi" w:hAnsiTheme="majorHAnsi" w:cstheme="majorHAnsi"/>
            <w:color w:val="808080" w:themeColor="background1" w:themeShade="80"/>
            <w:sz w:val="16"/>
            <w:szCs w:val="16"/>
          </w:rPr>
          <w:t>https://www.youtube.com/watch?v=yft7VCzxXUg</w:t>
        </w:r>
      </w:hyperlink>
      <w:r w:rsidRPr="001167CB">
        <w:rPr>
          <w:rFonts w:asciiTheme="majorHAnsi" w:hAnsiTheme="majorHAnsi" w:cstheme="majorHAnsi"/>
          <w:color w:val="808080" w:themeColor="background1" w:themeShade="80"/>
          <w:sz w:val="16"/>
          <w:szCs w:val="16"/>
        </w:rPr>
        <w:t>.</w:t>
      </w:r>
    </w:p>
  </w:footnote>
  <w:footnote w:id="255">
    <w:p w14:paraId="435980AD"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Human Rights Committee, </w:t>
      </w:r>
      <w:hyperlink r:id="rId311" w:history="1">
        <w:r w:rsidRPr="001167CB">
          <w:rPr>
            <w:rStyle w:val="Hyperlink"/>
            <w:rFonts w:asciiTheme="majorHAnsi" w:hAnsiTheme="majorHAnsi" w:cstheme="majorHAnsi"/>
            <w:i/>
            <w:color w:val="808080" w:themeColor="background1" w:themeShade="80"/>
            <w:sz w:val="16"/>
            <w:szCs w:val="16"/>
          </w:rPr>
          <w:t>Report of the Special Rapporteur on the rights to freedom of peaceful assembly and of association on his follow-up Mission to the United States of America</w:t>
        </w:r>
      </w:hyperlink>
      <w:r w:rsidRPr="001167CB">
        <w:rPr>
          <w:rFonts w:asciiTheme="majorHAnsi" w:hAnsiTheme="majorHAnsi" w:cstheme="majorHAnsi"/>
          <w:color w:val="808080" w:themeColor="background1" w:themeShade="80"/>
          <w:sz w:val="16"/>
          <w:szCs w:val="16"/>
        </w:rPr>
        <w:t xml:space="preserve">, A/HRC/35/28/Add.2, June 12, 2017, para. 36. </w:t>
      </w:r>
    </w:p>
  </w:footnote>
  <w:footnote w:id="256">
    <w:p w14:paraId="5BAA37D9"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bCs/>
          <w:color w:val="808080" w:themeColor="background1" w:themeShade="80"/>
          <w:sz w:val="16"/>
          <w:szCs w:val="16"/>
        </w:rPr>
        <w:t xml:space="preserve">IACHR, </w:t>
      </w:r>
      <w:hyperlink r:id="rId312" w:history="1">
        <w:r w:rsidRPr="001167CB">
          <w:rPr>
            <w:rStyle w:val="Hyperlink"/>
            <w:rFonts w:asciiTheme="majorHAnsi" w:hAnsiTheme="majorHAnsi" w:cstheme="majorHAnsi"/>
            <w:bCs/>
            <w:color w:val="808080" w:themeColor="background1" w:themeShade="80"/>
            <w:sz w:val="16"/>
            <w:szCs w:val="16"/>
          </w:rPr>
          <w:t>On-Site Visit Press Release</w:t>
        </w:r>
      </w:hyperlink>
      <w:r w:rsidRPr="001167CB">
        <w:rPr>
          <w:rFonts w:asciiTheme="majorHAnsi" w:hAnsiTheme="majorHAnsi" w:cstheme="majorHAnsi"/>
          <w:bCs/>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 xml:space="preserve">Oct. </w:t>
      </w:r>
      <w:r w:rsidRPr="001167CB">
        <w:rPr>
          <w:rFonts w:asciiTheme="majorHAnsi" w:hAnsiTheme="majorHAnsi" w:cstheme="majorHAnsi"/>
          <w:bCs/>
          <w:color w:val="808080" w:themeColor="background1" w:themeShade="80"/>
          <w:sz w:val="16"/>
          <w:szCs w:val="16"/>
        </w:rPr>
        <w:t>16, 2015</w:t>
      </w:r>
      <w:r w:rsidRPr="001167CB">
        <w:rPr>
          <w:rFonts w:asciiTheme="majorHAnsi" w:hAnsiTheme="majorHAnsi" w:cstheme="majorHAnsi"/>
          <w:color w:val="808080" w:themeColor="background1" w:themeShade="80"/>
          <w:sz w:val="16"/>
          <w:szCs w:val="16"/>
        </w:rPr>
        <w:t>.</w:t>
      </w:r>
    </w:p>
  </w:footnote>
  <w:footnote w:id="257">
    <w:p w14:paraId="2C2D7938"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CNN, </w:t>
      </w:r>
      <w:hyperlink r:id="rId313" w:history="1">
        <w:r w:rsidRPr="001167CB">
          <w:rPr>
            <w:rStyle w:val="Hyperlink"/>
            <w:rFonts w:asciiTheme="majorHAnsi" w:hAnsiTheme="majorHAnsi" w:cstheme="majorHAnsi"/>
            <w:color w:val="808080" w:themeColor="background1" w:themeShade="80"/>
            <w:sz w:val="16"/>
            <w:szCs w:val="16"/>
          </w:rPr>
          <w:t>Who was arrested in Ferguson?</w:t>
        </w:r>
      </w:hyperlink>
      <w:r w:rsidRPr="001167CB">
        <w:rPr>
          <w:rFonts w:asciiTheme="majorHAnsi" w:hAnsiTheme="majorHAnsi" w:cstheme="majorHAnsi"/>
          <w:color w:val="808080" w:themeColor="background1" w:themeShade="80"/>
          <w:sz w:val="16"/>
          <w:szCs w:val="16"/>
        </w:rPr>
        <w:t xml:space="preserve">, Aug. 22, 2014; </w:t>
      </w:r>
      <w:r w:rsidRPr="001167CB">
        <w:rPr>
          <w:rFonts w:asciiTheme="majorHAnsi" w:hAnsiTheme="majorHAnsi" w:cstheme="majorHAnsi"/>
          <w:i/>
          <w:color w:val="808080" w:themeColor="background1" w:themeShade="80"/>
          <w:sz w:val="16"/>
          <w:szCs w:val="16"/>
        </w:rPr>
        <w:t>Ferguson Crisis: Arrest Data 8/10-8/22</w:t>
      </w:r>
      <w:r w:rsidRPr="001167CB">
        <w:rPr>
          <w:rFonts w:asciiTheme="majorHAnsi" w:hAnsiTheme="majorHAnsi" w:cstheme="majorHAnsi"/>
          <w:color w:val="808080" w:themeColor="background1" w:themeShade="80"/>
          <w:sz w:val="16"/>
          <w:szCs w:val="16"/>
        </w:rPr>
        <w:t xml:space="preserve">, available at: </w:t>
      </w:r>
      <w:hyperlink r:id="rId314" w:history="1">
        <w:r w:rsidRPr="001167CB">
          <w:rPr>
            <w:rStyle w:val="Hyperlink"/>
            <w:rFonts w:asciiTheme="majorHAnsi" w:hAnsiTheme="majorHAnsi" w:cstheme="majorHAnsi"/>
            <w:color w:val="808080" w:themeColor="background1" w:themeShade="80"/>
            <w:sz w:val="16"/>
            <w:szCs w:val="16"/>
          </w:rPr>
          <w:t>http://i2.cdn.turner.com/cnn/2014/images/08/22/arrest.data.from.8-10.to.8-22.pdf</w:t>
        </w:r>
      </w:hyperlink>
      <w:r w:rsidRPr="001167CB">
        <w:rPr>
          <w:rFonts w:asciiTheme="majorHAnsi" w:hAnsiTheme="majorHAnsi" w:cstheme="majorHAnsi"/>
          <w:color w:val="808080" w:themeColor="background1" w:themeShade="80"/>
          <w:sz w:val="16"/>
          <w:szCs w:val="16"/>
        </w:rPr>
        <w:t xml:space="preserve">. </w:t>
      </w:r>
    </w:p>
  </w:footnote>
  <w:footnote w:id="258">
    <w:p w14:paraId="679016B5"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bCs/>
          <w:color w:val="808080" w:themeColor="background1" w:themeShade="80"/>
          <w:sz w:val="16"/>
          <w:szCs w:val="16"/>
        </w:rPr>
        <w:t xml:space="preserve">IACHR, </w:t>
      </w:r>
      <w:hyperlink r:id="rId315" w:history="1">
        <w:r w:rsidRPr="001167CB">
          <w:rPr>
            <w:rStyle w:val="Hyperlink"/>
            <w:rFonts w:asciiTheme="majorHAnsi" w:hAnsiTheme="majorHAnsi" w:cstheme="majorHAnsi"/>
            <w:bCs/>
            <w:color w:val="808080" w:themeColor="background1" w:themeShade="80"/>
            <w:sz w:val="16"/>
            <w:szCs w:val="16"/>
          </w:rPr>
          <w:t>On-Site Visit Press Release</w:t>
        </w:r>
      </w:hyperlink>
      <w:r w:rsidRPr="001167CB">
        <w:rPr>
          <w:rFonts w:asciiTheme="majorHAnsi" w:hAnsiTheme="majorHAnsi" w:cstheme="majorHAnsi"/>
          <w:bCs/>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 xml:space="preserve">Oct. </w:t>
      </w:r>
      <w:r w:rsidRPr="001167CB">
        <w:rPr>
          <w:rFonts w:asciiTheme="majorHAnsi" w:hAnsiTheme="majorHAnsi" w:cstheme="majorHAnsi"/>
          <w:bCs/>
          <w:color w:val="808080" w:themeColor="background1" w:themeShade="80"/>
          <w:sz w:val="16"/>
          <w:szCs w:val="16"/>
        </w:rPr>
        <w:t>16, 2015</w:t>
      </w:r>
      <w:r w:rsidRPr="001167CB">
        <w:rPr>
          <w:rFonts w:asciiTheme="majorHAnsi" w:hAnsiTheme="majorHAnsi" w:cstheme="majorHAnsi"/>
          <w:color w:val="808080" w:themeColor="background1" w:themeShade="80"/>
          <w:sz w:val="16"/>
          <w:szCs w:val="16"/>
        </w:rPr>
        <w:t>.</w:t>
      </w:r>
    </w:p>
  </w:footnote>
  <w:footnote w:id="259">
    <w:p w14:paraId="1DC414E4"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Amnesty International, </w:t>
      </w:r>
      <w:hyperlink r:id="rId316" w:history="1">
        <w:r w:rsidRPr="001167CB">
          <w:rPr>
            <w:rStyle w:val="Hyperlink"/>
            <w:rFonts w:asciiTheme="majorHAnsi" w:hAnsiTheme="majorHAnsi" w:cstheme="majorHAnsi"/>
            <w:color w:val="808080" w:themeColor="background1" w:themeShade="80"/>
            <w:sz w:val="16"/>
            <w:szCs w:val="16"/>
          </w:rPr>
          <w:t>On the Streets of America: Human Rights Abuses in Ferguson</w:t>
        </w:r>
      </w:hyperlink>
      <w:r w:rsidRPr="001167CB">
        <w:rPr>
          <w:rFonts w:asciiTheme="majorHAnsi" w:hAnsiTheme="majorHAnsi" w:cstheme="majorHAnsi"/>
          <w:color w:val="808080" w:themeColor="background1" w:themeShade="80"/>
          <w:sz w:val="16"/>
          <w:szCs w:val="16"/>
        </w:rPr>
        <w:t>, 2014.</w:t>
      </w:r>
    </w:p>
  </w:footnote>
  <w:footnote w:id="260">
    <w:p w14:paraId="06624154"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Mustafa Abdullah vs. County of St. Louis, et al. (E.D. MO, 2014), available at: </w:t>
      </w:r>
      <w:hyperlink r:id="rId317" w:history="1">
        <w:r w:rsidRPr="001167CB">
          <w:rPr>
            <w:rStyle w:val="Hyperlink"/>
            <w:rFonts w:asciiTheme="majorHAnsi" w:hAnsiTheme="majorHAnsi" w:cstheme="majorHAnsi"/>
            <w:color w:val="808080" w:themeColor="background1" w:themeShade="80"/>
            <w:sz w:val="16"/>
            <w:szCs w:val="16"/>
          </w:rPr>
          <w:t>https://s3.amazonaws.com/s3.document cloud.org/documents/1310115/5-second-rule-injunction.pdf</w:t>
        </w:r>
      </w:hyperlink>
      <w:r w:rsidRPr="001167CB">
        <w:rPr>
          <w:rFonts w:asciiTheme="majorHAnsi" w:hAnsiTheme="majorHAnsi" w:cstheme="majorHAnsi"/>
          <w:color w:val="808080" w:themeColor="background1" w:themeShade="80"/>
          <w:sz w:val="16"/>
          <w:szCs w:val="16"/>
        </w:rPr>
        <w:t xml:space="preserve">; Washington Post. </w:t>
      </w:r>
      <w:hyperlink r:id="rId318" w:history="1">
        <w:r w:rsidRPr="001167CB">
          <w:rPr>
            <w:rStyle w:val="Hyperlink"/>
            <w:rFonts w:asciiTheme="majorHAnsi" w:hAnsiTheme="majorHAnsi" w:cstheme="majorHAnsi"/>
            <w:color w:val="808080" w:themeColor="background1" w:themeShade="80"/>
            <w:sz w:val="16"/>
            <w:szCs w:val="16"/>
          </w:rPr>
          <w:t>Federal Judges Tossed 5 second rule being used by Police in Ferguson Protests</w:t>
        </w:r>
      </w:hyperlink>
      <w:r w:rsidRPr="001167CB">
        <w:rPr>
          <w:rFonts w:asciiTheme="majorHAnsi" w:hAnsiTheme="majorHAnsi" w:cstheme="majorHAnsi"/>
          <w:color w:val="808080" w:themeColor="background1" w:themeShade="80"/>
          <w:sz w:val="16"/>
          <w:szCs w:val="16"/>
        </w:rPr>
        <w:t xml:space="preserve">. Oct. 6, 2014; </w:t>
      </w:r>
      <w:proofErr w:type="gramStart"/>
      <w:r w:rsidRPr="001167CB">
        <w:rPr>
          <w:rFonts w:asciiTheme="majorHAnsi" w:hAnsiTheme="majorHAnsi" w:cstheme="majorHAnsi"/>
          <w:i/>
          <w:color w:val="808080" w:themeColor="background1" w:themeShade="80"/>
          <w:sz w:val="16"/>
          <w:szCs w:val="16"/>
        </w:rPr>
        <w:t>See</w:t>
      </w:r>
      <w:proofErr w:type="gramEnd"/>
      <w:r w:rsidRPr="001167CB">
        <w:rPr>
          <w:rFonts w:asciiTheme="majorHAnsi" w:hAnsiTheme="majorHAnsi" w:cstheme="majorHAnsi"/>
          <w:i/>
          <w:color w:val="808080" w:themeColor="background1" w:themeShade="80"/>
          <w:sz w:val="16"/>
          <w:szCs w:val="16"/>
        </w:rPr>
        <w:t xml:space="preserve"> also </w:t>
      </w:r>
      <w:r w:rsidRPr="001167CB">
        <w:rPr>
          <w:rFonts w:asciiTheme="majorHAnsi" w:hAnsiTheme="majorHAnsi" w:cstheme="majorHAnsi"/>
          <w:color w:val="808080" w:themeColor="background1" w:themeShade="80"/>
          <w:sz w:val="16"/>
          <w:szCs w:val="16"/>
        </w:rPr>
        <w:t xml:space="preserve">IACHR, </w:t>
      </w:r>
      <w:hyperlink r:id="rId319" w:history="1">
        <w:r w:rsidRPr="001167CB">
          <w:rPr>
            <w:rStyle w:val="Hyperlink"/>
            <w:rFonts w:asciiTheme="majorHAnsi" w:hAnsiTheme="majorHAnsi" w:cstheme="majorHAnsi"/>
            <w:color w:val="808080" w:themeColor="background1" w:themeShade="80"/>
            <w:sz w:val="16"/>
            <w:szCs w:val="16"/>
          </w:rPr>
          <w:t>Annual Report 2015, Chapter IV: The Use of Force</w:t>
        </w:r>
      </w:hyperlink>
      <w:r w:rsidRPr="001167CB">
        <w:rPr>
          <w:rFonts w:asciiTheme="majorHAnsi" w:hAnsiTheme="majorHAnsi" w:cstheme="majorHAnsi"/>
          <w:color w:val="808080" w:themeColor="background1" w:themeShade="80"/>
          <w:sz w:val="16"/>
          <w:szCs w:val="16"/>
        </w:rPr>
        <w:t>, Mar. 17, 2016, para. 124.</w:t>
      </w:r>
    </w:p>
  </w:footnote>
  <w:footnote w:id="261">
    <w:p w14:paraId="0AA18EB6" w14:textId="77777777" w:rsidR="005C2394" w:rsidRPr="001167CB" w:rsidRDefault="005C2394" w:rsidP="00002F47">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bCs/>
          <w:color w:val="808080" w:themeColor="background1" w:themeShade="80"/>
          <w:sz w:val="16"/>
          <w:szCs w:val="16"/>
        </w:rPr>
        <w:t xml:space="preserve">IACHR, 153d Period of Sessions, </w:t>
      </w:r>
      <w:hyperlink r:id="rId320" w:history="1">
        <w:r w:rsidRPr="001167CB">
          <w:rPr>
            <w:rStyle w:val="Hyperlink"/>
            <w:rFonts w:asciiTheme="majorHAnsi" w:hAnsiTheme="majorHAnsi" w:cstheme="majorHAnsi"/>
            <w:bCs/>
            <w:color w:val="808080" w:themeColor="background1" w:themeShade="80"/>
            <w:sz w:val="16"/>
            <w:szCs w:val="16"/>
          </w:rPr>
          <w:t>“Racism in the Justice System”</w:t>
        </w:r>
      </w:hyperlink>
      <w:r w:rsidRPr="001167CB">
        <w:rPr>
          <w:rFonts w:asciiTheme="majorHAnsi" w:hAnsiTheme="majorHAnsi" w:cstheme="majorHAnsi"/>
          <w:bCs/>
          <w:color w:val="808080" w:themeColor="background1" w:themeShade="80"/>
          <w:sz w:val="16"/>
          <w:szCs w:val="16"/>
        </w:rPr>
        <w:t xml:space="preserve"> Hearing, </w:t>
      </w:r>
      <w:r w:rsidRPr="001167CB">
        <w:rPr>
          <w:rFonts w:asciiTheme="majorHAnsi" w:hAnsiTheme="majorHAnsi" w:cstheme="majorHAnsi"/>
          <w:color w:val="808080" w:themeColor="background1" w:themeShade="80"/>
          <w:sz w:val="16"/>
          <w:szCs w:val="16"/>
        </w:rPr>
        <w:t xml:space="preserve">Oct. </w:t>
      </w:r>
      <w:r w:rsidRPr="001167CB">
        <w:rPr>
          <w:rFonts w:asciiTheme="majorHAnsi" w:hAnsiTheme="majorHAnsi" w:cstheme="majorHAnsi"/>
          <w:bCs/>
          <w:color w:val="808080" w:themeColor="background1" w:themeShade="80"/>
          <w:sz w:val="16"/>
          <w:szCs w:val="16"/>
        </w:rPr>
        <w:t>27, 2014</w:t>
      </w:r>
      <w:r w:rsidRPr="001167CB">
        <w:rPr>
          <w:rFonts w:asciiTheme="majorHAnsi" w:hAnsiTheme="majorHAnsi" w:cstheme="majorHAnsi"/>
          <w:color w:val="808080" w:themeColor="background1" w:themeShade="80"/>
          <w:sz w:val="16"/>
          <w:szCs w:val="16"/>
        </w:rPr>
        <w:t>.</w:t>
      </w:r>
    </w:p>
  </w:footnote>
  <w:footnote w:id="262">
    <w:p w14:paraId="404650DA"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LA Times. </w:t>
      </w:r>
      <w:hyperlink r:id="rId321" w:history="1">
        <w:r w:rsidRPr="001167CB">
          <w:rPr>
            <w:rStyle w:val="Hyperlink"/>
            <w:rFonts w:asciiTheme="majorHAnsi" w:hAnsiTheme="majorHAnsi" w:cstheme="majorHAnsi"/>
            <w:color w:val="808080" w:themeColor="background1" w:themeShade="80"/>
            <w:sz w:val="16"/>
            <w:szCs w:val="16"/>
          </w:rPr>
          <w:t>California unrest: Dozens arrested after Michael Brown decision</w:t>
        </w:r>
      </w:hyperlink>
      <w:r w:rsidRPr="001167CB">
        <w:rPr>
          <w:rFonts w:asciiTheme="majorHAnsi" w:hAnsiTheme="majorHAnsi" w:cstheme="majorHAnsi"/>
          <w:color w:val="808080" w:themeColor="background1" w:themeShade="80"/>
          <w:sz w:val="16"/>
          <w:szCs w:val="16"/>
        </w:rPr>
        <w:t>. Nov. 25, 2014.</w:t>
      </w:r>
    </w:p>
  </w:footnote>
  <w:footnote w:id="263">
    <w:p w14:paraId="64988B12"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IACHR, </w:t>
      </w:r>
      <w:hyperlink r:id="rId322" w:history="1">
        <w:r w:rsidRPr="001167CB">
          <w:rPr>
            <w:rStyle w:val="Hyperlink"/>
            <w:rFonts w:asciiTheme="majorHAnsi" w:hAnsiTheme="majorHAnsi" w:cstheme="majorHAnsi"/>
            <w:color w:val="808080" w:themeColor="background1" w:themeShade="80"/>
            <w:sz w:val="16"/>
            <w:szCs w:val="16"/>
          </w:rPr>
          <w:t>Annual Report 2015, Chapter IV: The Use of Force</w:t>
        </w:r>
      </w:hyperlink>
      <w:r w:rsidRPr="001167CB">
        <w:rPr>
          <w:rFonts w:asciiTheme="majorHAnsi" w:hAnsiTheme="majorHAnsi" w:cstheme="majorHAnsi"/>
          <w:color w:val="808080" w:themeColor="background1" w:themeShade="80"/>
          <w:sz w:val="16"/>
          <w:szCs w:val="16"/>
        </w:rPr>
        <w:t>, Mar. 17, 2016, para. 125.</w:t>
      </w:r>
    </w:p>
  </w:footnote>
  <w:footnote w:id="264">
    <w:p w14:paraId="4B1C1425" w14:textId="0AA4AEB5"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Washington Post, </w:t>
      </w:r>
      <w:hyperlink r:id="rId323" w:history="1">
        <w:r w:rsidRPr="001167CB">
          <w:rPr>
            <w:rStyle w:val="Hyperlink"/>
            <w:rFonts w:asciiTheme="majorHAnsi" w:hAnsiTheme="majorHAnsi" w:cstheme="majorHAnsi"/>
            <w:color w:val="808080" w:themeColor="background1" w:themeShade="80"/>
            <w:sz w:val="16"/>
            <w:szCs w:val="16"/>
          </w:rPr>
          <w:t>Obama orders review of military equipment supplied to police</w:t>
        </w:r>
      </w:hyperlink>
      <w:r w:rsidRPr="001167CB">
        <w:rPr>
          <w:rStyle w:val="Hyperlink"/>
          <w:rFonts w:asciiTheme="majorHAnsi" w:hAnsiTheme="majorHAnsi" w:cstheme="majorHAnsi"/>
          <w:color w:val="808080" w:themeColor="background1" w:themeShade="80"/>
          <w:sz w:val="16"/>
          <w:szCs w:val="16"/>
        </w:rPr>
        <w:t>,</w:t>
      </w:r>
      <w:r w:rsidRPr="001167CB">
        <w:rPr>
          <w:rFonts w:asciiTheme="majorHAnsi" w:hAnsiTheme="majorHAnsi" w:cstheme="majorHAnsi"/>
          <w:color w:val="808080" w:themeColor="background1" w:themeShade="80"/>
          <w:sz w:val="16"/>
          <w:szCs w:val="16"/>
        </w:rPr>
        <w:t xml:space="preserve"> Aug. 23, 2014; Washington Post. </w:t>
      </w:r>
      <w:hyperlink r:id="rId324" w:history="1">
        <w:r w:rsidRPr="001167CB">
          <w:rPr>
            <w:rStyle w:val="Hyperlink"/>
            <w:rFonts w:asciiTheme="majorHAnsi" w:hAnsiTheme="majorHAnsi" w:cstheme="majorHAnsi"/>
            <w:color w:val="808080" w:themeColor="background1" w:themeShade="80"/>
            <w:sz w:val="16"/>
            <w:szCs w:val="16"/>
          </w:rPr>
          <w:t>The Pentagon gave nearly half a billion dollars of military gear to local law enforcement last year</w:t>
        </w:r>
      </w:hyperlink>
      <w:r w:rsidRPr="001167CB">
        <w:rPr>
          <w:rFonts w:asciiTheme="majorHAnsi" w:hAnsiTheme="majorHAnsi" w:cstheme="majorHAnsi"/>
          <w:color w:val="808080" w:themeColor="background1" w:themeShade="80"/>
          <w:sz w:val="16"/>
          <w:szCs w:val="16"/>
        </w:rPr>
        <w:t xml:space="preserve">, Aug. 14, 2014. </w:t>
      </w:r>
      <w:r w:rsidRPr="001167CB">
        <w:rPr>
          <w:rFonts w:asciiTheme="majorHAnsi" w:hAnsiTheme="majorHAnsi" w:cstheme="majorHAnsi"/>
          <w:i/>
          <w:color w:val="808080" w:themeColor="background1" w:themeShade="80"/>
          <w:sz w:val="16"/>
          <w:szCs w:val="16"/>
        </w:rPr>
        <w:t>See supra</w:t>
      </w:r>
      <w:r w:rsidRPr="001167CB">
        <w:rPr>
          <w:rFonts w:asciiTheme="majorHAnsi" w:hAnsiTheme="majorHAnsi" w:cstheme="majorHAnsi"/>
          <w:color w:val="808080" w:themeColor="background1" w:themeShade="80"/>
          <w:sz w:val="16"/>
          <w:szCs w:val="16"/>
        </w:rPr>
        <w:t xml:space="preserve"> paras. </w:t>
      </w:r>
      <w:r w:rsidRPr="001167CB">
        <w:rPr>
          <w:rFonts w:asciiTheme="majorHAnsi" w:hAnsiTheme="majorHAnsi" w:cstheme="majorHAnsi"/>
          <w:color w:val="808080" w:themeColor="background1" w:themeShade="80"/>
          <w:sz w:val="16"/>
          <w:szCs w:val="16"/>
        </w:rPr>
        <w:fldChar w:fldCharType="begin"/>
      </w:r>
      <w:r w:rsidRPr="001167CB">
        <w:rPr>
          <w:rFonts w:asciiTheme="majorHAnsi" w:hAnsiTheme="majorHAnsi" w:cstheme="majorHAnsi"/>
          <w:color w:val="808080" w:themeColor="background1" w:themeShade="80"/>
          <w:sz w:val="16"/>
          <w:szCs w:val="16"/>
        </w:rPr>
        <w:instrText xml:space="preserve"> REF _Ref507148704 \r \h  \* MERGEFORMAT </w:instrText>
      </w:r>
      <w:r w:rsidRPr="001167CB">
        <w:rPr>
          <w:rFonts w:asciiTheme="majorHAnsi" w:hAnsiTheme="majorHAnsi" w:cstheme="majorHAnsi"/>
          <w:color w:val="808080" w:themeColor="background1" w:themeShade="80"/>
          <w:sz w:val="16"/>
          <w:szCs w:val="16"/>
        </w:rPr>
      </w:r>
      <w:r w:rsidRPr="001167CB">
        <w:rPr>
          <w:rFonts w:asciiTheme="majorHAnsi" w:hAnsiTheme="majorHAnsi" w:cstheme="majorHAnsi"/>
          <w:color w:val="808080" w:themeColor="background1" w:themeShade="80"/>
          <w:sz w:val="16"/>
          <w:szCs w:val="16"/>
        </w:rPr>
        <w:fldChar w:fldCharType="separate"/>
      </w:r>
      <w:r w:rsidRPr="001167CB">
        <w:rPr>
          <w:rFonts w:asciiTheme="majorHAnsi" w:hAnsiTheme="majorHAnsi" w:cstheme="majorHAnsi"/>
          <w:color w:val="808080" w:themeColor="background1" w:themeShade="80"/>
          <w:sz w:val="16"/>
          <w:szCs w:val="16"/>
        </w:rPr>
        <w:t>66</w:t>
      </w:r>
      <w:r w:rsidRPr="001167CB">
        <w:rPr>
          <w:rFonts w:asciiTheme="majorHAnsi" w:hAnsiTheme="majorHAnsi" w:cstheme="majorHAnsi"/>
          <w:color w:val="808080" w:themeColor="background1" w:themeShade="80"/>
          <w:sz w:val="16"/>
          <w:szCs w:val="16"/>
        </w:rPr>
        <w:fldChar w:fldCharType="end"/>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fldChar w:fldCharType="begin"/>
      </w:r>
      <w:r w:rsidRPr="001167CB">
        <w:rPr>
          <w:rFonts w:asciiTheme="majorHAnsi" w:hAnsiTheme="majorHAnsi" w:cstheme="majorHAnsi"/>
          <w:color w:val="808080" w:themeColor="background1" w:themeShade="80"/>
          <w:sz w:val="16"/>
          <w:szCs w:val="16"/>
        </w:rPr>
        <w:instrText xml:space="preserve"> REF _Ref507153340 \r \h  \* MERGEFORMAT </w:instrText>
      </w:r>
      <w:r w:rsidRPr="001167CB">
        <w:rPr>
          <w:rFonts w:asciiTheme="majorHAnsi" w:hAnsiTheme="majorHAnsi" w:cstheme="majorHAnsi"/>
          <w:color w:val="808080" w:themeColor="background1" w:themeShade="80"/>
          <w:sz w:val="16"/>
          <w:szCs w:val="16"/>
        </w:rPr>
      </w:r>
      <w:r w:rsidRPr="001167CB">
        <w:rPr>
          <w:rFonts w:asciiTheme="majorHAnsi" w:hAnsiTheme="majorHAnsi" w:cstheme="majorHAnsi"/>
          <w:color w:val="808080" w:themeColor="background1" w:themeShade="80"/>
          <w:sz w:val="16"/>
          <w:szCs w:val="16"/>
        </w:rPr>
        <w:fldChar w:fldCharType="separate"/>
      </w:r>
      <w:r w:rsidRPr="001167CB">
        <w:rPr>
          <w:rFonts w:asciiTheme="majorHAnsi" w:hAnsiTheme="majorHAnsi" w:cstheme="majorHAnsi"/>
          <w:color w:val="808080" w:themeColor="background1" w:themeShade="80"/>
          <w:sz w:val="16"/>
          <w:szCs w:val="16"/>
        </w:rPr>
        <w:t>87</w:t>
      </w:r>
      <w:r w:rsidRPr="001167CB">
        <w:rPr>
          <w:rFonts w:asciiTheme="majorHAnsi" w:hAnsiTheme="majorHAnsi" w:cstheme="majorHAnsi"/>
          <w:color w:val="808080" w:themeColor="background1" w:themeShade="80"/>
          <w:sz w:val="16"/>
          <w:szCs w:val="16"/>
        </w:rPr>
        <w:fldChar w:fldCharType="end"/>
      </w:r>
      <w:r w:rsidRPr="001167CB">
        <w:rPr>
          <w:rFonts w:asciiTheme="majorHAnsi" w:hAnsiTheme="majorHAnsi" w:cstheme="majorHAnsi"/>
          <w:color w:val="808080" w:themeColor="background1" w:themeShade="80"/>
          <w:sz w:val="16"/>
          <w:szCs w:val="16"/>
        </w:rPr>
        <w:t>-</w:t>
      </w:r>
      <w:r w:rsidRPr="001167CB">
        <w:rPr>
          <w:rFonts w:asciiTheme="majorHAnsi" w:hAnsiTheme="majorHAnsi" w:cstheme="majorHAnsi"/>
          <w:color w:val="808080" w:themeColor="background1" w:themeShade="80"/>
          <w:sz w:val="16"/>
          <w:szCs w:val="16"/>
        </w:rPr>
        <w:fldChar w:fldCharType="begin"/>
      </w:r>
      <w:r w:rsidRPr="001167CB">
        <w:rPr>
          <w:rFonts w:asciiTheme="majorHAnsi" w:hAnsiTheme="majorHAnsi" w:cstheme="majorHAnsi"/>
          <w:color w:val="808080" w:themeColor="background1" w:themeShade="80"/>
          <w:sz w:val="16"/>
          <w:szCs w:val="16"/>
        </w:rPr>
        <w:instrText xml:space="preserve"> REF _Ref507153342 \r \h  \* MERGEFORMAT </w:instrText>
      </w:r>
      <w:r w:rsidRPr="001167CB">
        <w:rPr>
          <w:rFonts w:asciiTheme="majorHAnsi" w:hAnsiTheme="majorHAnsi" w:cstheme="majorHAnsi"/>
          <w:color w:val="808080" w:themeColor="background1" w:themeShade="80"/>
          <w:sz w:val="16"/>
          <w:szCs w:val="16"/>
        </w:rPr>
      </w:r>
      <w:r w:rsidRPr="001167CB">
        <w:rPr>
          <w:rFonts w:asciiTheme="majorHAnsi" w:hAnsiTheme="majorHAnsi" w:cstheme="majorHAnsi"/>
          <w:color w:val="808080" w:themeColor="background1" w:themeShade="80"/>
          <w:sz w:val="16"/>
          <w:szCs w:val="16"/>
        </w:rPr>
        <w:fldChar w:fldCharType="separate"/>
      </w:r>
      <w:r w:rsidRPr="001167CB">
        <w:rPr>
          <w:rFonts w:asciiTheme="majorHAnsi" w:hAnsiTheme="majorHAnsi" w:cstheme="majorHAnsi"/>
          <w:color w:val="808080" w:themeColor="background1" w:themeShade="80"/>
          <w:sz w:val="16"/>
          <w:szCs w:val="16"/>
        </w:rPr>
        <w:t>89</w:t>
      </w:r>
      <w:r w:rsidRPr="001167CB">
        <w:rPr>
          <w:rFonts w:asciiTheme="majorHAnsi" w:hAnsiTheme="majorHAnsi" w:cstheme="majorHAnsi"/>
          <w:color w:val="808080" w:themeColor="background1" w:themeShade="80"/>
          <w:sz w:val="16"/>
          <w:szCs w:val="16"/>
        </w:rPr>
        <w:fldChar w:fldCharType="end"/>
      </w:r>
      <w:r w:rsidRPr="001167CB">
        <w:rPr>
          <w:rFonts w:asciiTheme="majorHAnsi" w:hAnsiTheme="majorHAnsi" w:cstheme="majorHAnsi"/>
          <w:color w:val="808080" w:themeColor="background1" w:themeShade="80"/>
          <w:sz w:val="16"/>
          <w:szCs w:val="16"/>
        </w:rPr>
        <w:t>.</w:t>
      </w:r>
    </w:p>
  </w:footnote>
  <w:footnote w:id="265">
    <w:p w14:paraId="0F3DAAC8" w14:textId="77777777" w:rsidR="005C2394" w:rsidRPr="001167CB" w:rsidRDefault="005C2394" w:rsidP="002C64F8">
      <w:pPr>
        <w:pStyle w:val="FootnoteText"/>
        <w:spacing w:after="40"/>
        <w:ind w:left="547" w:hanging="547"/>
        <w:contextualSpacing/>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ACLU.  </w:t>
      </w:r>
      <w:hyperlink r:id="rId325" w:history="1">
        <w:r w:rsidRPr="001167CB">
          <w:rPr>
            <w:rStyle w:val="Hyperlink"/>
            <w:rFonts w:asciiTheme="majorHAnsi" w:hAnsiTheme="majorHAnsi" w:cstheme="majorHAnsi"/>
            <w:color w:val="808080" w:themeColor="background1" w:themeShade="80"/>
            <w:sz w:val="16"/>
            <w:szCs w:val="16"/>
            <w:lang w:val="en"/>
          </w:rPr>
          <w:t xml:space="preserve">365 Days and 605 Armored Military Vehicles Later: Police Militarization a Year </w:t>
        </w:r>
        <w:proofErr w:type="gramStart"/>
        <w:r w:rsidRPr="001167CB">
          <w:rPr>
            <w:rStyle w:val="Hyperlink"/>
            <w:rFonts w:asciiTheme="majorHAnsi" w:hAnsiTheme="majorHAnsi" w:cstheme="majorHAnsi"/>
            <w:color w:val="808080" w:themeColor="background1" w:themeShade="80"/>
            <w:sz w:val="16"/>
            <w:szCs w:val="16"/>
            <w:lang w:val="en"/>
          </w:rPr>
          <w:t>After</w:t>
        </w:r>
        <w:proofErr w:type="gramEnd"/>
        <w:r w:rsidRPr="001167CB">
          <w:rPr>
            <w:rStyle w:val="Hyperlink"/>
            <w:rFonts w:asciiTheme="majorHAnsi" w:hAnsiTheme="majorHAnsi" w:cstheme="majorHAnsi"/>
            <w:color w:val="808080" w:themeColor="background1" w:themeShade="80"/>
            <w:sz w:val="16"/>
            <w:szCs w:val="16"/>
            <w:lang w:val="en"/>
          </w:rPr>
          <w:t xml:space="preserve"> Ferguson</w:t>
        </w:r>
      </w:hyperlink>
      <w:r w:rsidRPr="001167CB">
        <w:rPr>
          <w:rFonts w:asciiTheme="majorHAnsi" w:hAnsiTheme="majorHAnsi" w:cstheme="majorHAnsi"/>
          <w:color w:val="808080" w:themeColor="background1" w:themeShade="80"/>
          <w:sz w:val="16"/>
          <w:szCs w:val="16"/>
          <w:lang w:val="en"/>
        </w:rPr>
        <w:t xml:space="preserve">. </w:t>
      </w:r>
      <w:r w:rsidRPr="001167CB">
        <w:rPr>
          <w:rFonts w:asciiTheme="majorHAnsi" w:hAnsiTheme="majorHAnsi" w:cstheme="majorHAnsi"/>
          <w:color w:val="808080" w:themeColor="background1" w:themeShade="80"/>
          <w:sz w:val="16"/>
          <w:szCs w:val="16"/>
        </w:rPr>
        <w:t xml:space="preserve">Aug. </w:t>
      </w:r>
      <w:r w:rsidRPr="001167CB">
        <w:rPr>
          <w:rFonts w:asciiTheme="majorHAnsi" w:hAnsiTheme="majorHAnsi" w:cstheme="majorHAnsi"/>
          <w:color w:val="808080" w:themeColor="background1" w:themeShade="80"/>
          <w:sz w:val="16"/>
          <w:szCs w:val="16"/>
          <w:lang w:val="en"/>
        </w:rPr>
        <w:t xml:space="preserve">2015. </w:t>
      </w:r>
    </w:p>
  </w:footnote>
  <w:footnote w:id="266">
    <w:p w14:paraId="4BCD7E3E" w14:textId="77777777" w:rsidR="005C2394" w:rsidRPr="001167CB" w:rsidRDefault="005C2394" w:rsidP="002C64F8">
      <w:pPr>
        <w:pStyle w:val="FootnoteText"/>
        <w:spacing w:after="40"/>
        <w:ind w:left="547" w:hanging="547"/>
        <w:contextualSpacing/>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Amnesty International, </w:t>
      </w:r>
      <w:hyperlink r:id="rId326" w:history="1">
        <w:r w:rsidRPr="001167CB">
          <w:rPr>
            <w:rStyle w:val="Hyperlink"/>
            <w:rFonts w:asciiTheme="majorHAnsi" w:hAnsiTheme="majorHAnsi" w:cstheme="majorHAnsi"/>
            <w:color w:val="808080" w:themeColor="background1" w:themeShade="80"/>
            <w:sz w:val="16"/>
            <w:szCs w:val="16"/>
          </w:rPr>
          <w:t>On the Streets of America: Human Rights Abuses in Ferguson</w:t>
        </w:r>
      </w:hyperlink>
      <w:r w:rsidRPr="001167CB">
        <w:rPr>
          <w:rFonts w:asciiTheme="majorHAnsi" w:hAnsiTheme="majorHAnsi" w:cstheme="majorHAnsi"/>
          <w:color w:val="808080" w:themeColor="background1" w:themeShade="80"/>
          <w:sz w:val="16"/>
          <w:szCs w:val="16"/>
        </w:rPr>
        <w:t>, 2014.</w:t>
      </w:r>
    </w:p>
  </w:footnote>
  <w:footnote w:id="267">
    <w:p w14:paraId="2570E438"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The Washington Post. </w:t>
      </w:r>
      <w:hyperlink r:id="rId327" w:history="1">
        <w:r w:rsidRPr="001167CB">
          <w:rPr>
            <w:rStyle w:val="Hyperlink"/>
            <w:rFonts w:asciiTheme="majorHAnsi" w:hAnsiTheme="majorHAnsi" w:cstheme="majorHAnsi"/>
            <w:color w:val="808080" w:themeColor="background1" w:themeShade="80"/>
            <w:sz w:val="16"/>
            <w:szCs w:val="16"/>
          </w:rPr>
          <w:t>Accurately Charging People Arrested in Baltimore Proves to be Legal Challenge</w:t>
        </w:r>
      </w:hyperlink>
      <w:r w:rsidRPr="001167CB">
        <w:rPr>
          <w:rFonts w:asciiTheme="majorHAnsi" w:hAnsiTheme="majorHAnsi" w:cstheme="majorHAnsi"/>
          <w:color w:val="808080" w:themeColor="background1" w:themeShade="80"/>
          <w:sz w:val="16"/>
          <w:szCs w:val="16"/>
        </w:rPr>
        <w:t>. May 4, 2015.</w:t>
      </w:r>
    </w:p>
  </w:footnote>
  <w:footnote w:id="268">
    <w:p w14:paraId="76F00E0F"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NBC News. </w:t>
      </w:r>
      <w:hyperlink r:id="rId328" w:history="1">
        <w:r w:rsidRPr="001167CB">
          <w:rPr>
            <w:rStyle w:val="Hyperlink"/>
            <w:rFonts w:asciiTheme="majorHAnsi" w:hAnsiTheme="majorHAnsi" w:cstheme="majorHAnsi"/>
            <w:color w:val="808080" w:themeColor="background1" w:themeShade="80"/>
            <w:sz w:val="16"/>
            <w:szCs w:val="16"/>
          </w:rPr>
          <w:t>Freddie Gray Protests Spread Beyond Baltimore, 100 Arrested in New York</w:t>
        </w:r>
      </w:hyperlink>
      <w:r w:rsidRPr="001167CB">
        <w:rPr>
          <w:rFonts w:asciiTheme="majorHAnsi" w:hAnsiTheme="majorHAnsi" w:cstheme="majorHAnsi"/>
          <w:color w:val="808080" w:themeColor="background1" w:themeShade="80"/>
          <w:sz w:val="16"/>
          <w:szCs w:val="16"/>
        </w:rPr>
        <w:t xml:space="preserve">. Apr. 30, 2015. IACHR, </w:t>
      </w:r>
      <w:hyperlink r:id="rId329" w:history="1">
        <w:r w:rsidRPr="001167CB">
          <w:rPr>
            <w:rStyle w:val="Hyperlink"/>
            <w:rFonts w:asciiTheme="majorHAnsi" w:hAnsiTheme="majorHAnsi" w:cstheme="majorHAnsi"/>
            <w:color w:val="808080" w:themeColor="background1" w:themeShade="80"/>
            <w:sz w:val="16"/>
            <w:szCs w:val="16"/>
          </w:rPr>
          <w:t>Annual Report 2015, Chapter IV: The Use of Force</w:t>
        </w:r>
      </w:hyperlink>
      <w:r w:rsidRPr="001167CB">
        <w:rPr>
          <w:rFonts w:asciiTheme="majorHAnsi" w:hAnsiTheme="majorHAnsi" w:cstheme="majorHAnsi"/>
          <w:color w:val="808080" w:themeColor="background1" w:themeShade="80"/>
          <w:sz w:val="16"/>
          <w:szCs w:val="16"/>
        </w:rPr>
        <w:t>, Mar. 17, 2016, para. 126.</w:t>
      </w:r>
    </w:p>
  </w:footnote>
  <w:footnote w:id="269">
    <w:p w14:paraId="72584DDB"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i/>
          <w:color w:val="808080" w:themeColor="background1" w:themeShade="80"/>
          <w:sz w:val="16"/>
          <w:szCs w:val="16"/>
        </w:rPr>
        <w:t xml:space="preserve">See </w:t>
      </w:r>
      <w:r w:rsidRPr="001167CB">
        <w:rPr>
          <w:rFonts w:asciiTheme="majorHAnsi" w:hAnsiTheme="majorHAnsi" w:cstheme="majorHAnsi"/>
          <w:color w:val="808080" w:themeColor="background1" w:themeShade="80"/>
          <w:sz w:val="16"/>
          <w:szCs w:val="16"/>
        </w:rPr>
        <w:t xml:space="preserve">IACHR, </w:t>
      </w:r>
      <w:hyperlink r:id="rId330" w:history="1">
        <w:r w:rsidRPr="001167CB">
          <w:rPr>
            <w:rStyle w:val="Hyperlink"/>
            <w:rFonts w:asciiTheme="majorHAnsi" w:hAnsiTheme="majorHAnsi" w:cstheme="majorHAnsi"/>
            <w:color w:val="808080" w:themeColor="background1" w:themeShade="80"/>
            <w:sz w:val="16"/>
            <w:szCs w:val="16"/>
          </w:rPr>
          <w:t xml:space="preserve">Annual Report 2015, </w:t>
        </w:r>
        <w:proofErr w:type="gramStart"/>
        <w:r w:rsidRPr="001167CB">
          <w:rPr>
            <w:rStyle w:val="Hyperlink"/>
            <w:rFonts w:asciiTheme="majorHAnsi" w:hAnsiTheme="majorHAnsi" w:cstheme="majorHAnsi"/>
            <w:color w:val="808080" w:themeColor="background1" w:themeShade="80"/>
            <w:sz w:val="16"/>
            <w:szCs w:val="16"/>
          </w:rPr>
          <w:t>Chapter</w:t>
        </w:r>
        <w:proofErr w:type="gramEnd"/>
        <w:r w:rsidRPr="001167CB">
          <w:rPr>
            <w:rStyle w:val="Hyperlink"/>
            <w:rFonts w:asciiTheme="majorHAnsi" w:hAnsiTheme="majorHAnsi" w:cstheme="majorHAnsi"/>
            <w:color w:val="808080" w:themeColor="background1" w:themeShade="80"/>
            <w:sz w:val="16"/>
            <w:szCs w:val="16"/>
          </w:rPr>
          <w:t xml:space="preserve"> IV: The Use of Force</w:t>
        </w:r>
      </w:hyperlink>
      <w:r w:rsidRPr="001167CB">
        <w:rPr>
          <w:rFonts w:asciiTheme="majorHAnsi" w:hAnsiTheme="majorHAnsi" w:cstheme="majorHAnsi"/>
          <w:color w:val="808080" w:themeColor="background1" w:themeShade="80"/>
          <w:sz w:val="16"/>
          <w:szCs w:val="16"/>
        </w:rPr>
        <w:t>, Mar. 17, 2016, para. 175.</w:t>
      </w:r>
    </w:p>
  </w:footnote>
  <w:footnote w:id="270">
    <w:p w14:paraId="40AFC6DD"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The Guardian, </w:t>
      </w:r>
      <w:hyperlink r:id="rId331" w:history="1">
        <w:r w:rsidRPr="001167CB">
          <w:rPr>
            <w:rStyle w:val="Hyperlink"/>
            <w:rFonts w:asciiTheme="majorHAnsi" w:hAnsiTheme="majorHAnsi" w:cstheme="majorHAnsi"/>
            <w:color w:val="808080" w:themeColor="background1" w:themeShade="80"/>
            <w:sz w:val="16"/>
            <w:szCs w:val="16"/>
          </w:rPr>
          <w:t>'Militaristic and intimidating': St Louis police criticized as protests stretch on</w:t>
        </w:r>
      </w:hyperlink>
      <w:r w:rsidRPr="001167CB">
        <w:rPr>
          <w:rFonts w:asciiTheme="majorHAnsi" w:hAnsiTheme="majorHAnsi" w:cstheme="majorHAnsi"/>
          <w:color w:val="808080" w:themeColor="background1" w:themeShade="80"/>
          <w:sz w:val="16"/>
          <w:szCs w:val="16"/>
        </w:rPr>
        <w:t xml:space="preserve">, Sept. 18, 2017. </w:t>
      </w:r>
    </w:p>
  </w:footnote>
  <w:footnote w:id="271">
    <w:p w14:paraId="326CF350"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The Guardian, </w:t>
      </w:r>
      <w:hyperlink r:id="rId332" w:history="1">
        <w:r w:rsidRPr="001167CB">
          <w:rPr>
            <w:rStyle w:val="Hyperlink"/>
            <w:rFonts w:asciiTheme="majorHAnsi" w:hAnsiTheme="majorHAnsi" w:cstheme="majorHAnsi"/>
            <w:color w:val="808080" w:themeColor="background1" w:themeShade="80"/>
            <w:sz w:val="16"/>
            <w:szCs w:val="16"/>
          </w:rPr>
          <w:t>St Louis protests: three years since Ferguson, why hasn't anything changed?</w:t>
        </w:r>
      </w:hyperlink>
      <w:r w:rsidRPr="001167CB">
        <w:rPr>
          <w:rFonts w:asciiTheme="majorHAnsi" w:hAnsiTheme="majorHAnsi" w:cstheme="majorHAnsi"/>
          <w:color w:val="808080" w:themeColor="background1" w:themeShade="80"/>
          <w:sz w:val="16"/>
          <w:szCs w:val="16"/>
        </w:rPr>
        <w:t>, Sept. 22, 2017.</w:t>
      </w:r>
    </w:p>
  </w:footnote>
  <w:footnote w:id="272">
    <w:p w14:paraId="18BF148A"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Chicago Tribune, </w:t>
      </w:r>
      <w:hyperlink r:id="rId333" w:history="1">
        <w:r w:rsidRPr="001167CB">
          <w:rPr>
            <w:rStyle w:val="Hyperlink"/>
            <w:rFonts w:asciiTheme="majorHAnsi" w:hAnsiTheme="majorHAnsi" w:cstheme="majorHAnsi"/>
            <w:color w:val="808080" w:themeColor="background1" w:themeShade="80"/>
            <w:sz w:val="16"/>
            <w:szCs w:val="16"/>
          </w:rPr>
          <w:t>FBI, Justice Department investigating St. Louis police conduct during protests</w:t>
        </w:r>
      </w:hyperlink>
      <w:r w:rsidRPr="001167CB">
        <w:rPr>
          <w:rFonts w:asciiTheme="majorHAnsi" w:hAnsiTheme="majorHAnsi" w:cstheme="majorHAnsi"/>
          <w:color w:val="808080" w:themeColor="background1" w:themeShade="80"/>
          <w:sz w:val="16"/>
          <w:szCs w:val="16"/>
        </w:rPr>
        <w:t>, Nov. 20, 2017.</w:t>
      </w:r>
    </w:p>
  </w:footnote>
  <w:footnote w:id="273">
    <w:p w14:paraId="7583A8C1"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OSCE, “The Responsibility of States”: Protection of Human Rights Defenders in the OSCE Region (2014–2016), para. 323; The Intercept, </w:t>
      </w:r>
      <w:hyperlink r:id="rId334" w:history="1">
        <w:r w:rsidRPr="001167CB">
          <w:rPr>
            <w:rStyle w:val="Hyperlink"/>
            <w:rFonts w:asciiTheme="majorHAnsi" w:hAnsiTheme="majorHAnsi" w:cstheme="majorHAnsi"/>
            <w:color w:val="808080" w:themeColor="background1" w:themeShade="80"/>
            <w:sz w:val="16"/>
            <w:szCs w:val="16"/>
          </w:rPr>
          <w:t>Exclusive: Feds Regularly Monitored Black Lives Matter Since Ferguson</w:t>
        </w:r>
      </w:hyperlink>
      <w:r w:rsidRPr="001167CB">
        <w:rPr>
          <w:rFonts w:asciiTheme="majorHAnsi" w:hAnsiTheme="majorHAnsi" w:cstheme="majorHAnsi"/>
          <w:color w:val="808080" w:themeColor="background1" w:themeShade="80"/>
          <w:sz w:val="16"/>
          <w:szCs w:val="16"/>
        </w:rPr>
        <w:t>, July 24, 2015.</w:t>
      </w:r>
    </w:p>
  </w:footnote>
  <w:footnote w:id="274">
    <w:p w14:paraId="56EDDDE9"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Foreign Policy, </w:t>
      </w:r>
      <w:hyperlink r:id="rId335" w:history="1">
        <w:r w:rsidRPr="001167CB">
          <w:rPr>
            <w:rStyle w:val="Hyperlink"/>
            <w:rFonts w:asciiTheme="majorHAnsi" w:hAnsiTheme="majorHAnsi" w:cstheme="majorHAnsi"/>
            <w:color w:val="808080" w:themeColor="background1" w:themeShade="80"/>
            <w:sz w:val="16"/>
            <w:szCs w:val="16"/>
          </w:rPr>
          <w:t>The FBI’s New U.S. Terrorist Threat: ‘Black Identity Extremists’</w:t>
        </w:r>
      </w:hyperlink>
      <w:r w:rsidRPr="001167CB">
        <w:rPr>
          <w:rFonts w:asciiTheme="majorHAnsi" w:hAnsiTheme="majorHAnsi" w:cstheme="majorHAnsi"/>
          <w:color w:val="808080" w:themeColor="background1" w:themeShade="80"/>
          <w:sz w:val="16"/>
          <w:szCs w:val="16"/>
        </w:rPr>
        <w:t xml:space="preserve">, Oct. 6, 2017; New York Times, </w:t>
      </w:r>
      <w:hyperlink r:id="rId336" w:history="1">
        <w:r w:rsidRPr="001167CB">
          <w:rPr>
            <w:rStyle w:val="Hyperlink"/>
            <w:rFonts w:asciiTheme="majorHAnsi" w:hAnsiTheme="majorHAnsi" w:cstheme="majorHAnsi"/>
            <w:color w:val="808080" w:themeColor="background1" w:themeShade="80"/>
            <w:sz w:val="16"/>
            <w:szCs w:val="16"/>
          </w:rPr>
          <w:t>The F.B.I.’s Black Phantom Menace</w:t>
        </w:r>
      </w:hyperlink>
      <w:r w:rsidRPr="001167CB">
        <w:rPr>
          <w:rFonts w:asciiTheme="majorHAnsi" w:hAnsiTheme="majorHAnsi" w:cstheme="majorHAnsi"/>
          <w:color w:val="808080" w:themeColor="background1" w:themeShade="80"/>
          <w:sz w:val="16"/>
          <w:szCs w:val="16"/>
        </w:rPr>
        <w:t xml:space="preserve">, Oct. 9, 2017. </w:t>
      </w:r>
    </w:p>
  </w:footnote>
  <w:footnote w:id="275">
    <w:p w14:paraId="7E671FC3" w14:textId="253FDB7C"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i/>
          <w:color w:val="808080" w:themeColor="background1" w:themeShade="80"/>
          <w:sz w:val="16"/>
          <w:szCs w:val="16"/>
        </w:rPr>
        <w:t>See, e.g.,</w:t>
      </w:r>
      <w:r w:rsidRPr="001167CB">
        <w:rPr>
          <w:rFonts w:asciiTheme="majorHAnsi" w:hAnsiTheme="majorHAnsi" w:cstheme="majorHAnsi"/>
          <w:color w:val="808080" w:themeColor="background1" w:themeShade="80"/>
          <w:sz w:val="16"/>
          <w:szCs w:val="16"/>
        </w:rPr>
        <w:t xml:space="preserve"> New York Times, </w:t>
      </w:r>
      <w:hyperlink r:id="rId337" w:history="1">
        <w:r w:rsidRPr="001167CB">
          <w:rPr>
            <w:rStyle w:val="Hyperlink"/>
            <w:rFonts w:asciiTheme="majorHAnsi" w:hAnsiTheme="majorHAnsi" w:cstheme="majorHAnsi"/>
            <w:color w:val="808080" w:themeColor="background1" w:themeShade="80"/>
            <w:sz w:val="16"/>
            <w:szCs w:val="16"/>
          </w:rPr>
          <w:t>The F.B.I.’s Dangerous Crackdown on ‘Black Identity Extremists’</w:t>
        </w:r>
      </w:hyperlink>
      <w:r w:rsidRPr="001167CB">
        <w:rPr>
          <w:rFonts w:asciiTheme="majorHAnsi" w:hAnsiTheme="majorHAnsi" w:cstheme="majorHAnsi"/>
          <w:color w:val="808080" w:themeColor="background1" w:themeShade="80"/>
          <w:sz w:val="16"/>
          <w:szCs w:val="16"/>
        </w:rPr>
        <w:t xml:space="preserve">, Nov. 15, 2017. </w:t>
      </w:r>
      <w:r w:rsidRPr="001167CB">
        <w:rPr>
          <w:rFonts w:asciiTheme="majorHAnsi" w:hAnsiTheme="majorHAnsi" w:cstheme="majorHAnsi"/>
          <w:i/>
          <w:color w:val="808080" w:themeColor="background1" w:themeShade="80"/>
          <w:sz w:val="16"/>
          <w:szCs w:val="16"/>
        </w:rPr>
        <w:t>See also supra</w:t>
      </w:r>
      <w:r w:rsidRPr="001167CB">
        <w:rPr>
          <w:rFonts w:asciiTheme="majorHAnsi" w:hAnsiTheme="majorHAnsi" w:cstheme="majorHAnsi"/>
          <w:color w:val="808080" w:themeColor="background1" w:themeShade="80"/>
          <w:sz w:val="16"/>
          <w:szCs w:val="16"/>
        </w:rPr>
        <w:t xml:space="preserve"> note </w:t>
      </w:r>
      <w:r w:rsidRPr="001167CB">
        <w:rPr>
          <w:rFonts w:asciiTheme="majorHAnsi" w:hAnsiTheme="majorHAnsi" w:cstheme="majorHAnsi"/>
          <w:color w:val="808080" w:themeColor="background1" w:themeShade="80"/>
          <w:sz w:val="16"/>
          <w:szCs w:val="16"/>
        </w:rPr>
        <w:fldChar w:fldCharType="begin"/>
      </w:r>
      <w:r w:rsidRPr="001167CB">
        <w:rPr>
          <w:rFonts w:asciiTheme="majorHAnsi" w:hAnsiTheme="majorHAnsi" w:cstheme="majorHAnsi"/>
          <w:color w:val="808080" w:themeColor="background1" w:themeShade="80"/>
          <w:sz w:val="16"/>
          <w:szCs w:val="16"/>
        </w:rPr>
        <w:instrText xml:space="preserve"> NOTEREF _Ref507153538 \h  \* MERGEFORMAT </w:instrText>
      </w:r>
      <w:r w:rsidRPr="001167CB">
        <w:rPr>
          <w:rFonts w:asciiTheme="majorHAnsi" w:hAnsiTheme="majorHAnsi" w:cstheme="majorHAnsi"/>
          <w:color w:val="808080" w:themeColor="background1" w:themeShade="80"/>
          <w:sz w:val="16"/>
          <w:szCs w:val="16"/>
        </w:rPr>
      </w:r>
      <w:r w:rsidRPr="001167CB">
        <w:rPr>
          <w:rFonts w:asciiTheme="majorHAnsi" w:hAnsiTheme="majorHAnsi" w:cstheme="majorHAnsi"/>
          <w:color w:val="808080" w:themeColor="background1" w:themeShade="80"/>
          <w:sz w:val="16"/>
          <w:szCs w:val="16"/>
        </w:rPr>
        <w:fldChar w:fldCharType="separate"/>
      </w:r>
      <w:r w:rsidRPr="001167CB">
        <w:rPr>
          <w:rFonts w:asciiTheme="majorHAnsi" w:hAnsiTheme="majorHAnsi" w:cstheme="majorHAnsi"/>
          <w:color w:val="808080" w:themeColor="background1" w:themeShade="80"/>
          <w:sz w:val="16"/>
          <w:szCs w:val="16"/>
        </w:rPr>
        <w:t>96</w:t>
      </w:r>
      <w:r w:rsidRPr="001167CB">
        <w:rPr>
          <w:rFonts w:asciiTheme="majorHAnsi" w:hAnsiTheme="majorHAnsi" w:cstheme="majorHAnsi"/>
          <w:color w:val="808080" w:themeColor="background1" w:themeShade="80"/>
          <w:sz w:val="16"/>
          <w:szCs w:val="16"/>
        </w:rPr>
        <w:fldChar w:fldCharType="end"/>
      </w:r>
      <w:r w:rsidRPr="001167CB">
        <w:rPr>
          <w:rFonts w:asciiTheme="majorHAnsi" w:hAnsiTheme="majorHAnsi" w:cstheme="majorHAnsi"/>
          <w:color w:val="808080" w:themeColor="background1" w:themeShade="80"/>
          <w:sz w:val="16"/>
          <w:szCs w:val="16"/>
        </w:rPr>
        <w:t>.</w:t>
      </w:r>
    </w:p>
  </w:footnote>
  <w:footnote w:id="276">
    <w:p w14:paraId="553A802A" w14:textId="62D69DD9"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bCs/>
          <w:color w:val="808080" w:themeColor="background1" w:themeShade="80"/>
          <w:sz w:val="16"/>
          <w:szCs w:val="16"/>
        </w:rPr>
        <w:t xml:space="preserve">Human Rights Committee, </w:t>
      </w:r>
      <w:hyperlink r:id="rId338" w:history="1">
        <w:r w:rsidRPr="001167CB">
          <w:rPr>
            <w:rStyle w:val="Hyperlink"/>
            <w:rFonts w:asciiTheme="majorHAnsi" w:hAnsiTheme="majorHAnsi" w:cstheme="majorHAnsi"/>
            <w:bCs/>
            <w:color w:val="808080" w:themeColor="background1" w:themeShade="80"/>
            <w:sz w:val="16"/>
            <w:szCs w:val="16"/>
          </w:rPr>
          <w:t>Concluding Observations 2014</w:t>
        </w:r>
      </w:hyperlink>
      <w:r w:rsidRPr="001167CB">
        <w:rPr>
          <w:rFonts w:asciiTheme="majorHAnsi" w:hAnsiTheme="majorHAnsi" w:cstheme="majorHAnsi"/>
          <w:bCs/>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 xml:space="preserve">Apr. </w:t>
      </w:r>
      <w:r w:rsidRPr="001167CB">
        <w:rPr>
          <w:rFonts w:asciiTheme="majorHAnsi" w:hAnsiTheme="majorHAnsi" w:cstheme="majorHAnsi"/>
          <w:bCs/>
          <w:color w:val="808080" w:themeColor="background1" w:themeShade="80"/>
          <w:sz w:val="16"/>
          <w:szCs w:val="16"/>
        </w:rPr>
        <w:t>23, 2014</w:t>
      </w:r>
      <w:r w:rsidRPr="001167CB">
        <w:rPr>
          <w:rFonts w:asciiTheme="majorHAnsi" w:hAnsiTheme="majorHAnsi" w:cstheme="majorHAnsi"/>
          <w:color w:val="808080" w:themeColor="background1" w:themeShade="80"/>
          <w:sz w:val="16"/>
          <w:szCs w:val="16"/>
        </w:rPr>
        <w:t>, para. 6.</w:t>
      </w:r>
    </w:p>
  </w:footnote>
  <w:footnote w:id="277">
    <w:p w14:paraId="40539CB5"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bCs/>
          <w:color w:val="808080" w:themeColor="background1" w:themeShade="80"/>
          <w:sz w:val="16"/>
          <w:szCs w:val="16"/>
        </w:rPr>
        <w:t xml:space="preserve">IACHR, </w:t>
      </w:r>
      <w:hyperlink r:id="rId339" w:history="1">
        <w:r w:rsidRPr="001167CB">
          <w:rPr>
            <w:rStyle w:val="Hyperlink"/>
            <w:rFonts w:asciiTheme="majorHAnsi" w:hAnsiTheme="majorHAnsi" w:cstheme="majorHAnsi"/>
            <w:bCs/>
            <w:color w:val="808080" w:themeColor="background1" w:themeShade="80"/>
            <w:sz w:val="16"/>
            <w:szCs w:val="16"/>
          </w:rPr>
          <w:t>On-Site Visit Press Release</w:t>
        </w:r>
      </w:hyperlink>
      <w:r w:rsidRPr="001167CB">
        <w:rPr>
          <w:rFonts w:asciiTheme="majorHAnsi" w:hAnsiTheme="majorHAnsi" w:cstheme="majorHAnsi"/>
          <w:bCs/>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 xml:space="preserve">Oct. </w:t>
      </w:r>
      <w:r w:rsidRPr="001167CB">
        <w:rPr>
          <w:rFonts w:asciiTheme="majorHAnsi" w:hAnsiTheme="majorHAnsi" w:cstheme="majorHAnsi"/>
          <w:bCs/>
          <w:color w:val="808080" w:themeColor="background1" w:themeShade="80"/>
          <w:sz w:val="16"/>
          <w:szCs w:val="16"/>
        </w:rPr>
        <w:t>16, 2015</w:t>
      </w:r>
      <w:r w:rsidRPr="001167CB">
        <w:rPr>
          <w:rFonts w:asciiTheme="majorHAnsi" w:hAnsiTheme="majorHAnsi" w:cstheme="majorHAnsi"/>
          <w:color w:val="808080" w:themeColor="background1" w:themeShade="80"/>
          <w:sz w:val="16"/>
          <w:szCs w:val="16"/>
        </w:rPr>
        <w:t>.</w:t>
      </w:r>
    </w:p>
  </w:footnote>
  <w:footnote w:id="278">
    <w:p w14:paraId="62AF903D" w14:textId="631CE2F1"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Angela J. Davis, “The Prosecution of Black Men,” in </w:t>
      </w:r>
      <w:r w:rsidRPr="001167CB">
        <w:rPr>
          <w:rFonts w:asciiTheme="majorHAnsi" w:hAnsiTheme="majorHAnsi" w:cstheme="majorHAnsi"/>
          <w:i/>
          <w:color w:val="808080" w:themeColor="background1" w:themeShade="80"/>
          <w:sz w:val="16"/>
          <w:szCs w:val="16"/>
        </w:rPr>
        <w:t xml:space="preserve">Policing the Black Man </w:t>
      </w:r>
      <w:r w:rsidRPr="001167CB">
        <w:rPr>
          <w:rFonts w:asciiTheme="majorHAnsi" w:hAnsiTheme="majorHAnsi" w:cstheme="majorHAnsi"/>
          <w:color w:val="808080" w:themeColor="background1" w:themeShade="80"/>
          <w:sz w:val="16"/>
          <w:szCs w:val="16"/>
        </w:rPr>
        <w:t xml:space="preserve">(2017), p. 178; The Leadership Conference on Civil and Human Rights, </w:t>
      </w:r>
      <w:hyperlink r:id="rId340" w:history="1">
        <w:r w:rsidRPr="001167CB">
          <w:rPr>
            <w:rStyle w:val="Hyperlink"/>
            <w:rFonts w:asciiTheme="majorHAnsi" w:hAnsiTheme="majorHAnsi" w:cstheme="majorHAnsi"/>
            <w:color w:val="808080" w:themeColor="background1" w:themeShade="80"/>
            <w:sz w:val="16"/>
            <w:szCs w:val="16"/>
          </w:rPr>
          <w:t>Restoring a National Consensus: The Need to End Racial Profiling in America</w:t>
        </w:r>
      </w:hyperlink>
      <w:r w:rsidRPr="001167CB">
        <w:rPr>
          <w:rFonts w:asciiTheme="majorHAnsi" w:hAnsiTheme="majorHAnsi" w:cstheme="majorHAnsi"/>
          <w:color w:val="808080" w:themeColor="background1" w:themeShade="80"/>
          <w:sz w:val="16"/>
          <w:szCs w:val="16"/>
        </w:rPr>
        <w:t xml:space="preserve">, Mar. 2011; </w:t>
      </w:r>
      <w:r w:rsidRPr="001167CB">
        <w:rPr>
          <w:rFonts w:asciiTheme="majorHAnsi" w:hAnsiTheme="majorHAnsi" w:cstheme="majorHAnsi"/>
          <w:i/>
          <w:color w:val="808080" w:themeColor="background1" w:themeShade="80"/>
          <w:sz w:val="16"/>
          <w:szCs w:val="16"/>
        </w:rPr>
        <w:t>see also supra</w:t>
      </w:r>
      <w:r w:rsidRPr="001167CB">
        <w:rPr>
          <w:rFonts w:asciiTheme="majorHAnsi" w:hAnsiTheme="majorHAnsi" w:cstheme="majorHAnsi"/>
          <w:color w:val="808080" w:themeColor="background1" w:themeShade="80"/>
          <w:sz w:val="16"/>
          <w:szCs w:val="16"/>
        </w:rPr>
        <w:t xml:space="preserve"> paras. </w:t>
      </w:r>
      <w:r w:rsidRPr="001167CB">
        <w:rPr>
          <w:rFonts w:asciiTheme="majorHAnsi" w:hAnsiTheme="majorHAnsi" w:cstheme="majorHAnsi"/>
          <w:color w:val="808080" w:themeColor="background1" w:themeShade="80"/>
          <w:sz w:val="16"/>
          <w:szCs w:val="16"/>
        </w:rPr>
        <w:fldChar w:fldCharType="begin"/>
      </w:r>
      <w:r w:rsidRPr="001167CB">
        <w:rPr>
          <w:rFonts w:asciiTheme="majorHAnsi" w:hAnsiTheme="majorHAnsi" w:cstheme="majorHAnsi"/>
          <w:color w:val="808080" w:themeColor="background1" w:themeShade="80"/>
          <w:sz w:val="16"/>
          <w:szCs w:val="16"/>
        </w:rPr>
        <w:instrText xml:space="preserve"> REF _Ref507161400 \r \h  \* MERGEFORMAT </w:instrText>
      </w:r>
      <w:r w:rsidRPr="001167CB">
        <w:rPr>
          <w:rFonts w:asciiTheme="majorHAnsi" w:hAnsiTheme="majorHAnsi" w:cstheme="majorHAnsi"/>
          <w:color w:val="808080" w:themeColor="background1" w:themeShade="80"/>
          <w:sz w:val="16"/>
          <w:szCs w:val="16"/>
        </w:rPr>
      </w:r>
      <w:r w:rsidRPr="001167CB">
        <w:rPr>
          <w:rFonts w:asciiTheme="majorHAnsi" w:hAnsiTheme="majorHAnsi" w:cstheme="majorHAnsi"/>
          <w:color w:val="808080" w:themeColor="background1" w:themeShade="80"/>
          <w:sz w:val="16"/>
          <w:szCs w:val="16"/>
        </w:rPr>
        <w:fldChar w:fldCharType="separate"/>
      </w:r>
      <w:r w:rsidRPr="001167CB">
        <w:rPr>
          <w:rFonts w:asciiTheme="majorHAnsi" w:hAnsiTheme="majorHAnsi" w:cstheme="majorHAnsi"/>
          <w:color w:val="808080" w:themeColor="background1" w:themeShade="80"/>
          <w:sz w:val="16"/>
          <w:szCs w:val="16"/>
        </w:rPr>
        <w:t>76</w:t>
      </w:r>
      <w:r w:rsidRPr="001167CB">
        <w:rPr>
          <w:rFonts w:asciiTheme="majorHAnsi" w:hAnsiTheme="majorHAnsi" w:cstheme="majorHAnsi"/>
          <w:color w:val="808080" w:themeColor="background1" w:themeShade="80"/>
          <w:sz w:val="16"/>
          <w:szCs w:val="16"/>
        </w:rPr>
        <w:fldChar w:fldCharType="end"/>
      </w:r>
      <w:r w:rsidRPr="001167CB">
        <w:rPr>
          <w:rFonts w:asciiTheme="majorHAnsi" w:hAnsiTheme="majorHAnsi" w:cstheme="majorHAnsi"/>
          <w:color w:val="808080" w:themeColor="background1" w:themeShade="80"/>
          <w:sz w:val="16"/>
          <w:szCs w:val="16"/>
        </w:rPr>
        <w:t>-</w:t>
      </w:r>
      <w:r w:rsidRPr="001167CB">
        <w:rPr>
          <w:rFonts w:asciiTheme="majorHAnsi" w:hAnsiTheme="majorHAnsi" w:cstheme="majorHAnsi"/>
          <w:color w:val="808080" w:themeColor="background1" w:themeShade="80"/>
          <w:sz w:val="16"/>
          <w:szCs w:val="16"/>
        </w:rPr>
        <w:fldChar w:fldCharType="begin"/>
      </w:r>
      <w:r w:rsidRPr="001167CB">
        <w:rPr>
          <w:rFonts w:asciiTheme="majorHAnsi" w:hAnsiTheme="majorHAnsi" w:cstheme="majorHAnsi"/>
          <w:color w:val="808080" w:themeColor="background1" w:themeShade="80"/>
          <w:sz w:val="16"/>
          <w:szCs w:val="16"/>
        </w:rPr>
        <w:instrText xml:space="preserve"> REF _Ref507161402 \r \h  \* MERGEFORMAT </w:instrText>
      </w:r>
      <w:r w:rsidRPr="001167CB">
        <w:rPr>
          <w:rFonts w:asciiTheme="majorHAnsi" w:hAnsiTheme="majorHAnsi" w:cstheme="majorHAnsi"/>
          <w:color w:val="808080" w:themeColor="background1" w:themeShade="80"/>
          <w:sz w:val="16"/>
          <w:szCs w:val="16"/>
        </w:rPr>
      </w:r>
      <w:r w:rsidRPr="001167CB">
        <w:rPr>
          <w:rFonts w:asciiTheme="majorHAnsi" w:hAnsiTheme="majorHAnsi" w:cstheme="majorHAnsi"/>
          <w:color w:val="808080" w:themeColor="background1" w:themeShade="80"/>
          <w:sz w:val="16"/>
          <w:szCs w:val="16"/>
        </w:rPr>
        <w:fldChar w:fldCharType="separate"/>
      </w:r>
      <w:r w:rsidRPr="001167CB">
        <w:rPr>
          <w:rFonts w:asciiTheme="majorHAnsi" w:hAnsiTheme="majorHAnsi" w:cstheme="majorHAnsi"/>
          <w:color w:val="808080" w:themeColor="background1" w:themeShade="80"/>
          <w:sz w:val="16"/>
          <w:szCs w:val="16"/>
        </w:rPr>
        <w:t>77</w:t>
      </w:r>
      <w:r w:rsidRPr="001167CB">
        <w:rPr>
          <w:rFonts w:asciiTheme="majorHAnsi" w:hAnsiTheme="majorHAnsi" w:cstheme="majorHAnsi"/>
          <w:color w:val="808080" w:themeColor="background1" w:themeShade="80"/>
          <w:sz w:val="16"/>
          <w:szCs w:val="16"/>
        </w:rPr>
        <w:fldChar w:fldCharType="end"/>
      </w:r>
      <w:r w:rsidRPr="001167CB">
        <w:rPr>
          <w:rFonts w:asciiTheme="majorHAnsi" w:hAnsiTheme="majorHAnsi" w:cstheme="majorHAnsi"/>
          <w:color w:val="808080" w:themeColor="background1" w:themeShade="80"/>
          <w:sz w:val="16"/>
          <w:szCs w:val="16"/>
        </w:rPr>
        <w:t>.</w:t>
      </w:r>
    </w:p>
  </w:footnote>
  <w:footnote w:id="279">
    <w:p w14:paraId="043D4EC1"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USA Today, </w:t>
      </w:r>
      <w:hyperlink r:id="rId341" w:history="1">
        <w:r w:rsidRPr="001167CB">
          <w:rPr>
            <w:rStyle w:val="Hyperlink"/>
            <w:rFonts w:asciiTheme="majorHAnsi" w:hAnsiTheme="majorHAnsi" w:cstheme="majorHAnsi"/>
            <w:color w:val="808080" w:themeColor="background1" w:themeShade="80"/>
            <w:sz w:val="16"/>
            <w:szCs w:val="16"/>
          </w:rPr>
          <w:t>Racial gap in U.S. arrest rates: 'Staggering disparity'</w:t>
        </w:r>
      </w:hyperlink>
      <w:r w:rsidRPr="001167CB">
        <w:rPr>
          <w:rFonts w:asciiTheme="majorHAnsi" w:hAnsiTheme="majorHAnsi" w:cstheme="majorHAnsi"/>
          <w:color w:val="808080" w:themeColor="background1" w:themeShade="80"/>
          <w:sz w:val="16"/>
          <w:szCs w:val="16"/>
        </w:rPr>
        <w:t xml:space="preserve">, Nov. 18, 2014; app.com (USA Today), </w:t>
      </w:r>
      <w:hyperlink r:id="rId342" w:history="1">
        <w:r w:rsidRPr="001167CB">
          <w:rPr>
            <w:rStyle w:val="Hyperlink"/>
            <w:rFonts w:asciiTheme="majorHAnsi" w:hAnsiTheme="majorHAnsi" w:cstheme="majorHAnsi"/>
            <w:color w:val="808080" w:themeColor="background1" w:themeShade="80"/>
            <w:sz w:val="16"/>
            <w:szCs w:val="16"/>
          </w:rPr>
          <w:t>Do cops target blacks? FBI stats show arrest disparity</w:t>
        </w:r>
      </w:hyperlink>
      <w:r w:rsidRPr="001167CB">
        <w:rPr>
          <w:rFonts w:asciiTheme="majorHAnsi" w:hAnsiTheme="majorHAnsi" w:cstheme="majorHAnsi"/>
          <w:color w:val="808080" w:themeColor="background1" w:themeShade="80"/>
          <w:sz w:val="16"/>
          <w:szCs w:val="16"/>
        </w:rPr>
        <w:t>, Nov. 18, 2014.</w:t>
      </w:r>
    </w:p>
  </w:footnote>
  <w:footnote w:id="280">
    <w:p w14:paraId="3F02E661"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Cited in The Leadership Conference on Civil and Human Rights, </w:t>
      </w:r>
      <w:hyperlink r:id="rId343" w:history="1">
        <w:r w:rsidRPr="001167CB">
          <w:rPr>
            <w:rStyle w:val="Hyperlink"/>
            <w:rFonts w:asciiTheme="majorHAnsi" w:hAnsiTheme="majorHAnsi" w:cstheme="majorHAnsi"/>
            <w:color w:val="808080" w:themeColor="background1" w:themeShade="80"/>
            <w:sz w:val="16"/>
            <w:szCs w:val="16"/>
          </w:rPr>
          <w:t>Restoring a National Consensus: The Need to End Racial Profiling in America</w:t>
        </w:r>
      </w:hyperlink>
      <w:r w:rsidRPr="001167CB">
        <w:rPr>
          <w:rFonts w:asciiTheme="majorHAnsi" w:hAnsiTheme="majorHAnsi" w:cstheme="majorHAnsi"/>
          <w:color w:val="808080" w:themeColor="background1" w:themeShade="80"/>
          <w:sz w:val="16"/>
          <w:szCs w:val="16"/>
        </w:rPr>
        <w:t xml:space="preserve">, Mar. 2011, 9. </w:t>
      </w:r>
      <w:r w:rsidRPr="001167CB">
        <w:rPr>
          <w:rFonts w:asciiTheme="majorHAnsi" w:hAnsiTheme="majorHAnsi" w:cstheme="majorHAnsi"/>
          <w:i/>
          <w:color w:val="808080" w:themeColor="background1" w:themeShade="80"/>
          <w:sz w:val="16"/>
          <w:szCs w:val="16"/>
        </w:rPr>
        <w:t>See also</w:t>
      </w:r>
      <w:r w:rsidRPr="001167CB">
        <w:rPr>
          <w:rFonts w:asciiTheme="majorHAnsi" w:hAnsiTheme="majorHAnsi" w:cstheme="majorHAnsi"/>
          <w:color w:val="808080" w:themeColor="background1" w:themeShade="80"/>
          <w:sz w:val="16"/>
          <w:szCs w:val="16"/>
        </w:rPr>
        <w:t xml:space="preserve"> similar studies cited at </w:t>
      </w:r>
      <w:r w:rsidRPr="001167CB">
        <w:rPr>
          <w:rFonts w:asciiTheme="majorHAnsi" w:hAnsiTheme="majorHAnsi" w:cstheme="majorHAnsi"/>
          <w:i/>
          <w:color w:val="808080" w:themeColor="background1" w:themeShade="80"/>
          <w:sz w:val="16"/>
          <w:szCs w:val="16"/>
        </w:rPr>
        <w:t>id</w:t>
      </w:r>
      <w:r w:rsidRPr="001167CB">
        <w:rPr>
          <w:rFonts w:asciiTheme="majorHAnsi" w:hAnsiTheme="majorHAnsi" w:cstheme="majorHAnsi"/>
          <w:color w:val="808080" w:themeColor="background1" w:themeShade="80"/>
          <w:sz w:val="16"/>
          <w:szCs w:val="16"/>
        </w:rPr>
        <w:t>., pages 10-12.</w:t>
      </w:r>
    </w:p>
  </w:footnote>
  <w:footnote w:id="281">
    <w:p w14:paraId="6D4CEDC7"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Human Rights Watch, </w:t>
      </w:r>
      <w:hyperlink r:id="rId344" w:history="1">
        <w:r w:rsidRPr="001167CB">
          <w:rPr>
            <w:rStyle w:val="Hyperlink"/>
            <w:rFonts w:asciiTheme="majorHAnsi" w:hAnsiTheme="majorHAnsi" w:cstheme="majorHAnsi"/>
            <w:color w:val="808080" w:themeColor="background1" w:themeShade="80"/>
            <w:sz w:val="16"/>
            <w:szCs w:val="16"/>
          </w:rPr>
          <w:t>Decades of Disparity: Drug Arrests and Race in the United States</w:t>
        </w:r>
      </w:hyperlink>
      <w:r w:rsidRPr="001167CB">
        <w:rPr>
          <w:rFonts w:asciiTheme="majorHAnsi" w:hAnsiTheme="majorHAnsi" w:cstheme="majorHAnsi"/>
          <w:color w:val="808080" w:themeColor="background1" w:themeShade="80"/>
          <w:sz w:val="16"/>
          <w:szCs w:val="16"/>
        </w:rPr>
        <w:t>, Mar. 2009.</w:t>
      </w:r>
    </w:p>
  </w:footnote>
  <w:footnote w:id="282">
    <w:p w14:paraId="3B4AE3A1"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Sarasota Herald-Tribune, </w:t>
      </w:r>
      <w:hyperlink r:id="rId345" w:history="1">
        <w:r w:rsidRPr="001167CB">
          <w:rPr>
            <w:rStyle w:val="Hyperlink"/>
            <w:rFonts w:asciiTheme="majorHAnsi" w:hAnsiTheme="majorHAnsi" w:cstheme="majorHAnsi"/>
            <w:color w:val="808080" w:themeColor="background1" w:themeShade="80"/>
            <w:sz w:val="16"/>
            <w:szCs w:val="16"/>
          </w:rPr>
          <w:t>Bias on the Bench: Florida’s Broken Sentencing System</w:t>
        </w:r>
      </w:hyperlink>
      <w:r w:rsidRPr="001167CB">
        <w:rPr>
          <w:rFonts w:asciiTheme="majorHAnsi" w:hAnsiTheme="majorHAnsi" w:cstheme="majorHAnsi"/>
          <w:color w:val="808080" w:themeColor="background1" w:themeShade="80"/>
          <w:sz w:val="16"/>
          <w:szCs w:val="16"/>
        </w:rPr>
        <w:t>, Dec. 2016.</w:t>
      </w:r>
    </w:p>
  </w:footnote>
  <w:footnote w:id="283">
    <w:p w14:paraId="430B668A"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IACHR, </w:t>
      </w:r>
      <w:hyperlink r:id="rId346" w:history="1">
        <w:r w:rsidRPr="001167CB">
          <w:rPr>
            <w:rStyle w:val="Hyperlink"/>
            <w:rFonts w:asciiTheme="majorHAnsi" w:hAnsiTheme="majorHAnsi" w:cstheme="majorHAnsi"/>
            <w:color w:val="808080" w:themeColor="background1" w:themeShade="80"/>
            <w:sz w:val="16"/>
            <w:szCs w:val="16"/>
          </w:rPr>
          <w:t>Measures to Reduce Pretrial Detention</w:t>
        </w:r>
      </w:hyperlink>
      <w:r w:rsidRPr="001167CB">
        <w:rPr>
          <w:rFonts w:asciiTheme="majorHAnsi" w:hAnsiTheme="majorHAnsi" w:cstheme="majorHAnsi"/>
          <w:color w:val="808080" w:themeColor="background1" w:themeShade="80"/>
          <w:sz w:val="16"/>
          <w:szCs w:val="16"/>
        </w:rPr>
        <w:t>, OEA/</w:t>
      </w:r>
      <w:proofErr w:type="spellStart"/>
      <w:r w:rsidRPr="001167CB">
        <w:rPr>
          <w:rFonts w:asciiTheme="majorHAnsi" w:hAnsiTheme="majorHAnsi" w:cstheme="majorHAnsi"/>
          <w:color w:val="808080" w:themeColor="background1" w:themeShade="80"/>
          <w:sz w:val="16"/>
          <w:szCs w:val="16"/>
        </w:rPr>
        <w:t>Ser.L</w:t>
      </w:r>
      <w:proofErr w:type="spellEnd"/>
      <w:r w:rsidRPr="001167CB">
        <w:rPr>
          <w:rFonts w:asciiTheme="majorHAnsi" w:hAnsiTheme="majorHAnsi" w:cstheme="majorHAnsi"/>
          <w:color w:val="808080" w:themeColor="background1" w:themeShade="80"/>
          <w:sz w:val="16"/>
          <w:szCs w:val="16"/>
        </w:rPr>
        <w:t>/V/II.163, Doc. 105 (2017), para. 9.</w:t>
      </w:r>
    </w:p>
  </w:footnote>
  <w:footnote w:id="284">
    <w:p w14:paraId="276987D0"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Id. at para. 90.</w:t>
      </w:r>
    </w:p>
  </w:footnote>
  <w:footnote w:id="285">
    <w:p w14:paraId="168BFB93"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Id. </w:t>
      </w:r>
    </w:p>
  </w:footnote>
  <w:footnote w:id="286">
    <w:p w14:paraId="133EF50C"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Huffington Post, </w:t>
      </w:r>
      <w:hyperlink r:id="rId347" w:history="1">
        <w:r w:rsidRPr="001167CB">
          <w:rPr>
            <w:rStyle w:val="Hyperlink"/>
            <w:rFonts w:asciiTheme="majorHAnsi" w:hAnsiTheme="majorHAnsi" w:cstheme="majorHAnsi"/>
            <w:color w:val="808080" w:themeColor="background1" w:themeShade="80"/>
            <w:sz w:val="16"/>
            <w:szCs w:val="16"/>
          </w:rPr>
          <w:t>Decision Points: Disproportionate Pretrial Detention of Blacks and Latinos Drives Mass Incarceration</w:t>
        </w:r>
      </w:hyperlink>
      <w:r w:rsidRPr="001167CB">
        <w:rPr>
          <w:rFonts w:asciiTheme="majorHAnsi" w:hAnsiTheme="majorHAnsi" w:cstheme="majorHAnsi"/>
          <w:color w:val="808080" w:themeColor="background1" w:themeShade="80"/>
          <w:sz w:val="16"/>
          <w:szCs w:val="16"/>
        </w:rPr>
        <w:t>, Nov. 11, 2016.</w:t>
      </w:r>
    </w:p>
  </w:footnote>
  <w:footnote w:id="287">
    <w:p w14:paraId="714B7B23"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Equal Justice Initiative, </w:t>
      </w:r>
      <w:hyperlink r:id="rId348" w:history="1">
        <w:r w:rsidRPr="001167CB">
          <w:rPr>
            <w:rStyle w:val="Hyperlink"/>
            <w:rFonts w:asciiTheme="majorHAnsi" w:hAnsiTheme="majorHAnsi" w:cstheme="majorHAnsi"/>
            <w:color w:val="808080" w:themeColor="background1" w:themeShade="80"/>
            <w:sz w:val="16"/>
            <w:szCs w:val="16"/>
          </w:rPr>
          <w:t>Disproportionate Pretrial Detention of People of Color Drives Mass Incarceration</w:t>
        </w:r>
      </w:hyperlink>
      <w:r w:rsidRPr="001167CB">
        <w:rPr>
          <w:rFonts w:asciiTheme="majorHAnsi" w:hAnsiTheme="majorHAnsi" w:cstheme="majorHAnsi"/>
          <w:color w:val="808080" w:themeColor="background1" w:themeShade="80"/>
          <w:sz w:val="16"/>
          <w:szCs w:val="16"/>
        </w:rPr>
        <w:t xml:space="preserve">, Dec. 17, 2015; Huffington Post, </w:t>
      </w:r>
      <w:hyperlink r:id="rId349" w:history="1">
        <w:r w:rsidRPr="001167CB">
          <w:rPr>
            <w:rStyle w:val="Hyperlink"/>
            <w:rFonts w:asciiTheme="majorHAnsi" w:hAnsiTheme="majorHAnsi" w:cstheme="majorHAnsi"/>
            <w:color w:val="808080" w:themeColor="background1" w:themeShade="80"/>
            <w:sz w:val="16"/>
            <w:szCs w:val="16"/>
          </w:rPr>
          <w:t>Decision Points: Disproportionate Pretrial Detention of Blacks and Latinos Drives Mass Incarceration</w:t>
        </w:r>
      </w:hyperlink>
      <w:r w:rsidRPr="001167CB">
        <w:rPr>
          <w:rFonts w:asciiTheme="majorHAnsi" w:hAnsiTheme="majorHAnsi" w:cstheme="majorHAnsi"/>
          <w:color w:val="808080" w:themeColor="background1" w:themeShade="80"/>
          <w:sz w:val="16"/>
          <w:szCs w:val="16"/>
        </w:rPr>
        <w:t>, Nov. 11, 2016.</w:t>
      </w:r>
    </w:p>
  </w:footnote>
  <w:footnote w:id="288">
    <w:p w14:paraId="77BFED3D"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Cynthia Jones, </w:t>
      </w:r>
      <w:hyperlink r:id="rId350" w:history="1">
        <w:r w:rsidRPr="001167CB">
          <w:rPr>
            <w:rStyle w:val="Hyperlink"/>
            <w:rFonts w:asciiTheme="majorHAnsi" w:hAnsiTheme="majorHAnsi" w:cstheme="majorHAnsi"/>
            <w:color w:val="808080" w:themeColor="background1" w:themeShade="80"/>
            <w:sz w:val="16"/>
            <w:szCs w:val="16"/>
          </w:rPr>
          <w:t>“Give Us Free”: Addressing Racial Disparities in Bail Determinations</w:t>
        </w:r>
      </w:hyperlink>
      <w:r w:rsidRPr="001167CB">
        <w:rPr>
          <w:rFonts w:asciiTheme="majorHAnsi" w:hAnsiTheme="majorHAnsi" w:cstheme="majorHAnsi"/>
          <w:color w:val="808080" w:themeColor="background1" w:themeShade="80"/>
          <w:sz w:val="16"/>
          <w:szCs w:val="16"/>
        </w:rPr>
        <w:t xml:space="preserve">, 16 </w:t>
      </w:r>
      <w:r w:rsidRPr="001167CB">
        <w:rPr>
          <w:rFonts w:asciiTheme="majorHAnsi" w:hAnsiTheme="majorHAnsi" w:cstheme="majorHAnsi"/>
          <w:i/>
          <w:color w:val="808080" w:themeColor="background1" w:themeShade="80"/>
          <w:sz w:val="16"/>
          <w:szCs w:val="16"/>
        </w:rPr>
        <w:t xml:space="preserve">Legislation and Pub. </w:t>
      </w:r>
      <w:proofErr w:type="spellStart"/>
      <w:r w:rsidRPr="001167CB">
        <w:rPr>
          <w:rFonts w:asciiTheme="majorHAnsi" w:hAnsiTheme="majorHAnsi" w:cstheme="majorHAnsi"/>
          <w:i/>
          <w:color w:val="808080" w:themeColor="background1" w:themeShade="80"/>
          <w:sz w:val="16"/>
          <w:szCs w:val="16"/>
        </w:rPr>
        <w:t>Pol’y</w:t>
      </w:r>
      <w:proofErr w:type="spellEnd"/>
      <w:r w:rsidRPr="001167CB">
        <w:rPr>
          <w:rFonts w:asciiTheme="majorHAnsi" w:hAnsiTheme="majorHAnsi" w:cstheme="majorHAnsi"/>
          <w: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919 (2013).</w:t>
      </w:r>
    </w:p>
  </w:footnote>
  <w:footnote w:id="289">
    <w:p w14:paraId="18FD435C"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Laura and John Arnold Foundation (LJAF), </w:t>
      </w:r>
      <w:hyperlink r:id="rId351" w:history="1">
        <w:r w:rsidRPr="001167CB">
          <w:rPr>
            <w:rStyle w:val="Hyperlink"/>
            <w:rFonts w:asciiTheme="majorHAnsi" w:hAnsiTheme="majorHAnsi" w:cstheme="majorHAnsi"/>
            <w:color w:val="808080" w:themeColor="background1" w:themeShade="80"/>
            <w:sz w:val="16"/>
            <w:szCs w:val="16"/>
          </w:rPr>
          <w:t>Pretrial Criminal Justice Research</w:t>
        </w:r>
      </w:hyperlink>
      <w:r w:rsidRPr="001167CB">
        <w:rPr>
          <w:rFonts w:asciiTheme="majorHAnsi" w:hAnsiTheme="majorHAnsi" w:cstheme="majorHAnsi"/>
          <w:color w:val="808080" w:themeColor="background1" w:themeShade="80"/>
          <w:sz w:val="16"/>
          <w:szCs w:val="16"/>
        </w:rPr>
        <w:t xml:space="preserve">, Mar. 2013; Huffington Post, </w:t>
      </w:r>
      <w:hyperlink r:id="rId352" w:history="1">
        <w:r w:rsidRPr="001167CB">
          <w:rPr>
            <w:rStyle w:val="Hyperlink"/>
            <w:rFonts w:asciiTheme="majorHAnsi" w:hAnsiTheme="majorHAnsi" w:cstheme="majorHAnsi"/>
            <w:color w:val="808080" w:themeColor="background1" w:themeShade="80"/>
            <w:sz w:val="16"/>
            <w:szCs w:val="16"/>
          </w:rPr>
          <w:t>Decision Points: Disproportionate Pretrial Detention of Blacks and Latinos Drives Mass Incarceration</w:t>
        </w:r>
      </w:hyperlink>
      <w:r w:rsidRPr="001167CB">
        <w:rPr>
          <w:rFonts w:asciiTheme="majorHAnsi" w:hAnsiTheme="majorHAnsi" w:cstheme="majorHAnsi"/>
          <w:color w:val="808080" w:themeColor="background1" w:themeShade="80"/>
          <w:sz w:val="16"/>
          <w:szCs w:val="16"/>
        </w:rPr>
        <w:t>, Nov. 11, 2016.</w:t>
      </w:r>
    </w:p>
  </w:footnote>
  <w:footnote w:id="290">
    <w:p w14:paraId="470DE030"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i/>
          <w:color w:val="808080" w:themeColor="background1" w:themeShade="80"/>
          <w:sz w:val="16"/>
          <w:szCs w:val="16"/>
        </w:rPr>
        <w:t xml:space="preserve">See also </w:t>
      </w:r>
      <w:r w:rsidRPr="001167CB">
        <w:rPr>
          <w:rFonts w:asciiTheme="majorHAnsi" w:hAnsiTheme="majorHAnsi" w:cstheme="majorHAnsi"/>
          <w:bCs/>
          <w:color w:val="808080" w:themeColor="background1" w:themeShade="80"/>
          <w:sz w:val="16"/>
          <w:szCs w:val="16"/>
        </w:rPr>
        <w:t xml:space="preserve">Human Rights Committee. </w:t>
      </w:r>
      <w:hyperlink r:id="rId353" w:history="1">
        <w:r w:rsidRPr="001167CB">
          <w:rPr>
            <w:rStyle w:val="Hyperlink"/>
            <w:rFonts w:asciiTheme="majorHAnsi" w:hAnsiTheme="majorHAnsi" w:cstheme="majorHAnsi"/>
            <w:bCs/>
            <w:color w:val="808080" w:themeColor="background1" w:themeShade="80"/>
            <w:sz w:val="16"/>
            <w:szCs w:val="16"/>
          </w:rPr>
          <w:t>Concluding Observations 2014</w:t>
        </w:r>
      </w:hyperlink>
      <w:r w:rsidRPr="001167CB">
        <w:rPr>
          <w:rFonts w:asciiTheme="majorHAnsi" w:hAnsiTheme="majorHAnsi" w:cstheme="majorHAnsi"/>
          <w:bCs/>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 xml:space="preserve">Apr. </w:t>
      </w:r>
      <w:r w:rsidRPr="001167CB">
        <w:rPr>
          <w:rFonts w:asciiTheme="majorHAnsi" w:hAnsiTheme="majorHAnsi" w:cstheme="majorHAnsi"/>
          <w:bCs/>
          <w:color w:val="808080" w:themeColor="background1" w:themeShade="80"/>
          <w:sz w:val="16"/>
          <w:szCs w:val="16"/>
        </w:rPr>
        <w:t>23, 2014</w:t>
      </w:r>
      <w:r w:rsidRPr="001167CB">
        <w:rPr>
          <w:rFonts w:asciiTheme="majorHAnsi" w:hAnsiTheme="majorHAnsi" w:cstheme="majorHAnsi"/>
          <w:color w:val="808080" w:themeColor="background1" w:themeShade="80"/>
          <w:sz w:val="16"/>
          <w:szCs w:val="16"/>
        </w:rPr>
        <w:t>, para. 20.</w:t>
      </w:r>
    </w:p>
  </w:footnote>
  <w:footnote w:id="291">
    <w:p w14:paraId="7A5E5B04"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Id.</w:t>
      </w:r>
    </w:p>
  </w:footnote>
  <w:footnote w:id="292">
    <w:p w14:paraId="10D69088"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New Yorker, </w:t>
      </w:r>
      <w:hyperlink r:id="rId354" w:history="1">
        <w:r w:rsidRPr="001167CB">
          <w:rPr>
            <w:rStyle w:val="Hyperlink"/>
            <w:rFonts w:asciiTheme="majorHAnsi" w:hAnsiTheme="majorHAnsi" w:cstheme="majorHAnsi"/>
            <w:color w:val="808080" w:themeColor="background1" w:themeShade="80"/>
            <w:sz w:val="16"/>
            <w:szCs w:val="16"/>
          </w:rPr>
          <w:t>Before the Law</w:t>
        </w:r>
      </w:hyperlink>
      <w:r w:rsidRPr="001167CB">
        <w:rPr>
          <w:rFonts w:asciiTheme="majorHAnsi" w:hAnsiTheme="majorHAnsi" w:cstheme="majorHAnsi"/>
          <w:color w:val="808080" w:themeColor="background1" w:themeShade="80"/>
          <w:sz w:val="16"/>
          <w:szCs w:val="16"/>
        </w:rPr>
        <w:t xml:space="preserve">, Oct. 6, 2014; New Yorker, </w:t>
      </w:r>
      <w:hyperlink r:id="rId355" w:history="1">
        <w:proofErr w:type="spellStart"/>
        <w:r w:rsidRPr="001167CB">
          <w:rPr>
            <w:rStyle w:val="Hyperlink"/>
            <w:rFonts w:asciiTheme="majorHAnsi" w:hAnsiTheme="majorHAnsi" w:cstheme="majorHAnsi"/>
            <w:color w:val="808080" w:themeColor="background1" w:themeShade="80"/>
            <w:sz w:val="16"/>
            <w:szCs w:val="16"/>
          </w:rPr>
          <w:t>Kalief</w:t>
        </w:r>
        <w:proofErr w:type="spellEnd"/>
        <w:r w:rsidRPr="001167CB">
          <w:rPr>
            <w:rStyle w:val="Hyperlink"/>
            <w:rFonts w:asciiTheme="majorHAnsi" w:hAnsiTheme="majorHAnsi" w:cstheme="majorHAnsi"/>
            <w:color w:val="808080" w:themeColor="background1" w:themeShade="80"/>
            <w:sz w:val="16"/>
            <w:szCs w:val="16"/>
          </w:rPr>
          <w:t xml:space="preserve"> Browder, 1993-2015</w:t>
        </w:r>
      </w:hyperlink>
      <w:r w:rsidRPr="001167CB">
        <w:rPr>
          <w:rFonts w:asciiTheme="majorHAnsi" w:hAnsiTheme="majorHAnsi" w:cstheme="majorHAnsi"/>
          <w:color w:val="808080" w:themeColor="background1" w:themeShade="80"/>
          <w:sz w:val="16"/>
          <w:szCs w:val="16"/>
        </w:rPr>
        <w:t xml:space="preserve">, June 6, 2015; </w:t>
      </w:r>
      <w:proofErr w:type="spellStart"/>
      <w:r w:rsidRPr="001167CB">
        <w:rPr>
          <w:rFonts w:asciiTheme="majorHAnsi" w:hAnsiTheme="majorHAnsi" w:cstheme="majorHAnsi"/>
          <w:color w:val="808080" w:themeColor="background1" w:themeShade="80"/>
          <w:sz w:val="16"/>
          <w:szCs w:val="16"/>
        </w:rPr>
        <w:t>CityLab</w:t>
      </w:r>
      <w:proofErr w:type="spellEnd"/>
      <w:r w:rsidRPr="001167CB">
        <w:rPr>
          <w:rFonts w:asciiTheme="majorHAnsi" w:hAnsiTheme="majorHAnsi" w:cstheme="majorHAnsi"/>
          <w:color w:val="808080" w:themeColor="background1" w:themeShade="80"/>
          <w:sz w:val="16"/>
          <w:szCs w:val="16"/>
        </w:rPr>
        <w:t xml:space="preserve">, </w:t>
      </w:r>
      <w:hyperlink r:id="rId356" w:history="1">
        <w:r w:rsidRPr="001167CB">
          <w:rPr>
            <w:rStyle w:val="Hyperlink"/>
            <w:rFonts w:asciiTheme="majorHAnsi" w:hAnsiTheme="majorHAnsi" w:cstheme="majorHAnsi"/>
            <w:color w:val="808080" w:themeColor="background1" w:themeShade="80"/>
            <w:sz w:val="16"/>
            <w:szCs w:val="16"/>
            <w:lang w:val="en"/>
          </w:rPr>
          <w:t xml:space="preserve">How New York City Killed </w:t>
        </w:r>
        <w:proofErr w:type="spellStart"/>
        <w:r w:rsidRPr="001167CB">
          <w:rPr>
            <w:rStyle w:val="Hyperlink"/>
            <w:rFonts w:asciiTheme="majorHAnsi" w:hAnsiTheme="majorHAnsi" w:cstheme="majorHAnsi"/>
            <w:color w:val="808080" w:themeColor="background1" w:themeShade="80"/>
            <w:sz w:val="16"/>
            <w:szCs w:val="16"/>
            <w:lang w:val="en"/>
          </w:rPr>
          <w:t>Kalief</w:t>
        </w:r>
        <w:proofErr w:type="spellEnd"/>
        <w:r w:rsidRPr="001167CB">
          <w:rPr>
            <w:rStyle w:val="Hyperlink"/>
            <w:rFonts w:asciiTheme="majorHAnsi" w:hAnsiTheme="majorHAnsi" w:cstheme="majorHAnsi"/>
            <w:color w:val="808080" w:themeColor="background1" w:themeShade="80"/>
            <w:sz w:val="16"/>
            <w:szCs w:val="16"/>
            <w:lang w:val="en"/>
          </w:rPr>
          <w:t xml:space="preserve"> Browder</w:t>
        </w:r>
      </w:hyperlink>
      <w:r w:rsidRPr="001167CB">
        <w:rPr>
          <w:rFonts w:asciiTheme="majorHAnsi" w:hAnsiTheme="majorHAnsi" w:cstheme="majorHAnsi"/>
          <w:color w:val="808080" w:themeColor="background1" w:themeShade="80"/>
          <w:sz w:val="16"/>
          <w:szCs w:val="16"/>
          <w:lang w:val="en"/>
        </w:rPr>
        <w:t xml:space="preserve">, </w:t>
      </w:r>
      <w:r w:rsidRPr="001167CB">
        <w:rPr>
          <w:rFonts w:asciiTheme="majorHAnsi" w:hAnsiTheme="majorHAnsi" w:cstheme="majorHAnsi"/>
          <w:color w:val="808080" w:themeColor="background1" w:themeShade="80"/>
          <w:sz w:val="16"/>
          <w:szCs w:val="16"/>
        </w:rPr>
        <w:t xml:space="preserve">Mar. </w:t>
      </w:r>
      <w:r w:rsidRPr="001167CB">
        <w:rPr>
          <w:rFonts w:asciiTheme="majorHAnsi" w:hAnsiTheme="majorHAnsi" w:cstheme="majorHAnsi"/>
          <w:color w:val="808080" w:themeColor="background1" w:themeShade="80"/>
          <w:sz w:val="16"/>
          <w:szCs w:val="16"/>
          <w:lang w:val="en"/>
        </w:rPr>
        <w:t xml:space="preserve">7, 2017 (interviewing </w:t>
      </w:r>
      <w:proofErr w:type="spellStart"/>
      <w:r w:rsidRPr="001167CB">
        <w:rPr>
          <w:rFonts w:asciiTheme="majorHAnsi" w:hAnsiTheme="majorHAnsi" w:cstheme="majorHAnsi"/>
          <w:color w:val="808080" w:themeColor="background1" w:themeShade="80"/>
          <w:sz w:val="16"/>
          <w:szCs w:val="16"/>
          <w:lang w:val="en"/>
        </w:rPr>
        <w:t>Kalief’s</w:t>
      </w:r>
      <w:proofErr w:type="spellEnd"/>
      <w:r w:rsidRPr="001167CB">
        <w:rPr>
          <w:rFonts w:asciiTheme="majorHAnsi" w:hAnsiTheme="majorHAnsi" w:cstheme="majorHAnsi"/>
          <w:color w:val="808080" w:themeColor="background1" w:themeShade="80"/>
          <w:sz w:val="16"/>
          <w:szCs w:val="16"/>
          <w:lang w:val="en"/>
        </w:rPr>
        <w:t xml:space="preserve"> surviving family members). On conditions at </w:t>
      </w:r>
      <w:proofErr w:type="spellStart"/>
      <w:r w:rsidRPr="001167CB">
        <w:rPr>
          <w:rFonts w:asciiTheme="majorHAnsi" w:hAnsiTheme="majorHAnsi" w:cstheme="majorHAnsi"/>
          <w:color w:val="808080" w:themeColor="background1" w:themeShade="80"/>
          <w:sz w:val="16"/>
          <w:szCs w:val="16"/>
          <w:lang w:val="en"/>
        </w:rPr>
        <w:t>Rikers</w:t>
      </w:r>
      <w:proofErr w:type="spellEnd"/>
      <w:r w:rsidRPr="001167CB">
        <w:rPr>
          <w:rFonts w:asciiTheme="majorHAnsi" w:hAnsiTheme="majorHAnsi" w:cstheme="majorHAnsi"/>
          <w:color w:val="808080" w:themeColor="background1" w:themeShade="80"/>
          <w:sz w:val="16"/>
          <w:szCs w:val="16"/>
          <w:lang w:val="en"/>
        </w:rPr>
        <w:t xml:space="preserve"> Island, </w:t>
      </w:r>
      <w:r w:rsidRPr="001167CB">
        <w:rPr>
          <w:rFonts w:asciiTheme="majorHAnsi" w:hAnsiTheme="majorHAnsi" w:cstheme="majorHAnsi"/>
          <w:i/>
          <w:color w:val="808080" w:themeColor="background1" w:themeShade="80"/>
          <w:sz w:val="16"/>
          <w:szCs w:val="16"/>
          <w:lang w:val="en"/>
        </w:rPr>
        <w:t>see also</w:t>
      </w:r>
      <w:r w:rsidRPr="001167CB">
        <w:rPr>
          <w:rFonts w:asciiTheme="majorHAnsi" w:hAnsiTheme="majorHAnsi" w:cstheme="majorHAnsi"/>
          <w:color w:val="808080" w:themeColor="background1" w:themeShade="80"/>
          <w:sz w:val="16"/>
          <w:szCs w:val="16"/>
          <w:lang w:val="en"/>
        </w:rPr>
        <w:t xml:space="preserve"> </w:t>
      </w:r>
      <w:r w:rsidRPr="001167CB">
        <w:rPr>
          <w:rFonts w:asciiTheme="majorHAnsi" w:hAnsiTheme="majorHAnsi" w:cstheme="majorHAnsi"/>
          <w:color w:val="808080" w:themeColor="background1" w:themeShade="80"/>
          <w:sz w:val="16"/>
          <w:szCs w:val="16"/>
        </w:rPr>
        <w:t xml:space="preserve">IACHR, Press Release No. 104/14, </w:t>
      </w:r>
      <w:hyperlink r:id="rId357" w:history="1">
        <w:proofErr w:type="gramStart"/>
        <w:r w:rsidRPr="001167CB">
          <w:rPr>
            <w:rStyle w:val="Hyperlink"/>
            <w:rFonts w:asciiTheme="majorHAnsi" w:hAnsiTheme="majorHAnsi" w:cstheme="majorHAnsi"/>
            <w:color w:val="808080" w:themeColor="background1" w:themeShade="80"/>
            <w:sz w:val="16"/>
            <w:szCs w:val="16"/>
          </w:rPr>
          <w:t>IACHR</w:t>
        </w:r>
        <w:proofErr w:type="gramEnd"/>
        <w:r w:rsidRPr="001167CB">
          <w:rPr>
            <w:rStyle w:val="Hyperlink"/>
            <w:rFonts w:asciiTheme="majorHAnsi" w:hAnsiTheme="majorHAnsi" w:cstheme="majorHAnsi"/>
            <w:color w:val="808080" w:themeColor="background1" w:themeShade="80"/>
            <w:sz w:val="16"/>
            <w:szCs w:val="16"/>
          </w:rPr>
          <w:t xml:space="preserve"> Expresses Concern over Detention Conditions at </w:t>
        </w:r>
        <w:proofErr w:type="spellStart"/>
        <w:r w:rsidRPr="001167CB">
          <w:rPr>
            <w:rStyle w:val="Hyperlink"/>
            <w:rFonts w:asciiTheme="majorHAnsi" w:hAnsiTheme="majorHAnsi" w:cstheme="majorHAnsi"/>
            <w:color w:val="808080" w:themeColor="background1" w:themeShade="80"/>
            <w:sz w:val="16"/>
            <w:szCs w:val="16"/>
          </w:rPr>
          <w:t>Rikers</w:t>
        </w:r>
        <w:proofErr w:type="spellEnd"/>
        <w:r w:rsidRPr="001167CB">
          <w:rPr>
            <w:rStyle w:val="Hyperlink"/>
            <w:rFonts w:asciiTheme="majorHAnsi" w:hAnsiTheme="majorHAnsi" w:cstheme="majorHAnsi"/>
            <w:color w:val="808080" w:themeColor="background1" w:themeShade="80"/>
            <w:sz w:val="16"/>
            <w:szCs w:val="16"/>
          </w:rPr>
          <w:t xml:space="preserve"> Island Prison, United States, a year after the tragic death of an inmate</w:t>
        </w:r>
      </w:hyperlink>
      <w:r w:rsidRPr="001167CB">
        <w:rPr>
          <w:rFonts w:asciiTheme="majorHAnsi" w:hAnsiTheme="majorHAnsi" w:cstheme="majorHAnsi"/>
          <w:color w:val="808080" w:themeColor="background1" w:themeShade="80"/>
          <w:sz w:val="16"/>
          <w:szCs w:val="16"/>
        </w:rPr>
        <w:t>, Sept. 18, 2014.</w:t>
      </w:r>
    </w:p>
  </w:footnote>
  <w:footnote w:id="293">
    <w:p w14:paraId="1273706D"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IACHR, Press Release No. 51/13, </w:t>
      </w:r>
      <w:hyperlink r:id="rId358" w:history="1">
        <w:r w:rsidRPr="001167CB">
          <w:rPr>
            <w:rStyle w:val="Hyperlink"/>
            <w:rFonts w:asciiTheme="majorHAnsi" w:hAnsiTheme="majorHAnsi" w:cstheme="majorHAnsi"/>
            <w:color w:val="808080" w:themeColor="background1" w:themeShade="80"/>
            <w:sz w:val="16"/>
            <w:szCs w:val="16"/>
          </w:rPr>
          <w:t>IACHR Expresses Concern over Excessive Use of Solitary Confinement in the United States</w:t>
        </w:r>
      </w:hyperlink>
      <w:r w:rsidRPr="001167CB">
        <w:rPr>
          <w:rFonts w:asciiTheme="majorHAnsi" w:hAnsiTheme="majorHAnsi" w:cstheme="majorHAnsi"/>
          <w:color w:val="808080" w:themeColor="background1" w:themeShade="80"/>
          <w:sz w:val="16"/>
          <w:szCs w:val="16"/>
        </w:rPr>
        <w:t>, July 18, 2013.</w:t>
      </w:r>
    </w:p>
  </w:footnote>
  <w:footnote w:id="294">
    <w:p w14:paraId="71ACAFDB"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i/>
          <w:color w:val="808080" w:themeColor="background1" w:themeShade="80"/>
          <w:sz w:val="16"/>
          <w:szCs w:val="16"/>
        </w:rPr>
        <w:t>See also</w:t>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bCs/>
          <w:color w:val="808080" w:themeColor="background1" w:themeShade="80"/>
          <w:sz w:val="16"/>
          <w:szCs w:val="16"/>
        </w:rPr>
        <w:t xml:space="preserve">Human Rights Committee. </w:t>
      </w:r>
      <w:hyperlink r:id="rId359" w:history="1">
        <w:r w:rsidRPr="001167CB">
          <w:rPr>
            <w:rStyle w:val="Hyperlink"/>
            <w:rFonts w:asciiTheme="majorHAnsi" w:hAnsiTheme="majorHAnsi" w:cstheme="majorHAnsi"/>
            <w:bCs/>
            <w:color w:val="808080" w:themeColor="background1" w:themeShade="80"/>
            <w:sz w:val="16"/>
            <w:szCs w:val="16"/>
          </w:rPr>
          <w:t>Concluding Observations 2014</w:t>
        </w:r>
      </w:hyperlink>
      <w:r w:rsidRPr="001167CB">
        <w:rPr>
          <w:rFonts w:asciiTheme="majorHAnsi" w:hAnsiTheme="majorHAnsi" w:cstheme="majorHAnsi"/>
          <w:bCs/>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 xml:space="preserve">Apr. </w:t>
      </w:r>
      <w:r w:rsidRPr="001167CB">
        <w:rPr>
          <w:rFonts w:asciiTheme="majorHAnsi" w:hAnsiTheme="majorHAnsi" w:cstheme="majorHAnsi"/>
          <w:bCs/>
          <w:color w:val="808080" w:themeColor="background1" w:themeShade="80"/>
          <w:sz w:val="16"/>
          <w:szCs w:val="16"/>
        </w:rPr>
        <w:t>23, 2014</w:t>
      </w:r>
      <w:r w:rsidRPr="001167CB">
        <w:rPr>
          <w:rFonts w:asciiTheme="majorHAnsi" w:hAnsiTheme="majorHAnsi" w:cstheme="majorHAnsi"/>
          <w:color w:val="808080" w:themeColor="background1" w:themeShade="80"/>
          <w:sz w:val="16"/>
          <w:szCs w:val="16"/>
        </w:rPr>
        <w:t xml:space="preserve">, para. 6; </w:t>
      </w:r>
      <w:r w:rsidRPr="001167CB">
        <w:rPr>
          <w:rFonts w:asciiTheme="majorHAnsi" w:hAnsiTheme="majorHAnsi" w:cstheme="majorHAnsi"/>
          <w:bCs/>
          <w:color w:val="808080" w:themeColor="background1" w:themeShade="80"/>
          <w:sz w:val="16"/>
          <w:szCs w:val="16"/>
        </w:rPr>
        <w:t xml:space="preserve">CERD, </w:t>
      </w:r>
      <w:hyperlink r:id="rId360" w:history="1">
        <w:r w:rsidRPr="001167CB">
          <w:rPr>
            <w:rStyle w:val="Hyperlink"/>
            <w:rFonts w:asciiTheme="majorHAnsi" w:hAnsiTheme="majorHAnsi" w:cstheme="majorHAnsi"/>
            <w:bCs/>
            <w:color w:val="808080" w:themeColor="background1" w:themeShade="80"/>
            <w:sz w:val="16"/>
            <w:szCs w:val="16"/>
          </w:rPr>
          <w:t>Concluding Observations 2014</w:t>
        </w:r>
      </w:hyperlink>
      <w:r w:rsidRPr="001167CB">
        <w:rPr>
          <w:rFonts w:asciiTheme="majorHAnsi" w:hAnsiTheme="majorHAnsi" w:cstheme="majorHAnsi"/>
          <w:bCs/>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 xml:space="preserve">Sept. </w:t>
      </w:r>
      <w:r w:rsidRPr="001167CB">
        <w:rPr>
          <w:rFonts w:asciiTheme="majorHAnsi" w:hAnsiTheme="majorHAnsi" w:cstheme="majorHAnsi"/>
          <w:bCs/>
          <w:color w:val="808080" w:themeColor="background1" w:themeShade="80"/>
          <w:sz w:val="16"/>
          <w:szCs w:val="16"/>
        </w:rPr>
        <w:t>25, 2014</w:t>
      </w:r>
      <w:r w:rsidRPr="001167CB">
        <w:rPr>
          <w:rFonts w:asciiTheme="majorHAnsi" w:hAnsiTheme="majorHAnsi" w:cstheme="majorHAnsi"/>
          <w:color w:val="808080" w:themeColor="background1" w:themeShade="80"/>
          <w:sz w:val="16"/>
          <w:szCs w:val="16"/>
        </w:rPr>
        <w:t xml:space="preserve">, para. 20; </w:t>
      </w:r>
      <w:r w:rsidRPr="001167CB">
        <w:rPr>
          <w:rFonts w:asciiTheme="majorHAnsi" w:hAnsiTheme="majorHAnsi" w:cstheme="majorHAnsi"/>
          <w:bCs/>
          <w:color w:val="808080" w:themeColor="background1" w:themeShade="80"/>
          <w:sz w:val="16"/>
          <w:szCs w:val="16"/>
        </w:rPr>
        <w:t xml:space="preserve">U.N., Working Group on People of African Descent. </w:t>
      </w:r>
      <w:hyperlink r:id="rId361" w:history="1">
        <w:r w:rsidRPr="001167CB">
          <w:rPr>
            <w:rStyle w:val="Hyperlink"/>
            <w:rFonts w:asciiTheme="majorHAnsi" w:hAnsiTheme="majorHAnsi" w:cstheme="majorHAnsi"/>
            <w:bCs/>
            <w:color w:val="808080" w:themeColor="background1" w:themeShade="80"/>
            <w:sz w:val="16"/>
            <w:szCs w:val="16"/>
          </w:rPr>
          <w:t>Report on mission to the U.S.</w:t>
        </w:r>
      </w:hyperlink>
      <w:r w:rsidRPr="001167CB">
        <w:rPr>
          <w:rFonts w:asciiTheme="majorHAnsi" w:hAnsiTheme="majorHAnsi" w:cstheme="majorHAnsi"/>
          <w:bCs/>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 xml:space="preserve">Aug. </w:t>
      </w:r>
      <w:r w:rsidRPr="001167CB">
        <w:rPr>
          <w:rFonts w:asciiTheme="majorHAnsi" w:hAnsiTheme="majorHAnsi" w:cstheme="majorHAnsi"/>
          <w:bCs/>
          <w:color w:val="808080" w:themeColor="background1" w:themeShade="80"/>
          <w:sz w:val="16"/>
          <w:szCs w:val="16"/>
        </w:rPr>
        <w:t>18, 2016</w:t>
      </w:r>
      <w:r w:rsidRPr="001167CB">
        <w:rPr>
          <w:rFonts w:asciiTheme="majorHAnsi" w:hAnsiTheme="majorHAnsi" w:cstheme="majorHAnsi"/>
          <w:color w:val="808080" w:themeColor="background1" w:themeShade="80"/>
          <w:sz w:val="16"/>
          <w:szCs w:val="16"/>
        </w:rPr>
        <w:t>, paras. 20-42.</w:t>
      </w:r>
    </w:p>
  </w:footnote>
  <w:footnote w:id="295">
    <w:p w14:paraId="08E34F7C" w14:textId="679C0770"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bCs/>
          <w:color w:val="808080" w:themeColor="background1" w:themeShade="80"/>
          <w:sz w:val="16"/>
          <w:szCs w:val="16"/>
        </w:rPr>
        <w:t xml:space="preserve">CERD, </w:t>
      </w:r>
      <w:hyperlink r:id="rId362" w:history="1">
        <w:r w:rsidRPr="001167CB">
          <w:rPr>
            <w:rStyle w:val="Hyperlink"/>
            <w:rFonts w:asciiTheme="majorHAnsi" w:hAnsiTheme="majorHAnsi" w:cstheme="majorHAnsi"/>
            <w:bCs/>
            <w:color w:val="808080" w:themeColor="background1" w:themeShade="80"/>
            <w:sz w:val="16"/>
            <w:szCs w:val="16"/>
          </w:rPr>
          <w:t>Concluding Observations 2014</w:t>
        </w:r>
      </w:hyperlink>
      <w:r w:rsidRPr="001167CB">
        <w:rPr>
          <w:rFonts w:asciiTheme="majorHAnsi" w:hAnsiTheme="majorHAnsi" w:cstheme="majorHAnsi"/>
          <w:bCs/>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 xml:space="preserve">Sept. </w:t>
      </w:r>
      <w:r w:rsidRPr="001167CB">
        <w:rPr>
          <w:rFonts w:asciiTheme="majorHAnsi" w:hAnsiTheme="majorHAnsi" w:cstheme="majorHAnsi"/>
          <w:bCs/>
          <w:color w:val="808080" w:themeColor="background1" w:themeShade="80"/>
          <w:sz w:val="16"/>
          <w:szCs w:val="16"/>
        </w:rPr>
        <w:t>25, 2014</w:t>
      </w:r>
      <w:r w:rsidRPr="001167CB">
        <w:rPr>
          <w:rFonts w:asciiTheme="majorHAnsi" w:hAnsiTheme="majorHAnsi" w:cstheme="majorHAnsi"/>
          <w:color w:val="808080" w:themeColor="background1" w:themeShade="80"/>
          <w:sz w:val="16"/>
          <w:szCs w:val="16"/>
        </w:rPr>
        <w:t>, para. 20.</w:t>
      </w:r>
    </w:p>
  </w:footnote>
  <w:footnote w:id="296">
    <w:p w14:paraId="136D0351" w14:textId="67D65131"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bCs/>
          <w:color w:val="808080" w:themeColor="background1" w:themeShade="80"/>
          <w:sz w:val="16"/>
          <w:szCs w:val="16"/>
        </w:rPr>
        <w:t xml:space="preserve">IACHR, </w:t>
      </w:r>
      <w:hyperlink r:id="rId363" w:history="1">
        <w:r w:rsidRPr="001167CB">
          <w:rPr>
            <w:rStyle w:val="Hyperlink"/>
            <w:rFonts w:asciiTheme="majorHAnsi" w:hAnsiTheme="majorHAnsi" w:cstheme="majorHAnsi"/>
            <w:bCs/>
            <w:color w:val="808080" w:themeColor="background1" w:themeShade="80"/>
            <w:sz w:val="16"/>
            <w:szCs w:val="16"/>
          </w:rPr>
          <w:t>On-Site Visit Press Release</w:t>
        </w:r>
      </w:hyperlink>
      <w:r w:rsidRPr="001167CB">
        <w:rPr>
          <w:rFonts w:asciiTheme="majorHAnsi" w:hAnsiTheme="majorHAnsi" w:cstheme="majorHAnsi"/>
          <w:bCs/>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 xml:space="preserve">Oct. </w:t>
      </w:r>
      <w:r w:rsidRPr="001167CB">
        <w:rPr>
          <w:rFonts w:asciiTheme="majorHAnsi" w:hAnsiTheme="majorHAnsi" w:cstheme="majorHAnsi"/>
          <w:bCs/>
          <w:color w:val="808080" w:themeColor="background1" w:themeShade="80"/>
          <w:sz w:val="16"/>
          <w:szCs w:val="16"/>
        </w:rPr>
        <w:t>16, 2015</w:t>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i/>
          <w:color w:val="808080" w:themeColor="background1" w:themeShade="80"/>
          <w:sz w:val="16"/>
          <w:szCs w:val="16"/>
        </w:rPr>
        <w:t>see also</w:t>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bCs/>
          <w:color w:val="808080" w:themeColor="background1" w:themeShade="80"/>
          <w:sz w:val="16"/>
          <w:szCs w:val="16"/>
        </w:rPr>
        <w:t xml:space="preserve">CERD, </w:t>
      </w:r>
      <w:hyperlink r:id="rId364" w:history="1">
        <w:r w:rsidRPr="001167CB">
          <w:rPr>
            <w:rStyle w:val="Hyperlink"/>
            <w:rFonts w:asciiTheme="majorHAnsi" w:hAnsiTheme="majorHAnsi" w:cstheme="majorHAnsi"/>
            <w:bCs/>
            <w:color w:val="808080" w:themeColor="background1" w:themeShade="80"/>
            <w:sz w:val="16"/>
            <w:szCs w:val="16"/>
          </w:rPr>
          <w:t>Concluding Observations 2014</w:t>
        </w:r>
      </w:hyperlink>
      <w:r w:rsidRPr="001167CB">
        <w:rPr>
          <w:rFonts w:asciiTheme="majorHAnsi" w:hAnsiTheme="majorHAnsi" w:cstheme="majorHAnsi"/>
          <w:bCs/>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Sept.</w:t>
      </w:r>
      <w:r w:rsidRPr="001167CB">
        <w:rPr>
          <w:rFonts w:asciiTheme="majorHAnsi" w:hAnsiTheme="majorHAnsi" w:cstheme="majorHAnsi"/>
          <w:bCs/>
          <w:color w:val="808080" w:themeColor="background1" w:themeShade="80"/>
          <w:sz w:val="16"/>
          <w:szCs w:val="16"/>
        </w:rPr>
        <w:t>25, 2014</w:t>
      </w:r>
      <w:r w:rsidRPr="001167CB">
        <w:rPr>
          <w:rFonts w:asciiTheme="majorHAnsi" w:hAnsiTheme="majorHAnsi" w:cstheme="majorHAnsi"/>
          <w:color w:val="808080" w:themeColor="background1" w:themeShade="80"/>
          <w:sz w:val="16"/>
          <w:szCs w:val="16"/>
        </w:rPr>
        <w:t>, para. 23.</w:t>
      </w:r>
    </w:p>
  </w:footnote>
  <w:footnote w:id="297">
    <w:p w14:paraId="582507E7" w14:textId="23F5A828"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i/>
          <w:color w:val="808080" w:themeColor="background1" w:themeShade="80"/>
          <w:sz w:val="16"/>
          <w:szCs w:val="16"/>
        </w:rPr>
        <w:t>See</w:t>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i/>
          <w:color w:val="808080" w:themeColor="background1" w:themeShade="80"/>
          <w:sz w:val="16"/>
          <w:szCs w:val="16"/>
        </w:rPr>
        <w:t>e.g.</w:t>
      </w:r>
      <w:r w:rsidRPr="001167CB">
        <w:rPr>
          <w:rFonts w:asciiTheme="majorHAnsi" w:hAnsiTheme="majorHAnsi" w:cstheme="majorHAnsi"/>
          <w:color w:val="808080" w:themeColor="background1" w:themeShade="80"/>
          <w:sz w:val="16"/>
          <w:szCs w:val="16"/>
        </w:rPr>
        <w:t xml:space="preserve">, Gabriel F. Chin, </w:t>
      </w:r>
      <w:hyperlink r:id="rId365" w:history="1">
        <w:r w:rsidRPr="001167CB">
          <w:rPr>
            <w:rStyle w:val="Hyperlink"/>
            <w:rFonts w:asciiTheme="majorHAnsi" w:hAnsiTheme="majorHAnsi" w:cstheme="majorHAnsi"/>
            <w:color w:val="808080" w:themeColor="background1" w:themeShade="80"/>
            <w:sz w:val="16"/>
            <w:szCs w:val="16"/>
          </w:rPr>
          <w:t>Race and the Disappointing Right to Counsel</w:t>
        </w:r>
      </w:hyperlink>
      <w:r w:rsidRPr="001167CB">
        <w:rPr>
          <w:rFonts w:asciiTheme="majorHAnsi" w:hAnsiTheme="majorHAnsi" w:cstheme="majorHAnsi"/>
          <w:color w:val="808080" w:themeColor="background1" w:themeShade="80"/>
          <w:sz w:val="16"/>
          <w:szCs w:val="16"/>
        </w:rPr>
        <w:t xml:space="preserve">, 122 </w:t>
      </w:r>
      <w:r w:rsidRPr="001167CB">
        <w:rPr>
          <w:rFonts w:asciiTheme="majorHAnsi" w:hAnsiTheme="majorHAnsi" w:cstheme="majorHAnsi"/>
          <w:i/>
          <w:color w:val="808080" w:themeColor="background1" w:themeShade="80"/>
          <w:sz w:val="16"/>
          <w:szCs w:val="16"/>
        </w:rPr>
        <w:t>Yale Law Journal</w:t>
      </w:r>
      <w:r w:rsidRPr="001167CB">
        <w:rPr>
          <w:rFonts w:asciiTheme="majorHAnsi" w:hAnsiTheme="majorHAnsi" w:cstheme="majorHAnsi"/>
          <w:color w:val="808080" w:themeColor="background1" w:themeShade="80"/>
          <w:sz w:val="16"/>
          <w:szCs w:val="16"/>
        </w:rPr>
        <w:t xml:space="preserve"> 2236, 2238 (2013) (citing</w:t>
      </w:r>
      <w:r w:rsidRPr="001167CB">
        <w:rPr>
          <w:rFonts w:asciiTheme="majorHAnsi" w:hAnsiTheme="majorHAnsi" w:cstheme="majorHAnsi"/>
          <w:i/>
          <w:color w:val="808080" w:themeColor="background1" w:themeShade="80"/>
          <w:sz w:val="16"/>
          <w:szCs w:val="16"/>
        </w:rPr>
        <w:t>, inter alia</w:t>
      </w:r>
      <w:r w:rsidRPr="001167CB">
        <w:rPr>
          <w:rFonts w:asciiTheme="majorHAnsi" w:hAnsiTheme="majorHAnsi" w:cstheme="majorHAnsi"/>
          <w:color w:val="808080" w:themeColor="background1" w:themeShade="80"/>
          <w:sz w:val="16"/>
          <w:szCs w:val="16"/>
        </w:rPr>
        <w:t xml:space="preserve">, Michelle Alexander, </w:t>
      </w:r>
      <w:r w:rsidRPr="001167CB">
        <w:rPr>
          <w:rFonts w:asciiTheme="majorHAnsi" w:hAnsiTheme="majorHAnsi" w:cstheme="majorHAnsi"/>
          <w:i/>
          <w:color w:val="808080" w:themeColor="background1" w:themeShade="80"/>
          <w:sz w:val="16"/>
          <w:szCs w:val="16"/>
        </w:rPr>
        <w:t>The New Jim Crow: Mass Incarceration in the Age of Colorblindness</w:t>
      </w:r>
      <w:r w:rsidRPr="001167CB">
        <w:rPr>
          <w:rFonts w:asciiTheme="majorHAnsi" w:hAnsiTheme="majorHAnsi" w:cstheme="majorHAnsi"/>
          <w:color w:val="808080" w:themeColor="background1" w:themeShade="80"/>
          <w:sz w:val="16"/>
          <w:szCs w:val="16"/>
        </w:rPr>
        <w:t xml:space="preserve"> (New York: New Press, 2010); David Cole, </w:t>
      </w:r>
      <w:r w:rsidRPr="001167CB">
        <w:rPr>
          <w:rFonts w:asciiTheme="majorHAnsi" w:hAnsiTheme="majorHAnsi" w:cstheme="majorHAnsi"/>
          <w:i/>
          <w:color w:val="808080" w:themeColor="background1" w:themeShade="80"/>
          <w:sz w:val="16"/>
          <w:szCs w:val="16"/>
        </w:rPr>
        <w:t>No Equal Justice: Race and Class in the American Criminal Justice System</w:t>
      </w:r>
      <w:r w:rsidRPr="001167CB">
        <w:rPr>
          <w:rFonts w:asciiTheme="majorHAnsi" w:hAnsiTheme="majorHAnsi" w:cstheme="majorHAnsi"/>
          <w:color w:val="808080" w:themeColor="background1" w:themeShade="80"/>
          <w:sz w:val="16"/>
          <w:szCs w:val="16"/>
        </w:rPr>
        <w:t xml:space="preserve"> (New York: New Press, 1999); Stephen B. Bright, Counsel for the Poor: The Death Sentence Not for the Worst Crime but for the Worst Lawyer, 103 </w:t>
      </w:r>
      <w:r w:rsidRPr="001167CB">
        <w:rPr>
          <w:rFonts w:asciiTheme="majorHAnsi" w:hAnsiTheme="majorHAnsi" w:cstheme="majorHAnsi"/>
          <w:i/>
          <w:color w:val="808080" w:themeColor="background1" w:themeShade="80"/>
          <w:sz w:val="16"/>
          <w:szCs w:val="16"/>
        </w:rPr>
        <w:t>Yale Law Journal</w:t>
      </w:r>
      <w:r w:rsidRPr="001167CB">
        <w:rPr>
          <w:rFonts w:asciiTheme="majorHAnsi" w:hAnsiTheme="majorHAnsi" w:cstheme="majorHAnsi"/>
          <w:color w:val="808080" w:themeColor="background1" w:themeShade="80"/>
          <w:sz w:val="16"/>
          <w:szCs w:val="16"/>
        </w:rPr>
        <w:t xml:space="preserve"> 1835 (1994); additional citations omitted).</w:t>
      </w:r>
    </w:p>
  </w:footnote>
  <w:footnote w:id="298">
    <w:p w14:paraId="1FACFBB7"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American Declaration, Arts. XVIII, XXVI; International Covenant on Civil and Political Rights, Art. 15(3)(b), (d),</w:t>
      </w:r>
    </w:p>
  </w:footnote>
  <w:footnote w:id="299">
    <w:p w14:paraId="4A416A4E"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Sonja B. Starr and M. </w:t>
      </w:r>
      <w:proofErr w:type="spellStart"/>
      <w:r w:rsidRPr="001167CB">
        <w:rPr>
          <w:rFonts w:asciiTheme="majorHAnsi" w:hAnsiTheme="majorHAnsi" w:cstheme="majorHAnsi"/>
          <w:color w:val="808080" w:themeColor="background1" w:themeShade="80"/>
          <w:sz w:val="16"/>
          <w:szCs w:val="16"/>
        </w:rPr>
        <w:t>Marit</w:t>
      </w:r>
      <w:proofErr w:type="spellEnd"/>
      <w:r w:rsidRPr="001167CB">
        <w:rPr>
          <w:rFonts w:asciiTheme="majorHAnsi" w:hAnsiTheme="majorHAnsi" w:cstheme="majorHAnsi"/>
          <w:color w:val="808080" w:themeColor="background1" w:themeShade="80"/>
          <w:sz w:val="16"/>
          <w:szCs w:val="16"/>
        </w:rPr>
        <w:t xml:space="preserve"> </w:t>
      </w:r>
      <w:proofErr w:type="spellStart"/>
      <w:r w:rsidRPr="001167CB">
        <w:rPr>
          <w:rFonts w:asciiTheme="majorHAnsi" w:hAnsiTheme="majorHAnsi" w:cstheme="majorHAnsi"/>
          <w:color w:val="808080" w:themeColor="background1" w:themeShade="80"/>
          <w:sz w:val="16"/>
          <w:szCs w:val="16"/>
        </w:rPr>
        <w:t>Rehavi</w:t>
      </w:r>
      <w:proofErr w:type="spellEnd"/>
      <w:r w:rsidRPr="001167CB">
        <w:rPr>
          <w:rFonts w:asciiTheme="majorHAnsi" w:hAnsiTheme="majorHAnsi" w:cstheme="majorHAnsi"/>
          <w:color w:val="808080" w:themeColor="background1" w:themeShade="80"/>
          <w:sz w:val="16"/>
          <w:szCs w:val="16"/>
        </w:rPr>
        <w:t xml:space="preserve">, “Mandatory Sentencing and Racial Disparity: Assessing the Role of Prosecutors and the Effects of </w:t>
      </w:r>
      <w:r w:rsidRPr="001167CB">
        <w:rPr>
          <w:rFonts w:asciiTheme="majorHAnsi" w:hAnsiTheme="majorHAnsi" w:cstheme="majorHAnsi"/>
          <w:i/>
          <w:color w:val="808080" w:themeColor="background1" w:themeShade="80"/>
          <w:sz w:val="16"/>
          <w:szCs w:val="16"/>
        </w:rPr>
        <w:t>Booker</w:t>
      </w:r>
      <w:r w:rsidRPr="001167CB">
        <w:rPr>
          <w:rFonts w:asciiTheme="majorHAnsi" w:hAnsiTheme="majorHAnsi" w:cstheme="majorHAnsi"/>
          <w:color w:val="808080" w:themeColor="background1" w:themeShade="80"/>
          <w:sz w:val="16"/>
          <w:szCs w:val="16"/>
        </w:rPr>
        <w:t xml:space="preserve">,” 123 </w:t>
      </w:r>
      <w:r w:rsidRPr="001167CB">
        <w:rPr>
          <w:rFonts w:asciiTheme="majorHAnsi" w:hAnsiTheme="majorHAnsi" w:cstheme="majorHAnsi"/>
          <w:i/>
          <w:color w:val="808080" w:themeColor="background1" w:themeShade="80"/>
          <w:sz w:val="16"/>
          <w:szCs w:val="16"/>
        </w:rPr>
        <w:t>Yale Law Journal</w:t>
      </w:r>
      <w:r w:rsidRPr="001167CB">
        <w:rPr>
          <w:rFonts w:asciiTheme="majorHAnsi" w:hAnsiTheme="majorHAnsi" w:cstheme="majorHAnsi"/>
          <w:color w:val="808080" w:themeColor="background1" w:themeShade="80"/>
          <w:sz w:val="16"/>
          <w:szCs w:val="16"/>
        </w:rPr>
        <w:t xml:space="preserve"> 2 (2013). </w:t>
      </w:r>
    </w:p>
  </w:footnote>
  <w:footnote w:id="300">
    <w:p w14:paraId="4A980F79"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i/>
          <w:color w:val="808080" w:themeColor="background1" w:themeShade="80"/>
          <w:sz w:val="16"/>
          <w:szCs w:val="16"/>
        </w:rPr>
        <w:t>See, e.g.,</w:t>
      </w:r>
      <w:r w:rsidRPr="001167CB">
        <w:rPr>
          <w:rFonts w:asciiTheme="majorHAnsi" w:hAnsiTheme="majorHAnsi" w:cstheme="majorHAnsi"/>
          <w:color w:val="808080" w:themeColor="background1" w:themeShade="80"/>
          <w:sz w:val="16"/>
          <w:szCs w:val="16"/>
        </w:rPr>
        <w:t xml:space="preserve"> </w:t>
      </w:r>
      <w:proofErr w:type="spellStart"/>
      <w:r w:rsidRPr="001167CB">
        <w:rPr>
          <w:rFonts w:asciiTheme="majorHAnsi" w:hAnsiTheme="majorHAnsi" w:cstheme="majorHAnsi"/>
          <w:color w:val="808080" w:themeColor="background1" w:themeShade="80"/>
          <w:sz w:val="16"/>
          <w:szCs w:val="16"/>
        </w:rPr>
        <w:t>Oyler</w:t>
      </w:r>
      <w:proofErr w:type="spellEnd"/>
      <w:r w:rsidRPr="001167CB">
        <w:rPr>
          <w:rFonts w:asciiTheme="majorHAnsi" w:hAnsiTheme="majorHAnsi" w:cstheme="majorHAnsi"/>
          <w:color w:val="808080" w:themeColor="background1" w:themeShade="80"/>
          <w:sz w:val="16"/>
          <w:szCs w:val="16"/>
        </w:rPr>
        <w:t xml:space="preserve"> v. Boyles, 368 U.S. 448 (1962); </w:t>
      </w:r>
      <w:proofErr w:type="spellStart"/>
      <w:r w:rsidRPr="001167CB">
        <w:rPr>
          <w:rFonts w:asciiTheme="majorHAnsi" w:hAnsiTheme="majorHAnsi" w:cstheme="majorHAnsi"/>
          <w:color w:val="808080" w:themeColor="background1" w:themeShade="80"/>
          <w:sz w:val="16"/>
          <w:szCs w:val="16"/>
        </w:rPr>
        <w:t>McCleskey</w:t>
      </w:r>
      <w:proofErr w:type="spellEnd"/>
      <w:r w:rsidRPr="001167CB">
        <w:rPr>
          <w:rFonts w:asciiTheme="majorHAnsi" w:hAnsiTheme="majorHAnsi" w:cstheme="majorHAnsi"/>
          <w:color w:val="808080" w:themeColor="background1" w:themeShade="80"/>
          <w:sz w:val="16"/>
          <w:szCs w:val="16"/>
        </w:rPr>
        <w:t xml:space="preserve"> v. Kemp, 481 U.S. 279 (1987). These and other cases held that selective prosecution (e.g. selectively charging different crimes, seeking different penalties, or charging in federal versus state court) violates the Equal Protection Clause only if a prosecutor intentionally or purposefully discriminates on the basis of race. Thus, a showing of disparate impact of prosecutorial decisions (which would tend to establish the existence of implicit prosecutorial bias) is not sufficient to establish discrimination; rather, explicit invidious discrimination must be proved in order to establish an Equal Protection violation in this context.</w:t>
      </w:r>
    </w:p>
  </w:footnote>
  <w:footnote w:id="301">
    <w:p w14:paraId="46966654"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i/>
          <w:color w:val="808080" w:themeColor="background1" w:themeShade="80"/>
          <w:sz w:val="16"/>
          <w:szCs w:val="16"/>
        </w:rPr>
        <w:t xml:space="preserve">See </w:t>
      </w:r>
      <w:r w:rsidRPr="001167CB">
        <w:rPr>
          <w:rFonts w:asciiTheme="majorHAnsi" w:hAnsiTheme="majorHAnsi" w:cstheme="majorHAnsi"/>
          <w:color w:val="808080" w:themeColor="background1" w:themeShade="80"/>
          <w:sz w:val="16"/>
          <w:szCs w:val="16"/>
        </w:rPr>
        <w:t xml:space="preserve">The Marshall Project (US District Judge John Kane), </w:t>
      </w:r>
      <w:hyperlink r:id="rId366" w:history="1">
        <w:r w:rsidRPr="001167CB">
          <w:rPr>
            <w:rStyle w:val="Hyperlink"/>
            <w:rFonts w:asciiTheme="majorHAnsi" w:hAnsiTheme="majorHAnsi" w:cstheme="majorHAnsi"/>
            <w:color w:val="808080" w:themeColor="background1" w:themeShade="80"/>
            <w:sz w:val="16"/>
            <w:szCs w:val="16"/>
          </w:rPr>
          <w:t>Plea Bargaining and the Innocent</w:t>
        </w:r>
      </w:hyperlink>
      <w:r w:rsidRPr="001167CB">
        <w:rPr>
          <w:rFonts w:asciiTheme="majorHAnsi" w:hAnsiTheme="majorHAnsi" w:cstheme="majorHAnsi"/>
          <w:color w:val="808080" w:themeColor="background1" w:themeShade="80"/>
          <w:sz w:val="16"/>
          <w:szCs w:val="16"/>
        </w:rPr>
        <w:t xml:space="preserve">, Dec. 26, 2014; New York Review of Books (US District Judge Jed </w:t>
      </w:r>
      <w:proofErr w:type="spellStart"/>
      <w:r w:rsidRPr="001167CB">
        <w:rPr>
          <w:rFonts w:asciiTheme="majorHAnsi" w:hAnsiTheme="majorHAnsi" w:cstheme="majorHAnsi"/>
          <w:color w:val="808080" w:themeColor="background1" w:themeShade="80"/>
          <w:sz w:val="16"/>
          <w:szCs w:val="16"/>
        </w:rPr>
        <w:t>Rakoff</w:t>
      </w:r>
      <w:proofErr w:type="spellEnd"/>
      <w:r w:rsidRPr="001167CB">
        <w:rPr>
          <w:rFonts w:asciiTheme="majorHAnsi" w:hAnsiTheme="majorHAnsi" w:cstheme="majorHAnsi"/>
          <w:color w:val="808080" w:themeColor="background1" w:themeShade="80"/>
          <w:sz w:val="16"/>
          <w:szCs w:val="16"/>
        </w:rPr>
        <w:t xml:space="preserve">), </w:t>
      </w:r>
      <w:hyperlink r:id="rId367" w:history="1">
        <w:r w:rsidRPr="001167CB">
          <w:rPr>
            <w:rStyle w:val="Hyperlink"/>
            <w:rFonts w:asciiTheme="majorHAnsi" w:hAnsiTheme="majorHAnsi" w:cstheme="majorHAnsi"/>
            <w:color w:val="808080" w:themeColor="background1" w:themeShade="80"/>
            <w:sz w:val="16"/>
            <w:szCs w:val="16"/>
          </w:rPr>
          <w:t>Why Innocent People Plead Guilty</w:t>
        </w:r>
      </w:hyperlink>
      <w:r w:rsidRPr="001167CB">
        <w:rPr>
          <w:rFonts w:asciiTheme="majorHAnsi" w:hAnsiTheme="majorHAnsi" w:cstheme="majorHAnsi"/>
          <w:color w:val="808080" w:themeColor="background1" w:themeShade="80"/>
          <w:sz w:val="16"/>
          <w:szCs w:val="16"/>
        </w:rPr>
        <w:t>, Nov. 20, 2014.</w:t>
      </w:r>
    </w:p>
  </w:footnote>
  <w:footnote w:id="302">
    <w:p w14:paraId="12E08866" w14:textId="77777777" w:rsidR="005C2394" w:rsidRPr="001167CB" w:rsidRDefault="005C2394" w:rsidP="002C64F8">
      <w:pPr>
        <w:pStyle w:val="FootnoteText"/>
        <w:spacing w:after="40"/>
        <w:ind w:left="547" w:hanging="547"/>
        <w:jc w:val="both"/>
        <w:rPr>
          <w:rFonts w:asciiTheme="majorHAnsi" w:hAnsiTheme="majorHAnsi" w:cstheme="majorHAnsi"/>
          <w:i/>
          <w:iCs/>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ACLU, Submission on Racial Disparities in Sentencing for Hearing on Reports of Racism in the Justice System of the United States (IACHR, 153d Session), Oct. 27, 2014 [hereinafter ACLU Submission, 153d Session] (citing Sonja B. Starr &amp; M. </w:t>
      </w:r>
      <w:proofErr w:type="spellStart"/>
      <w:r w:rsidRPr="001167CB">
        <w:rPr>
          <w:rFonts w:asciiTheme="majorHAnsi" w:hAnsiTheme="majorHAnsi" w:cstheme="majorHAnsi"/>
          <w:color w:val="808080" w:themeColor="background1" w:themeShade="80"/>
          <w:sz w:val="16"/>
          <w:szCs w:val="16"/>
        </w:rPr>
        <w:t>Marit</w:t>
      </w:r>
      <w:proofErr w:type="spellEnd"/>
      <w:r w:rsidRPr="001167CB">
        <w:rPr>
          <w:rFonts w:asciiTheme="majorHAnsi" w:hAnsiTheme="majorHAnsi" w:cstheme="majorHAnsi"/>
          <w:color w:val="808080" w:themeColor="background1" w:themeShade="80"/>
          <w:sz w:val="16"/>
          <w:szCs w:val="16"/>
        </w:rPr>
        <w:t xml:space="preserve"> </w:t>
      </w:r>
      <w:proofErr w:type="spellStart"/>
      <w:r w:rsidRPr="001167CB">
        <w:rPr>
          <w:rFonts w:asciiTheme="majorHAnsi" w:hAnsiTheme="majorHAnsi" w:cstheme="majorHAnsi"/>
          <w:color w:val="808080" w:themeColor="background1" w:themeShade="80"/>
          <w:sz w:val="16"/>
          <w:szCs w:val="16"/>
        </w:rPr>
        <w:t>Rehavi</w:t>
      </w:r>
      <w:proofErr w:type="spellEnd"/>
      <w:r w:rsidRPr="001167CB">
        <w:rPr>
          <w:rFonts w:asciiTheme="majorHAnsi" w:hAnsiTheme="majorHAnsi" w:cstheme="majorHAnsi"/>
          <w:color w:val="808080" w:themeColor="background1" w:themeShade="80"/>
          <w:sz w:val="16"/>
          <w:szCs w:val="16"/>
        </w:rPr>
        <w:t>, “</w:t>
      </w:r>
      <w:r w:rsidRPr="001167CB">
        <w:rPr>
          <w:rFonts w:asciiTheme="majorHAnsi" w:hAnsiTheme="majorHAnsi" w:cstheme="majorHAnsi"/>
          <w:iCs/>
          <w:color w:val="808080" w:themeColor="background1" w:themeShade="80"/>
          <w:sz w:val="16"/>
          <w:szCs w:val="16"/>
        </w:rPr>
        <w:t>Racial Disparity in Federal Criminal Charging and its Sentencing Consequences</w:t>
      </w:r>
      <w:r w:rsidRPr="001167CB">
        <w:rPr>
          <w:rFonts w:asciiTheme="majorHAnsi" w:hAnsiTheme="majorHAnsi" w:cstheme="majorHAnsi"/>
          <w:color w:val="808080" w:themeColor="background1" w:themeShade="80"/>
          <w:sz w:val="16"/>
          <w:szCs w:val="16"/>
        </w:rPr>
        <w:t xml:space="preserve">,” U. Michigan Law &amp; Economics, Empirical Legal Studies Center Paper No. 12-002 (2012); Marc </w:t>
      </w:r>
      <w:proofErr w:type="spellStart"/>
      <w:r w:rsidRPr="001167CB">
        <w:rPr>
          <w:rFonts w:asciiTheme="majorHAnsi" w:hAnsiTheme="majorHAnsi" w:cstheme="majorHAnsi"/>
          <w:color w:val="808080" w:themeColor="background1" w:themeShade="80"/>
          <w:sz w:val="16"/>
          <w:szCs w:val="16"/>
        </w:rPr>
        <w:t>Mauer</w:t>
      </w:r>
      <w:proofErr w:type="spellEnd"/>
      <w:r w:rsidRPr="001167CB">
        <w:rPr>
          <w:rFonts w:asciiTheme="majorHAnsi" w:hAnsiTheme="majorHAnsi" w:cstheme="majorHAnsi"/>
          <w:color w:val="808080" w:themeColor="background1" w:themeShade="80"/>
          <w:sz w:val="16"/>
          <w:szCs w:val="16"/>
        </w:rPr>
        <w:t>, “</w:t>
      </w:r>
      <w:r w:rsidRPr="001167CB">
        <w:rPr>
          <w:rFonts w:asciiTheme="majorHAnsi" w:hAnsiTheme="majorHAnsi" w:cstheme="majorHAnsi"/>
          <w:iCs/>
          <w:color w:val="808080" w:themeColor="background1" w:themeShade="80"/>
          <w:sz w:val="16"/>
          <w:szCs w:val="16"/>
        </w:rPr>
        <w:t>Addressing Racial Disparities in Incarceration</w:t>
      </w:r>
      <w:r w:rsidRPr="001167CB">
        <w:rPr>
          <w:rFonts w:asciiTheme="majorHAnsi" w:hAnsiTheme="majorHAnsi" w:cstheme="majorHAnsi"/>
          <w:color w:val="808080" w:themeColor="background1" w:themeShade="80"/>
          <w:sz w:val="16"/>
          <w:szCs w:val="16"/>
        </w:rPr>
        <w:t xml:space="preserve">,” 91 </w:t>
      </w:r>
      <w:r w:rsidRPr="001167CB">
        <w:rPr>
          <w:rFonts w:asciiTheme="majorHAnsi" w:hAnsiTheme="majorHAnsi" w:cstheme="majorHAnsi"/>
          <w:i/>
          <w:color w:val="808080" w:themeColor="background1" w:themeShade="80"/>
          <w:sz w:val="16"/>
          <w:szCs w:val="16"/>
        </w:rPr>
        <w:t>Prison Journal</w:t>
      </w:r>
      <w:r w:rsidRPr="001167CB">
        <w:rPr>
          <w:rFonts w:asciiTheme="majorHAnsi" w:hAnsiTheme="majorHAnsi" w:cstheme="majorHAnsi"/>
          <w:color w:val="808080" w:themeColor="background1" w:themeShade="80"/>
          <w:sz w:val="16"/>
          <w:szCs w:val="16"/>
        </w:rPr>
        <w:t xml:space="preserve"> (2011); The Sentencing Project, </w:t>
      </w:r>
      <w:hyperlink r:id="rId368" w:history="1">
        <w:r w:rsidRPr="001167CB">
          <w:rPr>
            <w:rStyle w:val="Hyperlink"/>
            <w:rFonts w:asciiTheme="majorHAnsi" w:hAnsiTheme="majorHAnsi" w:cstheme="majorHAnsi"/>
            <w:color w:val="808080" w:themeColor="background1" w:themeShade="80"/>
            <w:sz w:val="16"/>
            <w:szCs w:val="16"/>
          </w:rPr>
          <w:t>Racial Disparity in Sentencing: A Review of the Literature</w:t>
        </w:r>
      </w:hyperlink>
      <w:r w:rsidRPr="001167CB">
        <w:rPr>
          <w:rFonts w:asciiTheme="majorHAnsi" w:hAnsiTheme="majorHAnsi" w:cstheme="majorHAnsi"/>
          <w:color w:val="808080" w:themeColor="background1" w:themeShade="80"/>
          <w:sz w:val="16"/>
          <w:szCs w:val="16"/>
        </w:rPr>
        <w:t>, 2005).</w:t>
      </w:r>
    </w:p>
  </w:footnote>
  <w:footnote w:id="303">
    <w:p w14:paraId="4ADD6967"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ACLU Submission, 153d Session (citing U.S. Sentencing Commission, </w:t>
      </w:r>
      <w:hyperlink r:id="rId369" w:history="1">
        <w:r w:rsidRPr="001167CB">
          <w:rPr>
            <w:rStyle w:val="Hyperlink"/>
            <w:rFonts w:asciiTheme="majorHAnsi" w:hAnsiTheme="majorHAnsi" w:cstheme="majorHAnsi"/>
            <w:color w:val="808080" w:themeColor="background1" w:themeShade="80"/>
            <w:sz w:val="16"/>
            <w:szCs w:val="16"/>
          </w:rPr>
          <w:t>Report on the Continuing Impact of United States v. Booker on Federal Sentencing</w:t>
        </w:r>
      </w:hyperlink>
      <w:r w:rsidRPr="001167CB">
        <w:rPr>
          <w:rFonts w:asciiTheme="majorHAnsi" w:hAnsiTheme="majorHAnsi" w:cstheme="majorHAnsi"/>
          <w:color w:val="808080" w:themeColor="background1" w:themeShade="80"/>
          <w:sz w:val="16"/>
          <w:szCs w:val="16"/>
        </w:rPr>
        <w:t>, Jan. 30, 2013).</w:t>
      </w:r>
    </w:p>
  </w:footnote>
  <w:footnote w:id="304">
    <w:p w14:paraId="2B215EAC"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Id. (citing Cassia C. </w:t>
      </w:r>
      <w:proofErr w:type="spellStart"/>
      <w:r w:rsidRPr="001167CB">
        <w:rPr>
          <w:rFonts w:asciiTheme="majorHAnsi" w:hAnsiTheme="majorHAnsi" w:cstheme="majorHAnsi"/>
          <w:color w:val="808080" w:themeColor="background1" w:themeShade="80"/>
          <w:sz w:val="16"/>
          <w:szCs w:val="16"/>
        </w:rPr>
        <w:t>Spohn</w:t>
      </w:r>
      <w:proofErr w:type="spellEnd"/>
      <w:r w:rsidRPr="001167CB">
        <w:rPr>
          <w:rFonts w:asciiTheme="majorHAnsi" w:hAnsiTheme="majorHAnsi" w:cstheme="majorHAnsi"/>
          <w:color w:val="808080" w:themeColor="background1" w:themeShade="80"/>
          <w:sz w:val="16"/>
          <w:szCs w:val="16"/>
        </w:rPr>
        <w:t xml:space="preserve">, </w:t>
      </w:r>
      <w:hyperlink r:id="rId370" w:history="1">
        <w:r w:rsidRPr="001167CB">
          <w:rPr>
            <w:rStyle w:val="Hyperlink"/>
            <w:rFonts w:asciiTheme="majorHAnsi" w:hAnsiTheme="majorHAnsi" w:cstheme="majorHAnsi"/>
            <w:color w:val="808080" w:themeColor="background1" w:themeShade="80"/>
            <w:sz w:val="16"/>
            <w:szCs w:val="16"/>
          </w:rPr>
          <w:t>Thirty Years of Sentencing Reform: The Quest for a Racially Neutral Sentencing Process</w:t>
        </w:r>
      </w:hyperlink>
      <w:r w:rsidRPr="001167CB">
        <w:rPr>
          <w:rFonts w:asciiTheme="majorHAnsi" w:hAnsiTheme="majorHAnsi" w:cstheme="majorHAnsi"/>
          <w:color w:val="808080" w:themeColor="background1" w:themeShade="80"/>
          <w:sz w:val="16"/>
          <w:szCs w:val="16"/>
        </w:rPr>
        <w:t xml:space="preserve">, in 3 </w:t>
      </w:r>
      <w:r w:rsidRPr="001167CB">
        <w:rPr>
          <w:rFonts w:asciiTheme="majorHAnsi" w:hAnsiTheme="majorHAnsi" w:cstheme="majorHAnsi"/>
          <w:i/>
          <w:color w:val="808080" w:themeColor="background1" w:themeShade="80"/>
          <w:sz w:val="16"/>
          <w:szCs w:val="16"/>
        </w:rPr>
        <w:t xml:space="preserve">Criminal Justice </w:t>
      </w:r>
      <w:r w:rsidRPr="001167CB">
        <w:rPr>
          <w:rFonts w:asciiTheme="majorHAnsi" w:hAnsiTheme="majorHAnsi" w:cstheme="majorHAnsi"/>
          <w:color w:val="808080" w:themeColor="background1" w:themeShade="80"/>
          <w:sz w:val="16"/>
          <w:szCs w:val="16"/>
        </w:rPr>
        <w:t xml:space="preserve">427 (2000)). </w:t>
      </w:r>
    </w:p>
  </w:footnote>
  <w:footnote w:id="305">
    <w:p w14:paraId="3A39C68D"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Sarasota Herald-Tribune, </w:t>
      </w:r>
      <w:hyperlink r:id="rId371" w:history="1">
        <w:r w:rsidRPr="001167CB">
          <w:rPr>
            <w:rStyle w:val="Hyperlink"/>
            <w:rFonts w:asciiTheme="majorHAnsi" w:hAnsiTheme="majorHAnsi" w:cstheme="majorHAnsi"/>
            <w:color w:val="808080" w:themeColor="background1" w:themeShade="80"/>
            <w:sz w:val="16"/>
            <w:szCs w:val="16"/>
          </w:rPr>
          <w:t>Bias on the Bench: Florida’s Broken Sentencing System</w:t>
        </w:r>
      </w:hyperlink>
      <w:r w:rsidRPr="001167CB">
        <w:rPr>
          <w:rFonts w:asciiTheme="majorHAnsi" w:hAnsiTheme="majorHAnsi" w:cstheme="majorHAnsi"/>
          <w:color w:val="808080" w:themeColor="background1" w:themeShade="80"/>
          <w:sz w:val="16"/>
          <w:szCs w:val="16"/>
        </w:rPr>
        <w:t>, Dec. 2016.</w:t>
      </w:r>
    </w:p>
  </w:footnote>
  <w:footnote w:id="306">
    <w:p w14:paraId="5582CF6F"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ACLU Submission, 153d Session (citing Sonja B. Starr &amp; M. </w:t>
      </w:r>
      <w:proofErr w:type="spellStart"/>
      <w:r w:rsidRPr="001167CB">
        <w:rPr>
          <w:rFonts w:asciiTheme="majorHAnsi" w:hAnsiTheme="majorHAnsi" w:cstheme="majorHAnsi"/>
          <w:color w:val="808080" w:themeColor="background1" w:themeShade="80"/>
          <w:sz w:val="16"/>
          <w:szCs w:val="16"/>
        </w:rPr>
        <w:t>Marit</w:t>
      </w:r>
      <w:proofErr w:type="spellEnd"/>
      <w:r w:rsidRPr="001167CB">
        <w:rPr>
          <w:rFonts w:asciiTheme="majorHAnsi" w:hAnsiTheme="majorHAnsi" w:cstheme="majorHAnsi"/>
          <w:color w:val="808080" w:themeColor="background1" w:themeShade="80"/>
          <w:sz w:val="16"/>
          <w:szCs w:val="16"/>
        </w:rPr>
        <w:t xml:space="preserve"> </w:t>
      </w:r>
      <w:proofErr w:type="spellStart"/>
      <w:r w:rsidRPr="001167CB">
        <w:rPr>
          <w:rFonts w:asciiTheme="majorHAnsi" w:hAnsiTheme="majorHAnsi" w:cstheme="majorHAnsi"/>
          <w:color w:val="808080" w:themeColor="background1" w:themeShade="80"/>
          <w:sz w:val="16"/>
          <w:szCs w:val="16"/>
        </w:rPr>
        <w:t>Rehavi</w:t>
      </w:r>
      <w:proofErr w:type="spellEnd"/>
      <w:r w:rsidRPr="001167CB">
        <w:rPr>
          <w:rFonts w:asciiTheme="majorHAnsi" w:hAnsiTheme="majorHAnsi" w:cstheme="majorHAnsi"/>
          <w:color w:val="808080" w:themeColor="background1" w:themeShade="80"/>
          <w:sz w:val="16"/>
          <w:szCs w:val="16"/>
        </w:rPr>
        <w:t>, “</w:t>
      </w:r>
      <w:r w:rsidRPr="001167CB">
        <w:rPr>
          <w:rFonts w:asciiTheme="majorHAnsi" w:hAnsiTheme="majorHAnsi" w:cstheme="majorHAnsi"/>
          <w:iCs/>
          <w:color w:val="808080" w:themeColor="background1" w:themeShade="80"/>
          <w:sz w:val="16"/>
          <w:szCs w:val="16"/>
        </w:rPr>
        <w:t>Racial Disparity in Federal Criminal Charging and its Sentencing Consequences</w:t>
      </w:r>
      <w:r w:rsidRPr="001167CB">
        <w:rPr>
          <w:rFonts w:asciiTheme="majorHAnsi" w:hAnsiTheme="majorHAnsi" w:cstheme="majorHAnsi"/>
          <w:color w:val="808080" w:themeColor="background1" w:themeShade="80"/>
          <w:sz w:val="16"/>
          <w:szCs w:val="16"/>
        </w:rPr>
        <w:t>,” University of Michigan Law &amp; Economics, Empirical Legal Studies Center Paper No. 12-002 (2012)).</w:t>
      </w:r>
    </w:p>
  </w:footnote>
  <w:footnote w:id="307">
    <w:p w14:paraId="165CC8B7" w14:textId="03ED8B8B"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ACLU Submission, 153d Session (citing D.C. </w:t>
      </w:r>
      <w:proofErr w:type="spellStart"/>
      <w:r w:rsidRPr="001167CB">
        <w:rPr>
          <w:rFonts w:asciiTheme="majorHAnsi" w:hAnsiTheme="majorHAnsi" w:cstheme="majorHAnsi"/>
          <w:color w:val="808080" w:themeColor="background1" w:themeShade="80"/>
          <w:sz w:val="16"/>
          <w:szCs w:val="16"/>
        </w:rPr>
        <w:t>Baldus</w:t>
      </w:r>
      <w:proofErr w:type="spellEnd"/>
      <w:r w:rsidRPr="001167CB">
        <w:rPr>
          <w:rFonts w:asciiTheme="majorHAnsi" w:hAnsiTheme="majorHAnsi" w:cstheme="majorHAnsi"/>
          <w:color w:val="808080" w:themeColor="background1" w:themeShade="80"/>
          <w:sz w:val="16"/>
          <w:szCs w:val="16"/>
        </w:rPr>
        <w:t xml:space="preserve"> &amp; C. Woodworth, </w:t>
      </w:r>
      <w:r w:rsidRPr="001167CB">
        <w:rPr>
          <w:rFonts w:asciiTheme="majorHAnsi" w:hAnsiTheme="majorHAnsi" w:cstheme="majorHAnsi"/>
          <w:iCs/>
          <w:color w:val="808080" w:themeColor="background1" w:themeShade="80"/>
          <w:sz w:val="16"/>
          <w:szCs w:val="16"/>
        </w:rPr>
        <w:t>Race Discrimination and the Legitimacy of Capital Punishment: Reflections on the Interaction of Fact and Perception</w:t>
      </w:r>
      <w:r w:rsidRPr="001167CB">
        <w:rPr>
          <w:rFonts w:asciiTheme="majorHAnsi" w:hAnsiTheme="majorHAnsi" w:cstheme="majorHAnsi"/>
          <w:color w:val="808080" w:themeColor="background1" w:themeShade="80"/>
          <w:sz w:val="16"/>
          <w:szCs w:val="16"/>
        </w:rPr>
        <w:t xml:space="preserve">, 53 </w:t>
      </w:r>
      <w:r w:rsidRPr="001167CB">
        <w:rPr>
          <w:rFonts w:asciiTheme="majorHAnsi" w:hAnsiTheme="majorHAnsi" w:cstheme="majorHAnsi"/>
          <w:i/>
          <w:color w:val="808080" w:themeColor="background1" w:themeShade="80"/>
          <w:sz w:val="16"/>
          <w:szCs w:val="16"/>
        </w:rPr>
        <w:t>DePaul Law Review</w:t>
      </w:r>
      <w:r w:rsidRPr="001167CB">
        <w:rPr>
          <w:rFonts w:asciiTheme="majorHAnsi" w:hAnsiTheme="majorHAnsi" w:cstheme="majorHAnsi"/>
          <w:color w:val="808080" w:themeColor="background1" w:themeShade="80"/>
          <w:sz w:val="16"/>
          <w:szCs w:val="16"/>
        </w:rPr>
        <w:t xml:space="preserve"> 1411 (2004)); </w:t>
      </w:r>
      <w:r w:rsidRPr="001167CB">
        <w:rPr>
          <w:rFonts w:asciiTheme="majorHAnsi" w:hAnsiTheme="majorHAnsi" w:cstheme="majorHAnsi"/>
          <w:i/>
          <w:color w:val="808080" w:themeColor="background1" w:themeShade="80"/>
          <w:sz w:val="16"/>
          <w:szCs w:val="16"/>
        </w:rPr>
        <w:t>see also</w:t>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i/>
          <w:color w:val="808080" w:themeColor="background1" w:themeShade="80"/>
          <w:sz w:val="16"/>
          <w:szCs w:val="16"/>
        </w:rPr>
        <w:t>supra</w:t>
      </w:r>
      <w:r w:rsidRPr="001167CB">
        <w:rPr>
          <w:rFonts w:asciiTheme="majorHAnsi" w:hAnsiTheme="majorHAnsi" w:cstheme="majorHAnsi"/>
          <w:color w:val="808080" w:themeColor="background1" w:themeShade="80"/>
          <w:sz w:val="16"/>
          <w:szCs w:val="16"/>
        </w:rPr>
        <w:t xml:space="preserve"> footnotes </w:t>
      </w:r>
      <w:r w:rsidRPr="001167CB">
        <w:rPr>
          <w:rFonts w:asciiTheme="majorHAnsi" w:hAnsiTheme="majorHAnsi" w:cstheme="majorHAnsi"/>
          <w:color w:val="808080" w:themeColor="background1" w:themeShade="80"/>
          <w:sz w:val="16"/>
          <w:szCs w:val="16"/>
        </w:rPr>
        <w:fldChar w:fldCharType="begin"/>
      </w:r>
      <w:r w:rsidRPr="001167CB">
        <w:rPr>
          <w:rFonts w:asciiTheme="majorHAnsi" w:hAnsiTheme="majorHAnsi" w:cstheme="majorHAnsi"/>
          <w:color w:val="808080" w:themeColor="background1" w:themeShade="80"/>
          <w:sz w:val="16"/>
          <w:szCs w:val="16"/>
        </w:rPr>
        <w:instrText xml:space="preserve"> NOTEREF _Ref500752134 \h  \* MERGEFORMAT </w:instrText>
      </w:r>
      <w:r w:rsidRPr="001167CB">
        <w:rPr>
          <w:rFonts w:asciiTheme="majorHAnsi" w:hAnsiTheme="majorHAnsi" w:cstheme="majorHAnsi"/>
          <w:color w:val="808080" w:themeColor="background1" w:themeShade="80"/>
          <w:sz w:val="16"/>
          <w:szCs w:val="16"/>
        </w:rPr>
      </w:r>
      <w:r w:rsidRPr="001167CB">
        <w:rPr>
          <w:rFonts w:asciiTheme="majorHAnsi" w:hAnsiTheme="majorHAnsi" w:cstheme="majorHAnsi"/>
          <w:color w:val="808080" w:themeColor="background1" w:themeShade="80"/>
          <w:sz w:val="16"/>
          <w:szCs w:val="16"/>
        </w:rPr>
        <w:fldChar w:fldCharType="separate"/>
      </w:r>
      <w:r w:rsidRPr="001167CB">
        <w:rPr>
          <w:rFonts w:asciiTheme="majorHAnsi" w:hAnsiTheme="majorHAnsi" w:cstheme="majorHAnsi"/>
          <w:color w:val="808080" w:themeColor="background1" w:themeShade="80"/>
          <w:sz w:val="16"/>
          <w:szCs w:val="16"/>
        </w:rPr>
        <w:t>88</w:t>
      </w:r>
      <w:r w:rsidRPr="001167CB">
        <w:rPr>
          <w:rFonts w:asciiTheme="majorHAnsi" w:hAnsiTheme="majorHAnsi" w:cstheme="majorHAnsi"/>
          <w:color w:val="808080" w:themeColor="background1" w:themeShade="80"/>
          <w:sz w:val="16"/>
          <w:szCs w:val="16"/>
        </w:rPr>
        <w:fldChar w:fldCharType="end"/>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fldChar w:fldCharType="begin"/>
      </w:r>
      <w:r w:rsidRPr="001167CB">
        <w:rPr>
          <w:rFonts w:asciiTheme="majorHAnsi" w:hAnsiTheme="majorHAnsi" w:cstheme="majorHAnsi"/>
          <w:color w:val="808080" w:themeColor="background1" w:themeShade="80"/>
          <w:sz w:val="16"/>
          <w:szCs w:val="16"/>
        </w:rPr>
        <w:instrText xml:space="preserve"> NOTEREF _Ref507165488 \h  \* MERGEFORMAT </w:instrText>
      </w:r>
      <w:r w:rsidRPr="001167CB">
        <w:rPr>
          <w:rFonts w:asciiTheme="majorHAnsi" w:hAnsiTheme="majorHAnsi" w:cstheme="majorHAnsi"/>
          <w:color w:val="808080" w:themeColor="background1" w:themeShade="80"/>
          <w:sz w:val="16"/>
          <w:szCs w:val="16"/>
        </w:rPr>
      </w:r>
      <w:r w:rsidRPr="001167CB">
        <w:rPr>
          <w:rFonts w:asciiTheme="majorHAnsi" w:hAnsiTheme="majorHAnsi" w:cstheme="majorHAnsi"/>
          <w:color w:val="808080" w:themeColor="background1" w:themeShade="80"/>
          <w:sz w:val="16"/>
          <w:szCs w:val="16"/>
        </w:rPr>
        <w:fldChar w:fldCharType="separate"/>
      </w:r>
      <w:r w:rsidRPr="001167CB">
        <w:rPr>
          <w:rFonts w:asciiTheme="majorHAnsi" w:hAnsiTheme="majorHAnsi" w:cstheme="majorHAnsi"/>
          <w:color w:val="808080" w:themeColor="background1" w:themeShade="80"/>
          <w:sz w:val="16"/>
          <w:szCs w:val="16"/>
        </w:rPr>
        <w:t>65</w:t>
      </w:r>
      <w:r w:rsidRPr="001167CB">
        <w:rPr>
          <w:rFonts w:asciiTheme="majorHAnsi" w:hAnsiTheme="majorHAnsi" w:cstheme="majorHAnsi"/>
          <w:color w:val="808080" w:themeColor="background1" w:themeShade="80"/>
          <w:sz w:val="16"/>
          <w:szCs w:val="16"/>
        </w:rPr>
        <w:fldChar w:fldCharType="end"/>
      </w:r>
      <w:r w:rsidRPr="001167CB">
        <w:rPr>
          <w:rFonts w:asciiTheme="majorHAnsi" w:hAnsiTheme="majorHAnsi" w:cstheme="majorHAnsi"/>
          <w:color w:val="808080" w:themeColor="background1" w:themeShade="80"/>
          <w:sz w:val="16"/>
          <w:szCs w:val="16"/>
        </w:rPr>
        <w:t xml:space="preserve">. </w:t>
      </w:r>
    </w:p>
  </w:footnote>
  <w:footnote w:id="308">
    <w:p w14:paraId="008CE3D5"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Prison Policy, </w:t>
      </w:r>
      <w:hyperlink r:id="rId372" w:history="1">
        <w:r w:rsidRPr="001167CB">
          <w:rPr>
            <w:rStyle w:val="Hyperlink"/>
            <w:rFonts w:asciiTheme="majorHAnsi" w:hAnsiTheme="majorHAnsi" w:cstheme="majorHAnsi"/>
            <w:bCs/>
            <w:color w:val="808080" w:themeColor="background1" w:themeShade="80"/>
            <w:sz w:val="16"/>
            <w:szCs w:val="16"/>
          </w:rPr>
          <w:t>States of Incarceration: The Global Context</w:t>
        </w:r>
      </w:hyperlink>
      <w:r w:rsidRPr="001167CB">
        <w:rPr>
          <w:rFonts w:asciiTheme="majorHAnsi" w:eastAsia="Times New Roman" w:hAnsiTheme="majorHAnsi" w:cstheme="majorHAnsi"/>
          <w:bCs/>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 xml:space="preserve">Aug. </w:t>
      </w:r>
      <w:r w:rsidRPr="001167CB">
        <w:rPr>
          <w:rFonts w:asciiTheme="majorHAnsi" w:eastAsia="Times New Roman" w:hAnsiTheme="majorHAnsi" w:cstheme="majorHAnsi"/>
          <w:bCs/>
          <w:color w:val="808080" w:themeColor="background1" w:themeShade="80"/>
          <w:sz w:val="16"/>
          <w:szCs w:val="16"/>
        </w:rPr>
        <w:t>2017.</w:t>
      </w:r>
    </w:p>
  </w:footnote>
  <w:footnote w:id="309">
    <w:p w14:paraId="380D2391"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Prison Policy Initiative</w:t>
      </w:r>
      <w:hyperlink r:id="rId373" w:history="1">
        <w:r w:rsidRPr="001167CB">
          <w:rPr>
            <w:rStyle w:val="Hyperlink"/>
            <w:rFonts w:asciiTheme="majorHAnsi" w:hAnsiTheme="majorHAnsi" w:cstheme="majorHAnsi"/>
            <w:color w:val="808080" w:themeColor="background1" w:themeShade="80"/>
            <w:sz w:val="16"/>
            <w:szCs w:val="16"/>
          </w:rPr>
          <w:t>, States of Incarceration: The Global Context 2016</w:t>
        </w:r>
      </w:hyperlink>
      <w:r w:rsidRPr="001167CB">
        <w:rPr>
          <w:rFonts w:asciiTheme="majorHAnsi" w:hAnsiTheme="majorHAnsi" w:cstheme="majorHAnsi"/>
          <w:color w:val="808080" w:themeColor="background1" w:themeShade="80"/>
          <w:sz w:val="16"/>
          <w:szCs w:val="16"/>
        </w:rPr>
        <w:t>, June 16, 2016.</w:t>
      </w:r>
    </w:p>
  </w:footnote>
  <w:footnote w:id="310">
    <w:p w14:paraId="6B1A4C90" w14:textId="77777777" w:rsidR="005C2394" w:rsidRPr="001167CB" w:rsidRDefault="005C2394" w:rsidP="002C64F8">
      <w:pPr>
        <w:pStyle w:val="FootnoteText"/>
        <w:spacing w:after="40"/>
        <w:ind w:left="547" w:hanging="547"/>
        <w:jc w:val="both"/>
        <w:rPr>
          <w:rFonts w:asciiTheme="majorHAnsi" w:eastAsiaTheme="min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Prison Policy Initiative, </w:t>
      </w:r>
      <w:hyperlink r:id="rId374" w:history="1">
        <w:r w:rsidRPr="001167CB">
          <w:rPr>
            <w:rStyle w:val="Hyperlink"/>
            <w:rFonts w:asciiTheme="majorHAnsi" w:hAnsiTheme="majorHAnsi" w:cstheme="majorHAnsi"/>
            <w:color w:val="808080" w:themeColor="background1" w:themeShade="80"/>
            <w:sz w:val="16"/>
            <w:szCs w:val="16"/>
          </w:rPr>
          <w:t>Mass Incarceration: The Whole Pie 2017</w:t>
        </w:r>
      </w:hyperlink>
      <w:r w:rsidRPr="001167CB">
        <w:rPr>
          <w:rFonts w:asciiTheme="majorHAnsi" w:hAnsiTheme="majorHAnsi" w:cstheme="majorHAnsi"/>
          <w:color w:val="808080" w:themeColor="background1" w:themeShade="80"/>
          <w:sz w:val="16"/>
          <w:szCs w:val="16"/>
        </w:rPr>
        <w:t>, Mar. 14, 2017.</w:t>
      </w:r>
    </w:p>
  </w:footnote>
  <w:footnote w:id="311">
    <w:p w14:paraId="6AF82247"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Pew Charitable Trusts, </w:t>
      </w:r>
      <w:hyperlink r:id="rId375" w:history="1">
        <w:r w:rsidRPr="001167CB">
          <w:rPr>
            <w:rStyle w:val="Hyperlink"/>
            <w:rFonts w:asciiTheme="majorHAnsi" w:hAnsiTheme="majorHAnsi" w:cstheme="majorHAnsi"/>
            <w:color w:val="808080" w:themeColor="background1" w:themeShade="80"/>
            <w:sz w:val="16"/>
            <w:szCs w:val="16"/>
          </w:rPr>
          <w:t>State Reforms Reverse Decades of Incarceration Growth</w:t>
        </w:r>
      </w:hyperlink>
      <w:r w:rsidRPr="001167CB">
        <w:rPr>
          <w:rFonts w:asciiTheme="majorHAnsi" w:hAnsiTheme="majorHAnsi" w:cstheme="majorHAnsi"/>
          <w:color w:val="808080" w:themeColor="background1" w:themeShade="80"/>
          <w:sz w:val="16"/>
          <w:szCs w:val="16"/>
        </w:rPr>
        <w:t>, Mar. 21, 2017. This report notes that the number of adults subject to any kind of correctional control, such as probation or parole, is much higher than the incarceration rate, but has also been falling since 2007, from a peak of 1 in 31 adults in the U.S. subject to correctional control to the current rate of 1 in 37.</w:t>
      </w:r>
    </w:p>
  </w:footnote>
  <w:footnote w:id="312">
    <w:p w14:paraId="4C47E245"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The Sentencing Project, </w:t>
      </w:r>
      <w:hyperlink r:id="rId376" w:history="1">
        <w:proofErr w:type="gramStart"/>
        <w:r w:rsidRPr="001167CB">
          <w:rPr>
            <w:rStyle w:val="Hyperlink"/>
            <w:rFonts w:asciiTheme="majorHAnsi" w:hAnsiTheme="majorHAnsi" w:cstheme="majorHAnsi"/>
            <w:color w:val="808080" w:themeColor="background1" w:themeShade="80"/>
            <w:sz w:val="16"/>
            <w:szCs w:val="16"/>
          </w:rPr>
          <w:t>The</w:t>
        </w:r>
        <w:proofErr w:type="gramEnd"/>
        <w:r w:rsidRPr="001167CB">
          <w:rPr>
            <w:rStyle w:val="Hyperlink"/>
            <w:rFonts w:asciiTheme="majorHAnsi" w:hAnsiTheme="majorHAnsi" w:cstheme="majorHAnsi"/>
            <w:color w:val="808080" w:themeColor="background1" w:themeShade="80"/>
            <w:sz w:val="16"/>
            <w:szCs w:val="16"/>
          </w:rPr>
          <w:t xml:space="preserve"> Color of Justice: Racial and Ethnic Disparity in State Prisons</w:t>
        </w:r>
      </w:hyperlink>
      <w:r w:rsidRPr="001167CB">
        <w:rPr>
          <w:rFonts w:asciiTheme="majorHAnsi" w:hAnsiTheme="majorHAnsi" w:cstheme="majorHAnsi"/>
          <w:color w:val="808080" w:themeColor="background1" w:themeShade="80"/>
          <w:sz w:val="16"/>
          <w:szCs w:val="16"/>
        </w:rPr>
        <w:t>, June 14, 2016.</w:t>
      </w:r>
    </w:p>
  </w:footnote>
  <w:footnote w:id="313">
    <w:p w14:paraId="7CC0613B"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Id.</w:t>
      </w:r>
    </w:p>
  </w:footnote>
  <w:footnote w:id="314">
    <w:p w14:paraId="7B5F1169" w14:textId="77777777" w:rsidR="005C2394" w:rsidRPr="001167CB" w:rsidRDefault="005C2394" w:rsidP="002C64F8">
      <w:pPr>
        <w:spacing w:after="40" w:line="240" w:lineRule="auto"/>
        <w:ind w:left="547" w:hanging="547"/>
        <w:jc w:val="both"/>
        <w:rPr>
          <w:rFonts w:asciiTheme="majorHAnsi" w:eastAsia="Times New Roman"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Death Penalty Information Center, </w:t>
      </w:r>
      <w:hyperlink r:id="rId377" w:history="1">
        <w:r w:rsidRPr="001167CB">
          <w:rPr>
            <w:rStyle w:val="Hyperlink"/>
            <w:rFonts w:asciiTheme="majorHAnsi" w:hAnsiTheme="majorHAnsi" w:cstheme="majorHAnsi"/>
            <w:bCs/>
            <w:color w:val="808080" w:themeColor="background1" w:themeShade="80"/>
            <w:sz w:val="16"/>
            <w:szCs w:val="16"/>
            <w:shd w:val="clear" w:color="auto" w:fill="FFFFFF"/>
          </w:rPr>
          <w:t>National Statistics on the Death Penalty and Race,</w:t>
        </w:r>
      </w:hyperlink>
      <w:r w:rsidRPr="001167CB">
        <w:rPr>
          <w:rFonts w:asciiTheme="majorHAnsi" w:eastAsia="Times New Roman" w:hAnsiTheme="majorHAnsi" w:cstheme="majorHAnsi"/>
          <w:bCs/>
          <w:color w:val="808080" w:themeColor="background1" w:themeShade="80"/>
          <w:sz w:val="16"/>
          <w:szCs w:val="16"/>
          <w:shd w:val="clear" w:color="auto" w:fill="FFFFFF"/>
        </w:rPr>
        <w:t xml:space="preserve"> </w:t>
      </w:r>
      <w:r w:rsidRPr="001167CB">
        <w:rPr>
          <w:rFonts w:asciiTheme="majorHAnsi" w:hAnsiTheme="majorHAnsi" w:cstheme="majorHAnsi"/>
          <w:color w:val="808080" w:themeColor="background1" w:themeShade="80"/>
          <w:sz w:val="16"/>
          <w:szCs w:val="16"/>
        </w:rPr>
        <w:t xml:space="preserve">Aug. </w:t>
      </w:r>
      <w:r w:rsidRPr="001167CB">
        <w:rPr>
          <w:rFonts w:asciiTheme="majorHAnsi" w:eastAsia="Times New Roman" w:hAnsiTheme="majorHAnsi" w:cstheme="majorHAnsi"/>
          <w:bCs/>
          <w:color w:val="808080" w:themeColor="background1" w:themeShade="80"/>
          <w:sz w:val="16"/>
          <w:szCs w:val="16"/>
          <w:shd w:val="clear" w:color="auto" w:fill="FFFFFF"/>
        </w:rPr>
        <w:t>2017.</w:t>
      </w:r>
    </w:p>
  </w:footnote>
  <w:footnote w:id="315">
    <w:p w14:paraId="092BE874"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Prison Policy Initiative, </w:t>
      </w:r>
      <w:hyperlink r:id="rId378" w:history="1">
        <w:r w:rsidRPr="001167CB">
          <w:rPr>
            <w:rStyle w:val="Hyperlink"/>
            <w:rFonts w:asciiTheme="majorHAnsi" w:hAnsiTheme="majorHAnsi" w:cstheme="majorHAnsi"/>
            <w:color w:val="808080" w:themeColor="background1" w:themeShade="80"/>
            <w:sz w:val="16"/>
            <w:szCs w:val="16"/>
          </w:rPr>
          <w:t>Breaking Down Mass Incarceration in the 2010 Census: State-by-State Incarceration Rates by Race/Ethnicity</w:t>
        </w:r>
      </w:hyperlink>
      <w:r w:rsidRPr="001167CB">
        <w:rPr>
          <w:rFonts w:asciiTheme="majorHAnsi" w:hAnsiTheme="majorHAnsi" w:cstheme="majorHAnsi"/>
          <w:color w:val="808080" w:themeColor="background1" w:themeShade="80"/>
          <w:sz w:val="16"/>
          <w:szCs w:val="16"/>
        </w:rPr>
        <w:t>, May 28, 2014.</w:t>
      </w:r>
    </w:p>
  </w:footnote>
  <w:footnote w:id="316">
    <w:p w14:paraId="74814EA1"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Sentencing Project, </w:t>
      </w:r>
      <w:hyperlink r:id="rId379" w:history="1">
        <w:proofErr w:type="gramStart"/>
        <w:r w:rsidRPr="001167CB">
          <w:rPr>
            <w:rStyle w:val="Hyperlink"/>
            <w:rFonts w:asciiTheme="majorHAnsi" w:hAnsiTheme="majorHAnsi" w:cstheme="majorHAnsi"/>
            <w:color w:val="808080" w:themeColor="background1" w:themeShade="80"/>
            <w:sz w:val="16"/>
            <w:szCs w:val="16"/>
          </w:rPr>
          <w:t>The</w:t>
        </w:r>
        <w:proofErr w:type="gramEnd"/>
        <w:r w:rsidRPr="001167CB">
          <w:rPr>
            <w:rStyle w:val="Hyperlink"/>
            <w:rFonts w:asciiTheme="majorHAnsi" w:hAnsiTheme="majorHAnsi" w:cstheme="majorHAnsi"/>
            <w:color w:val="808080" w:themeColor="background1" w:themeShade="80"/>
            <w:sz w:val="16"/>
            <w:szCs w:val="16"/>
          </w:rPr>
          <w:t xml:space="preserve"> Color of Justice: Racial and Ethnic Disparity in State Prisons</w:t>
        </w:r>
      </w:hyperlink>
      <w:r w:rsidRPr="001167CB">
        <w:rPr>
          <w:rFonts w:asciiTheme="majorHAnsi" w:hAnsiTheme="majorHAnsi" w:cstheme="majorHAnsi"/>
          <w:color w:val="808080" w:themeColor="background1" w:themeShade="80"/>
          <w:sz w:val="16"/>
          <w:szCs w:val="16"/>
        </w:rPr>
        <w:t>, June 14, 2016.</w:t>
      </w:r>
    </w:p>
  </w:footnote>
  <w:footnote w:id="317">
    <w:p w14:paraId="1FB261F0"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bCs/>
          <w:color w:val="808080" w:themeColor="background1" w:themeShade="80"/>
          <w:sz w:val="16"/>
          <w:szCs w:val="16"/>
        </w:rPr>
        <w:t xml:space="preserve">IACHR, </w:t>
      </w:r>
      <w:hyperlink r:id="rId380" w:history="1">
        <w:r w:rsidRPr="001167CB">
          <w:rPr>
            <w:rStyle w:val="Hyperlink"/>
            <w:rFonts w:asciiTheme="majorHAnsi" w:hAnsiTheme="majorHAnsi" w:cstheme="majorHAnsi"/>
            <w:bCs/>
            <w:color w:val="808080" w:themeColor="background1" w:themeShade="80"/>
            <w:sz w:val="16"/>
            <w:szCs w:val="16"/>
          </w:rPr>
          <w:t>Measures to Reduce Pretrial Detention</w:t>
        </w:r>
      </w:hyperlink>
      <w:r w:rsidRPr="001167CB">
        <w:rPr>
          <w:rFonts w:asciiTheme="majorHAnsi" w:hAnsiTheme="majorHAnsi" w:cstheme="majorHAnsi"/>
          <w:bCs/>
          <w:color w:val="808080" w:themeColor="background1" w:themeShade="80"/>
          <w:sz w:val="16"/>
          <w:szCs w:val="16"/>
        </w:rPr>
        <w:t>, OEA/</w:t>
      </w:r>
      <w:proofErr w:type="spellStart"/>
      <w:r w:rsidRPr="001167CB">
        <w:rPr>
          <w:rFonts w:asciiTheme="majorHAnsi" w:hAnsiTheme="majorHAnsi" w:cstheme="majorHAnsi"/>
          <w:bCs/>
          <w:color w:val="808080" w:themeColor="background1" w:themeShade="80"/>
          <w:sz w:val="16"/>
          <w:szCs w:val="16"/>
        </w:rPr>
        <w:t>Ser.L</w:t>
      </w:r>
      <w:proofErr w:type="spellEnd"/>
      <w:r w:rsidRPr="001167CB">
        <w:rPr>
          <w:rFonts w:asciiTheme="majorHAnsi" w:hAnsiTheme="majorHAnsi" w:cstheme="majorHAnsi"/>
          <w:bCs/>
          <w:color w:val="808080" w:themeColor="background1" w:themeShade="80"/>
          <w:sz w:val="16"/>
          <w:szCs w:val="16"/>
        </w:rPr>
        <w:t xml:space="preserve">/V/II.163, Doc. 105 (2017), </w:t>
      </w:r>
      <w:r w:rsidRPr="001167CB">
        <w:rPr>
          <w:rFonts w:asciiTheme="majorHAnsi" w:hAnsiTheme="majorHAnsi" w:cstheme="majorHAnsi"/>
          <w:color w:val="808080" w:themeColor="background1" w:themeShade="80"/>
          <w:sz w:val="16"/>
          <w:szCs w:val="16"/>
        </w:rPr>
        <w:t>para. 153.</w:t>
      </w:r>
    </w:p>
  </w:footnote>
  <w:footnote w:id="318">
    <w:p w14:paraId="1963F9F3"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i/>
          <w:color w:val="808080" w:themeColor="background1" w:themeShade="80"/>
          <w:sz w:val="16"/>
          <w:szCs w:val="16"/>
        </w:rPr>
        <w:t>See, e.g.,</w:t>
      </w:r>
      <w:r w:rsidRPr="001167CB">
        <w:rPr>
          <w:rFonts w:asciiTheme="majorHAnsi" w:hAnsiTheme="majorHAnsi" w:cstheme="majorHAnsi"/>
          <w:color w:val="808080" w:themeColor="background1" w:themeShade="80"/>
          <w:sz w:val="16"/>
          <w:szCs w:val="16"/>
        </w:rPr>
        <w:t xml:space="preserve"> IACHR, Press Release No. 120/12, </w:t>
      </w:r>
      <w:hyperlink r:id="rId381" w:history="1">
        <w:r w:rsidRPr="001167CB">
          <w:rPr>
            <w:rStyle w:val="Hyperlink"/>
            <w:rFonts w:asciiTheme="majorHAnsi" w:hAnsiTheme="majorHAnsi" w:cstheme="majorHAnsi"/>
            <w:color w:val="808080" w:themeColor="background1" w:themeShade="80"/>
            <w:sz w:val="16"/>
            <w:szCs w:val="16"/>
          </w:rPr>
          <w:t>IACHR Expresses Concern on Acts of Violence in Prison in the United States</w:t>
        </w:r>
      </w:hyperlink>
      <w:r w:rsidRPr="001167CB">
        <w:rPr>
          <w:rFonts w:asciiTheme="majorHAnsi" w:hAnsiTheme="majorHAnsi" w:cstheme="majorHAnsi"/>
          <w:color w:val="808080" w:themeColor="background1" w:themeShade="80"/>
          <w:sz w:val="16"/>
          <w:szCs w:val="16"/>
        </w:rPr>
        <w:t xml:space="preserve">, Sept. 26, 2012; Press Release No. 104/14, </w:t>
      </w:r>
      <w:hyperlink r:id="rId382" w:history="1">
        <w:r w:rsidRPr="001167CB">
          <w:rPr>
            <w:rStyle w:val="Hyperlink"/>
            <w:rFonts w:asciiTheme="majorHAnsi" w:hAnsiTheme="majorHAnsi" w:cstheme="majorHAnsi"/>
            <w:color w:val="808080" w:themeColor="background1" w:themeShade="80"/>
            <w:sz w:val="16"/>
            <w:szCs w:val="16"/>
          </w:rPr>
          <w:t xml:space="preserve">IACHR Expresses Concern over Detention Conditions at </w:t>
        </w:r>
        <w:proofErr w:type="spellStart"/>
        <w:r w:rsidRPr="001167CB">
          <w:rPr>
            <w:rStyle w:val="Hyperlink"/>
            <w:rFonts w:asciiTheme="majorHAnsi" w:hAnsiTheme="majorHAnsi" w:cstheme="majorHAnsi"/>
            <w:color w:val="808080" w:themeColor="background1" w:themeShade="80"/>
            <w:sz w:val="16"/>
            <w:szCs w:val="16"/>
          </w:rPr>
          <w:t>Rikers</w:t>
        </w:r>
        <w:proofErr w:type="spellEnd"/>
        <w:r w:rsidRPr="001167CB">
          <w:rPr>
            <w:rStyle w:val="Hyperlink"/>
            <w:rFonts w:asciiTheme="majorHAnsi" w:hAnsiTheme="majorHAnsi" w:cstheme="majorHAnsi"/>
            <w:color w:val="808080" w:themeColor="background1" w:themeShade="80"/>
            <w:sz w:val="16"/>
            <w:szCs w:val="16"/>
          </w:rPr>
          <w:t xml:space="preserve"> Island Prison, United States, a year after the tragic death of an inmate</w:t>
        </w:r>
      </w:hyperlink>
      <w:r w:rsidRPr="001167CB">
        <w:rPr>
          <w:rFonts w:asciiTheme="majorHAnsi" w:hAnsiTheme="majorHAnsi" w:cstheme="majorHAnsi"/>
          <w:color w:val="808080" w:themeColor="background1" w:themeShade="80"/>
          <w:sz w:val="16"/>
          <w:szCs w:val="16"/>
        </w:rPr>
        <w:t>, Sept. 18, 2014.</w:t>
      </w:r>
    </w:p>
  </w:footnote>
  <w:footnote w:id="319">
    <w:p w14:paraId="2B7896E0"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bCs/>
          <w:color w:val="808080" w:themeColor="background1" w:themeShade="80"/>
          <w:sz w:val="16"/>
          <w:szCs w:val="16"/>
        </w:rPr>
        <w:t xml:space="preserve">IACHR, </w:t>
      </w:r>
      <w:hyperlink r:id="rId383" w:history="1">
        <w:r w:rsidRPr="001167CB">
          <w:rPr>
            <w:rStyle w:val="Hyperlink"/>
            <w:rFonts w:asciiTheme="majorHAnsi" w:hAnsiTheme="majorHAnsi" w:cstheme="majorHAnsi"/>
            <w:bCs/>
            <w:color w:val="808080" w:themeColor="background1" w:themeShade="80"/>
            <w:sz w:val="16"/>
            <w:szCs w:val="16"/>
          </w:rPr>
          <w:t>On-Site Visit Press Release</w:t>
        </w:r>
      </w:hyperlink>
      <w:r w:rsidRPr="001167CB">
        <w:rPr>
          <w:rFonts w:asciiTheme="majorHAnsi" w:hAnsiTheme="majorHAnsi" w:cstheme="majorHAnsi"/>
          <w:bCs/>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 xml:space="preserve">Oct. </w:t>
      </w:r>
      <w:r w:rsidRPr="001167CB">
        <w:rPr>
          <w:rFonts w:asciiTheme="majorHAnsi" w:hAnsiTheme="majorHAnsi" w:cstheme="majorHAnsi"/>
          <w:bCs/>
          <w:color w:val="808080" w:themeColor="background1" w:themeShade="80"/>
          <w:sz w:val="16"/>
          <w:szCs w:val="16"/>
        </w:rPr>
        <w:t>16, 2015</w:t>
      </w:r>
      <w:r w:rsidRPr="001167CB">
        <w:rPr>
          <w:rFonts w:asciiTheme="majorHAnsi" w:hAnsiTheme="majorHAnsi" w:cstheme="majorHAnsi"/>
          <w:color w:val="808080" w:themeColor="background1" w:themeShade="80"/>
          <w:sz w:val="16"/>
          <w:szCs w:val="16"/>
        </w:rPr>
        <w:t>.</w:t>
      </w:r>
    </w:p>
  </w:footnote>
  <w:footnote w:id="320">
    <w:p w14:paraId="4C40E0AC"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bCs/>
          <w:color w:val="808080" w:themeColor="background1" w:themeShade="80"/>
          <w:sz w:val="16"/>
          <w:szCs w:val="16"/>
        </w:rPr>
        <w:t xml:space="preserve">U.N., Working Group on People of African Descent. </w:t>
      </w:r>
      <w:hyperlink r:id="rId384" w:history="1">
        <w:r w:rsidRPr="001167CB">
          <w:rPr>
            <w:rStyle w:val="Hyperlink"/>
            <w:rFonts w:asciiTheme="majorHAnsi" w:hAnsiTheme="majorHAnsi" w:cstheme="majorHAnsi"/>
            <w:bCs/>
            <w:color w:val="808080" w:themeColor="background1" w:themeShade="80"/>
            <w:sz w:val="16"/>
            <w:szCs w:val="16"/>
          </w:rPr>
          <w:t>Report on mission to the U.S.</w:t>
        </w:r>
      </w:hyperlink>
      <w:r w:rsidRPr="001167CB">
        <w:rPr>
          <w:rFonts w:asciiTheme="majorHAnsi" w:hAnsiTheme="majorHAnsi" w:cstheme="majorHAnsi"/>
          <w:bCs/>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 xml:space="preserve">Aug. </w:t>
      </w:r>
      <w:r w:rsidRPr="001167CB">
        <w:rPr>
          <w:rFonts w:asciiTheme="majorHAnsi" w:hAnsiTheme="majorHAnsi" w:cstheme="majorHAnsi"/>
          <w:bCs/>
          <w:color w:val="808080" w:themeColor="background1" w:themeShade="80"/>
          <w:sz w:val="16"/>
          <w:szCs w:val="16"/>
        </w:rPr>
        <w:t>18, 2016</w:t>
      </w:r>
      <w:r w:rsidRPr="001167CB">
        <w:rPr>
          <w:rFonts w:asciiTheme="majorHAnsi" w:hAnsiTheme="majorHAnsi" w:cstheme="majorHAnsi"/>
          <w:color w:val="808080" w:themeColor="background1" w:themeShade="80"/>
          <w:sz w:val="16"/>
          <w:szCs w:val="16"/>
        </w:rPr>
        <w:t>, para. 35.</w:t>
      </w:r>
    </w:p>
  </w:footnote>
  <w:footnote w:id="321">
    <w:p w14:paraId="6FF80365"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Solitary Watch, </w:t>
      </w:r>
      <w:hyperlink r:id="rId385" w:history="1">
        <w:r w:rsidRPr="001167CB">
          <w:rPr>
            <w:rStyle w:val="Hyperlink"/>
            <w:rFonts w:asciiTheme="majorHAnsi" w:hAnsiTheme="majorHAnsi" w:cstheme="majorHAnsi"/>
            <w:color w:val="808080" w:themeColor="background1" w:themeShade="80"/>
            <w:sz w:val="16"/>
            <w:szCs w:val="16"/>
          </w:rPr>
          <w:t>Prison Segregation and Racial Disparities</w:t>
        </w:r>
      </w:hyperlink>
      <w:r w:rsidRPr="001167CB">
        <w:rPr>
          <w:rFonts w:asciiTheme="majorHAnsi" w:hAnsiTheme="majorHAnsi" w:cstheme="majorHAnsi"/>
          <w:color w:val="808080" w:themeColor="background1" w:themeShade="80"/>
          <w:sz w:val="16"/>
          <w:szCs w:val="16"/>
        </w:rPr>
        <w:t xml:space="preserve">, Nov. 2, 2013; </w:t>
      </w:r>
      <w:r w:rsidRPr="001167CB">
        <w:rPr>
          <w:rFonts w:asciiTheme="majorHAnsi" w:hAnsiTheme="majorHAnsi" w:cstheme="majorHAnsi"/>
          <w:bCs/>
          <w:color w:val="808080" w:themeColor="background1" w:themeShade="80"/>
          <w:sz w:val="16"/>
          <w:szCs w:val="16"/>
        </w:rPr>
        <w:t xml:space="preserve">U.N., Working Group on People of African Descent. </w:t>
      </w:r>
      <w:hyperlink r:id="rId386" w:history="1">
        <w:r w:rsidRPr="001167CB">
          <w:rPr>
            <w:rStyle w:val="Hyperlink"/>
            <w:rFonts w:asciiTheme="majorHAnsi" w:hAnsiTheme="majorHAnsi" w:cstheme="majorHAnsi"/>
            <w:bCs/>
            <w:color w:val="808080" w:themeColor="background1" w:themeShade="80"/>
            <w:sz w:val="16"/>
            <w:szCs w:val="16"/>
          </w:rPr>
          <w:t>Report on mission to the U.S.</w:t>
        </w:r>
      </w:hyperlink>
      <w:r w:rsidRPr="001167CB">
        <w:rPr>
          <w:rFonts w:asciiTheme="majorHAnsi" w:hAnsiTheme="majorHAnsi" w:cstheme="majorHAnsi"/>
          <w:bCs/>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 xml:space="preserve">Aug. </w:t>
      </w:r>
      <w:r w:rsidRPr="001167CB">
        <w:rPr>
          <w:rFonts w:asciiTheme="majorHAnsi" w:hAnsiTheme="majorHAnsi" w:cstheme="majorHAnsi"/>
          <w:bCs/>
          <w:color w:val="808080" w:themeColor="background1" w:themeShade="80"/>
          <w:sz w:val="16"/>
          <w:szCs w:val="16"/>
        </w:rPr>
        <w:t>18, 2016</w:t>
      </w:r>
      <w:r w:rsidRPr="001167CB">
        <w:rPr>
          <w:rFonts w:asciiTheme="majorHAnsi" w:hAnsiTheme="majorHAnsi" w:cstheme="majorHAnsi"/>
          <w:color w:val="808080" w:themeColor="background1" w:themeShade="80"/>
          <w:sz w:val="16"/>
          <w:szCs w:val="16"/>
        </w:rPr>
        <w:t>, para. 35.</w:t>
      </w:r>
    </w:p>
  </w:footnote>
  <w:footnote w:id="322">
    <w:p w14:paraId="18A71C86"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IACHR, Press Release No. 51/13, </w:t>
      </w:r>
      <w:hyperlink r:id="rId387" w:history="1">
        <w:r w:rsidRPr="001167CB">
          <w:rPr>
            <w:rStyle w:val="Hyperlink"/>
            <w:rFonts w:asciiTheme="majorHAnsi" w:hAnsiTheme="majorHAnsi" w:cstheme="majorHAnsi"/>
            <w:color w:val="808080" w:themeColor="background1" w:themeShade="80"/>
            <w:sz w:val="16"/>
            <w:szCs w:val="16"/>
          </w:rPr>
          <w:t>IACHR Expresses Concern over Excessive Use of Solitary Confinement in the United States</w:t>
        </w:r>
      </w:hyperlink>
      <w:r w:rsidRPr="001167CB">
        <w:rPr>
          <w:rFonts w:asciiTheme="majorHAnsi" w:hAnsiTheme="majorHAnsi" w:cstheme="majorHAnsi"/>
          <w:color w:val="808080" w:themeColor="background1" w:themeShade="80"/>
          <w:sz w:val="16"/>
          <w:szCs w:val="16"/>
        </w:rPr>
        <w:t>, July 18, 2013.</w:t>
      </w:r>
    </w:p>
  </w:footnote>
  <w:footnote w:id="323">
    <w:p w14:paraId="5DFE0AA2"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New York Times, </w:t>
      </w:r>
      <w:hyperlink r:id="rId388" w:history="1">
        <w:r w:rsidRPr="001167CB">
          <w:rPr>
            <w:rStyle w:val="Hyperlink"/>
            <w:rFonts w:asciiTheme="majorHAnsi" w:hAnsiTheme="majorHAnsi" w:cstheme="majorHAnsi"/>
            <w:color w:val="808080" w:themeColor="background1" w:themeShade="80"/>
            <w:sz w:val="16"/>
            <w:szCs w:val="16"/>
          </w:rPr>
          <w:t>Jay-Z: The Criminal Justice System Stalks Black People Like Meek Mill</w:t>
        </w:r>
      </w:hyperlink>
      <w:r w:rsidRPr="001167CB">
        <w:rPr>
          <w:rFonts w:asciiTheme="majorHAnsi" w:hAnsiTheme="majorHAnsi" w:cstheme="majorHAnsi"/>
          <w:color w:val="808080" w:themeColor="background1" w:themeShade="80"/>
          <w:sz w:val="16"/>
          <w:szCs w:val="16"/>
        </w:rPr>
        <w:t>, Nov. 17, 2017.</w:t>
      </w:r>
    </w:p>
  </w:footnote>
  <w:footnote w:id="324">
    <w:p w14:paraId="75EACD67"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i/>
          <w:color w:val="808080" w:themeColor="background1" w:themeShade="80"/>
          <w:sz w:val="16"/>
          <w:szCs w:val="16"/>
        </w:rPr>
        <w:t xml:space="preserve">See also generally </w:t>
      </w:r>
      <w:r w:rsidRPr="001167CB">
        <w:rPr>
          <w:rFonts w:asciiTheme="majorHAnsi" w:hAnsiTheme="majorHAnsi" w:cstheme="majorHAnsi"/>
          <w:color w:val="808080" w:themeColor="background1" w:themeShade="80"/>
          <w:sz w:val="16"/>
          <w:szCs w:val="16"/>
        </w:rPr>
        <w:t xml:space="preserve">Michelle Alexander, </w:t>
      </w:r>
      <w:r w:rsidRPr="001167CB">
        <w:rPr>
          <w:rFonts w:asciiTheme="majorHAnsi" w:hAnsiTheme="majorHAnsi" w:cstheme="majorHAnsi"/>
          <w:i/>
          <w:color w:val="808080" w:themeColor="background1" w:themeShade="80"/>
          <w:sz w:val="16"/>
          <w:szCs w:val="16"/>
        </w:rPr>
        <w:t>The New Jim Crow: Mass Incarceration in the Age of Colorblindness</w:t>
      </w:r>
      <w:r w:rsidRPr="001167CB">
        <w:rPr>
          <w:rFonts w:asciiTheme="majorHAnsi" w:hAnsiTheme="majorHAnsi" w:cstheme="majorHAnsi"/>
          <w:color w:val="808080" w:themeColor="background1" w:themeShade="80"/>
          <w:sz w:val="16"/>
          <w:szCs w:val="16"/>
        </w:rPr>
        <w:t xml:space="preserve"> (2010), pp. 157-165.</w:t>
      </w:r>
    </w:p>
  </w:footnote>
  <w:footnote w:id="325">
    <w:p w14:paraId="4BD6DF7B"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bCs/>
          <w:color w:val="808080" w:themeColor="background1" w:themeShade="80"/>
          <w:sz w:val="16"/>
          <w:szCs w:val="16"/>
        </w:rPr>
        <w:t xml:space="preserve">IACHR, 154th Period of Sessions, </w:t>
      </w:r>
      <w:hyperlink r:id="rId389" w:history="1">
        <w:r w:rsidRPr="001167CB">
          <w:rPr>
            <w:rStyle w:val="Hyperlink"/>
            <w:rFonts w:asciiTheme="majorHAnsi" w:hAnsiTheme="majorHAnsi" w:cstheme="majorHAnsi"/>
            <w:bCs/>
            <w:color w:val="808080" w:themeColor="background1" w:themeShade="80"/>
            <w:sz w:val="16"/>
            <w:szCs w:val="16"/>
          </w:rPr>
          <w:t>“Criminal Justice and Race” Hearing</w:t>
        </w:r>
      </w:hyperlink>
      <w:r w:rsidRPr="001167CB">
        <w:rPr>
          <w:rFonts w:asciiTheme="majorHAnsi" w:hAnsiTheme="majorHAnsi" w:cstheme="majorHAnsi"/>
          <w:bCs/>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 xml:space="preserve">Mar. </w:t>
      </w:r>
      <w:r w:rsidRPr="001167CB">
        <w:rPr>
          <w:rFonts w:asciiTheme="majorHAnsi" w:hAnsiTheme="majorHAnsi" w:cstheme="majorHAnsi"/>
          <w:bCs/>
          <w:color w:val="808080" w:themeColor="background1" w:themeShade="80"/>
          <w:sz w:val="16"/>
          <w:szCs w:val="16"/>
        </w:rPr>
        <w:t>16, 2015</w:t>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i/>
          <w:color w:val="808080" w:themeColor="background1" w:themeShade="80"/>
          <w:sz w:val="16"/>
          <w:szCs w:val="16"/>
        </w:rPr>
        <w:t>See also</w:t>
      </w:r>
      <w:r w:rsidRPr="001167CB">
        <w:rPr>
          <w:rFonts w:asciiTheme="majorHAnsi" w:hAnsiTheme="majorHAnsi" w:cstheme="majorHAnsi"/>
          <w:color w:val="808080" w:themeColor="background1" w:themeShade="80"/>
          <w:sz w:val="16"/>
          <w:szCs w:val="16"/>
          <w:lang w:val="en-GB"/>
        </w:rPr>
        <w:t xml:space="preserve"> Press Release No. 035/2015, </w:t>
      </w:r>
      <w:hyperlink r:id="rId390" w:history="1">
        <w:r w:rsidRPr="001167CB">
          <w:rPr>
            <w:rStyle w:val="Hyperlink"/>
            <w:rFonts w:asciiTheme="majorHAnsi" w:hAnsiTheme="majorHAnsi" w:cstheme="majorHAnsi"/>
            <w:color w:val="808080" w:themeColor="background1" w:themeShade="80"/>
            <w:sz w:val="16"/>
            <w:szCs w:val="16"/>
            <w:lang w:val="en-GB"/>
          </w:rPr>
          <w:t>IACHR Wraps Up its 154th Session</w:t>
        </w:r>
      </w:hyperlink>
      <w:r w:rsidRPr="001167CB">
        <w:rPr>
          <w:rFonts w:asciiTheme="majorHAnsi" w:hAnsiTheme="majorHAnsi" w:cstheme="majorHAnsi"/>
          <w:color w:val="808080" w:themeColor="background1" w:themeShade="80"/>
          <w:sz w:val="16"/>
          <w:szCs w:val="16"/>
          <w:lang w:val="en-GB"/>
        </w:rPr>
        <w:t xml:space="preserve">, </w:t>
      </w:r>
      <w:r w:rsidRPr="001167CB">
        <w:rPr>
          <w:rFonts w:asciiTheme="majorHAnsi" w:hAnsiTheme="majorHAnsi" w:cstheme="majorHAnsi"/>
          <w:color w:val="808080" w:themeColor="background1" w:themeShade="80"/>
          <w:sz w:val="16"/>
          <w:szCs w:val="16"/>
        </w:rPr>
        <w:t xml:space="preserve">Mar. </w:t>
      </w:r>
      <w:r w:rsidRPr="001167CB">
        <w:rPr>
          <w:rFonts w:asciiTheme="majorHAnsi" w:hAnsiTheme="majorHAnsi" w:cstheme="majorHAnsi"/>
          <w:color w:val="808080" w:themeColor="background1" w:themeShade="80"/>
          <w:sz w:val="16"/>
          <w:szCs w:val="16"/>
          <w:lang w:val="en-GB"/>
        </w:rPr>
        <w:t>27, 2015.</w:t>
      </w:r>
    </w:p>
  </w:footnote>
  <w:footnote w:id="326">
    <w:p w14:paraId="0D483D4A"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bCs/>
          <w:color w:val="808080" w:themeColor="background1" w:themeShade="80"/>
          <w:sz w:val="16"/>
          <w:szCs w:val="16"/>
        </w:rPr>
        <w:t xml:space="preserve">IACHR, 153d Period of Sessions, </w:t>
      </w:r>
      <w:hyperlink r:id="rId391" w:history="1">
        <w:r w:rsidRPr="001167CB">
          <w:rPr>
            <w:rStyle w:val="Hyperlink"/>
            <w:rFonts w:asciiTheme="majorHAnsi" w:hAnsiTheme="majorHAnsi" w:cstheme="majorHAnsi"/>
            <w:bCs/>
            <w:color w:val="808080" w:themeColor="background1" w:themeShade="80"/>
            <w:sz w:val="16"/>
            <w:szCs w:val="16"/>
          </w:rPr>
          <w:t>“Racism in the Justice System”</w:t>
        </w:r>
      </w:hyperlink>
      <w:r w:rsidRPr="001167CB">
        <w:rPr>
          <w:rFonts w:asciiTheme="majorHAnsi" w:hAnsiTheme="majorHAnsi" w:cstheme="majorHAnsi"/>
          <w:bCs/>
          <w:color w:val="808080" w:themeColor="background1" w:themeShade="80"/>
          <w:sz w:val="16"/>
          <w:szCs w:val="16"/>
        </w:rPr>
        <w:t xml:space="preserve"> Hearing, </w:t>
      </w:r>
      <w:r w:rsidRPr="001167CB">
        <w:rPr>
          <w:rFonts w:asciiTheme="majorHAnsi" w:hAnsiTheme="majorHAnsi" w:cstheme="majorHAnsi"/>
          <w:color w:val="808080" w:themeColor="background1" w:themeShade="80"/>
          <w:sz w:val="16"/>
          <w:szCs w:val="16"/>
        </w:rPr>
        <w:t xml:space="preserve">Oct. </w:t>
      </w:r>
      <w:r w:rsidRPr="001167CB">
        <w:rPr>
          <w:rFonts w:asciiTheme="majorHAnsi" w:hAnsiTheme="majorHAnsi" w:cstheme="majorHAnsi"/>
          <w:bCs/>
          <w:color w:val="808080" w:themeColor="background1" w:themeShade="80"/>
          <w:sz w:val="16"/>
          <w:szCs w:val="16"/>
        </w:rPr>
        <w:t>27, 2014</w:t>
      </w:r>
      <w:r w:rsidRPr="001167CB">
        <w:rPr>
          <w:rFonts w:asciiTheme="majorHAnsi" w:hAnsiTheme="majorHAnsi" w:cstheme="majorHAnsi"/>
          <w:color w:val="808080" w:themeColor="background1" w:themeShade="80"/>
          <w:sz w:val="16"/>
          <w:szCs w:val="16"/>
        </w:rPr>
        <w:t>.</w:t>
      </w:r>
    </w:p>
  </w:footnote>
  <w:footnote w:id="327">
    <w:p w14:paraId="2763FDED"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bCs/>
          <w:color w:val="808080" w:themeColor="background1" w:themeShade="80"/>
          <w:sz w:val="16"/>
          <w:szCs w:val="16"/>
        </w:rPr>
        <w:t xml:space="preserve">IACHR, </w:t>
      </w:r>
      <w:hyperlink r:id="rId392" w:history="1">
        <w:r w:rsidRPr="001167CB">
          <w:rPr>
            <w:rStyle w:val="Hyperlink"/>
            <w:rFonts w:asciiTheme="majorHAnsi" w:hAnsiTheme="majorHAnsi" w:cstheme="majorHAnsi"/>
            <w:bCs/>
            <w:color w:val="808080" w:themeColor="background1" w:themeShade="80"/>
            <w:sz w:val="16"/>
            <w:szCs w:val="16"/>
          </w:rPr>
          <w:t>On-Site Visit Press Release</w:t>
        </w:r>
      </w:hyperlink>
      <w:r w:rsidRPr="001167CB">
        <w:rPr>
          <w:rFonts w:asciiTheme="majorHAnsi" w:hAnsiTheme="majorHAnsi" w:cstheme="majorHAnsi"/>
          <w:bCs/>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 xml:space="preserve">Oct. </w:t>
      </w:r>
      <w:r w:rsidRPr="001167CB">
        <w:rPr>
          <w:rFonts w:asciiTheme="majorHAnsi" w:hAnsiTheme="majorHAnsi" w:cstheme="majorHAnsi"/>
          <w:bCs/>
          <w:color w:val="808080" w:themeColor="background1" w:themeShade="80"/>
          <w:sz w:val="16"/>
          <w:szCs w:val="16"/>
        </w:rPr>
        <w:t>16, 2015</w:t>
      </w:r>
      <w:r w:rsidRPr="001167CB">
        <w:rPr>
          <w:rFonts w:asciiTheme="majorHAnsi" w:hAnsiTheme="majorHAnsi" w:cstheme="majorHAnsi"/>
          <w:color w:val="808080" w:themeColor="background1" w:themeShade="80"/>
          <w:sz w:val="16"/>
          <w:szCs w:val="16"/>
        </w:rPr>
        <w:t>.</w:t>
      </w:r>
    </w:p>
  </w:footnote>
  <w:footnote w:id="328">
    <w:p w14:paraId="42112FDC"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i/>
          <w:color w:val="808080" w:themeColor="background1" w:themeShade="80"/>
          <w:sz w:val="16"/>
          <w:szCs w:val="16"/>
        </w:rPr>
        <w:t>See, e.g.</w:t>
      </w:r>
      <w:r w:rsidRPr="001167CB">
        <w:rPr>
          <w:rFonts w:asciiTheme="majorHAnsi" w:hAnsiTheme="majorHAnsi" w:cstheme="majorHAnsi"/>
          <w:color w:val="808080" w:themeColor="background1" w:themeShade="80"/>
          <w:sz w:val="16"/>
          <w:szCs w:val="16"/>
        </w:rPr>
        <w:t xml:space="preserve">, OHCHR, </w:t>
      </w:r>
      <w:hyperlink r:id="rId393" w:history="1">
        <w:r w:rsidRPr="001167CB">
          <w:rPr>
            <w:rStyle w:val="Hyperlink"/>
            <w:rFonts w:asciiTheme="majorHAnsi" w:hAnsiTheme="majorHAnsi" w:cstheme="majorHAnsi"/>
            <w:color w:val="808080" w:themeColor="background1" w:themeShade="80"/>
            <w:sz w:val="16"/>
            <w:szCs w:val="16"/>
          </w:rPr>
          <w:t>Statement on Visit to the USA, by Professor Philip Alston, United Nations Special Rapporteur on extreme poverty and human rights</w:t>
        </w:r>
      </w:hyperlink>
      <w:r w:rsidRPr="001167CB">
        <w:rPr>
          <w:rFonts w:asciiTheme="majorHAnsi" w:hAnsiTheme="majorHAnsi" w:cstheme="majorHAnsi"/>
          <w:color w:val="808080" w:themeColor="background1" w:themeShade="80"/>
          <w:sz w:val="16"/>
          <w:szCs w:val="16"/>
        </w:rPr>
        <w:t>, Dec. 15, 2017, para. 18 (“Then there is covert disenfranchisement, which includes the dramatic gerrymandering of electoral districts to privilege particular groups of voters, the imposition of artificial and unnecessary voter ID requirements, the blatant manipulation of polling station locations, the relocating of DMVs to make it more difficult for certain groups to obtain IDs, and the general ramping up of obstacles to voting especially by those without resources. The net result is that people living in poverty, minorities, and other disfavored groups are being systematically deprived of their voting rights.”)</w:t>
      </w:r>
    </w:p>
  </w:footnote>
  <w:footnote w:id="329">
    <w:p w14:paraId="2865DEB2"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bCs/>
          <w:color w:val="808080" w:themeColor="background1" w:themeShade="80"/>
          <w:sz w:val="16"/>
          <w:szCs w:val="16"/>
        </w:rPr>
        <w:t xml:space="preserve">IACHR, 153d Period of Sessions, </w:t>
      </w:r>
      <w:hyperlink r:id="rId394" w:history="1">
        <w:r w:rsidRPr="001167CB">
          <w:rPr>
            <w:rStyle w:val="Hyperlink"/>
            <w:rFonts w:asciiTheme="majorHAnsi" w:hAnsiTheme="majorHAnsi" w:cstheme="majorHAnsi"/>
            <w:bCs/>
            <w:color w:val="808080" w:themeColor="background1" w:themeShade="80"/>
            <w:sz w:val="16"/>
            <w:szCs w:val="16"/>
          </w:rPr>
          <w:t>“Racism in the Justice System”</w:t>
        </w:r>
      </w:hyperlink>
      <w:r w:rsidRPr="001167CB">
        <w:rPr>
          <w:rFonts w:asciiTheme="majorHAnsi" w:hAnsiTheme="majorHAnsi" w:cstheme="majorHAnsi"/>
          <w:bCs/>
          <w:color w:val="808080" w:themeColor="background1" w:themeShade="80"/>
          <w:sz w:val="16"/>
          <w:szCs w:val="16"/>
        </w:rPr>
        <w:t xml:space="preserve"> Hearing, </w:t>
      </w:r>
      <w:r w:rsidRPr="001167CB">
        <w:rPr>
          <w:rFonts w:asciiTheme="majorHAnsi" w:hAnsiTheme="majorHAnsi" w:cstheme="majorHAnsi"/>
          <w:color w:val="808080" w:themeColor="background1" w:themeShade="80"/>
          <w:sz w:val="16"/>
          <w:szCs w:val="16"/>
        </w:rPr>
        <w:t xml:space="preserve">Oct. </w:t>
      </w:r>
      <w:r w:rsidRPr="001167CB">
        <w:rPr>
          <w:rFonts w:asciiTheme="majorHAnsi" w:hAnsiTheme="majorHAnsi" w:cstheme="majorHAnsi"/>
          <w:bCs/>
          <w:color w:val="808080" w:themeColor="background1" w:themeShade="80"/>
          <w:sz w:val="16"/>
          <w:szCs w:val="16"/>
        </w:rPr>
        <w:t>27, 2014</w:t>
      </w:r>
      <w:r w:rsidRPr="001167CB">
        <w:rPr>
          <w:rFonts w:asciiTheme="majorHAnsi" w:hAnsiTheme="majorHAnsi" w:cstheme="majorHAnsi"/>
          <w:color w:val="808080" w:themeColor="background1" w:themeShade="80"/>
          <w:sz w:val="16"/>
          <w:szCs w:val="16"/>
        </w:rPr>
        <w:t>.</w:t>
      </w:r>
    </w:p>
  </w:footnote>
  <w:footnote w:id="330">
    <w:p w14:paraId="671D08FC"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IACHR, Press Release No. 77/16, </w:t>
      </w:r>
      <w:hyperlink r:id="rId395" w:history="1">
        <w:r w:rsidRPr="001167CB">
          <w:rPr>
            <w:rStyle w:val="Hyperlink"/>
            <w:rFonts w:asciiTheme="majorHAnsi" w:hAnsiTheme="majorHAnsi" w:cstheme="majorHAnsi"/>
            <w:color w:val="808080" w:themeColor="background1" w:themeShade="80"/>
            <w:sz w:val="16"/>
            <w:szCs w:val="16"/>
          </w:rPr>
          <w:t>IACHR Welcomes the Restoration of Voting Rights for Former Felons in the United States</w:t>
        </w:r>
      </w:hyperlink>
      <w:r w:rsidRPr="001167CB">
        <w:rPr>
          <w:rFonts w:asciiTheme="majorHAnsi" w:hAnsiTheme="majorHAnsi" w:cstheme="majorHAnsi"/>
          <w:color w:val="808080" w:themeColor="background1" w:themeShade="80"/>
          <w:sz w:val="16"/>
          <w:szCs w:val="16"/>
        </w:rPr>
        <w:t>, June 14, 2016.</w:t>
      </w:r>
    </w:p>
  </w:footnote>
  <w:footnote w:id="331">
    <w:p w14:paraId="5FEE9FD5"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Id.</w:t>
      </w:r>
    </w:p>
  </w:footnote>
  <w:footnote w:id="332">
    <w:p w14:paraId="6076AAFC"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Id. </w:t>
      </w:r>
      <w:r w:rsidRPr="001167CB">
        <w:rPr>
          <w:rFonts w:asciiTheme="majorHAnsi" w:hAnsiTheme="majorHAnsi" w:cstheme="majorHAnsi"/>
          <w:i/>
          <w:color w:val="808080" w:themeColor="background1" w:themeShade="80"/>
          <w:sz w:val="16"/>
          <w:szCs w:val="16"/>
        </w:rPr>
        <w:t>See also</w:t>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bCs/>
          <w:color w:val="808080" w:themeColor="background1" w:themeShade="80"/>
          <w:sz w:val="16"/>
          <w:szCs w:val="16"/>
        </w:rPr>
        <w:t xml:space="preserve">Human Rights </w:t>
      </w:r>
      <w:proofErr w:type="gramStart"/>
      <w:r w:rsidRPr="001167CB">
        <w:rPr>
          <w:rFonts w:asciiTheme="majorHAnsi" w:hAnsiTheme="majorHAnsi" w:cstheme="majorHAnsi"/>
          <w:bCs/>
          <w:color w:val="808080" w:themeColor="background1" w:themeShade="80"/>
          <w:sz w:val="16"/>
          <w:szCs w:val="16"/>
        </w:rPr>
        <w:t>Comm..</w:t>
      </w:r>
      <w:proofErr w:type="gramEnd"/>
      <w:r w:rsidRPr="001167CB">
        <w:rPr>
          <w:rFonts w:asciiTheme="majorHAnsi" w:hAnsiTheme="majorHAnsi" w:cstheme="majorHAnsi"/>
          <w:bCs/>
          <w:color w:val="808080" w:themeColor="background1" w:themeShade="80"/>
          <w:sz w:val="16"/>
          <w:szCs w:val="16"/>
        </w:rPr>
        <w:t xml:space="preserve"> </w:t>
      </w:r>
      <w:hyperlink r:id="rId396" w:history="1">
        <w:r w:rsidRPr="001167CB">
          <w:rPr>
            <w:rStyle w:val="Hyperlink"/>
            <w:rFonts w:asciiTheme="majorHAnsi" w:hAnsiTheme="majorHAnsi" w:cstheme="majorHAnsi"/>
            <w:bCs/>
            <w:color w:val="808080" w:themeColor="background1" w:themeShade="80"/>
            <w:sz w:val="16"/>
            <w:szCs w:val="16"/>
          </w:rPr>
          <w:t>Concluding Observations 2014</w:t>
        </w:r>
      </w:hyperlink>
      <w:r w:rsidRPr="001167CB">
        <w:rPr>
          <w:rFonts w:asciiTheme="majorHAnsi" w:hAnsiTheme="majorHAnsi" w:cstheme="majorHAnsi"/>
          <w:bCs/>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 xml:space="preserve">Apr. </w:t>
      </w:r>
      <w:r w:rsidRPr="001167CB">
        <w:rPr>
          <w:rFonts w:asciiTheme="majorHAnsi" w:hAnsiTheme="majorHAnsi" w:cstheme="majorHAnsi"/>
          <w:bCs/>
          <w:color w:val="808080" w:themeColor="background1" w:themeShade="80"/>
          <w:sz w:val="16"/>
          <w:szCs w:val="16"/>
        </w:rPr>
        <w:t>23, 2014</w:t>
      </w:r>
      <w:r w:rsidRPr="001167CB">
        <w:rPr>
          <w:rFonts w:asciiTheme="majorHAnsi" w:hAnsiTheme="majorHAnsi" w:cstheme="majorHAnsi"/>
          <w:color w:val="808080" w:themeColor="background1" w:themeShade="80"/>
          <w:sz w:val="16"/>
          <w:szCs w:val="16"/>
        </w:rPr>
        <w:t xml:space="preserve">, para. 24; </w:t>
      </w:r>
      <w:r w:rsidRPr="001167CB">
        <w:rPr>
          <w:rFonts w:asciiTheme="majorHAnsi" w:hAnsiTheme="majorHAnsi" w:cstheme="majorHAnsi"/>
          <w:bCs/>
          <w:color w:val="808080" w:themeColor="background1" w:themeShade="80"/>
          <w:sz w:val="16"/>
          <w:szCs w:val="16"/>
        </w:rPr>
        <w:t xml:space="preserve">CERD, </w:t>
      </w:r>
      <w:hyperlink r:id="rId397" w:history="1">
        <w:r w:rsidRPr="001167CB">
          <w:rPr>
            <w:rStyle w:val="Hyperlink"/>
            <w:rFonts w:asciiTheme="majorHAnsi" w:hAnsiTheme="majorHAnsi" w:cstheme="majorHAnsi"/>
            <w:bCs/>
            <w:color w:val="808080" w:themeColor="background1" w:themeShade="80"/>
            <w:sz w:val="16"/>
            <w:szCs w:val="16"/>
          </w:rPr>
          <w:t>Concluding Observations 2014</w:t>
        </w:r>
      </w:hyperlink>
      <w:r w:rsidRPr="001167CB">
        <w:rPr>
          <w:rFonts w:asciiTheme="majorHAnsi" w:hAnsiTheme="majorHAnsi" w:cstheme="majorHAnsi"/>
          <w:bCs/>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 xml:space="preserve">Sept. </w:t>
      </w:r>
      <w:r w:rsidRPr="001167CB">
        <w:rPr>
          <w:rFonts w:asciiTheme="majorHAnsi" w:hAnsiTheme="majorHAnsi" w:cstheme="majorHAnsi"/>
          <w:bCs/>
          <w:color w:val="808080" w:themeColor="background1" w:themeShade="80"/>
          <w:sz w:val="16"/>
          <w:szCs w:val="16"/>
        </w:rPr>
        <w:t>25, 2014</w:t>
      </w:r>
      <w:r w:rsidRPr="001167CB">
        <w:rPr>
          <w:rFonts w:asciiTheme="majorHAnsi" w:hAnsiTheme="majorHAnsi" w:cstheme="majorHAnsi"/>
          <w:color w:val="808080" w:themeColor="background1" w:themeShade="80"/>
          <w:sz w:val="16"/>
          <w:szCs w:val="16"/>
        </w:rPr>
        <w:t xml:space="preserve">, para. 11; Brennan Center for Justice, </w:t>
      </w:r>
      <w:hyperlink r:id="rId398" w:history="1">
        <w:r w:rsidRPr="001167CB">
          <w:rPr>
            <w:rStyle w:val="Hyperlink"/>
            <w:rFonts w:asciiTheme="majorHAnsi" w:hAnsiTheme="majorHAnsi" w:cstheme="majorHAnsi"/>
            <w:color w:val="808080" w:themeColor="background1" w:themeShade="80"/>
            <w:sz w:val="16"/>
            <w:szCs w:val="16"/>
          </w:rPr>
          <w:t>Judge Sotomayor in Good Company on Restoring Voting Rights</w:t>
        </w:r>
      </w:hyperlink>
      <w:r w:rsidRPr="001167CB">
        <w:rPr>
          <w:rFonts w:asciiTheme="majorHAnsi" w:hAnsiTheme="majorHAnsi" w:cstheme="majorHAnsi"/>
          <w:color w:val="808080" w:themeColor="background1" w:themeShade="80"/>
          <w:sz w:val="16"/>
          <w:szCs w:val="16"/>
        </w:rPr>
        <w:t>, June 2, 2009.</w:t>
      </w:r>
    </w:p>
  </w:footnote>
  <w:footnote w:id="333">
    <w:p w14:paraId="438A6202"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lang w:val="en-GB"/>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bCs/>
          <w:color w:val="808080" w:themeColor="background1" w:themeShade="80"/>
          <w:sz w:val="16"/>
          <w:szCs w:val="16"/>
        </w:rPr>
        <w:t xml:space="preserve">IACHR, 154th Period of Sessions, </w:t>
      </w:r>
      <w:hyperlink r:id="rId399" w:history="1">
        <w:r w:rsidRPr="001167CB">
          <w:rPr>
            <w:rStyle w:val="Hyperlink"/>
            <w:rFonts w:asciiTheme="majorHAnsi" w:hAnsiTheme="majorHAnsi" w:cstheme="majorHAnsi"/>
            <w:bCs/>
            <w:color w:val="808080" w:themeColor="background1" w:themeShade="80"/>
            <w:sz w:val="16"/>
            <w:szCs w:val="16"/>
          </w:rPr>
          <w:t>“Criminal Justice and Race” Hearing</w:t>
        </w:r>
      </w:hyperlink>
      <w:r w:rsidRPr="001167CB">
        <w:rPr>
          <w:rFonts w:asciiTheme="majorHAnsi" w:hAnsiTheme="majorHAnsi" w:cstheme="majorHAnsi"/>
          <w:bCs/>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 xml:space="preserve">Mar. </w:t>
      </w:r>
      <w:r w:rsidRPr="001167CB">
        <w:rPr>
          <w:rFonts w:asciiTheme="majorHAnsi" w:hAnsiTheme="majorHAnsi" w:cstheme="majorHAnsi"/>
          <w:bCs/>
          <w:color w:val="808080" w:themeColor="background1" w:themeShade="80"/>
          <w:sz w:val="16"/>
          <w:szCs w:val="16"/>
        </w:rPr>
        <w:t>16, 2015</w:t>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i/>
          <w:color w:val="808080" w:themeColor="background1" w:themeShade="80"/>
          <w:sz w:val="16"/>
          <w:szCs w:val="16"/>
        </w:rPr>
        <w:t>See also</w:t>
      </w:r>
      <w:r w:rsidRPr="001167CB">
        <w:rPr>
          <w:rFonts w:asciiTheme="majorHAnsi" w:hAnsiTheme="majorHAnsi" w:cstheme="majorHAnsi"/>
          <w:color w:val="808080" w:themeColor="background1" w:themeShade="80"/>
          <w:sz w:val="16"/>
          <w:szCs w:val="16"/>
        </w:rPr>
        <w:t xml:space="preserve"> Lawyers’ Committee for Civil Rights </w:t>
      </w:r>
      <w:proofErr w:type="gramStart"/>
      <w:r w:rsidRPr="001167CB">
        <w:rPr>
          <w:rFonts w:asciiTheme="majorHAnsi" w:hAnsiTheme="majorHAnsi" w:cstheme="majorHAnsi"/>
          <w:color w:val="808080" w:themeColor="background1" w:themeShade="80"/>
          <w:sz w:val="16"/>
          <w:szCs w:val="16"/>
        </w:rPr>
        <w:t>Under</w:t>
      </w:r>
      <w:proofErr w:type="gramEnd"/>
      <w:r w:rsidRPr="001167CB">
        <w:rPr>
          <w:rFonts w:asciiTheme="majorHAnsi" w:hAnsiTheme="majorHAnsi" w:cstheme="majorHAnsi"/>
          <w:color w:val="808080" w:themeColor="background1" w:themeShade="80"/>
          <w:sz w:val="16"/>
          <w:szCs w:val="16"/>
        </w:rPr>
        <w:t xml:space="preserve"> Law, </w:t>
      </w:r>
      <w:hyperlink r:id="rId400" w:history="1">
        <w:r w:rsidRPr="001167CB">
          <w:rPr>
            <w:rStyle w:val="Hyperlink"/>
            <w:rFonts w:asciiTheme="majorHAnsi" w:hAnsiTheme="majorHAnsi" w:cstheme="majorHAnsi"/>
            <w:color w:val="808080" w:themeColor="background1" w:themeShade="80"/>
            <w:sz w:val="16"/>
            <w:szCs w:val="16"/>
            <w:lang w:val="en-GB"/>
          </w:rPr>
          <w:t>Best Practice Standards: The Proper Use of Criminal Records in Hiring</w:t>
        </w:r>
      </w:hyperlink>
      <w:r w:rsidRPr="001167CB">
        <w:rPr>
          <w:rFonts w:asciiTheme="majorHAnsi" w:hAnsiTheme="majorHAnsi" w:cstheme="majorHAnsi"/>
          <w:color w:val="808080" w:themeColor="background1" w:themeShade="80"/>
          <w:sz w:val="16"/>
          <w:szCs w:val="16"/>
          <w:lang w:val="en-GB"/>
        </w:rPr>
        <w:t>, May 21, 2013.</w:t>
      </w:r>
    </w:p>
  </w:footnote>
  <w:footnote w:id="334">
    <w:p w14:paraId="2EDEC61D"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Council of State Governments Justice Center, </w:t>
      </w:r>
      <w:hyperlink r:id="rId401" w:history="1">
        <w:r w:rsidRPr="001167CB">
          <w:rPr>
            <w:rStyle w:val="Hyperlink"/>
            <w:rFonts w:asciiTheme="majorHAnsi" w:hAnsiTheme="majorHAnsi" w:cstheme="majorHAnsi"/>
            <w:color w:val="808080" w:themeColor="background1" w:themeShade="80"/>
            <w:sz w:val="16"/>
            <w:szCs w:val="16"/>
          </w:rPr>
          <w:t>Researchers Examine Effects of a Criminal Record on Prospects for Employment</w:t>
        </w:r>
      </w:hyperlink>
      <w:r w:rsidRPr="001167CB">
        <w:rPr>
          <w:rFonts w:asciiTheme="majorHAnsi" w:hAnsiTheme="majorHAnsi" w:cstheme="majorHAnsi"/>
          <w:color w:val="808080" w:themeColor="background1" w:themeShade="80"/>
          <w:sz w:val="16"/>
          <w:szCs w:val="16"/>
        </w:rPr>
        <w:t>, Aug. 20, 2014.</w:t>
      </w:r>
    </w:p>
  </w:footnote>
  <w:footnote w:id="335">
    <w:p w14:paraId="336302C7" w14:textId="0DA4FB0D"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Indeed, the issue is so well-recognized that in 2016, the Department of Housing and Urban Development (HUD) issued a guidance saying that blanket refusals to rent to individuals with criminal records is de facto discrimination, because of the systemic disparities of the American criminal justice system: “Because of widespread racial and ethnic disparities in the U.S. criminal justice system, criminal history-based restrictions on access to housing are likely disproportionately to burden African-Americans and Hispanics.” NPR, </w:t>
      </w:r>
      <w:hyperlink r:id="rId402" w:history="1">
        <w:r w:rsidRPr="001167CB">
          <w:rPr>
            <w:rStyle w:val="Hyperlink"/>
            <w:rFonts w:asciiTheme="majorHAnsi" w:hAnsiTheme="majorHAnsi" w:cstheme="majorHAnsi"/>
            <w:color w:val="808080" w:themeColor="background1" w:themeShade="80"/>
            <w:sz w:val="16"/>
            <w:szCs w:val="16"/>
          </w:rPr>
          <w:t>Denying Housing Over Criminal Record May Be Discrimination, Feds Say</w:t>
        </w:r>
      </w:hyperlink>
      <w:r w:rsidRPr="001167CB">
        <w:rPr>
          <w:rFonts w:asciiTheme="majorHAnsi" w:hAnsiTheme="majorHAnsi" w:cstheme="majorHAnsi"/>
          <w:color w:val="808080" w:themeColor="background1" w:themeShade="80"/>
          <w:sz w:val="16"/>
          <w:szCs w:val="16"/>
        </w:rPr>
        <w:t xml:space="preserve">, </w:t>
      </w:r>
      <w:proofErr w:type="gramStart"/>
      <w:r w:rsidRPr="001167CB">
        <w:rPr>
          <w:rFonts w:asciiTheme="majorHAnsi" w:hAnsiTheme="majorHAnsi" w:cstheme="majorHAnsi"/>
          <w:color w:val="808080" w:themeColor="background1" w:themeShade="80"/>
          <w:sz w:val="16"/>
          <w:szCs w:val="16"/>
        </w:rPr>
        <w:t>Apr</w:t>
      </w:r>
      <w:proofErr w:type="gramEnd"/>
      <w:r w:rsidRPr="001167CB">
        <w:rPr>
          <w:rFonts w:asciiTheme="majorHAnsi" w:hAnsiTheme="majorHAnsi" w:cstheme="majorHAnsi"/>
          <w:color w:val="808080" w:themeColor="background1" w:themeShade="80"/>
          <w:sz w:val="16"/>
          <w:szCs w:val="16"/>
        </w:rPr>
        <w:t>. 4, 2016.</w:t>
      </w:r>
    </w:p>
  </w:footnote>
  <w:footnote w:id="336">
    <w:p w14:paraId="786E67A1"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The Sentencing Project, </w:t>
      </w:r>
      <w:hyperlink r:id="rId403" w:history="1">
        <w:r w:rsidRPr="001167CB">
          <w:rPr>
            <w:rStyle w:val="Hyperlink"/>
            <w:rFonts w:asciiTheme="majorHAnsi" w:hAnsiTheme="majorHAnsi" w:cstheme="majorHAnsi"/>
            <w:color w:val="808080" w:themeColor="background1" w:themeShade="80"/>
            <w:sz w:val="16"/>
            <w:szCs w:val="16"/>
          </w:rPr>
          <w:t>State Advocacy Update: Efforts to Address Federal Drug Felony Ban on Public Benefits</w:t>
        </w:r>
      </w:hyperlink>
      <w:r w:rsidRPr="001167CB">
        <w:rPr>
          <w:rFonts w:asciiTheme="majorHAnsi" w:hAnsiTheme="majorHAnsi" w:cstheme="majorHAnsi"/>
          <w:color w:val="808080" w:themeColor="background1" w:themeShade="80"/>
          <w:sz w:val="16"/>
          <w:szCs w:val="16"/>
        </w:rPr>
        <w:t>, May 1, 2017.</w:t>
      </w:r>
    </w:p>
  </w:footnote>
  <w:footnote w:id="337">
    <w:p w14:paraId="3E8A7570"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FBI, </w:t>
      </w:r>
      <w:hyperlink r:id="rId404" w:history="1">
        <w:r w:rsidRPr="001167CB">
          <w:rPr>
            <w:rStyle w:val="Hyperlink"/>
            <w:rFonts w:asciiTheme="majorHAnsi" w:hAnsiTheme="majorHAnsi" w:cstheme="majorHAnsi"/>
            <w:color w:val="808080" w:themeColor="background1" w:themeShade="80"/>
            <w:sz w:val="16"/>
            <w:szCs w:val="16"/>
          </w:rPr>
          <w:t>2016 Hate Crime Statistics: Incidents and Offenses</w:t>
        </w:r>
      </w:hyperlink>
      <w:r w:rsidRPr="001167CB">
        <w:rPr>
          <w:rFonts w:asciiTheme="majorHAnsi" w:hAnsiTheme="majorHAnsi" w:cstheme="majorHAnsi"/>
          <w:color w:val="808080" w:themeColor="background1" w:themeShade="80"/>
          <w:sz w:val="16"/>
          <w:szCs w:val="16"/>
        </w:rPr>
        <w:t>, Nov. 2017.</w:t>
      </w:r>
    </w:p>
  </w:footnote>
  <w:footnote w:id="338">
    <w:p w14:paraId="60C81D88"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Bureau of Justice Statistics, </w:t>
      </w:r>
      <w:hyperlink r:id="rId405" w:history="1">
        <w:r w:rsidRPr="001167CB">
          <w:rPr>
            <w:rStyle w:val="Hyperlink"/>
            <w:rFonts w:asciiTheme="majorHAnsi" w:hAnsiTheme="majorHAnsi" w:cstheme="majorHAnsi"/>
            <w:color w:val="808080" w:themeColor="background1" w:themeShade="80"/>
            <w:sz w:val="16"/>
            <w:szCs w:val="16"/>
          </w:rPr>
          <w:t>Hate Crime Victimization, 2004-2015</w:t>
        </w:r>
      </w:hyperlink>
      <w:r w:rsidRPr="001167CB">
        <w:rPr>
          <w:rFonts w:asciiTheme="majorHAnsi" w:hAnsiTheme="majorHAnsi" w:cstheme="majorHAnsi"/>
          <w:color w:val="808080" w:themeColor="background1" w:themeShade="80"/>
          <w:sz w:val="16"/>
          <w:szCs w:val="16"/>
        </w:rPr>
        <w:t xml:space="preserve">, June 29, 2017; </w:t>
      </w:r>
      <w:r w:rsidRPr="001167CB">
        <w:rPr>
          <w:rFonts w:asciiTheme="majorHAnsi" w:hAnsiTheme="majorHAnsi" w:cstheme="majorHAnsi"/>
          <w:i/>
          <w:color w:val="808080" w:themeColor="background1" w:themeShade="80"/>
          <w:sz w:val="16"/>
          <w:szCs w:val="16"/>
        </w:rPr>
        <w:t>see also</w:t>
      </w:r>
      <w:r w:rsidRPr="001167CB">
        <w:rPr>
          <w:rFonts w:asciiTheme="majorHAnsi" w:hAnsiTheme="majorHAnsi" w:cstheme="majorHAnsi"/>
          <w:color w:val="808080" w:themeColor="background1" w:themeShade="80"/>
          <w:sz w:val="16"/>
          <w:szCs w:val="16"/>
        </w:rPr>
        <w:t xml:space="preserve"> Southern Poverty Law Center, </w:t>
      </w:r>
      <w:hyperlink r:id="rId406" w:history="1">
        <w:r w:rsidRPr="001167CB">
          <w:rPr>
            <w:rStyle w:val="Hyperlink"/>
            <w:rFonts w:asciiTheme="majorHAnsi" w:hAnsiTheme="majorHAnsi" w:cstheme="majorHAnsi"/>
            <w:color w:val="808080" w:themeColor="background1" w:themeShade="80"/>
            <w:sz w:val="16"/>
            <w:szCs w:val="16"/>
          </w:rPr>
          <w:t>FBI: Hate crimes reach 5-year high in 2016, jumped as Trump rolled toward presidency</w:t>
        </w:r>
      </w:hyperlink>
      <w:r w:rsidRPr="001167CB">
        <w:rPr>
          <w:rFonts w:asciiTheme="majorHAnsi" w:hAnsiTheme="majorHAnsi" w:cstheme="majorHAnsi"/>
          <w:color w:val="808080" w:themeColor="background1" w:themeShade="80"/>
          <w:sz w:val="16"/>
          <w:szCs w:val="16"/>
        </w:rPr>
        <w:t xml:space="preserve">, Nov. 13, 2017; El País, </w:t>
      </w:r>
      <w:hyperlink r:id="rId407" w:history="1">
        <w:proofErr w:type="spellStart"/>
        <w:r w:rsidRPr="001167CB">
          <w:rPr>
            <w:rStyle w:val="Hyperlink"/>
            <w:rFonts w:asciiTheme="majorHAnsi" w:hAnsiTheme="majorHAnsi" w:cstheme="majorHAnsi"/>
            <w:color w:val="808080" w:themeColor="background1" w:themeShade="80"/>
            <w:sz w:val="16"/>
            <w:szCs w:val="16"/>
          </w:rPr>
          <w:t>Aumentan</w:t>
        </w:r>
        <w:proofErr w:type="spellEnd"/>
        <w:r w:rsidRPr="001167CB">
          <w:rPr>
            <w:rStyle w:val="Hyperlink"/>
            <w:rFonts w:asciiTheme="majorHAnsi" w:hAnsiTheme="majorHAnsi" w:cstheme="majorHAnsi"/>
            <w:color w:val="808080" w:themeColor="background1" w:themeShade="80"/>
            <w:sz w:val="16"/>
            <w:szCs w:val="16"/>
          </w:rPr>
          <w:t xml:space="preserve"> </w:t>
        </w:r>
        <w:proofErr w:type="spellStart"/>
        <w:r w:rsidRPr="001167CB">
          <w:rPr>
            <w:rStyle w:val="Hyperlink"/>
            <w:rFonts w:asciiTheme="majorHAnsi" w:hAnsiTheme="majorHAnsi" w:cstheme="majorHAnsi"/>
            <w:color w:val="808080" w:themeColor="background1" w:themeShade="80"/>
            <w:sz w:val="16"/>
            <w:szCs w:val="16"/>
          </w:rPr>
          <w:t>en</w:t>
        </w:r>
        <w:proofErr w:type="spellEnd"/>
        <w:r w:rsidRPr="001167CB">
          <w:rPr>
            <w:rStyle w:val="Hyperlink"/>
            <w:rFonts w:asciiTheme="majorHAnsi" w:hAnsiTheme="majorHAnsi" w:cstheme="majorHAnsi"/>
            <w:color w:val="808080" w:themeColor="background1" w:themeShade="80"/>
            <w:sz w:val="16"/>
            <w:szCs w:val="16"/>
          </w:rPr>
          <w:t xml:space="preserve"> EE UU </w:t>
        </w:r>
        <w:proofErr w:type="spellStart"/>
        <w:r w:rsidRPr="001167CB">
          <w:rPr>
            <w:rStyle w:val="Hyperlink"/>
            <w:rFonts w:asciiTheme="majorHAnsi" w:hAnsiTheme="majorHAnsi" w:cstheme="majorHAnsi"/>
            <w:color w:val="808080" w:themeColor="background1" w:themeShade="80"/>
            <w:sz w:val="16"/>
            <w:szCs w:val="16"/>
          </w:rPr>
          <w:t>los</w:t>
        </w:r>
        <w:proofErr w:type="spellEnd"/>
        <w:r w:rsidRPr="001167CB">
          <w:rPr>
            <w:rStyle w:val="Hyperlink"/>
            <w:rFonts w:asciiTheme="majorHAnsi" w:hAnsiTheme="majorHAnsi" w:cstheme="majorHAnsi"/>
            <w:color w:val="808080" w:themeColor="background1" w:themeShade="80"/>
            <w:sz w:val="16"/>
            <w:szCs w:val="16"/>
          </w:rPr>
          <w:t xml:space="preserve"> </w:t>
        </w:r>
        <w:proofErr w:type="spellStart"/>
        <w:r w:rsidRPr="001167CB">
          <w:rPr>
            <w:rStyle w:val="Hyperlink"/>
            <w:rFonts w:asciiTheme="majorHAnsi" w:hAnsiTheme="majorHAnsi" w:cstheme="majorHAnsi"/>
            <w:color w:val="808080" w:themeColor="background1" w:themeShade="80"/>
            <w:sz w:val="16"/>
            <w:szCs w:val="16"/>
          </w:rPr>
          <w:t>delitos</w:t>
        </w:r>
        <w:proofErr w:type="spellEnd"/>
        <w:r w:rsidRPr="001167CB">
          <w:rPr>
            <w:rStyle w:val="Hyperlink"/>
            <w:rFonts w:asciiTheme="majorHAnsi" w:hAnsiTheme="majorHAnsi" w:cstheme="majorHAnsi"/>
            <w:color w:val="808080" w:themeColor="background1" w:themeShade="80"/>
            <w:sz w:val="16"/>
            <w:szCs w:val="16"/>
          </w:rPr>
          <w:t xml:space="preserve"> de </w:t>
        </w:r>
        <w:proofErr w:type="spellStart"/>
        <w:r w:rsidRPr="001167CB">
          <w:rPr>
            <w:rStyle w:val="Hyperlink"/>
            <w:rFonts w:asciiTheme="majorHAnsi" w:hAnsiTheme="majorHAnsi" w:cstheme="majorHAnsi"/>
            <w:color w:val="808080" w:themeColor="background1" w:themeShade="80"/>
            <w:sz w:val="16"/>
            <w:szCs w:val="16"/>
          </w:rPr>
          <w:t>odio</w:t>
        </w:r>
        <w:proofErr w:type="spellEnd"/>
        <w:r w:rsidRPr="001167CB">
          <w:rPr>
            <w:rStyle w:val="Hyperlink"/>
            <w:rFonts w:asciiTheme="majorHAnsi" w:hAnsiTheme="majorHAnsi" w:cstheme="majorHAnsi"/>
            <w:color w:val="808080" w:themeColor="background1" w:themeShade="80"/>
            <w:sz w:val="16"/>
            <w:szCs w:val="16"/>
          </w:rPr>
          <w:t xml:space="preserve"> contra </w:t>
        </w:r>
        <w:proofErr w:type="spellStart"/>
        <w:r w:rsidRPr="001167CB">
          <w:rPr>
            <w:rStyle w:val="Hyperlink"/>
            <w:rFonts w:asciiTheme="majorHAnsi" w:hAnsiTheme="majorHAnsi" w:cstheme="majorHAnsi"/>
            <w:color w:val="808080" w:themeColor="background1" w:themeShade="80"/>
            <w:sz w:val="16"/>
            <w:szCs w:val="16"/>
          </w:rPr>
          <w:t>musulmanes</w:t>
        </w:r>
        <w:proofErr w:type="spellEnd"/>
        <w:r w:rsidRPr="001167CB">
          <w:rPr>
            <w:rStyle w:val="Hyperlink"/>
            <w:rFonts w:asciiTheme="majorHAnsi" w:hAnsiTheme="majorHAnsi" w:cstheme="majorHAnsi"/>
            <w:color w:val="808080" w:themeColor="background1" w:themeShade="80"/>
            <w:sz w:val="16"/>
            <w:szCs w:val="16"/>
          </w:rPr>
          <w:t xml:space="preserve"> y </w:t>
        </w:r>
        <w:proofErr w:type="spellStart"/>
        <w:r w:rsidRPr="001167CB">
          <w:rPr>
            <w:rStyle w:val="Hyperlink"/>
            <w:rFonts w:asciiTheme="majorHAnsi" w:hAnsiTheme="majorHAnsi" w:cstheme="majorHAnsi"/>
            <w:color w:val="808080" w:themeColor="background1" w:themeShade="80"/>
            <w:sz w:val="16"/>
            <w:szCs w:val="16"/>
          </w:rPr>
          <w:t>latinos</w:t>
        </w:r>
        <w:proofErr w:type="spellEnd"/>
      </w:hyperlink>
      <w:r w:rsidRPr="001167CB">
        <w:rPr>
          <w:rFonts w:asciiTheme="majorHAnsi" w:hAnsiTheme="majorHAnsi" w:cstheme="majorHAnsi"/>
          <w:color w:val="808080" w:themeColor="background1" w:themeShade="80"/>
          <w:sz w:val="16"/>
          <w:szCs w:val="16"/>
        </w:rPr>
        <w:t>, Nov. 13, 2017.</w:t>
      </w:r>
    </w:p>
  </w:footnote>
  <w:footnote w:id="339">
    <w:p w14:paraId="7821CE0F"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FBI, </w:t>
      </w:r>
      <w:hyperlink r:id="rId408" w:history="1">
        <w:r w:rsidRPr="001167CB">
          <w:rPr>
            <w:rStyle w:val="Hyperlink"/>
            <w:rFonts w:asciiTheme="majorHAnsi" w:hAnsiTheme="majorHAnsi" w:cstheme="majorHAnsi"/>
            <w:color w:val="808080" w:themeColor="background1" w:themeShade="80"/>
            <w:sz w:val="16"/>
            <w:szCs w:val="16"/>
          </w:rPr>
          <w:t>2016 Hate Crime Statistics: Incidents and Offenses</w:t>
        </w:r>
      </w:hyperlink>
      <w:r w:rsidRPr="001167CB">
        <w:rPr>
          <w:rFonts w:asciiTheme="majorHAnsi" w:hAnsiTheme="majorHAnsi" w:cstheme="majorHAnsi"/>
          <w:color w:val="808080" w:themeColor="background1" w:themeShade="80"/>
          <w:sz w:val="16"/>
          <w:szCs w:val="16"/>
        </w:rPr>
        <w:t>, Nov. 2017.</w:t>
      </w:r>
    </w:p>
  </w:footnote>
  <w:footnote w:id="340">
    <w:p w14:paraId="43EB059E"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i/>
          <w:color w:val="808080" w:themeColor="background1" w:themeShade="80"/>
          <w:sz w:val="16"/>
          <w:szCs w:val="16"/>
        </w:rPr>
        <w:t xml:space="preserve">See, e.g., </w:t>
      </w:r>
      <w:proofErr w:type="spellStart"/>
      <w:r w:rsidRPr="001167CB">
        <w:rPr>
          <w:rFonts w:asciiTheme="majorHAnsi" w:hAnsiTheme="majorHAnsi" w:cstheme="majorHAnsi"/>
          <w:color w:val="808080" w:themeColor="background1" w:themeShade="80"/>
          <w:sz w:val="16"/>
          <w:szCs w:val="16"/>
        </w:rPr>
        <w:t>Vox</w:t>
      </w:r>
      <w:proofErr w:type="spellEnd"/>
      <w:r w:rsidRPr="001167CB">
        <w:rPr>
          <w:rFonts w:asciiTheme="majorHAnsi" w:hAnsiTheme="majorHAnsi" w:cstheme="majorHAnsi"/>
          <w:color w:val="808080" w:themeColor="background1" w:themeShade="80"/>
          <w:sz w:val="16"/>
          <w:szCs w:val="16"/>
        </w:rPr>
        <w:t xml:space="preserve">, </w:t>
      </w:r>
      <w:hyperlink r:id="rId409" w:history="1">
        <w:r w:rsidRPr="001167CB">
          <w:rPr>
            <w:rStyle w:val="Hyperlink"/>
            <w:rFonts w:asciiTheme="majorHAnsi" w:hAnsiTheme="majorHAnsi" w:cstheme="majorHAnsi"/>
            <w:color w:val="808080" w:themeColor="background1" w:themeShade="80"/>
            <w:sz w:val="16"/>
            <w:szCs w:val="16"/>
          </w:rPr>
          <w:t>Why it’s so hard to prosecute a hate crime</w:t>
        </w:r>
      </w:hyperlink>
      <w:r w:rsidRPr="001167CB">
        <w:rPr>
          <w:rFonts w:asciiTheme="majorHAnsi" w:hAnsiTheme="majorHAnsi" w:cstheme="majorHAnsi"/>
          <w:color w:val="808080" w:themeColor="background1" w:themeShade="80"/>
          <w:sz w:val="16"/>
          <w:szCs w:val="16"/>
        </w:rPr>
        <w:t>, last updated May 23, 2017.</w:t>
      </w:r>
    </w:p>
  </w:footnote>
  <w:footnote w:id="341">
    <w:p w14:paraId="2A435518"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BBC News, </w:t>
      </w:r>
      <w:hyperlink r:id="rId410" w:history="1">
        <w:r w:rsidRPr="001167CB">
          <w:rPr>
            <w:rStyle w:val="Hyperlink"/>
            <w:rFonts w:asciiTheme="majorHAnsi" w:hAnsiTheme="majorHAnsi" w:cstheme="majorHAnsi"/>
            <w:color w:val="808080" w:themeColor="background1" w:themeShade="80"/>
            <w:sz w:val="16"/>
            <w:szCs w:val="16"/>
          </w:rPr>
          <w:t>Charleston church shooting: Nine die in South Carolina 'hate crime'</w:t>
        </w:r>
      </w:hyperlink>
      <w:r w:rsidRPr="001167CB">
        <w:rPr>
          <w:rFonts w:asciiTheme="majorHAnsi" w:hAnsiTheme="majorHAnsi" w:cstheme="majorHAnsi"/>
          <w:color w:val="808080" w:themeColor="background1" w:themeShade="80"/>
          <w:sz w:val="16"/>
          <w:szCs w:val="16"/>
        </w:rPr>
        <w:t>, 18 June 2015.</w:t>
      </w:r>
    </w:p>
  </w:footnote>
  <w:footnote w:id="342">
    <w:p w14:paraId="74243343"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Chicago Tribune, </w:t>
      </w:r>
      <w:hyperlink r:id="rId411" w:history="1">
        <w:r w:rsidRPr="001167CB">
          <w:rPr>
            <w:rStyle w:val="Hyperlink"/>
            <w:rFonts w:asciiTheme="majorHAnsi" w:hAnsiTheme="majorHAnsi" w:cstheme="majorHAnsi"/>
            <w:color w:val="808080" w:themeColor="background1" w:themeShade="80"/>
            <w:sz w:val="16"/>
            <w:szCs w:val="16"/>
          </w:rPr>
          <w:t xml:space="preserve">FBI: </w:t>
        </w:r>
        <w:proofErr w:type="spellStart"/>
        <w:r w:rsidRPr="001167CB">
          <w:rPr>
            <w:rStyle w:val="Hyperlink"/>
            <w:rFonts w:asciiTheme="majorHAnsi" w:hAnsiTheme="majorHAnsi" w:cstheme="majorHAnsi"/>
            <w:color w:val="808080" w:themeColor="background1" w:themeShade="80"/>
            <w:sz w:val="16"/>
            <w:szCs w:val="16"/>
          </w:rPr>
          <w:t>Dylann</w:t>
        </w:r>
        <w:proofErr w:type="spellEnd"/>
        <w:r w:rsidRPr="001167CB">
          <w:rPr>
            <w:rStyle w:val="Hyperlink"/>
            <w:rFonts w:asciiTheme="majorHAnsi" w:hAnsiTheme="majorHAnsi" w:cstheme="majorHAnsi"/>
            <w:color w:val="808080" w:themeColor="background1" w:themeShade="80"/>
            <w:sz w:val="16"/>
            <w:szCs w:val="16"/>
          </w:rPr>
          <w:t xml:space="preserve"> Roof displaying racist symbols even during his trial</w:t>
        </w:r>
      </w:hyperlink>
      <w:r w:rsidRPr="001167CB">
        <w:rPr>
          <w:rFonts w:asciiTheme="majorHAnsi" w:hAnsiTheme="majorHAnsi" w:cstheme="majorHAnsi"/>
          <w:color w:val="808080" w:themeColor="background1" w:themeShade="80"/>
          <w:sz w:val="16"/>
          <w:szCs w:val="16"/>
        </w:rPr>
        <w:t>, Jan. 6, 2017.</w:t>
      </w:r>
    </w:p>
  </w:footnote>
  <w:footnote w:id="343">
    <w:p w14:paraId="2BCF7E5D"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Washington Post, </w:t>
      </w:r>
      <w:hyperlink r:id="rId412" w:history="1">
        <w:r w:rsidRPr="001167CB">
          <w:rPr>
            <w:rStyle w:val="Hyperlink"/>
            <w:rFonts w:asciiTheme="majorHAnsi" w:hAnsiTheme="majorHAnsi" w:cstheme="majorHAnsi"/>
            <w:color w:val="808080" w:themeColor="background1" w:themeShade="80"/>
            <w:sz w:val="16"/>
            <w:szCs w:val="16"/>
          </w:rPr>
          <w:t>Charleston church shooter: ‘I would like to make it crystal clear, I do not regret what I did’</w:t>
        </w:r>
      </w:hyperlink>
      <w:r w:rsidRPr="001167CB">
        <w:rPr>
          <w:rFonts w:asciiTheme="majorHAnsi" w:hAnsiTheme="majorHAnsi" w:cstheme="majorHAnsi"/>
          <w:color w:val="808080" w:themeColor="background1" w:themeShade="80"/>
          <w:sz w:val="16"/>
          <w:szCs w:val="16"/>
        </w:rPr>
        <w:t xml:space="preserve">, Jan. 4, 2017; CNN, </w:t>
      </w:r>
      <w:hyperlink r:id="rId413" w:history="1">
        <w:proofErr w:type="spellStart"/>
        <w:r w:rsidRPr="001167CB">
          <w:rPr>
            <w:rStyle w:val="Hyperlink"/>
            <w:rFonts w:asciiTheme="majorHAnsi" w:hAnsiTheme="majorHAnsi" w:cstheme="majorHAnsi"/>
            <w:color w:val="808080" w:themeColor="background1" w:themeShade="80"/>
            <w:sz w:val="16"/>
            <w:szCs w:val="16"/>
          </w:rPr>
          <w:t>Dylann</w:t>
        </w:r>
        <w:proofErr w:type="spellEnd"/>
        <w:r w:rsidRPr="001167CB">
          <w:rPr>
            <w:rStyle w:val="Hyperlink"/>
            <w:rFonts w:asciiTheme="majorHAnsi" w:hAnsiTheme="majorHAnsi" w:cstheme="majorHAnsi"/>
            <w:color w:val="808080" w:themeColor="background1" w:themeShade="80"/>
            <w:sz w:val="16"/>
            <w:szCs w:val="16"/>
          </w:rPr>
          <w:t xml:space="preserve"> Roof jury: Death penalty for Charleston church shooter</w:t>
        </w:r>
      </w:hyperlink>
      <w:r w:rsidRPr="001167CB">
        <w:rPr>
          <w:rFonts w:asciiTheme="majorHAnsi" w:hAnsiTheme="majorHAnsi" w:cstheme="majorHAnsi"/>
          <w:color w:val="808080" w:themeColor="background1" w:themeShade="80"/>
          <w:sz w:val="16"/>
          <w:szCs w:val="16"/>
        </w:rPr>
        <w:t xml:space="preserve">, Jan. 10, 2017; NBC News, </w:t>
      </w:r>
      <w:hyperlink r:id="rId414" w:history="1">
        <w:proofErr w:type="spellStart"/>
        <w:r w:rsidRPr="001167CB">
          <w:rPr>
            <w:rStyle w:val="Hyperlink"/>
            <w:rFonts w:asciiTheme="majorHAnsi" w:hAnsiTheme="majorHAnsi" w:cstheme="majorHAnsi"/>
            <w:color w:val="808080" w:themeColor="background1" w:themeShade="80"/>
            <w:sz w:val="16"/>
            <w:szCs w:val="16"/>
          </w:rPr>
          <w:t>Dylann</w:t>
        </w:r>
        <w:proofErr w:type="spellEnd"/>
        <w:r w:rsidRPr="001167CB">
          <w:rPr>
            <w:rStyle w:val="Hyperlink"/>
            <w:rFonts w:asciiTheme="majorHAnsi" w:hAnsiTheme="majorHAnsi" w:cstheme="majorHAnsi"/>
            <w:color w:val="808080" w:themeColor="background1" w:themeShade="80"/>
            <w:sz w:val="16"/>
            <w:szCs w:val="16"/>
          </w:rPr>
          <w:t xml:space="preserve"> Roof: Charleston Church Shooter Gets Nine Life Sentences in State Case</w:t>
        </w:r>
      </w:hyperlink>
      <w:r w:rsidRPr="001167CB">
        <w:rPr>
          <w:rFonts w:asciiTheme="majorHAnsi" w:hAnsiTheme="majorHAnsi" w:cstheme="majorHAnsi"/>
          <w:color w:val="808080" w:themeColor="background1" w:themeShade="80"/>
          <w:sz w:val="16"/>
          <w:szCs w:val="16"/>
        </w:rPr>
        <w:t>, Apr. 10, 2017.</w:t>
      </w:r>
    </w:p>
  </w:footnote>
  <w:footnote w:id="344">
    <w:p w14:paraId="522F7459"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NBC News, </w:t>
      </w:r>
      <w:hyperlink r:id="rId415" w:history="1">
        <w:r w:rsidRPr="001167CB">
          <w:rPr>
            <w:rStyle w:val="Hyperlink"/>
            <w:rFonts w:asciiTheme="majorHAnsi" w:hAnsiTheme="majorHAnsi" w:cstheme="majorHAnsi"/>
            <w:color w:val="808080" w:themeColor="background1" w:themeShade="80"/>
            <w:sz w:val="16"/>
            <w:szCs w:val="16"/>
          </w:rPr>
          <w:t>Charleston Church Shooting Renews Confederate Flag Debate</w:t>
        </w:r>
      </w:hyperlink>
      <w:r w:rsidRPr="001167CB">
        <w:rPr>
          <w:rFonts w:asciiTheme="majorHAnsi" w:hAnsiTheme="majorHAnsi" w:cstheme="majorHAnsi"/>
          <w:color w:val="808080" w:themeColor="background1" w:themeShade="80"/>
          <w:sz w:val="16"/>
          <w:szCs w:val="16"/>
        </w:rPr>
        <w:t>, June 20, 2015.</w:t>
      </w:r>
    </w:p>
  </w:footnote>
  <w:footnote w:id="345">
    <w:p w14:paraId="018F6DE0"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IACHR, </w:t>
      </w:r>
      <w:hyperlink r:id="rId416" w:history="1">
        <w:r w:rsidRPr="001167CB">
          <w:rPr>
            <w:rStyle w:val="Hyperlink"/>
            <w:rFonts w:asciiTheme="majorHAnsi" w:hAnsiTheme="majorHAnsi" w:cstheme="majorHAnsi"/>
            <w:bCs/>
            <w:color w:val="808080" w:themeColor="background1" w:themeShade="80"/>
            <w:sz w:val="16"/>
            <w:szCs w:val="16"/>
          </w:rPr>
          <w:t>Charlottesville Press Release</w:t>
        </w:r>
      </w:hyperlink>
      <w:r w:rsidRPr="001167CB">
        <w:rPr>
          <w:rFonts w:asciiTheme="majorHAnsi" w:hAnsiTheme="majorHAnsi" w:cstheme="majorHAnsi"/>
          <w:color w:val="808080" w:themeColor="background1" w:themeShade="80"/>
          <w:sz w:val="16"/>
          <w:szCs w:val="16"/>
          <w:shd w:val="clear" w:color="auto" w:fill="FFFFFF"/>
        </w:rPr>
        <w:t xml:space="preserve">, </w:t>
      </w:r>
      <w:r w:rsidRPr="001167CB">
        <w:rPr>
          <w:rFonts w:asciiTheme="majorHAnsi" w:hAnsiTheme="majorHAnsi" w:cstheme="majorHAnsi"/>
          <w:color w:val="808080" w:themeColor="background1" w:themeShade="80"/>
          <w:sz w:val="16"/>
          <w:szCs w:val="16"/>
        </w:rPr>
        <w:t xml:space="preserve">Aug. </w:t>
      </w:r>
      <w:r w:rsidRPr="001167CB">
        <w:rPr>
          <w:rFonts w:asciiTheme="majorHAnsi" w:hAnsiTheme="majorHAnsi" w:cstheme="majorHAnsi"/>
          <w:color w:val="808080" w:themeColor="background1" w:themeShade="80"/>
          <w:sz w:val="16"/>
          <w:szCs w:val="16"/>
          <w:shd w:val="clear" w:color="auto" w:fill="FFFFFF"/>
        </w:rPr>
        <w:t xml:space="preserve">18, 2017. </w:t>
      </w:r>
    </w:p>
  </w:footnote>
  <w:footnote w:id="346">
    <w:p w14:paraId="7676E14B"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New York Times, </w:t>
      </w:r>
      <w:hyperlink r:id="rId417" w:history="1">
        <w:r w:rsidRPr="001167CB">
          <w:rPr>
            <w:rStyle w:val="Hyperlink"/>
            <w:rFonts w:asciiTheme="majorHAnsi" w:hAnsiTheme="majorHAnsi" w:cstheme="majorHAnsi"/>
            <w:color w:val="808080" w:themeColor="background1" w:themeShade="80"/>
            <w:sz w:val="16"/>
            <w:szCs w:val="16"/>
          </w:rPr>
          <w:t>Man Charged After White Nationalist Rally in Charlottesville Ends in Deadly Violence</w:t>
        </w:r>
      </w:hyperlink>
      <w:r w:rsidRPr="001167CB">
        <w:rPr>
          <w:rFonts w:asciiTheme="majorHAnsi" w:hAnsiTheme="majorHAnsi" w:cstheme="majorHAnsi"/>
          <w:color w:val="808080" w:themeColor="background1" w:themeShade="80"/>
          <w:sz w:val="16"/>
          <w:szCs w:val="16"/>
        </w:rPr>
        <w:t xml:space="preserve">, Aug. 12, 2017; Washington Post, </w:t>
      </w:r>
      <w:hyperlink r:id="rId418" w:history="1">
        <w:r w:rsidRPr="001167CB">
          <w:rPr>
            <w:rStyle w:val="Hyperlink"/>
            <w:rFonts w:asciiTheme="majorHAnsi" w:hAnsiTheme="majorHAnsi" w:cstheme="majorHAnsi"/>
            <w:color w:val="808080" w:themeColor="background1" w:themeShade="80"/>
            <w:sz w:val="16"/>
            <w:szCs w:val="16"/>
          </w:rPr>
          <w:t>Black man attacked by white supremacists in Charlottesville faces felony charge</w:t>
        </w:r>
      </w:hyperlink>
      <w:r w:rsidRPr="001167CB">
        <w:rPr>
          <w:rFonts w:asciiTheme="majorHAnsi" w:hAnsiTheme="majorHAnsi" w:cstheme="majorHAnsi"/>
          <w:color w:val="808080" w:themeColor="background1" w:themeShade="80"/>
          <w:sz w:val="16"/>
          <w:szCs w:val="16"/>
        </w:rPr>
        <w:t xml:space="preserve">, Oct. 11, 2017; Washington Post, </w:t>
      </w:r>
      <w:hyperlink r:id="rId419" w:history="1">
        <w:r w:rsidRPr="001167CB">
          <w:rPr>
            <w:rStyle w:val="Hyperlink"/>
            <w:rFonts w:asciiTheme="majorHAnsi" w:hAnsiTheme="majorHAnsi" w:cstheme="majorHAnsi"/>
            <w:color w:val="808080" w:themeColor="background1" w:themeShade="80"/>
            <w:sz w:val="16"/>
            <w:szCs w:val="16"/>
          </w:rPr>
          <w:t>Black man beaten in Charlottesville found not guilty of assaulting white supremacist</w:t>
        </w:r>
      </w:hyperlink>
      <w:r w:rsidRPr="001167CB">
        <w:rPr>
          <w:rFonts w:asciiTheme="majorHAnsi" w:hAnsiTheme="majorHAnsi" w:cstheme="majorHAnsi"/>
          <w:color w:val="808080" w:themeColor="background1" w:themeShade="80"/>
          <w:sz w:val="16"/>
          <w:szCs w:val="16"/>
        </w:rPr>
        <w:t>, Mar. 16, 2018.</w:t>
      </w:r>
    </w:p>
  </w:footnote>
  <w:footnote w:id="347">
    <w:p w14:paraId="49ADFFEB"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New York Times, </w:t>
      </w:r>
      <w:hyperlink r:id="rId420" w:history="1">
        <w:r w:rsidRPr="001167CB">
          <w:rPr>
            <w:rStyle w:val="Hyperlink"/>
            <w:rFonts w:asciiTheme="majorHAnsi" w:hAnsiTheme="majorHAnsi" w:cstheme="majorHAnsi"/>
            <w:color w:val="808080" w:themeColor="background1" w:themeShade="80"/>
            <w:sz w:val="16"/>
            <w:szCs w:val="16"/>
          </w:rPr>
          <w:t>As White Nationalist in Charlottesville Fired, Police ‘Never Moved’</w:t>
        </w:r>
      </w:hyperlink>
      <w:r w:rsidRPr="001167CB">
        <w:rPr>
          <w:rFonts w:asciiTheme="majorHAnsi" w:hAnsiTheme="majorHAnsi" w:cstheme="majorHAnsi"/>
          <w:color w:val="808080" w:themeColor="background1" w:themeShade="80"/>
          <w:sz w:val="16"/>
          <w:szCs w:val="16"/>
        </w:rPr>
        <w:t xml:space="preserve">, Aug. 25, 2017; TIME, </w:t>
      </w:r>
      <w:hyperlink r:id="rId421" w:history="1">
        <w:r w:rsidRPr="001167CB">
          <w:rPr>
            <w:rStyle w:val="Hyperlink"/>
            <w:rFonts w:asciiTheme="majorHAnsi" w:hAnsiTheme="majorHAnsi" w:cstheme="majorHAnsi"/>
            <w:color w:val="808080" w:themeColor="background1" w:themeShade="80"/>
            <w:sz w:val="16"/>
            <w:szCs w:val="16"/>
          </w:rPr>
          <w:t>White Supremacists Assaulted Dozens of Us in Charlottesville. Almost None Have Been Punished</w:t>
        </w:r>
      </w:hyperlink>
      <w:r w:rsidRPr="001167CB">
        <w:rPr>
          <w:rFonts w:asciiTheme="majorHAnsi" w:hAnsiTheme="majorHAnsi" w:cstheme="majorHAnsi"/>
          <w:color w:val="808080" w:themeColor="background1" w:themeShade="80"/>
          <w:sz w:val="16"/>
          <w:szCs w:val="16"/>
        </w:rPr>
        <w:t xml:space="preserve">, Nov. 3, 2017; WRIC (ABC News), </w:t>
      </w:r>
      <w:hyperlink r:id="rId422" w:history="1">
        <w:r w:rsidRPr="001167CB">
          <w:rPr>
            <w:rStyle w:val="Hyperlink"/>
            <w:rFonts w:asciiTheme="majorHAnsi" w:hAnsiTheme="majorHAnsi" w:cstheme="majorHAnsi"/>
            <w:color w:val="808080" w:themeColor="background1" w:themeShade="80"/>
            <w:sz w:val="16"/>
            <w:szCs w:val="16"/>
          </w:rPr>
          <w:t>Court Documents: 6 out of 8 arrested in Charlottesville protests from out of state</w:t>
        </w:r>
      </w:hyperlink>
      <w:r w:rsidRPr="001167CB">
        <w:rPr>
          <w:rFonts w:asciiTheme="majorHAnsi" w:hAnsiTheme="majorHAnsi" w:cstheme="majorHAnsi"/>
          <w:color w:val="808080" w:themeColor="background1" w:themeShade="80"/>
          <w:sz w:val="16"/>
          <w:szCs w:val="16"/>
        </w:rPr>
        <w:t xml:space="preserve">, Aug. 14, 2017; </w:t>
      </w:r>
      <w:proofErr w:type="spellStart"/>
      <w:r w:rsidRPr="001167CB">
        <w:rPr>
          <w:rFonts w:asciiTheme="majorHAnsi" w:hAnsiTheme="majorHAnsi" w:cstheme="majorHAnsi"/>
          <w:color w:val="808080" w:themeColor="background1" w:themeShade="80"/>
          <w:sz w:val="16"/>
          <w:szCs w:val="16"/>
        </w:rPr>
        <w:t>ThinkProgress</w:t>
      </w:r>
      <w:proofErr w:type="spellEnd"/>
      <w:r w:rsidRPr="001167CB">
        <w:rPr>
          <w:rFonts w:asciiTheme="majorHAnsi" w:hAnsiTheme="majorHAnsi" w:cstheme="majorHAnsi"/>
          <w:color w:val="808080" w:themeColor="background1" w:themeShade="80"/>
          <w:sz w:val="16"/>
          <w:szCs w:val="16"/>
        </w:rPr>
        <w:t xml:space="preserve">, </w:t>
      </w:r>
      <w:hyperlink r:id="rId423" w:history="1">
        <w:r w:rsidRPr="001167CB">
          <w:rPr>
            <w:rStyle w:val="Hyperlink"/>
            <w:rFonts w:asciiTheme="majorHAnsi" w:hAnsiTheme="majorHAnsi" w:cstheme="majorHAnsi"/>
            <w:color w:val="808080" w:themeColor="background1" w:themeShade="80"/>
            <w:sz w:val="16"/>
            <w:szCs w:val="16"/>
          </w:rPr>
          <w:t>Police in Charlottesville arrested almost as many drunk people as violent white supremacists</w:t>
        </w:r>
      </w:hyperlink>
      <w:r w:rsidRPr="001167CB">
        <w:rPr>
          <w:rFonts w:asciiTheme="majorHAnsi" w:hAnsiTheme="majorHAnsi" w:cstheme="majorHAnsi"/>
          <w:color w:val="808080" w:themeColor="background1" w:themeShade="80"/>
          <w:sz w:val="16"/>
          <w:szCs w:val="16"/>
        </w:rPr>
        <w:t xml:space="preserve">, Aug. 18, 2017; CNN, </w:t>
      </w:r>
      <w:hyperlink r:id="rId424" w:history="1">
        <w:r w:rsidRPr="001167CB">
          <w:rPr>
            <w:rStyle w:val="Hyperlink"/>
            <w:rFonts w:asciiTheme="majorHAnsi" w:hAnsiTheme="majorHAnsi" w:cstheme="majorHAnsi"/>
            <w:color w:val="808080" w:themeColor="background1" w:themeShade="80"/>
            <w:sz w:val="16"/>
            <w:szCs w:val="16"/>
          </w:rPr>
          <w:t>Man beaten by white supremacists in Charlottesville is arrested</w:t>
        </w:r>
      </w:hyperlink>
      <w:r w:rsidRPr="001167CB">
        <w:rPr>
          <w:rFonts w:asciiTheme="majorHAnsi" w:hAnsiTheme="majorHAnsi" w:cstheme="majorHAnsi"/>
          <w:color w:val="808080" w:themeColor="background1" w:themeShade="80"/>
          <w:sz w:val="16"/>
          <w:szCs w:val="16"/>
        </w:rPr>
        <w:t>, Oct. 13, 2017.</w:t>
      </w:r>
    </w:p>
  </w:footnote>
  <w:footnote w:id="348">
    <w:p w14:paraId="333FC18C"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CNN, </w:t>
      </w:r>
      <w:hyperlink r:id="rId425" w:history="1">
        <w:r w:rsidRPr="001167CB">
          <w:rPr>
            <w:rStyle w:val="Hyperlink"/>
            <w:rFonts w:asciiTheme="majorHAnsi" w:hAnsiTheme="majorHAnsi" w:cstheme="majorHAnsi"/>
            <w:color w:val="808080" w:themeColor="background1" w:themeShade="80"/>
            <w:sz w:val="16"/>
            <w:szCs w:val="16"/>
          </w:rPr>
          <w:t>Charlottesville car attack suspect charged with five additional felonies</w:t>
        </w:r>
      </w:hyperlink>
      <w:r w:rsidRPr="001167CB">
        <w:rPr>
          <w:rFonts w:asciiTheme="majorHAnsi" w:hAnsiTheme="majorHAnsi" w:cstheme="majorHAnsi"/>
          <w:color w:val="808080" w:themeColor="background1" w:themeShade="80"/>
          <w:sz w:val="16"/>
          <w:szCs w:val="16"/>
        </w:rPr>
        <w:t xml:space="preserve">, Aug. 18, 2017; Baltimore Sun, </w:t>
      </w:r>
      <w:hyperlink r:id="rId426" w:history="1">
        <w:r w:rsidRPr="001167CB">
          <w:rPr>
            <w:rStyle w:val="Hyperlink"/>
            <w:rFonts w:asciiTheme="majorHAnsi" w:hAnsiTheme="majorHAnsi" w:cstheme="majorHAnsi"/>
            <w:color w:val="808080" w:themeColor="background1" w:themeShade="80"/>
            <w:sz w:val="16"/>
            <w:szCs w:val="16"/>
          </w:rPr>
          <w:t>Baltimore man among 3 more charged in Charlottesville, Va., white supremacist rally</w:t>
        </w:r>
      </w:hyperlink>
      <w:r w:rsidRPr="001167CB">
        <w:rPr>
          <w:rFonts w:asciiTheme="majorHAnsi" w:hAnsiTheme="majorHAnsi" w:cstheme="majorHAnsi"/>
          <w:color w:val="808080" w:themeColor="background1" w:themeShade="80"/>
          <w:sz w:val="16"/>
          <w:szCs w:val="16"/>
        </w:rPr>
        <w:t>, Aug. 27, 2017.</w:t>
      </w:r>
    </w:p>
  </w:footnote>
  <w:footnote w:id="349">
    <w:p w14:paraId="2FF0F645"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New York Times, </w:t>
      </w:r>
      <w:hyperlink r:id="rId427" w:history="1">
        <w:r w:rsidRPr="001167CB">
          <w:rPr>
            <w:rStyle w:val="Hyperlink"/>
            <w:rFonts w:asciiTheme="majorHAnsi" w:hAnsiTheme="majorHAnsi" w:cstheme="majorHAnsi"/>
            <w:color w:val="808080" w:themeColor="background1" w:themeShade="80"/>
            <w:sz w:val="16"/>
            <w:szCs w:val="16"/>
          </w:rPr>
          <w:t>The Statue at the Center of Charlottesville’s Storm</w:t>
        </w:r>
      </w:hyperlink>
      <w:r w:rsidRPr="001167CB">
        <w:rPr>
          <w:rFonts w:asciiTheme="majorHAnsi" w:hAnsiTheme="majorHAnsi" w:cstheme="majorHAnsi"/>
          <w:color w:val="808080" w:themeColor="background1" w:themeShade="80"/>
          <w:sz w:val="16"/>
          <w:szCs w:val="16"/>
        </w:rPr>
        <w:t xml:space="preserve">, Aug. 13, 2017; </w:t>
      </w:r>
      <w:r w:rsidRPr="001167CB">
        <w:rPr>
          <w:rFonts w:asciiTheme="majorHAnsi" w:hAnsiTheme="majorHAnsi" w:cstheme="majorHAnsi"/>
          <w:i/>
          <w:color w:val="808080" w:themeColor="background1" w:themeShade="80"/>
          <w:sz w:val="16"/>
          <w:szCs w:val="16"/>
        </w:rPr>
        <w:t>see also</w:t>
      </w:r>
      <w:r w:rsidRPr="001167CB">
        <w:rPr>
          <w:rFonts w:asciiTheme="majorHAnsi" w:hAnsiTheme="majorHAnsi" w:cstheme="majorHAnsi"/>
          <w:color w:val="808080" w:themeColor="background1" w:themeShade="80"/>
          <w:sz w:val="16"/>
          <w:szCs w:val="16"/>
        </w:rPr>
        <w:t xml:space="preserve"> NPR, </w:t>
      </w:r>
      <w:hyperlink r:id="rId428" w:history="1">
        <w:r w:rsidRPr="001167CB">
          <w:rPr>
            <w:rStyle w:val="Hyperlink"/>
            <w:rFonts w:asciiTheme="majorHAnsi" w:hAnsiTheme="majorHAnsi" w:cstheme="majorHAnsi"/>
            <w:color w:val="808080" w:themeColor="background1" w:themeShade="80"/>
            <w:sz w:val="16"/>
            <w:szCs w:val="16"/>
          </w:rPr>
          <w:t xml:space="preserve">Shrouds Pulled </w:t>
        </w:r>
        <w:proofErr w:type="gramStart"/>
        <w:r w:rsidRPr="001167CB">
          <w:rPr>
            <w:rStyle w:val="Hyperlink"/>
            <w:rFonts w:asciiTheme="majorHAnsi" w:hAnsiTheme="majorHAnsi" w:cstheme="majorHAnsi"/>
            <w:color w:val="808080" w:themeColor="background1" w:themeShade="80"/>
            <w:sz w:val="16"/>
            <w:szCs w:val="16"/>
          </w:rPr>
          <w:t>From</w:t>
        </w:r>
        <w:proofErr w:type="gramEnd"/>
        <w:r w:rsidRPr="001167CB">
          <w:rPr>
            <w:rStyle w:val="Hyperlink"/>
            <w:rFonts w:asciiTheme="majorHAnsi" w:hAnsiTheme="majorHAnsi" w:cstheme="majorHAnsi"/>
            <w:color w:val="808080" w:themeColor="background1" w:themeShade="80"/>
            <w:sz w:val="16"/>
            <w:szCs w:val="16"/>
          </w:rPr>
          <w:t xml:space="preserve"> Charlottesville Confederate Statues, Following Ruling</w:t>
        </w:r>
      </w:hyperlink>
      <w:r w:rsidRPr="001167CB">
        <w:rPr>
          <w:rFonts w:asciiTheme="majorHAnsi" w:hAnsiTheme="majorHAnsi" w:cstheme="majorHAnsi"/>
          <w:color w:val="808080" w:themeColor="background1" w:themeShade="80"/>
          <w:sz w:val="16"/>
          <w:szCs w:val="16"/>
        </w:rPr>
        <w:t>, Feb. 28, 2018.</w:t>
      </w:r>
    </w:p>
  </w:footnote>
  <w:footnote w:id="350">
    <w:p w14:paraId="4A2489CF"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CNN, </w:t>
      </w:r>
      <w:hyperlink r:id="rId429" w:history="1">
        <w:r w:rsidRPr="001167CB">
          <w:rPr>
            <w:rStyle w:val="Hyperlink"/>
            <w:rFonts w:asciiTheme="majorHAnsi" w:hAnsiTheme="majorHAnsi" w:cstheme="majorHAnsi"/>
            <w:color w:val="808080" w:themeColor="background1" w:themeShade="80"/>
            <w:sz w:val="16"/>
            <w:szCs w:val="16"/>
          </w:rPr>
          <w:t>Here are the Confederate memorials that will be removed after Charlottesville</w:t>
        </w:r>
      </w:hyperlink>
      <w:r w:rsidRPr="001167CB">
        <w:rPr>
          <w:rFonts w:asciiTheme="majorHAnsi" w:hAnsiTheme="majorHAnsi" w:cstheme="majorHAnsi"/>
          <w:color w:val="808080" w:themeColor="background1" w:themeShade="80"/>
          <w:sz w:val="16"/>
          <w:szCs w:val="16"/>
        </w:rPr>
        <w:t xml:space="preserve">, Aug. 22, 2017; The Atlantic, </w:t>
      </w:r>
      <w:hyperlink r:id="rId430" w:history="1">
        <w:r w:rsidRPr="001167CB">
          <w:rPr>
            <w:rStyle w:val="Hyperlink"/>
            <w:rFonts w:asciiTheme="majorHAnsi" w:hAnsiTheme="majorHAnsi" w:cstheme="majorHAnsi"/>
            <w:color w:val="808080" w:themeColor="background1" w:themeShade="80"/>
            <w:sz w:val="16"/>
            <w:szCs w:val="16"/>
          </w:rPr>
          <w:t>Take the Statues Down</w:t>
        </w:r>
      </w:hyperlink>
      <w:r w:rsidRPr="001167CB">
        <w:rPr>
          <w:rFonts w:asciiTheme="majorHAnsi" w:hAnsiTheme="majorHAnsi" w:cstheme="majorHAnsi"/>
          <w:color w:val="808080" w:themeColor="background1" w:themeShade="80"/>
          <w:sz w:val="16"/>
          <w:szCs w:val="16"/>
        </w:rPr>
        <w:t>, Aug. 13, 2017.</w:t>
      </w:r>
    </w:p>
  </w:footnote>
  <w:footnote w:id="351">
    <w:p w14:paraId="76C7B4BF"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i/>
          <w:color w:val="808080" w:themeColor="background1" w:themeShade="80"/>
          <w:sz w:val="16"/>
          <w:szCs w:val="16"/>
        </w:rPr>
        <w:t xml:space="preserve">See </w:t>
      </w:r>
      <w:r w:rsidRPr="001167CB">
        <w:rPr>
          <w:rFonts w:asciiTheme="majorHAnsi" w:hAnsiTheme="majorHAnsi" w:cstheme="majorHAnsi"/>
          <w:color w:val="808080" w:themeColor="background1" w:themeShade="80"/>
          <w:sz w:val="16"/>
          <w:szCs w:val="16"/>
        </w:rPr>
        <w:t xml:space="preserve">IACHR, </w:t>
      </w:r>
      <w:hyperlink r:id="rId431" w:history="1">
        <w:r w:rsidRPr="001167CB">
          <w:rPr>
            <w:rStyle w:val="Hyperlink"/>
            <w:rFonts w:asciiTheme="majorHAnsi" w:hAnsiTheme="majorHAnsi" w:cstheme="majorHAnsi"/>
            <w:color w:val="808080" w:themeColor="background1" w:themeShade="80"/>
            <w:sz w:val="16"/>
            <w:szCs w:val="16"/>
          </w:rPr>
          <w:t>The Right to Truth in the Americas</w:t>
        </w:r>
      </w:hyperlink>
      <w:r w:rsidRPr="001167CB">
        <w:rPr>
          <w:rFonts w:asciiTheme="majorHAnsi" w:hAnsiTheme="majorHAnsi" w:cstheme="majorHAnsi"/>
          <w:color w:val="808080" w:themeColor="background1" w:themeShade="80"/>
          <w:sz w:val="16"/>
          <w:szCs w:val="16"/>
        </w:rPr>
        <w:t>, OEA/</w:t>
      </w:r>
      <w:proofErr w:type="spellStart"/>
      <w:r w:rsidRPr="001167CB">
        <w:rPr>
          <w:rFonts w:asciiTheme="majorHAnsi" w:hAnsiTheme="majorHAnsi" w:cstheme="majorHAnsi"/>
          <w:color w:val="808080" w:themeColor="background1" w:themeShade="80"/>
          <w:sz w:val="16"/>
          <w:szCs w:val="16"/>
        </w:rPr>
        <w:t>Ser.L</w:t>
      </w:r>
      <w:proofErr w:type="spellEnd"/>
      <w:r w:rsidRPr="001167CB">
        <w:rPr>
          <w:rFonts w:asciiTheme="majorHAnsi" w:hAnsiTheme="majorHAnsi" w:cstheme="majorHAnsi"/>
          <w:color w:val="808080" w:themeColor="background1" w:themeShade="80"/>
          <w:sz w:val="16"/>
          <w:szCs w:val="16"/>
        </w:rPr>
        <w:t>/V/II.152, Doc. 2 (2014) [hereinafter “The Right to Truth”].</w:t>
      </w:r>
    </w:p>
  </w:footnote>
  <w:footnote w:id="352">
    <w:p w14:paraId="666DE877"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lang w:val="en-GB"/>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color w:val="808080" w:themeColor="background1" w:themeShade="80"/>
          <w:sz w:val="16"/>
          <w:szCs w:val="16"/>
          <w:lang w:val="en-GB"/>
        </w:rPr>
        <w:t xml:space="preserve">Dream Defenders, Florida Legal Services Inc., National Association for the Advancement of </w:t>
      </w:r>
      <w:proofErr w:type="spellStart"/>
      <w:r w:rsidRPr="001167CB">
        <w:rPr>
          <w:rFonts w:asciiTheme="majorHAnsi" w:hAnsiTheme="majorHAnsi" w:cstheme="majorHAnsi"/>
          <w:color w:val="808080" w:themeColor="background1" w:themeShade="80"/>
          <w:sz w:val="16"/>
          <w:szCs w:val="16"/>
          <w:lang w:val="en-GB"/>
        </w:rPr>
        <w:t>Colored</w:t>
      </w:r>
      <w:proofErr w:type="spellEnd"/>
      <w:r w:rsidRPr="001167CB">
        <w:rPr>
          <w:rFonts w:asciiTheme="majorHAnsi" w:hAnsiTheme="majorHAnsi" w:cstheme="majorHAnsi"/>
          <w:color w:val="808080" w:themeColor="background1" w:themeShade="80"/>
          <w:sz w:val="16"/>
          <w:szCs w:val="16"/>
          <w:lang w:val="en-GB"/>
        </w:rPr>
        <w:t xml:space="preserve"> People (NAACP), </w:t>
      </w:r>
      <w:hyperlink r:id="rId432" w:history="1">
        <w:r w:rsidRPr="001167CB">
          <w:rPr>
            <w:rStyle w:val="Hyperlink"/>
            <w:rFonts w:asciiTheme="majorHAnsi" w:hAnsiTheme="majorHAnsi" w:cstheme="majorHAnsi"/>
            <w:color w:val="808080" w:themeColor="background1" w:themeShade="80"/>
            <w:sz w:val="16"/>
            <w:szCs w:val="16"/>
          </w:rPr>
          <w:t>United States’ Compliance with the International Covenant on Civil and Political Rights - Written Statement on Stand Your Ground Laws</w:t>
        </w:r>
      </w:hyperlink>
      <w:r w:rsidRPr="001167CB">
        <w:rPr>
          <w:rFonts w:asciiTheme="majorHAnsi" w:hAnsiTheme="majorHAnsi" w:cstheme="majorHAnsi"/>
          <w:color w:val="808080" w:themeColor="background1" w:themeShade="80"/>
          <w:sz w:val="16"/>
          <w:szCs w:val="16"/>
          <w:lang w:val="en-GB"/>
        </w:rPr>
        <w:t>, 109</w:t>
      </w:r>
      <w:r w:rsidRPr="001167CB">
        <w:rPr>
          <w:rFonts w:asciiTheme="majorHAnsi" w:hAnsiTheme="majorHAnsi" w:cstheme="majorHAnsi"/>
          <w:color w:val="808080" w:themeColor="background1" w:themeShade="80"/>
          <w:sz w:val="16"/>
          <w:szCs w:val="16"/>
          <w:vertAlign w:val="superscript"/>
          <w:lang w:val="en-GB"/>
        </w:rPr>
        <w:t>th</w:t>
      </w:r>
      <w:r w:rsidRPr="001167CB">
        <w:rPr>
          <w:rFonts w:asciiTheme="majorHAnsi" w:hAnsiTheme="majorHAnsi" w:cstheme="majorHAnsi"/>
          <w:color w:val="808080" w:themeColor="background1" w:themeShade="80"/>
          <w:sz w:val="16"/>
          <w:szCs w:val="16"/>
          <w:lang w:val="en-GB"/>
        </w:rPr>
        <w:t xml:space="preserve"> Session of the United Nations Human Rights Committee, </w:t>
      </w:r>
      <w:r w:rsidRPr="001167CB">
        <w:rPr>
          <w:rFonts w:asciiTheme="majorHAnsi" w:hAnsiTheme="majorHAnsi" w:cstheme="majorHAnsi"/>
          <w:color w:val="808080" w:themeColor="background1" w:themeShade="80"/>
          <w:sz w:val="16"/>
          <w:szCs w:val="16"/>
        </w:rPr>
        <w:t xml:space="preserve">Oct. </w:t>
      </w:r>
      <w:r w:rsidRPr="001167CB">
        <w:rPr>
          <w:rFonts w:asciiTheme="majorHAnsi" w:hAnsiTheme="majorHAnsi" w:cstheme="majorHAnsi"/>
          <w:color w:val="808080" w:themeColor="background1" w:themeShade="80"/>
          <w:sz w:val="16"/>
          <w:szCs w:val="16"/>
          <w:lang w:val="en-GB"/>
        </w:rPr>
        <w:t>13-31, 2013.</w:t>
      </w:r>
    </w:p>
  </w:footnote>
  <w:footnote w:id="353">
    <w:p w14:paraId="217BF86C"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lang w:val="en-GB"/>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color w:val="808080" w:themeColor="background1" w:themeShade="80"/>
          <w:sz w:val="16"/>
          <w:szCs w:val="16"/>
          <w:lang w:val="en-GB"/>
        </w:rPr>
        <w:t xml:space="preserve">ABA, </w:t>
      </w:r>
      <w:hyperlink r:id="rId433" w:history="1">
        <w:r w:rsidRPr="001167CB">
          <w:rPr>
            <w:rStyle w:val="Hyperlink"/>
            <w:rFonts w:asciiTheme="majorHAnsi" w:hAnsiTheme="majorHAnsi" w:cstheme="majorHAnsi"/>
            <w:color w:val="808080" w:themeColor="background1" w:themeShade="80"/>
            <w:sz w:val="16"/>
            <w:szCs w:val="16"/>
            <w:lang w:val="en-GB"/>
          </w:rPr>
          <w:t>National Task Force on Stand Your Ground Laws: Final Report and Recommendations</w:t>
        </w:r>
      </w:hyperlink>
      <w:r w:rsidRPr="001167CB">
        <w:rPr>
          <w:rFonts w:asciiTheme="majorHAnsi" w:hAnsiTheme="majorHAnsi" w:cstheme="majorHAnsi"/>
          <w:color w:val="808080" w:themeColor="background1" w:themeShade="80"/>
          <w:sz w:val="16"/>
          <w:szCs w:val="16"/>
          <w:lang w:val="en-GB"/>
        </w:rPr>
        <w:t xml:space="preserve">, </w:t>
      </w:r>
      <w:r w:rsidRPr="001167CB">
        <w:rPr>
          <w:rFonts w:asciiTheme="majorHAnsi" w:hAnsiTheme="majorHAnsi" w:cstheme="majorHAnsi"/>
          <w:color w:val="808080" w:themeColor="background1" w:themeShade="80"/>
          <w:sz w:val="16"/>
          <w:szCs w:val="16"/>
        </w:rPr>
        <w:t xml:space="preserve">Sept. </w:t>
      </w:r>
      <w:r w:rsidRPr="001167CB">
        <w:rPr>
          <w:rFonts w:asciiTheme="majorHAnsi" w:hAnsiTheme="majorHAnsi" w:cstheme="majorHAnsi"/>
          <w:color w:val="808080" w:themeColor="background1" w:themeShade="80"/>
          <w:sz w:val="16"/>
          <w:szCs w:val="16"/>
          <w:lang w:val="en-GB"/>
        </w:rPr>
        <w:t>2015, p. 1.</w:t>
      </w:r>
    </w:p>
  </w:footnote>
  <w:footnote w:id="354">
    <w:p w14:paraId="2BF5FCE2"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State laws vary, but many states do not require a person to first attempt to retreat before using lethal force in the face of a threat of death or serious bodily injury when in one’s own home. This disposition follows a common law tradition known as the “Castle Doctrine” (also known as a castle law or a defense of habitation law). </w:t>
      </w:r>
    </w:p>
  </w:footnote>
  <w:footnote w:id="355">
    <w:p w14:paraId="16F3460B"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NPR, </w:t>
      </w:r>
      <w:hyperlink r:id="rId434" w:history="1">
        <w:r w:rsidRPr="001167CB">
          <w:rPr>
            <w:rStyle w:val="Hyperlink"/>
            <w:rFonts w:asciiTheme="majorHAnsi" w:hAnsiTheme="majorHAnsi" w:cstheme="majorHAnsi"/>
            <w:color w:val="808080" w:themeColor="background1" w:themeShade="80"/>
            <w:sz w:val="16"/>
            <w:szCs w:val="16"/>
          </w:rPr>
          <w:t>'Stand Your Ground' Linked To Increase In Homicides</w:t>
        </w:r>
      </w:hyperlink>
      <w:r w:rsidRPr="001167CB">
        <w:rPr>
          <w:rFonts w:asciiTheme="majorHAnsi" w:hAnsiTheme="majorHAnsi" w:cstheme="majorHAnsi"/>
          <w:color w:val="808080" w:themeColor="background1" w:themeShade="80"/>
          <w:sz w:val="16"/>
          <w:szCs w:val="16"/>
        </w:rPr>
        <w:t>, Jan. 2, 2013 (One study found 500 to 700 more homicides per year across the 23 states that introduced SYG laws as a result of the laws. There are about 14,000 homicides annually in the U.S.).</w:t>
      </w:r>
    </w:p>
  </w:footnote>
  <w:footnote w:id="356">
    <w:p w14:paraId="0DD2C29B"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Transcript of U.S. Commission on Civil Rights, Briefing on Stand Your Ground, Oct. 17, 2014, available at:  </w:t>
      </w:r>
      <w:hyperlink r:id="rId435" w:history="1">
        <w:r w:rsidRPr="001167CB">
          <w:rPr>
            <w:rStyle w:val="Hyperlink"/>
            <w:rFonts w:asciiTheme="majorHAnsi" w:hAnsiTheme="majorHAnsi" w:cstheme="majorHAnsi"/>
            <w:color w:val="808080" w:themeColor="background1" w:themeShade="80"/>
            <w:sz w:val="16"/>
            <w:szCs w:val="16"/>
          </w:rPr>
          <w:t>http://www.usccr.gov/calendar/trnscrpt/CommissionBriefingTranscript_Part1_10-17-2014_Final.pdf</w:t>
        </w:r>
      </w:hyperlink>
      <w:r w:rsidRPr="001167CB">
        <w:rPr>
          <w:rFonts w:asciiTheme="majorHAnsi" w:hAnsiTheme="majorHAnsi" w:cstheme="majorHAnsi"/>
          <w:color w:val="808080" w:themeColor="background1" w:themeShade="80"/>
          <w:sz w:val="16"/>
          <w:szCs w:val="16"/>
        </w:rPr>
        <w:t xml:space="preserve">; FOX News, </w:t>
      </w:r>
      <w:hyperlink r:id="rId436" w:history="1">
        <w:r w:rsidRPr="001167CB">
          <w:rPr>
            <w:rStyle w:val="Hyperlink"/>
            <w:rFonts w:asciiTheme="majorHAnsi" w:hAnsiTheme="majorHAnsi" w:cstheme="majorHAnsi"/>
            <w:color w:val="808080" w:themeColor="background1" w:themeShade="80"/>
            <w:sz w:val="16"/>
            <w:szCs w:val="16"/>
          </w:rPr>
          <w:t>Experts tell U.S. commission 'stand your ground' law is discriminatory</w:t>
        </w:r>
      </w:hyperlink>
      <w:r w:rsidRPr="001167CB">
        <w:rPr>
          <w:rFonts w:asciiTheme="majorHAnsi" w:hAnsiTheme="majorHAnsi" w:cstheme="majorHAnsi"/>
          <w:color w:val="808080" w:themeColor="background1" w:themeShade="80"/>
          <w:sz w:val="16"/>
          <w:szCs w:val="16"/>
        </w:rPr>
        <w:t>, Oct. 18, 2014.</w:t>
      </w:r>
    </w:p>
  </w:footnote>
  <w:footnote w:id="357">
    <w:p w14:paraId="69806708"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Orlando Sentinel, </w:t>
      </w:r>
      <w:hyperlink r:id="rId437" w:history="1">
        <w:r w:rsidRPr="001167CB">
          <w:rPr>
            <w:rStyle w:val="Hyperlink"/>
            <w:rFonts w:asciiTheme="majorHAnsi" w:hAnsiTheme="majorHAnsi" w:cstheme="majorHAnsi"/>
            <w:color w:val="808080" w:themeColor="background1" w:themeShade="80"/>
            <w:sz w:val="16"/>
            <w:szCs w:val="16"/>
          </w:rPr>
          <w:t>Experts offer testimony in 'stand your ground' probe</w:t>
        </w:r>
      </w:hyperlink>
      <w:r w:rsidRPr="001167CB">
        <w:rPr>
          <w:rFonts w:asciiTheme="majorHAnsi" w:hAnsiTheme="majorHAnsi" w:cstheme="majorHAnsi"/>
          <w:color w:val="808080" w:themeColor="background1" w:themeShade="80"/>
          <w:sz w:val="16"/>
          <w:szCs w:val="16"/>
        </w:rPr>
        <w:t>, Oct. 17, 2014.</w:t>
      </w:r>
    </w:p>
  </w:footnote>
  <w:footnote w:id="358">
    <w:p w14:paraId="7DFD9CFB" w14:textId="77777777" w:rsidR="005C2394" w:rsidRPr="001167CB" w:rsidRDefault="005C2394" w:rsidP="002C64F8">
      <w:pPr>
        <w:spacing w:after="40" w:line="240" w:lineRule="auto"/>
        <w:ind w:left="547" w:hanging="547"/>
        <w:contextualSpacing/>
        <w:jc w:val="both"/>
        <w:rPr>
          <w:rFonts w:asciiTheme="majorHAnsi" w:eastAsia="Cambria"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lang w:val="en-GB"/>
        </w:rPr>
        <w:t xml:space="preserve"> </w:t>
      </w:r>
      <w:r w:rsidRPr="001167CB">
        <w:rPr>
          <w:rFonts w:asciiTheme="majorHAnsi" w:hAnsiTheme="majorHAnsi" w:cstheme="majorHAnsi"/>
          <w:color w:val="808080" w:themeColor="background1" w:themeShade="80"/>
          <w:sz w:val="16"/>
          <w:szCs w:val="16"/>
          <w:lang w:val="en-GB"/>
        </w:rPr>
        <w:tab/>
      </w:r>
      <w:r w:rsidRPr="001167CB">
        <w:rPr>
          <w:rFonts w:asciiTheme="majorHAnsi" w:hAnsiTheme="majorHAnsi" w:cstheme="majorHAnsi"/>
          <w:bCs/>
          <w:color w:val="808080" w:themeColor="background1" w:themeShade="80"/>
          <w:sz w:val="16"/>
          <w:szCs w:val="16"/>
        </w:rPr>
        <w:t xml:space="preserve">IACHR, 150th Period of Sessions, </w:t>
      </w:r>
      <w:hyperlink r:id="rId438" w:history="1">
        <w:r w:rsidRPr="001167CB">
          <w:rPr>
            <w:rStyle w:val="Hyperlink"/>
            <w:rFonts w:asciiTheme="majorHAnsi" w:hAnsiTheme="majorHAnsi" w:cstheme="majorHAnsi"/>
            <w:bCs/>
            <w:color w:val="808080" w:themeColor="background1" w:themeShade="80"/>
            <w:sz w:val="16"/>
            <w:szCs w:val="16"/>
          </w:rPr>
          <w:t>“‘Stand Your Ground’ Laws” Hearing</w:t>
        </w:r>
      </w:hyperlink>
      <w:r w:rsidRPr="001167CB">
        <w:rPr>
          <w:rFonts w:asciiTheme="majorHAnsi" w:hAnsiTheme="majorHAnsi" w:cstheme="majorHAnsi"/>
          <w:bCs/>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 xml:space="preserve">Oct. </w:t>
      </w:r>
      <w:r w:rsidRPr="001167CB">
        <w:rPr>
          <w:rFonts w:asciiTheme="majorHAnsi" w:hAnsiTheme="majorHAnsi" w:cstheme="majorHAnsi"/>
          <w:bCs/>
          <w:color w:val="808080" w:themeColor="background1" w:themeShade="80"/>
          <w:sz w:val="16"/>
          <w:szCs w:val="16"/>
        </w:rPr>
        <w:t>27, 2014</w:t>
      </w:r>
      <w:r w:rsidRPr="001167CB">
        <w:rPr>
          <w:rFonts w:asciiTheme="majorHAnsi" w:hAnsiTheme="majorHAnsi" w:cstheme="majorHAnsi"/>
          <w:color w:val="808080" w:themeColor="background1" w:themeShade="80"/>
          <w:sz w:val="16"/>
          <w:szCs w:val="16"/>
        </w:rPr>
        <w:t>.</w:t>
      </w:r>
    </w:p>
  </w:footnote>
  <w:footnote w:id="359">
    <w:p w14:paraId="057C4BCA"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The man who killed Jordan Davis was convicted of murder and three attempted murders, and sentenced to life without the possibility of parole plus 90 additional years in prison in October 2014. The Guardian, </w:t>
      </w:r>
      <w:hyperlink r:id="rId439" w:history="1">
        <w:r w:rsidRPr="001167CB">
          <w:rPr>
            <w:rStyle w:val="Hyperlink"/>
            <w:rFonts w:asciiTheme="majorHAnsi" w:hAnsiTheme="majorHAnsi" w:cstheme="majorHAnsi"/>
            <w:color w:val="808080" w:themeColor="background1" w:themeShade="80"/>
            <w:sz w:val="16"/>
            <w:szCs w:val="16"/>
          </w:rPr>
          <w:t>Michael Dunn sentenced to life without parole for killing of Florida teenager</w:t>
        </w:r>
      </w:hyperlink>
      <w:r w:rsidRPr="001167CB">
        <w:rPr>
          <w:rFonts w:asciiTheme="majorHAnsi" w:hAnsiTheme="majorHAnsi" w:cstheme="majorHAnsi"/>
          <w:color w:val="808080" w:themeColor="background1" w:themeShade="80"/>
          <w:sz w:val="16"/>
          <w:szCs w:val="16"/>
        </w:rPr>
        <w:t>, Oct. 17, 2014.</w:t>
      </w:r>
    </w:p>
  </w:footnote>
  <w:footnote w:id="360">
    <w:p w14:paraId="31E43DD4" w14:textId="77777777" w:rsidR="005C2394" w:rsidRPr="001167CB" w:rsidRDefault="005C2394" w:rsidP="0087747F">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bCs/>
          <w:color w:val="808080" w:themeColor="background1" w:themeShade="80"/>
          <w:sz w:val="16"/>
          <w:szCs w:val="16"/>
        </w:rPr>
        <w:t xml:space="preserve">IACHR, 150th Period of Sessions, </w:t>
      </w:r>
      <w:hyperlink r:id="rId440" w:history="1">
        <w:r w:rsidRPr="001167CB">
          <w:rPr>
            <w:rStyle w:val="Hyperlink"/>
            <w:rFonts w:asciiTheme="majorHAnsi" w:hAnsiTheme="majorHAnsi" w:cstheme="majorHAnsi"/>
            <w:bCs/>
            <w:color w:val="808080" w:themeColor="background1" w:themeShade="80"/>
            <w:sz w:val="16"/>
            <w:szCs w:val="16"/>
          </w:rPr>
          <w:t>“‘Stand Your Ground’ Laws” Hearing</w:t>
        </w:r>
      </w:hyperlink>
      <w:r w:rsidRPr="001167CB">
        <w:rPr>
          <w:rFonts w:asciiTheme="majorHAnsi" w:hAnsiTheme="majorHAnsi" w:cstheme="majorHAnsi"/>
          <w:bCs/>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 xml:space="preserve">Oct. </w:t>
      </w:r>
      <w:r w:rsidRPr="001167CB">
        <w:rPr>
          <w:rFonts w:asciiTheme="majorHAnsi" w:hAnsiTheme="majorHAnsi" w:cstheme="majorHAnsi"/>
          <w:bCs/>
          <w:color w:val="808080" w:themeColor="background1" w:themeShade="80"/>
          <w:sz w:val="16"/>
          <w:szCs w:val="16"/>
        </w:rPr>
        <w:t>27, 2014</w:t>
      </w:r>
      <w:r w:rsidRPr="001167CB">
        <w:rPr>
          <w:rFonts w:asciiTheme="majorHAnsi" w:hAnsiTheme="majorHAnsi" w:cstheme="majorHAnsi"/>
          <w:color w:val="808080" w:themeColor="background1" w:themeShade="80"/>
          <w:sz w:val="16"/>
          <w:szCs w:val="16"/>
        </w:rPr>
        <w:t>.</w:t>
      </w:r>
    </w:p>
  </w:footnote>
  <w:footnote w:id="361">
    <w:p w14:paraId="5F455EF9"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The man who killed Trayvon Martin, was acquitted of second-degree murder under Florida’s SYG law in 2013. Since his acquittal he has courted public controversy by, among others, putting up for auction the gun that he killed Trayvon Martin with. Washington Post, </w:t>
      </w:r>
      <w:hyperlink r:id="rId441" w:history="1">
        <w:r w:rsidRPr="001167CB">
          <w:rPr>
            <w:rStyle w:val="Hyperlink"/>
            <w:rFonts w:asciiTheme="majorHAnsi" w:hAnsiTheme="majorHAnsi" w:cstheme="majorHAnsi"/>
            <w:color w:val="808080" w:themeColor="background1" w:themeShade="80"/>
            <w:sz w:val="16"/>
            <w:szCs w:val="16"/>
          </w:rPr>
          <w:t>George Zimmerman’s many, many controversies since the Trayvon Martin case</w:t>
        </w:r>
      </w:hyperlink>
      <w:r w:rsidRPr="001167CB">
        <w:rPr>
          <w:rFonts w:asciiTheme="majorHAnsi" w:hAnsiTheme="majorHAnsi" w:cstheme="majorHAnsi"/>
          <w:color w:val="808080" w:themeColor="background1" w:themeShade="80"/>
          <w:sz w:val="16"/>
          <w:szCs w:val="16"/>
        </w:rPr>
        <w:t>, May 12, 2016.</w:t>
      </w:r>
    </w:p>
  </w:footnote>
  <w:footnote w:id="362">
    <w:p w14:paraId="5218A30C" w14:textId="77777777" w:rsidR="005C2394" w:rsidRPr="001167CB" w:rsidRDefault="005C2394" w:rsidP="00A70C45">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bCs/>
          <w:color w:val="808080" w:themeColor="background1" w:themeShade="80"/>
          <w:sz w:val="16"/>
          <w:szCs w:val="16"/>
        </w:rPr>
        <w:t xml:space="preserve">IACHR, 150th Period of Sessions, </w:t>
      </w:r>
      <w:hyperlink r:id="rId442" w:history="1">
        <w:r w:rsidRPr="001167CB">
          <w:rPr>
            <w:rStyle w:val="Hyperlink"/>
            <w:rFonts w:asciiTheme="majorHAnsi" w:hAnsiTheme="majorHAnsi" w:cstheme="majorHAnsi"/>
            <w:bCs/>
            <w:color w:val="808080" w:themeColor="background1" w:themeShade="80"/>
            <w:sz w:val="16"/>
            <w:szCs w:val="16"/>
          </w:rPr>
          <w:t>“‘Stand Your Ground’ Laws” Hearing</w:t>
        </w:r>
      </w:hyperlink>
      <w:r w:rsidRPr="001167CB">
        <w:rPr>
          <w:rFonts w:asciiTheme="majorHAnsi" w:hAnsiTheme="majorHAnsi" w:cstheme="majorHAnsi"/>
          <w:bCs/>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 xml:space="preserve">Oct. </w:t>
      </w:r>
      <w:r w:rsidRPr="001167CB">
        <w:rPr>
          <w:rFonts w:asciiTheme="majorHAnsi" w:hAnsiTheme="majorHAnsi" w:cstheme="majorHAnsi"/>
          <w:bCs/>
          <w:color w:val="808080" w:themeColor="background1" w:themeShade="80"/>
          <w:sz w:val="16"/>
          <w:szCs w:val="16"/>
        </w:rPr>
        <w:t>27, 2014</w:t>
      </w:r>
      <w:r w:rsidRPr="001167CB">
        <w:rPr>
          <w:rFonts w:asciiTheme="majorHAnsi" w:hAnsiTheme="majorHAnsi" w:cstheme="majorHAnsi"/>
          <w:color w:val="808080" w:themeColor="background1" w:themeShade="80"/>
          <w:sz w:val="16"/>
          <w:szCs w:val="16"/>
        </w:rPr>
        <w:t>.</w:t>
      </w:r>
    </w:p>
  </w:footnote>
  <w:footnote w:id="363">
    <w:p w14:paraId="199A4989"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Id.</w:t>
      </w:r>
    </w:p>
  </w:footnote>
  <w:footnote w:id="364">
    <w:p w14:paraId="4F03CE08"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New York Times, </w:t>
      </w:r>
      <w:hyperlink r:id="rId443" w:history="1">
        <w:r w:rsidRPr="001167CB">
          <w:rPr>
            <w:rStyle w:val="Hyperlink"/>
            <w:rFonts w:asciiTheme="majorHAnsi" w:hAnsiTheme="majorHAnsi" w:cstheme="majorHAnsi"/>
            <w:color w:val="808080" w:themeColor="background1" w:themeShade="80"/>
            <w:sz w:val="16"/>
            <w:szCs w:val="16"/>
          </w:rPr>
          <w:t>Florida Woman Whose ‘Stand Your Ground’ Defense Was Rejected Is Released</w:t>
        </w:r>
      </w:hyperlink>
      <w:r w:rsidRPr="001167CB">
        <w:rPr>
          <w:rFonts w:asciiTheme="majorHAnsi" w:hAnsiTheme="majorHAnsi" w:cstheme="majorHAnsi"/>
          <w:color w:val="808080" w:themeColor="background1" w:themeShade="80"/>
          <w:sz w:val="16"/>
          <w:szCs w:val="16"/>
        </w:rPr>
        <w:t>, Feb. 7, 2017.</w:t>
      </w:r>
    </w:p>
  </w:footnote>
  <w:footnote w:id="365">
    <w:p w14:paraId="6003EAC3"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bCs/>
          <w:color w:val="808080" w:themeColor="background1" w:themeShade="80"/>
          <w:sz w:val="16"/>
          <w:szCs w:val="16"/>
        </w:rPr>
        <w:t xml:space="preserve">IACHR, </w:t>
      </w:r>
      <w:hyperlink r:id="rId444" w:history="1">
        <w:r w:rsidRPr="001167CB">
          <w:rPr>
            <w:rStyle w:val="Hyperlink"/>
            <w:rFonts w:asciiTheme="majorHAnsi" w:hAnsiTheme="majorHAnsi" w:cstheme="majorHAnsi"/>
            <w:bCs/>
            <w:color w:val="808080" w:themeColor="background1" w:themeShade="80"/>
            <w:sz w:val="16"/>
            <w:szCs w:val="16"/>
          </w:rPr>
          <w:t>On-Site Visit Press Release</w:t>
        </w:r>
      </w:hyperlink>
      <w:r w:rsidRPr="001167CB">
        <w:rPr>
          <w:rFonts w:asciiTheme="majorHAnsi" w:hAnsiTheme="majorHAnsi" w:cstheme="majorHAnsi"/>
          <w:bCs/>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 xml:space="preserve">Oct. </w:t>
      </w:r>
      <w:r w:rsidRPr="001167CB">
        <w:rPr>
          <w:rFonts w:asciiTheme="majorHAnsi" w:hAnsiTheme="majorHAnsi" w:cstheme="majorHAnsi"/>
          <w:bCs/>
          <w:color w:val="808080" w:themeColor="background1" w:themeShade="80"/>
          <w:sz w:val="16"/>
          <w:szCs w:val="16"/>
        </w:rPr>
        <w:t>16, 2015</w:t>
      </w:r>
      <w:r w:rsidRPr="001167CB">
        <w:rPr>
          <w:rFonts w:asciiTheme="majorHAnsi" w:hAnsiTheme="majorHAnsi" w:cstheme="majorHAnsi"/>
          <w:color w:val="808080" w:themeColor="background1" w:themeShade="80"/>
          <w:sz w:val="16"/>
          <w:szCs w:val="16"/>
        </w:rPr>
        <w:t>.</w:t>
      </w:r>
    </w:p>
  </w:footnote>
  <w:footnote w:id="366">
    <w:p w14:paraId="11521D39"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i/>
          <w:color w:val="808080" w:themeColor="background1" w:themeShade="80"/>
          <w:sz w:val="16"/>
          <w:szCs w:val="16"/>
        </w:rPr>
        <w:t>See</w:t>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bCs/>
          <w:color w:val="808080" w:themeColor="background1" w:themeShade="80"/>
          <w:sz w:val="16"/>
          <w:szCs w:val="16"/>
        </w:rPr>
        <w:t xml:space="preserve">Human Rights </w:t>
      </w:r>
      <w:proofErr w:type="gramStart"/>
      <w:r w:rsidRPr="001167CB">
        <w:rPr>
          <w:rFonts w:asciiTheme="majorHAnsi" w:hAnsiTheme="majorHAnsi" w:cstheme="majorHAnsi"/>
          <w:bCs/>
          <w:color w:val="808080" w:themeColor="background1" w:themeShade="80"/>
          <w:sz w:val="16"/>
          <w:szCs w:val="16"/>
        </w:rPr>
        <w:t>Comm..</w:t>
      </w:r>
      <w:proofErr w:type="gramEnd"/>
      <w:r w:rsidRPr="001167CB">
        <w:rPr>
          <w:rFonts w:asciiTheme="majorHAnsi" w:hAnsiTheme="majorHAnsi" w:cstheme="majorHAnsi"/>
          <w:bCs/>
          <w:color w:val="808080" w:themeColor="background1" w:themeShade="80"/>
          <w:sz w:val="16"/>
          <w:szCs w:val="16"/>
        </w:rPr>
        <w:t xml:space="preserve"> </w:t>
      </w:r>
      <w:hyperlink r:id="rId445" w:history="1">
        <w:r w:rsidRPr="001167CB">
          <w:rPr>
            <w:rStyle w:val="Hyperlink"/>
            <w:rFonts w:asciiTheme="majorHAnsi" w:hAnsiTheme="majorHAnsi" w:cstheme="majorHAnsi"/>
            <w:bCs/>
            <w:color w:val="808080" w:themeColor="background1" w:themeShade="80"/>
            <w:sz w:val="16"/>
            <w:szCs w:val="16"/>
          </w:rPr>
          <w:t>Concluding Observations 2014</w:t>
        </w:r>
      </w:hyperlink>
      <w:r w:rsidRPr="001167CB">
        <w:rPr>
          <w:rFonts w:asciiTheme="majorHAnsi" w:hAnsiTheme="majorHAnsi" w:cstheme="majorHAnsi"/>
          <w:bCs/>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 xml:space="preserve">Apr. </w:t>
      </w:r>
      <w:r w:rsidRPr="001167CB">
        <w:rPr>
          <w:rFonts w:asciiTheme="majorHAnsi" w:hAnsiTheme="majorHAnsi" w:cstheme="majorHAnsi"/>
          <w:bCs/>
          <w:color w:val="808080" w:themeColor="background1" w:themeShade="80"/>
          <w:sz w:val="16"/>
          <w:szCs w:val="16"/>
        </w:rPr>
        <w:t>23, 2014</w:t>
      </w:r>
      <w:r w:rsidRPr="001167CB">
        <w:rPr>
          <w:rFonts w:asciiTheme="majorHAnsi" w:hAnsiTheme="majorHAnsi" w:cstheme="majorHAnsi"/>
          <w:color w:val="808080" w:themeColor="background1" w:themeShade="80"/>
          <w:sz w:val="16"/>
          <w:szCs w:val="16"/>
        </w:rPr>
        <w:t xml:space="preserve">, para. 10(b); </w:t>
      </w:r>
      <w:r w:rsidRPr="001167CB">
        <w:rPr>
          <w:rFonts w:asciiTheme="majorHAnsi" w:hAnsiTheme="majorHAnsi" w:cstheme="majorHAnsi"/>
          <w:bCs/>
          <w:color w:val="808080" w:themeColor="background1" w:themeShade="80"/>
          <w:sz w:val="16"/>
          <w:szCs w:val="16"/>
        </w:rPr>
        <w:t xml:space="preserve">CERD, </w:t>
      </w:r>
      <w:hyperlink r:id="rId446" w:history="1">
        <w:r w:rsidRPr="001167CB">
          <w:rPr>
            <w:rStyle w:val="Hyperlink"/>
            <w:rFonts w:asciiTheme="majorHAnsi" w:hAnsiTheme="majorHAnsi" w:cstheme="majorHAnsi"/>
            <w:bCs/>
            <w:color w:val="808080" w:themeColor="background1" w:themeShade="80"/>
            <w:sz w:val="16"/>
            <w:szCs w:val="16"/>
          </w:rPr>
          <w:t>Concluding Observations 2014</w:t>
        </w:r>
      </w:hyperlink>
      <w:r w:rsidRPr="001167CB">
        <w:rPr>
          <w:rFonts w:asciiTheme="majorHAnsi" w:hAnsiTheme="majorHAnsi" w:cstheme="majorHAnsi"/>
          <w:bCs/>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 xml:space="preserve">Sept. </w:t>
      </w:r>
      <w:r w:rsidRPr="001167CB">
        <w:rPr>
          <w:rFonts w:asciiTheme="majorHAnsi" w:hAnsiTheme="majorHAnsi" w:cstheme="majorHAnsi"/>
          <w:bCs/>
          <w:color w:val="808080" w:themeColor="background1" w:themeShade="80"/>
          <w:sz w:val="16"/>
          <w:szCs w:val="16"/>
        </w:rPr>
        <w:t>25, 2014</w:t>
      </w:r>
      <w:r w:rsidRPr="001167CB">
        <w:rPr>
          <w:rFonts w:asciiTheme="majorHAnsi" w:hAnsiTheme="majorHAnsi" w:cstheme="majorHAnsi"/>
          <w:color w:val="808080" w:themeColor="background1" w:themeShade="80"/>
          <w:sz w:val="16"/>
          <w:szCs w:val="16"/>
          <w:lang w:val="en-GB"/>
        </w:rPr>
        <w:t xml:space="preserve">, </w:t>
      </w:r>
      <w:r w:rsidRPr="001167CB">
        <w:rPr>
          <w:rFonts w:asciiTheme="majorHAnsi" w:hAnsiTheme="majorHAnsi" w:cstheme="majorHAnsi"/>
          <w:color w:val="808080" w:themeColor="background1" w:themeShade="80"/>
          <w:sz w:val="16"/>
          <w:szCs w:val="16"/>
        </w:rPr>
        <w:t>para. 16.</w:t>
      </w:r>
    </w:p>
  </w:footnote>
  <w:footnote w:id="367">
    <w:p w14:paraId="1637DA24"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African American Policy Forum &amp; Center for Intersectionality and Social Policy Studies, </w:t>
      </w:r>
      <w:hyperlink r:id="rId447" w:history="1">
        <w:r w:rsidRPr="001167CB">
          <w:rPr>
            <w:rStyle w:val="Hyperlink"/>
            <w:rFonts w:asciiTheme="majorHAnsi" w:hAnsiTheme="majorHAnsi" w:cstheme="majorHAnsi"/>
            <w:color w:val="808080" w:themeColor="background1" w:themeShade="80"/>
            <w:sz w:val="16"/>
            <w:szCs w:val="16"/>
          </w:rPr>
          <w:t>Say Her Name: Resisting Police Brutality against Black Women</w:t>
        </w:r>
      </w:hyperlink>
      <w:r w:rsidRPr="001167CB">
        <w:rPr>
          <w:rFonts w:asciiTheme="majorHAnsi" w:hAnsiTheme="majorHAnsi" w:cstheme="majorHAnsi"/>
          <w:color w:val="808080" w:themeColor="background1" w:themeShade="80"/>
          <w:sz w:val="16"/>
          <w:szCs w:val="16"/>
        </w:rPr>
        <w:t xml:space="preserve">, July 2015; </w:t>
      </w:r>
      <w:r w:rsidRPr="001167CB">
        <w:rPr>
          <w:rFonts w:asciiTheme="majorHAnsi" w:hAnsiTheme="majorHAnsi" w:cstheme="majorHAnsi"/>
          <w:i/>
          <w:color w:val="808080" w:themeColor="background1" w:themeShade="80"/>
          <w:sz w:val="16"/>
          <w:szCs w:val="16"/>
        </w:rPr>
        <w:t>see also, e.g.,</w:t>
      </w:r>
      <w:r w:rsidRPr="001167CB">
        <w:rPr>
          <w:rFonts w:asciiTheme="majorHAnsi" w:hAnsiTheme="majorHAnsi" w:cstheme="majorHAnsi"/>
          <w:color w:val="808080" w:themeColor="background1" w:themeShade="80"/>
          <w:sz w:val="16"/>
          <w:szCs w:val="16"/>
        </w:rPr>
        <w:t xml:space="preserve"> Washington Post, </w:t>
      </w:r>
      <w:hyperlink r:id="rId448" w:history="1">
        <w:r w:rsidRPr="001167CB">
          <w:rPr>
            <w:rStyle w:val="Hyperlink"/>
            <w:rFonts w:asciiTheme="majorHAnsi" w:hAnsiTheme="majorHAnsi" w:cstheme="majorHAnsi"/>
            <w:color w:val="808080" w:themeColor="background1" w:themeShade="80"/>
            <w:sz w:val="16"/>
            <w:szCs w:val="16"/>
          </w:rPr>
          <w:t xml:space="preserve">Disgraced ex-cop Daniel </w:t>
        </w:r>
        <w:proofErr w:type="spellStart"/>
        <w:r w:rsidRPr="001167CB">
          <w:rPr>
            <w:rStyle w:val="Hyperlink"/>
            <w:rFonts w:asciiTheme="majorHAnsi" w:hAnsiTheme="majorHAnsi" w:cstheme="majorHAnsi"/>
            <w:color w:val="808080" w:themeColor="background1" w:themeShade="80"/>
            <w:sz w:val="16"/>
            <w:szCs w:val="16"/>
          </w:rPr>
          <w:t>Holtzclaw</w:t>
        </w:r>
        <w:proofErr w:type="spellEnd"/>
        <w:r w:rsidRPr="001167CB">
          <w:rPr>
            <w:rStyle w:val="Hyperlink"/>
            <w:rFonts w:asciiTheme="majorHAnsi" w:hAnsiTheme="majorHAnsi" w:cstheme="majorHAnsi"/>
            <w:color w:val="808080" w:themeColor="background1" w:themeShade="80"/>
            <w:sz w:val="16"/>
            <w:szCs w:val="16"/>
          </w:rPr>
          <w:t xml:space="preserve"> sentenced to 263 years for on-duty rapes, sexual assault</w:t>
        </w:r>
      </w:hyperlink>
      <w:r w:rsidRPr="001167CB">
        <w:rPr>
          <w:rFonts w:asciiTheme="majorHAnsi" w:hAnsiTheme="majorHAnsi" w:cstheme="majorHAnsi"/>
          <w:color w:val="808080" w:themeColor="background1" w:themeShade="80"/>
          <w:sz w:val="16"/>
          <w:szCs w:val="16"/>
        </w:rPr>
        <w:t xml:space="preserve">s, Jan. 22, 2016 (“In a racially charged case that attracted national attention, </w:t>
      </w:r>
      <w:proofErr w:type="spellStart"/>
      <w:r w:rsidRPr="001167CB">
        <w:rPr>
          <w:rFonts w:asciiTheme="majorHAnsi" w:hAnsiTheme="majorHAnsi" w:cstheme="majorHAnsi"/>
          <w:color w:val="808080" w:themeColor="background1" w:themeShade="80"/>
          <w:sz w:val="16"/>
          <w:szCs w:val="16"/>
        </w:rPr>
        <w:t>Holtzclaw</w:t>
      </w:r>
      <w:proofErr w:type="spellEnd"/>
      <w:r w:rsidRPr="001167CB">
        <w:rPr>
          <w:rFonts w:asciiTheme="majorHAnsi" w:hAnsiTheme="majorHAnsi" w:cstheme="majorHAnsi"/>
          <w:color w:val="808080" w:themeColor="background1" w:themeShade="80"/>
          <w:sz w:val="16"/>
          <w:szCs w:val="16"/>
        </w:rPr>
        <w:t xml:space="preserve"> was accused of committing sex crimes against 13 different African American women while patrolling a low-income neighborhood.”).</w:t>
      </w:r>
    </w:p>
  </w:footnote>
  <w:footnote w:id="368">
    <w:p w14:paraId="77B86706"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bCs/>
          <w:color w:val="808080" w:themeColor="background1" w:themeShade="80"/>
          <w:sz w:val="16"/>
          <w:szCs w:val="16"/>
        </w:rPr>
        <w:t xml:space="preserve">IACHR, </w:t>
      </w:r>
      <w:hyperlink r:id="rId449" w:history="1">
        <w:r w:rsidRPr="001167CB">
          <w:rPr>
            <w:rStyle w:val="Hyperlink"/>
            <w:rFonts w:asciiTheme="majorHAnsi" w:hAnsiTheme="majorHAnsi" w:cstheme="majorHAnsi"/>
            <w:bCs/>
            <w:color w:val="808080" w:themeColor="background1" w:themeShade="80"/>
            <w:sz w:val="16"/>
            <w:szCs w:val="16"/>
          </w:rPr>
          <w:t>On-Site Visit Press Release</w:t>
        </w:r>
      </w:hyperlink>
      <w:r w:rsidRPr="001167CB">
        <w:rPr>
          <w:rFonts w:asciiTheme="majorHAnsi" w:hAnsiTheme="majorHAnsi" w:cstheme="majorHAnsi"/>
          <w:bCs/>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 xml:space="preserve">Oct. </w:t>
      </w:r>
      <w:r w:rsidRPr="001167CB">
        <w:rPr>
          <w:rFonts w:asciiTheme="majorHAnsi" w:hAnsiTheme="majorHAnsi" w:cstheme="majorHAnsi"/>
          <w:bCs/>
          <w:color w:val="808080" w:themeColor="background1" w:themeShade="80"/>
          <w:sz w:val="16"/>
          <w:szCs w:val="16"/>
        </w:rPr>
        <w:t>16, 2015</w:t>
      </w:r>
      <w:r w:rsidRPr="001167CB">
        <w:rPr>
          <w:rFonts w:asciiTheme="majorHAnsi" w:hAnsiTheme="majorHAnsi" w:cstheme="majorHAnsi"/>
          <w:color w:val="808080" w:themeColor="background1" w:themeShade="80"/>
          <w:sz w:val="16"/>
          <w:szCs w:val="16"/>
        </w:rPr>
        <w:t>.</w:t>
      </w:r>
    </w:p>
  </w:footnote>
  <w:footnote w:id="369">
    <w:p w14:paraId="78554A1C"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i/>
          <w:color w:val="808080" w:themeColor="background1" w:themeShade="80"/>
          <w:sz w:val="16"/>
          <w:szCs w:val="16"/>
        </w:rPr>
        <w:t xml:space="preserve">See, e.g., </w:t>
      </w:r>
      <w:hyperlink r:id="rId450" w:history="1">
        <w:r w:rsidRPr="001167CB">
          <w:rPr>
            <w:rStyle w:val="Hyperlink"/>
            <w:rFonts w:asciiTheme="majorHAnsi" w:hAnsiTheme="majorHAnsi" w:cstheme="majorHAnsi"/>
            <w:color w:val="808080" w:themeColor="background1" w:themeShade="80"/>
            <w:sz w:val="16"/>
            <w:szCs w:val="16"/>
          </w:rPr>
          <w:t xml:space="preserve">The </w:t>
        </w:r>
        <w:proofErr w:type="spellStart"/>
        <w:r w:rsidRPr="001167CB">
          <w:rPr>
            <w:rStyle w:val="Hyperlink"/>
            <w:rFonts w:asciiTheme="majorHAnsi" w:hAnsiTheme="majorHAnsi" w:cstheme="majorHAnsi"/>
            <w:color w:val="808080" w:themeColor="background1" w:themeShade="80"/>
            <w:sz w:val="16"/>
            <w:szCs w:val="16"/>
          </w:rPr>
          <w:t>Ruderman</w:t>
        </w:r>
        <w:proofErr w:type="spellEnd"/>
        <w:r w:rsidRPr="001167CB">
          <w:rPr>
            <w:rStyle w:val="Hyperlink"/>
            <w:rFonts w:asciiTheme="majorHAnsi" w:hAnsiTheme="majorHAnsi" w:cstheme="majorHAnsi"/>
            <w:color w:val="808080" w:themeColor="background1" w:themeShade="80"/>
            <w:sz w:val="16"/>
            <w:szCs w:val="16"/>
          </w:rPr>
          <w:t xml:space="preserve"> White Paper on Media Coverage of Law Enforcement Use of Force and Disability: a Media Study (2013-2015) and Overview</w:t>
        </w:r>
      </w:hyperlink>
      <w:r w:rsidRPr="001167CB">
        <w:rPr>
          <w:rFonts w:asciiTheme="majorHAnsi" w:hAnsiTheme="majorHAnsi" w:cstheme="majorHAnsi"/>
          <w:color w:val="808080" w:themeColor="background1" w:themeShade="80"/>
          <w:sz w:val="16"/>
          <w:szCs w:val="16"/>
        </w:rPr>
        <w:t xml:space="preserve">, Mar. 2016; Treatment Advocacy Center, </w:t>
      </w:r>
      <w:hyperlink r:id="rId451" w:history="1">
        <w:r w:rsidRPr="001167CB">
          <w:rPr>
            <w:rStyle w:val="Hyperlink"/>
            <w:rFonts w:asciiTheme="majorHAnsi" w:hAnsiTheme="majorHAnsi" w:cstheme="majorHAnsi"/>
            <w:color w:val="808080" w:themeColor="background1" w:themeShade="80"/>
            <w:sz w:val="16"/>
            <w:szCs w:val="16"/>
          </w:rPr>
          <w:t>Overlooked in the Undercounted: The Role of Mental Illness in Fatal Law Enforcement Encounters</w:t>
        </w:r>
      </w:hyperlink>
      <w:r w:rsidRPr="001167CB">
        <w:rPr>
          <w:rFonts w:asciiTheme="majorHAnsi" w:hAnsiTheme="majorHAnsi" w:cstheme="majorHAnsi"/>
          <w:color w:val="808080" w:themeColor="background1" w:themeShade="80"/>
          <w:sz w:val="16"/>
          <w:szCs w:val="16"/>
        </w:rPr>
        <w:t xml:space="preserve">, Dec. 2015. </w:t>
      </w:r>
    </w:p>
  </w:footnote>
  <w:footnote w:id="370">
    <w:p w14:paraId="7B091AF7" w14:textId="77777777" w:rsidR="005C2394" w:rsidRPr="001167CB" w:rsidRDefault="005C2394" w:rsidP="002C64F8">
      <w:pPr>
        <w:pStyle w:val="FootnoteText"/>
        <w:spacing w:after="40"/>
        <w:ind w:left="547" w:hanging="547"/>
        <w:contextualSpacing/>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Washington Post, </w:t>
      </w:r>
      <w:hyperlink r:id="rId452" w:history="1">
        <w:r w:rsidRPr="001167CB">
          <w:rPr>
            <w:rStyle w:val="Hyperlink"/>
            <w:rFonts w:asciiTheme="majorHAnsi" w:hAnsiTheme="majorHAnsi" w:cstheme="majorHAnsi"/>
            <w:color w:val="808080" w:themeColor="background1" w:themeShade="80"/>
            <w:sz w:val="16"/>
            <w:szCs w:val="16"/>
          </w:rPr>
          <w:t>Fata</w:t>
        </w:r>
      </w:hyperlink>
      <w:r w:rsidRPr="001167CB">
        <w:rPr>
          <w:rStyle w:val="Hyperlink"/>
          <w:rFonts w:asciiTheme="majorHAnsi" w:hAnsiTheme="majorHAnsi" w:cstheme="majorHAnsi"/>
          <w:color w:val="808080" w:themeColor="background1" w:themeShade="80"/>
          <w:sz w:val="16"/>
          <w:szCs w:val="16"/>
        </w:rPr>
        <w:t>l Force: 2017</w:t>
      </w:r>
      <w:r w:rsidRPr="001167CB">
        <w:rPr>
          <w:rFonts w:asciiTheme="majorHAnsi" w:hAnsiTheme="majorHAnsi" w:cstheme="majorHAnsi"/>
          <w:color w:val="808080" w:themeColor="background1" w:themeShade="80"/>
          <w:sz w:val="16"/>
          <w:szCs w:val="16"/>
        </w:rPr>
        <w:t xml:space="preserve">, last visited Dec. 8, 2017; </w:t>
      </w:r>
      <w:hyperlink r:id="rId453" w:history="1">
        <w:r w:rsidRPr="001167CB">
          <w:rPr>
            <w:rStyle w:val="Hyperlink"/>
            <w:rFonts w:asciiTheme="majorHAnsi" w:hAnsiTheme="majorHAnsi" w:cstheme="majorHAnsi"/>
            <w:color w:val="808080" w:themeColor="background1" w:themeShade="80"/>
            <w:sz w:val="16"/>
            <w:szCs w:val="16"/>
          </w:rPr>
          <w:t>Fatal Force: 2016</w:t>
        </w:r>
      </w:hyperlink>
      <w:r w:rsidRPr="001167CB">
        <w:rPr>
          <w:rFonts w:asciiTheme="majorHAnsi" w:hAnsiTheme="majorHAnsi" w:cstheme="majorHAnsi"/>
          <w:color w:val="808080" w:themeColor="background1" w:themeShade="80"/>
          <w:sz w:val="16"/>
          <w:szCs w:val="16"/>
        </w:rPr>
        <w:t xml:space="preserve">, last visited Dec. 8, 2017; </w:t>
      </w:r>
      <w:hyperlink r:id="rId454" w:history="1">
        <w:r w:rsidRPr="001167CB">
          <w:rPr>
            <w:rStyle w:val="Hyperlink"/>
            <w:rFonts w:asciiTheme="majorHAnsi" w:hAnsiTheme="majorHAnsi" w:cstheme="majorHAnsi"/>
            <w:color w:val="808080" w:themeColor="background1" w:themeShade="80"/>
            <w:sz w:val="16"/>
            <w:szCs w:val="16"/>
          </w:rPr>
          <w:t>Fatal Force: 2015</w:t>
        </w:r>
      </w:hyperlink>
      <w:r w:rsidRPr="001167CB">
        <w:rPr>
          <w:rFonts w:asciiTheme="majorHAnsi" w:hAnsiTheme="majorHAnsi" w:cstheme="majorHAnsi"/>
          <w:color w:val="808080" w:themeColor="background1" w:themeShade="80"/>
          <w:sz w:val="16"/>
          <w:szCs w:val="16"/>
        </w:rPr>
        <w:t>, last visited Dec. 8, 2017. These estimates are conservative, including only those identified by family or police officers as being mentally ill.</w:t>
      </w:r>
    </w:p>
  </w:footnote>
  <w:footnote w:id="371">
    <w:p w14:paraId="275C6D3E"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Miami Herald, </w:t>
      </w:r>
      <w:hyperlink r:id="rId455" w:history="1">
        <w:r w:rsidRPr="001167CB">
          <w:rPr>
            <w:rStyle w:val="Hyperlink"/>
            <w:rFonts w:asciiTheme="majorHAnsi" w:hAnsiTheme="majorHAnsi" w:cstheme="majorHAnsi"/>
            <w:color w:val="808080" w:themeColor="background1" w:themeShade="80"/>
            <w:sz w:val="16"/>
            <w:szCs w:val="16"/>
          </w:rPr>
          <w:t>Family: Video shows Miami Gardens police didn’t need to shoot mentally ill man</w:t>
        </w:r>
      </w:hyperlink>
      <w:r w:rsidRPr="001167CB">
        <w:rPr>
          <w:rFonts w:asciiTheme="majorHAnsi" w:hAnsiTheme="majorHAnsi" w:cstheme="majorHAnsi"/>
          <w:color w:val="808080" w:themeColor="background1" w:themeShade="80"/>
          <w:sz w:val="16"/>
          <w:szCs w:val="16"/>
        </w:rPr>
        <w:t>, Apr. 8, 2015.</w:t>
      </w:r>
    </w:p>
  </w:footnote>
  <w:footnote w:id="372">
    <w:p w14:paraId="1FD7B293"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i/>
          <w:color w:val="808080" w:themeColor="background1" w:themeShade="80"/>
          <w:sz w:val="16"/>
          <w:szCs w:val="16"/>
        </w:rPr>
        <w:t>See, e.g.</w:t>
      </w:r>
      <w:r w:rsidRPr="001167CB">
        <w:rPr>
          <w:rFonts w:asciiTheme="majorHAnsi" w:hAnsiTheme="majorHAnsi" w:cstheme="majorHAnsi"/>
          <w:color w:val="808080" w:themeColor="background1" w:themeShade="80"/>
          <w:sz w:val="16"/>
          <w:szCs w:val="16"/>
        </w:rPr>
        <w:t xml:space="preserve">, NPR, </w:t>
      </w:r>
      <w:hyperlink r:id="rId456" w:history="1">
        <w:r w:rsidRPr="001167CB">
          <w:rPr>
            <w:rStyle w:val="Hyperlink"/>
            <w:rFonts w:asciiTheme="majorHAnsi" w:hAnsiTheme="majorHAnsi" w:cstheme="majorHAnsi"/>
            <w:color w:val="808080" w:themeColor="background1" w:themeShade="80"/>
            <w:sz w:val="16"/>
            <w:szCs w:val="16"/>
          </w:rPr>
          <w:t xml:space="preserve">Of All U.S. Police Shootings, One-Quarter Reportedly Involve </w:t>
        </w:r>
        <w:proofErr w:type="gramStart"/>
        <w:r w:rsidRPr="001167CB">
          <w:rPr>
            <w:rStyle w:val="Hyperlink"/>
            <w:rFonts w:asciiTheme="majorHAnsi" w:hAnsiTheme="majorHAnsi" w:cstheme="majorHAnsi"/>
            <w:color w:val="808080" w:themeColor="background1" w:themeShade="80"/>
            <w:sz w:val="16"/>
            <w:szCs w:val="16"/>
          </w:rPr>
          <w:t>The</w:t>
        </w:r>
        <w:proofErr w:type="gramEnd"/>
        <w:r w:rsidRPr="001167CB">
          <w:rPr>
            <w:rStyle w:val="Hyperlink"/>
            <w:rFonts w:asciiTheme="majorHAnsi" w:hAnsiTheme="majorHAnsi" w:cstheme="majorHAnsi"/>
            <w:color w:val="808080" w:themeColor="background1" w:themeShade="80"/>
            <w:sz w:val="16"/>
            <w:szCs w:val="16"/>
          </w:rPr>
          <w:t xml:space="preserve"> Mentally Ill</w:t>
        </w:r>
      </w:hyperlink>
      <w:r w:rsidRPr="001167CB">
        <w:rPr>
          <w:rFonts w:asciiTheme="majorHAnsi" w:hAnsiTheme="majorHAnsi" w:cstheme="majorHAnsi"/>
          <w:color w:val="808080" w:themeColor="background1" w:themeShade="80"/>
          <w:sz w:val="16"/>
          <w:szCs w:val="16"/>
        </w:rPr>
        <w:t xml:space="preserve">, July 4, 2015; </w:t>
      </w:r>
      <w:r w:rsidRPr="001167CB">
        <w:rPr>
          <w:rFonts w:asciiTheme="majorHAnsi" w:hAnsiTheme="majorHAnsi" w:cstheme="majorHAnsi"/>
          <w:i/>
          <w:color w:val="808080" w:themeColor="background1" w:themeShade="80"/>
          <w:sz w:val="16"/>
          <w:szCs w:val="16"/>
        </w:rPr>
        <w:t xml:space="preserve">see also supra </w:t>
      </w:r>
      <w:r w:rsidRPr="001167CB">
        <w:rPr>
          <w:rFonts w:asciiTheme="majorHAnsi" w:hAnsiTheme="majorHAnsi" w:cstheme="majorHAnsi"/>
          <w:color w:val="808080" w:themeColor="background1" w:themeShade="80"/>
          <w:sz w:val="16"/>
          <w:szCs w:val="16"/>
        </w:rPr>
        <w:t xml:space="preserve">note </w:t>
      </w:r>
      <w:r w:rsidRPr="001167CB">
        <w:rPr>
          <w:rFonts w:asciiTheme="majorHAnsi" w:hAnsiTheme="majorHAnsi" w:cstheme="majorHAnsi"/>
          <w:color w:val="808080" w:themeColor="background1" w:themeShade="80"/>
          <w:sz w:val="16"/>
          <w:szCs w:val="16"/>
        </w:rPr>
        <w:fldChar w:fldCharType="begin"/>
      </w:r>
      <w:r w:rsidRPr="001167CB">
        <w:rPr>
          <w:rFonts w:asciiTheme="majorHAnsi" w:hAnsiTheme="majorHAnsi" w:cstheme="majorHAnsi"/>
          <w:color w:val="808080" w:themeColor="background1" w:themeShade="80"/>
          <w:sz w:val="16"/>
          <w:szCs w:val="16"/>
        </w:rPr>
        <w:instrText xml:space="preserve"> NOTEREF _Ref511832973 \h  \* MERGEFORMAT </w:instrText>
      </w:r>
      <w:r w:rsidRPr="001167CB">
        <w:rPr>
          <w:rFonts w:asciiTheme="majorHAnsi" w:hAnsiTheme="majorHAnsi" w:cstheme="majorHAnsi"/>
          <w:color w:val="808080" w:themeColor="background1" w:themeShade="80"/>
          <w:sz w:val="16"/>
          <w:szCs w:val="16"/>
        </w:rPr>
      </w:r>
      <w:r w:rsidRPr="001167CB">
        <w:rPr>
          <w:rFonts w:asciiTheme="majorHAnsi" w:hAnsiTheme="majorHAnsi" w:cstheme="majorHAnsi"/>
          <w:color w:val="808080" w:themeColor="background1" w:themeShade="80"/>
          <w:sz w:val="16"/>
          <w:szCs w:val="16"/>
        </w:rPr>
        <w:fldChar w:fldCharType="separate"/>
      </w:r>
      <w:r w:rsidRPr="001167CB">
        <w:rPr>
          <w:rFonts w:asciiTheme="majorHAnsi" w:hAnsiTheme="majorHAnsi" w:cstheme="majorHAnsi"/>
          <w:color w:val="808080" w:themeColor="background1" w:themeShade="80"/>
          <w:sz w:val="16"/>
          <w:szCs w:val="16"/>
        </w:rPr>
        <w:t>103</w:t>
      </w:r>
      <w:r w:rsidRPr="001167CB">
        <w:rPr>
          <w:rFonts w:asciiTheme="majorHAnsi" w:hAnsiTheme="majorHAnsi" w:cstheme="majorHAnsi"/>
          <w:color w:val="808080" w:themeColor="background1" w:themeShade="80"/>
          <w:sz w:val="16"/>
          <w:szCs w:val="16"/>
        </w:rPr>
        <w:fldChar w:fldCharType="end"/>
      </w:r>
      <w:r w:rsidRPr="001167CB">
        <w:rPr>
          <w:rFonts w:asciiTheme="majorHAnsi" w:hAnsiTheme="majorHAnsi" w:cstheme="majorHAnsi"/>
          <w:color w:val="808080" w:themeColor="background1" w:themeShade="80"/>
          <w:sz w:val="16"/>
          <w:szCs w:val="16"/>
        </w:rPr>
        <w:t>.</w:t>
      </w:r>
    </w:p>
  </w:footnote>
  <w:footnote w:id="373">
    <w:p w14:paraId="30EA7D15"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bCs/>
          <w:color w:val="808080" w:themeColor="background1" w:themeShade="80"/>
          <w:sz w:val="16"/>
          <w:szCs w:val="16"/>
        </w:rPr>
        <w:t xml:space="preserve">IACHR, 166th Period of Sessions, </w:t>
      </w:r>
      <w:hyperlink r:id="rId457" w:history="1">
        <w:r w:rsidRPr="001167CB">
          <w:rPr>
            <w:rStyle w:val="Hyperlink"/>
            <w:rFonts w:asciiTheme="majorHAnsi" w:hAnsiTheme="majorHAnsi" w:cstheme="majorHAnsi"/>
            <w:bCs/>
            <w:color w:val="808080" w:themeColor="background1" w:themeShade="80"/>
            <w:sz w:val="16"/>
            <w:szCs w:val="16"/>
          </w:rPr>
          <w:t>“Impunity for Police Killings” Hearing</w:t>
        </w:r>
      </w:hyperlink>
      <w:r w:rsidRPr="001167CB">
        <w:rPr>
          <w:rFonts w:asciiTheme="majorHAnsi" w:hAnsiTheme="majorHAnsi" w:cstheme="majorHAnsi"/>
          <w:bCs/>
          <w:color w:val="808080" w:themeColor="background1" w:themeShade="80"/>
          <w:sz w:val="16"/>
          <w:szCs w:val="16"/>
        </w:rPr>
        <w:t>,</w:t>
      </w:r>
      <w:r w:rsidRPr="001167CB">
        <w:rPr>
          <w:rFonts w:asciiTheme="majorHAnsi" w:hAnsiTheme="majorHAnsi" w:cstheme="majorHAnsi"/>
          <w:color w:val="808080" w:themeColor="background1" w:themeShade="80"/>
          <w:sz w:val="16"/>
          <w:szCs w:val="16"/>
        </w:rPr>
        <w:t xml:space="preserve"> Dec. </w:t>
      </w:r>
      <w:r w:rsidRPr="001167CB">
        <w:rPr>
          <w:rFonts w:asciiTheme="majorHAnsi" w:hAnsiTheme="majorHAnsi" w:cstheme="majorHAnsi"/>
          <w:bCs/>
          <w:color w:val="808080" w:themeColor="background1" w:themeShade="80"/>
          <w:sz w:val="16"/>
          <w:szCs w:val="16"/>
        </w:rPr>
        <w:t>7, 2017</w:t>
      </w:r>
      <w:r w:rsidRPr="001167CB">
        <w:rPr>
          <w:rFonts w:asciiTheme="majorHAnsi" w:hAnsiTheme="majorHAnsi" w:cstheme="majorHAnsi"/>
          <w:color w:val="808080" w:themeColor="background1" w:themeShade="80"/>
          <w:sz w:val="16"/>
          <w:szCs w:val="16"/>
        </w:rPr>
        <w:t>.</w:t>
      </w:r>
    </w:p>
  </w:footnote>
  <w:footnote w:id="374">
    <w:p w14:paraId="3F765BE1" w14:textId="77777777" w:rsidR="005C2394" w:rsidRPr="001167CB" w:rsidRDefault="005C2394" w:rsidP="00625D97">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bCs/>
          <w:color w:val="808080" w:themeColor="background1" w:themeShade="80"/>
          <w:sz w:val="16"/>
          <w:szCs w:val="16"/>
        </w:rPr>
        <w:t xml:space="preserve">IACHR, 153d Period of Sessions, </w:t>
      </w:r>
      <w:hyperlink r:id="rId458" w:history="1">
        <w:r w:rsidRPr="001167CB">
          <w:rPr>
            <w:rStyle w:val="Hyperlink"/>
            <w:rFonts w:asciiTheme="majorHAnsi" w:hAnsiTheme="majorHAnsi" w:cstheme="majorHAnsi"/>
            <w:bCs/>
            <w:color w:val="808080" w:themeColor="background1" w:themeShade="80"/>
            <w:sz w:val="16"/>
            <w:szCs w:val="16"/>
          </w:rPr>
          <w:t>“Racism in the Justice System”</w:t>
        </w:r>
      </w:hyperlink>
      <w:r w:rsidRPr="001167CB">
        <w:rPr>
          <w:rFonts w:asciiTheme="majorHAnsi" w:hAnsiTheme="majorHAnsi" w:cstheme="majorHAnsi"/>
          <w:bCs/>
          <w:color w:val="808080" w:themeColor="background1" w:themeShade="80"/>
          <w:sz w:val="16"/>
          <w:szCs w:val="16"/>
        </w:rPr>
        <w:t xml:space="preserve"> Hearing, </w:t>
      </w:r>
      <w:r w:rsidRPr="001167CB">
        <w:rPr>
          <w:rFonts w:asciiTheme="majorHAnsi" w:hAnsiTheme="majorHAnsi" w:cstheme="majorHAnsi"/>
          <w:color w:val="808080" w:themeColor="background1" w:themeShade="80"/>
          <w:sz w:val="16"/>
          <w:szCs w:val="16"/>
        </w:rPr>
        <w:t xml:space="preserve">Oct. </w:t>
      </w:r>
      <w:r w:rsidRPr="001167CB">
        <w:rPr>
          <w:rFonts w:asciiTheme="majorHAnsi" w:hAnsiTheme="majorHAnsi" w:cstheme="majorHAnsi"/>
          <w:bCs/>
          <w:color w:val="808080" w:themeColor="background1" w:themeShade="80"/>
          <w:sz w:val="16"/>
          <w:szCs w:val="16"/>
        </w:rPr>
        <w:t>27, 2014</w:t>
      </w:r>
      <w:r w:rsidRPr="001167CB">
        <w:rPr>
          <w:rFonts w:asciiTheme="majorHAnsi" w:hAnsiTheme="majorHAnsi" w:cstheme="majorHAnsi"/>
          <w:color w:val="808080" w:themeColor="background1" w:themeShade="80"/>
          <w:sz w:val="16"/>
          <w:szCs w:val="16"/>
        </w:rPr>
        <w:t>.</w:t>
      </w:r>
    </w:p>
  </w:footnote>
  <w:footnote w:id="375">
    <w:p w14:paraId="160E7939"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NBC News, </w:t>
      </w:r>
      <w:hyperlink r:id="rId459" w:history="1">
        <w:proofErr w:type="spellStart"/>
        <w:r w:rsidRPr="001167CB">
          <w:rPr>
            <w:rStyle w:val="Hyperlink"/>
            <w:rFonts w:asciiTheme="majorHAnsi" w:hAnsiTheme="majorHAnsi" w:cstheme="majorHAnsi"/>
            <w:color w:val="808080" w:themeColor="background1" w:themeShade="80"/>
            <w:sz w:val="16"/>
            <w:szCs w:val="16"/>
          </w:rPr>
          <w:t>Tamir</w:t>
        </w:r>
        <w:proofErr w:type="spellEnd"/>
        <w:r w:rsidRPr="001167CB">
          <w:rPr>
            <w:rStyle w:val="Hyperlink"/>
            <w:rFonts w:asciiTheme="majorHAnsi" w:hAnsiTheme="majorHAnsi" w:cstheme="majorHAnsi"/>
            <w:color w:val="808080" w:themeColor="background1" w:themeShade="80"/>
            <w:sz w:val="16"/>
            <w:szCs w:val="16"/>
          </w:rPr>
          <w:t xml:space="preserve"> Rice Shooting: Newly Released Interview Reveals Cop’s Shifting Story</w:t>
        </w:r>
      </w:hyperlink>
      <w:r w:rsidRPr="001167CB">
        <w:rPr>
          <w:rFonts w:asciiTheme="majorHAnsi" w:hAnsiTheme="majorHAnsi" w:cstheme="majorHAnsi"/>
          <w:color w:val="808080" w:themeColor="background1" w:themeShade="80"/>
          <w:sz w:val="16"/>
          <w:szCs w:val="16"/>
        </w:rPr>
        <w:t>, Apr. 26, 2017.</w:t>
      </w:r>
    </w:p>
  </w:footnote>
  <w:footnote w:id="376">
    <w:p w14:paraId="444D2D7D"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Washington Post, </w:t>
      </w:r>
      <w:hyperlink r:id="rId460" w:history="1">
        <w:r w:rsidRPr="001167CB">
          <w:rPr>
            <w:rStyle w:val="Hyperlink"/>
            <w:rFonts w:asciiTheme="majorHAnsi" w:hAnsiTheme="majorHAnsi" w:cstheme="majorHAnsi"/>
            <w:color w:val="808080" w:themeColor="background1" w:themeShade="80"/>
            <w:sz w:val="16"/>
            <w:szCs w:val="16"/>
          </w:rPr>
          <w:t>Darren Wilson explains why he killed Michael Brown</w:t>
        </w:r>
      </w:hyperlink>
      <w:r w:rsidRPr="001167CB">
        <w:rPr>
          <w:rFonts w:asciiTheme="majorHAnsi" w:hAnsiTheme="majorHAnsi" w:cstheme="majorHAnsi"/>
          <w:color w:val="808080" w:themeColor="background1" w:themeShade="80"/>
          <w:sz w:val="16"/>
          <w:szCs w:val="16"/>
        </w:rPr>
        <w:t>, Nov. 25, 2014.</w:t>
      </w:r>
    </w:p>
  </w:footnote>
  <w:footnote w:id="377">
    <w:p w14:paraId="5FD6ED93"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bCs/>
          <w:color w:val="808080" w:themeColor="background1" w:themeShade="80"/>
          <w:sz w:val="16"/>
          <w:szCs w:val="16"/>
        </w:rPr>
        <w:t xml:space="preserve">IACHR, </w:t>
      </w:r>
      <w:hyperlink r:id="rId461" w:history="1">
        <w:r w:rsidRPr="001167CB">
          <w:rPr>
            <w:rStyle w:val="Hyperlink"/>
            <w:rFonts w:asciiTheme="majorHAnsi" w:hAnsiTheme="majorHAnsi" w:cstheme="majorHAnsi"/>
            <w:bCs/>
            <w:color w:val="808080" w:themeColor="background1" w:themeShade="80"/>
            <w:sz w:val="16"/>
            <w:szCs w:val="16"/>
          </w:rPr>
          <w:t>On-Site Visit Press Release</w:t>
        </w:r>
      </w:hyperlink>
      <w:r w:rsidRPr="001167CB">
        <w:rPr>
          <w:rFonts w:asciiTheme="majorHAnsi" w:hAnsiTheme="majorHAnsi" w:cstheme="majorHAnsi"/>
          <w:bCs/>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 xml:space="preserve">Oct. </w:t>
      </w:r>
      <w:r w:rsidRPr="001167CB">
        <w:rPr>
          <w:rFonts w:asciiTheme="majorHAnsi" w:hAnsiTheme="majorHAnsi" w:cstheme="majorHAnsi"/>
          <w:bCs/>
          <w:color w:val="808080" w:themeColor="background1" w:themeShade="80"/>
          <w:sz w:val="16"/>
          <w:szCs w:val="16"/>
        </w:rPr>
        <w:t>16, 2015</w:t>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i/>
          <w:color w:val="808080" w:themeColor="background1" w:themeShade="80"/>
          <w:sz w:val="16"/>
          <w:szCs w:val="16"/>
        </w:rPr>
        <w:t>See also</w:t>
      </w:r>
      <w:r w:rsidRPr="001167CB">
        <w:rPr>
          <w:rFonts w:asciiTheme="majorHAnsi" w:hAnsiTheme="majorHAnsi" w:cstheme="majorHAnsi"/>
          <w:color w:val="808080" w:themeColor="background1" w:themeShade="80"/>
          <w:sz w:val="16"/>
          <w:szCs w:val="16"/>
        </w:rPr>
        <w:t xml:space="preserve"> Press Release No. 134/14, </w:t>
      </w:r>
      <w:hyperlink r:id="rId462" w:history="1">
        <w:r w:rsidRPr="001167CB">
          <w:rPr>
            <w:rStyle w:val="Hyperlink"/>
            <w:rFonts w:asciiTheme="majorHAnsi" w:hAnsiTheme="majorHAnsi" w:cstheme="majorHAnsi"/>
            <w:color w:val="808080" w:themeColor="background1" w:themeShade="80"/>
            <w:sz w:val="16"/>
            <w:szCs w:val="16"/>
          </w:rPr>
          <w:t>IACHR Conducts Visit to Colorado, United States</w:t>
        </w:r>
      </w:hyperlink>
      <w:r w:rsidRPr="001167CB">
        <w:rPr>
          <w:rFonts w:asciiTheme="majorHAnsi" w:hAnsiTheme="majorHAnsi" w:cstheme="majorHAnsi"/>
          <w:color w:val="808080" w:themeColor="background1" w:themeShade="80"/>
          <w:sz w:val="16"/>
          <w:szCs w:val="16"/>
        </w:rPr>
        <w:t xml:space="preserve">, Nov. 14, 2014; Press Release No. 44/14, </w:t>
      </w:r>
      <w:hyperlink r:id="rId463" w:history="1">
        <w:r w:rsidRPr="001167CB">
          <w:rPr>
            <w:rStyle w:val="Hyperlink"/>
            <w:rFonts w:asciiTheme="majorHAnsi" w:hAnsiTheme="majorHAnsi" w:cstheme="majorHAnsi"/>
            <w:color w:val="808080" w:themeColor="background1" w:themeShade="80"/>
            <w:sz w:val="16"/>
            <w:szCs w:val="16"/>
          </w:rPr>
          <w:t>IACHR Conducted a Visit to New York, United States</w:t>
        </w:r>
      </w:hyperlink>
      <w:r w:rsidRPr="001167CB">
        <w:rPr>
          <w:rFonts w:asciiTheme="majorHAnsi" w:hAnsiTheme="majorHAnsi" w:cstheme="majorHAnsi"/>
          <w:color w:val="808080" w:themeColor="background1" w:themeShade="80"/>
          <w:sz w:val="16"/>
          <w:szCs w:val="16"/>
        </w:rPr>
        <w:t>, Apr. 24, 2014.</w:t>
      </w:r>
    </w:p>
  </w:footnote>
  <w:footnote w:id="378">
    <w:p w14:paraId="53650016"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IACHR, </w:t>
      </w:r>
      <w:hyperlink r:id="rId464" w:history="1">
        <w:r w:rsidRPr="001167CB">
          <w:rPr>
            <w:rStyle w:val="Hyperlink"/>
            <w:rFonts w:asciiTheme="majorHAnsi" w:hAnsiTheme="majorHAnsi" w:cstheme="majorHAnsi"/>
            <w:color w:val="808080" w:themeColor="background1" w:themeShade="80"/>
            <w:sz w:val="16"/>
            <w:szCs w:val="16"/>
          </w:rPr>
          <w:t>Violence, Children and Organized Crime</w:t>
        </w:r>
      </w:hyperlink>
      <w:r w:rsidRPr="001167CB">
        <w:rPr>
          <w:rFonts w:asciiTheme="majorHAnsi" w:hAnsiTheme="majorHAnsi" w:cstheme="majorHAnsi"/>
          <w:color w:val="808080" w:themeColor="background1" w:themeShade="80"/>
          <w:sz w:val="16"/>
          <w:szCs w:val="16"/>
        </w:rPr>
        <w:t xml:space="preserve">, OAS/ </w:t>
      </w:r>
      <w:proofErr w:type="spellStart"/>
      <w:r w:rsidRPr="001167CB">
        <w:rPr>
          <w:rFonts w:asciiTheme="majorHAnsi" w:hAnsiTheme="majorHAnsi" w:cstheme="majorHAnsi"/>
          <w:color w:val="808080" w:themeColor="background1" w:themeShade="80"/>
          <w:sz w:val="16"/>
          <w:szCs w:val="16"/>
        </w:rPr>
        <w:t>Ser.L</w:t>
      </w:r>
      <w:proofErr w:type="spellEnd"/>
      <w:r w:rsidRPr="001167CB">
        <w:rPr>
          <w:rFonts w:asciiTheme="majorHAnsi" w:hAnsiTheme="majorHAnsi" w:cstheme="majorHAnsi"/>
          <w:color w:val="808080" w:themeColor="background1" w:themeShade="80"/>
          <w:sz w:val="16"/>
          <w:szCs w:val="16"/>
        </w:rPr>
        <w:t>/V/II.Doc.40/15 (2015), para. 81.</w:t>
      </w:r>
    </w:p>
  </w:footnote>
  <w:footnote w:id="379">
    <w:p w14:paraId="64C1241B"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National Center for Transgender Equality &amp; National Gay and Lesbian Task Force, </w:t>
      </w:r>
      <w:hyperlink r:id="rId465" w:history="1">
        <w:r w:rsidRPr="001167CB">
          <w:rPr>
            <w:rStyle w:val="Hyperlink"/>
            <w:rFonts w:asciiTheme="majorHAnsi" w:hAnsiTheme="majorHAnsi" w:cstheme="majorHAnsi"/>
            <w:i/>
            <w:color w:val="808080" w:themeColor="background1" w:themeShade="80"/>
            <w:sz w:val="16"/>
            <w:szCs w:val="16"/>
          </w:rPr>
          <w:t>Injustice at Every Turn: A Report of the National Transgender Discrimination Survey</w:t>
        </w:r>
      </w:hyperlink>
      <w:r w:rsidRPr="001167CB">
        <w:rPr>
          <w:rFonts w:asciiTheme="majorHAnsi" w:hAnsiTheme="majorHAnsi" w:cstheme="majorHAnsi"/>
          <w:color w:val="808080" w:themeColor="background1" w:themeShade="80"/>
          <w:sz w:val="16"/>
          <w:szCs w:val="16"/>
        </w:rPr>
        <w:t xml:space="preserve"> (2011), 5.</w:t>
      </w:r>
    </w:p>
  </w:footnote>
  <w:footnote w:id="380">
    <w:p w14:paraId="60931106"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National Center for Trans Equality, </w:t>
      </w:r>
      <w:hyperlink r:id="rId466" w:history="1">
        <w:r w:rsidRPr="001167CB">
          <w:rPr>
            <w:rStyle w:val="Hyperlink"/>
            <w:rFonts w:asciiTheme="majorHAnsi" w:hAnsiTheme="majorHAnsi" w:cstheme="majorHAnsi"/>
            <w:color w:val="808080" w:themeColor="background1" w:themeShade="80"/>
            <w:sz w:val="16"/>
            <w:szCs w:val="16"/>
          </w:rPr>
          <w:t>Blueprint for Equality: A Transgender Federal Agenda</w:t>
        </w:r>
      </w:hyperlink>
      <w:r w:rsidRPr="001167CB">
        <w:rPr>
          <w:rFonts w:asciiTheme="majorHAnsi" w:hAnsiTheme="majorHAnsi" w:cstheme="majorHAnsi"/>
          <w:color w:val="808080" w:themeColor="background1" w:themeShade="80"/>
          <w:sz w:val="16"/>
          <w:szCs w:val="16"/>
        </w:rPr>
        <w:t xml:space="preserve"> (2015), p. 28.</w:t>
      </w:r>
    </w:p>
  </w:footnote>
  <w:footnote w:id="381">
    <w:p w14:paraId="0500FEA1" w14:textId="744FD51F"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i/>
          <w:color w:val="808080" w:themeColor="background1" w:themeShade="80"/>
          <w:sz w:val="16"/>
          <w:szCs w:val="16"/>
        </w:rPr>
        <w:t>See also supra</w:t>
      </w:r>
      <w:r w:rsidRPr="001167CB">
        <w:rPr>
          <w:rFonts w:asciiTheme="majorHAnsi" w:hAnsiTheme="majorHAnsi" w:cstheme="majorHAnsi"/>
          <w:color w:val="808080" w:themeColor="background1" w:themeShade="80"/>
          <w:sz w:val="16"/>
          <w:szCs w:val="16"/>
        </w:rPr>
        <w:t xml:space="preserve"> para. </w:t>
      </w:r>
      <w:r w:rsidRPr="001167CB">
        <w:rPr>
          <w:rFonts w:asciiTheme="majorHAnsi" w:hAnsiTheme="majorHAnsi" w:cstheme="majorHAnsi"/>
          <w:color w:val="808080" w:themeColor="background1" w:themeShade="80"/>
          <w:sz w:val="16"/>
          <w:szCs w:val="16"/>
        </w:rPr>
        <w:fldChar w:fldCharType="begin"/>
      </w:r>
      <w:r w:rsidRPr="001167CB">
        <w:rPr>
          <w:rFonts w:asciiTheme="majorHAnsi" w:hAnsiTheme="majorHAnsi" w:cstheme="majorHAnsi"/>
          <w:color w:val="808080" w:themeColor="background1" w:themeShade="80"/>
          <w:sz w:val="16"/>
          <w:szCs w:val="16"/>
        </w:rPr>
        <w:instrText xml:space="preserve"> REF _Ref507079616 \r \h  \* MERGEFORMAT </w:instrText>
      </w:r>
      <w:r w:rsidRPr="001167CB">
        <w:rPr>
          <w:rFonts w:asciiTheme="majorHAnsi" w:hAnsiTheme="majorHAnsi" w:cstheme="majorHAnsi"/>
          <w:color w:val="808080" w:themeColor="background1" w:themeShade="80"/>
          <w:sz w:val="16"/>
          <w:szCs w:val="16"/>
        </w:rPr>
      </w:r>
      <w:r w:rsidRPr="001167CB">
        <w:rPr>
          <w:rFonts w:asciiTheme="majorHAnsi" w:hAnsiTheme="majorHAnsi" w:cstheme="majorHAnsi"/>
          <w:color w:val="808080" w:themeColor="background1" w:themeShade="80"/>
          <w:sz w:val="16"/>
          <w:szCs w:val="16"/>
        </w:rPr>
        <w:fldChar w:fldCharType="separate"/>
      </w:r>
      <w:r w:rsidRPr="001167CB">
        <w:rPr>
          <w:rFonts w:asciiTheme="majorHAnsi" w:hAnsiTheme="majorHAnsi" w:cstheme="majorHAnsi"/>
          <w:color w:val="808080" w:themeColor="background1" w:themeShade="80"/>
          <w:sz w:val="16"/>
          <w:szCs w:val="16"/>
        </w:rPr>
        <w:t>48</w:t>
      </w:r>
      <w:r w:rsidRPr="001167CB">
        <w:rPr>
          <w:rFonts w:asciiTheme="majorHAnsi" w:hAnsiTheme="majorHAnsi" w:cstheme="majorHAnsi"/>
          <w:color w:val="808080" w:themeColor="background1" w:themeShade="80"/>
          <w:sz w:val="16"/>
          <w:szCs w:val="16"/>
        </w:rPr>
        <w:fldChar w:fldCharType="end"/>
      </w:r>
      <w:r w:rsidRPr="001167CB">
        <w:rPr>
          <w:rFonts w:asciiTheme="majorHAnsi" w:hAnsiTheme="majorHAnsi" w:cstheme="majorHAnsi"/>
          <w:color w:val="808080" w:themeColor="background1" w:themeShade="80"/>
          <w:sz w:val="16"/>
          <w:szCs w:val="16"/>
        </w:rPr>
        <w:t>.</w:t>
      </w:r>
    </w:p>
  </w:footnote>
  <w:footnote w:id="382">
    <w:p w14:paraId="12352C1A"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bCs/>
          <w:color w:val="808080" w:themeColor="background1" w:themeShade="80"/>
          <w:sz w:val="16"/>
          <w:szCs w:val="16"/>
        </w:rPr>
        <w:t xml:space="preserve">IACHR, </w:t>
      </w:r>
      <w:hyperlink r:id="rId467" w:history="1">
        <w:r w:rsidRPr="001167CB">
          <w:rPr>
            <w:rStyle w:val="Hyperlink"/>
            <w:rFonts w:asciiTheme="majorHAnsi" w:hAnsiTheme="majorHAnsi" w:cstheme="majorHAnsi"/>
            <w:bCs/>
            <w:color w:val="808080" w:themeColor="background1" w:themeShade="80"/>
            <w:sz w:val="16"/>
            <w:szCs w:val="16"/>
          </w:rPr>
          <w:t>On-Site Visit Press Release</w:t>
        </w:r>
      </w:hyperlink>
      <w:r w:rsidRPr="001167CB">
        <w:rPr>
          <w:rFonts w:asciiTheme="majorHAnsi" w:hAnsiTheme="majorHAnsi" w:cstheme="majorHAnsi"/>
          <w:bCs/>
          <w:color w:val="808080" w:themeColor="background1" w:themeShade="80"/>
          <w:sz w:val="16"/>
          <w:szCs w:val="16"/>
        </w:rPr>
        <w:t>, Oct. 16, 2015</w:t>
      </w:r>
      <w:r w:rsidRPr="001167CB">
        <w:rPr>
          <w:rFonts w:asciiTheme="majorHAnsi" w:hAnsiTheme="majorHAnsi" w:cstheme="majorHAnsi"/>
          <w:color w:val="808080" w:themeColor="background1" w:themeShade="80"/>
          <w:sz w:val="16"/>
          <w:szCs w:val="16"/>
        </w:rPr>
        <w:t>.</w:t>
      </w:r>
    </w:p>
  </w:footnote>
  <w:footnote w:id="383">
    <w:p w14:paraId="1CE98B1C"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bCs/>
          <w:color w:val="808080" w:themeColor="background1" w:themeShade="80"/>
          <w:sz w:val="16"/>
          <w:szCs w:val="16"/>
        </w:rPr>
        <w:t>Id</w:t>
      </w:r>
      <w:r w:rsidRPr="001167CB">
        <w:rPr>
          <w:rFonts w:asciiTheme="majorHAnsi" w:hAnsiTheme="majorHAnsi" w:cstheme="majorHAnsi"/>
          <w:color w:val="808080" w:themeColor="background1" w:themeShade="80"/>
          <w:sz w:val="16"/>
          <w:szCs w:val="16"/>
        </w:rPr>
        <w:t>.</w:t>
      </w:r>
    </w:p>
  </w:footnote>
  <w:footnote w:id="384">
    <w:p w14:paraId="468A6459"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For example, the widely reported arrest of Henry Louis Gates, Jr., a Harvard professor, at his home in Cambridge, Massachusetts, in 2009, highlighted that racial profiling by police cuts across class lines. </w:t>
      </w:r>
      <w:r w:rsidRPr="001167CB">
        <w:rPr>
          <w:rFonts w:asciiTheme="majorHAnsi" w:hAnsiTheme="majorHAnsi" w:cstheme="majorHAnsi"/>
          <w:i/>
          <w:color w:val="808080" w:themeColor="background1" w:themeShade="80"/>
          <w:sz w:val="16"/>
          <w:szCs w:val="16"/>
        </w:rPr>
        <w:t>See</w:t>
      </w:r>
      <w:r w:rsidRPr="001167CB">
        <w:rPr>
          <w:rFonts w:asciiTheme="majorHAnsi" w:hAnsiTheme="majorHAnsi" w:cstheme="majorHAnsi"/>
          <w:color w:val="808080" w:themeColor="background1" w:themeShade="80"/>
          <w:sz w:val="16"/>
          <w:szCs w:val="16"/>
        </w:rPr>
        <w:t xml:space="preserve"> Washington Post, </w:t>
      </w:r>
      <w:hyperlink r:id="rId468" w:history="1">
        <w:r w:rsidRPr="001167CB">
          <w:rPr>
            <w:rStyle w:val="Hyperlink"/>
            <w:rFonts w:asciiTheme="majorHAnsi" w:hAnsiTheme="majorHAnsi" w:cstheme="majorHAnsi"/>
            <w:color w:val="808080" w:themeColor="background1" w:themeShade="80"/>
            <w:sz w:val="16"/>
            <w:szCs w:val="16"/>
          </w:rPr>
          <w:t>Arrest of Harvard's Henry Louis Gates Jr. was avoidable, report says</w:t>
        </w:r>
      </w:hyperlink>
      <w:r w:rsidRPr="001167CB">
        <w:rPr>
          <w:rFonts w:asciiTheme="majorHAnsi" w:hAnsiTheme="majorHAnsi" w:cstheme="majorHAnsi"/>
          <w:color w:val="808080" w:themeColor="background1" w:themeShade="80"/>
          <w:sz w:val="16"/>
          <w:szCs w:val="16"/>
        </w:rPr>
        <w:t>, June 30, 2010.</w:t>
      </w:r>
    </w:p>
  </w:footnote>
  <w:footnote w:id="385">
    <w:p w14:paraId="4638867E"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The Guardian, </w:t>
      </w:r>
      <w:hyperlink r:id="rId469" w:history="1">
        <w:r w:rsidRPr="001167CB">
          <w:rPr>
            <w:rStyle w:val="Hyperlink"/>
            <w:rFonts w:asciiTheme="majorHAnsi" w:hAnsiTheme="majorHAnsi" w:cstheme="majorHAnsi"/>
            <w:color w:val="808080" w:themeColor="background1" w:themeShade="80"/>
            <w:sz w:val="16"/>
            <w:szCs w:val="16"/>
          </w:rPr>
          <w:t>A journey through a land of extreme poverty: welcome to America</w:t>
        </w:r>
      </w:hyperlink>
      <w:r w:rsidRPr="001167CB">
        <w:rPr>
          <w:rFonts w:asciiTheme="majorHAnsi" w:hAnsiTheme="majorHAnsi" w:cstheme="majorHAnsi"/>
          <w:color w:val="808080" w:themeColor="background1" w:themeShade="80"/>
          <w:sz w:val="16"/>
          <w:szCs w:val="16"/>
        </w:rPr>
        <w:t>, Dec. 15, 2017.</w:t>
      </w:r>
    </w:p>
  </w:footnote>
  <w:footnote w:id="386">
    <w:p w14:paraId="018C79A7" w14:textId="396CBD3F"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i/>
          <w:color w:val="808080" w:themeColor="background1" w:themeShade="80"/>
          <w:sz w:val="16"/>
          <w:szCs w:val="16"/>
        </w:rPr>
        <w:t xml:space="preserve">See infra </w:t>
      </w:r>
      <w:r w:rsidRPr="001167CB">
        <w:rPr>
          <w:rFonts w:asciiTheme="majorHAnsi" w:hAnsiTheme="majorHAnsi" w:cstheme="majorHAnsi"/>
          <w:color w:val="808080" w:themeColor="background1" w:themeShade="80"/>
          <w:sz w:val="16"/>
          <w:szCs w:val="16"/>
        </w:rPr>
        <w:fldChar w:fldCharType="begin"/>
      </w:r>
      <w:r w:rsidRPr="001167CB">
        <w:rPr>
          <w:rFonts w:asciiTheme="majorHAnsi" w:hAnsiTheme="majorHAnsi" w:cstheme="majorHAnsi"/>
          <w:color w:val="808080" w:themeColor="background1" w:themeShade="80"/>
          <w:sz w:val="16"/>
          <w:szCs w:val="16"/>
        </w:rPr>
        <w:instrText xml:space="preserve"> REF _Ref507665005 \h  \* MERGEFORMAT </w:instrText>
      </w:r>
      <w:r w:rsidRPr="001167CB">
        <w:rPr>
          <w:rFonts w:asciiTheme="majorHAnsi" w:hAnsiTheme="majorHAnsi" w:cstheme="majorHAnsi"/>
          <w:color w:val="808080" w:themeColor="background1" w:themeShade="80"/>
          <w:sz w:val="16"/>
          <w:szCs w:val="16"/>
        </w:rPr>
      </w:r>
      <w:r w:rsidRPr="001167CB">
        <w:rPr>
          <w:rFonts w:asciiTheme="majorHAnsi" w:hAnsiTheme="majorHAnsi" w:cstheme="majorHAnsi"/>
          <w:color w:val="808080" w:themeColor="background1" w:themeShade="80"/>
          <w:sz w:val="16"/>
          <w:szCs w:val="16"/>
        </w:rPr>
        <w:fldChar w:fldCharType="separate"/>
      </w:r>
      <w:r w:rsidRPr="001167CB">
        <w:rPr>
          <w:rFonts w:asciiTheme="majorHAnsi" w:hAnsiTheme="majorHAnsi" w:cstheme="majorHAnsi"/>
          <w:color w:val="808080" w:themeColor="background1" w:themeShade="80"/>
          <w:sz w:val="16"/>
          <w:szCs w:val="16"/>
        </w:rPr>
        <w:t>Police Use of Excessive Force</w:t>
      </w:r>
      <w:r w:rsidRPr="001167CB">
        <w:rPr>
          <w:rFonts w:asciiTheme="majorHAnsi" w:hAnsiTheme="majorHAnsi" w:cstheme="majorHAnsi"/>
          <w:color w:val="808080" w:themeColor="background1" w:themeShade="80"/>
          <w:sz w:val="16"/>
          <w:szCs w:val="16"/>
        </w:rPr>
        <w:fldChar w:fldCharType="end"/>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fldChar w:fldCharType="begin"/>
      </w:r>
      <w:r w:rsidRPr="001167CB">
        <w:rPr>
          <w:rFonts w:asciiTheme="majorHAnsi" w:hAnsiTheme="majorHAnsi" w:cstheme="majorHAnsi"/>
          <w:color w:val="808080" w:themeColor="background1" w:themeShade="80"/>
          <w:sz w:val="16"/>
          <w:szCs w:val="16"/>
        </w:rPr>
        <w:instrText xml:space="preserve"> REF _Ref507665030 \h  \* MERGEFORMAT </w:instrText>
      </w:r>
      <w:r w:rsidRPr="001167CB">
        <w:rPr>
          <w:rFonts w:asciiTheme="majorHAnsi" w:hAnsiTheme="majorHAnsi" w:cstheme="majorHAnsi"/>
          <w:color w:val="808080" w:themeColor="background1" w:themeShade="80"/>
          <w:sz w:val="16"/>
          <w:szCs w:val="16"/>
        </w:rPr>
      </w:r>
      <w:r w:rsidRPr="001167CB">
        <w:rPr>
          <w:rFonts w:asciiTheme="majorHAnsi" w:hAnsiTheme="majorHAnsi" w:cstheme="majorHAnsi"/>
          <w:color w:val="808080" w:themeColor="background1" w:themeShade="80"/>
          <w:sz w:val="16"/>
          <w:szCs w:val="16"/>
        </w:rPr>
        <w:fldChar w:fldCharType="separate"/>
      </w:r>
      <w:r w:rsidRPr="001167CB">
        <w:rPr>
          <w:rFonts w:asciiTheme="majorHAnsi" w:hAnsiTheme="majorHAnsi" w:cstheme="majorHAnsi"/>
          <w:color w:val="808080" w:themeColor="background1" w:themeShade="80"/>
          <w:sz w:val="16"/>
          <w:szCs w:val="16"/>
        </w:rPr>
        <w:t>Racial Disparities in Arrests</w:t>
      </w:r>
      <w:r w:rsidRPr="001167CB">
        <w:rPr>
          <w:rFonts w:asciiTheme="majorHAnsi" w:hAnsiTheme="majorHAnsi" w:cstheme="majorHAnsi"/>
          <w:color w:val="808080" w:themeColor="background1" w:themeShade="80"/>
          <w:sz w:val="16"/>
          <w:szCs w:val="16"/>
        </w:rPr>
        <w:fldChar w:fldCharType="end"/>
      </w:r>
      <w:r w:rsidRPr="001167CB">
        <w:rPr>
          <w:rFonts w:asciiTheme="majorHAnsi" w:hAnsiTheme="majorHAnsi" w:cstheme="majorHAnsi"/>
          <w:color w:val="808080" w:themeColor="background1" w:themeShade="80"/>
          <w:sz w:val="16"/>
          <w:szCs w:val="16"/>
        </w:rPr>
        <w:t xml:space="preserve">, and </w:t>
      </w:r>
      <w:r w:rsidRPr="001167CB">
        <w:rPr>
          <w:rFonts w:asciiTheme="majorHAnsi" w:hAnsiTheme="majorHAnsi" w:cstheme="majorHAnsi"/>
          <w:color w:val="808080" w:themeColor="background1" w:themeShade="80"/>
          <w:sz w:val="16"/>
          <w:szCs w:val="16"/>
        </w:rPr>
        <w:fldChar w:fldCharType="begin"/>
      </w:r>
      <w:r w:rsidRPr="001167CB">
        <w:rPr>
          <w:rFonts w:asciiTheme="majorHAnsi" w:hAnsiTheme="majorHAnsi" w:cstheme="majorHAnsi"/>
          <w:color w:val="808080" w:themeColor="background1" w:themeShade="80"/>
          <w:sz w:val="16"/>
          <w:szCs w:val="16"/>
        </w:rPr>
        <w:instrText xml:space="preserve"> REF _Ref507665051 \h  \* MERGEFORMAT </w:instrText>
      </w:r>
      <w:r w:rsidRPr="001167CB">
        <w:rPr>
          <w:rFonts w:asciiTheme="majorHAnsi" w:hAnsiTheme="majorHAnsi" w:cstheme="majorHAnsi"/>
          <w:color w:val="808080" w:themeColor="background1" w:themeShade="80"/>
          <w:sz w:val="16"/>
          <w:szCs w:val="16"/>
        </w:rPr>
      </w:r>
      <w:r w:rsidRPr="001167CB">
        <w:rPr>
          <w:rFonts w:asciiTheme="majorHAnsi" w:hAnsiTheme="majorHAnsi" w:cstheme="majorHAnsi"/>
          <w:color w:val="808080" w:themeColor="background1" w:themeShade="80"/>
          <w:sz w:val="16"/>
          <w:szCs w:val="16"/>
        </w:rPr>
        <w:fldChar w:fldCharType="separate"/>
      </w:r>
      <w:r w:rsidRPr="001167CB">
        <w:rPr>
          <w:rFonts w:asciiTheme="majorHAnsi" w:hAnsiTheme="majorHAnsi" w:cstheme="majorHAnsi"/>
          <w:color w:val="808080" w:themeColor="background1" w:themeShade="80"/>
          <w:sz w:val="16"/>
          <w:szCs w:val="16"/>
        </w:rPr>
        <w:t>Racial Disparities in Access to Counsel, Pleas, Sentencing, Incarceration, and Re-Incarceration</w:t>
      </w:r>
      <w:r w:rsidRPr="001167CB">
        <w:rPr>
          <w:rFonts w:asciiTheme="majorHAnsi" w:hAnsiTheme="majorHAnsi" w:cstheme="majorHAnsi"/>
          <w:color w:val="808080" w:themeColor="background1" w:themeShade="80"/>
          <w:sz w:val="16"/>
          <w:szCs w:val="16"/>
        </w:rPr>
        <w:fldChar w:fldCharType="end"/>
      </w:r>
      <w:r w:rsidRPr="001167CB">
        <w:rPr>
          <w:rFonts w:asciiTheme="majorHAnsi" w:hAnsiTheme="majorHAnsi" w:cstheme="majorHAnsi"/>
          <w:color w:val="808080" w:themeColor="background1" w:themeShade="80"/>
          <w:sz w:val="16"/>
          <w:szCs w:val="16"/>
        </w:rPr>
        <w:t>.</w:t>
      </w:r>
    </w:p>
  </w:footnote>
  <w:footnote w:id="387">
    <w:p w14:paraId="0523A209"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The Lawyers’ Committee for Civil Rights under Law, </w:t>
      </w:r>
      <w:r w:rsidRPr="001167CB">
        <w:rPr>
          <w:rFonts w:asciiTheme="majorHAnsi" w:hAnsiTheme="majorHAnsi" w:cstheme="majorHAnsi"/>
          <w:i/>
          <w:color w:val="808080" w:themeColor="background1" w:themeShade="80"/>
          <w:sz w:val="16"/>
          <w:szCs w:val="16"/>
        </w:rPr>
        <w:t>Statement before the Inter-American Commission on Human Rights, Criminal Justice and Race in the United States</w:t>
      </w:r>
      <w:r w:rsidRPr="001167CB">
        <w:rPr>
          <w:rFonts w:asciiTheme="majorHAnsi" w:hAnsiTheme="majorHAnsi" w:cstheme="majorHAnsi"/>
          <w:color w:val="808080" w:themeColor="background1" w:themeShade="80"/>
          <w:sz w:val="16"/>
          <w:szCs w:val="16"/>
        </w:rPr>
        <w:t xml:space="preserve">, Mar. 16, 2015, page 2; </w:t>
      </w:r>
      <w:r w:rsidRPr="001167CB">
        <w:rPr>
          <w:rFonts w:asciiTheme="majorHAnsi" w:hAnsiTheme="majorHAnsi" w:cstheme="majorHAnsi"/>
          <w:i/>
          <w:color w:val="808080" w:themeColor="background1" w:themeShade="80"/>
          <w:sz w:val="16"/>
          <w:szCs w:val="16"/>
        </w:rPr>
        <w:t xml:space="preserve">see also generally </w:t>
      </w:r>
      <w:r w:rsidRPr="001167CB">
        <w:rPr>
          <w:rFonts w:asciiTheme="majorHAnsi" w:hAnsiTheme="majorHAnsi" w:cstheme="majorHAnsi"/>
          <w:color w:val="808080" w:themeColor="background1" w:themeShade="80"/>
          <w:sz w:val="16"/>
          <w:szCs w:val="16"/>
        </w:rPr>
        <w:t xml:space="preserve">Michelle Alexander, </w:t>
      </w:r>
      <w:r w:rsidRPr="001167CB">
        <w:rPr>
          <w:rFonts w:asciiTheme="majorHAnsi" w:hAnsiTheme="majorHAnsi" w:cstheme="majorHAnsi"/>
          <w:i/>
          <w:color w:val="808080" w:themeColor="background1" w:themeShade="80"/>
          <w:sz w:val="16"/>
          <w:szCs w:val="16"/>
        </w:rPr>
        <w:t>The New Jim Crow: Mass Incarceration in the Age of Colorblindness</w:t>
      </w:r>
      <w:r w:rsidRPr="001167CB">
        <w:rPr>
          <w:rFonts w:asciiTheme="majorHAnsi" w:hAnsiTheme="majorHAnsi" w:cstheme="majorHAnsi"/>
          <w:color w:val="808080" w:themeColor="background1" w:themeShade="80"/>
          <w:sz w:val="16"/>
          <w:szCs w:val="16"/>
        </w:rPr>
        <w:t xml:space="preserve"> (New York: The New Press, 2010).</w:t>
      </w:r>
    </w:p>
  </w:footnote>
  <w:footnote w:id="388">
    <w:p w14:paraId="430BE6BF"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bCs/>
          <w:color w:val="808080" w:themeColor="background1" w:themeShade="80"/>
          <w:sz w:val="16"/>
          <w:szCs w:val="16"/>
        </w:rPr>
        <w:t xml:space="preserve">IACHR, </w:t>
      </w:r>
      <w:hyperlink r:id="rId470" w:history="1">
        <w:r w:rsidRPr="001167CB">
          <w:rPr>
            <w:rStyle w:val="Hyperlink"/>
            <w:rFonts w:asciiTheme="majorHAnsi" w:hAnsiTheme="majorHAnsi" w:cstheme="majorHAnsi"/>
            <w:bCs/>
            <w:color w:val="808080" w:themeColor="background1" w:themeShade="80"/>
            <w:sz w:val="16"/>
            <w:szCs w:val="16"/>
          </w:rPr>
          <w:t>Measures to Reduce Pretrial Detention</w:t>
        </w:r>
      </w:hyperlink>
      <w:r w:rsidRPr="001167CB">
        <w:rPr>
          <w:rFonts w:asciiTheme="majorHAnsi" w:hAnsiTheme="majorHAnsi" w:cstheme="majorHAnsi"/>
          <w:bCs/>
          <w:color w:val="808080" w:themeColor="background1" w:themeShade="80"/>
          <w:sz w:val="16"/>
          <w:szCs w:val="16"/>
        </w:rPr>
        <w:t>, OEA/</w:t>
      </w:r>
      <w:proofErr w:type="spellStart"/>
      <w:r w:rsidRPr="001167CB">
        <w:rPr>
          <w:rFonts w:asciiTheme="majorHAnsi" w:hAnsiTheme="majorHAnsi" w:cstheme="majorHAnsi"/>
          <w:bCs/>
          <w:color w:val="808080" w:themeColor="background1" w:themeShade="80"/>
          <w:sz w:val="16"/>
          <w:szCs w:val="16"/>
        </w:rPr>
        <w:t>Ser.L</w:t>
      </w:r>
      <w:proofErr w:type="spellEnd"/>
      <w:r w:rsidRPr="001167CB">
        <w:rPr>
          <w:rFonts w:asciiTheme="majorHAnsi" w:hAnsiTheme="majorHAnsi" w:cstheme="majorHAnsi"/>
          <w:bCs/>
          <w:color w:val="808080" w:themeColor="background1" w:themeShade="80"/>
          <w:sz w:val="16"/>
          <w:szCs w:val="16"/>
        </w:rPr>
        <w:t>/V/II.163, Doc. 105 (2017),</w:t>
      </w:r>
      <w:r w:rsidRPr="001167CB">
        <w:rPr>
          <w:rFonts w:asciiTheme="majorHAnsi" w:hAnsiTheme="majorHAnsi" w:cstheme="majorHAnsi"/>
          <w:color w:val="808080" w:themeColor="background1" w:themeShade="80"/>
          <w:sz w:val="16"/>
          <w:szCs w:val="16"/>
        </w:rPr>
        <w:t xml:space="preserve"> para. 155.</w:t>
      </w:r>
    </w:p>
  </w:footnote>
  <w:footnote w:id="389">
    <w:p w14:paraId="3AA00A8E" w14:textId="5C5F8062"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i/>
          <w:color w:val="808080" w:themeColor="background1" w:themeShade="80"/>
          <w:sz w:val="16"/>
          <w:szCs w:val="16"/>
        </w:rPr>
        <w:t>See supra</w:t>
      </w:r>
      <w:r w:rsidRPr="001167CB">
        <w:rPr>
          <w:rFonts w:asciiTheme="majorHAnsi" w:hAnsiTheme="majorHAnsi" w:cstheme="majorHAnsi"/>
          <w:color w:val="808080" w:themeColor="background1" w:themeShade="80"/>
          <w:sz w:val="16"/>
          <w:szCs w:val="16"/>
        </w:rPr>
        <w:t xml:space="preserve"> para. </w:t>
      </w:r>
      <w:r w:rsidRPr="001167CB">
        <w:rPr>
          <w:rFonts w:asciiTheme="majorHAnsi" w:hAnsiTheme="majorHAnsi" w:cstheme="majorHAnsi"/>
          <w:color w:val="808080" w:themeColor="background1" w:themeShade="80"/>
          <w:sz w:val="16"/>
          <w:szCs w:val="16"/>
        </w:rPr>
        <w:fldChar w:fldCharType="begin"/>
      </w:r>
      <w:r w:rsidRPr="001167CB">
        <w:rPr>
          <w:rFonts w:asciiTheme="majorHAnsi" w:hAnsiTheme="majorHAnsi" w:cstheme="majorHAnsi"/>
          <w:color w:val="808080" w:themeColor="background1" w:themeShade="80"/>
          <w:sz w:val="16"/>
          <w:szCs w:val="16"/>
        </w:rPr>
        <w:instrText xml:space="preserve"> REF _Ref504656720 \r \h  \* MERGEFORMAT </w:instrText>
      </w:r>
      <w:r w:rsidRPr="001167CB">
        <w:rPr>
          <w:rFonts w:asciiTheme="majorHAnsi" w:hAnsiTheme="majorHAnsi" w:cstheme="majorHAnsi"/>
          <w:color w:val="808080" w:themeColor="background1" w:themeShade="80"/>
          <w:sz w:val="16"/>
          <w:szCs w:val="16"/>
        </w:rPr>
      </w:r>
      <w:r w:rsidRPr="001167CB">
        <w:rPr>
          <w:rFonts w:asciiTheme="majorHAnsi" w:hAnsiTheme="majorHAnsi" w:cstheme="majorHAnsi"/>
          <w:color w:val="808080" w:themeColor="background1" w:themeShade="80"/>
          <w:sz w:val="16"/>
          <w:szCs w:val="16"/>
        </w:rPr>
        <w:fldChar w:fldCharType="separate"/>
      </w:r>
      <w:r w:rsidRPr="001167CB">
        <w:rPr>
          <w:rFonts w:asciiTheme="majorHAnsi" w:hAnsiTheme="majorHAnsi" w:cstheme="majorHAnsi"/>
          <w:color w:val="808080" w:themeColor="background1" w:themeShade="80"/>
          <w:sz w:val="16"/>
          <w:szCs w:val="16"/>
        </w:rPr>
        <w:t>146</w:t>
      </w:r>
      <w:r w:rsidRPr="001167CB">
        <w:rPr>
          <w:rFonts w:asciiTheme="majorHAnsi" w:hAnsiTheme="majorHAnsi" w:cstheme="majorHAnsi"/>
          <w:color w:val="808080" w:themeColor="background1" w:themeShade="80"/>
          <w:sz w:val="16"/>
          <w:szCs w:val="16"/>
        </w:rPr>
        <w:fldChar w:fldCharType="end"/>
      </w:r>
      <w:r w:rsidRPr="001167CB">
        <w:rPr>
          <w:rFonts w:asciiTheme="majorHAnsi" w:hAnsiTheme="majorHAnsi" w:cstheme="majorHAnsi"/>
          <w:color w:val="808080" w:themeColor="background1" w:themeShade="80"/>
          <w:sz w:val="16"/>
          <w:szCs w:val="16"/>
        </w:rPr>
        <w:t>.</w:t>
      </w:r>
    </w:p>
  </w:footnote>
  <w:footnote w:id="390">
    <w:p w14:paraId="28C1CA05" w14:textId="1BCB6770"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Regarding actions of the federal government </w:t>
      </w:r>
      <w:r w:rsidRPr="001167CB">
        <w:rPr>
          <w:rFonts w:asciiTheme="majorHAnsi" w:hAnsiTheme="majorHAnsi" w:cstheme="majorHAnsi"/>
          <w:i/>
          <w:color w:val="808080" w:themeColor="background1" w:themeShade="80"/>
          <w:sz w:val="16"/>
          <w:szCs w:val="16"/>
        </w:rPr>
        <w:t xml:space="preserve">see supra </w:t>
      </w:r>
      <w:r w:rsidRPr="001167CB">
        <w:rPr>
          <w:rFonts w:asciiTheme="majorHAnsi" w:hAnsiTheme="majorHAnsi" w:cstheme="majorHAnsi"/>
          <w:color w:val="808080" w:themeColor="background1" w:themeShade="80"/>
          <w:sz w:val="16"/>
          <w:szCs w:val="16"/>
        </w:rPr>
        <w:t>paras.</w:t>
      </w:r>
      <w:r w:rsidRPr="001167CB">
        <w:rPr>
          <w:rFonts w:asciiTheme="majorHAnsi" w:hAnsiTheme="majorHAnsi" w:cstheme="majorHAnsi"/>
          <w: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 xml:space="preserve">21, 82, 84, 88, 98, 116, 127, 146, and 148. </w:t>
      </w:r>
      <w:r w:rsidRPr="001167CB">
        <w:rPr>
          <w:rFonts w:asciiTheme="majorHAnsi" w:hAnsiTheme="majorHAnsi" w:cstheme="majorHAnsi"/>
          <w:i/>
          <w:color w:val="808080" w:themeColor="background1" w:themeShade="80"/>
          <w:sz w:val="16"/>
          <w:szCs w:val="16"/>
        </w:rPr>
        <w:t xml:space="preserve">   </w:t>
      </w:r>
    </w:p>
  </w:footnote>
  <w:footnote w:id="391">
    <w:p w14:paraId="2D6FF2E4"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U.S. DOJ, </w:t>
      </w:r>
      <w:hyperlink r:id="rId471" w:history="1">
        <w:r w:rsidRPr="001167CB">
          <w:rPr>
            <w:rStyle w:val="Hyperlink"/>
            <w:rFonts w:asciiTheme="majorHAnsi" w:hAnsiTheme="majorHAnsi" w:cstheme="majorHAnsi"/>
            <w:i/>
            <w:iCs/>
            <w:color w:val="808080" w:themeColor="background1" w:themeShade="80"/>
            <w:sz w:val="16"/>
            <w:szCs w:val="16"/>
          </w:rPr>
          <w:t>Justice Department Releases Report on Civil Rights Division’s Pattern and Practice Police Reform Work</w:t>
        </w:r>
      </w:hyperlink>
      <w:r w:rsidRPr="001167CB">
        <w:rPr>
          <w:rFonts w:asciiTheme="majorHAnsi" w:hAnsiTheme="majorHAnsi" w:cstheme="majorHAnsi"/>
          <w:color w:val="808080" w:themeColor="background1" w:themeShade="80"/>
          <w:sz w:val="16"/>
          <w:szCs w:val="16"/>
        </w:rPr>
        <w:t>, Jan. 4, 2017.</w:t>
      </w:r>
    </w:p>
  </w:footnote>
  <w:footnote w:id="392">
    <w:p w14:paraId="3AC5DCD6"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U.S. DOJ, </w:t>
      </w:r>
      <w:hyperlink r:id="rId472" w:history="1">
        <w:r w:rsidRPr="001167CB">
          <w:rPr>
            <w:rStyle w:val="Hyperlink"/>
            <w:rFonts w:asciiTheme="majorHAnsi" w:hAnsiTheme="majorHAnsi" w:cstheme="majorHAnsi"/>
            <w:color w:val="808080" w:themeColor="background1" w:themeShade="80"/>
            <w:sz w:val="16"/>
            <w:szCs w:val="16"/>
            <w:lang w:val="en-GB" w:eastAsia="es-ES"/>
          </w:rPr>
          <w:t>Guidance For Federal Law Enforcement Agencies Regarding the Use of Race, Ethnicity, Gender, National Origin, Religion, Sexual Orientation, or Gender Identity</w:t>
        </w:r>
      </w:hyperlink>
      <w:r w:rsidRPr="001167CB">
        <w:rPr>
          <w:rFonts w:asciiTheme="majorHAnsi" w:hAnsiTheme="majorHAnsi" w:cstheme="majorHAnsi"/>
          <w:color w:val="808080" w:themeColor="background1" w:themeShade="80"/>
          <w:sz w:val="16"/>
          <w:szCs w:val="16"/>
          <w:lang w:val="en-GB" w:eastAsia="es-ES"/>
        </w:rPr>
        <w:t xml:space="preserve">, </w:t>
      </w:r>
      <w:r w:rsidRPr="001167CB">
        <w:rPr>
          <w:rFonts w:asciiTheme="majorHAnsi" w:hAnsiTheme="majorHAnsi" w:cstheme="majorHAnsi"/>
          <w:color w:val="808080" w:themeColor="background1" w:themeShade="80"/>
          <w:sz w:val="16"/>
          <w:szCs w:val="16"/>
        </w:rPr>
        <w:t>Dec.</w:t>
      </w:r>
      <w:r w:rsidRPr="001167CB">
        <w:rPr>
          <w:rFonts w:asciiTheme="majorHAnsi" w:hAnsiTheme="majorHAnsi" w:cstheme="majorHAnsi"/>
          <w:color w:val="808080" w:themeColor="background1" w:themeShade="80"/>
          <w:sz w:val="16"/>
          <w:szCs w:val="16"/>
          <w:lang w:val="en-GB" w:eastAsia="es-ES"/>
        </w:rPr>
        <w:t xml:space="preserve"> 2014. </w:t>
      </w:r>
    </w:p>
  </w:footnote>
  <w:footnote w:id="393">
    <w:p w14:paraId="53B5C692"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bCs/>
          <w:color w:val="808080" w:themeColor="background1" w:themeShade="80"/>
          <w:sz w:val="16"/>
          <w:szCs w:val="16"/>
        </w:rPr>
        <w:t xml:space="preserve">Office of Community Oriented Policing Services (COPS), </w:t>
      </w:r>
      <w:hyperlink r:id="rId473" w:history="1">
        <w:r w:rsidRPr="001167CB">
          <w:rPr>
            <w:rStyle w:val="Hyperlink"/>
            <w:rFonts w:asciiTheme="majorHAnsi" w:hAnsiTheme="majorHAnsi" w:cstheme="majorHAnsi"/>
            <w:bCs/>
            <w:color w:val="808080" w:themeColor="background1" w:themeShade="80"/>
            <w:sz w:val="16"/>
            <w:szCs w:val="16"/>
          </w:rPr>
          <w:t>Final Report of the President’s Task Force on 21</w:t>
        </w:r>
        <w:r w:rsidRPr="001167CB">
          <w:rPr>
            <w:rStyle w:val="Hyperlink"/>
            <w:rFonts w:asciiTheme="majorHAnsi" w:hAnsiTheme="majorHAnsi" w:cstheme="majorHAnsi"/>
            <w:bCs/>
            <w:color w:val="808080" w:themeColor="background1" w:themeShade="80"/>
            <w:sz w:val="16"/>
            <w:szCs w:val="16"/>
            <w:vertAlign w:val="superscript"/>
          </w:rPr>
          <w:t>st</w:t>
        </w:r>
        <w:r w:rsidRPr="001167CB">
          <w:rPr>
            <w:rStyle w:val="Hyperlink"/>
            <w:rFonts w:asciiTheme="majorHAnsi" w:hAnsiTheme="majorHAnsi" w:cstheme="majorHAnsi"/>
            <w:bCs/>
            <w:color w:val="808080" w:themeColor="background1" w:themeShade="80"/>
            <w:sz w:val="16"/>
            <w:szCs w:val="16"/>
          </w:rPr>
          <w:t xml:space="preserve"> Century Policing</w:t>
        </w:r>
      </w:hyperlink>
      <w:r w:rsidRPr="001167CB">
        <w:rPr>
          <w:rFonts w:asciiTheme="majorHAnsi" w:hAnsiTheme="majorHAnsi" w:cstheme="majorHAnsi"/>
          <w:bCs/>
          <w:color w:val="808080" w:themeColor="background1" w:themeShade="80"/>
          <w:sz w:val="16"/>
          <w:szCs w:val="16"/>
        </w:rPr>
        <w:t>, May 2015</w:t>
      </w:r>
      <w:r w:rsidRPr="001167CB">
        <w:rPr>
          <w:rFonts w:asciiTheme="majorHAnsi" w:hAnsiTheme="majorHAnsi" w:cstheme="majorHAnsi"/>
          <w:color w:val="808080" w:themeColor="background1" w:themeShade="80"/>
          <w:sz w:val="16"/>
          <w:szCs w:val="16"/>
        </w:rPr>
        <w:t>.</w:t>
      </w:r>
    </w:p>
  </w:footnote>
  <w:footnote w:id="394">
    <w:p w14:paraId="7F8FBE27"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Id. at Recommendation 1.2. </w:t>
      </w:r>
    </w:p>
  </w:footnote>
  <w:footnote w:id="395">
    <w:p w14:paraId="487EECAE"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Id. at p. 28.</w:t>
      </w:r>
    </w:p>
  </w:footnote>
  <w:footnote w:id="396">
    <w:p w14:paraId="484ABBA2"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State of Washington, </w:t>
      </w:r>
      <w:hyperlink r:id="rId474" w:anchor="page=1" w:history="1">
        <w:r w:rsidRPr="001167CB">
          <w:rPr>
            <w:rStyle w:val="Hyperlink"/>
            <w:rFonts w:asciiTheme="majorHAnsi" w:hAnsiTheme="majorHAnsi" w:cstheme="majorHAnsi"/>
            <w:color w:val="808080" w:themeColor="background1" w:themeShade="80"/>
            <w:sz w:val="16"/>
            <w:szCs w:val="16"/>
          </w:rPr>
          <w:t>HOUSE BILL 2908</w:t>
        </w:r>
      </w:hyperlink>
      <w:r w:rsidRPr="001167CB">
        <w:rPr>
          <w:rFonts w:asciiTheme="majorHAnsi" w:hAnsiTheme="majorHAnsi" w:cstheme="majorHAnsi"/>
          <w:color w:val="808080" w:themeColor="background1" w:themeShade="80"/>
          <w:sz w:val="16"/>
          <w:szCs w:val="16"/>
        </w:rPr>
        <w:t>, Mar. 10, 2016.</w:t>
      </w:r>
    </w:p>
  </w:footnote>
  <w:footnote w:id="397">
    <w:p w14:paraId="760D0952"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State of Utah, </w:t>
      </w:r>
      <w:hyperlink r:id="rId475" w:history="1">
        <w:r w:rsidRPr="001167CB">
          <w:rPr>
            <w:rStyle w:val="Hyperlink"/>
            <w:rFonts w:asciiTheme="majorHAnsi" w:hAnsiTheme="majorHAnsi" w:cstheme="majorHAnsi"/>
            <w:color w:val="808080" w:themeColor="background1" w:themeShade="80"/>
            <w:sz w:val="16"/>
            <w:szCs w:val="16"/>
          </w:rPr>
          <w:t>HOUSE BILL 355</w:t>
        </w:r>
      </w:hyperlink>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shd w:val="clear" w:color="auto" w:fill="FAFAFA"/>
        </w:rPr>
        <w:t>Mar. 30, 2016</w:t>
      </w:r>
    </w:p>
  </w:footnote>
  <w:footnote w:id="398">
    <w:p w14:paraId="6D2B75F7"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State of Colorado, </w:t>
      </w:r>
      <w:hyperlink r:id="rId476" w:history="1">
        <w:r w:rsidRPr="001167CB">
          <w:rPr>
            <w:rStyle w:val="Hyperlink"/>
            <w:rFonts w:asciiTheme="majorHAnsi" w:hAnsiTheme="majorHAnsi" w:cstheme="majorHAnsi"/>
            <w:color w:val="808080" w:themeColor="background1" w:themeShade="80"/>
            <w:sz w:val="16"/>
            <w:szCs w:val="16"/>
          </w:rPr>
          <w:t>HOUSE BILL 16-1264</w:t>
        </w:r>
      </w:hyperlink>
      <w:r w:rsidRPr="001167CB">
        <w:rPr>
          <w:rFonts w:asciiTheme="majorHAnsi" w:hAnsiTheme="majorHAnsi" w:cstheme="majorHAnsi"/>
          <w:color w:val="808080" w:themeColor="background1" w:themeShade="80"/>
          <w:sz w:val="16"/>
          <w:szCs w:val="16"/>
        </w:rPr>
        <w:t xml:space="preserve">, June 10, 2016; State of Connecticut, </w:t>
      </w:r>
      <w:hyperlink r:id="rId477" w:history="1">
        <w:r w:rsidRPr="001167CB">
          <w:rPr>
            <w:rStyle w:val="Hyperlink"/>
            <w:rFonts w:asciiTheme="majorHAnsi" w:hAnsiTheme="majorHAnsi" w:cstheme="majorHAnsi"/>
            <w:color w:val="808080" w:themeColor="background1" w:themeShade="80"/>
            <w:sz w:val="16"/>
            <w:szCs w:val="16"/>
          </w:rPr>
          <w:t>HOUSE BILL 7103</w:t>
        </w:r>
      </w:hyperlink>
      <w:r w:rsidRPr="001167CB">
        <w:rPr>
          <w:rFonts w:asciiTheme="majorHAnsi" w:hAnsiTheme="majorHAnsi" w:cstheme="majorHAnsi"/>
          <w:color w:val="808080" w:themeColor="background1" w:themeShade="80"/>
          <w:sz w:val="16"/>
          <w:szCs w:val="16"/>
        </w:rPr>
        <w:t xml:space="preserve">, June 2015; State of Illinois, </w:t>
      </w:r>
      <w:hyperlink r:id="rId478" w:history="1">
        <w:r w:rsidRPr="001167CB">
          <w:rPr>
            <w:rStyle w:val="Hyperlink"/>
            <w:rFonts w:asciiTheme="majorHAnsi" w:hAnsiTheme="majorHAnsi" w:cstheme="majorHAnsi"/>
            <w:color w:val="808080" w:themeColor="background1" w:themeShade="80"/>
            <w:sz w:val="16"/>
            <w:szCs w:val="16"/>
          </w:rPr>
          <w:t>SENATE BILL 1304</w:t>
        </w:r>
      </w:hyperlink>
      <w:r w:rsidRPr="001167CB">
        <w:rPr>
          <w:rFonts w:asciiTheme="majorHAnsi" w:hAnsiTheme="majorHAnsi" w:cstheme="majorHAnsi"/>
          <w:color w:val="808080" w:themeColor="background1" w:themeShade="80"/>
          <w:sz w:val="16"/>
          <w:szCs w:val="16"/>
        </w:rPr>
        <w:t xml:space="preserve">, Aug. 12, 2015. </w:t>
      </w:r>
    </w:p>
  </w:footnote>
  <w:footnote w:id="399">
    <w:p w14:paraId="37596337"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bCs/>
          <w:color w:val="808080" w:themeColor="background1" w:themeShade="80"/>
          <w:sz w:val="16"/>
          <w:szCs w:val="16"/>
        </w:rPr>
        <w:t xml:space="preserve">IACHR, 154th Period of Sessions, </w:t>
      </w:r>
      <w:hyperlink r:id="rId479" w:history="1">
        <w:r w:rsidRPr="001167CB">
          <w:rPr>
            <w:rStyle w:val="Hyperlink"/>
            <w:rFonts w:asciiTheme="majorHAnsi" w:hAnsiTheme="majorHAnsi" w:cstheme="majorHAnsi"/>
            <w:bCs/>
            <w:color w:val="808080" w:themeColor="background1" w:themeShade="80"/>
            <w:sz w:val="16"/>
            <w:szCs w:val="16"/>
          </w:rPr>
          <w:t>“Criminal Justice and Race” Hearing</w:t>
        </w:r>
      </w:hyperlink>
      <w:r w:rsidRPr="001167CB">
        <w:rPr>
          <w:rFonts w:asciiTheme="majorHAnsi" w:hAnsiTheme="majorHAnsi" w:cstheme="majorHAnsi"/>
          <w:bCs/>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 xml:space="preserve">Mar. </w:t>
      </w:r>
      <w:r w:rsidRPr="001167CB">
        <w:rPr>
          <w:rFonts w:asciiTheme="majorHAnsi" w:hAnsiTheme="majorHAnsi" w:cstheme="majorHAnsi"/>
          <w:bCs/>
          <w:color w:val="808080" w:themeColor="background1" w:themeShade="80"/>
          <w:sz w:val="16"/>
          <w:szCs w:val="16"/>
        </w:rPr>
        <w:t>16, 2015</w:t>
      </w:r>
      <w:r w:rsidRPr="001167CB">
        <w:rPr>
          <w:rStyle w:val="Hyperlink"/>
          <w:rFonts w:asciiTheme="majorHAnsi" w:hAnsiTheme="majorHAnsi" w:cstheme="majorHAnsi"/>
          <w:color w:val="808080" w:themeColor="background1" w:themeShade="80"/>
          <w:sz w:val="16"/>
          <w:szCs w:val="16"/>
          <w:u w:val="none"/>
        </w:rPr>
        <w:t xml:space="preserve">; </w:t>
      </w:r>
      <w:r w:rsidRPr="001167CB">
        <w:rPr>
          <w:rStyle w:val="Hyperlink"/>
          <w:rFonts w:asciiTheme="majorHAnsi" w:hAnsiTheme="majorHAnsi" w:cstheme="majorHAnsi"/>
          <w:i/>
          <w:color w:val="808080" w:themeColor="background1" w:themeShade="80"/>
          <w:sz w:val="16"/>
          <w:szCs w:val="16"/>
          <w:u w:val="none"/>
        </w:rPr>
        <w:t>see also</w:t>
      </w:r>
      <w:r w:rsidRPr="001167CB">
        <w:rPr>
          <w:rStyle w:val="Hyperlink"/>
          <w:rFonts w:asciiTheme="majorHAnsi" w:hAnsiTheme="majorHAnsi" w:cstheme="majorHAnsi"/>
          <w:color w:val="808080" w:themeColor="background1" w:themeShade="80"/>
          <w:sz w:val="16"/>
          <w:szCs w:val="16"/>
          <w:u w:val="none"/>
        </w:rPr>
        <w:t xml:space="preserve"> </w:t>
      </w:r>
      <w:r w:rsidRPr="001167CB">
        <w:rPr>
          <w:rFonts w:asciiTheme="majorHAnsi" w:hAnsiTheme="majorHAnsi" w:cstheme="majorHAnsi"/>
          <w:bCs/>
          <w:color w:val="808080" w:themeColor="background1" w:themeShade="80"/>
          <w:sz w:val="16"/>
          <w:szCs w:val="16"/>
        </w:rPr>
        <w:t xml:space="preserve">COPS, </w:t>
      </w:r>
      <w:hyperlink r:id="rId480" w:history="1">
        <w:r w:rsidRPr="001167CB">
          <w:rPr>
            <w:rStyle w:val="Hyperlink"/>
            <w:rFonts w:asciiTheme="majorHAnsi" w:hAnsiTheme="majorHAnsi" w:cstheme="majorHAnsi"/>
            <w:bCs/>
            <w:color w:val="808080" w:themeColor="background1" w:themeShade="80"/>
            <w:sz w:val="16"/>
            <w:szCs w:val="16"/>
          </w:rPr>
          <w:t>Final Report of the President’s Task Force on 21</w:t>
        </w:r>
        <w:r w:rsidRPr="001167CB">
          <w:rPr>
            <w:rStyle w:val="Hyperlink"/>
            <w:rFonts w:asciiTheme="majorHAnsi" w:hAnsiTheme="majorHAnsi" w:cstheme="majorHAnsi"/>
            <w:bCs/>
            <w:color w:val="808080" w:themeColor="background1" w:themeShade="80"/>
            <w:sz w:val="16"/>
            <w:szCs w:val="16"/>
            <w:vertAlign w:val="superscript"/>
          </w:rPr>
          <w:t>st</w:t>
        </w:r>
        <w:r w:rsidRPr="001167CB">
          <w:rPr>
            <w:rStyle w:val="Hyperlink"/>
            <w:rFonts w:asciiTheme="majorHAnsi" w:hAnsiTheme="majorHAnsi" w:cstheme="majorHAnsi"/>
            <w:bCs/>
            <w:color w:val="808080" w:themeColor="background1" w:themeShade="80"/>
            <w:sz w:val="16"/>
            <w:szCs w:val="16"/>
          </w:rPr>
          <w:t xml:space="preserve"> Century Policing</w:t>
        </w:r>
      </w:hyperlink>
      <w:r w:rsidRPr="001167CB">
        <w:rPr>
          <w:rFonts w:asciiTheme="majorHAnsi" w:hAnsiTheme="majorHAnsi" w:cstheme="majorHAnsi"/>
          <w:bCs/>
          <w:color w:val="808080" w:themeColor="background1" w:themeShade="80"/>
          <w:sz w:val="16"/>
          <w:szCs w:val="16"/>
        </w:rPr>
        <w:t>, May 2015</w:t>
      </w:r>
      <w:r w:rsidRPr="001167CB">
        <w:rPr>
          <w:rFonts w:asciiTheme="majorHAnsi" w:hAnsiTheme="majorHAnsi" w:cstheme="majorHAnsi"/>
          <w:color w:val="808080" w:themeColor="background1" w:themeShade="80"/>
          <w:sz w:val="16"/>
          <w:szCs w:val="16"/>
        </w:rPr>
        <w:t>.</w:t>
      </w:r>
    </w:p>
  </w:footnote>
  <w:footnote w:id="400">
    <w:p w14:paraId="7B4010C4"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bCs/>
          <w:color w:val="808080" w:themeColor="background1" w:themeShade="80"/>
          <w:sz w:val="16"/>
          <w:szCs w:val="16"/>
        </w:rPr>
        <w:t xml:space="preserve">COPS, </w:t>
      </w:r>
      <w:hyperlink r:id="rId481" w:history="1">
        <w:r w:rsidRPr="001167CB">
          <w:rPr>
            <w:rStyle w:val="Hyperlink"/>
            <w:rFonts w:asciiTheme="majorHAnsi" w:hAnsiTheme="majorHAnsi" w:cstheme="majorHAnsi"/>
            <w:bCs/>
            <w:color w:val="808080" w:themeColor="background1" w:themeShade="80"/>
            <w:sz w:val="16"/>
            <w:szCs w:val="16"/>
          </w:rPr>
          <w:t>Final Report of the President’s Task Force on 21</w:t>
        </w:r>
        <w:r w:rsidRPr="001167CB">
          <w:rPr>
            <w:rStyle w:val="Hyperlink"/>
            <w:rFonts w:asciiTheme="majorHAnsi" w:hAnsiTheme="majorHAnsi" w:cstheme="majorHAnsi"/>
            <w:bCs/>
            <w:color w:val="808080" w:themeColor="background1" w:themeShade="80"/>
            <w:sz w:val="16"/>
            <w:szCs w:val="16"/>
            <w:vertAlign w:val="superscript"/>
          </w:rPr>
          <w:t>st</w:t>
        </w:r>
        <w:r w:rsidRPr="001167CB">
          <w:rPr>
            <w:rStyle w:val="Hyperlink"/>
            <w:rFonts w:asciiTheme="majorHAnsi" w:hAnsiTheme="majorHAnsi" w:cstheme="majorHAnsi"/>
            <w:bCs/>
            <w:color w:val="808080" w:themeColor="background1" w:themeShade="80"/>
            <w:sz w:val="16"/>
            <w:szCs w:val="16"/>
          </w:rPr>
          <w:t xml:space="preserve"> Century Policing</w:t>
        </w:r>
      </w:hyperlink>
      <w:r w:rsidRPr="001167CB">
        <w:rPr>
          <w:rFonts w:asciiTheme="majorHAnsi" w:hAnsiTheme="majorHAnsi" w:cstheme="majorHAnsi"/>
          <w:bCs/>
          <w:color w:val="808080" w:themeColor="background1" w:themeShade="80"/>
          <w:sz w:val="16"/>
          <w:szCs w:val="16"/>
        </w:rPr>
        <w:t>, May 2015</w:t>
      </w:r>
      <w:r w:rsidRPr="001167CB">
        <w:rPr>
          <w:rFonts w:asciiTheme="majorHAnsi" w:hAnsiTheme="majorHAnsi" w:cstheme="majorHAnsi"/>
          <w:color w:val="808080" w:themeColor="background1" w:themeShade="80"/>
          <w:sz w:val="16"/>
          <w:szCs w:val="16"/>
        </w:rPr>
        <w:t>, p. 9.</w:t>
      </w:r>
    </w:p>
  </w:footnote>
  <w:footnote w:id="401">
    <w:p w14:paraId="63D01C99"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i/>
          <w:color w:val="808080" w:themeColor="background1" w:themeShade="80"/>
          <w:sz w:val="16"/>
          <w:szCs w:val="16"/>
        </w:rPr>
        <w:t>See, e.g.</w:t>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bCs/>
          <w:color w:val="808080" w:themeColor="background1" w:themeShade="80"/>
          <w:sz w:val="16"/>
          <w:szCs w:val="16"/>
        </w:rPr>
        <w:t xml:space="preserve">IACHR, 153d Period of Sessions, </w:t>
      </w:r>
      <w:hyperlink r:id="rId482" w:history="1">
        <w:r w:rsidRPr="001167CB">
          <w:rPr>
            <w:rStyle w:val="Hyperlink"/>
            <w:rFonts w:asciiTheme="majorHAnsi" w:hAnsiTheme="majorHAnsi" w:cstheme="majorHAnsi"/>
            <w:bCs/>
            <w:color w:val="808080" w:themeColor="background1" w:themeShade="80"/>
            <w:sz w:val="16"/>
            <w:szCs w:val="16"/>
          </w:rPr>
          <w:t>“Racism in the Justice System”</w:t>
        </w:r>
      </w:hyperlink>
      <w:r w:rsidRPr="001167CB">
        <w:rPr>
          <w:rFonts w:asciiTheme="majorHAnsi" w:hAnsiTheme="majorHAnsi" w:cstheme="majorHAnsi"/>
          <w:bCs/>
          <w:color w:val="808080" w:themeColor="background1" w:themeShade="80"/>
          <w:sz w:val="16"/>
          <w:szCs w:val="16"/>
        </w:rPr>
        <w:t xml:space="preserve"> Hearing, Oct. 27, 2014</w:t>
      </w:r>
      <w:r w:rsidRPr="001167CB">
        <w:rPr>
          <w:rStyle w:val="Hyperlink"/>
          <w:rFonts w:asciiTheme="majorHAnsi" w:hAnsiTheme="majorHAnsi" w:cstheme="majorHAnsi"/>
          <w:color w:val="808080" w:themeColor="background1" w:themeShade="80"/>
          <w:sz w:val="16"/>
          <w:szCs w:val="16"/>
        </w:rPr>
        <w:t>.</w:t>
      </w:r>
    </w:p>
  </w:footnote>
  <w:footnote w:id="402">
    <w:p w14:paraId="41E5FAEA"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DOJ, </w:t>
      </w:r>
      <w:hyperlink r:id="rId483" w:history="1">
        <w:r w:rsidRPr="001167CB">
          <w:rPr>
            <w:rStyle w:val="Hyperlink"/>
            <w:rFonts w:asciiTheme="majorHAnsi" w:hAnsiTheme="majorHAnsi" w:cstheme="majorHAnsi"/>
            <w:iCs/>
            <w:color w:val="808080" w:themeColor="background1" w:themeShade="80"/>
            <w:sz w:val="16"/>
            <w:szCs w:val="16"/>
          </w:rPr>
          <w:t>Department of Justice Announces Changes to the Collaborative Reform Initiative</w:t>
        </w:r>
      </w:hyperlink>
      <w:r w:rsidRPr="001167CB">
        <w:rPr>
          <w:rFonts w:asciiTheme="majorHAnsi" w:hAnsiTheme="majorHAnsi" w:cstheme="majorHAnsi"/>
          <w:color w:val="808080" w:themeColor="background1" w:themeShade="80"/>
          <w:sz w:val="16"/>
          <w:szCs w:val="16"/>
        </w:rPr>
        <w:t xml:space="preserve">, Sept. 15, 2017; St. Louis Post-Dispatch, </w:t>
      </w:r>
      <w:hyperlink r:id="rId484" w:history="1">
        <w:r w:rsidRPr="001167CB">
          <w:rPr>
            <w:rStyle w:val="Hyperlink"/>
            <w:rFonts w:asciiTheme="majorHAnsi" w:hAnsiTheme="majorHAnsi" w:cstheme="majorHAnsi"/>
            <w:color w:val="808080" w:themeColor="background1" w:themeShade="80"/>
            <w:sz w:val="16"/>
            <w:szCs w:val="16"/>
          </w:rPr>
          <w:t>DOJ shifts from 'collaborative reform' doctrine toward Trump's law-and-order mandate</w:t>
        </w:r>
      </w:hyperlink>
      <w:r w:rsidRPr="001167CB">
        <w:rPr>
          <w:rFonts w:asciiTheme="majorHAnsi" w:hAnsiTheme="majorHAnsi" w:cstheme="majorHAnsi"/>
          <w:color w:val="808080" w:themeColor="background1" w:themeShade="80"/>
          <w:sz w:val="16"/>
          <w:szCs w:val="16"/>
        </w:rPr>
        <w:t xml:space="preserve">, Sept. 15, 2017.  </w:t>
      </w:r>
    </w:p>
  </w:footnote>
  <w:footnote w:id="403">
    <w:p w14:paraId="2ED7BAFA"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DOJ, </w:t>
      </w:r>
      <w:hyperlink r:id="rId485" w:history="1">
        <w:r w:rsidRPr="001167CB">
          <w:rPr>
            <w:rStyle w:val="Hyperlink"/>
            <w:rFonts w:asciiTheme="majorHAnsi" w:hAnsiTheme="majorHAnsi" w:cstheme="majorHAnsi"/>
            <w:iCs/>
            <w:color w:val="808080" w:themeColor="background1" w:themeShade="80"/>
            <w:sz w:val="16"/>
            <w:szCs w:val="16"/>
          </w:rPr>
          <w:t>Department of Justice Announces Changes to the Collaborative Reform Initiative</w:t>
        </w:r>
      </w:hyperlink>
      <w:r w:rsidRPr="001167CB">
        <w:rPr>
          <w:rFonts w:asciiTheme="majorHAnsi" w:hAnsiTheme="majorHAnsi" w:cstheme="majorHAnsi"/>
          <w:color w:val="808080" w:themeColor="background1" w:themeShade="80"/>
          <w:sz w:val="16"/>
          <w:szCs w:val="16"/>
        </w:rPr>
        <w:t xml:space="preserve">, Sept. 15, 2017.  </w:t>
      </w:r>
    </w:p>
  </w:footnote>
  <w:footnote w:id="404">
    <w:p w14:paraId="252CC5BD"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The White House, </w:t>
      </w:r>
      <w:r w:rsidRPr="001167CB">
        <w:rPr>
          <w:rFonts w:asciiTheme="majorHAnsi" w:hAnsiTheme="majorHAnsi" w:cstheme="majorHAnsi"/>
          <w:iCs/>
          <w:color w:val="808080" w:themeColor="background1" w:themeShade="80"/>
          <w:sz w:val="16"/>
          <w:szCs w:val="16"/>
        </w:rPr>
        <w:t>Standing Up For Our Law Enforcement Community</w:t>
      </w:r>
      <w:r w:rsidRPr="001167CB">
        <w:rPr>
          <w:rFonts w:asciiTheme="majorHAnsi" w:hAnsiTheme="majorHAnsi" w:cstheme="majorHAnsi"/>
          <w:color w:val="808080" w:themeColor="background1" w:themeShade="80"/>
          <w:sz w:val="16"/>
          <w:szCs w:val="16"/>
        </w:rPr>
        <w:t xml:space="preserve">, Jan. 20, 2017.  </w:t>
      </w:r>
    </w:p>
  </w:footnote>
  <w:footnote w:id="405">
    <w:p w14:paraId="41AAB0FD"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proofErr w:type="spellStart"/>
      <w:r w:rsidRPr="001167CB">
        <w:rPr>
          <w:rFonts w:asciiTheme="majorHAnsi" w:hAnsiTheme="majorHAnsi" w:cstheme="majorHAnsi"/>
          <w:color w:val="808080" w:themeColor="background1" w:themeShade="80"/>
          <w:sz w:val="16"/>
          <w:szCs w:val="16"/>
        </w:rPr>
        <w:t>Vox</w:t>
      </w:r>
      <w:proofErr w:type="spellEnd"/>
      <w:r w:rsidRPr="001167CB">
        <w:rPr>
          <w:rFonts w:asciiTheme="majorHAnsi" w:hAnsiTheme="majorHAnsi" w:cstheme="majorHAnsi"/>
          <w:color w:val="808080" w:themeColor="background1" w:themeShade="80"/>
          <w:sz w:val="16"/>
          <w:szCs w:val="16"/>
        </w:rPr>
        <w:t xml:space="preserve">, </w:t>
      </w:r>
      <w:hyperlink r:id="rId486" w:history="1">
        <w:r w:rsidRPr="001167CB">
          <w:rPr>
            <w:rStyle w:val="Hyperlink"/>
            <w:rFonts w:asciiTheme="majorHAnsi" w:hAnsiTheme="majorHAnsi" w:cstheme="majorHAnsi"/>
            <w:color w:val="808080" w:themeColor="background1" w:themeShade="80"/>
            <w:sz w:val="16"/>
            <w:szCs w:val="16"/>
          </w:rPr>
          <w:t>What Jeff Sessions has done so far is toward one goal: unleashing the police</w:t>
        </w:r>
      </w:hyperlink>
      <w:r w:rsidRPr="001167CB">
        <w:rPr>
          <w:rFonts w:asciiTheme="majorHAnsi" w:hAnsiTheme="majorHAnsi" w:cstheme="majorHAnsi"/>
          <w:color w:val="808080" w:themeColor="background1" w:themeShade="80"/>
          <w:sz w:val="16"/>
          <w:szCs w:val="16"/>
        </w:rPr>
        <w:t>, May 4, 2017</w:t>
      </w:r>
      <w:r w:rsidRPr="001167CB">
        <w:rPr>
          <w:rFonts w:asciiTheme="majorHAnsi" w:eastAsia="Times New Roman" w:hAnsiTheme="majorHAnsi" w:cstheme="majorHAnsi"/>
          <w:color w:val="808080" w:themeColor="background1" w:themeShade="80"/>
          <w:sz w:val="16"/>
          <w:szCs w:val="16"/>
        </w:rPr>
        <w:t xml:space="preserve">; NPR, </w:t>
      </w:r>
      <w:hyperlink r:id="rId487" w:history="1">
        <w:r w:rsidRPr="001167CB">
          <w:rPr>
            <w:rStyle w:val="Hyperlink"/>
            <w:rFonts w:asciiTheme="majorHAnsi" w:eastAsia="Times New Roman" w:hAnsiTheme="majorHAnsi" w:cstheme="majorHAnsi"/>
            <w:color w:val="808080" w:themeColor="background1" w:themeShade="80"/>
            <w:sz w:val="16"/>
            <w:szCs w:val="16"/>
          </w:rPr>
          <w:t>Justice Department To Review All Civil Rights Agreements On Police Conduct</w:t>
        </w:r>
      </w:hyperlink>
      <w:r w:rsidRPr="001167CB">
        <w:rPr>
          <w:rFonts w:asciiTheme="majorHAnsi" w:eastAsia="Times New Roman"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 xml:space="preserve">Apr. </w:t>
      </w:r>
      <w:r w:rsidRPr="001167CB">
        <w:rPr>
          <w:rFonts w:asciiTheme="majorHAnsi" w:eastAsia="Times New Roman" w:hAnsiTheme="majorHAnsi" w:cstheme="majorHAnsi"/>
          <w:color w:val="808080" w:themeColor="background1" w:themeShade="80"/>
          <w:sz w:val="16"/>
          <w:szCs w:val="16"/>
        </w:rPr>
        <w:t xml:space="preserve">3, 2017; </w:t>
      </w:r>
      <w:r w:rsidRPr="001167CB">
        <w:rPr>
          <w:rFonts w:asciiTheme="majorHAnsi" w:hAnsiTheme="majorHAnsi" w:cstheme="majorHAnsi"/>
          <w:color w:val="808080" w:themeColor="background1" w:themeShade="80"/>
          <w:sz w:val="16"/>
          <w:szCs w:val="16"/>
        </w:rPr>
        <w:t xml:space="preserve">New York Times, </w:t>
      </w:r>
      <w:hyperlink r:id="rId488" w:history="1">
        <w:r w:rsidRPr="001167CB">
          <w:rPr>
            <w:rStyle w:val="Hyperlink"/>
            <w:rFonts w:asciiTheme="majorHAnsi" w:hAnsiTheme="majorHAnsi" w:cstheme="majorHAnsi"/>
            <w:color w:val="808080" w:themeColor="background1" w:themeShade="80"/>
            <w:sz w:val="16"/>
            <w:szCs w:val="16"/>
          </w:rPr>
          <w:t>Police Chiefs Say Trump’s Law Enforcement Priorities Are Out of Step</w:t>
        </w:r>
      </w:hyperlink>
      <w:r w:rsidRPr="001167CB">
        <w:rPr>
          <w:rFonts w:asciiTheme="majorHAnsi" w:hAnsiTheme="majorHAnsi" w:cstheme="majorHAnsi"/>
          <w:color w:val="808080" w:themeColor="background1" w:themeShade="80"/>
          <w:sz w:val="16"/>
          <w:szCs w:val="16"/>
        </w:rPr>
        <w:t xml:space="preserve">, Feb. 12, 2017; New York Times, </w:t>
      </w:r>
      <w:hyperlink r:id="rId489" w:history="1">
        <w:r w:rsidRPr="001167CB">
          <w:rPr>
            <w:rStyle w:val="Hyperlink"/>
            <w:rFonts w:asciiTheme="majorHAnsi" w:hAnsiTheme="majorHAnsi" w:cstheme="majorHAnsi"/>
            <w:color w:val="808080" w:themeColor="background1" w:themeShade="80"/>
            <w:sz w:val="16"/>
            <w:szCs w:val="16"/>
          </w:rPr>
          <w:t>Police Criticize Trump for Urging Officers Not to Be ‘Too Nice’ With Suspects</w:t>
        </w:r>
      </w:hyperlink>
      <w:r w:rsidRPr="001167CB">
        <w:rPr>
          <w:rFonts w:asciiTheme="majorHAnsi" w:hAnsiTheme="majorHAnsi" w:cstheme="majorHAnsi"/>
          <w:color w:val="808080" w:themeColor="background1" w:themeShade="80"/>
          <w:sz w:val="16"/>
          <w:szCs w:val="16"/>
        </w:rPr>
        <w:t xml:space="preserve">, July 29, 2017; Slate, </w:t>
      </w:r>
      <w:hyperlink r:id="rId490" w:history="1">
        <w:r w:rsidRPr="001167CB">
          <w:rPr>
            <w:rStyle w:val="Hyperlink"/>
            <w:rFonts w:asciiTheme="majorHAnsi" w:hAnsiTheme="majorHAnsi" w:cstheme="majorHAnsi"/>
            <w:color w:val="808080" w:themeColor="background1" w:themeShade="80"/>
            <w:sz w:val="16"/>
            <w:szCs w:val="16"/>
          </w:rPr>
          <w:t>Trump and Sessions Support Local Cops, Except When Local Cops Support Federal Intervention</w:t>
        </w:r>
      </w:hyperlink>
      <w:r w:rsidRPr="001167CB">
        <w:rPr>
          <w:rFonts w:asciiTheme="majorHAnsi" w:hAnsiTheme="majorHAnsi" w:cstheme="majorHAnsi"/>
          <w:color w:val="808080" w:themeColor="background1" w:themeShade="80"/>
          <w:sz w:val="16"/>
          <w:szCs w:val="16"/>
        </w:rPr>
        <w:t>, Apr. 6, 2017.</w:t>
      </w:r>
    </w:p>
  </w:footnote>
  <w:footnote w:id="406">
    <w:p w14:paraId="4C549EC5"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USA Today (Attorney General Jeff Sessions), </w:t>
      </w:r>
      <w:hyperlink r:id="rId491" w:history="1">
        <w:r w:rsidRPr="001167CB">
          <w:rPr>
            <w:rStyle w:val="Hyperlink"/>
            <w:rFonts w:asciiTheme="majorHAnsi" w:hAnsiTheme="majorHAnsi" w:cstheme="majorHAnsi"/>
            <w:iCs/>
            <w:color w:val="808080" w:themeColor="background1" w:themeShade="80"/>
            <w:sz w:val="16"/>
            <w:szCs w:val="16"/>
          </w:rPr>
          <w:t>Avoid harmful federal intrusion</w:t>
        </w:r>
      </w:hyperlink>
      <w:r w:rsidRPr="001167CB">
        <w:rPr>
          <w:rFonts w:asciiTheme="majorHAnsi" w:hAnsiTheme="majorHAnsi" w:cstheme="majorHAnsi"/>
          <w:color w:val="808080" w:themeColor="background1" w:themeShade="80"/>
          <w:sz w:val="16"/>
          <w:szCs w:val="16"/>
        </w:rPr>
        <w:t xml:space="preserve">, Apr. 17, 2017.  </w:t>
      </w:r>
    </w:p>
  </w:footnote>
  <w:footnote w:id="407">
    <w:p w14:paraId="655BC2A2"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u w:val="single"/>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I</w:t>
      </w:r>
      <w:r w:rsidRPr="001167CB">
        <w:rPr>
          <w:rFonts w:asciiTheme="majorHAnsi" w:hAnsiTheme="majorHAnsi" w:cstheme="majorHAnsi"/>
          <w:bCs/>
          <w:color w:val="808080" w:themeColor="background1" w:themeShade="80"/>
          <w:sz w:val="16"/>
          <w:szCs w:val="16"/>
        </w:rPr>
        <w:t xml:space="preserve">ACHR, 166th Period of Sessions, </w:t>
      </w:r>
      <w:hyperlink r:id="rId492" w:history="1">
        <w:r w:rsidRPr="001167CB">
          <w:rPr>
            <w:rStyle w:val="Hyperlink"/>
            <w:rFonts w:asciiTheme="majorHAnsi" w:hAnsiTheme="majorHAnsi" w:cstheme="majorHAnsi"/>
            <w:bCs/>
            <w:color w:val="808080" w:themeColor="background1" w:themeShade="80"/>
            <w:sz w:val="16"/>
            <w:szCs w:val="16"/>
          </w:rPr>
          <w:t>“Impunity for Police Killings” Hearing</w:t>
        </w:r>
      </w:hyperlink>
      <w:r w:rsidRPr="001167CB">
        <w:rPr>
          <w:rFonts w:asciiTheme="majorHAnsi" w:hAnsiTheme="majorHAnsi" w:cstheme="majorHAnsi"/>
          <w:bCs/>
          <w:color w:val="808080" w:themeColor="background1" w:themeShade="80"/>
          <w:sz w:val="16"/>
          <w:szCs w:val="16"/>
        </w:rPr>
        <w:t>,</w:t>
      </w:r>
      <w:r w:rsidRPr="001167CB">
        <w:rPr>
          <w:rFonts w:asciiTheme="majorHAnsi" w:hAnsiTheme="majorHAnsi" w:cstheme="majorHAnsi"/>
          <w:color w:val="808080" w:themeColor="background1" w:themeShade="80"/>
          <w:sz w:val="16"/>
          <w:szCs w:val="16"/>
        </w:rPr>
        <w:t xml:space="preserve"> Dec. </w:t>
      </w:r>
      <w:r w:rsidRPr="001167CB">
        <w:rPr>
          <w:rFonts w:asciiTheme="majorHAnsi" w:hAnsiTheme="majorHAnsi" w:cstheme="majorHAnsi"/>
          <w:bCs/>
          <w:color w:val="808080" w:themeColor="background1" w:themeShade="80"/>
          <w:sz w:val="16"/>
          <w:szCs w:val="16"/>
        </w:rPr>
        <w:t>7, 2017</w:t>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i/>
          <w:color w:val="808080" w:themeColor="background1" w:themeShade="80"/>
          <w:sz w:val="16"/>
          <w:szCs w:val="16"/>
        </w:rPr>
        <w:t>See, e.g.,</w:t>
      </w:r>
      <w:r w:rsidRPr="001167CB">
        <w:rPr>
          <w:rFonts w:asciiTheme="majorHAnsi" w:hAnsiTheme="majorHAnsi" w:cstheme="majorHAnsi"/>
          <w:color w:val="808080" w:themeColor="background1" w:themeShade="80"/>
          <w:sz w:val="16"/>
          <w:szCs w:val="16"/>
        </w:rPr>
        <w:t xml:space="preserve"> New York Times, </w:t>
      </w:r>
      <w:hyperlink r:id="rId493" w:history="1">
        <w:r w:rsidRPr="001167CB">
          <w:rPr>
            <w:rStyle w:val="Hyperlink"/>
            <w:rFonts w:asciiTheme="majorHAnsi" w:hAnsiTheme="majorHAnsi" w:cstheme="majorHAnsi"/>
            <w:iCs/>
            <w:color w:val="808080" w:themeColor="background1" w:themeShade="80"/>
            <w:sz w:val="16"/>
            <w:szCs w:val="16"/>
          </w:rPr>
          <w:t>How Trump’s Hands-Off Approach to Policing is Frustrating Some Chiefs</w:t>
        </w:r>
      </w:hyperlink>
      <w:r w:rsidRPr="001167CB">
        <w:rPr>
          <w:rFonts w:asciiTheme="majorHAnsi" w:hAnsiTheme="majorHAnsi" w:cstheme="majorHAnsi"/>
          <w:iCs/>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Nov. 21, 2017.</w:t>
      </w:r>
    </w:p>
  </w:footnote>
  <w:footnote w:id="408">
    <w:p w14:paraId="0C469D3E"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Office of the Attorney General, </w:t>
      </w:r>
      <w:hyperlink r:id="rId494" w:history="1">
        <w:r w:rsidRPr="001167CB">
          <w:rPr>
            <w:rStyle w:val="Hyperlink"/>
            <w:rFonts w:asciiTheme="majorHAnsi" w:hAnsiTheme="majorHAnsi" w:cstheme="majorHAnsi"/>
            <w:iCs/>
            <w:color w:val="808080" w:themeColor="background1" w:themeShade="80"/>
            <w:sz w:val="16"/>
            <w:szCs w:val="16"/>
          </w:rPr>
          <w:t>Memorandum for Heads of Department Components and United States Attorneys</w:t>
        </w:r>
      </w:hyperlink>
      <w:r w:rsidRPr="001167CB">
        <w:rPr>
          <w:rFonts w:asciiTheme="majorHAnsi" w:hAnsiTheme="majorHAnsi" w:cstheme="majorHAnsi"/>
          <w:color w:val="808080" w:themeColor="background1" w:themeShade="80"/>
          <w:sz w:val="16"/>
          <w:szCs w:val="16"/>
        </w:rPr>
        <w:t xml:space="preserve">, Mar. 31, 2017; The Guardian, </w:t>
      </w:r>
      <w:hyperlink r:id="rId495" w:history="1">
        <w:r w:rsidRPr="001167CB">
          <w:rPr>
            <w:rStyle w:val="Hyperlink"/>
            <w:rFonts w:asciiTheme="majorHAnsi" w:hAnsiTheme="majorHAnsi" w:cstheme="majorHAnsi"/>
            <w:color w:val="808080" w:themeColor="background1" w:themeShade="80"/>
            <w:sz w:val="16"/>
            <w:szCs w:val="16"/>
          </w:rPr>
          <w:t>Jeff Sessions orders review of police reforms prompted by high-profile shootings</w:t>
        </w:r>
      </w:hyperlink>
      <w:r w:rsidRPr="001167CB">
        <w:rPr>
          <w:rFonts w:asciiTheme="majorHAnsi" w:hAnsiTheme="majorHAnsi" w:cstheme="majorHAnsi"/>
          <w:color w:val="808080" w:themeColor="background1" w:themeShade="80"/>
          <w:sz w:val="16"/>
          <w:szCs w:val="16"/>
        </w:rPr>
        <w:t>, Apr. 3, 2017.</w:t>
      </w:r>
    </w:p>
  </w:footnote>
  <w:footnote w:id="409">
    <w:p w14:paraId="0C0B0594"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i/>
          <w:color w:val="808080" w:themeColor="background1" w:themeShade="80"/>
          <w:sz w:val="16"/>
          <w:szCs w:val="16"/>
        </w:rPr>
        <w:t xml:space="preserve">See </w:t>
      </w:r>
      <w:r w:rsidRPr="001167CB">
        <w:rPr>
          <w:rFonts w:asciiTheme="majorHAnsi" w:hAnsiTheme="majorHAnsi" w:cstheme="majorHAnsi"/>
          <w:color w:val="808080" w:themeColor="background1" w:themeShade="80"/>
          <w:sz w:val="16"/>
          <w:szCs w:val="16"/>
        </w:rPr>
        <w:t>Information received from American Civil Liberties Union during 166th Period of Sessions, Thematic Hearing: Reports of Impunity for Extrajudicial Killings in the United States, Dec. 7, 2017, p. 2-3.</w:t>
      </w:r>
    </w:p>
  </w:footnote>
  <w:footnote w:id="410">
    <w:p w14:paraId="1DE1BF22"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U.S. News &amp; World Report, </w:t>
      </w:r>
      <w:hyperlink r:id="rId496" w:history="1">
        <w:r w:rsidRPr="001167CB">
          <w:rPr>
            <w:rStyle w:val="Hyperlink"/>
            <w:rFonts w:asciiTheme="majorHAnsi" w:hAnsiTheme="majorHAnsi" w:cstheme="majorHAnsi"/>
            <w:iCs/>
            <w:color w:val="808080" w:themeColor="background1" w:themeShade="80"/>
            <w:sz w:val="16"/>
            <w:szCs w:val="16"/>
          </w:rPr>
          <w:t>Sessions slams Baltimore consent decree</w:t>
        </w:r>
      </w:hyperlink>
      <w:r w:rsidRPr="001167CB">
        <w:rPr>
          <w:rFonts w:asciiTheme="majorHAnsi" w:hAnsiTheme="majorHAnsi" w:cstheme="majorHAnsi"/>
          <w:color w:val="808080" w:themeColor="background1" w:themeShade="80"/>
          <w:sz w:val="16"/>
          <w:szCs w:val="16"/>
        </w:rPr>
        <w:t xml:space="preserve">, Apr. 7, 2017.  </w:t>
      </w:r>
    </w:p>
  </w:footnote>
  <w:footnote w:id="411">
    <w:p w14:paraId="786E2FF3"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Chicago Tribune, </w:t>
      </w:r>
      <w:hyperlink r:id="rId497" w:history="1">
        <w:r w:rsidRPr="001167CB">
          <w:rPr>
            <w:rStyle w:val="Hyperlink"/>
            <w:rFonts w:asciiTheme="majorHAnsi" w:hAnsiTheme="majorHAnsi" w:cstheme="majorHAnsi"/>
            <w:iCs/>
            <w:color w:val="808080" w:themeColor="background1" w:themeShade="80"/>
            <w:sz w:val="16"/>
            <w:szCs w:val="16"/>
          </w:rPr>
          <w:t>Emanuel backs off from commitment to court oversight of Chicago police reform</w:t>
        </w:r>
      </w:hyperlink>
      <w:r w:rsidRPr="001167CB">
        <w:rPr>
          <w:rFonts w:asciiTheme="majorHAnsi" w:hAnsiTheme="majorHAnsi" w:cstheme="majorHAnsi"/>
          <w:color w:val="808080" w:themeColor="background1" w:themeShade="80"/>
          <w:sz w:val="16"/>
          <w:szCs w:val="16"/>
        </w:rPr>
        <w:t xml:space="preserve">, June 2, 2017.  </w:t>
      </w:r>
    </w:p>
  </w:footnote>
  <w:footnote w:id="412">
    <w:p w14:paraId="36326AC0"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DOJ, </w:t>
      </w:r>
      <w:hyperlink r:id="rId498" w:history="1">
        <w:r w:rsidRPr="001167CB">
          <w:rPr>
            <w:rStyle w:val="Hyperlink"/>
            <w:rFonts w:asciiTheme="majorHAnsi" w:hAnsiTheme="majorHAnsi" w:cstheme="majorHAnsi"/>
            <w:iCs/>
            <w:color w:val="808080" w:themeColor="background1" w:themeShade="80"/>
            <w:sz w:val="16"/>
            <w:szCs w:val="16"/>
          </w:rPr>
          <w:t>Investigation of the Chicago Police Department</w:t>
        </w:r>
      </w:hyperlink>
      <w:r w:rsidRPr="001167CB">
        <w:rPr>
          <w:rFonts w:asciiTheme="majorHAnsi" w:hAnsiTheme="majorHAnsi" w:cstheme="majorHAnsi"/>
          <w:color w:val="808080" w:themeColor="background1" w:themeShade="80"/>
          <w:sz w:val="16"/>
          <w:szCs w:val="16"/>
        </w:rPr>
        <w:t xml:space="preserve">, Jan. 13, 2017; DOJ, </w:t>
      </w:r>
      <w:hyperlink r:id="rId499" w:history="1">
        <w:r w:rsidRPr="001167CB">
          <w:rPr>
            <w:rStyle w:val="Hyperlink"/>
            <w:rFonts w:asciiTheme="majorHAnsi" w:hAnsiTheme="majorHAnsi" w:cstheme="majorHAnsi"/>
            <w:iCs/>
            <w:color w:val="808080" w:themeColor="background1" w:themeShade="80"/>
            <w:sz w:val="16"/>
            <w:szCs w:val="16"/>
          </w:rPr>
          <w:t>Investigation of the Baltimore City Police Department</w:t>
        </w:r>
      </w:hyperlink>
      <w:r w:rsidRPr="001167CB">
        <w:rPr>
          <w:rFonts w:asciiTheme="majorHAnsi" w:hAnsiTheme="majorHAnsi" w:cstheme="majorHAnsi"/>
          <w:color w:val="808080" w:themeColor="background1" w:themeShade="80"/>
          <w:sz w:val="16"/>
          <w:szCs w:val="16"/>
        </w:rPr>
        <w:t xml:space="preserve">, Aug. 10, 2016.  </w:t>
      </w:r>
    </w:p>
  </w:footnote>
  <w:footnote w:id="413">
    <w:p w14:paraId="473609C3"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i/>
          <w:color w:val="808080" w:themeColor="background1" w:themeShade="80"/>
          <w:sz w:val="16"/>
          <w:szCs w:val="16"/>
        </w:rPr>
        <w:t xml:space="preserve">See </w:t>
      </w:r>
      <w:r w:rsidRPr="001167CB">
        <w:rPr>
          <w:rFonts w:asciiTheme="majorHAnsi" w:hAnsiTheme="majorHAnsi" w:cstheme="majorHAnsi"/>
          <w:color w:val="808080" w:themeColor="background1" w:themeShade="80"/>
          <w:sz w:val="16"/>
          <w:szCs w:val="16"/>
        </w:rPr>
        <w:t>Information received from American Civil Liberties Union during 166th Period of Sessions, Thematic Hearing: Reports of Impunity for Extrajudicial Killings in the United States, Dec. 7, 2017, p. 2-3.</w:t>
      </w:r>
    </w:p>
  </w:footnote>
  <w:footnote w:id="414">
    <w:p w14:paraId="7F2158A6" w14:textId="5F0C707F"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i/>
          <w:color w:val="808080" w:themeColor="background1" w:themeShade="80"/>
          <w:sz w:val="16"/>
          <w:szCs w:val="16"/>
        </w:rPr>
        <w:t xml:space="preserve">See supra </w:t>
      </w:r>
      <w:r w:rsidRPr="001167CB">
        <w:rPr>
          <w:rFonts w:asciiTheme="majorHAnsi" w:hAnsiTheme="majorHAnsi" w:cstheme="majorHAnsi"/>
          <w:color w:val="808080" w:themeColor="background1" w:themeShade="80"/>
          <w:sz w:val="16"/>
          <w:szCs w:val="16"/>
        </w:rPr>
        <w:t xml:space="preserve">para. </w:t>
      </w:r>
      <w:r w:rsidRPr="001167CB">
        <w:rPr>
          <w:rFonts w:asciiTheme="majorHAnsi" w:hAnsiTheme="majorHAnsi" w:cstheme="majorHAnsi"/>
          <w:color w:val="808080" w:themeColor="background1" w:themeShade="80"/>
          <w:sz w:val="16"/>
          <w:szCs w:val="16"/>
        </w:rPr>
        <w:fldChar w:fldCharType="begin"/>
      </w:r>
      <w:r w:rsidRPr="001167CB">
        <w:rPr>
          <w:rFonts w:asciiTheme="majorHAnsi" w:hAnsiTheme="majorHAnsi" w:cstheme="majorHAnsi"/>
          <w:color w:val="808080" w:themeColor="background1" w:themeShade="80"/>
          <w:sz w:val="16"/>
          <w:szCs w:val="16"/>
        </w:rPr>
        <w:instrText xml:space="preserve"> REF _Ref504669959 \r \h  \* MERGEFORMAT </w:instrText>
      </w:r>
      <w:r w:rsidRPr="001167CB">
        <w:rPr>
          <w:rFonts w:asciiTheme="majorHAnsi" w:hAnsiTheme="majorHAnsi" w:cstheme="majorHAnsi"/>
          <w:color w:val="808080" w:themeColor="background1" w:themeShade="80"/>
          <w:sz w:val="16"/>
          <w:szCs w:val="16"/>
        </w:rPr>
      </w:r>
      <w:r w:rsidRPr="001167CB">
        <w:rPr>
          <w:rFonts w:asciiTheme="majorHAnsi" w:hAnsiTheme="majorHAnsi" w:cstheme="majorHAnsi"/>
          <w:color w:val="808080" w:themeColor="background1" w:themeShade="80"/>
          <w:sz w:val="16"/>
          <w:szCs w:val="16"/>
        </w:rPr>
        <w:fldChar w:fldCharType="separate"/>
      </w:r>
      <w:r w:rsidRPr="001167CB">
        <w:rPr>
          <w:rFonts w:asciiTheme="majorHAnsi" w:hAnsiTheme="majorHAnsi" w:cstheme="majorHAnsi"/>
          <w:color w:val="808080" w:themeColor="background1" w:themeShade="80"/>
          <w:sz w:val="16"/>
          <w:szCs w:val="16"/>
        </w:rPr>
        <w:t>88</w:t>
      </w:r>
      <w:r w:rsidRPr="001167CB">
        <w:rPr>
          <w:rFonts w:asciiTheme="majorHAnsi" w:hAnsiTheme="majorHAnsi" w:cstheme="majorHAnsi"/>
          <w:color w:val="808080" w:themeColor="background1" w:themeShade="80"/>
          <w:sz w:val="16"/>
          <w:szCs w:val="16"/>
        </w:rPr>
        <w:fldChar w:fldCharType="end"/>
      </w:r>
      <w:r w:rsidRPr="001167CB">
        <w:rPr>
          <w:rFonts w:asciiTheme="majorHAnsi" w:hAnsiTheme="majorHAnsi" w:cstheme="majorHAnsi"/>
          <w:color w:val="808080" w:themeColor="background1" w:themeShade="80"/>
          <w:sz w:val="16"/>
          <w:szCs w:val="16"/>
        </w:rPr>
        <w:t xml:space="preserve">. White House, Office of the Press Secretary, </w:t>
      </w:r>
      <w:hyperlink r:id="rId500" w:history="1">
        <w:r w:rsidRPr="001167CB">
          <w:rPr>
            <w:rStyle w:val="Hyperlink"/>
            <w:rFonts w:asciiTheme="majorHAnsi" w:hAnsiTheme="majorHAnsi" w:cstheme="majorHAnsi"/>
            <w:color w:val="808080" w:themeColor="background1" w:themeShade="80"/>
            <w:sz w:val="16"/>
            <w:szCs w:val="16"/>
          </w:rPr>
          <w:t>Presidential Executive Order on Restoring State, Tribal, and Local Law Enforcement's Access to Life-Saving Equipment and Resources</w:t>
        </w:r>
      </w:hyperlink>
      <w:r w:rsidRPr="001167CB">
        <w:rPr>
          <w:rFonts w:asciiTheme="majorHAnsi" w:hAnsiTheme="majorHAnsi" w:cstheme="majorHAnsi"/>
          <w:color w:val="808080" w:themeColor="background1" w:themeShade="80"/>
          <w:sz w:val="16"/>
          <w:szCs w:val="16"/>
        </w:rPr>
        <w:t xml:space="preserve">, Aug. 28, 2017; New York Times, </w:t>
      </w:r>
      <w:hyperlink r:id="rId501" w:history="1">
        <w:r w:rsidRPr="001167CB">
          <w:rPr>
            <w:rStyle w:val="Hyperlink"/>
            <w:rFonts w:asciiTheme="majorHAnsi" w:hAnsiTheme="majorHAnsi" w:cstheme="majorHAnsi"/>
            <w:color w:val="808080" w:themeColor="background1" w:themeShade="80"/>
            <w:sz w:val="16"/>
            <w:szCs w:val="16"/>
          </w:rPr>
          <w:t>Trump Reverses Restrictions on Military Hardware for Police</w:t>
        </w:r>
      </w:hyperlink>
      <w:r w:rsidRPr="001167CB">
        <w:rPr>
          <w:rFonts w:asciiTheme="majorHAnsi" w:hAnsiTheme="majorHAnsi" w:cstheme="majorHAnsi"/>
          <w:color w:val="808080" w:themeColor="background1" w:themeShade="80"/>
          <w:sz w:val="16"/>
          <w:szCs w:val="16"/>
        </w:rPr>
        <w:t>, Aug. 28, 2017.</w:t>
      </w:r>
    </w:p>
  </w:footnote>
  <w:footnote w:id="415">
    <w:p w14:paraId="3D52DE34" w14:textId="11EB869F"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i/>
          <w:color w:val="808080" w:themeColor="background1" w:themeShade="80"/>
          <w:sz w:val="16"/>
          <w:szCs w:val="16"/>
        </w:rPr>
        <w:t>See supra</w:t>
      </w:r>
      <w:r w:rsidRPr="001167CB">
        <w:rPr>
          <w:rFonts w:asciiTheme="majorHAnsi" w:hAnsiTheme="majorHAnsi" w:cstheme="majorHAnsi"/>
          <w:color w:val="808080" w:themeColor="background1" w:themeShade="80"/>
          <w:sz w:val="16"/>
          <w:szCs w:val="16"/>
        </w:rPr>
        <w:t xml:space="preserve"> para. </w:t>
      </w:r>
      <w:r w:rsidRPr="001167CB">
        <w:rPr>
          <w:rFonts w:asciiTheme="majorHAnsi" w:hAnsiTheme="majorHAnsi" w:cstheme="majorHAnsi"/>
          <w:color w:val="808080" w:themeColor="background1" w:themeShade="80"/>
          <w:sz w:val="16"/>
          <w:szCs w:val="16"/>
        </w:rPr>
        <w:fldChar w:fldCharType="begin"/>
      </w:r>
      <w:r w:rsidRPr="001167CB">
        <w:rPr>
          <w:rFonts w:asciiTheme="majorHAnsi" w:hAnsiTheme="majorHAnsi" w:cstheme="majorHAnsi"/>
          <w:color w:val="808080" w:themeColor="background1" w:themeShade="80"/>
          <w:sz w:val="16"/>
          <w:szCs w:val="16"/>
        </w:rPr>
        <w:instrText xml:space="preserve"> REF _Ref507171111 \r \h  \* MERGEFORMAT </w:instrText>
      </w:r>
      <w:r w:rsidRPr="001167CB">
        <w:rPr>
          <w:rFonts w:asciiTheme="majorHAnsi" w:hAnsiTheme="majorHAnsi" w:cstheme="majorHAnsi"/>
          <w:color w:val="808080" w:themeColor="background1" w:themeShade="80"/>
          <w:sz w:val="16"/>
          <w:szCs w:val="16"/>
        </w:rPr>
      </w:r>
      <w:r w:rsidRPr="001167CB">
        <w:rPr>
          <w:rFonts w:asciiTheme="majorHAnsi" w:hAnsiTheme="majorHAnsi" w:cstheme="majorHAnsi"/>
          <w:color w:val="808080" w:themeColor="background1" w:themeShade="80"/>
          <w:sz w:val="16"/>
          <w:szCs w:val="16"/>
        </w:rPr>
        <w:fldChar w:fldCharType="separate"/>
      </w:r>
      <w:r w:rsidRPr="001167CB">
        <w:rPr>
          <w:rFonts w:asciiTheme="majorHAnsi" w:hAnsiTheme="majorHAnsi" w:cstheme="majorHAnsi"/>
          <w:color w:val="808080" w:themeColor="background1" w:themeShade="80"/>
          <w:sz w:val="16"/>
          <w:szCs w:val="16"/>
        </w:rPr>
        <w:t>170</w:t>
      </w:r>
      <w:r w:rsidRPr="001167CB">
        <w:rPr>
          <w:rFonts w:asciiTheme="majorHAnsi" w:hAnsiTheme="majorHAnsi" w:cstheme="majorHAnsi"/>
          <w:color w:val="808080" w:themeColor="background1" w:themeShade="80"/>
          <w:sz w:val="16"/>
          <w:szCs w:val="16"/>
        </w:rPr>
        <w:fldChar w:fldCharType="end"/>
      </w:r>
      <w:r w:rsidRPr="001167CB">
        <w:rPr>
          <w:rFonts w:asciiTheme="majorHAnsi" w:hAnsiTheme="majorHAnsi" w:cstheme="majorHAnsi"/>
          <w:color w:val="808080" w:themeColor="background1" w:themeShade="80"/>
          <w:sz w:val="16"/>
          <w:szCs w:val="16"/>
        </w:rPr>
        <w:t xml:space="preserve">; U.S. DOJ, </w:t>
      </w:r>
      <w:hyperlink r:id="rId502" w:history="1">
        <w:r w:rsidRPr="001167CB">
          <w:rPr>
            <w:rStyle w:val="Hyperlink"/>
            <w:rFonts w:asciiTheme="majorHAnsi" w:hAnsiTheme="majorHAnsi" w:cstheme="majorHAnsi"/>
            <w:color w:val="808080" w:themeColor="background1" w:themeShade="80"/>
            <w:sz w:val="16"/>
            <w:szCs w:val="16"/>
          </w:rPr>
          <w:t>Guidance for Federal Law Enforcement Agencies Regarding the Use of Race, Ethnicity, Gender, National Origin, Religion, Sexual Orientation, or Gender Identity</w:t>
        </w:r>
      </w:hyperlink>
      <w:r w:rsidRPr="001167CB">
        <w:rPr>
          <w:rFonts w:asciiTheme="majorHAnsi" w:hAnsiTheme="majorHAnsi" w:cstheme="majorHAnsi"/>
          <w:color w:val="808080" w:themeColor="background1" w:themeShade="80"/>
          <w:sz w:val="16"/>
          <w:szCs w:val="16"/>
        </w:rPr>
        <w:t xml:space="preserve">, December 2014; Washington Post, </w:t>
      </w:r>
      <w:hyperlink r:id="rId503" w:history="1">
        <w:r w:rsidRPr="001167CB">
          <w:rPr>
            <w:rStyle w:val="Hyperlink"/>
            <w:rFonts w:asciiTheme="majorHAnsi" w:hAnsiTheme="majorHAnsi" w:cstheme="majorHAnsi"/>
            <w:color w:val="808080" w:themeColor="background1" w:themeShade="80"/>
            <w:sz w:val="16"/>
            <w:szCs w:val="16"/>
          </w:rPr>
          <w:t>Justice Dept. announces new rules to curb racial profiling by federal law enforcement</w:t>
        </w:r>
      </w:hyperlink>
      <w:r w:rsidRPr="001167CB">
        <w:rPr>
          <w:rFonts w:asciiTheme="majorHAnsi" w:hAnsiTheme="majorHAnsi" w:cstheme="majorHAnsi"/>
          <w:color w:val="808080" w:themeColor="background1" w:themeShade="80"/>
          <w:sz w:val="16"/>
          <w:szCs w:val="16"/>
        </w:rPr>
        <w:t>, Dec. 8, 2014.</w:t>
      </w:r>
    </w:p>
  </w:footnote>
  <w:footnote w:id="416">
    <w:p w14:paraId="2F233B25"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bCs/>
          <w:color w:val="808080" w:themeColor="background1" w:themeShade="80"/>
          <w:sz w:val="16"/>
          <w:szCs w:val="16"/>
        </w:rPr>
        <w:t xml:space="preserve">IACHR, 153d Period of Sessions, </w:t>
      </w:r>
      <w:hyperlink r:id="rId504" w:history="1">
        <w:r w:rsidRPr="001167CB">
          <w:rPr>
            <w:rStyle w:val="Hyperlink"/>
            <w:rFonts w:asciiTheme="majorHAnsi" w:hAnsiTheme="majorHAnsi" w:cstheme="majorHAnsi"/>
            <w:bCs/>
            <w:color w:val="808080" w:themeColor="background1" w:themeShade="80"/>
            <w:sz w:val="16"/>
            <w:szCs w:val="16"/>
          </w:rPr>
          <w:t>“Racism in the Justice System”</w:t>
        </w:r>
      </w:hyperlink>
      <w:r w:rsidRPr="001167CB">
        <w:rPr>
          <w:rFonts w:asciiTheme="majorHAnsi" w:hAnsiTheme="majorHAnsi" w:cstheme="majorHAnsi"/>
          <w:bCs/>
          <w:color w:val="808080" w:themeColor="background1" w:themeShade="80"/>
          <w:sz w:val="16"/>
          <w:szCs w:val="16"/>
        </w:rPr>
        <w:t xml:space="preserve"> Hearing, Oct. 27, 2014</w:t>
      </w:r>
      <w:r w:rsidRPr="001167CB">
        <w:rPr>
          <w:rStyle w:val="Hyperlink"/>
          <w:rFonts w:asciiTheme="majorHAnsi" w:hAnsiTheme="majorHAnsi" w:cstheme="majorHAnsi"/>
          <w:color w:val="808080" w:themeColor="background1" w:themeShade="80"/>
          <w:sz w:val="16"/>
          <w:szCs w:val="16"/>
        </w:rPr>
        <w:t>;</w:t>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bCs/>
          <w:color w:val="808080" w:themeColor="background1" w:themeShade="80"/>
          <w:sz w:val="16"/>
          <w:szCs w:val="16"/>
        </w:rPr>
        <w:t xml:space="preserve">CERD, </w:t>
      </w:r>
      <w:hyperlink r:id="rId505" w:history="1">
        <w:r w:rsidRPr="001167CB">
          <w:rPr>
            <w:rStyle w:val="Hyperlink"/>
            <w:rFonts w:asciiTheme="majorHAnsi" w:hAnsiTheme="majorHAnsi" w:cstheme="majorHAnsi"/>
            <w:bCs/>
            <w:color w:val="808080" w:themeColor="background1" w:themeShade="80"/>
            <w:sz w:val="16"/>
            <w:szCs w:val="16"/>
          </w:rPr>
          <w:t>Concluding Observations 2014</w:t>
        </w:r>
      </w:hyperlink>
      <w:r w:rsidRPr="001167CB">
        <w:rPr>
          <w:rFonts w:asciiTheme="majorHAnsi" w:hAnsiTheme="majorHAnsi" w:cstheme="majorHAnsi"/>
          <w:bCs/>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 xml:space="preserve">Sept. </w:t>
      </w:r>
      <w:r w:rsidRPr="001167CB">
        <w:rPr>
          <w:rFonts w:asciiTheme="majorHAnsi" w:hAnsiTheme="majorHAnsi" w:cstheme="majorHAnsi"/>
          <w:bCs/>
          <w:color w:val="808080" w:themeColor="background1" w:themeShade="80"/>
          <w:sz w:val="16"/>
          <w:szCs w:val="16"/>
        </w:rPr>
        <w:t>25, 2014,</w:t>
      </w:r>
      <w:r w:rsidRPr="001167CB">
        <w:rPr>
          <w:rFonts w:asciiTheme="majorHAnsi" w:hAnsiTheme="majorHAnsi" w:cstheme="majorHAnsi"/>
          <w:color w:val="808080" w:themeColor="background1" w:themeShade="80"/>
          <w:sz w:val="16"/>
          <w:szCs w:val="16"/>
        </w:rPr>
        <w:t xml:space="preserve"> para. 8.</w:t>
      </w:r>
    </w:p>
  </w:footnote>
  <w:footnote w:id="417">
    <w:p w14:paraId="75A0D481"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bCs/>
          <w:color w:val="808080" w:themeColor="background1" w:themeShade="80"/>
          <w:sz w:val="16"/>
          <w:szCs w:val="16"/>
        </w:rPr>
        <w:t xml:space="preserve">Human Rights </w:t>
      </w:r>
      <w:proofErr w:type="gramStart"/>
      <w:r w:rsidRPr="001167CB">
        <w:rPr>
          <w:rFonts w:asciiTheme="majorHAnsi" w:hAnsiTheme="majorHAnsi" w:cstheme="majorHAnsi"/>
          <w:bCs/>
          <w:color w:val="808080" w:themeColor="background1" w:themeShade="80"/>
          <w:sz w:val="16"/>
          <w:szCs w:val="16"/>
        </w:rPr>
        <w:t>Comm..</w:t>
      </w:r>
      <w:proofErr w:type="gramEnd"/>
      <w:r w:rsidRPr="001167CB">
        <w:rPr>
          <w:rFonts w:asciiTheme="majorHAnsi" w:hAnsiTheme="majorHAnsi" w:cstheme="majorHAnsi"/>
          <w:bCs/>
          <w:color w:val="808080" w:themeColor="background1" w:themeShade="80"/>
          <w:sz w:val="16"/>
          <w:szCs w:val="16"/>
        </w:rPr>
        <w:t xml:space="preserve"> </w:t>
      </w:r>
      <w:hyperlink r:id="rId506" w:history="1">
        <w:r w:rsidRPr="001167CB">
          <w:rPr>
            <w:rStyle w:val="Hyperlink"/>
            <w:rFonts w:asciiTheme="majorHAnsi" w:hAnsiTheme="majorHAnsi" w:cstheme="majorHAnsi"/>
            <w:bCs/>
            <w:color w:val="808080" w:themeColor="background1" w:themeShade="80"/>
            <w:sz w:val="16"/>
            <w:szCs w:val="16"/>
          </w:rPr>
          <w:t>Concluding Observations 2014</w:t>
        </w:r>
      </w:hyperlink>
      <w:r w:rsidRPr="001167CB">
        <w:rPr>
          <w:rFonts w:asciiTheme="majorHAnsi" w:hAnsiTheme="majorHAnsi" w:cstheme="majorHAnsi"/>
          <w:bCs/>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 xml:space="preserve">Apr. </w:t>
      </w:r>
      <w:r w:rsidRPr="001167CB">
        <w:rPr>
          <w:rFonts w:asciiTheme="majorHAnsi" w:hAnsiTheme="majorHAnsi" w:cstheme="majorHAnsi"/>
          <w:bCs/>
          <w:color w:val="808080" w:themeColor="background1" w:themeShade="80"/>
          <w:sz w:val="16"/>
          <w:szCs w:val="16"/>
        </w:rPr>
        <w:t>23, 2014</w:t>
      </w:r>
      <w:r w:rsidRPr="001167CB">
        <w:rPr>
          <w:rFonts w:asciiTheme="majorHAnsi" w:hAnsiTheme="majorHAnsi" w:cstheme="majorHAnsi"/>
          <w:color w:val="808080" w:themeColor="background1" w:themeShade="80"/>
          <w:sz w:val="16"/>
          <w:szCs w:val="16"/>
        </w:rPr>
        <w:t>, para. 7.</w:t>
      </w:r>
    </w:p>
  </w:footnote>
  <w:footnote w:id="418">
    <w:p w14:paraId="36053F71"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Washington Post, </w:t>
      </w:r>
      <w:hyperlink r:id="rId507" w:history="1">
        <w:r w:rsidRPr="001167CB">
          <w:rPr>
            <w:rStyle w:val="Hyperlink"/>
            <w:rFonts w:asciiTheme="majorHAnsi" w:hAnsiTheme="majorHAnsi" w:cstheme="majorHAnsi"/>
            <w:color w:val="808080" w:themeColor="background1" w:themeShade="80"/>
            <w:sz w:val="16"/>
            <w:szCs w:val="16"/>
          </w:rPr>
          <w:t>Justice Dept. announces new rules to curb racial profiling by federal law enforcement</w:t>
        </w:r>
      </w:hyperlink>
      <w:r w:rsidRPr="001167CB">
        <w:rPr>
          <w:rFonts w:asciiTheme="majorHAnsi" w:hAnsiTheme="majorHAnsi" w:cstheme="majorHAnsi"/>
          <w:color w:val="808080" w:themeColor="background1" w:themeShade="80"/>
          <w:sz w:val="16"/>
          <w:szCs w:val="16"/>
        </w:rPr>
        <w:t>, Dec. 8, 2014.</w:t>
      </w:r>
    </w:p>
  </w:footnote>
  <w:footnote w:id="419">
    <w:p w14:paraId="025F9F28" w14:textId="77777777" w:rsidR="005C2394" w:rsidRPr="001167CB" w:rsidRDefault="005C2394" w:rsidP="002C64F8">
      <w:pPr>
        <w:pStyle w:val="FootnoteText"/>
        <w:spacing w:after="40"/>
        <w:ind w:left="547" w:hanging="547"/>
        <w:contextualSpacing/>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IACHR, </w:t>
      </w:r>
      <w:hyperlink r:id="rId508" w:history="1">
        <w:r w:rsidRPr="001167CB">
          <w:rPr>
            <w:rStyle w:val="Hyperlink"/>
            <w:rFonts w:asciiTheme="majorHAnsi" w:hAnsiTheme="majorHAnsi" w:cstheme="majorHAnsi"/>
            <w:color w:val="808080" w:themeColor="background1" w:themeShade="80"/>
            <w:sz w:val="16"/>
            <w:szCs w:val="16"/>
          </w:rPr>
          <w:t>Citizen Security and Human Rights</w:t>
        </w:r>
      </w:hyperlink>
      <w:r w:rsidRPr="001167CB">
        <w:rPr>
          <w:rFonts w:asciiTheme="majorHAnsi" w:hAnsiTheme="majorHAnsi" w:cstheme="majorHAnsi"/>
          <w:color w:val="808080" w:themeColor="background1" w:themeShade="80"/>
          <w:sz w:val="16"/>
          <w:szCs w:val="16"/>
        </w:rPr>
        <w:t xml:space="preserve"> (2009), para. 97.</w:t>
      </w:r>
    </w:p>
  </w:footnote>
  <w:footnote w:id="420">
    <w:p w14:paraId="2969717D" w14:textId="6ED23B1F" w:rsidR="005C2394" w:rsidRPr="001167CB" w:rsidRDefault="005C2394" w:rsidP="002C64F8">
      <w:pPr>
        <w:spacing w:after="40" w:line="240" w:lineRule="auto"/>
        <w:ind w:left="547" w:hanging="547"/>
        <w:jc w:val="both"/>
        <w:rPr>
          <w:rFonts w:asciiTheme="majorHAnsi" w:hAnsiTheme="majorHAnsi" w:cstheme="majorHAnsi"/>
          <w:color w:val="808080" w:themeColor="background1" w:themeShade="80"/>
          <w:sz w:val="16"/>
          <w:szCs w:val="16"/>
          <w:lang w:val="en-GB"/>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lang w:val="en-GB"/>
        </w:rPr>
        <w:t xml:space="preserve"> </w:t>
      </w:r>
      <w:r w:rsidRPr="001167CB">
        <w:rPr>
          <w:rFonts w:asciiTheme="majorHAnsi" w:hAnsiTheme="majorHAnsi" w:cstheme="majorHAnsi"/>
          <w:color w:val="808080" w:themeColor="background1" w:themeShade="80"/>
          <w:sz w:val="16"/>
          <w:szCs w:val="16"/>
          <w:lang w:val="en-GB"/>
        </w:rPr>
        <w:tab/>
      </w:r>
      <w:r w:rsidRPr="001167CB">
        <w:rPr>
          <w:rFonts w:asciiTheme="majorHAnsi" w:hAnsiTheme="majorHAnsi" w:cstheme="majorHAnsi"/>
          <w:i/>
          <w:color w:val="808080" w:themeColor="background1" w:themeShade="80"/>
          <w:sz w:val="16"/>
          <w:szCs w:val="16"/>
        </w:rPr>
        <w:t>See</w:t>
      </w:r>
      <w:r w:rsidRPr="001167CB">
        <w:rPr>
          <w:rFonts w:asciiTheme="majorHAnsi" w:hAnsiTheme="majorHAnsi" w:cstheme="majorHAnsi"/>
          <w:color w:val="808080" w:themeColor="background1" w:themeShade="80"/>
          <w:sz w:val="16"/>
          <w:szCs w:val="16"/>
        </w:rPr>
        <w:t xml:space="preserve"> IACHR, Report No. 50/16, Case 12.834, Merits, </w:t>
      </w:r>
      <w:hyperlink r:id="rId509" w:history="1">
        <w:r w:rsidRPr="001167CB">
          <w:rPr>
            <w:rStyle w:val="Hyperlink"/>
            <w:rFonts w:asciiTheme="majorHAnsi" w:hAnsiTheme="majorHAnsi" w:cstheme="majorHAnsi"/>
            <w:i/>
            <w:color w:val="808080" w:themeColor="background1" w:themeShade="80"/>
            <w:sz w:val="16"/>
            <w:szCs w:val="16"/>
          </w:rPr>
          <w:t>Undocumented Workers</w:t>
        </w:r>
      </w:hyperlink>
      <w:r w:rsidRPr="001167CB">
        <w:rPr>
          <w:rFonts w:asciiTheme="majorHAnsi" w:hAnsiTheme="majorHAnsi" w:cstheme="majorHAnsi"/>
          <w: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 xml:space="preserve">(United States), Nov. 30, 2016, para. 72 [hereinafter “Report No. 50/16, </w:t>
      </w:r>
      <w:hyperlink r:id="rId510" w:history="1">
        <w:r w:rsidRPr="001167CB">
          <w:rPr>
            <w:rStyle w:val="Hyperlink"/>
            <w:rFonts w:asciiTheme="majorHAnsi" w:hAnsiTheme="majorHAnsi" w:cstheme="majorHAnsi"/>
            <w:i/>
            <w:color w:val="808080" w:themeColor="background1" w:themeShade="80"/>
            <w:sz w:val="16"/>
            <w:szCs w:val="16"/>
          </w:rPr>
          <w:t>Undocumented Workers</w:t>
        </w:r>
      </w:hyperlink>
      <w:r w:rsidRPr="001167CB">
        <w:rPr>
          <w:rFonts w:asciiTheme="majorHAnsi" w:hAnsiTheme="majorHAnsi" w:cstheme="majorHAnsi"/>
          <w:color w:val="808080" w:themeColor="background1" w:themeShade="80"/>
          <w:sz w:val="16"/>
          <w:szCs w:val="16"/>
        </w:rPr>
        <w:t xml:space="preserve"> (2016)”]; Report No. 80/11, Case 12.626, Merits, </w:t>
      </w:r>
      <w:hyperlink r:id="rId511" w:history="1">
        <w:r w:rsidRPr="001167CB">
          <w:rPr>
            <w:rStyle w:val="Hyperlink"/>
            <w:rFonts w:asciiTheme="majorHAnsi" w:hAnsiTheme="majorHAnsi" w:cstheme="majorHAnsi"/>
            <w:i/>
            <w:color w:val="808080" w:themeColor="background1" w:themeShade="80"/>
            <w:sz w:val="16"/>
            <w:szCs w:val="16"/>
          </w:rPr>
          <w:t xml:space="preserve">Jessica </w:t>
        </w:r>
        <w:proofErr w:type="spellStart"/>
        <w:r w:rsidRPr="001167CB">
          <w:rPr>
            <w:rStyle w:val="Hyperlink"/>
            <w:rFonts w:asciiTheme="majorHAnsi" w:hAnsiTheme="majorHAnsi" w:cstheme="majorHAnsi"/>
            <w:i/>
            <w:color w:val="808080" w:themeColor="background1" w:themeShade="80"/>
            <w:sz w:val="16"/>
            <w:szCs w:val="16"/>
          </w:rPr>
          <w:t>Lenahan</w:t>
        </w:r>
        <w:proofErr w:type="spellEnd"/>
        <w:r w:rsidRPr="001167CB">
          <w:rPr>
            <w:rStyle w:val="Hyperlink"/>
            <w:rFonts w:asciiTheme="majorHAnsi" w:hAnsiTheme="majorHAnsi" w:cstheme="majorHAnsi"/>
            <w:i/>
            <w:color w:val="808080" w:themeColor="background1" w:themeShade="80"/>
            <w:sz w:val="16"/>
            <w:szCs w:val="16"/>
          </w:rPr>
          <w:t xml:space="preserve"> (Gonzales) et al</w:t>
        </w:r>
        <w:r w:rsidRPr="001167CB">
          <w:rPr>
            <w:rStyle w:val="Hyperlink"/>
            <w:rFonts w:asciiTheme="majorHAnsi" w:hAnsiTheme="majorHAnsi" w:cstheme="majorHAnsi"/>
            <w:color w:val="808080" w:themeColor="background1" w:themeShade="80"/>
            <w:sz w:val="16"/>
            <w:szCs w:val="16"/>
          </w:rPr>
          <w:t>.</w:t>
        </w:r>
      </w:hyperlink>
      <w:r w:rsidRPr="001167CB">
        <w:rPr>
          <w:rFonts w:asciiTheme="majorHAnsi" w:hAnsiTheme="majorHAnsi" w:cstheme="majorHAnsi"/>
          <w:color w:val="808080" w:themeColor="background1" w:themeShade="80"/>
          <w:sz w:val="16"/>
          <w:szCs w:val="16"/>
        </w:rPr>
        <w:t xml:space="preserve"> (United States), July 21, 2011, para. 107 [hereinafter “Report No. 80/11, </w:t>
      </w:r>
      <w:hyperlink r:id="rId512" w:history="1">
        <w:r w:rsidRPr="001167CB">
          <w:rPr>
            <w:rStyle w:val="Hyperlink"/>
            <w:rFonts w:asciiTheme="majorHAnsi" w:hAnsiTheme="majorHAnsi" w:cstheme="majorHAnsi"/>
            <w:i/>
            <w:color w:val="808080" w:themeColor="background1" w:themeShade="80"/>
            <w:sz w:val="16"/>
            <w:szCs w:val="16"/>
          </w:rPr>
          <w:t xml:space="preserve">Jessica </w:t>
        </w:r>
        <w:proofErr w:type="spellStart"/>
        <w:r w:rsidRPr="001167CB">
          <w:rPr>
            <w:rStyle w:val="Hyperlink"/>
            <w:rFonts w:asciiTheme="majorHAnsi" w:hAnsiTheme="majorHAnsi" w:cstheme="majorHAnsi"/>
            <w:i/>
            <w:color w:val="808080" w:themeColor="background1" w:themeShade="80"/>
            <w:sz w:val="16"/>
            <w:szCs w:val="16"/>
          </w:rPr>
          <w:t>Lenahan</w:t>
        </w:r>
        <w:proofErr w:type="spellEnd"/>
      </w:hyperlink>
      <w:r w:rsidRPr="001167CB">
        <w:rPr>
          <w:rFonts w:asciiTheme="majorHAnsi" w:hAnsiTheme="majorHAnsi" w:cstheme="majorHAnsi"/>
          <w:color w:val="808080" w:themeColor="background1" w:themeShade="80"/>
          <w:sz w:val="16"/>
          <w:szCs w:val="16"/>
        </w:rPr>
        <w:t xml:space="preserve"> (2011)”]; Report 40/04, </w:t>
      </w:r>
      <w:hyperlink r:id="rId513" w:history="1">
        <w:r w:rsidRPr="001167CB">
          <w:rPr>
            <w:rStyle w:val="Hyperlink"/>
            <w:rFonts w:asciiTheme="majorHAnsi" w:hAnsiTheme="majorHAnsi" w:cstheme="majorHAnsi"/>
            <w:i/>
            <w:color w:val="808080" w:themeColor="background1" w:themeShade="80"/>
            <w:sz w:val="16"/>
            <w:szCs w:val="16"/>
          </w:rPr>
          <w:t>Maya Indigenous Community</w:t>
        </w:r>
      </w:hyperlink>
      <w:r w:rsidRPr="001167CB">
        <w:rPr>
          <w:rFonts w:asciiTheme="majorHAnsi" w:hAnsiTheme="majorHAnsi" w:cstheme="majorHAnsi"/>
          <w:color w:val="808080" w:themeColor="background1" w:themeShade="80"/>
          <w:sz w:val="16"/>
          <w:szCs w:val="16"/>
        </w:rPr>
        <w:t xml:space="preserve"> (Belize) (2004), para. 163; Report No. 67/06, </w:t>
      </w:r>
      <w:hyperlink r:id="rId514" w:history="1">
        <w:r w:rsidRPr="001167CB">
          <w:rPr>
            <w:rStyle w:val="Hyperlink"/>
            <w:rFonts w:asciiTheme="majorHAnsi" w:hAnsiTheme="majorHAnsi" w:cstheme="majorHAnsi"/>
            <w:i/>
            <w:color w:val="808080" w:themeColor="background1" w:themeShade="80"/>
            <w:sz w:val="16"/>
            <w:szCs w:val="16"/>
          </w:rPr>
          <w:t xml:space="preserve">Oscar </w:t>
        </w:r>
        <w:proofErr w:type="spellStart"/>
        <w:r w:rsidRPr="001167CB">
          <w:rPr>
            <w:rStyle w:val="Hyperlink"/>
            <w:rFonts w:asciiTheme="majorHAnsi" w:hAnsiTheme="majorHAnsi" w:cstheme="majorHAnsi"/>
            <w:i/>
            <w:color w:val="808080" w:themeColor="background1" w:themeShade="80"/>
            <w:sz w:val="16"/>
            <w:szCs w:val="16"/>
          </w:rPr>
          <w:t>Elías</w:t>
        </w:r>
        <w:proofErr w:type="spellEnd"/>
        <w:r w:rsidRPr="001167CB">
          <w:rPr>
            <w:rStyle w:val="Hyperlink"/>
            <w:rFonts w:asciiTheme="majorHAnsi" w:hAnsiTheme="majorHAnsi" w:cstheme="majorHAnsi"/>
            <w:i/>
            <w:color w:val="808080" w:themeColor="background1" w:themeShade="80"/>
            <w:sz w:val="16"/>
            <w:szCs w:val="16"/>
          </w:rPr>
          <w:t xml:space="preserve"> </w:t>
        </w:r>
        <w:proofErr w:type="spellStart"/>
        <w:r w:rsidRPr="001167CB">
          <w:rPr>
            <w:rStyle w:val="Hyperlink"/>
            <w:rFonts w:asciiTheme="majorHAnsi" w:hAnsiTheme="majorHAnsi" w:cstheme="majorHAnsi"/>
            <w:i/>
            <w:color w:val="808080" w:themeColor="background1" w:themeShade="80"/>
            <w:sz w:val="16"/>
            <w:szCs w:val="16"/>
          </w:rPr>
          <w:t>Bicet</w:t>
        </w:r>
        <w:proofErr w:type="spellEnd"/>
        <w:r w:rsidRPr="001167CB">
          <w:rPr>
            <w:rStyle w:val="Hyperlink"/>
            <w:rFonts w:asciiTheme="majorHAnsi" w:hAnsiTheme="majorHAnsi" w:cstheme="majorHAnsi"/>
            <w:i/>
            <w:color w:val="808080" w:themeColor="background1" w:themeShade="80"/>
            <w:sz w:val="16"/>
            <w:szCs w:val="16"/>
          </w:rPr>
          <w:t xml:space="preserve"> et al.</w:t>
        </w:r>
      </w:hyperlink>
      <w:r w:rsidRPr="001167CB">
        <w:rPr>
          <w:rFonts w:asciiTheme="majorHAnsi" w:hAnsiTheme="majorHAnsi" w:cstheme="majorHAnsi"/>
          <w:color w:val="808080" w:themeColor="background1" w:themeShade="80"/>
          <w:sz w:val="16"/>
          <w:szCs w:val="16"/>
        </w:rPr>
        <w:t xml:space="preserve"> (Cuba) (2006), para. 228; </w:t>
      </w:r>
      <w:hyperlink r:id="rId515" w:history="1">
        <w:r w:rsidRPr="001167CB">
          <w:rPr>
            <w:rStyle w:val="Hyperlink"/>
            <w:rFonts w:asciiTheme="majorHAnsi" w:hAnsiTheme="majorHAnsi" w:cstheme="majorHAnsi"/>
            <w:color w:val="808080" w:themeColor="background1" w:themeShade="80"/>
            <w:sz w:val="16"/>
            <w:szCs w:val="16"/>
          </w:rPr>
          <w:t>Report on Terrorism and Human Rights</w:t>
        </w:r>
      </w:hyperlink>
      <w:r w:rsidRPr="001167CB">
        <w:rPr>
          <w:rFonts w:asciiTheme="majorHAnsi" w:hAnsiTheme="majorHAnsi" w:cstheme="majorHAnsi"/>
          <w:color w:val="808080" w:themeColor="background1" w:themeShade="80"/>
          <w:sz w:val="16"/>
          <w:szCs w:val="16"/>
        </w:rPr>
        <w:t>, OEA/</w:t>
      </w:r>
      <w:proofErr w:type="spellStart"/>
      <w:r w:rsidRPr="001167CB">
        <w:rPr>
          <w:rFonts w:asciiTheme="majorHAnsi" w:hAnsiTheme="majorHAnsi" w:cstheme="majorHAnsi"/>
          <w:color w:val="808080" w:themeColor="background1" w:themeShade="80"/>
          <w:sz w:val="16"/>
          <w:szCs w:val="16"/>
        </w:rPr>
        <w:t>Ser.L</w:t>
      </w:r>
      <w:proofErr w:type="spellEnd"/>
      <w:r w:rsidRPr="001167CB">
        <w:rPr>
          <w:rFonts w:asciiTheme="majorHAnsi" w:hAnsiTheme="majorHAnsi" w:cstheme="majorHAnsi"/>
          <w:color w:val="808080" w:themeColor="background1" w:themeShade="80"/>
          <w:sz w:val="16"/>
          <w:szCs w:val="16"/>
        </w:rPr>
        <w:t>./V/II.116, Doc. 5, rev. 1 corr., 22 (2002), para. 335.</w:t>
      </w:r>
    </w:p>
  </w:footnote>
  <w:footnote w:id="421">
    <w:p w14:paraId="4D33857B"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i/>
          <w:color w:val="808080" w:themeColor="background1" w:themeShade="80"/>
          <w:sz w:val="16"/>
          <w:szCs w:val="16"/>
        </w:rPr>
        <w:t>See International Covenant on Civil and Political Rights</w:t>
      </w:r>
      <w:r w:rsidRPr="001167CB">
        <w:rPr>
          <w:rFonts w:asciiTheme="majorHAnsi" w:hAnsiTheme="majorHAnsi" w:cstheme="majorHAnsi"/>
          <w:color w:val="808080" w:themeColor="background1" w:themeShade="80"/>
          <w:sz w:val="16"/>
          <w:szCs w:val="16"/>
        </w:rPr>
        <w:t xml:space="preserve"> (Arts. 2, 26); </w:t>
      </w:r>
      <w:r w:rsidRPr="001167CB">
        <w:rPr>
          <w:rFonts w:asciiTheme="majorHAnsi" w:hAnsiTheme="majorHAnsi" w:cstheme="majorHAnsi"/>
          <w:i/>
          <w:color w:val="808080" w:themeColor="background1" w:themeShade="80"/>
          <w:sz w:val="16"/>
          <w:szCs w:val="16"/>
        </w:rPr>
        <w:t>International Covenant on Economic, Social and Cultural Rights</w:t>
      </w:r>
      <w:r w:rsidRPr="001167CB">
        <w:rPr>
          <w:rFonts w:asciiTheme="majorHAnsi" w:hAnsiTheme="majorHAnsi" w:cstheme="majorHAnsi"/>
          <w:color w:val="808080" w:themeColor="background1" w:themeShade="80"/>
          <w:sz w:val="16"/>
          <w:szCs w:val="16"/>
        </w:rPr>
        <w:t xml:space="preserve"> (Arts. 2.2, 3); </w:t>
      </w:r>
      <w:r w:rsidRPr="001167CB">
        <w:rPr>
          <w:rFonts w:asciiTheme="majorHAnsi" w:hAnsiTheme="majorHAnsi" w:cstheme="majorHAnsi"/>
          <w:i/>
          <w:color w:val="808080" w:themeColor="background1" w:themeShade="80"/>
          <w:sz w:val="16"/>
          <w:szCs w:val="16"/>
        </w:rPr>
        <w:t>European Convention on Human Rights</w:t>
      </w:r>
      <w:r w:rsidRPr="001167CB">
        <w:rPr>
          <w:rFonts w:asciiTheme="majorHAnsi" w:hAnsiTheme="majorHAnsi" w:cstheme="majorHAnsi"/>
          <w:color w:val="808080" w:themeColor="background1" w:themeShade="80"/>
          <w:sz w:val="16"/>
          <w:szCs w:val="16"/>
        </w:rPr>
        <w:t xml:space="preserve"> (Art. 14); </w:t>
      </w:r>
      <w:r w:rsidRPr="001167CB">
        <w:rPr>
          <w:rFonts w:asciiTheme="majorHAnsi" w:hAnsiTheme="majorHAnsi" w:cstheme="majorHAnsi"/>
          <w:i/>
          <w:color w:val="808080" w:themeColor="background1" w:themeShade="80"/>
          <w:sz w:val="16"/>
          <w:szCs w:val="16"/>
        </w:rPr>
        <w:t>African Charter on Human and People’s Rights</w:t>
      </w:r>
      <w:r w:rsidRPr="001167CB">
        <w:rPr>
          <w:rFonts w:asciiTheme="majorHAnsi" w:hAnsiTheme="majorHAnsi" w:cstheme="majorHAnsi"/>
          <w:color w:val="808080" w:themeColor="background1" w:themeShade="80"/>
          <w:sz w:val="16"/>
          <w:szCs w:val="16"/>
        </w:rPr>
        <w:t xml:space="preserve"> (Art. 2).</w:t>
      </w:r>
    </w:p>
  </w:footnote>
  <w:footnote w:id="422">
    <w:p w14:paraId="4C948B96" w14:textId="77777777" w:rsidR="005C2394" w:rsidRPr="001167CB" w:rsidRDefault="005C2394" w:rsidP="002C64F8">
      <w:pPr>
        <w:pStyle w:val="NoSpacing"/>
        <w:spacing w:after="40"/>
        <w:ind w:left="547" w:hanging="547"/>
        <w:contextualSpacing/>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U.N</w:t>
      </w:r>
      <w:hyperlink r:id="rId516" w:history="1">
        <w:r w:rsidRPr="001167CB">
          <w:rPr>
            <w:rStyle w:val="Hyperlink"/>
            <w:rFonts w:asciiTheme="majorHAnsi" w:hAnsiTheme="majorHAnsi" w:cstheme="majorHAnsi"/>
            <w:color w:val="808080" w:themeColor="background1" w:themeShade="80"/>
            <w:sz w:val="16"/>
            <w:szCs w:val="16"/>
          </w:rPr>
          <w:t xml:space="preserve">., </w:t>
        </w:r>
        <w:r w:rsidRPr="001167CB">
          <w:rPr>
            <w:rStyle w:val="Hyperlink"/>
            <w:rFonts w:asciiTheme="majorHAnsi" w:hAnsiTheme="majorHAnsi" w:cstheme="majorHAnsi"/>
            <w:i/>
            <w:color w:val="808080" w:themeColor="background1" w:themeShade="80"/>
            <w:sz w:val="16"/>
            <w:szCs w:val="16"/>
          </w:rPr>
          <w:t>International Convention on the Elimination of Racial Discrimination,</w:t>
        </w:r>
      </w:hyperlink>
      <w:r w:rsidRPr="001167CB">
        <w:rPr>
          <w:rFonts w:asciiTheme="majorHAnsi" w:hAnsiTheme="majorHAnsi" w:cstheme="majorHAnsi"/>
          <w:color w:val="808080" w:themeColor="background1" w:themeShade="80"/>
          <w:sz w:val="16"/>
          <w:szCs w:val="16"/>
        </w:rPr>
        <w:t xml:space="preserve"> Adopted and opened for signature and ratification by General Assembly resolution 2106 (XX) of 21 December 1965, Entry in force 4 Jan. 1969, in accordance with Article 19. Article 1.</w:t>
      </w:r>
    </w:p>
  </w:footnote>
  <w:footnote w:id="423">
    <w:p w14:paraId="79BBD367"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i/>
          <w:color w:val="808080" w:themeColor="background1" w:themeShade="80"/>
          <w:sz w:val="16"/>
          <w:szCs w:val="16"/>
        </w:rPr>
        <w:t>See</w:t>
      </w:r>
      <w:r w:rsidRPr="001167CB">
        <w:rPr>
          <w:rFonts w:asciiTheme="majorHAnsi" w:hAnsiTheme="majorHAnsi" w:cstheme="majorHAnsi"/>
          <w:i/>
          <w:iCs/>
          <w:color w:val="808080" w:themeColor="background1" w:themeShade="80"/>
          <w:sz w:val="16"/>
          <w:szCs w:val="16"/>
        </w:rPr>
        <w:t xml:space="preserve"> </w:t>
      </w:r>
      <w:proofErr w:type="gramStart"/>
      <w:r w:rsidRPr="001167CB">
        <w:rPr>
          <w:rFonts w:asciiTheme="majorHAnsi" w:hAnsiTheme="majorHAnsi" w:cstheme="majorHAnsi"/>
          <w:color w:val="808080" w:themeColor="background1" w:themeShade="80"/>
          <w:sz w:val="16"/>
          <w:szCs w:val="16"/>
        </w:rPr>
        <w:t xml:space="preserve">I/A Ct. H. R., </w:t>
      </w:r>
      <w:hyperlink r:id="rId517" w:history="1">
        <w:r w:rsidRPr="001167CB">
          <w:rPr>
            <w:rStyle w:val="Hyperlink"/>
            <w:rFonts w:asciiTheme="majorHAnsi" w:hAnsiTheme="majorHAnsi" w:cstheme="majorHAnsi"/>
            <w:i/>
            <w:iCs/>
            <w:color w:val="808080" w:themeColor="background1" w:themeShade="80"/>
            <w:sz w:val="16"/>
            <w:szCs w:val="16"/>
          </w:rPr>
          <w:t>Juridical</w:t>
        </w:r>
        <w:proofErr w:type="gramEnd"/>
        <w:r w:rsidRPr="001167CB">
          <w:rPr>
            <w:rStyle w:val="Hyperlink"/>
            <w:rFonts w:asciiTheme="majorHAnsi" w:hAnsiTheme="majorHAnsi" w:cstheme="majorHAnsi"/>
            <w:i/>
            <w:iCs/>
            <w:color w:val="808080" w:themeColor="background1" w:themeShade="80"/>
            <w:sz w:val="16"/>
            <w:szCs w:val="16"/>
          </w:rPr>
          <w:t xml:space="preserve"> Condition and Rights of the Undocumented Migrants</w:t>
        </w:r>
      </w:hyperlink>
      <w:r w:rsidRPr="001167CB">
        <w:rPr>
          <w:rFonts w:asciiTheme="majorHAnsi" w:hAnsiTheme="majorHAnsi" w:cstheme="majorHAnsi"/>
          <w:color w:val="808080" w:themeColor="background1" w:themeShade="80"/>
          <w:sz w:val="16"/>
          <w:szCs w:val="16"/>
        </w:rPr>
        <w:t xml:space="preserve">. Advisory Opinion OC‐18, Sept. 17, 2003. Series </w:t>
      </w:r>
      <w:proofErr w:type="gramStart"/>
      <w:r w:rsidRPr="001167CB">
        <w:rPr>
          <w:rFonts w:asciiTheme="majorHAnsi" w:hAnsiTheme="majorHAnsi" w:cstheme="majorHAnsi"/>
          <w:color w:val="808080" w:themeColor="background1" w:themeShade="80"/>
          <w:sz w:val="16"/>
          <w:szCs w:val="16"/>
        </w:rPr>
        <w:t>A</w:t>
      </w:r>
      <w:proofErr w:type="gramEnd"/>
      <w:r w:rsidRPr="001167CB">
        <w:rPr>
          <w:rFonts w:asciiTheme="majorHAnsi" w:hAnsiTheme="majorHAnsi" w:cstheme="majorHAnsi"/>
          <w:color w:val="808080" w:themeColor="background1" w:themeShade="80"/>
          <w:sz w:val="16"/>
          <w:szCs w:val="16"/>
        </w:rPr>
        <w:t xml:space="preserve"> No. 18, para. 101.  </w:t>
      </w:r>
    </w:p>
  </w:footnote>
  <w:footnote w:id="424">
    <w:p w14:paraId="35AA156C"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eastAsia="Times New Roman" w:hAnsiTheme="majorHAnsi" w:cstheme="majorHAnsi"/>
          <w:bCs/>
          <w:color w:val="808080" w:themeColor="background1" w:themeShade="80"/>
          <w:sz w:val="16"/>
          <w:szCs w:val="16"/>
          <w:lang w:eastAsia="es-ES"/>
        </w:rPr>
        <w:t xml:space="preserve">IACHR, </w:t>
      </w:r>
      <w:hyperlink r:id="rId518" w:history="1">
        <w:r w:rsidRPr="001167CB">
          <w:rPr>
            <w:rStyle w:val="Hyperlink"/>
            <w:rFonts w:asciiTheme="majorHAnsi" w:eastAsia="Times New Roman" w:hAnsiTheme="majorHAnsi" w:cstheme="majorHAnsi"/>
            <w:bCs/>
            <w:color w:val="808080" w:themeColor="background1" w:themeShade="80"/>
            <w:sz w:val="16"/>
            <w:szCs w:val="16"/>
            <w:lang w:eastAsia="es-ES"/>
          </w:rPr>
          <w:t>People of African Descent in the Americas</w:t>
        </w:r>
      </w:hyperlink>
      <w:r w:rsidRPr="001167CB">
        <w:rPr>
          <w:rFonts w:asciiTheme="majorHAnsi" w:eastAsia="Times New Roman" w:hAnsiTheme="majorHAnsi" w:cstheme="majorHAnsi"/>
          <w:bCs/>
          <w:color w:val="808080" w:themeColor="background1" w:themeShade="80"/>
          <w:sz w:val="16"/>
          <w:szCs w:val="16"/>
          <w:lang w:eastAsia="es-ES"/>
        </w:rPr>
        <w:t xml:space="preserve"> (2011)</w:t>
      </w:r>
      <w:r w:rsidRPr="001167CB">
        <w:rPr>
          <w:rFonts w:asciiTheme="majorHAnsi" w:eastAsia="Times New Roman" w:hAnsiTheme="majorHAnsi" w:cstheme="majorHAnsi"/>
          <w:color w:val="808080" w:themeColor="background1" w:themeShade="80"/>
          <w:sz w:val="16"/>
          <w:szCs w:val="16"/>
          <w:lang w:eastAsia="es-ES"/>
        </w:rPr>
        <w:t>, para. 89 (citation omitted</w:t>
      </w:r>
      <w:r w:rsidRPr="001167CB">
        <w:rPr>
          <w:rFonts w:asciiTheme="majorHAnsi" w:hAnsiTheme="majorHAnsi" w:cstheme="majorHAnsi"/>
          <w:color w:val="808080" w:themeColor="background1" w:themeShade="80"/>
          <w:sz w:val="16"/>
          <w:szCs w:val="16"/>
        </w:rPr>
        <w:t>).</w:t>
      </w:r>
    </w:p>
  </w:footnote>
  <w:footnote w:id="425">
    <w:p w14:paraId="5904A594"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eastAsia="Times New Roman" w:hAnsiTheme="majorHAnsi" w:cstheme="majorHAnsi"/>
          <w:color w:val="808080" w:themeColor="background1" w:themeShade="80"/>
          <w:sz w:val="16"/>
          <w:szCs w:val="16"/>
          <w:lang w:eastAsia="es-ES"/>
        </w:rPr>
        <w:t>Id. (citation omitted</w:t>
      </w:r>
      <w:r w:rsidRPr="001167CB">
        <w:rPr>
          <w:rFonts w:asciiTheme="majorHAnsi" w:hAnsiTheme="majorHAnsi" w:cstheme="majorHAnsi"/>
          <w:color w:val="808080" w:themeColor="background1" w:themeShade="80"/>
          <w:sz w:val="16"/>
          <w:szCs w:val="16"/>
        </w:rPr>
        <w:t>).</w:t>
      </w:r>
    </w:p>
  </w:footnote>
  <w:footnote w:id="426">
    <w:p w14:paraId="45130AA8"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IACHR, Report No. 80/11, </w:t>
      </w:r>
      <w:hyperlink r:id="rId519" w:history="1">
        <w:r w:rsidRPr="001167CB">
          <w:rPr>
            <w:rStyle w:val="Hyperlink"/>
            <w:rFonts w:asciiTheme="majorHAnsi" w:hAnsiTheme="majorHAnsi" w:cstheme="majorHAnsi"/>
            <w:i/>
            <w:color w:val="808080" w:themeColor="background1" w:themeShade="80"/>
            <w:sz w:val="16"/>
            <w:szCs w:val="16"/>
          </w:rPr>
          <w:t xml:space="preserve">Jessica </w:t>
        </w:r>
        <w:proofErr w:type="spellStart"/>
        <w:r w:rsidRPr="001167CB">
          <w:rPr>
            <w:rStyle w:val="Hyperlink"/>
            <w:rFonts w:asciiTheme="majorHAnsi" w:hAnsiTheme="majorHAnsi" w:cstheme="majorHAnsi"/>
            <w:i/>
            <w:color w:val="808080" w:themeColor="background1" w:themeShade="80"/>
            <w:sz w:val="16"/>
            <w:szCs w:val="16"/>
          </w:rPr>
          <w:t>Lenahan</w:t>
        </w:r>
        <w:proofErr w:type="spellEnd"/>
      </w:hyperlink>
      <w:r w:rsidRPr="001167CB">
        <w:rPr>
          <w:rFonts w:asciiTheme="majorHAnsi" w:hAnsiTheme="majorHAnsi" w:cstheme="majorHAnsi"/>
          <w:color w:val="808080" w:themeColor="background1" w:themeShade="80"/>
          <w:sz w:val="16"/>
          <w:szCs w:val="16"/>
        </w:rPr>
        <w:t xml:space="preserve"> (2011), para. 109; Report No. 67/06, </w:t>
      </w:r>
      <w:hyperlink r:id="rId520" w:history="1">
        <w:r w:rsidRPr="001167CB">
          <w:rPr>
            <w:rStyle w:val="Hyperlink"/>
            <w:rFonts w:asciiTheme="majorHAnsi" w:hAnsiTheme="majorHAnsi" w:cstheme="majorHAnsi"/>
            <w:i/>
            <w:color w:val="808080" w:themeColor="background1" w:themeShade="80"/>
            <w:sz w:val="16"/>
            <w:szCs w:val="16"/>
          </w:rPr>
          <w:t xml:space="preserve">Oscar </w:t>
        </w:r>
        <w:proofErr w:type="spellStart"/>
        <w:r w:rsidRPr="001167CB">
          <w:rPr>
            <w:rStyle w:val="Hyperlink"/>
            <w:rFonts w:asciiTheme="majorHAnsi" w:hAnsiTheme="majorHAnsi" w:cstheme="majorHAnsi"/>
            <w:i/>
            <w:color w:val="808080" w:themeColor="background1" w:themeShade="80"/>
            <w:sz w:val="16"/>
            <w:szCs w:val="16"/>
          </w:rPr>
          <w:t>Elías</w:t>
        </w:r>
        <w:proofErr w:type="spellEnd"/>
        <w:r w:rsidRPr="001167CB">
          <w:rPr>
            <w:rStyle w:val="Hyperlink"/>
            <w:rFonts w:asciiTheme="majorHAnsi" w:hAnsiTheme="majorHAnsi" w:cstheme="majorHAnsi"/>
            <w:i/>
            <w:color w:val="808080" w:themeColor="background1" w:themeShade="80"/>
            <w:sz w:val="16"/>
            <w:szCs w:val="16"/>
          </w:rPr>
          <w:t xml:space="preserve"> </w:t>
        </w:r>
        <w:proofErr w:type="spellStart"/>
        <w:r w:rsidRPr="001167CB">
          <w:rPr>
            <w:rStyle w:val="Hyperlink"/>
            <w:rFonts w:asciiTheme="majorHAnsi" w:hAnsiTheme="majorHAnsi" w:cstheme="majorHAnsi"/>
            <w:i/>
            <w:color w:val="808080" w:themeColor="background1" w:themeShade="80"/>
            <w:sz w:val="16"/>
            <w:szCs w:val="16"/>
          </w:rPr>
          <w:t>Bicet</w:t>
        </w:r>
        <w:proofErr w:type="spellEnd"/>
        <w:r w:rsidRPr="001167CB">
          <w:rPr>
            <w:rStyle w:val="Hyperlink"/>
            <w:rFonts w:asciiTheme="majorHAnsi" w:hAnsiTheme="majorHAnsi" w:cstheme="majorHAnsi"/>
            <w:i/>
            <w:color w:val="808080" w:themeColor="background1" w:themeShade="80"/>
            <w:sz w:val="16"/>
            <w:szCs w:val="16"/>
          </w:rPr>
          <w:t xml:space="preserve"> et al.</w:t>
        </w:r>
      </w:hyperlink>
      <w:r w:rsidRPr="001167CB">
        <w:rPr>
          <w:rFonts w:asciiTheme="majorHAnsi" w:hAnsiTheme="majorHAnsi" w:cstheme="majorHAnsi"/>
          <w:color w:val="808080" w:themeColor="background1" w:themeShade="80"/>
          <w:sz w:val="16"/>
          <w:szCs w:val="16"/>
        </w:rPr>
        <w:t xml:space="preserve"> (2006), paras. 228-231; Report 40/04, </w:t>
      </w:r>
      <w:hyperlink r:id="rId521" w:history="1">
        <w:r w:rsidRPr="001167CB">
          <w:rPr>
            <w:rStyle w:val="Hyperlink"/>
            <w:rFonts w:asciiTheme="majorHAnsi" w:hAnsiTheme="majorHAnsi" w:cstheme="majorHAnsi"/>
            <w:i/>
            <w:color w:val="808080" w:themeColor="background1" w:themeShade="80"/>
            <w:sz w:val="16"/>
            <w:szCs w:val="16"/>
          </w:rPr>
          <w:t>Maya Indigenous Community</w:t>
        </w:r>
      </w:hyperlink>
      <w:r w:rsidRPr="001167CB">
        <w:rPr>
          <w:rFonts w:asciiTheme="majorHAnsi" w:hAnsiTheme="majorHAnsi" w:cstheme="majorHAnsi"/>
          <w:color w:val="808080" w:themeColor="background1" w:themeShade="80"/>
          <w:sz w:val="16"/>
          <w:szCs w:val="16"/>
        </w:rPr>
        <w:t xml:space="preserve"> (2004), paras. 162, 166.</w:t>
      </w:r>
    </w:p>
  </w:footnote>
  <w:footnote w:id="427">
    <w:p w14:paraId="068CA0B5"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IACHR, Report No. 80/11, </w:t>
      </w:r>
      <w:hyperlink r:id="rId522" w:history="1">
        <w:r w:rsidRPr="001167CB">
          <w:rPr>
            <w:rStyle w:val="Hyperlink"/>
            <w:rFonts w:asciiTheme="majorHAnsi" w:hAnsiTheme="majorHAnsi" w:cstheme="majorHAnsi"/>
            <w:i/>
            <w:color w:val="808080" w:themeColor="background1" w:themeShade="80"/>
            <w:sz w:val="16"/>
            <w:szCs w:val="16"/>
          </w:rPr>
          <w:t xml:space="preserve">Jessica </w:t>
        </w:r>
        <w:proofErr w:type="spellStart"/>
        <w:r w:rsidRPr="001167CB">
          <w:rPr>
            <w:rStyle w:val="Hyperlink"/>
            <w:rFonts w:asciiTheme="majorHAnsi" w:hAnsiTheme="majorHAnsi" w:cstheme="majorHAnsi"/>
            <w:i/>
            <w:color w:val="808080" w:themeColor="background1" w:themeShade="80"/>
            <w:sz w:val="16"/>
            <w:szCs w:val="16"/>
          </w:rPr>
          <w:t>Lenahan</w:t>
        </w:r>
        <w:proofErr w:type="spellEnd"/>
      </w:hyperlink>
      <w:r w:rsidRPr="001167CB">
        <w:rPr>
          <w:rFonts w:asciiTheme="majorHAnsi" w:hAnsiTheme="majorHAnsi" w:cstheme="majorHAnsi"/>
          <w:color w:val="808080" w:themeColor="background1" w:themeShade="80"/>
          <w:sz w:val="16"/>
          <w:szCs w:val="16"/>
        </w:rPr>
        <w:t xml:space="preserve"> (2011), para. 134 (citing European Court of Human Rights, </w:t>
      </w:r>
      <w:r w:rsidRPr="001167CB">
        <w:rPr>
          <w:rFonts w:asciiTheme="majorHAnsi" w:hAnsiTheme="majorHAnsi" w:cstheme="majorHAnsi"/>
          <w:i/>
          <w:color w:val="808080" w:themeColor="background1" w:themeShade="80"/>
          <w:sz w:val="16"/>
          <w:szCs w:val="16"/>
        </w:rPr>
        <w:t xml:space="preserve">Case of </w:t>
      </w:r>
      <w:proofErr w:type="spellStart"/>
      <w:r w:rsidRPr="001167CB">
        <w:rPr>
          <w:rFonts w:asciiTheme="majorHAnsi" w:hAnsiTheme="majorHAnsi" w:cstheme="majorHAnsi"/>
          <w:i/>
          <w:color w:val="808080" w:themeColor="background1" w:themeShade="80"/>
          <w:sz w:val="16"/>
          <w:szCs w:val="16"/>
        </w:rPr>
        <w:t>Opuz</w:t>
      </w:r>
      <w:proofErr w:type="spellEnd"/>
      <w:r w:rsidRPr="001167CB">
        <w:rPr>
          <w:rFonts w:asciiTheme="majorHAnsi" w:hAnsiTheme="majorHAnsi" w:cstheme="majorHAnsi"/>
          <w:i/>
          <w:color w:val="808080" w:themeColor="background1" w:themeShade="80"/>
          <w:sz w:val="16"/>
          <w:szCs w:val="16"/>
        </w:rPr>
        <w:t xml:space="preserve"> v. Turkey</w:t>
      </w:r>
      <w:r w:rsidRPr="001167CB">
        <w:rPr>
          <w:rFonts w:asciiTheme="majorHAnsi" w:hAnsiTheme="majorHAnsi" w:cstheme="majorHAnsi"/>
          <w:color w:val="808080" w:themeColor="background1" w:themeShade="80"/>
          <w:sz w:val="16"/>
          <w:szCs w:val="16"/>
        </w:rPr>
        <w:t>, Application No. 33401/02, 9 June 2009, para. 191).</w:t>
      </w:r>
    </w:p>
  </w:footnote>
  <w:footnote w:id="428">
    <w:p w14:paraId="5BFDF2C7"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Id. at para. 109 (citation omitted).</w:t>
      </w:r>
    </w:p>
  </w:footnote>
  <w:footnote w:id="429">
    <w:p w14:paraId="3857B0E2" w14:textId="3A7A974A" w:rsidR="005C2394" w:rsidRPr="001167CB" w:rsidRDefault="005C2394" w:rsidP="002C64F8">
      <w:pPr>
        <w:pStyle w:val="Footnotes"/>
        <w:tabs>
          <w:tab w:val="left" w:pos="540"/>
        </w:tabs>
        <w:spacing w:after="40"/>
        <w:ind w:left="547" w:hanging="547"/>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IACHR, Report No. 51/01, Case 9903, </w:t>
      </w:r>
      <w:r w:rsidRPr="001167CB">
        <w:rPr>
          <w:rFonts w:asciiTheme="majorHAnsi" w:hAnsiTheme="majorHAnsi" w:cstheme="majorHAnsi"/>
          <w:i/>
          <w:color w:val="808080" w:themeColor="background1" w:themeShade="80"/>
          <w:sz w:val="16"/>
          <w:szCs w:val="16"/>
        </w:rPr>
        <w:t>Rafael Ferrer-</w:t>
      </w:r>
      <w:proofErr w:type="spellStart"/>
      <w:r w:rsidRPr="001167CB">
        <w:rPr>
          <w:rFonts w:asciiTheme="majorHAnsi" w:hAnsiTheme="majorHAnsi" w:cstheme="majorHAnsi"/>
          <w:i/>
          <w:color w:val="808080" w:themeColor="background1" w:themeShade="80"/>
          <w:sz w:val="16"/>
          <w:szCs w:val="16"/>
        </w:rPr>
        <w:t>Mazorra</w:t>
      </w:r>
      <w:proofErr w:type="spellEnd"/>
      <w:r w:rsidRPr="001167CB">
        <w:rPr>
          <w:rFonts w:asciiTheme="majorHAnsi" w:hAnsiTheme="majorHAnsi" w:cstheme="majorHAnsi"/>
          <w:i/>
          <w:color w:val="808080" w:themeColor="background1" w:themeShade="80"/>
          <w:sz w:val="16"/>
          <w:szCs w:val="16"/>
        </w:rPr>
        <w:t xml:space="preserve"> et al.</w:t>
      </w:r>
      <w:r w:rsidRPr="001167CB">
        <w:rPr>
          <w:rFonts w:asciiTheme="majorHAnsi" w:hAnsiTheme="majorHAnsi" w:cstheme="majorHAnsi"/>
          <w:color w:val="808080" w:themeColor="background1" w:themeShade="80"/>
          <w:sz w:val="16"/>
          <w:szCs w:val="16"/>
        </w:rPr>
        <w:t xml:space="preserve">, United States, Apr. 4, 2001, para. 238 (citing </w:t>
      </w:r>
      <w:r w:rsidRPr="001167CB">
        <w:rPr>
          <w:rFonts w:asciiTheme="majorHAnsi" w:eastAsia="Times New Roman" w:hAnsiTheme="majorHAnsi" w:cstheme="majorHAnsi"/>
          <w:iCs/>
          <w:color w:val="808080" w:themeColor="background1" w:themeShade="80"/>
          <w:sz w:val="16"/>
          <w:szCs w:val="16"/>
        </w:rPr>
        <w:t xml:space="preserve">as support of its position </w:t>
      </w:r>
      <w:r w:rsidRPr="001167CB">
        <w:rPr>
          <w:rFonts w:asciiTheme="majorHAnsi" w:eastAsia="Times New Roman" w:hAnsiTheme="majorHAnsi" w:cstheme="majorHAnsi"/>
          <w:color w:val="808080" w:themeColor="background1" w:themeShade="80"/>
          <w:sz w:val="16"/>
          <w:szCs w:val="16"/>
        </w:rPr>
        <w:t>Eur. Ct. H.R., </w:t>
      </w:r>
      <w:r w:rsidRPr="001167CB">
        <w:rPr>
          <w:rFonts w:asciiTheme="majorHAnsi" w:eastAsia="Times New Roman" w:hAnsiTheme="majorHAnsi" w:cstheme="majorHAnsi"/>
          <w:i/>
          <w:iCs/>
          <w:color w:val="808080" w:themeColor="background1" w:themeShade="80"/>
          <w:sz w:val="16"/>
          <w:szCs w:val="16"/>
        </w:rPr>
        <w:t>Belgian Linguistics Case</w:t>
      </w:r>
      <w:r w:rsidRPr="001167CB">
        <w:rPr>
          <w:rFonts w:asciiTheme="majorHAnsi" w:eastAsia="Times New Roman" w:hAnsiTheme="majorHAnsi" w:cstheme="majorHAnsi"/>
          <w:color w:val="808080" w:themeColor="background1" w:themeShade="80"/>
          <w:sz w:val="16"/>
          <w:szCs w:val="16"/>
        </w:rPr>
        <w:t xml:space="preserve">, July 23, 1968, Series A Nº 6, 1 E.H.R.R. 252, p. 35, para. 10). </w:t>
      </w:r>
    </w:p>
  </w:footnote>
  <w:footnote w:id="430">
    <w:p w14:paraId="32003289" w14:textId="262A9EB9" w:rsidR="005C2394" w:rsidRPr="001167CB" w:rsidRDefault="005C2394" w:rsidP="002C64F8">
      <w:pPr>
        <w:pStyle w:val="Footnotes"/>
        <w:spacing w:after="40"/>
        <w:ind w:left="547" w:hanging="547"/>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U.N. Human Rights Committee, Compilation of General Comments and General Recommendations Adopted by Human Rights Treaty Bodies, HRI/GEN/1/Rev.1 (1994), General Comment 18, Non-discrimination, p. 26. </w:t>
      </w:r>
    </w:p>
  </w:footnote>
  <w:footnote w:id="431">
    <w:p w14:paraId="4C9F92A7" w14:textId="742AF476"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eastAsia="Times New Roman" w:hAnsiTheme="majorHAnsi" w:cstheme="majorHAnsi"/>
          <w:bCs/>
          <w:color w:val="808080" w:themeColor="background1" w:themeShade="80"/>
          <w:sz w:val="16"/>
          <w:szCs w:val="16"/>
          <w:lang w:eastAsia="es-ES"/>
        </w:rPr>
        <w:t xml:space="preserve">IACHR, </w:t>
      </w:r>
      <w:hyperlink r:id="rId523" w:history="1">
        <w:r w:rsidRPr="001167CB">
          <w:rPr>
            <w:rStyle w:val="Hyperlink"/>
            <w:rFonts w:asciiTheme="majorHAnsi" w:eastAsia="Times New Roman" w:hAnsiTheme="majorHAnsi" w:cstheme="majorHAnsi"/>
            <w:bCs/>
            <w:color w:val="808080" w:themeColor="background1" w:themeShade="80"/>
            <w:sz w:val="16"/>
            <w:szCs w:val="16"/>
            <w:lang w:eastAsia="es-ES"/>
          </w:rPr>
          <w:t>People of African Descent in the Americas</w:t>
        </w:r>
      </w:hyperlink>
      <w:r w:rsidRPr="001167CB">
        <w:rPr>
          <w:rFonts w:asciiTheme="majorHAnsi" w:eastAsia="Times New Roman" w:hAnsiTheme="majorHAnsi" w:cstheme="majorHAnsi"/>
          <w:bCs/>
          <w:color w:val="808080" w:themeColor="background1" w:themeShade="80"/>
          <w:sz w:val="16"/>
          <w:szCs w:val="16"/>
          <w:lang w:eastAsia="es-ES"/>
        </w:rPr>
        <w:t xml:space="preserve"> (2011)</w:t>
      </w:r>
      <w:r w:rsidRPr="001167CB">
        <w:rPr>
          <w:rFonts w:asciiTheme="majorHAnsi" w:eastAsia="Times New Roman" w:hAnsiTheme="majorHAnsi" w:cstheme="majorHAnsi"/>
          <w:color w:val="808080" w:themeColor="background1" w:themeShade="80"/>
          <w:sz w:val="16"/>
          <w:szCs w:val="16"/>
          <w:lang w:eastAsia="es-ES"/>
        </w:rPr>
        <w:t>, para. 91;</w:t>
      </w:r>
      <w:r w:rsidRPr="001167CB">
        <w:rPr>
          <w:rFonts w:asciiTheme="majorHAnsi" w:hAnsiTheme="majorHAnsi" w:cstheme="majorHAnsi"/>
          <w:color w:val="808080" w:themeColor="background1" w:themeShade="80"/>
          <w:sz w:val="16"/>
          <w:szCs w:val="16"/>
        </w:rPr>
        <w:t xml:space="preserve"> Report No. 50/16, </w:t>
      </w:r>
      <w:hyperlink r:id="rId524" w:history="1">
        <w:r w:rsidRPr="001167CB">
          <w:rPr>
            <w:rStyle w:val="Hyperlink"/>
            <w:rFonts w:asciiTheme="majorHAnsi" w:hAnsiTheme="majorHAnsi" w:cstheme="majorHAnsi"/>
            <w:i/>
            <w:color w:val="808080" w:themeColor="background1" w:themeShade="80"/>
            <w:sz w:val="16"/>
            <w:szCs w:val="16"/>
          </w:rPr>
          <w:t>Undocumented Workers</w:t>
        </w:r>
      </w:hyperlink>
      <w:r w:rsidRPr="001167CB">
        <w:rPr>
          <w:rFonts w:asciiTheme="majorHAnsi" w:hAnsiTheme="majorHAnsi" w:cstheme="majorHAnsi"/>
          <w:color w:val="808080" w:themeColor="background1" w:themeShade="80"/>
          <w:sz w:val="16"/>
          <w:szCs w:val="16"/>
        </w:rPr>
        <w:t xml:space="preserve"> (2016), paras. 71-92.</w:t>
      </w:r>
    </w:p>
  </w:footnote>
  <w:footnote w:id="432">
    <w:p w14:paraId="20C9E530" w14:textId="2EF137DF"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IACHR, </w:t>
      </w:r>
      <w:hyperlink r:id="rId525" w:history="1">
        <w:r w:rsidRPr="001167CB">
          <w:rPr>
            <w:rStyle w:val="Hyperlink"/>
            <w:rFonts w:asciiTheme="majorHAnsi" w:hAnsiTheme="majorHAnsi" w:cstheme="majorHAnsi"/>
            <w:iCs/>
            <w:color w:val="808080" w:themeColor="background1" w:themeShade="80"/>
            <w:sz w:val="16"/>
            <w:szCs w:val="16"/>
          </w:rPr>
          <w:t>Access to Justice for Women Victims of Violence in the Americas</w:t>
        </w:r>
      </w:hyperlink>
      <w:r w:rsidRPr="001167CB">
        <w:rPr>
          <w:rFonts w:asciiTheme="majorHAnsi" w:hAnsiTheme="majorHAnsi" w:cstheme="majorHAnsi"/>
          <w:i/>
          <w:iCs/>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 xml:space="preserve">OEA/Ser. L/V/II. Doc.68 (2007), para. 90; Report No. 17/17 Petition P-1105-06, </w:t>
      </w:r>
      <w:hyperlink r:id="rId526" w:history="1">
        <w:r w:rsidRPr="001167CB">
          <w:rPr>
            <w:rStyle w:val="Hyperlink"/>
            <w:rFonts w:asciiTheme="majorHAnsi" w:hAnsiTheme="majorHAnsi" w:cstheme="majorHAnsi"/>
            <w:i/>
            <w:color w:val="808080" w:themeColor="background1" w:themeShade="80"/>
            <w:sz w:val="16"/>
            <w:szCs w:val="16"/>
          </w:rPr>
          <w:t xml:space="preserve">Pedro </w:t>
        </w:r>
        <w:proofErr w:type="spellStart"/>
        <w:r w:rsidRPr="001167CB">
          <w:rPr>
            <w:rStyle w:val="Hyperlink"/>
            <w:rFonts w:asciiTheme="majorHAnsi" w:hAnsiTheme="majorHAnsi" w:cstheme="majorHAnsi"/>
            <w:i/>
            <w:color w:val="808080" w:themeColor="background1" w:themeShade="80"/>
            <w:sz w:val="16"/>
            <w:szCs w:val="16"/>
          </w:rPr>
          <w:t>Rosello</w:t>
        </w:r>
        <w:proofErr w:type="spellEnd"/>
        <w:r w:rsidRPr="001167CB">
          <w:rPr>
            <w:rStyle w:val="Hyperlink"/>
            <w:rFonts w:asciiTheme="majorHAnsi" w:hAnsiTheme="majorHAnsi" w:cstheme="majorHAnsi"/>
            <w:i/>
            <w:color w:val="808080" w:themeColor="background1" w:themeShade="80"/>
            <w:sz w:val="16"/>
            <w:szCs w:val="16"/>
          </w:rPr>
          <w:t xml:space="preserve"> et al.</w:t>
        </w:r>
      </w:hyperlink>
      <w:r w:rsidRPr="001167CB">
        <w:rPr>
          <w:rFonts w:asciiTheme="majorHAnsi" w:hAnsiTheme="majorHAnsi" w:cstheme="majorHAnsi"/>
          <w:color w:val="808080" w:themeColor="background1" w:themeShade="80"/>
          <w:sz w:val="16"/>
          <w:szCs w:val="16"/>
        </w:rPr>
        <w:t xml:space="preserve"> (United States), Jan. 27, 2017.</w:t>
      </w:r>
    </w:p>
  </w:footnote>
  <w:footnote w:id="433">
    <w:p w14:paraId="7C6A3814"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IACHR, Report No. 50/16, </w:t>
      </w:r>
      <w:hyperlink r:id="rId527" w:history="1">
        <w:r w:rsidRPr="001167CB">
          <w:rPr>
            <w:rStyle w:val="Hyperlink"/>
            <w:rFonts w:asciiTheme="majorHAnsi" w:hAnsiTheme="majorHAnsi" w:cstheme="majorHAnsi"/>
            <w:i/>
            <w:color w:val="808080" w:themeColor="background1" w:themeShade="80"/>
            <w:sz w:val="16"/>
            <w:szCs w:val="16"/>
          </w:rPr>
          <w:t>Undocumented Workers</w:t>
        </w:r>
      </w:hyperlink>
      <w:r w:rsidRPr="001167CB">
        <w:rPr>
          <w:rFonts w:asciiTheme="majorHAnsi" w:hAnsiTheme="majorHAnsi" w:cstheme="majorHAnsi"/>
          <w:color w:val="808080" w:themeColor="background1" w:themeShade="80"/>
          <w:sz w:val="16"/>
          <w:szCs w:val="16"/>
        </w:rPr>
        <w:t xml:space="preserve"> (2016), para. 72; Report No. 80/11, </w:t>
      </w:r>
      <w:hyperlink r:id="rId528" w:history="1">
        <w:r w:rsidRPr="001167CB">
          <w:rPr>
            <w:rStyle w:val="Hyperlink"/>
            <w:rFonts w:asciiTheme="majorHAnsi" w:hAnsiTheme="majorHAnsi" w:cstheme="majorHAnsi"/>
            <w:i/>
            <w:color w:val="808080" w:themeColor="background1" w:themeShade="80"/>
            <w:sz w:val="16"/>
            <w:szCs w:val="16"/>
          </w:rPr>
          <w:t xml:space="preserve">Jessica </w:t>
        </w:r>
        <w:proofErr w:type="spellStart"/>
        <w:r w:rsidRPr="001167CB">
          <w:rPr>
            <w:rStyle w:val="Hyperlink"/>
            <w:rFonts w:asciiTheme="majorHAnsi" w:hAnsiTheme="majorHAnsi" w:cstheme="majorHAnsi"/>
            <w:i/>
            <w:color w:val="808080" w:themeColor="background1" w:themeShade="80"/>
            <w:sz w:val="16"/>
            <w:szCs w:val="16"/>
          </w:rPr>
          <w:t>Lenahan</w:t>
        </w:r>
        <w:proofErr w:type="spellEnd"/>
      </w:hyperlink>
      <w:r w:rsidRPr="001167CB">
        <w:rPr>
          <w:rFonts w:asciiTheme="majorHAnsi" w:hAnsiTheme="majorHAnsi" w:cstheme="majorHAnsi"/>
          <w:color w:val="808080" w:themeColor="background1" w:themeShade="80"/>
          <w:sz w:val="16"/>
          <w:szCs w:val="16"/>
        </w:rPr>
        <w:t xml:space="preserve"> (2011), para. 108; Report 40/04, </w:t>
      </w:r>
      <w:hyperlink r:id="rId529" w:history="1">
        <w:r w:rsidRPr="001167CB">
          <w:rPr>
            <w:rStyle w:val="Hyperlink"/>
            <w:rFonts w:asciiTheme="majorHAnsi" w:hAnsiTheme="majorHAnsi" w:cstheme="majorHAnsi"/>
            <w:i/>
            <w:color w:val="808080" w:themeColor="background1" w:themeShade="80"/>
            <w:sz w:val="16"/>
            <w:szCs w:val="16"/>
          </w:rPr>
          <w:t>Maya Indigenous Community</w:t>
        </w:r>
      </w:hyperlink>
      <w:r w:rsidRPr="001167CB">
        <w:rPr>
          <w:rFonts w:asciiTheme="majorHAnsi" w:hAnsiTheme="majorHAnsi" w:cstheme="majorHAnsi"/>
          <w:color w:val="808080" w:themeColor="background1" w:themeShade="80"/>
          <w:sz w:val="16"/>
          <w:szCs w:val="16"/>
        </w:rPr>
        <w:t xml:space="preserve"> (2004), para. 162.</w:t>
      </w:r>
    </w:p>
  </w:footnote>
  <w:footnote w:id="434">
    <w:p w14:paraId="71D6AD37" w14:textId="76F93A27" w:rsidR="005C2394" w:rsidRPr="001167CB" w:rsidRDefault="005C2394" w:rsidP="002C64F8">
      <w:pPr>
        <w:pStyle w:val="FootnoteText"/>
        <w:tabs>
          <w:tab w:val="left" w:pos="540"/>
        </w:tabs>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For example, Title VII of the Civil Rights Act of 1964 (regarding employment discrimination), the Fair Housing Act of 1968, and the Age Discrimination in Employment Act of 1967, among others, permit causes of action for disparate impact. </w:t>
      </w:r>
    </w:p>
    <w:p w14:paraId="53C00DAA" w14:textId="1315B154" w:rsidR="005C2394" w:rsidRPr="001167CB" w:rsidRDefault="005C2394" w:rsidP="00C91E4F">
      <w:pPr>
        <w:pStyle w:val="FootnoteText"/>
        <w:spacing w:after="40"/>
        <w:ind w:left="547"/>
        <w:jc w:val="both"/>
        <w:rPr>
          <w:rFonts w:asciiTheme="majorHAnsi" w:hAnsiTheme="majorHAnsi" w:cstheme="majorHAnsi"/>
          <w:color w:val="808080" w:themeColor="background1" w:themeShade="80"/>
          <w:sz w:val="16"/>
          <w:szCs w:val="16"/>
        </w:rPr>
      </w:pPr>
      <w:r w:rsidRPr="001167CB">
        <w:rPr>
          <w:rFonts w:asciiTheme="majorHAnsi" w:hAnsiTheme="majorHAnsi" w:cstheme="majorHAnsi"/>
          <w:i/>
          <w:color w:val="808080" w:themeColor="background1" w:themeShade="80"/>
          <w:sz w:val="16"/>
          <w:szCs w:val="16"/>
        </w:rPr>
        <w:t>See</w:t>
      </w:r>
      <w:r w:rsidRPr="001167CB">
        <w:rPr>
          <w:rFonts w:asciiTheme="majorHAnsi" w:hAnsiTheme="majorHAnsi" w:cstheme="majorHAnsi"/>
          <w:color w:val="808080" w:themeColor="background1" w:themeShade="80"/>
          <w:sz w:val="16"/>
          <w:szCs w:val="16"/>
        </w:rPr>
        <w:t xml:space="preserve"> Texas Department of Housing and Community Affairs v. Inclusive Communities Project, Inc., 575 U.S ___ (2015) (holding that parties can raise disparate impact claims where authorized by statute, to challenge practices that are “otherwise unjustified by a legitimate rationale”); Griggs v. Duke Power Co., 401 U.S. 424 (1971).</w:t>
      </w:r>
    </w:p>
  </w:footnote>
  <w:footnote w:id="435">
    <w:p w14:paraId="157D7020" w14:textId="5238E9B2" w:rsidR="005C2394" w:rsidRPr="001167CB" w:rsidRDefault="005C2394" w:rsidP="002C64F8">
      <w:pPr>
        <w:pStyle w:val="FootnoteText"/>
        <w:tabs>
          <w:tab w:val="left" w:pos="540"/>
        </w:tabs>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481 U.S. 279 (1987). </w:t>
      </w:r>
      <w:r w:rsidRPr="001167CB">
        <w:rPr>
          <w:rFonts w:asciiTheme="majorHAnsi" w:hAnsiTheme="majorHAnsi" w:cstheme="majorHAnsi"/>
          <w:i/>
          <w:color w:val="808080" w:themeColor="background1" w:themeShade="80"/>
          <w:sz w:val="16"/>
          <w:szCs w:val="16"/>
        </w:rPr>
        <w:t>See also supra</w:t>
      </w:r>
      <w:r w:rsidRPr="001167CB">
        <w:rPr>
          <w:rFonts w:asciiTheme="majorHAnsi" w:hAnsiTheme="majorHAnsi" w:cstheme="majorHAnsi"/>
          <w:color w:val="808080" w:themeColor="background1" w:themeShade="80"/>
          <w:sz w:val="16"/>
          <w:szCs w:val="16"/>
        </w:rPr>
        <w:t xml:space="preserve"> footnote </w:t>
      </w:r>
      <w:r w:rsidRPr="001167CB">
        <w:rPr>
          <w:rFonts w:asciiTheme="majorHAnsi" w:hAnsiTheme="majorHAnsi" w:cstheme="majorHAnsi"/>
          <w:color w:val="808080" w:themeColor="background1" w:themeShade="80"/>
          <w:sz w:val="16"/>
          <w:szCs w:val="16"/>
        </w:rPr>
        <w:fldChar w:fldCharType="begin"/>
      </w:r>
      <w:r w:rsidRPr="001167CB">
        <w:rPr>
          <w:rFonts w:asciiTheme="majorHAnsi" w:hAnsiTheme="majorHAnsi" w:cstheme="majorHAnsi"/>
          <w:color w:val="808080" w:themeColor="background1" w:themeShade="80"/>
          <w:sz w:val="16"/>
          <w:szCs w:val="16"/>
        </w:rPr>
        <w:instrText xml:space="preserve"> NOTEREF _Ref507171639 \h  \* MERGEFORMAT </w:instrText>
      </w:r>
      <w:r w:rsidRPr="001167CB">
        <w:rPr>
          <w:rFonts w:asciiTheme="majorHAnsi" w:hAnsiTheme="majorHAnsi" w:cstheme="majorHAnsi"/>
          <w:color w:val="808080" w:themeColor="background1" w:themeShade="80"/>
          <w:sz w:val="16"/>
          <w:szCs w:val="16"/>
        </w:rPr>
      </w:r>
      <w:r w:rsidRPr="001167CB">
        <w:rPr>
          <w:rFonts w:asciiTheme="majorHAnsi" w:hAnsiTheme="majorHAnsi" w:cstheme="majorHAnsi"/>
          <w:color w:val="808080" w:themeColor="background1" w:themeShade="80"/>
          <w:sz w:val="16"/>
          <w:szCs w:val="16"/>
        </w:rPr>
        <w:fldChar w:fldCharType="separate"/>
      </w:r>
      <w:r w:rsidRPr="001167CB">
        <w:rPr>
          <w:rFonts w:asciiTheme="majorHAnsi" w:hAnsiTheme="majorHAnsi" w:cstheme="majorHAnsi"/>
          <w:color w:val="808080" w:themeColor="background1" w:themeShade="80"/>
          <w:sz w:val="16"/>
          <w:szCs w:val="16"/>
        </w:rPr>
        <w:t>300</w:t>
      </w:r>
      <w:r w:rsidRPr="001167CB">
        <w:rPr>
          <w:rFonts w:asciiTheme="majorHAnsi" w:hAnsiTheme="majorHAnsi" w:cstheme="majorHAnsi"/>
          <w:color w:val="808080" w:themeColor="background1" w:themeShade="80"/>
          <w:sz w:val="16"/>
          <w:szCs w:val="16"/>
        </w:rPr>
        <w:fldChar w:fldCharType="end"/>
      </w:r>
      <w:r w:rsidRPr="001167CB">
        <w:rPr>
          <w:rFonts w:asciiTheme="majorHAnsi" w:hAnsiTheme="majorHAnsi" w:cstheme="majorHAnsi"/>
          <w:color w:val="808080" w:themeColor="background1" w:themeShade="80"/>
          <w:sz w:val="16"/>
          <w:szCs w:val="16"/>
        </w:rPr>
        <w:t>.</w:t>
      </w:r>
    </w:p>
  </w:footnote>
  <w:footnote w:id="436">
    <w:p w14:paraId="0843479B" w14:textId="6B0235A1"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Id. at 279-80.</w:t>
      </w:r>
    </w:p>
  </w:footnote>
  <w:footnote w:id="437">
    <w:p w14:paraId="181EBFD5" w14:textId="4ED04CEF"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ACLU, </w:t>
      </w:r>
      <w:hyperlink r:id="rId530" w:history="1">
        <w:r w:rsidRPr="001167CB">
          <w:rPr>
            <w:rStyle w:val="Hyperlink"/>
            <w:rFonts w:asciiTheme="majorHAnsi" w:hAnsiTheme="majorHAnsi" w:cstheme="majorHAnsi"/>
            <w:color w:val="808080" w:themeColor="background1" w:themeShade="80"/>
            <w:sz w:val="16"/>
            <w:szCs w:val="16"/>
          </w:rPr>
          <w:t>North Carolina Racial Justice Act</w:t>
        </w:r>
      </w:hyperlink>
      <w:r w:rsidRPr="001167CB">
        <w:rPr>
          <w:rFonts w:asciiTheme="majorHAnsi" w:hAnsiTheme="majorHAnsi" w:cstheme="majorHAnsi"/>
          <w:color w:val="808080" w:themeColor="background1" w:themeShade="80"/>
          <w:sz w:val="16"/>
          <w:szCs w:val="16"/>
        </w:rPr>
        <w:t xml:space="preserve">, last visited Jan. 26, 2018; CNN, </w:t>
      </w:r>
      <w:hyperlink r:id="rId531" w:history="1">
        <w:r w:rsidRPr="001167CB">
          <w:rPr>
            <w:rStyle w:val="Hyperlink"/>
            <w:rFonts w:asciiTheme="majorHAnsi" w:hAnsiTheme="majorHAnsi" w:cstheme="majorHAnsi"/>
            <w:color w:val="808080" w:themeColor="background1" w:themeShade="80"/>
            <w:sz w:val="16"/>
            <w:szCs w:val="16"/>
          </w:rPr>
          <w:t>'Racial Justice Act' repealed in North Carolina</w:t>
        </w:r>
      </w:hyperlink>
      <w:r w:rsidRPr="001167CB">
        <w:rPr>
          <w:rFonts w:asciiTheme="majorHAnsi" w:hAnsiTheme="majorHAnsi" w:cstheme="majorHAnsi"/>
          <w:color w:val="808080" w:themeColor="background1" w:themeShade="80"/>
          <w:sz w:val="16"/>
          <w:szCs w:val="16"/>
        </w:rPr>
        <w:t>, June 21, 2013.</w:t>
      </w:r>
    </w:p>
  </w:footnote>
  <w:footnote w:id="438">
    <w:p w14:paraId="3C72AB39" w14:textId="282458CC" w:rsidR="005C2394" w:rsidRPr="001167CB" w:rsidRDefault="005C2394" w:rsidP="002C64F8">
      <w:pPr>
        <w:pStyle w:val="FootnoteText"/>
        <w:spacing w:after="40"/>
        <w:ind w:left="547" w:hanging="547"/>
        <w:jc w:val="both"/>
        <w:rPr>
          <w:rFonts w:asciiTheme="majorHAnsi" w:hAnsiTheme="majorHAnsi" w:cstheme="majorHAnsi"/>
          <w:bCs/>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bCs/>
          <w:color w:val="808080" w:themeColor="background1" w:themeShade="80"/>
          <w:sz w:val="16"/>
          <w:szCs w:val="16"/>
        </w:rPr>
        <w:t xml:space="preserve">CERD, </w:t>
      </w:r>
      <w:hyperlink r:id="rId532" w:history="1">
        <w:r w:rsidRPr="001167CB">
          <w:rPr>
            <w:rStyle w:val="Hyperlink"/>
            <w:rFonts w:asciiTheme="majorHAnsi" w:hAnsiTheme="majorHAnsi" w:cstheme="majorHAnsi"/>
            <w:bCs/>
            <w:color w:val="808080" w:themeColor="background1" w:themeShade="80"/>
            <w:sz w:val="16"/>
            <w:szCs w:val="16"/>
          </w:rPr>
          <w:t>Concluding Observations 2014</w:t>
        </w:r>
      </w:hyperlink>
      <w:r w:rsidRPr="001167CB">
        <w:rPr>
          <w:rFonts w:asciiTheme="majorHAnsi" w:hAnsiTheme="majorHAnsi" w:cstheme="majorHAnsi"/>
          <w:bCs/>
          <w:color w:val="808080" w:themeColor="background1" w:themeShade="80"/>
          <w:sz w:val="16"/>
          <w:szCs w:val="16"/>
        </w:rPr>
        <w:t>, Sept. 25, 2014, paras. 5, 20</w:t>
      </w:r>
      <w:r w:rsidRPr="001167CB">
        <w:rPr>
          <w:rFonts w:asciiTheme="majorHAnsi" w:hAnsiTheme="majorHAnsi" w:cstheme="majorHAnsi"/>
          <w:color w:val="808080" w:themeColor="background1" w:themeShade="80"/>
          <w:sz w:val="16"/>
          <w:szCs w:val="16"/>
        </w:rPr>
        <w:t>.</w:t>
      </w:r>
    </w:p>
  </w:footnote>
  <w:footnote w:id="439">
    <w:p w14:paraId="161F6C65" w14:textId="156F5A23"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IACHR, Report No. 50/16, </w:t>
      </w:r>
      <w:hyperlink r:id="rId533" w:history="1">
        <w:r w:rsidRPr="001167CB">
          <w:rPr>
            <w:rStyle w:val="Hyperlink"/>
            <w:rFonts w:asciiTheme="majorHAnsi" w:hAnsiTheme="majorHAnsi" w:cstheme="majorHAnsi"/>
            <w:i/>
            <w:color w:val="808080" w:themeColor="background1" w:themeShade="80"/>
            <w:sz w:val="16"/>
            <w:szCs w:val="16"/>
          </w:rPr>
          <w:t>Undocumented Workers</w:t>
        </w:r>
      </w:hyperlink>
      <w:r w:rsidRPr="001167CB">
        <w:rPr>
          <w:rFonts w:asciiTheme="majorHAnsi" w:hAnsiTheme="majorHAnsi" w:cstheme="majorHAnsi"/>
          <w:color w:val="808080" w:themeColor="background1" w:themeShade="80"/>
          <w:sz w:val="16"/>
          <w:szCs w:val="16"/>
        </w:rPr>
        <w:t xml:space="preserve"> (2016), para. 73; IACHR, Report No. 67/06, </w:t>
      </w:r>
      <w:hyperlink r:id="rId534" w:history="1">
        <w:r w:rsidRPr="001167CB">
          <w:rPr>
            <w:rStyle w:val="Hyperlink"/>
            <w:rFonts w:asciiTheme="majorHAnsi" w:hAnsiTheme="majorHAnsi" w:cstheme="majorHAnsi"/>
            <w:i/>
            <w:color w:val="808080" w:themeColor="background1" w:themeShade="80"/>
            <w:sz w:val="16"/>
            <w:szCs w:val="16"/>
          </w:rPr>
          <w:t xml:space="preserve">Oscar </w:t>
        </w:r>
        <w:proofErr w:type="spellStart"/>
        <w:r w:rsidRPr="001167CB">
          <w:rPr>
            <w:rStyle w:val="Hyperlink"/>
            <w:rFonts w:asciiTheme="majorHAnsi" w:hAnsiTheme="majorHAnsi" w:cstheme="majorHAnsi"/>
            <w:i/>
            <w:color w:val="808080" w:themeColor="background1" w:themeShade="80"/>
            <w:sz w:val="16"/>
            <w:szCs w:val="16"/>
          </w:rPr>
          <w:t>Elías</w:t>
        </w:r>
        <w:proofErr w:type="spellEnd"/>
        <w:r w:rsidRPr="001167CB">
          <w:rPr>
            <w:rStyle w:val="Hyperlink"/>
            <w:rFonts w:asciiTheme="majorHAnsi" w:hAnsiTheme="majorHAnsi" w:cstheme="majorHAnsi"/>
            <w:i/>
            <w:color w:val="808080" w:themeColor="background1" w:themeShade="80"/>
            <w:sz w:val="16"/>
            <w:szCs w:val="16"/>
          </w:rPr>
          <w:t xml:space="preserve"> </w:t>
        </w:r>
        <w:proofErr w:type="spellStart"/>
        <w:r w:rsidRPr="001167CB">
          <w:rPr>
            <w:rStyle w:val="Hyperlink"/>
            <w:rFonts w:asciiTheme="majorHAnsi" w:hAnsiTheme="majorHAnsi" w:cstheme="majorHAnsi"/>
            <w:i/>
            <w:color w:val="808080" w:themeColor="background1" w:themeShade="80"/>
            <w:sz w:val="16"/>
            <w:szCs w:val="16"/>
          </w:rPr>
          <w:t>Bicet</w:t>
        </w:r>
        <w:proofErr w:type="spellEnd"/>
        <w:r w:rsidRPr="001167CB">
          <w:rPr>
            <w:rStyle w:val="Hyperlink"/>
            <w:rFonts w:asciiTheme="majorHAnsi" w:hAnsiTheme="majorHAnsi" w:cstheme="majorHAnsi"/>
            <w:i/>
            <w:color w:val="808080" w:themeColor="background1" w:themeShade="80"/>
            <w:sz w:val="16"/>
            <w:szCs w:val="16"/>
          </w:rPr>
          <w:t xml:space="preserve"> et al.</w:t>
        </w:r>
      </w:hyperlink>
      <w:r w:rsidRPr="001167CB">
        <w:rPr>
          <w:rFonts w:asciiTheme="majorHAnsi" w:hAnsiTheme="majorHAnsi" w:cstheme="majorHAnsi"/>
          <w:color w:val="808080" w:themeColor="background1" w:themeShade="80"/>
          <w:sz w:val="16"/>
          <w:szCs w:val="16"/>
        </w:rPr>
        <w:t xml:space="preserve"> (2006), paras. 228-231; IACHR, Report 40/04, </w:t>
      </w:r>
      <w:hyperlink r:id="rId535" w:history="1">
        <w:r w:rsidRPr="001167CB">
          <w:rPr>
            <w:rStyle w:val="Hyperlink"/>
            <w:rFonts w:asciiTheme="majorHAnsi" w:hAnsiTheme="majorHAnsi" w:cstheme="majorHAnsi"/>
            <w:i/>
            <w:color w:val="808080" w:themeColor="background1" w:themeShade="80"/>
            <w:sz w:val="16"/>
            <w:szCs w:val="16"/>
          </w:rPr>
          <w:t>Maya Indigenous Community</w:t>
        </w:r>
      </w:hyperlink>
      <w:r w:rsidRPr="001167CB">
        <w:rPr>
          <w:rFonts w:asciiTheme="majorHAnsi" w:hAnsiTheme="majorHAnsi" w:cstheme="majorHAnsi"/>
          <w:color w:val="808080" w:themeColor="background1" w:themeShade="80"/>
          <w:sz w:val="16"/>
          <w:szCs w:val="16"/>
        </w:rPr>
        <w:t xml:space="preserve"> (2004), paras. 162, 166.</w:t>
      </w:r>
    </w:p>
  </w:footnote>
  <w:footnote w:id="440">
    <w:p w14:paraId="79120207" w14:textId="4A593DFD"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CERD, General Recommendation XXXI, </w:t>
      </w:r>
      <w:hyperlink r:id="rId536" w:history="1">
        <w:r w:rsidRPr="001167CB">
          <w:rPr>
            <w:rStyle w:val="Hyperlink"/>
            <w:rFonts w:asciiTheme="majorHAnsi" w:hAnsiTheme="majorHAnsi" w:cstheme="majorHAnsi"/>
            <w:i/>
            <w:color w:val="808080" w:themeColor="background1" w:themeShade="80"/>
            <w:sz w:val="16"/>
            <w:szCs w:val="16"/>
          </w:rPr>
          <w:t>Prevention of Racial Discrimination in the Administration and Functioning of the Criminal Justice System</w:t>
        </w:r>
      </w:hyperlink>
      <w:r w:rsidRPr="001167CB">
        <w:rPr>
          <w:rFonts w:asciiTheme="majorHAnsi" w:hAnsiTheme="majorHAnsi" w:cstheme="majorHAnsi"/>
          <w:color w:val="808080" w:themeColor="background1" w:themeShade="80"/>
          <w:sz w:val="16"/>
          <w:szCs w:val="16"/>
        </w:rPr>
        <w:t xml:space="preserve">, 2005.  </w:t>
      </w:r>
    </w:p>
  </w:footnote>
  <w:footnote w:id="441">
    <w:p w14:paraId="42E4AE78" w14:textId="4C17F29A" w:rsidR="005C2394" w:rsidRPr="001167CB" w:rsidRDefault="005C2394" w:rsidP="002C64F8">
      <w:pPr>
        <w:pStyle w:val="FootnoteText"/>
        <w:spacing w:after="40"/>
        <w:ind w:left="547" w:hanging="547"/>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ab/>
      </w:r>
      <w:r w:rsidRPr="001167CB">
        <w:rPr>
          <w:rFonts w:asciiTheme="majorHAnsi" w:eastAsia="Times New Roman" w:hAnsiTheme="majorHAnsi" w:cstheme="majorHAnsi"/>
          <w:bCs/>
          <w:color w:val="808080" w:themeColor="background1" w:themeShade="80"/>
          <w:sz w:val="16"/>
          <w:szCs w:val="16"/>
          <w:lang w:eastAsia="es-ES"/>
        </w:rPr>
        <w:t xml:space="preserve">IACHR, </w:t>
      </w:r>
      <w:hyperlink r:id="rId537" w:history="1">
        <w:r w:rsidRPr="001167CB">
          <w:rPr>
            <w:rStyle w:val="Hyperlink"/>
            <w:rFonts w:asciiTheme="majorHAnsi" w:eastAsia="Times New Roman" w:hAnsiTheme="majorHAnsi" w:cstheme="majorHAnsi"/>
            <w:bCs/>
            <w:color w:val="808080" w:themeColor="background1" w:themeShade="80"/>
            <w:sz w:val="16"/>
            <w:szCs w:val="16"/>
            <w:lang w:eastAsia="es-ES"/>
          </w:rPr>
          <w:t>People of African Descent in the Americas</w:t>
        </w:r>
      </w:hyperlink>
      <w:r w:rsidRPr="001167CB">
        <w:rPr>
          <w:rFonts w:asciiTheme="majorHAnsi" w:eastAsia="Times New Roman" w:hAnsiTheme="majorHAnsi" w:cstheme="majorHAnsi"/>
          <w:bCs/>
          <w:color w:val="808080" w:themeColor="background1" w:themeShade="80"/>
          <w:sz w:val="16"/>
          <w:szCs w:val="16"/>
          <w:lang w:eastAsia="es-ES"/>
        </w:rPr>
        <w:t xml:space="preserve"> (2011)</w:t>
      </w:r>
      <w:r w:rsidRPr="001167CB">
        <w:rPr>
          <w:rFonts w:asciiTheme="majorHAnsi" w:eastAsia="Times New Roman" w:hAnsiTheme="majorHAnsi" w:cstheme="majorHAnsi"/>
          <w:color w:val="808080" w:themeColor="background1" w:themeShade="80"/>
          <w:sz w:val="16"/>
          <w:szCs w:val="16"/>
          <w:lang w:eastAsia="es-ES"/>
        </w:rPr>
        <w:t>, paras. 162-163.</w:t>
      </w:r>
    </w:p>
  </w:footnote>
  <w:footnote w:id="442">
    <w:p w14:paraId="588937AB" w14:textId="77777777" w:rsidR="005C2394" w:rsidRPr="001167CB" w:rsidRDefault="005C2394" w:rsidP="002C64F8">
      <w:pPr>
        <w:pStyle w:val="FootnoteText"/>
        <w:spacing w:after="40"/>
        <w:ind w:left="547" w:hanging="547"/>
        <w:contextualSpacing/>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IACHR, </w:t>
      </w:r>
      <w:hyperlink r:id="rId538" w:history="1">
        <w:r w:rsidRPr="001167CB">
          <w:rPr>
            <w:rStyle w:val="Hyperlink"/>
            <w:rFonts w:asciiTheme="majorHAnsi" w:hAnsiTheme="majorHAnsi" w:cstheme="majorHAnsi"/>
            <w:color w:val="808080" w:themeColor="background1" w:themeShade="80"/>
            <w:sz w:val="16"/>
            <w:szCs w:val="16"/>
          </w:rPr>
          <w:t>2006 Annual Report, Chapter IV, Human Rights Developments in the Region, Venezuela</w:t>
        </w:r>
      </w:hyperlink>
      <w:r w:rsidRPr="001167CB">
        <w:rPr>
          <w:rFonts w:asciiTheme="majorHAnsi" w:hAnsiTheme="majorHAnsi" w:cstheme="majorHAnsi"/>
          <w:color w:val="808080" w:themeColor="background1" w:themeShade="80"/>
          <w:sz w:val="16"/>
          <w:szCs w:val="16"/>
        </w:rPr>
        <w:t xml:space="preserve">, para. 208.  </w:t>
      </w:r>
    </w:p>
  </w:footnote>
  <w:footnote w:id="443">
    <w:p w14:paraId="23297C74" w14:textId="77777777" w:rsidR="005C2394" w:rsidRPr="001167CB" w:rsidRDefault="005C2394" w:rsidP="002C64F8">
      <w:pPr>
        <w:pStyle w:val="FootnoteText"/>
        <w:spacing w:after="40"/>
        <w:ind w:left="547" w:hanging="547"/>
        <w:contextualSpacing/>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IACHR, </w:t>
      </w:r>
      <w:hyperlink r:id="rId539" w:history="1">
        <w:r w:rsidRPr="001167CB">
          <w:rPr>
            <w:rStyle w:val="Hyperlink"/>
            <w:rFonts w:asciiTheme="majorHAnsi" w:hAnsiTheme="majorHAnsi" w:cstheme="majorHAnsi"/>
            <w:color w:val="808080" w:themeColor="background1" w:themeShade="80"/>
            <w:sz w:val="16"/>
            <w:szCs w:val="16"/>
          </w:rPr>
          <w:t xml:space="preserve">Annual Report 2015, Chapter IV </w:t>
        </w:r>
        <w:proofErr w:type="gramStart"/>
        <w:r w:rsidRPr="001167CB">
          <w:rPr>
            <w:rStyle w:val="Hyperlink"/>
            <w:rFonts w:asciiTheme="majorHAnsi" w:hAnsiTheme="majorHAnsi" w:cstheme="majorHAnsi"/>
            <w:color w:val="808080" w:themeColor="background1" w:themeShade="80"/>
            <w:sz w:val="16"/>
            <w:szCs w:val="16"/>
          </w:rPr>
          <w:t>The</w:t>
        </w:r>
        <w:proofErr w:type="gramEnd"/>
        <w:r w:rsidRPr="001167CB">
          <w:rPr>
            <w:rStyle w:val="Hyperlink"/>
            <w:rFonts w:asciiTheme="majorHAnsi" w:hAnsiTheme="majorHAnsi" w:cstheme="majorHAnsi"/>
            <w:color w:val="808080" w:themeColor="background1" w:themeShade="80"/>
            <w:sz w:val="16"/>
            <w:szCs w:val="16"/>
          </w:rPr>
          <w:t xml:space="preserve"> Use of Force</w:t>
        </w:r>
      </w:hyperlink>
      <w:r w:rsidRPr="001167CB">
        <w:rPr>
          <w:rFonts w:asciiTheme="majorHAnsi" w:hAnsiTheme="majorHAnsi" w:cstheme="majorHAnsi"/>
          <w: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para. 6.</w:t>
      </w:r>
    </w:p>
  </w:footnote>
  <w:footnote w:id="444">
    <w:p w14:paraId="0998461C" w14:textId="5A5340EB"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American Declaration, Art. I. The ICERD, to which the United States is Party, further establishes the obligation to eliminate racial discrimination in all forms in the enjoyment of “The right to security of person and protection by the State against violence or bodily harm, whether inflicted by government officials or by any individual, group, or institution.” Article 5.b.</w:t>
      </w:r>
    </w:p>
  </w:footnote>
  <w:footnote w:id="445">
    <w:p w14:paraId="31C65D17"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American Declaration, Art. II.</w:t>
      </w:r>
    </w:p>
  </w:footnote>
  <w:footnote w:id="446">
    <w:p w14:paraId="21EE08AF"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American Declaration, Art. XXVI.</w:t>
      </w:r>
    </w:p>
  </w:footnote>
  <w:footnote w:id="447">
    <w:p w14:paraId="43CFE66F"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Convention </w:t>
      </w:r>
      <w:proofErr w:type="gramStart"/>
      <w:r w:rsidRPr="001167CB">
        <w:rPr>
          <w:rFonts w:asciiTheme="majorHAnsi" w:hAnsiTheme="majorHAnsi" w:cstheme="majorHAnsi"/>
          <w:color w:val="808080" w:themeColor="background1" w:themeShade="80"/>
          <w:sz w:val="16"/>
          <w:szCs w:val="16"/>
        </w:rPr>
        <w:t>Against</w:t>
      </w:r>
      <w:proofErr w:type="gramEnd"/>
      <w:r w:rsidRPr="001167CB">
        <w:rPr>
          <w:rFonts w:asciiTheme="majorHAnsi" w:hAnsiTheme="majorHAnsi" w:cstheme="majorHAnsi"/>
          <w:color w:val="808080" w:themeColor="background1" w:themeShade="80"/>
          <w:sz w:val="16"/>
          <w:szCs w:val="16"/>
        </w:rPr>
        <w:t xml:space="preserve"> Torture, Art. I.</w:t>
      </w:r>
    </w:p>
  </w:footnote>
  <w:footnote w:id="448">
    <w:p w14:paraId="19C80765"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IACHR, </w:t>
      </w:r>
      <w:hyperlink r:id="rId540" w:history="1">
        <w:r w:rsidRPr="001167CB">
          <w:rPr>
            <w:rStyle w:val="Hyperlink"/>
            <w:rFonts w:asciiTheme="majorHAnsi" w:hAnsiTheme="majorHAnsi" w:cstheme="majorHAnsi"/>
            <w:color w:val="808080" w:themeColor="background1" w:themeShade="80"/>
            <w:sz w:val="16"/>
            <w:szCs w:val="16"/>
          </w:rPr>
          <w:t xml:space="preserve">Annual Report 2015, Chapter IV </w:t>
        </w:r>
        <w:proofErr w:type="gramStart"/>
        <w:r w:rsidRPr="001167CB">
          <w:rPr>
            <w:rStyle w:val="Hyperlink"/>
            <w:rFonts w:asciiTheme="majorHAnsi" w:hAnsiTheme="majorHAnsi" w:cstheme="majorHAnsi"/>
            <w:color w:val="808080" w:themeColor="background1" w:themeShade="80"/>
            <w:sz w:val="16"/>
            <w:szCs w:val="16"/>
          </w:rPr>
          <w:t>The</w:t>
        </w:r>
        <w:proofErr w:type="gramEnd"/>
        <w:r w:rsidRPr="001167CB">
          <w:rPr>
            <w:rStyle w:val="Hyperlink"/>
            <w:rFonts w:asciiTheme="majorHAnsi" w:hAnsiTheme="majorHAnsi" w:cstheme="majorHAnsi"/>
            <w:color w:val="808080" w:themeColor="background1" w:themeShade="80"/>
            <w:sz w:val="16"/>
            <w:szCs w:val="16"/>
          </w:rPr>
          <w:t xml:space="preserve"> Use of Force</w:t>
        </w:r>
      </w:hyperlink>
      <w:r w:rsidRPr="001167CB">
        <w:rPr>
          <w:rFonts w:asciiTheme="majorHAnsi" w:hAnsiTheme="majorHAnsi" w:cstheme="majorHAnsi"/>
          <w: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 xml:space="preserve">para. 6 (citing IACHR, Report No. 26/09, Case 12.440, Admissibility and Merits, </w:t>
      </w:r>
      <w:hyperlink r:id="rId541" w:history="1">
        <w:r w:rsidRPr="001167CB">
          <w:rPr>
            <w:rStyle w:val="Hyperlink"/>
            <w:rFonts w:asciiTheme="majorHAnsi" w:hAnsiTheme="majorHAnsi" w:cstheme="majorHAnsi"/>
            <w:color w:val="808080" w:themeColor="background1" w:themeShade="80"/>
            <w:sz w:val="16"/>
            <w:szCs w:val="16"/>
          </w:rPr>
          <w:t>Wallace de Almeida</w:t>
        </w:r>
      </w:hyperlink>
      <w:r w:rsidRPr="001167CB">
        <w:rPr>
          <w:rFonts w:asciiTheme="majorHAnsi" w:hAnsiTheme="majorHAnsi" w:cstheme="majorHAnsi"/>
          <w:color w:val="808080" w:themeColor="background1" w:themeShade="80"/>
          <w:sz w:val="16"/>
          <w:szCs w:val="16"/>
        </w:rPr>
        <w:t xml:space="preserve"> (Brazil), Mar. 20, 2009, paras. 102-103, 105; Report No. 43/08, Merits</w:t>
      </w:r>
      <w:hyperlink r:id="rId542" w:history="1">
        <w:r w:rsidRPr="001167CB">
          <w:rPr>
            <w:rStyle w:val="Hyperlink"/>
            <w:rFonts w:asciiTheme="majorHAnsi" w:hAnsiTheme="majorHAnsi" w:cstheme="majorHAnsi"/>
            <w:color w:val="808080" w:themeColor="background1" w:themeShade="80"/>
            <w:sz w:val="16"/>
            <w:szCs w:val="16"/>
          </w:rPr>
          <w:t xml:space="preserve">, </w:t>
        </w:r>
        <w:proofErr w:type="spellStart"/>
        <w:r w:rsidRPr="001167CB">
          <w:rPr>
            <w:rStyle w:val="Hyperlink"/>
            <w:rFonts w:asciiTheme="majorHAnsi" w:hAnsiTheme="majorHAnsi" w:cstheme="majorHAnsi"/>
            <w:color w:val="808080" w:themeColor="background1" w:themeShade="80"/>
            <w:sz w:val="16"/>
            <w:szCs w:val="16"/>
          </w:rPr>
          <w:t>Leydi</w:t>
        </w:r>
        <w:proofErr w:type="spellEnd"/>
        <w:r w:rsidRPr="001167CB">
          <w:rPr>
            <w:rStyle w:val="Hyperlink"/>
            <w:rFonts w:asciiTheme="majorHAnsi" w:hAnsiTheme="majorHAnsi" w:cstheme="majorHAnsi"/>
            <w:color w:val="808080" w:themeColor="background1" w:themeShade="80"/>
            <w:sz w:val="16"/>
            <w:szCs w:val="16"/>
          </w:rPr>
          <w:t xml:space="preserve"> </w:t>
        </w:r>
        <w:proofErr w:type="spellStart"/>
        <w:r w:rsidRPr="001167CB">
          <w:rPr>
            <w:rStyle w:val="Hyperlink"/>
            <w:rFonts w:asciiTheme="majorHAnsi" w:hAnsiTheme="majorHAnsi" w:cstheme="majorHAnsi"/>
            <w:color w:val="808080" w:themeColor="background1" w:themeShade="80"/>
            <w:sz w:val="16"/>
            <w:szCs w:val="16"/>
          </w:rPr>
          <w:t>Dayán</w:t>
        </w:r>
        <w:proofErr w:type="spellEnd"/>
        <w:r w:rsidRPr="001167CB">
          <w:rPr>
            <w:rStyle w:val="Hyperlink"/>
            <w:rFonts w:asciiTheme="majorHAnsi" w:hAnsiTheme="majorHAnsi" w:cstheme="majorHAnsi"/>
            <w:color w:val="808080" w:themeColor="background1" w:themeShade="80"/>
            <w:sz w:val="16"/>
            <w:szCs w:val="16"/>
          </w:rPr>
          <w:t xml:space="preserve"> Sánchez</w:t>
        </w:r>
      </w:hyperlink>
      <w:r w:rsidRPr="001167CB">
        <w:rPr>
          <w:rFonts w:asciiTheme="majorHAnsi" w:hAnsiTheme="majorHAnsi" w:cstheme="majorHAnsi"/>
          <w:color w:val="808080" w:themeColor="background1" w:themeShade="80"/>
          <w:sz w:val="16"/>
          <w:szCs w:val="16"/>
        </w:rPr>
        <w:t xml:space="preserve"> (Colombia), July 23, 2008, paras. 51, 54-56; Report No. 92/05, Merits, </w:t>
      </w:r>
      <w:hyperlink r:id="rId543" w:history="1">
        <w:r w:rsidRPr="001167CB">
          <w:rPr>
            <w:rStyle w:val="Hyperlink"/>
            <w:rFonts w:asciiTheme="majorHAnsi" w:hAnsiTheme="majorHAnsi" w:cstheme="majorHAnsi"/>
            <w:color w:val="808080" w:themeColor="background1" w:themeShade="80"/>
            <w:sz w:val="16"/>
            <w:szCs w:val="16"/>
          </w:rPr>
          <w:t>Michael Gayle</w:t>
        </w:r>
      </w:hyperlink>
      <w:r w:rsidRPr="001167CB">
        <w:rPr>
          <w:rFonts w:asciiTheme="majorHAnsi" w:hAnsiTheme="majorHAnsi" w:cstheme="majorHAnsi"/>
          <w:color w:val="808080" w:themeColor="background1" w:themeShade="80"/>
          <w:sz w:val="16"/>
          <w:szCs w:val="16"/>
        </w:rPr>
        <w:t xml:space="preserve"> (Jamaica), </w:t>
      </w:r>
      <w:r w:rsidRPr="001167CB">
        <w:rPr>
          <w:rFonts w:asciiTheme="majorHAnsi" w:hAnsiTheme="majorHAnsi" w:cstheme="majorHAnsi"/>
          <w:bCs/>
          <w:color w:val="808080" w:themeColor="background1" w:themeShade="80"/>
          <w:sz w:val="16"/>
          <w:szCs w:val="16"/>
        </w:rPr>
        <w:t xml:space="preserve">Oct. </w:t>
      </w:r>
      <w:r w:rsidRPr="001167CB">
        <w:rPr>
          <w:rFonts w:asciiTheme="majorHAnsi" w:hAnsiTheme="majorHAnsi" w:cstheme="majorHAnsi"/>
          <w:color w:val="808080" w:themeColor="background1" w:themeShade="80"/>
          <w:sz w:val="16"/>
          <w:szCs w:val="16"/>
        </w:rPr>
        <w:t>24, 2005, paras. 61-64).</w:t>
      </w:r>
    </w:p>
  </w:footnote>
  <w:footnote w:id="449">
    <w:p w14:paraId="29D063B7"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IACHR</w:t>
      </w:r>
      <w:r w:rsidRPr="001167CB">
        <w:rPr>
          <w:rFonts w:asciiTheme="majorHAnsi" w:hAnsiTheme="majorHAnsi" w:cstheme="majorHAnsi"/>
          <w:i/>
          <w:color w:val="808080" w:themeColor="background1" w:themeShade="80"/>
          <w:sz w:val="16"/>
          <w:szCs w:val="16"/>
        </w:rPr>
        <w:t xml:space="preserve">, </w:t>
      </w:r>
      <w:hyperlink r:id="rId544" w:history="1">
        <w:r w:rsidRPr="001167CB">
          <w:rPr>
            <w:rStyle w:val="Hyperlink"/>
            <w:rFonts w:asciiTheme="majorHAnsi" w:hAnsiTheme="majorHAnsi" w:cstheme="majorHAnsi"/>
            <w:color w:val="808080" w:themeColor="background1" w:themeShade="80"/>
            <w:sz w:val="16"/>
            <w:szCs w:val="16"/>
          </w:rPr>
          <w:t xml:space="preserve">Annual Report 2015, Chapter IV </w:t>
        </w:r>
        <w:proofErr w:type="gramStart"/>
        <w:r w:rsidRPr="001167CB">
          <w:rPr>
            <w:rStyle w:val="Hyperlink"/>
            <w:rFonts w:asciiTheme="majorHAnsi" w:hAnsiTheme="majorHAnsi" w:cstheme="majorHAnsi"/>
            <w:color w:val="808080" w:themeColor="background1" w:themeShade="80"/>
            <w:sz w:val="16"/>
            <w:szCs w:val="16"/>
          </w:rPr>
          <w:t>The</w:t>
        </w:r>
        <w:proofErr w:type="gramEnd"/>
        <w:r w:rsidRPr="001167CB">
          <w:rPr>
            <w:rStyle w:val="Hyperlink"/>
            <w:rFonts w:asciiTheme="majorHAnsi" w:hAnsiTheme="majorHAnsi" w:cstheme="majorHAnsi"/>
            <w:color w:val="808080" w:themeColor="background1" w:themeShade="80"/>
            <w:sz w:val="16"/>
            <w:szCs w:val="16"/>
          </w:rPr>
          <w:t xml:space="preserve"> Use of Force</w:t>
        </w:r>
      </w:hyperlink>
      <w:r w:rsidRPr="001167CB">
        <w:rPr>
          <w:rFonts w:asciiTheme="majorHAnsi" w:hAnsiTheme="majorHAnsi" w:cstheme="majorHAnsi"/>
          <w:color w:val="808080" w:themeColor="background1" w:themeShade="80"/>
          <w:sz w:val="16"/>
          <w:szCs w:val="16"/>
        </w:rPr>
        <w:t xml:space="preserve">, para. 7-9; </w:t>
      </w:r>
      <w:hyperlink r:id="rId545" w:history="1">
        <w:r w:rsidRPr="001167CB">
          <w:rPr>
            <w:rStyle w:val="Hyperlink"/>
            <w:rFonts w:asciiTheme="majorHAnsi" w:hAnsiTheme="majorHAnsi" w:cstheme="majorHAnsi"/>
            <w:color w:val="808080" w:themeColor="background1" w:themeShade="80"/>
            <w:sz w:val="16"/>
            <w:szCs w:val="16"/>
          </w:rPr>
          <w:t>Report on Terrorism and Human Rights</w:t>
        </w:r>
      </w:hyperlink>
      <w:r w:rsidRPr="001167CB">
        <w:rPr>
          <w:rFonts w:asciiTheme="majorHAnsi" w:hAnsiTheme="majorHAnsi" w:cstheme="majorHAnsi"/>
          <w:color w:val="808080" w:themeColor="background1" w:themeShade="80"/>
          <w:sz w:val="16"/>
          <w:szCs w:val="16"/>
        </w:rPr>
        <w:t>, OEA/</w:t>
      </w:r>
      <w:proofErr w:type="spellStart"/>
      <w:r w:rsidRPr="001167CB">
        <w:rPr>
          <w:rFonts w:asciiTheme="majorHAnsi" w:hAnsiTheme="majorHAnsi" w:cstheme="majorHAnsi"/>
          <w:color w:val="808080" w:themeColor="background1" w:themeShade="80"/>
          <w:sz w:val="16"/>
          <w:szCs w:val="16"/>
        </w:rPr>
        <w:t>Ser.L</w:t>
      </w:r>
      <w:proofErr w:type="spellEnd"/>
      <w:r w:rsidRPr="001167CB">
        <w:rPr>
          <w:rFonts w:asciiTheme="majorHAnsi" w:hAnsiTheme="majorHAnsi" w:cstheme="majorHAnsi"/>
          <w:color w:val="808080" w:themeColor="background1" w:themeShade="80"/>
          <w:sz w:val="16"/>
          <w:szCs w:val="16"/>
        </w:rPr>
        <w:t xml:space="preserve">/V/II.116 Doc.5, </w:t>
      </w:r>
      <w:r w:rsidRPr="001167CB">
        <w:rPr>
          <w:rFonts w:asciiTheme="majorHAnsi" w:hAnsiTheme="majorHAnsi" w:cstheme="majorHAnsi"/>
          <w:bCs/>
          <w:color w:val="808080" w:themeColor="background1" w:themeShade="80"/>
          <w:sz w:val="16"/>
          <w:szCs w:val="16"/>
        </w:rPr>
        <w:t xml:space="preserve">Oct. </w:t>
      </w:r>
      <w:r w:rsidRPr="001167CB">
        <w:rPr>
          <w:rFonts w:asciiTheme="majorHAnsi" w:hAnsiTheme="majorHAnsi" w:cstheme="majorHAnsi"/>
          <w:color w:val="808080" w:themeColor="background1" w:themeShade="80"/>
          <w:sz w:val="16"/>
          <w:szCs w:val="16"/>
        </w:rPr>
        <w:t xml:space="preserve">2, 2002, para. 87; </w:t>
      </w:r>
      <w:hyperlink r:id="rId546" w:history="1">
        <w:r w:rsidRPr="001167CB">
          <w:rPr>
            <w:rStyle w:val="Hyperlink"/>
            <w:rFonts w:asciiTheme="majorHAnsi" w:hAnsiTheme="majorHAnsi" w:cstheme="majorHAnsi"/>
            <w:color w:val="808080" w:themeColor="background1" w:themeShade="80"/>
            <w:sz w:val="16"/>
            <w:szCs w:val="16"/>
          </w:rPr>
          <w:t>Citizen Security and Human Rights</w:t>
        </w:r>
      </w:hyperlink>
      <w:r w:rsidRPr="001167CB">
        <w:rPr>
          <w:rFonts w:asciiTheme="majorHAnsi" w:hAnsiTheme="majorHAnsi" w:cstheme="majorHAnsi"/>
          <w:color w:val="808080" w:themeColor="background1" w:themeShade="80"/>
          <w:sz w:val="16"/>
          <w:szCs w:val="16"/>
        </w:rPr>
        <w:t xml:space="preserve"> (2009), para. 114; IACHR, Office of the Special Rapporteur for Freedom of Expression, </w:t>
      </w:r>
      <w:hyperlink r:id="rId547" w:history="1">
        <w:r w:rsidRPr="001167CB">
          <w:rPr>
            <w:rStyle w:val="Hyperlink"/>
            <w:rFonts w:asciiTheme="majorHAnsi" w:hAnsiTheme="majorHAnsi" w:cstheme="majorHAnsi"/>
            <w:color w:val="808080" w:themeColor="background1" w:themeShade="80"/>
            <w:sz w:val="16"/>
            <w:szCs w:val="16"/>
          </w:rPr>
          <w:t>Annual Report of the Office of the Special Rapporteur for Freedom of Expression</w:t>
        </w:r>
      </w:hyperlink>
      <w:r w:rsidRPr="001167CB">
        <w:rPr>
          <w:rFonts w:asciiTheme="majorHAnsi" w:hAnsiTheme="majorHAnsi" w:cstheme="majorHAnsi"/>
          <w:i/>
          <w:color w:val="808080" w:themeColor="background1" w:themeShade="80"/>
          <w:sz w:val="16"/>
          <w:szCs w:val="16"/>
        </w:rPr>
        <w:t>,</w:t>
      </w:r>
      <w:r w:rsidRPr="001167CB">
        <w:rPr>
          <w:rFonts w:asciiTheme="majorHAnsi" w:hAnsiTheme="majorHAnsi" w:cstheme="majorHAnsi"/>
          <w:color w:val="808080" w:themeColor="background1" w:themeShade="80"/>
          <w:sz w:val="16"/>
          <w:szCs w:val="16"/>
        </w:rPr>
        <w:t xml:space="preserve"> OEA/</w:t>
      </w:r>
      <w:proofErr w:type="spellStart"/>
      <w:r w:rsidRPr="001167CB">
        <w:rPr>
          <w:rFonts w:asciiTheme="majorHAnsi" w:hAnsiTheme="majorHAnsi" w:cstheme="majorHAnsi"/>
          <w:color w:val="808080" w:themeColor="background1" w:themeShade="80"/>
          <w:sz w:val="16"/>
          <w:szCs w:val="16"/>
        </w:rPr>
        <w:t>Ser.L</w:t>
      </w:r>
      <w:proofErr w:type="spellEnd"/>
      <w:r w:rsidRPr="001167CB">
        <w:rPr>
          <w:rFonts w:asciiTheme="majorHAnsi" w:hAnsiTheme="majorHAnsi" w:cstheme="majorHAnsi"/>
          <w:color w:val="808080" w:themeColor="background1" w:themeShade="80"/>
          <w:sz w:val="16"/>
          <w:szCs w:val="16"/>
        </w:rPr>
        <w:t>/V/II. Doc. 48/15, Dec. 31, 2015, para. 621.</w:t>
      </w:r>
    </w:p>
  </w:footnote>
  <w:footnote w:id="450">
    <w:p w14:paraId="3A8E3BE6"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eastAsia="Times New Roman" w:hAnsiTheme="majorHAnsi" w:cstheme="majorHAnsi"/>
          <w:bCs/>
          <w:color w:val="808080" w:themeColor="background1" w:themeShade="80"/>
          <w:sz w:val="16"/>
          <w:szCs w:val="16"/>
          <w:lang w:eastAsia="es-ES"/>
        </w:rPr>
        <w:t xml:space="preserve">IACHR, </w:t>
      </w:r>
      <w:hyperlink r:id="rId548" w:history="1">
        <w:r w:rsidRPr="001167CB">
          <w:rPr>
            <w:rStyle w:val="Hyperlink"/>
            <w:rFonts w:asciiTheme="majorHAnsi" w:eastAsia="Times New Roman" w:hAnsiTheme="majorHAnsi" w:cstheme="majorHAnsi"/>
            <w:bCs/>
            <w:color w:val="808080" w:themeColor="background1" w:themeShade="80"/>
            <w:sz w:val="16"/>
            <w:szCs w:val="16"/>
            <w:lang w:eastAsia="es-ES"/>
          </w:rPr>
          <w:t>People of African Descent in the Americas</w:t>
        </w:r>
      </w:hyperlink>
      <w:r w:rsidRPr="001167CB">
        <w:rPr>
          <w:rFonts w:asciiTheme="majorHAnsi" w:eastAsia="Times New Roman" w:hAnsiTheme="majorHAnsi" w:cstheme="majorHAnsi"/>
          <w:bCs/>
          <w:color w:val="808080" w:themeColor="background1" w:themeShade="80"/>
          <w:sz w:val="16"/>
          <w:szCs w:val="16"/>
          <w:lang w:eastAsia="es-ES"/>
        </w:rPr>
        <w:t xml:space="preserve"> (2011)</w:t>
      </w:r>
      <w:r w:rsidRPr="001167CB">
        <w:rPr>
          <w:rFonts w:asciiTheme="majorHAnsi" w:eastAsia="Times New Roman" w:hAnsiTheme="majorHAnsi" w:cstheme="majorHAnsi"/>
          <w:color w:val="808080" w:themeColor="background1" w:themeShade="80"/>
          <w:sz w:val="16"/>
          <w:szCs w:val="16"/>
          <w:lang w:eastAsia="es-ES"/>
        </w:rPr>
        <w:t xml:space="preserve">, paras. </w:t>
      </w:r>
      <w:r w:rsidRPr="001167CB">
        <w:rPr>
          <w:rFonts w:asciiTheme="majorHAnsi" w:hAnsiTheme="majorHAnsi" w:cstheme="majorHAnsi"/>
          <w:color w:val="808080" w:themeColor="background1" w:themeShade="80"/>
          <w:sz w:val="16"/>
          <w:szCs w:val="16"/>
        </w:rPr>
        <w:t>163-164.</w:t>
      </w:r>
    </w:p>
  </w:footnote>
  <w:footnote w:id="451">
    <w:p w14:paraId="7D9CA6EA"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hyperlink r:id="rId549" w:history="1">
        <w:r w:rsidRPr="001167CB">
          <w:rPr>
            <w:rStyle w:val="Hyperlink"/>
            <w:rFonts w:asciiTheme="majorHAnsi" w:eastAsia="Times New Roman" w:hAnsiTheme="majorHAnsi" w:cstheme="majorHAnsi"/>
            <w:color w:val="808080" w:themeColor="background1" w:themeShade="80"/>
            <w:sz w:val="16"/>
            <w:szCs w:val="16"/>
            <w:lang w:eastAsia="es-ES"/>
          </w:rPr>
          <w:t>U.N. Code of Conduct for Law Enforcement Officials</w:t>
        </w:r>
      </w:hyperlink>
      <w:r w:rsidRPr="001167CB">
        <w:rPr>
          <w:rFonts w:asciiTheme="majorHAnsi" w:eastAsia="Times New Roman" w:hAnsiTheme="majorHAnsi" w:cstheme="majorHAnsi"/>
          <w:color w:val="808080" w:themeColor="background1" w:themeShade="80"/>
          <w:sz w:val="16"/>
          <w:szCs w:val="16"/>
          <w:lang w:eastAsia="es-ES"/>
        </w:rPr>
        <w:t xml:space="preserve"> [hereinafter “UN Code of Conduct”], adopted by General Assembly resolution 34/169 of 17 December 1979; </w:t>
      </w:r>
      <w:hyperlink r:id="rId550" w:history="1">
        <w:r w:rsidRPr="001167CB">
          <w:rPr>
            <w:rStyle w:val="Hyperlink"/>
            <w:rFonts w:asciiTheme="majorHAnsi" w:eastAsia="Times New Roman" w:hAnsiTheme="majorHAnsi" w:cstheme="majorHAnsi"/>
            <w:color w:val="808080" w:themeColor="background1" w:themeShade="80"/>
            <w:sz w:val="16"/>
            <w:szCs w:val="16"/>
            <w:lang w:eastAsia="es-ES"/>
          </w:rPr>
          <w:t>U.N. Basic Principles on the Use of Force and Firearms by Law Enforcement Officials</w:t>
        </w:r>
      </w:hyperlink>
      <w:r w:rsidRPr="001167CB">
        <w:rPr>
          <w:rFonts w:asciiTheme="majorHAnsi" w:eastAsia="Times New Roman" w:hAnsiTheme="majorHAnsi" w:cstheme="majorHAnsi"/>
          <w:color w:val="808080" w:themeColor="background1" w:themeShade="80"/>
          <w:sz w:val="16"/>
          <w:szCs w:val="16"/>
          <w:lang w:eastAsia="es-ES"/>
        </w:rPr>
        <w:t xml:space="preserve"> [hereinafter “UN Basic Principles on the Use of Force”], adopted by the Eighth United Nations Congress on the Prevention of Crime and the Treatment of Offenders, Havana, Cuba, 27 August to 7 September 1990.</w:t>
      </w:r>
    </w:p>
  </w:footnote>
  <w:footnote w:id="452">
    <w:p w14:paraId="7DBC6055"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hyperlink r:id="rId551" w:history="1">
        <w:r w:rsidRPr="001167CB">
          <w:rPr>
            <w:rStyle w:val="Hyperlink"/>
            <w:rFonts w:asciiTheme="majorHAnsi" w:hAnsiTheme="majorHAnsi" w:cstheme="majorHAnsi"/>
            <w:bCs/>
            <w:color w:val="808080" w:themeColor="background1" w:themeShade="80"/>
            <w:sz w:val="16"/>
            <w:szCs w:val="16"/>
          </w:rPr>
          <w:t>U.N. Basic Principles on the Use of Force</w:t>
        </w:r>
      </w:hyperlink>
      <w:r w:rsidRPr="001167CB">
        <w:rPr>
          <w:rFonts w:asciiTheme="majorHAnsi" w:hAnsiTheme="majorHAnsi" w:cstheme="majorHAnsi"/>
          <w:bCs/>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 xml:space="preserve">No. 9 (cited in IACHR, </w:t>
      </w:r>
      <w:hyperlink r:id="rId552" w:history="1">
        <w:r w:rsidRPr="001167CB">
          <w:rPr>
            <w:rStyle w:val="Hyperlink"/>
            <w:rFonts w:asciiTheme="majorHAnsi" w:hAnsiTheme="majorHAnsi" w:cstheme="majorHAnsi"/>
            <w:color w:val="808080" w:themeColor="background1" w:themeShade="80"/>
            <w:sz w:val="16"/>
            <w:szCs w:val="16"/>
          </w:rPr>
          <w:t>Annual Report 2015, Chapter IV The Use of Force</w:t>
        </w:r>
      </w:hyperlink>
      <w:r w:rsidRPr="001167CB">
        <w:rPr>
          <w:rFonts w:asciiTheme="majorHAnsi" w:hAnsiTheme="majorHAnsi" w:cstheme="majorHAnsi"/>
          <w:color w:val="808080" w:themeColor="background1" w:themeShade="80"/>
          <w:sz w:val="16"/>
          <w:szCs w:val="16"/>
        </w:rPr>
        <w:t>, para. 7).</w:t>
      </w:r>
    </w:p>
  </w:footnote>
  <w:footnote w:id="453">
    <w:p w14:paraId="3EC88A80"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IACHR, </w:t>
      </w:r>
      <w:hyperlink r:id="rId553" w:history="1">
        <w:r w:rsidRPr="001167CB">
          <w:rPr>
            <w:rStyle w:val="Hyperlink"/>
            <w:rFonts w:asciiTheme="majorHAnsi" w:hAnsiTheme="majorHAnsi" w:cstheme="majorHAnsi"/>
            <w:color w:val="808080" w:themeColor="background1" w:themeShade="80"/>
            <w:sz w:val="16"/>
            <w:szCs w:val="16"/>
          </w:rPr>
          <w:t xml:space="preserve">Annual Report 2015, Chapter IV </w:t>
        </w:r>
        <w:proofErr w:type="gramStart"/>
        <w:r w:rsidRPr="001167CB">
          <w:rPr>
            <w:rStyle w:val="Hyperlink"/>
            <w:rFonts w:asciiTheme="majorHAnsi" w:hAnsiTheme="majorHAnsi" w:cstheme="majorHAnsi"/>
            <w:color w:val="808080" w:themeColor="background1" w:themeShade="80"/>
            <w:sz w:val="16"/>
            <w:szCs w:val="16"/>
          </w:rPr>
          <w:t>The</w:t>
        </w:r>
        <w:proofErr w:type="gramEnd"/>
        <w:r w:rsidRPr="001167CB">
          <w:rPr>
            <w:rStyle w:val="Hyperlink"/>
            <w:rFonts w:asciiTheme="majorHAnsi" w:hAnsiTheme="majorHAnsi" w:cstheme="majorHAnsi"/>
            <w:color w:val="808080" w:themeColor="background1" w:themeShade="80"/>
            <w:sz w:val="16"/>
            <w:szCs w:val="16"/>
          </w:rPr>
          <w:t xml:space="preserve"> Use of Force</w:t>
        </w:r>
      </w:hyperlink>
      <w:r w:rsidRPr="001167CB">
        <w:rPr>
          <w:rFonts w:asciiTheme="majorHAnsi" w:hAnsiTheme="majorHAnsi" w:cstheme="majorHAnsi"/>
          <w:color w:val="808080" w:themeColor="background1" w:themeShade="80"/>
          <w:sz w:val="16"/>
          <w:szCs w:val="16"/>
        </w:rPr>
        <w:t xml:space="preserve">, para. 9 (citing United Nations, </w:t>
      </w:r>
      <w:r w:rsidRPr="001167CB">
        <w:rPr>
          <w:rFonts w:asciiTheme="majorHAnsi" w:hAnsiTheme="majorHAnsi" w:cstheme="majorHAnsi"/>
          <w:i/>
          <w:color w:val="808080" w:themeColor="background1" w:themeShade="80"/>
          <w:sz w:val="16"/>
          <w:szCs w:val="16"/>
        </w:rPr>
        <w:t>Basic Principles on the Use of Force and Firearms by Law Enforcement Officials</w:t>
      </w:r>
      <w:r w:rsidRPr="001167CB">
        <w:rPr>
          <w:rFonts w:asciiTheme="majorHAnsi" w:hAnsiTheme="majorHAnsi" w:cstheme="majorHAnsi"/>
          <w:color w:val="808080" w:themeColor="background1" w:themeShade="80"/>
          <w:sz w:val="16"/>
          <w:szCs w:val="16"/>
        </w:rPr>
        <w:t xml:space="preserve">, No. 20). </w:t>
      </w:r>
      <w:r w:rsidRPr="001167CB">
        <w:rPr>
          <w:rFonts w:asciiTheme="majorHAnsi" w:hAnsiTheme="majorHAnsi" w:cstheme="majorHAnsi"/>
          <w:i/>
          <w:color w:val="808080" w:themeColor="background1" w:themeShade="80"/>
          <w:sz w:val="16"/>
          <w:szCs w:val="16"/>
        </w:rPr>
        <w:t>See also</w:t>
      </w:r>
      <w:r w:rsidRPr="001167CB">
        <w:rPr>
          <w:rFonts w:asciiTheme="majorHAnsi" w:hAnsiTheme="majorHAnsi" w:cstheme="majorHAnsi"/>
          <w:color w:val="808080" w:themeColor="background1" w:themeShade="80"/>
          <w:sz w:val="16"/>
          <w:szCs w:val="16"/>
        </w:rPr>
        <w:t xml:space="preserve"> </w:t>
      </w:r>
      <w:r w:rsidRPr="001167CB">
        <w:rPr>
          <w:rFonts w:asciiTheme="majorHAnsi" w:eastAsia="Times New Roman" w:hAnsiTheme="majorHAnsi" w:cstheme="majorHAnsi"/>
          <w:bCs/>
          <w:color w:val="808080" w:themeColor="background1" w:themeShade="80"/>
          <w:sz w:val="16"/>
          <w:szCs w:val="16"/>
          <w:lang w:eastAsia="es-ES"/>
        </w:rPr>
        <w:t xml:space="preserve">IACHR, </w:t>
      </w:r>
      <w:hyperlink r:id="rId554" w:history="1">
        <w:r w:rsidRPr="001167CB">
          <w:rPr>
            <w:rStyle w:val="Hyperlink"/>
            <w:rFonts w:asciiTheme="majorHAnsi" w:eastAsia="Times New Roman" w:hAnsiTheme="majorHAnsi" w:cstheme="majorHAnsi"/>
            <w:bCs/>
            <w:color w:val="808080" w:themeColor="background1" w:themeShade="80"/>
            <w:sz w:val="16"/>
            <w:szCs w:val="16"/>
            <w:lang w:eastAsia="es-ES"/>
          </w:rPr>
          <w:t>People of African Descent in the Americas</w:t>
        </w:r>
      </w:hyperlink>
      <w:r w:rsidRPr="001167CB">
        <w:rPr>
          <w:rFonts w:asciiTheme="majorHAnsi" w:eastAsia="Times New Roman" w:hAnsiTheme="majorHAnsi" w:cstheme="majorHAnsi"/>
          <w:bCs/>
          <w:color w:val="808080" w:themeColor="background1" w:themeShade="80"/>
          <w:sz w:val="16"/>
          <w:szCs w:val="16"/>
          <w:lang w:eastAsia="es-ES"/>
        </w:rPr>
        <w:t xml:space="preserve"> (2011)</w:t>
      </w:r>
      <w:r w:rsidRPr="001167CB">
        <w:rPr>
          <w:rFonts w:asciiTheme="majorHAnsi" w:eastAsia="Times New Roman" w:hAnsiTheme="majorHAnsi" w:cstheme="majorHAnsi"/>
          <w:color w:val="808080" w:themeColor="background1" w:themeShade="80"/>
          <w:sz w:val="16"/>
          <w:szCs w:val="16"/>
          <w:lang w:eastAsia="es-ES"/>
        </w:rPr>
        <w:t xml:space="preserve">, para. </w:t>
      </w:r>
      <w:r w:rsidRPr="001167CB">
        <w:rPr>
          <w:rFonts w:asciiTheme="majorHAnsi" w:hAnsiTheme="majorHAnsi" w:cstheme="majorHAnsi"/>
          <w:color w:val="808080" w:themeColor="background1" w:themeShade="80"/>
          <w:sz w:val="16"/>
          <w:szCs w:val="16"/>
        </w:rPr>
        <w:t>178.</w:t>
      </w:r>
    </w:p>
  </w:footnote>
  <w:footnote w:id="454">
    <w:p w14:paraId="2E762073" w14:textId="12330FE6"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IACHR</w:t>
      </w:r>
      <w:r w:rsidRPr="001167CB">
        <w:rPr>
          <w:rFonts w:asciiTheme="majorHAnsi" w:hAnsiTheme="majorHAnsi" w:cstheme="majorHAnsi"/>
          <w:i/>
          <w:color w:val="808080" w:themeColor="background1" w:themeShade="80"/>
          <w:sz w:val="16"/>
          <w:szCs w:val="16"/>
        </w:rPr>
        <w:t xml:space="preserve">, </w:t>
      </w:r>
      <w:hyperlink r:id="rId555" w:history="1">
        <w:r w:rsidRPr="001167CB">
          <w:rPr>
            <w:rStyle w:val="Hyperlink"/>
            <w:rFonts w:asciiTheme="majorHAnsi" w:hAnsiTheme="majorHAnsi" w:cstheme="majorHAnsi"/>
            <w:color w:val="808080" w:themeColor="background1" w:themeShade="80"/>
            <w:sz w:val="16"/>
            <w:szCs w:val="16"/>
          </w:rPr>
          <w:t xml:space="preserve">Annual Report 2015, Chapter IV </w:t>
        </w:r>
        <w:proofErr w:type="gramStart"/>
        <w:r w:rsidRPr="001167CB">
          <w:rPr>
            <w:rStyle w:val="Hyperlink"/>
            <w:rFonts w:asciiTheme="majorHAnsi" w:hAnsiTheme="majorHAnsi" w:cstheme="majorHAnsi"/>
            <w:color w:val="808080" w:themeColor="background1" w:themeShade="80"/>
            <w:sz w:val="16"/>
            <w:szCs w:val="16"/>
          </w:rPr>
          <w:t>The</w:t>
        </w:r>
        <w:proofErr w:type="gramEnd"/>
        <w:r w:rsidRPr="001167CB">
          <w:rPr>
            <w:rStyle w:val="Hyperlink"/>
            <w:rFonts w:asciiTheme="majorHAnsi" w:hAnsiTheme="majorHAnsi" w:cstheme="majorHAnsi"/>
            <w:color w:val="808080" w:themeColor="background1" w:themeShade="80"/>
            <w:sz w:val="16"/>
            <w:szCs w:val="16"/>
          </w:rPr>
          <w:t xml:space="preserve"> Use of Force</w:t>
        </w:r>
      </w:hyperlink>
      <w:r w:rsidRPr="001167CB">
        <w:rPr>
          <w:rFonts w:asciiTheme="majorHAnsi" w:hAnsiTheme="majorHAnsi" w:cstheme="majorHAnsi"/>
          <w:color w:val="808080" w:themeColor="background1" w:themeShade="80"/>
          <w:sz w:val="16"/>
          <w:szCs w:val="16"/>
        </w:rPr>
        <w:t xml:space="preserve">, para. 9 (citing Report of the Special Rapporteur on extrajudicial, summary or arbitrary executions, Christof </w:t>
      </w:r>
      <w:proofErr w:type="spellStart"/>
      <w:r w:rsidRPr="001167CB">
        <w:rPr>
          <w:rFonts w:asciiTheme="majorHAnsi" w:hAnsiTheme="majorHAnsi" w:cstheme="majorHAnsi"/>
          <w:color w:val="808080" w:themeColor="background1" w:themeShade="80"/>
          <w:sz w:val="16"/>
          <w:szCs w:val="16"/>
        </w:rPr>
        <w:t>Heyns</w:t>
      </w:r>
      <w:proofErr w:type="spellEnd"/>
      <w:r w:rsidRPr="001167CB">
        <w:rPr>
          <w:rFonts w:asciiTheme="majorHAnsi" w:hAnsiTheme="majorHAnsi" w:cstheme="majorHAnsi"/>
          <w:color w:val="808080" w:themeColor="background1" w:themeShade="80"/>
          <w:sz w:val="16"/>
          <w:szCs w:val="16"/>
        </w:rPr>
        <w:t>, A/HRC/26/36, Apr. 1, 2014, para. 29).</w:t>
      </w:r>
    </w:p>
  </w:footnote>
  <w:footnote w:id="455">
    <w:p w14:paraId="04C7AE5A"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I/A Ct. H.R., </w:t>
      </w:r>
      <w:proofErr w:type="spellStart"/>
      <w:r w:rsidRPr="001167CB">
        <w:rPr>
          <w:rFonts w:asciiTheme="majorHAnsi" w:hAnsiTheme="majorHAnsi" w:cstheme="majorHAnsi"/>
          <w:i/>
          <w:color w:val="808080" w:themeColor="background1" w:themeShade="80"/>
          <w:sz w:val="16"/>
          <w:szCs w:val="16"/>
        </w:rPr>
        <w:t>Nadege</w:t>
      </w:r>
      <w:proofErr w:type="spellEnd"/>
      <w:r w:rsidRPr="001167CB">
        <w:rPr>
          <w:rFonts w:asciiTheme="majorHAnsi" w:hAnsiTheme="majorHAnsi" w:cstheme="majorHAnsi"/>
          <w:i/>
          <w:color w:val="808080" w:themeColor="background1" w:themeShade="80"/>
          <w:sz w:val="16"/>
          <w:szCs w:val="16"/>
        </w:rPr>
        <w:t xml:space="preserve"> </w:t>
      </w:r>
      <w:proofErr w:type="spellStart"/>
      <w:r w:rsidRPr="001167CB">
        <w:rPr>
          <w:rFonts w:asciiTheme="majorHAnsi" w:hAnsiTheme="majorHAnsi" w:cstheme="majorHAnsi"/>
          <w:i/>
          <w:color w:val="808080" w:themeColor="background1" w:themeShade="80"/>
          <w:sz w:val="16"/>
          <w:szCs w:val="16"/>
        </w:rPr>
        <w:t>Dorzema</w:t>
      </w:r>
      <w:proofErr w:type="spellEnd"/>
      <w:r w:rsidRPr="001167CB">
        <w:rPr>
          <w:rFonts w:asciiTheme="majorHAnsi" w:hAnsiTheme="majorHAnsi" w:cstheme="majorHAnsi"/>
          <w:i/>
          <w:color w:val="808080" w:themeColor="background1" w:themeShade="80"/>
          <w:sz w:val="16"/>
          <w:szCs w:val="16"/>
        </w:rPr>
        <w:t xml:space="preserve"> et al. v. Dominican Republic</w:t>
      </w:r>
      <w:r w:rsidRPr="001167CB">
        <w:rPr>
          <w:rFonts w:asciiTheme="majorHAnsi" w:hAnsiTheme="majorHAnsi" w:cstheme="majorHAnsi"/>
          <w:color w:val="808080" w:themeColor="background1" w:themeShade="80"/>
          <w:sz w:val="16"/>
          <w:szCs w:val="16"/>
        </w:rPr>
        <w:t xml:space="preserve">. Merits, Reparations, and Costs. Judgment of </w:t>
      </w:r>
      <w:r w:rsidRPr="001167CB">
        <w:rPr>
          <w:rFonts w:asciiTheme="majorHAnsi" w:hAnsiTheme="majorHAnsi" w:cstheme="majorHAnsi"/>
          <w:bCs/>
          <w:color w:val="808080" w:themeColor="background1" w:themeShade="80"/>
          <w:sz w:val="16"/>
          <w:szCs w:val="16"/>
        </w:rPr>
        <w:t xml:space="preserve">Oct. </w:t>
      </w:r>
      <w:r w:rsidRPr="001167CB">
        <w:rPr>
          <w:rFonts w:asciiTheme="majorHAnsi" w:hAnsiTheme="majorHAnsi" w:cstheme="majorHAnsi"/>
          <w:color w:val="808080" w:themeColor="background1" w:themeShade="80"/>
          <w:sz w:val="16"/>
          <w:szCs w:val="16"/>
        </w:rPr>
        <w:t>24, 2012, Ser. C No. 251, para. 80 (citation omitted).</w:t>
      </w:r>
    </w:p>
  </w:footnote>
  <w:footnote w:id="456">
    <w:p w14:paraId="7B786C9D"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Id. </w:t>
      </w:r>
    </w:p>
  </w:footnote>
  <w:footnote w:id="457">
    <w:p w14:paraId="55EBAC88"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IACHR, </w:t>
      </w:r>
      <w:hyperlink r:id="rId556" w:history="1">
        <w:r w:rsidRPr="001167CB">
          <w:rPr>
            <w:rStyle w:val="Hyperlink"/>
            <w:rFonts w:asciiTheme="majorHAnsi" w:hAnsiTheme="majorHAnsi" w:cstheme="majorHAnsi"/>
            <w:color w:val="808080" w:themeColor="background1" w:themeShade="80"/>
            <w:sz w:val="16"/>
            <w:szCs w:val="16"/>
          </w:rPr>
          <w:t xml:space="preserve">Annual Report 2015, Chapter IV </w:t>
        </w:r>
        <w:proofErr w:type="gramStart"/>
        <w:r w:rsidRPr="001167CB">
          <w:rPr>
            <w:rStyle w:val="Hyperlink"/>
            <w:rFonts w:asciiTheme="majorHAnsi" w:hAnsiTheme="majorHAnsi" w:cstheme="majorHAnsi"/>
            <w:color w:val="808080" w:themeColor="background1" w:themeShade="80"/>
            <w:sz w:val="16"/>
            <w:szCs w:val="16"/>
          </w:rPr>
          <w:t>The</w:t>
        </w:r>
        <w:proofErr w:type="gramEnd"/>
        <w:r w:rsidRPr="001167CB">
          <w:rPr>
            <w:rStyle w:val="Hyperlink"/>
            <w:rFonts w:asciiTheme="majorHAnsi" w:hAnsiTheme="majorHAnsi" w:cstheme="majorHAnsi"/>
            <w:color w:val="808080" w:themeColor="background1" w:themeShade="80"/>
            <w:sz w:val="16"/>
            <w:szCs w:val="16"/>
          </w:rPr>
          <w:t xml:space="preserve"> Use of Force</w:t>
        </w:r>
      </w:hyperlink>
      <w:r w:rsidRPr="001167CB">
        <w:rPr>
          <w:rFonts w:asciiTheme="majorHAnsi" w:hAnsiTheme="majorHAnsi" w:cstheme="majorHAnsi"/>
          <w:color w:val="808080" w:themeColor="background1" w:themeShade="80"/>
          <w:sz w:val="16"/>
          <w:szCs w:val="16"/>
        </w:rPr>
        <w:t xml:space="preserve">, para. 9 (citing </w:t>
      </w:r>
      <w:hyperlink r:id="rId557" w:history="1">
        <w:r w:rsidRPr="001167CB">
          <w:rPr>
            <w:rStyle w:val="Hyperlink"/>
            <w:rFonts w:asciiTheme="majorHAnsi" w:hAnsiTheme="majorHAnsi" w:cstheme="majorHAnsi"/>
            <w:bCs/>
            <w:color w:val="808080" w:themeColor="background1" w:themeShade="80"/>
            <w:sz w:val="16"/>
            <w:szCs w:val="16"/>
          </w:rPr>
          <w:t>U.N. Basic Principles on the Use of Force</w:t>
        </w:r>
      </w:hyperlink>
      <w:r w:rsidRPr="001167CB">
        <w:rPr>
          <w:rFonts w:asciiTheme="majorHAnsi" w:hAnsiTheme="majorHAnsi" w:cstheme="majorHAnsi"/>
          <w:color w:val="808080" w:themeColor="background1" w:themeShade="80"/>
          <w:sz w:val="16"/>
          <w:szCs w:val="16"/>
        </w:rPr>
        <w:t>).</w:t>
      </w:r>
    </w:p>
  </w:footnote>
  <w:footnote w:id="458">
    <w:p w14:paraId="4D46D404"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IACHR, </w:t>
      </w:r>
      <w:hyperlink r:id="rId558" w:history="1">
        <w:r w:rsidRPr="001167CB">
          <w:rPr>
            <w:rStyle w:val="Hyperlink"/>
            <w:rFonts w:asciiTheme="majorHAnsi" w:hAnsiTheme="majorHAnsi" w:cstheme="majorHAnsi"/>
            <w:color w:val="808080" w:themeColor="background1" w:themeShade="80"/>
            <w:sz w:val="16"/>
            <w:szCs w:val="16"/>
          </w:rPr>
          <w:t xml:space="preserve">Annual Report 2015, Chapter IV </w:t>
        </w:r>
        <w:proofErr w:type="gramStart"/>
        <w:r w:rsidRPr="001167CB">
          <w:rPr>
            <w:rStyle w:val="Hyperlink"/>
            <w:rFonts w:asciiTheme="majorHAnsi" w:hAnsiTheme="majorHAnsi" w:cstheme="majorHAnsi"/>
            <w:color w:val="808080" w:themeColor="background1" w:themeShade="80"/>
            <w:sz w:val="16"/>
            <w:szCs w:val="16"/>
          </w:rPr>
          <w:t>The</w:t>
        </w:r>
        <w:proofErr w:type="gramEnd"/>
        <w:r w:rsidRPr="001167CB">
          <w:rPr>
            <w:rStyle w:val="Hyperlink"/>
            <w:rFonts w:asciiTheme="majorHAnsi" w:hAnsiTheme="majorHAnsi" w:cstheme="majorHAnsi"/>
            <w:color w:val="808080" w:themeColor="background1" w:themeShade="80"/>
            <w:sz w:val="16"/>
            <w:szCs w:val="16"/>
          </w:rPr>
          <w:t xml:space="preserve"> Use of Force</w:t>
        </w:r>
      </w:hyperlink>
      <w:r w:rsidRPr="001167CB">
        <w:rPr>
          <w:rFonts w:asciiTheme="majorHAnsi" w:hAnsiTheme="majorHAnsi" w:cstheme="majorHAnsi"/>
          <w:color w:val="808080" w:themeColor="background1" w:themeShade="80"/>
          <w:sz w:val="16"/>
          <w:szCs w:val="16"/>
        </w:rPr>
        <w:t xml:space="preserve">, para. 10 (citing </w:t>
      </w:r>
      <w:hyperlink r:id="rId559" w:history="1">
        <w:r w:rsidRPr="001167CB">
          <w:rPr>
            <w:rStyle w:val="Hyperlink"/>
            <w:rFonts w:asciiTheme="majorHAnsi" w:hAnsiTheme="majorHAnsi" w:cstheme="majorHAnsi"/>
            <w:bCs/>
            <w:color w:val="808080" w:themeColor="background1" w:themeShade="80"/>
            <w:sz w:val="16"/>
            <w:szCs w:val="16"/>
          </w:rPr>
          <w:t>U.N. Basic Principles on the Use of Force</w:t>
        </w:r>
      </w:hyperlink>
      <w:r w:rsidRPr="001167CB">
        <w:rPr>
          <w:rFonts w:asciiTheme="majorHAnsi" w:hAnsiTheme="majorHAnsi" w:cstheme="majorHAnsi"/>
          <w:bCs/>
          <w:color w:val="808080" w:themeColor="background1" w:themeShade="80"/>
          <w:sz w:val="16"/>
          <w:szCs w:val="16"/>
        </w:rPr>
        <w:t>,</w:t>
      </w:r>
      <w:r w:rsidRPr="001167CB">
        <w:rPr>
          <w:rFonts w:asciiTheme="majorHAnsi" w:hAnsiTheme="majorHAnsi" w:cstheme="majorHAnsi"/>
          <w:color w:val="808080" w:themeColor="background1" w:themeShade="80"/>
          <w:sz w:val="16"/>
          <w:szCs w:val="16"/>
        </w:rPr>
        <w:t xml:space="preserve"> no. 4); </w:t>
      </w:r>
      <w:r w:rsidRPr="001167CB">
        <w:rPr>
          <w:rFonts w:asciiTheme="majorHAnsi" w:hAnsiTheme="majorHAnsi" w:cstheme="majorHAnsi"/>
          <w:i/>
          <w:color w:val="808080" w:themeColor="background1" w:themeShade="80"/>
          <w:sz w:val="16"/>
          <w:szCs w:val="16"/>
        </w:rPr>
        <w:t>see also</w:t>
      </w:r>
      <w:r w:rsidRPr="001167CB">
        <w:rPr>
          <w:rFonts w:asciiTheme="majorHAnsi" w:hAnsiTheme="majorHAnsi" w:cstheme="majorHAnsi"/>
          <w:color w:val="808080" w:themeColor="background1" w:themeShade="80"/>
          <w:sz w:val="16"/>
          <w:szCs w:val="16"/>
        </w:rPr>
        <w:t xml:space="preserve"> IACHR, </w:t>
      </w:r>
      <w:hyperlink r:id="rId560" w:history="1">
        <w:r w:rsidRPr="001167CB">
          <w:rPr>
            <w:rStyle w:val="Hyperlink"/>
            <w:rFonts w:asciiTheme="majorHAnsi" w:hAnsiTheme="majorHAnsi" w:cstheme="majorHAnsi"/>
            <w:color w:val="808080" w:themeColor="background1" w:themeShade="80"/>
            <w:sz w:val="16"/>
            <w:szCs w:val="16"/>
          </w:rPr>
          <w:t>Citizen Security and Human Rights</w:t>
        </w:r>
      </w:hyperlink>
      <w:r w:rsidRPr="001167CB">
        <w:rPr>
          <w:rFonts w:asciiTheme="majorHAnsi" w:hAnsiTheme="majorHAnsi" w:cstheme="majorHAnsi"/>
          <w:color w:val="808080" w:themeColor="background1" w:themeShade="80"/>
          <w:sz w:val="16"/>
          <w:szCs w:val="16"/>
        </w:rPr>
        <w:t xml:space="preserve"> (2009), para. 116.</w:t>
      </w:r>
    </w:p>
  </w:footnote>
  <w:footnote w:id="459">
    <w:p w14:paraId="31408BE6"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IACHR, </w:t>
      </w:r>
      <w:hyperlink r:id="rId561" w:history="1">
        <w:r w:rsidRPr="001167CB">
          <w:rPr>
            <w:rStyle w:val="Hyperlink"/>
            <w:rFonts w:asciiTheme="majorHAnsi" w:hAnsiTheme="majorHAnsi" w:cstheme="majorHAnsi"/>
            <w:color w:val="808080" w:themeColor="background1" w:themeShade="80"/>
            <w:sz w:val="16"/>
            <w:szCs w:val="16"/>
          </w:rPr>
          <w:t xml:space="preserve">Annual Report 2015, Chapter IV </w:t>
        </w:r>
        <w:proofErr w:type="gramStart"/>
        <w:r w:rsidRPr="001167CB">
          <w:rPr>
            <w:rStyle w:val="Hyperlink"/>
            <w:rFonts w:asciiTheme="majorHAnsi" w:hAnsiTheme="majorHAnsi" w:cstheme="majorHAnsi"/>
            <w:color w:val="808080" w:themeColor="background1" w:themeShade="80"/>
            <w:sz w:val="16"/>
            <w:szCs w:val="16"/>
          </w:rPr>
          <w:t>The</w:t>
        </w:r>
        <w:proofErr w:type="gramEnd"/>
        <w:r w:rsidRPr="001167CB">
          <w:rPr>
            <w:rStyle w:val="Hyperlink"/>
            <w:rFonts w:asciiTheme="majorHAnsi" w:hAnsiTheme="majorHAnsi" w:cstheme="majorHAnsi"/>
            <w:color w:val="808080" w:themeColor="background1" w:themeShade="80"/>
            <w:sz w:val="16"/>
            <w:szCs w:val="16"/>
          </w:rPr>
          <w:t xml:space="preserve"> Use of Force</w:t>
        </w:r>
      </w:hyperlink>
      <w:r w:rsidRPr="001167CB">
        <w:rPr>
          <w:rFonts w:asciiTheme="majorHAnsi" w:hAnsiTheme="majorHAnsi" w:cstheme="majorHAnsi"/>
          <w:color w:val="808080" w:themeColor="background1" w:themeShade="80"/>
          <w:sz w:val="16"/>
          <w:szCs w:val="16"/>
        </w:rPr>
        <w:t>, para. 10 (citation omitted)</w:t>
      </w:r>
    </w:p>
  </w:footnote>
  <w:footnote w:id="460">
    <w:p w14:paraId="1443C65B"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Id. (citation omitted).</w:t>
      </w:r>
    </w:p>
  </w:footnote>
  <w:footnote w:id="461">
    <w:p w14:paraId="071D55B2"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Id. at para. 12 (citation omitted). </w:t>
      </w:r>
    </w:p>
  </w:footnote>
  <w:footnote w:id="462">
    <w:p w14:paraId="0B6D4FD4"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Id. (citing IACHR, </w:t>
      </w:r>
      <w:hyperlink r:id="rId562" w:history="1">
        <w:r w:rsidRPr="001167CB">
          <w:rPr>
            <w:rStyle w:val="Hyperlink"/>
            <w:rFonts w:asciiTheme="majorHAnsi" w:hAnsiTheme="majorHAnsi" w:cstheme="majorHAnsi"/>
            <w:color w:val="808080" w:themeColor="background1" w:themeShade="80"/>
            <w:sz w:val="16"/>
            <w:szCs w:val="16"/>
          </w:rPr>
          <w:t>Citizen Security and Human Rights</w:t>
        </w:r>
      </w:hyperlink>
      <w:r w:rsidRPr="001167CB">
        <w:rPr>
          <w:rFonts w:asciiTheme="majorHAnsi" w:hAnsiTheme="majorHAnsi" w:cstheme="majorHAnsi"/>
          <w:color w:val="808080" w:themeColor="background1" w:themeShade="80"/>
          <w:sz w:val="16"/>
          <w:szCs w:val="16"/>
        </w:rPr>
        <w:t xml:space="preserve"> (2009), para. 119).</w:t>
      </w:r>
    </w:p>
  </w:footnote>
  <w:footnote w:id="463">
    <w:p w14:paraId="7B9C3A66"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Id. (citing </w:t>
      </w:r>
      <w:hyperlink r:id="rId563" w:history="1">
        <w:r w:rsidRPr="001167CB">
          <w:rPr>
            <w:rStyle w:val="Hyperlink"/>
            <w:rFonts w:asciiTheme="majorHAnsi" w:hAnsiTheme="majorHAnsi" w:cstheme="majorHAnsi"/>
            <w:bCs/>
            <w:color w:val="808080" w:themeColor="background1" w:themeShade="80"/>
            <w:sz w:val="16"/>
            <w:szCs w:val="16"/>
          </w:rPr>
          <w:t>U.N. Basic Principles on the Use of Force</w:t>
        </w:r>
      </w:hyperlink>
      <w:r w:rsidRPr="001167CB">
        <w:rPr>
          <w:rFonts w:asciiTheme="majorHAnsi" w:hAnsiTheme="majorHAnsi" w:cstheme="majorHAnsi"/>
          <w:bCs/>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No. 9).</w:t>
      </w:r>
    </w:p>
  </w:footnote>
  <w:footnote w:id="464">
    <w:p w14:paraId="337958B6" w14:textId="77777777" w:rsidR="005C2394" w:rsidRPr="001167CB" w:rsidRDefault="005C2394" w:rsidP="002C64F8">
      <w:pPr>
        <w:spacing w:after="40" w:line="240" w:lineRule="auto"/>
        <w:ind w:left="547" w:hanging="547"/>
        <w:contextualSpacing/>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hyperlink r:id="rId564" w:history="1">
        <w:r w:rsidRPr="001167CB">
          <w:rPr>
            <w:rStyle w:val="Hyperlink"/>
            <w:rFonts w:asciiTheme="majorHAnsi" w:hAnsiTheme="majorHAnsi" w:cstheme="majorHAnsi"/>
            <w:bCs/>
            <w:color w:val="808080" w:themeColor="background1" w:themeShade="80"/>
            <w:sz w:val="16"/>
            <w:szCs w:val="16"/>
          </w:rPr>
          <w:t>U.N. Basic Principles on the Use of Force</w:t>
        </w:r>
      </w:hyperlink>
      <w:r w:rsidRPr="001167CB">
        <w:rPr>
          <w:rFonts w:asciiTheme="majorHAnsi" w:hAnsiTheme="majorHAnsi" w:cstheme="majorHAnsi"/>
          <w:bCs/>
          <w:color w:val="808080" w:themeColor="background1" w:themeShade="80"/>
          <w:sz w:val="16"/>
          <w:szCs w:val="16"/>
        </w:rPr>
        <w:t>,</w:t>
      </w:r>
      <w:r w:rsidRPr="001167CB">
        <w:rPr>
          <w:rFonts w:asciiTheme="majorHAnsi" w:hAnsiTheme="majorHAnsi" w:cstheme="majorHAnsi"/>
          <w:color w:val="808080" w:themeColor="background1" w:themeShade="80"/>
          <w:sz w:val="16"/>
          <w:szCs w:val="16"/>
        </w:rPr>
        <w:t xml:space="preserve"> No. 9. </w:t>
      </w:r>
      <w:r w:rsidRPr="001167CB">
        <w:rPr>
          <w:rFonts w:asciiTheme="majorHAnsi" w:hAnsiTheme="majorHAnsi" w:cstheme="majorHAnsi"/>
          <w:i/>
          <w:color w:val="808080" w:themeColor="background1" w:themeShade="80"/>
          <w:sz w:val="16"/>
          <w:szCs w:val="16"/>
        </w:rPr>
        <w:t>See also</w:t>
      </w:r>
      <w:r w:rsidRPr="001167CB">
        <w:rPr>
          <w:rFonts w:asciiTheme="majorHAnsi" w:hAnsiTheme="majorHAnsi" w:cstheme="majorHAnsi"/>
          <w:color w:val="808080" w:themeColor="background1" w:themeShade="80"/>
          <w:sz w:val="16"/>
          <w:szCs w:val="16"/>
        </w:rPr>
        <w:t xml:space="preserve"> United Nations, </w:t>
      </w:r>
      <w:hyperlink r:id="rId565" w:history="1">
        <w:r w:rsidRPr="001167CB">
          <w:rPr>
            <w:rStyle w:val="Hyperlink"/>
            <w:rFonts w:asciiTheme="majorHAnsi" w:hAnsiTheme="majorHAnsi" w:cstheme="majorHAnsi"/>
            <w:color w:val="808080" w:themeColor="background1" w:themeShade="80"/>
            <w:sz w:val="16"/>
            <w:szCs w:val="16"/>
          </w:rPr>
          <w:t>Report of the Special Rapporteur on extrajudicial, summary or arbitrary executions</w:t>
        </w:r>
      </w:hyperlink>
      <w:r w:rsidRPr="001167CB">
        <w:rPr>
          <w:rFonts w:asciiTheme="majorHAnsi" w:hAnsiTheme="majorHAnsi" w:cstheme="majorHAnsi"/>
          <w:color w:val="808080" w:themeColor="background1" w:themeShade="80"/>
          <w:sz w:val="16"/>
          <w:szCs w:val="16"/>
        </w:rPr>
        <w:t>, Philip Alston, Study on police oversight mechanisms, A/HRC/14/2/Ad 6, May 28, 2010.</w:t>
      </w:r>
    </w:p>
  </w:footnote>
  <w:footnote w:id="465">
    <w:p w14:paraId="514D091F" w14:textId="77777777" w:rsidR="005C2394" w:rsidRPr="001167CB" w:rsidRDefault="005C2394" w:rsidP="002C64F8">
      <w:pPr>
        <w:spacing w:after="40" w:line="240" w:lineRule="auto"/>
        <w:ind w:left="547" w:hanging="547"/>
        <w:contextualSpacing/>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United Nations, Report of the Special Rapporteur on extrajudicial, summary or arbitrary executions, Philip Alston, Study on police oversight mechanisms, A/HRC/14/2/Ad 6, May 28, 2010.</w:t>
      </w:r>
    </w:p>
  </w:footnote>
  <w:footnote w:id="466">
    <w:p w14:paraId="1363BD49" w14:textId="77777777" w:rsidR="005C2394" w:rsidRPr="001167CB" w:rsidRDefault="005C2394" w:rsidP="00C91E4F">
      <w:pPr>
        <w:pStyle w:val="FootnoteText"/>
        <w:spacing w:after="40"/>
        <w:ind w:left="547"/>
        <w:jc w:val="both"/>
        <w:rPr>
          <w:rFonts w:asciiTheme="majorHAnsi" w:hAnsiTheme="majorHAnsi" w:cstheme="majorHAnsi"/>
          <w:color w:val="808080" w:themeColor="background1" w:themeShade="80"/>
          <w:sz w:val="16"/>
          <w:szCs w:val="16"/>
        </w:rPr>
      </w:pPr>
      <w:r w:rsidRPr="001167CB">
        <w:rPr>
          <w:rFonts w:asciiTheme="majorHAnsi" w:hAnsiTheme="majorHAnsi" w:cstheme="majorHAnsi"/>
          <w:color w:val="808080" w:themeColor="background1" w:themeShade="80"/>
          <w:sz w:val="16"/>
          <w:szCs w:val="16"/>
        </w:rPr>
        <w:t xml:space="preserve">IACHR. </w:t>
      </w:r>
      <w:hyperlink r:id="rId566" w:history="1">
        <w:r w:rsidRPr="001167CB">
          <w:rPr>
            <w:rStyle w:val="Hyperlink"/>
            <w:rFonts w:asciiTheme="majorHAnsi" w:hAnsiTheme="majorHAnsi" w:cstheme="majorHAnsi"/>
            <w:color w:val="808080" w:themeColor="background1" w:themeShade="80"/>
            <w:sz w:val="16"/>
            <w:szCs w:val="16"/>
          </w:rPr>
          <w:t>Hearing on Social protest and human rights in the Americas</w:t>
        </w:r>
      </w:hyperlink>
      <w:r w:rsidRPr="001167CB">
        <w:rPr>
          <w:rFonts w:asciiTheme="majorHAnsi" w:hAnsiTheme="majorHAnsi" w:cstheme="majorHAnsi"/>
          <w:color w:val="808080" w:themeColor="background1" w:themeShade="80"/>
          <w:sz w:val="16"/>
          <w:szCs w:val="16"/>
        </w:rPr>
        <w:t xml:space="preserve">, 154th regular period of sessions, Mar. 16, 2015; </w:t>
      </w:r>
      <w:r w:rsidRPr="001167CB">
        <w:rPr>
          <w:rFonts w:asciiTheme="majorHAnsi" w:hAnsiTheme="majorHAnsi" w:cstheme="majorHAnsi"/>
          <w:i/>
          <w:color w:val="808080" w:themeColor="background1" w:themeShade="80"/>
          <w:sz w:val="16"/>
          <w:szCs w:val="16"/>
        </w:rPr>
        <w:t xml:space="preserve">see also </w:t>
      </w:r>
      <w:r w:rsidRPr="001167CB">
        <w:rPr>
          <w:rFonts w:asciiTheme="majorHAnsi" w:hAnsiTheme="majorHAnsi" w:cstheme="majorHAnsi"/>
          <w:color w:val="808080" w:themeColor="background1" w:themeShade="80"/>
          <w:sz w:val="16"/>
          <w:szCs w:val="16"/>
        </w:rPr>
        <w:t xml:space="preserve">IACHR, </w:t>
      </w:r>
      <w:hyperlink r:id="rId567" w:history="1">
        <w:r w:rsidRPr="001167CB">
          <w:rPr>
            <w:rStyle w:val="Hyperlink"/>
            <w:rFonts w:asciiTheme="majorHAnsi" w:hAnsiTheme="majorHAnsi" w:cstheme="majorHAnsi"/>
            <w:color w:val="808080" w:themeColor="background1" w:themeShade="80"/>
            <w:sz w:val="16"/>
            <w:szCs w:val="16"/>
          </w:rPr>
          <w:t xml:space="preserve">Annual Report 2015, Chapter IV </w:t>
        </w:r>
        <w:proofErr w:type="gramStart"/>
        <w:r w:rsidRPr="001167CB">
          <w:rPr>
            <w:rStyle w:val="Hyperlink"/>
            <w:rFonts w:asciiTheme="majorHAnsi" w:hAnsiTheme="majorHAnsi" w:cstheme="majorHAnsi"/>
            <w:color w:val="808080" w:themeColor="background1" w:themeShade="80"/>
            <w:sz w:val="16"/>
            <w:szCs w:val="16"/>
          </w:rPr>
          <w:t>The</w:t>
        </w:r>
        <w:proofErr w:type="gramEnd"/>
        <w:r w:rsidRPr="001167CB">
          <w:rPr>
            <w:rStyle w:val="Hyperlink"/>
            <w:rFonts w:asciiTheme="majorHAnsi" w:hAnsiTheme="majorHAnsi" w:cstheme="majorHAnsi"/>
            <w:color w:val="808080" w:themeColor="background1" w:themeShade="80"/>
            <w:sz w:val="16"/>
            <w:szCs w:val="16"/>
          </w:rPr>
          <w:t xml:space="preserve"> Use of Force</w:t>
        </w:r>
      </w:hyperlink>
      <w:r w:rsidRPr="001167CB">
        <w:rPr>
          <w:rFonts w:asciiTheme="majorHAnsi" w:hAnsiTheme="majorHAnsi" w:cstheme="majorHAnsi"/>
          <w:color w:val="808080" w:themeColor="background1" w:themeShade="80"/>
          <w:sz w:val="16"/>
          <w:szCs w:val="16"/>
        </w:rPr>
        <w:t>, para. 19.</w:t>
      </w:r>
    </w:p>
  </w:footnote>
  <w:footnote w:id="467">
    <w:p w14:paraId="746156E2"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bCs/>
          <w:color w:val="808080" w:themeColor="background1" w:themeShade="80"/>
          <w:sz w:val="16"/>
          <w:szCs w:val="16"/>
        </w:rPr>
        <w:t xml:space="preserve">IACHR, </w:t>
      </w:r>
      <w:hyperlink r:id="rId568" w:history="1">
        <w:r w:rsidRPr="001167CB">
          <w:rPr>
            <w:rStyle w:val="Hyperlink"/>
            <w:rFonts w:asciiTheme="majorHAnsi" w:hAnsiTheme="majorHAnsi" w:cstheme="majorHAnsi"/>
            <w:bCs/>
            <w:color w:val="808080" w:themeColor="background1" w:themeShade="80"/>
            <w:sz w:val="16"/>
            <w:szCs w:val="16"/>
          </w:rPr>
          <w:t>Human Rights of Migrants and Other Persons in the Context of Human Mobility in Mexico</w:t>
        </w:r>
      </w:hyperlink>
      <w:r w:rsidRPr="001167CB">
        <w:rPr>
          <w:rFonts w:asciiTheme="majorHAnsi" w:hAnsiTheme="majorHAnsi" w:cstheme="majorHAnsi"/>
          <w:bCs/>
          <w:color w:val="808080" w:themeColor="background1" w:themeShade="80"/>
          <w:sz w:val="16"/>
          <w:szCs w:val="16"/>
        </w:rPr>
        <w:t>, OEA/</w:t>
      </w:r>
      <w:proofErr w:type="spellStart"/>
      <w:r w:rsidRPr="001167CB">
        <w:rPr>
          <w:rFonts w:asciiTheme="majorHAnsi" w:hAnsiTheme="majorHAnsi" w:cstheme="majorHAnsi"/>
          <w:bCs/>
          <w:color w:val="808080" w:themeColor="background1" w:themeShade="80"/>
          <w:sz w:val="16"/>
          <w:szCs w:val="16"/>
        </w:rPr>
        <w:t>Ser.L</w:t>
      </w:r>
      <w:proofErr w:type="spellEnd"/>
      <w:r w:rsidRPr="001167CB">
        <w:rPr>
          <w:rFonts w:asciiTheme="majorHAnsi" w:hAnsiTheme="majorHAnsi" w:cstheme="majorHAnsi"/>
          <w:bCs/>
          <w:color w:val="808080" w:themeColor="background1" w:themeShade="80"/>
          <w:sz w:val="16"/>
          <w:szCs w:val="16"/>
        </w:rPr>
        <w:t>/V/II, Doc. 48/13 (2013)</w:t>
      </w:r>
      <w:r w:rsidRPr="001167CB">
        <w:rPr>
          <w:rFonts w:asciiTheme="majorHAnsi" w:hAnsiTheme="majorHAnsi" w:cstheme="majorHAnsi"/>
          <w:color w:val="808080" w:themeColor="background1" w:themeShade="80"/>
          <w:sz w:val="16"/>
          <w:szCs w:val="16"/>
        </w:rPr>
        <w:t xml:space="preserve">, para. 333 (citing </w:t>
      </w:r>
      <w:proofErr w:type="gramStart"/>
      <w:r w:rsidRPr="001167CB">
        <w:rPr>
          <w:rFonts w:asciiTheme="majorHAnsi" w:hAnsiTheme="majorHAnsi" w:cstheme="majorHAnsi"/>
          <w:color w:val="808080" w:themeColor="background1" w:themeShade="80"/>
          <w:sz w:val="16"/>
          <w:szCs w:val="16"/>
        </w:rPr>
        <w:t>I/A</w:t>
      </w:r>
      <w:proofErr w:type="gramEnd"/>
      <w:r w:rsidRPr="001167CB">
        <w:rPr>
          <w:rFonts w:asciiTheme="majorHAnsi" w:hAnsiTheme="majorHAnsi" w:cstheme="majorHAnsi"/>
          <w:color w:val="808080" w:themeColor="background1" w:themeShade="80"/>
          <w:sz w:val="16"/>
          <w:szCs w:val="16"/>
        </w:rPr>
        <w:t xml:space="preserve"> Court H. R</w:t>
      </w:r>
      <w:r w:rsidRPr="001167CB">
        <w:rPr>
          <w:rFonts w:asciiTheme="majorHAnsi" w:hAnsiTheme="majorHAnsi" w:cstheme="majorHAnsi"/>
          <w:i/>
          <w:color w:val="808080" w:themeColor="background1" w:themeShade="80"/>
          <w:sz w:val="16"/>
          <w:szCs w:val="16"/>
        </w:rPr>
        <w:t>., “</w:t>
      </w:r>
      <w:proofErr w:type="spellStart"/>
      <w:r w:rsidRPr="001167CB">
        <w:rPr>
          <w:rFonts w:asciiTheme="majorHAnsi" w:hAnsiTheme="majorHAnsi" w:cstheme="majorHAnsi"/>
          <w:i/>
          <w:color w:val="808080" w:themeColor="background1" w:themeShade="80"/>
          <w:sz w:val="16"/>
          <w:szCs w:val="16"/>
        </w:rPr>
        <w:t>Mapiripán</w:t>
      </w:r>
      <w:proofErr w:type="spellEnd"/>
      <w:r w:rsidRPr="001167CB">
        <w:rPr>
          <w:rFonts w:asciiTheme="majorHAnsi" w:hAnsiTheme="majorHAnsi" w:cstheme="majorHAnsi"/>
          <w:i/>
          <w:color w:val="808080" w:themeColor="background1" w:themeShade="80"/>
          <w:sz w:val="16"/>
          <w:szCs w:val="16"/>
        </w:rPr>
        <w:t xml:space="preserve"> Massacre” v. Colombia</w:t>
      </w:r>
      <w:r w:rsidRPr="001167CB">
        <w:rPr>
          <w:rFonts w:asciiTheme="majorHAnsi" w:hAnsiTheme="majorHAnsi" w:cstheme="majorHAnsi"/>
          <w:color w:val="808080" w:themeColor="background1" w:themeShade="80"/>
          <w:sz w:val="16"/>
          <w:szCs w:val="16"/>
        </w:rPr>
        <w:t xml:space="preserve">. Judgment of Sept. 15, 2005. Series C No. 134, para. 108; I/A Court H. R., </w:t>
      </w:r>
      <w:r w:rsidRPr="001167CB">
        <w:rPr>
          <w:rFonts w:asciiTheme="majorHAnsi" w:hAnsiTheme="majorHAnsi" w:cstheme="majorHAnsi"/>
          <w:i/>
          <w:color w:val="808080" w:themeColor="background1" w:themeShade="80"/>
          <w:sz w:val="16"/>
          <w:szCs w:val="16"/>
        </w:rPr>
        <w:t>“Massacre of Pueblo Bello” v. Colombia</w:t>
      </w:r>
      <w:r w:rsidRPr="001167CB">
        <w:rPr>
          <w:rFonts w:asciiTheme="majorHAnsi" w:hAnsiTheme="majorHAnsi" w:cstheme="majorHAnsi"/>
          <w:color w:val="808080" w:themeColor="background1" w:themeShade="80"/>
          <w:sz w:val="16"/>
          <w:szCs w:val="16"/>
        </w:rPr>
        <w:t>. Judgment of Jan. 31, 2006. Series C No. 140, para. 111).</w:t>
      </w:r>
    </w:p>
  </w:footnote>
  <w:footnote w:id="468">
    <w:p w14:paraId="554F133D"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Id. (citing IACHR, </w:t>
      </w:r>
      <w:hyperlink r:id="rId569" w:history="1">
        <w:r w:rsidRPr="001167CB">
          <w:rPr>
            <w:rStyle w:val="Hyperlink"/>
            <w:rFonts w:asciiTheme="majorHAnsi" w:hAnsiTheme="majorHAnsi" w:cstheme="majorHAnsi"/>
            <w:color w:val="808080" w:themeColor="background1" w:themeShade="80"/>
            <w:sz w:val="16"/>
            <w:szCs w:val="16"/>
          </w:rPr>
          <w:t>Citizen Security and Human Rights</w:t>
        </w:r>
      </w:hyperlink>
      <w:r w:rsidRPr="001167CB">
        <w:rPr>
          <w:rFonts w:asciiTheme="majorHAnsi" w:hAnsiTheme="majorHAnsi" w:cstheme="majorHAnsi"/>
          <w:color w:val="808080" w:themeColor="background1" w:themeShade="80"/>
          <w:sz w:val="16"/>
          <w:szCs w:val="16"/>
        </w:rPr>
        <w:t xml:space="preserve"> (2009), para. 39).</w:t>
      </w:r>
    </w:p>
  </w:footnote>
  <w:footnote w:id="469">
    <w:p w14:paraId="55A1DDCE" w14:textId="0A9224BE"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5C2394">
        <w:rPr>
          <w:rFonts w:asciiTheme="majorHAnsi" w:hAnsiTheme="majorHAnsi" w:cstheme="majorHAnsi"/>
          <w:color w:val="808080" w:themeColor="background1" w:themeShade="80"/>
          <w:sz w:val="16"/>
          <w:szCs w:val="16"/>
        </w:rPr>
        <w:t xml:space="preserve"> </w:t>
      </w:r>
      <w:r w:rsidRPr="005C2394">
        <w:rPr>
          <w:rFonts w:asciiTheme="majorHAnsi" w:hAnsiTheme="majorHAnsi" w:cstheme="majorHAnsi"/>
          <w:color w:val="808080" w:themeColor="background1" w:themeShade="80"/>
          <w:sz w:val="16"/>
          <w:szCs w:val="16"/>
        </w:rPr>
        <w:tab/>
        <w:t xml:space="preserve">IACHR, Report No. 80/11, </w:t>
      </w:r>
      <w:hyperlink r:id="rId570" w:history="1">
        <w:r w:rsidRPr="005C2394">
          <w:rPr>
            <w:rStyle w:val="Hyperlink"/>
            <w:rFonts w:asciiTheme="majorHAnsi" w:hAnsiTheme="majorHAnsi" w:cstheme="majorHAnsi"/>
            <w:i/>
            <w:color w:val="808080" w:themeColor="background1" w:themeShade="80"/>
            <w:sz w:val="16"/>
            <w:szCs w:val="16"/>
          </w:rPr>
          <w:t xml:space="preserve">Jessica </w:t>
        </w:r>
        <w:proofErr w:type="spellStart"/>
        <w:r w:rsidRPr="005C2394">
          <w:rPr>
            <w:rStyle w:val="Hyperlink"/>
            <w:rFonts w:asciiTheme="majorHAnsi" w:hAnsiTheme="majorHAnsi" w:cstheme="majorHAnsi"/>
            <w:i/>
            <w:color w:val="808080" w:themeColor="background1" w:themeShade="80"/>
            <w:sz w:val="16"/>
            <w:szCs w:val="16"/>
          </w:rPr>
          <w:t>Lenahan</w:t>
        </w:r>
        <w:proofErr w:type="spellEnd"/>
      </w:hyperlink>
      <w:r w:rsidRPr="005C2394">
        <w:rPr>
          <w:rFonts w:asciiTheme="majorHAnsi" w:hAnsiTheme="majorHAnsi" w:cstheme="majorHAnsi"/>
          <w:color w:val="808080" w:themeColor="background1" w:themeShade="80"/>
          <w:sz w:val="16"/>
          <w:szCs w:val="16"/>
        </w:rPr>
        <w:t xml:space="preserve"> (2011), para. </w:t>
      </w:r>
      <w:r w:rsidRPr="001167CB">
        <w:rPr>
          <w:rFonts w:asciiTheme="majorHAnsi" w:hAnsiTheme="majorHAnsi" w:cstheme="majorHAnsi"/>
          <w:color w:val="808080" w:themeColor="background1" w:themeShade="80"/>
          <w:sz w:val="16"/>
          <w:szCs w:val="16"/>
        </w:rPr>
        <w:t>125, 128</w:t>
      </w:r>
      <w:r w:rsidRPr="001167CB">
        <w:rPr>
          <w:rFonts w:asciiTheme="majorHAnsi" w:hAnsiTheme="majorHAnsi" w:cstheme="majorHAnsi"/>
          <w:i/>
          <w:color w:val="808080" w:themeColor="background1" w:themeShade="80"/>
          <w:sz w:val="16"/>
          <w:szCs w:val="16"/>
        </w:rPr>
        <w:t>See also</w:t>
      </w:r>
      <w:r w:rsidRPr="001167CB">
        <w:rPr>
          <w:rFonts w:asciiTheme="majorHAnsi" w:hAnsiTheme="majorHAnsi" w:cstheme="majorHAnsi"/>
          <w:color w:val="808080" w:themeColor="background1" w:themeShade="80"/>
          <w:sz w:val="16"/>
          <w:szCs w:val="16"/>
        </w:rPr>
        <w:t xml:space="preserve"> U.N., </w:t>
      </w:r>
      <w:r w:rsidRPr="001167CB">
        <w:rPr>
          <w:rFonts w:asciiTheme="majorHAnsi" w:hAnsiTheme="majorHAnsi" w:cstheme="majorHAnsi"/>
          <w:i/>
          <w:color w:val="808080" w:themeColor="background1" w:themeShade="80"/>
          <w:sz w:val="16"/>
          <w:szCs w:val="16"/>
        </w:rPr>
        <w:t xml:space="preserve">Durban Declaration and </w:t>
      </w:r>
      <w:proofErr w:type="spellStart"/>
      <w:r w:rsidRPr="001167CB">
        <w:rPr>
          <w:rFonts w:asciiTheme="majorHAnsi" w:hAnsiTheme="majorHAnsi" w:cstheme="majorHAnsi"/>
          <w:i/>
          <w:color w:val="808080" w:themeColor="background1" w:themeShade="80"/>
          <w:sz w:val="16"/>
          <w:szCs w:val="16"/>
        </w:rPr>
        <w:t>Programme</w:t>
      </w:r>
      <w:proofErr w:type="spellEnd"/>
      <w:r w:rsidRPr="001167CB">
        <w:rPr>
          <w:rFonts w:asciiTheme="majorHAnsi" w:hAnsiTheme="majorHAnsi" w:cstheme="majorHAnsi"/>
          <w:i/>
          <w:color w:val="808080" w:themeColor="background1" w:themeShade="80"/>
          <w:sz w:val="16"/>
          <w:szCs w:val="16"/>
        </w:rPr>
        <w:t xml:space="preserve"> of Action</w:t>
      </w:r>
      <w:r w:rsidRPr="001167CB">
        <w:rPr>
          <w:rFonts w:asciiTheme="majorHAnsi" w:hAnsiTheme="majorHAnsi" w:cstheme="majorHAnsi"/>
          <w:color w:val="808080" w:themeColor="background1" w:themeShade="80"/>
          <w:sz w:val="16"/>
          <w:szCs w:val="16"/>
        </w:rPr>
        <w:t xml:space="preserve"> (adopted at the 2001 World Conference </w:t>
      </w:r>
      <w:proofErr w:type="gramStart"/>
      <w:r w:rsidRPr="001167CB">
        <w:rPr>
          <w:rFonts w:asciiTheme="majorHAnsi" w:hAnsiTheme="majorHAnsi" w:cstheme="majorHAnsi"/>
          <w:color w:val="808080" w:themeColor="background1" w:themeShade="80"/>
          <w:sz w:val="16"/>
          <w:szCs w:val="16"/>
        </w:rPr>
        <w:t>Against</w:t>
      </w:r>
      <w:proofErr w:type="gramEnd"/>
      <w:r w:rsidRPr="001167CB">
        <w:rPr>
          <w:rFonts w:asciiTheme="majorHAnsi" w:hAnsiTheme="majorHAnsi" w:cstheme="majorHAnsi"/>
          <w:color w:val="808080" w:themeColor="background1" w:themeShade="80"/>
          <w:sz w:val="16"/>
          <w:szCs w:val="16"/>
        </w:rPr>
        <w:t xml:space="preserve"> Racism), para. 104; </w:t>
      </w:r>
      <w:r w:rsidRPr="001167CB">
        <w:rPr>
          <w:rFonts w:asciiTheme="majorHAnsi" w:hAnsiTheme="majorHAnsi" w:cstheme="majorHAnsi"/>
          <w:i/>
          <w:color w:val="808080" w:themeColor="background1" w:themeShade="80"/>
          <w:sz w:val="16"/>
          <w:szCs w:val="16"/>
        </w:rPr>
        <w:t>International Convention on the Elimination of All Forms of Racial Discrimination</w:t>
      </w:r>
      <w:r w:rsidRPr="001167CB">
        <w:rPr>
          <w:rFonts w:asciiTheme="majorHAnsi" w:hAnsiTheme="majorHAnsi" w:cstheme="majorHAnsi"/>
          <w:color w:val="808080" w:themeColor="background1" w:themeShade="80"/>
          <w:sz w:val="16"/>
          <w:szCs w:val="16"/>
        </w:rPr>
        <w:t xml:space="preserve">, adopted and opened for signature and ratification by General Assembly Resolution 2106 (XX) of Dec. 21, 1965. </w:t>
      </w:r>
      <w:r w:rsidRPr="001167CB">
        <w:rPr>
          <w:rFonts w:asciiTheme="majorHAnsi" w:hAnsiTheme="majorHAnsi" w:cstheme="majorHAnsi"/>
          <w:i/>
          <w:color w:val="808080" w:themeColor="background1" w:themeShade="80"/>
          <w:sz w:val="16"/>
          <w:szCs w:val="16"/>
        </w:rPr>
        <w:t>See also</w:t>
      </w:r>
      <w:r w:rsidRPr="001167CB">
        <w:rPr>
          <w:rFonts w:asciiTheme="majorHAnsi" w:hAnsiTheme="majorHAnsi" w:cstheme="majorHAnsi"/>
          <w:color w:val="808080" w:themeColor="background1" w:themeShade="80"/>
          <w:sz w:val="16"/>
          <w:szCs w:val="16"/>
        </w:rPr>
        <w:t xml:space="preserve"> as reference, I/A Ct. H.R.</w:t>
      </w:r>
      <w:r w:rsidRPr="001167CB">
        <w:rPr>
          <w:rFonts w:asciiTheme="majorHAnsi" w:hAnsiTheme="majorHAnsi" w:cstheme="majorHAnsi"/>
          <w:i/>
          <w:color w:val="808080" w:themeColor="background1" w:themeShade="80"/>
          <w:sz w:val="16"/>
          <w:szCs w:val="16"/>
        </w:rPr>
        <w:t xml:space="preserve"> </w:t>
      </w:r>
      <w:proofErr w:type="spellStart"/>
      <w:r w:rsidRPr="001167CB">
        <w:rPr>
          <w:rFonts w:asciiTheme="majorHAnsi" w:hAnsiTheme="majorHAnsi" w:cstheme="majorHAnsi"/>
          <w:i/>
          <w:color w:val="808080" w:themeColor="background1" w:themeShade="80"/>
          <w:sz w:val="16"/>
          <w:szCs w:val="16"/>
        </w:rPr>
        <w:t>Velásquez</w:t>
      </w:r>
      <w:proofErr w:type="spellEnd"/>
      <w:r w:rsidRPr="001167CB">
        <w:rPr>
          <w:rFonts w:asciiTheme="majorHAnsi" w:hAnsiTheme="majorHAnsi" w:cstheme="majorHAnsi"/>
          <w:i/>
          <w:color w:val="808080" w:themeColor="background1" w:themeShade="80"/>
          <w:sz w:val="16"/>
          <w:szCs w:val="16"/>
        </w:rPr>
        <w:t xml:space="preserve"> Rodríguez v. Honduras. </w:t>
      </w:r>
      <w:r w:rsidRPr="001167CB">
        <w:rPr>
          <w:rFonts w:asciiTheme="majorHAnsi" w:hAnsiTheme="majorHAnsi" w:cstheme="majorHAnsi"/>
          <w:color w:val="808080" w:themeColor="background1" w:themeShade="80"/>
          <w:sz w:val="16"/>
          <w:szCs w:val="16"/>
        </w:rPr>
        <w:t xml:space="preserve">Reparations and Costs. </w:t>
      </w:r>
      <w:proofErr w:type="spellStart"/>
      <w:r w:rsidRPr="001167CB">
        <w:rPr>
          <w:rFonts w:asciiTheme="majorHAnsi" w:hAnsiTheme="majorHAnsi" w:cstheme="majorHAnsi"/>
          <w:color w:val="808080" w:themeColor="background1" w:themeShade="80"/>
          <w:sz w:val="16"/>
          <w:szCs w:val="16"/>
          <w:lang w:val="es-US"/>
        </w:rPr>
        <w:t>Judgment</w:t>
      </w:r>
      <w:proofErr w:type="spellEnd"/>
      <w:r w:rsidRPr="001167CB">
        <w:rPr>
          <w:rFonts w:asciiTheme="majorHAnsi" w:hAnsiTheme="majorHAnsi" w:cstheme="majorHAnsi"/>
          <w:color w:val="808080" w:themeColor="background1" w:themeShade="80"/>
          <w:sz w:val="16"/>
          <w:szCs w:val="16"/>
          <w:lang w:val="es-US"/>
        </w:rPr>
        <w:t xml:space="preserve"> of </w:t>
      </w:r>
      <w:proofErr w:type="spellStart"/>
      <w:r w:rsidRPr="001167CB">
        <w:rPr>
          <w:rFonts w:asciiTheme="majorHAnsi" w:hAnsiTheme="majorHAnsi" w:cstheme="majorHAnsi"/>
          <w:color w:val="808080" w:themeColor="background1" w:themeShade="80"/>
          <w:sz w:val="16"/>
          <w:szCs w:val="16"/>
          <w:lang w:val="es-US"/>
        </w:rPr>
        <w:t>July</w:t>
      </w:r>
      <w:proofErr w:type="spellEnd"/>
      <w:r w:rsidRPr="001167CB">
        <w:rPr>
          <w:rFonts w:asciiTheme="majorHAnsi" w:hAnsiTheme="majorHAnsi" w:cstheme="majorHAnsi"/>
          <w:color w:val="808080" w:themeColor="background1" w:themeShade="80"/>
          <w:sz w:val="16"/>
          <w:szCs w:val="16"/>
          <w:lang w:val="es-US"/>
        </w:rPr>
        <w:t xml:space="preserve"> 21, 1989. Series C No. 7, para. 166 [</w:t>
      </w:r>
      <w:proofErr w:type="spellStart"/>
      <w:r w:rsidRPr="001167CB">
        <w:rPr>
          <w:rFonts w:asciiTheme="majorHAnsi" w:hAnsiTheme="majorHAnsi" w:cstheme="majorHAnsi"/>
          <w:color w:val="808080" w:themeColor="background1" w:themeShade="80"/>
          <w:sz w:val="16"/>
          <w:szCs w:val="16"/>
          <w:lang w:val="es-US"/>
        </w:rPr>
        <w:t>hereinafter</w:t>
      </w:r>
      <w:proofErr w:type="spellEnd"/>
      <w:r w:rsidRPr="001167CB">
        <w:rPr>
          <w:rFonts w:asciiTheme="majorHAnsi" w:hAnsiTheme="majorHAnsi" w:cstheme="majorHAnsi"/>
          <w:color w:val="808080" w:themeColor="background1" w:themeShade="80"/>
          <w:sz w:val="16"/>
          <w:szCs w:val="16"/>
          <w:lang w:val="es-US"/>
        </w:rPr>
        <w:t xml:space="preserve"> “I/A </w:t>
      </w:r>
      <w:proofErr w:type="spellStart"/>
      <w:r w:rsidRPr="001167CB">
        <w:rPr>
          <w:rFonts w:asciiTheme="majorHAnsi" w:hAnsiTheme="majorHAnsi" w:cstheme="majorHAnsi"/>
          <w:color w:val="808080" w:themeColor="background1" w:themeShade="80"/>
          <w:sz w:val="16"/>
          <w:szCs w:val="16"/>
          <w:lang w:val="es-US"/>
        </w:rPr>
        <w:t>Ct</w:t>
      </w:r>
      <w:proofErr w:type="spellEnd"/>
      <w:r w:rsidRPr="001167CB">
        <w:rPr>
          <w:rFonts w:asciiTheme="majorHAnsi" w:hAnsiTheme="majorHAnsi" w:cstheme="majorHAnsi"/>
          <w:color w:val="808080" w:themeColor="background1" w:themeShade="80"/>
          <w:sz w:val="16"/>
          <w:szCs w:val="16"/>
          <w:lang w:val="es-US"/>
        </w:rPr>
        <w:t xml:space="preserve">. H.R., </w:t>
      </w:r>
      <w:r w:rsidRPr="001167CB">
        <w:rPr>
          <w:rFonts w:asciiTheme="majorHAnsi" w:hAnsiTheme="majorHAnsi" w:cstheme="majorHAnsi"/>
          <w:i/>
          <w:color w:val="808080" w:themeColor="background1" w:themeShade="80"/>
          <w:sz w:val="16"/>
          <w:szCs w:val="16"/>
          <w:lang w:val="es-US"/>
        </w:rPr>
        <w:t>Velásquez Rodríguez</w:t>
      </w:r>
      <w:r w:rsidRPr="001167CB">
        <w:rPr>
          <w:rFonts w:asciiTheme="majorHAnsi" w:hAnsiTheme="majorHAnsi" w:cstheme="majorHAnsi"/>
          <w:color w:val="808080" w:themeColor="background1" w:themeShade="80"/>
          <w:sz w:val="16"/>
          <w:szCs w:val="16"/>
          <w:lang w:val="es-US"/>
        </w:rPr>
        <w:t xml:space="preserve">, Ser. C No. 7 (1989)”]; </w:t>
      </w:r>
      <w:r w:rsidRPr="001167CB">
        <w:rPr>
          <w:rFonts w:asciiTheme="majorHAnsi" w:hAnsiTheme="majorHAnsi" w:cstheme="majorHAnsi"/>
          <w:bCs/>
          <w:color w:val="808080" w:themeColor="background1" w:themeShade="80"/>
          <w:sz w:val="16"/>
          <w:szCs w:val="16"/>
          <w:lang w:val="es-US"/>
        </w:rPr>
        <w:t xml:space="preserve">I/A </w:t>
      </w:r>
      <w:proofErr w:type="spellStart"/>
      <w:r w:rsidRPr="001167CB">
        <w:rPr>
          <w:rFonts w:asciiTheme="majorHAnsi" w:hAnsiTheme="majorHAnsi" w:cstheme="majorHAnsi"/>
          <w:bCs/>
          <w:color w:val="808080" w:themeColor="background1" w:themeShade="80"/>
          <w:sz w:val="16"/>
          <w:szCs w:val="16"/>
          <w:lang w:val="es-US"/>
        </w:rPr>
        <w:t>Ct</w:t>
      </w:r>
      <w:proofErr w:type="spellEnd"/>
      <w:r w:rsidRPr="001167CB">
        <w:rPr>
          <w:rFonts w:asciiTheme="majorHAnsi" w:hAnsiTheme="majorHAnsi" w:cstheme="majorHAnsi"/>
          <w:bCs/>
          <w:color w:val="808080" w:themeColor="background1" w:themeShade="80"/>
          <w:sz w:val="16"/>
          <w:szCs w:val="16"/>
          <w:lang w:val="es-US"/>
        </w:rPr>
        <w:t xml:space="preserve">. H.R. </w:t>
      </w:r>
      <w:r w:rsidRPr="001167CB">
        <w:rPr>
          <w:rFonts w:asciiTheme="majorHAnsi" w:hAnsiTheme="majorHAnsi" w:cstheme="majorHAnsi"/>
          <w:bCs/>
          <w:i/>
          <w:color w:val="808080" w:themeColor="background1" w:themeShade="80"/>
          <w:sz w:val="16"/>
          <w:szCs w:val="16"/>
          <w:lang w:val="es-US"/>
        </w:rPr>
        <w:t xml:space="preserve">González et al. </w:t>
      </w:r>
      <w:r w:rsidRPr="001167CB">
        <w:rPr>
          <w:rFonts w:asciiTheme="majorHAnsi" w:hAnsiTheme="majorHAnsi" w:cstheme="majorHAnsi"/>
          <w:bCs/>
          <w:i/>
          <w:color w:val="808080" w:themeColor="background1" w:themeShade="80"/>
          <w:sz w:val="16"/>
          <w:szCs w:val="16"/>
        </w:rPr>
        <w:t>(“Cotton Field”) v. Mexico</w:t>
      </w:r>
      <w:r w:rsidRPr="001167CB">
        <w:rPr>
          <w:rFonts w:asciiTheme="majorHAnsi" w:hAnsiTheme="majorHAnsi" w:cstheme="majorHAnsi"/>
          <w:bCs/>
          <w:color w:val="808080" w:themeColor="background1" w:themeShade="80"/>
          <w:sz w:val="16"/>
          <w:szCs w:val="16"/>
        </w:rPr>
        <w:t xml:space="preserve">. Preliminary Objection, Merits, Reparations, and Costs. Judgment of </w:t>
      </w:r>
      <w:r w:rsidRPr="001167CB">
        <w:rPr>
          <w:rFonts w:asciiTheme="majorHAnsi" w:hAnsiTheme="majorHAnsi" w:cstheme="majorHAnsi"/>
          <w:color w:val="808080" w:themeColor="background1" w:themeShade="80"/>
          <w:sz w:val="16"/>
          <w:szCs w:val="16"/>
        </w:rPr>
        <w:t xml:space="preserve">Nov. </w:t>
      </w:r>
      <w:r w:rsidRPr="001167CB">
        <w:rPr>
          <w:rFonts w:asciiTheme="majorHAnsi" w:hAnsiTheme="majorHAnsi" w:cstheme="majorHAnsi"/>
          <w:bCs/>
          <w:color w:val="808080" w:themeColor="background1" w:themeShade="80"/>
          <w:sz w:val="16"/>
          <w:szCs w:val="16"/>
        </w:rPr>
        <w:t>16, 2009. Series C No. 205</w:t>
      </w:r>
      <w:r w:rsidRPr="001167CB">
        <w:rPr>
          <w:rFonts w:asciiTheme="majorHAnsi" w:hAnsiTheme="majorHAnsi" w:cstheme="majorHAnsi"/>
          <w:color w:val="808080" w:themeColor="background1" w:themeShade="80"/>
          <w:sz w:val="16"/>
          <w:szCs w:val="16"/>
        </w:rPr>
        <w:t xml:space="preserve">, para. 236 [hereinafter “I/A Ct. H.R., </w:t>
      </w:r>
      <w:r w:rsidRPr="001167CB">
        <w:rPr>
          <w:rFonts w:asciiTheme="majorHAnsi" w:hAnsiTheme="majorHAnsi" w:cstheme="majorHAnsi"/>
          <w:i/>
          <w:color w:val="808080" w:themeColor="background1" w:themeShade="80"/>
          <w:sz w:val="16"/>
          <w:szCs w:val="16"/>
        </w:rPr>
        <w:t>Cotton Field</w:t>
      </w:r>
      <w:r w:rsidRPr="001167CB">
        <w:rPr>
          <w:rFonts w:asciiTheme="majorHAnsi" w:hAnsiTheme="majorHAnsi" w:cstheme="majorHAnsi"/>
          <w:color w:val="808080" w:themeColor="background1" w:themeShade="80"/>
          <w:sz w:val="16"/>
          <w:szCs w:val="16"/>
        </w:rPr>
        <w:t xml:space="preserve">, Series C No. 205 (2009)”]; IACHR, Report Nº 28/07, Cases 12.496-12.498, </w:t>
      </w:r>
      <w:r w:rsidRPr="001167CB">
        <w:rPr>
          <w:rFonts w:asciiTheme="majorHAnsi" w:hAnsiTheme="majorHAnsi" w:cstheme="majorHAnsi"/>
          <w:i/>
          <w:color w:val="808080" w:themeColor="background1" w:themeShade="80"/>
          <w:sz w:val="16"/>
          <w:szCs w:val="16"/>
        </w:rPr>
        <w:t>Claudia Ivette Gonzalez and Others</w:t>
      </w:r>
      <w:r w:rsidRPr="001167CB">
        <w:rPr>
          <w:rFonts w:asciiTheme="majorHAnsi" w:hAnsiTheme="majorHAnsi" w:cstheme="majorHAnsi"/>
          <w:color w:val="808080" w:themeColor="background1" w:themeShade="80"/>
          <w:sz w:val="16"/>
          <w:szCs w:val="16"/>
        </w:rPr>
        <w:t xml:space="preserve"> (Mexico), Mar. 9, 2007, paras. 160-255 [hereinafter “Report No. 28/07, </w:t>
      </w:r>
      <w:r w:rsidRPr="001167CB">
        <w:rPr>
          <w:rFonts w:asciiTheme="majorHAnsi" w:hAnsiTheme="majorHAnsi" w:cstheme="majorHAnsi"/>
          <w:i/>
          <w:color w:val="808080" w:themeColor="background1" w:themeShade="80"/>
          <w:sz w:val="16"/>
          <w:szCs w:val="16"/>
        </w:rPr>
        <w:t>Gonzalez et al.</w:t>
      </w:r>
      <w:r w:rsidRPr="001167CB">
        <w:rPr>
          <w:rFonts w:asciiTheme="majorHAnsi" w:hAnsiTheme="majorHAnsi" w:cstheme="majorHAnsi"/>
          <w:color w:val="808080" w:themeColor="background1" w:themeShade="80"/>
          <w:sz w:val="16"/>
          <w:szCs w:val="16"/>
        </w:rPr>
        <w:t xml:space="preserve"> (2007)”];</w:t>
      </w:r>
    </w:p>
  </w:footnote>
  <w:footnote w:id="470">
    <w:p w14:paraId="3DC70F16"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i/>
          <w:color w:val="808080" w:themeColor="background1" w:themeShade="80"/>
          <w:sz w:val="16"/>
          <w:szCs w:val="16"/>
        </w:rPr>
        <w:t>See, e.g.</w:t>
      </w:r>
      <w:r w:rsidRPr="001167CB">
        <w:rPr>
          <w:rFonts w:asciiTheme="majorHAnsi" w:hAnsiTheme="majorHAnsi" w:cstheme="majorHAnsi"/>
          <w:color w:val="808080" w:themeColor="background1" w:themeShade="80"/>
          <w:sz w:val="16"/>
          <w:szCs w:val="16"/>
        </w:rPr>
        <w:t xml:space="preserve">, Human Rights Comm., </w:t>
      </w:r>
      <w:hyperlink r:id="rId571" w:history="1">
        <w:r w:rsidRPr="001167CB">
          <w:rPr>
            <w:rStyle w:val="Hyperlink"/>
            <w:rFonts w:asciiTheme="majorHAnsi" w:hAnsiTheme="majorHAnsi" w:cstheme="majorHAnsi"/>
            <w:i/>
            <w:color w:val="808080" w:themeColor="background1" w:themeShade="80"/>
            <w:sz w:val="16"/>
            <w:szCs w:val="16"/>
          </w:rPr>
          <w:t>Concluding Observations of the Human Rights Committee: United States of America</w:t>
        </w:r>
        <w:r w:rsidRPr="001167CB">
          <w:rPr>
            <w:rStyle w:val="Hyperlink"/>
            <w:rFonts w:asciiTheme="majorHAnsi" w:hAnsiTheme="majorHAnsi" w:cstheme="majorHAnsi"/>
            <w:color w:val="808080" w:themeColor="background1" w:themeShade="80"/>
            <w:sz w:val="16"/>
            <w:szCs w:val="16"/>
          </w:rPr>
          <w:t>, U.N. Doc. CCPR/C/79/Add.50, A/50/40,</w:t>
        </w:r>
      </w:hyperlink>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bCs/>
          <w:color w:val="808080" w:themeColor="background1" w:themeShade="80"/>
          <w:sz w:val="16"/>
          <w:szCs w:val="16"/>
        </w:rPr>
        <w:t xml:space="preserve">Oct. </w:t>
      </w:r>
      <w:r w:rsidRPr="001167CB">
        <w:rPr>
          <w:rFonts w:asciiTheme="majorHAnsi" w:hAnsiTheme="majorHAnsi" w:cstheme="majorHAnsi"/>
          <w:color w:val="808080" w:themeColor="background1" w:themeShade="80"/>
          <w:sz w:val="16"/>
          <w:szCs w:val="16"/>
        </w:rPr>
        <w:t xml:space="preserve">3, 1995, para. 297; Human Rights Comm., </w:t>
      </w:r>
      <w:hyperlink r:id="rId572" w:history="1">
        <w:r w:rsidRPr="001167CB">
          <w:rPr>
            <w:rStyle w:val="Hyperlink"/>
            <w:rFonts w:asciiTheme="majorHAnsi" w:hAnsiTheme="majorHAnsi" w:cstheme="majorHAnsi"/>
            <w:i/>
            <w:color w:val="808080" w:themeColor="background1" w:themeShade="80"/>
            <w:sz w:val="16"/>
            <w:szCs w:val="16"/>
          </w:rPr>
          <w:t>Concluding Observations of the Human Rights Committee: United States of America</w:t>
        </w:r>
        <w:r w:rsidRPr="001167CB">
          <w:rPr>
            <w:rStyle w:val="Hyperlink"/>
            <w:rFonts w:asciiTheme="majorHAnsi" w:hAnsiTheme="majorHAnsi" w:cstheme="majorHAnsi"/>
            <w:color w:val="808080" w:themeColor="background1" w:themeShade="80"/>
            <w:sz w:val="16"/>
            <w:szCs w:val="16"/>
          </w:rPr>
          <w:t>, U.N. Doc. CCPR/C/USA/CO/3,</w:t>
        </w:r>
      </w:hyperlink>
      <w:r w:rsidRPr="001167CB">
        <w:rPr>
          <w:rFonts w:asciiTheme="majorHAnsi" w:hAnsiTheme="majorHAnsi" w:cstheme="majorHAnsi"/>
          <w:color w:val="808080" w:themeColor="background1" w:themeShade="80"/>
          <w:sz w:val="16"/>
          <w:szCs w:val="16"/>
        </w:rPr>
        <w:t xml:space="preserve"> Dec. 18, 2006, para. 30; </w:t>
      </w:r>
      <w:r w:rsidRPr="001167CB">
        <w:rPr>
          <w:rFonts w:asciiTheme="majorHAnsi" w:hAnsiTheme="majorHAnsi" w:cstheme="majorHAnsi"/>
          <w:bCs/>
          <w:color w:val="808080" w:themeColor="background1" w:themeShade="80"/>
          <w:sz w:val="16"/>
          <w:szCs w:val="16"/>
        </w:rPr>
        <w:t xml:space="preserve">Human Rights </w:t>
      </w:r>
      <w:proofErr w:type="gramStart"/>
      <w:r w:rsidRPr="001167CB">
        <w:rPr>
          <w:rFonts w:asciiTheme="majorHAnsi" w:hAnsiTheme="majorHAnsi" w:cstheme="majorHAnsi"/>
          <w:bCs/>
          <w:color w:val="808080" w:themeColor="background1" w:themeShade="80"/>
          <w:sz w:val="16"/>
          <w:szCs w:val="16"/>
        </w:rPr>
        <w:t>Comm..</w:t>
      </w:r>
      <w:proofErr w:type="gramEnd"/>
      <w:r w:rsidRPr="001167CB">
        <w:rPr>
          <w:rFonts w:asciiTheme="majorHAnsi" w:hAnsiTheme="majorHAnsi" w:cstheme="majorHAnsi"/>
          <w:bCs/>
          <w:color w:val="808080" w:themeColor="background1" w:themeShade="80"/>
          <w:sz w:val="16"/>
          <w:szCs w:val="16"/>
        </w:rPr>
        <w:t xml:space="preserve"> </w:t>
      </w:r>
      <w:hyperlink r:id="rId573" w:history="1">
        <w:r w:rsidRPr="001167CB">
          <w:rPr>
            <w:rStyle w:val="Hyperlink"/>
            <w:rFonts w:asciiTheme="majorHAnsi" w:hAnsiTheme="majorHAnsi" w:cstheme="majorHAnsi"/>
            <w:bCs/>
            <w:color w:val="808080" w:themeColor="background1" w:themeShade="80"/>
            <w:sz w:val="16"/>
            <w:szCs w:val="16"/>
          </w:rPr>
          <w:t>Concluding Observations 2014</w:t>
        </w:r>
      </w:hyperlink>
      <w:r w:rsidRPr="001167CB">
        <w:rPr>
          <w:rFonts w:asciiTheme="majorHAnsi" w:hAnsiTheme="majorHAnsi" w:cstheme="majorHAnsi"/>
          <w:bCs/>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 xml:space="preserve">Apr. </w:t>
      </w:r>
      <w:r w:rsidRPr="001167CB">
        <w:rPr>
          <w:rFonts w:asciiTheme="majorHAnsi" w:hAnsiTheme="majorHAnsi" w:cstheme="majorHAnsi"/>
          <w:bCs/>
          <w:color w:val="808080" w:themeColor="background1" w:themeShade="80"/>
          <w:sz w:val="16"/>
          <w:szCs w:val="16"/>
        </w:rPr>
        <w:t>23, 2014</w:t>
      </w:r>
      <w:r w:rsidRPr="001167CB">
        <w:rPr>
          <w:rFonts w:asciiTheme="majorHAnsi" w:hAnsiTheme="majorHAnsi" w:cstheme="majorHAnsi"/>
          <w:color w:val="808080" w:themeColor="background1" w:themeShade="80"/>
          <w:sz w:val="16"/>
          <w:szCs w:val="16"/>
        </w:rPr>
        <w:t xml:space="preserve">, para. 11(a); </w:t>
      </w:r>
      <w:r w:rsidRPr="001167CB">
        <w:rPr>
          <w:rFonts w:asciiTheme="majorHAnsi" w:hAnsiTheme="majorHAnsi" w:cstheme="majorHAnsi"/>
          <w:bCs/>
          <w:color w:val="808080" w:themeColor="background1" w:themeShade="80"/>
          <w:sz w:val="16"/>
          <w:szCs w:val="16"/>
        </w:rPr>
        <w:t xml:space="preserve">CERD, </w:t>
      </w:r>
      <w:hyperlink r:id="rId574" w:history="1">
        <w:r w:rsidRPr="001167CB">
          <w:rPr>
            <w:rStyle w:val="Hyperlink"/>
            <w:rFonts w:asciiTheme="majorHAnsi" w:hAnsiTheme="majorHAnsi" w:cstheme="majorHAnsi"/>
            <w:bCs/>
            <w:color w:val="808080" w:themeColor="background1" w:themeShade="80"/>
            <w:sz w:val="16"/>
            <w:szCs w:val="16"/>
          </w:rPr>
          <w:t>Concluding Observations 2014</w:t>
        </w:r>
      </w:hyperlink>
      <w:r w:rsidRPr="001167CB">
        <w:rPr>
          <w:rFonts w:asciiTheme="majorHAnsi" w:hAnsiTheme="majorHAnsi" w:cstheme="majorHAnsi"/>
          <w:bCs/>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 xml:space="preserve">Sept. </w:t>
      </w:r>
      <w:r w:rsidRPr="001167CB">
        <w:rPr>
          <w:rFonts w:asciiTheme="majorHAnsi" w:hAnsiTheme="majorHAnsi" w:cstheme="majorHAnsi"/>
          <w:bCs/>
          <w:color w:val="808080" w:themeColor="background1" w:themeShade="80"/>
          <w:sz w:val="16"/>
          <w:szCs w:val="16"/>
        </w:rPr>
        <w:t>25, 2014</w:t>
      </w:r>
      <w:r w:rsidRPr="001167CB">
        <w:rPr>
          <w:rFonts w:asciiTheme="majorHAnsi" w:hAnsiTheme="majorHAnsi" w:cstheme="majorHAnsi"/>
          <w:color w:val="808080" w:themeColor="background1" w:themeShade="80"/>
          <w:sz w:val="16"/>
          <w:szCs w:val="16"/>
        </w:rPr>
        <w:t>, para. 17 (b).</w:t>
      </w:r>
    </w:p>
  </w:footnote>
  <w:footnote w:id="471">
    <w:p w14:paraId="189AA45F"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See, e.g., U.S. Constitution, amendment IV; Tennessee v. Garner, 471 U.S. 1 (1985); Graham v. Connor, 490 U.S. 386 (1989); Tim Longo, </w:t>
      </w:r>
      <w:r w:rsidRPr="001167CB">
        <w:rPr>
          <w:rFonts w:asciiTheme="majorHAnsi" w:hAnsiTheme="majorHAnsi" w:cstheme="majorHAnsi"/>
          <w:i/>
          <w:color w:val="808080" w:themeColor="background1" w:themeShade="80"/>
          <w:sz w:val="16"/>
          <w:szCs w:val="16"/>
        </w:rPr>
        <w:t>Defining Instrumentalities of Deadly Force</w:t>
      </w:r>
      <w:r w:rsidRPr="001167CB">
        <w:rPr>
          <w:rFonts w:asciiTheme="majorHAnsi" w:hAnsiTheme="majorHAnsi" w:cstheme="majorHAnsi"/>
          <w:color w:val="808080" w:themeColor="background1" w:themeShade="80"/>
          <w:sz w:val="16"/>
          <w:szCs w:val="16"/>
        </w:rPr>
        <w:t xml:space="preserve">, 27 </w:t>
      </w:r>
      <w:proofErr w:type="spellStart"/>
      <w:r w:rsidRPr="001167CB">
        <w:rPr>
          <w:rFonts w:asciiTheme="majorHAnsi" w:hAnsiTheme="majorHAnsi" w:cstheme="majorHAnsi"/>
          <w:color w:val="808080" w:themeColor="background1" w:themeShade="80"/>
          <w:sz w:val="16"/>
          <w:szCs w:val="16"/>
        </w:rPr>
        <w:t>Touro</w:t>
      </w:r>
      <w:proofErr w:type="spellEnd"/>
      <w:r w:rsidRPr="001167CB">
        <w:rPr>
          <w:rFonts w:asciiTheme="majorHAnsi" w:hAnsiTheme="majorHAnsi" w:cstheme="majorHAnsi"/>
          <w:color w:val="808080" w:themeColor="background1" w:themeShade="80"/>
          <w:sz w:val="16"/>
          <w:szCs w:val="16"/>
        </w:rPr>
        <w:t xml:space="preserve"> Law Review 261 (2011); The Nation, </w:t>
      </w:r>
      <w:hyperlink r:id="rId575" w:history="1">
        <w:r w:rsidRPr="001167CB">
          <w:rPr>
            <w:rStyle w:val="Hyperlink"/>
            <w:rFonts w:asciiTheme="majorHAnsi" w:hAnsiTheme="majorHAnsi" w:cstheme="majorHAnsi"/>
            <w:color w:val="808080" w:themeColor="background1" w:themeShade="80"/>
            <w:sz w:val="16"/>
            <w:szCs w:val="16"/>
          </w:rPr>
          <w:t>Why It’s Impossible to Indict a Cop</w:t>
        </w:r>
      </w:hyperlink>
      <w:r w:rsidRPr="001167CB">
        <w:rPr>
          <w:rFonts w:asciiTheme="majorHAnsi" w:hAnsiTheme="majorHAnsi" w:cstheme="majorHAnsi"/>
          <w:color w:val="808080" w:themeColor="background1" w:themeShade="80"/>
          <w:sz w:val="16"/>
          <w:szCs w:val="16"/>
        </w:rPr>
        <w:t>, Dec. 25, 2014.</w:t>
      </w:r>
    </w:p>
  </w:footnote>
  <w:footnote w:id="472">
    <w:p w14:paraId="7FA0A122"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hyperlink r:id="rId576" w:history="1">
        <w:r w:rsidRPr="001167CB">
          <w:rPr>
            <w:rStyle w:val="Hyperlink"/>
            <w:rFonts w:asciiTheme="majorHAnsi" w:hAnsiTheme="majorHAnsi" w:cstheme="majorHAnsi"/>
            <w:bCs/>
            <w:color w:val="808080" w:themeColor="background1" w:themeShade="80"/>
            <w:sz w:val="16"/>
            <w:szCs w:val="16"/>
          </w:rPr>
          <w:t>U.N. Basic Principles on the Use of Force</w:t>
        </w:r>
      </w:hyperlink>
      <w:r w:rsidRPr="001167CB">
        <w:rPr>
          <w:rFonts w:asciiTheme="majorHAnsi" w:hAnsiTheme="majorHAnsi" w:cstheme="majorHAnsi"/>
          <w:bCs/>
          <w:color w:val="808080" w:themeColor="background1" w:themeShade="80"/>
          <w:sz w:val="16"/>
          <w:szCs w:val="16"/>
        </w:rPr>
        <w:t>, No.</w:t>
      </w:r>
      <w:r w:rsidRPr="001167CB">
        <w:rPr>
          <w:rFonts w:asciiTheme="majorHAnsi" w:hAnsiTheme="majorHAnsi" w:cstheme="majorHAnsi"/>
          <w:color w:val="808080" w:themeColor="background1" w:themeShade="80"/>
          <w:sz w:val="16"/>
          <w:szCs w:val="16"/>
        </w:rPr>
        <w:t xml:space="preserve"> 9 (“... In any event, intentional lethal use of firearms may only be made when strictly unavoidable in order to protect life.”).</w:t>
      </w:r>
    </w:p>
  </w:footnote>
  <w:footnote w:id="473">
    <w:p w14:paraId="50528046"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471 U.S. 1, 3 (1985).</w:t>
      </w:r>
    </w:p>
  </w:footnote>
  <w:footnote w:id="474">
    <w:p w14:paraId="080FDF11"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i/>
          <w:color w:val="808080" w:themeColor="background1" w:themeShade="80"/>
          <w:sz w:val="16"/>
          <w:szCs w:val="16"/>
        </w:rPr>
        <w:t>Graham v. Connor</w:t>
      </w:r>
      <w:r w:rsidRPr="001167CB">
        <w:rPr>
          <w:rFonts w:asciiTheme="majorHAnsi" w:hAnsiTheme="majorHAnsi" w:cstheme="majorHAnsi"/>
          <w:color w:val="808080" w:themeColor="background1" w:themeShade="80"/>
          <w:sz w:val="16"/>
          <w:szCs w:val="16"/>
        </w:rPr>
        <w:t>, 490 U.S. 386 (1989).</w:t>
      </w:r>
    </w:p>
  </w:footnote>
  <w:footnote w:id="475">
    <w:p w14:paraId="63ED3649"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Id. at 396.</w:t>
      </w:r>
    </w:p>
  </w:footnote>
  <w:footnote w:id="476">
    <w:p w14:paraId="1E4887AE"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i/>
          <w:color w:val="808080" w:themeColor="background1" w:themeShade="80"/>
          <w:sz w:val="16"/>
          <w:szCs w:val="16"/>
        </w:rPr>
        <w:t>Scott v. Harris</w:t>
      </w:r>
      <w:r w:rsidRPr="001167CB">
        <w:rPr>
          <w:rFonts w:asciiTheme="majorHAnsi" w:hAnsiTheme="majorHAnsi" w:cstheme="majorHAnsi"/>
          <w:color w:val="808080" w:themeColor="background1" w:themeShade="80"/>
          <w:sz w:val="16"/>
          <w:szCs w:val="16"/>
        </w:rPr>
        <w:t xml:space="preserve">, 550 U.S. 372, 382 (2007). </w:t>
      </w:r>
    </w:p>
  </w:footnote>
  <w:footnote w:id="477">
    <w:p w14:paraId="5F89ED09"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i/>
          <w:color w:val="808080" w:themeColor="background1" w:themeShade="80"/>
          <w:sz w:val="16"/>
          <w:szCs w:val="16"/>
        </w:rPr>
        <w:t xml:space="preserve">See </w:t>
      </w:r>
      <w:hyperlink r:id="rId577" w:history="1">
        <w:r w:rsidRPr="001167CB">
          <w:rPr>
            <w:rStyle w:val="Hyperlink"/>
            <w:rFonts w:asciiTheme="majorHAnsi" w:hAnsiTheme="majorHAnsi" w:cstheme="majorHAnsi"/>
            <w:bCs/>
            <w:color w:val="808080" w:themeColor="background1" w:themeShade="80"/>
            <w:sz w:val="16"/>
            <w:szCs w:val="16"/>
          </w:rPr>
          <w:t>U.N. Basic Principles on the Use of Force</w:t>
        </w:r>
      </w:hyperlink>
      <w:r w:rsidRPr="001167CB">
        <w:rPr>
          <w:rFonts w:asciiTheme="majorHAnsi" w:hAnsiTheme="majorHAnsi" w:cstheme="majorHAnsi"/>
          <w:bCs/>
          <w:color w:val="808080" w:themeColor="background1" w:themeShade="80"/>
          <w:sz w:val="16"/>
          <w:szCs w:val="16"/>
        </w:rPr>
        <w:t>, No.</w:t>
      </w:r>
      <w:r w:rsidRPr="001167CB">
        <w:rPr>
          <w:rFonts w:asciiTheme="majorHAnsi" w:hAnsiTheme="majorHAnsi" w:cstheme="majorHAnsi"/>
          <w:color w:val="808080" w:themeColor="background1" w:themeShade="80"/>
          <w:sz w:val="16"/>
          <w:szCs w:val="16"/>
        </w:rPr>
        <w:t xml:space="preserve"> 9.</w:t>
      </w:r>
    </w:p>
  </w:footnote>
  <w:footnote w:id="478">
    <w:p w14:paraId="49574F68"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Amnesty International, </w:t>
      </w:r>
      <w:hyperlink r:id="rId578">
        <w:r w:rsidRPr="001167CB">
          <w:rPr>
            <w:rStyle w:val="Hyperlink"/>
            <w:rFonts w:asciiTheme="majorHAnsi" w:hAnsiTheme="majorHAnsi" w:cstheme="majorHAnsi"/>
            <w:color w:val="808080" w:themeColor="background1" w:themeShade="80"/>
            <w:sz w:val="16"/>
            <w:szCs w:val="16"/>
          </w:rPr>
          <w:t xml:space="preserve">Deadly Force: Police Use of Lethal Force </w:t>
        </w:r>
        <w:proofErr w:type="gramStart"/>
        <w:r w:rsidRPr="001167CB">
          <w:rPr>
            <w:rStyle w:val="Hyperlink"/>
            <w:rFonts w:asciiTheme="majorHAnsi" w:hAnsiTheme="majorHAnsi" w:cstheme="majorHAnsi"/>
            <w:color w:val="808080" w:themeColor="background1" w:themeShade="80"/>
            <w:sz w:val="16"/>
            <w:szCs w:val="16"/>
          </w:rPr>
          <w:t>In</w:t>
        </w:r>
        <w:proofErr w:type="gramEnd"/>
        <w:r w:rsidRPr="001167CB">
          <w:rPr>
            <w:rStyle w:val="Hyperlink"/>
            <w:rFonts w:asciiTheme="majorHAnsi" w:hAnsiTheme="majorHAnsi" w:cstheme="majorHAnsi"/>
            <w:color w:val="808080" w:themeColor="background1" w:themeShade="80"/>
            <w:sz w:val="16"/>
            <w:szCs w:val="16"/>
          </w:rPr>
          <w:t xml:space="preserve"> The United States</w:t>
        </w:r>
      </w:hyperlink>
      <w:r w:rsidRPr="001167CB">
        <w:rPr>
          <w:rStyle w:val="Hyperlink"/>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June 2015, p. 18.</w:t>
      </w:r>
    </w:p>
  </w:footnote>
  <w:footnote w:id="479">
    <w:p w14:paraId="358E1A28"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lang w:val="en-GB"/>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Vera Institute of Justice, </w:t>
      </w:r>
      <w:hyperlink r:id="rId579" w:history="1">
        <w:r w:rsidRPr="001167CB">
          <w:rPr>
            <w:rStyle w:val="Hyperlink"/>
            <w:rFonts w:asciiTheme="majorHAnsi" w:hAnsiTheme="majorHAnsi" w:cstheme="majorHAnsi"/>
            <w:color w:val="808080" w:themeColor="background1" w:themeShade="80"/>
            <w:sz w:val="16"/>
            <w:szCs w:val="16"/>
          </w:rPr>
          <w:t>To Protect and Serve: New Trends in State-Level Policing Reform, 2015-2016</w:t>
        </w:r>
      </w:hyperlink>
      <w:r w:rsidRPr="001167CB">
        <w:rPr>
          <w:rFonts w:asciiTheme="majorHAnsi" w:hAnsiTheme="majorHAnsi" w:cstheme="majorHAnsi"/>
          <w:color w:val="808080" w:themeColor="background1" w:themeShade="80"/>
          <w:sz w:val="16"/>
          <w:szCs w:val="16"/>
        </w:rPr>
        <w:t>, Apr. 2017.</w:t>
      </w:r>
    </w:p>
  </w:footnote>
  <w:footnote w:id="480">
    <w:p w14:paraId="278E2E0D" w14:textId="77777777" w:rsidR="005C2394" w:rsidRPr="001167CB" w:rsidRDefault="005C2394" w:rsidP="002C64F8">
      <w:pPr>
        <w:pStyle w:val="FootnoteText"/>
        <w:spacing w:after="40"/>
        <w:ind w:left="547" w:hanging="547"/>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bCs/>
          <w:color w:val="808080" w:themeColor="background1" w:themeShade="80"/>
          <w:sz w:val="16"/>
          <w:szCs w:val="16"/>
        </w:rPr>
        <w:t xml:space="preserve">IACHR, </w:t>
      </w:r>
      <w:hyperlink r:id="rId580" w:history="1">
        <w:r w:rsidRPr="001167CB">
          <w:rPr>
            <w:rStyle w:val="Hyperlink"/>
            <w:rFonts w:asciiTheme="majorHAnsi" w:hAnsiTheme="majorHAnsi" w:cstheme="majorHAnsi"/>
            <w:bCs/>
            <w:color w:val="808080" w:themeColor="background1" w:themeShade="80"/>
            <w:sz w:val="16"/>
            <w:szCs w:val="16"/>
          </w:rPr>
          <w:t>Investigation of Police Killings Press Release</w:t>
        </w:r>
      </w:hyperlink>
      <w:r w:rsidRPr="001167CB">
        <w:rPr>
          <w:rFonts w:asciiTheme="majorHAnsi" w:hAnsiTheme="majorHAnsi" w:cstheme="majorHAnsi"/>
          <w:bCs/>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 xml:space="preserve">Aug. </w:t>
      </w:r>
      <w:r w:rsidRPr="001167CB">
        <w:rPr>
          <w:rFonts w:asciiTheme="majorHAnsi" w:hAnsiTheme="majorHAnsi" w:cstheme="majorHAnsi"/>
          <w:bCs/>
          <w:color w:val="808080" w:themeColor="background1" w:themeShade="80"/>
          <w:sz w:val="16"/>
          <w:szCs w:val="16"/>
        </w:rPr>
        <w:t>23, 2016.</w:t>
      </w:r>
    </w:p>
  </w:footnote>
  <w:footnote w:id="481">
    <w:p w14:paraId="14896112"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On the relevance of domestic legislation that effectively prohibits the violation of internationally recognized rights, </w:t>
      </w:r>
      <w:r w:rsidRPr="001167CB">
        <w:rPr>
          <w:rFonts w:asciiTheme="majorHAnsi" w:hAnsiTheme="majorHAnsi" w:cstheme="majorHAnsi"/>
          <w:i/>
          <w:color w:val="808080" w:themeColor="background1" w:themeShade="80"/>
          <w:sz w:val="16"/>
          <w:szCs w:val="16"/>
        </w:rPr>
        <w:t>see, e.g.,</w:t>
      </w:r>
      <w:r w:rsidRPr="001167CB">
        <w:rPr>
          <w:rFonts w:asciiTheme="majorHAnsi" w:hAnsiTheme="majorHAnsi" w:cstheme="majorHAnsi"/>
          <w:color w:val="808080" w:themeColor="background1" w:themeShade="80"/>
          <w:sz w:val="16"/>
          <w:szCs w:val="16"/>
        </w:rPr>
        <w:t xml:space="preserve"> I/A Ct. H.R., </w:t>
      </w:r>
      <w:hyperlink r:id="rId581" w:history="1">
        <w:r w:rsidRPr="001167CB">
          <w:rPr>
            <w:rStyle w:val="Hyperlink"/>
            <w:rFonts w:asciiTheme="majorHAnsi" w:hAnsiTheme="majorHAnsi" w:cstheme="majorHAnsi"/>
            <w:i/>
            <w:color w:val="808080" w:themeColor="background1" w:themeShade="80"/>
            <w:sz w:val="16"/>
            <w:szCs w:val="16"/>
          </w:rPr>
          <w:t>International Responsibility for the Promulgation and Enforcement of Laws in Violation of the Convention (Arts. 1 and 2 of the American Convention on Human Rights)</w:t>
        </w:r>
      </w:hyperlink>
      <w:r w:rsidRPr="001167CB">
        <w:rPr>
          <w:rFonts w:asciiTheme="majorHAnsi" w:hAnsiTheme="majorHAnsi" w:cstheme="majorHAnsi"/>
          <w:color w:val="808080" w:themeColor="background1" w:themeShade="80"/>
          <w:sz w:val="16"/>
          <w:szCs w:val="16"/>
        </w:rPr>
        <w:t xml:space="preserve">, Advisory Opinion OC-14/94 of Dec. 9, 1994, paras. 37-39; U.N., Working Group on Enforced and Involuntary Disappearances, </w:t>
      </w:r>
      <w:hyperlink r:id="rId582" w:history="1">
        <w:r w:rsidRPr="001167CB">
          <w:rPr>
            <w:rStyle w:val="Hyperlink"/>
            <w:rFonts w:asciiTheme="majorHAnsi" w:hAnsiTheme="majorHAnsi" w:cstheme="majorHAnsi"/>
            <w:i/>
            <w:color w:val="808080" w:themeColor="background1" w:themeShade="80"/>
            <w:sz w:val="16"/>
            <w:szCs w:val="16"/>
          </w:rPr>
          <w:t>Best practices on enforced disappearances in domestic criminal legislation</w:t>
        </w:r>
      </w:hyperlink>
      <w:r w:rsidRPr="001167CB">
        <w:rPr>
          <w:rFonts w:asciiTheme="majorHAnsi" w:hAnsiTheme="majorHAnsi" w:cstheme="majorHAnsi"/>
          <w:color w:val="808080" w:themeColor="background1" w:themeShade="80"/>
          <w:sz w:val="16"/>
          <w:szCs w:val="16"/>
        </w:rPr>
        <w:t>, A/HRC/16/48/Add.3, Dec. 28, 2010, para. 10.</w:t>
      </w:r>
    </w:p>
  </w:footnote>
  <w:footnote w:id="482">
    <w:p w14:paraId="755DB9CA" w14:textId="74E0D8C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i/>
          <w:color w:val="808080" w:themeColor="background1" w:themeShade="80"/>
          <w:sz w:val="16"/>
          <w:szCs w:val="16"/>
        </w:rPr>
        <w:t>See also supra</w:t>
      </w:r>
      <w:r w:rsidRPr="001167CB">
        <w:rPr>
          <w:rFonts w:asciiTheme="majorHAnsi" w:hAnsiTheme="majorHAnsi" w:cstheme="majorHAnsi"/>
          <w:color w:val="808080" w:themeColor="background1" w:themeShade="80"/>
          <w:sz w:val="16"/>
          <w:szCs w:val="16"/>
        </w:rPr>
        <w:t xml:space="preserve"> para. </w:t>
      </w:r>
      <w:r w:rsidRPr="001167CB">
        <w:rPr>
          <w:rFonts w:asciiTheme="majorHAnsi" w:hAnsiTheme="majorHAnsi" w:cstheme="majorHAnsi"/>
          <w:color w:val="808080" w:themeColor="background1" w:themeShade="80"/>
          <w:sz w:val="16"/>
          <w:szCs w:val="16"/>
        </w:rPr>
        <w:fldChar w:fldCharType="begin"/>
      </w:r>
      <w:r w:rsidRPr="001167CB">
        <w:rPr>
          <w:rFonts w:asciiTheme="majorHAnsi" w:hAnsiTheme="majorHAnsi" w:cstheme="majorHAnsi"/>
          <w:color w:val="808080" w:themeColor="background1" w:themeShade="80"/>
          <w:sz w:val="16"/>
          <w:szCs w:val="16"/>
        </w:rPr>
        <w:instrText xml:space="preserve"> REF _Ref507172452 \r \h  \* MERGEFORMAT </w:instrText>
      </w:r>
      <w:r w:rsidRPr="001167CB">
        <w:rPr>
          <w:rFonts w:asciiTheme="majorHAnsi" w:hAnsiTheme="majorHAnsi" w:cstheme="majorHAnsi"/>
          <w:color w:val="808080" w:themeColor="background1" w:themeShade="80"/>
          <w:sz w:val="16"/>
          <w:szCs w:val="16"/>
        </w:rPr>
      </w:r>
      <w:r w:rsidRPr="001167CB">
        <w:rPr>
          <w:rFonts w:asciiTheme="majorHAnsi" w:hAnsiTheme="majorHAnsi" w:cstheme="majorHAnsi"/>
          <w:color w:val="808080" w:themeColor="background1" w:themeShade="80"/>
          <w:sz w:val="16"/>
          <w:szCs w:val="16"/>
        </w:rPr>
        <w:fldChar w:fldCharType="separate"/>
      </w:r>
      <w:r w:rsidRPr="001167CB">
        <w:rPr>
          <w:rFonts w:asciiTheme="majorHAnsi" w:hAnsiTheme="majorHAnsi" w:cstheme="majorHAnsi"/>
          <w:color w:val="808080" w:themeColor="background1" w:themeShade="80"/>
          <w:sz w:val="16"/>
          <w:szCs w:val="16"/>
        </w:rPr>
        <w:t>208</w:t>
      </w:r>
      <w:r w:rsidRPr="001167CB">
        <w:rPr>
          <w:rFonts w:asciiTheme="majorHAnsi" w:hAnsiTheme="majorHAnsi" w:cstheme="majorHAnsi"/>
          <w:color w:val="808080" w:themeColor="background1" w:themeShade="80"/>
          <w:sz w:val="16"/>
          <w:szCs w:val="16"/>
        </w:rPr>
        <w:fldChar w:fldCharType="end"/>
      </w:r>
      <w:r w:rsidRPr="001167CB">
        <w:rPr>
          <w:rFonts w:asciiTheme="majorHAnsi" w:hAnsiTheme="majorHAnsi" w:cstheme="majorHAnsi"/>
          <w:color w:val="808080" w:themeColor="background1" w:themeShade="80"/>
          <w:sz w:val="16"/>
          <w:szCs w:val="16"/>
        </w:rPr>
        <w:t>.</w:t>
      </w:r>
    </w:p>
  </w:footnote>
  <w:footnote w:id="483">
    <w:p w14:paraId="27AD7AD0"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IACHR, </w:t>
      </w:r>
      <w:hyperlink r:id="rId583" w:history="1">
        <w:r w:rsidRPr="001167CB">
          <w:rPr>
            <w:rStyle w:val="Hyperlink"/>
            <w:rFonts w:asciiTheme="majorHAnsi" w:hAnsiTheme="majorHAnsi" w:cstheme="majorHAnsi"/>
            <w:color w:val="808080" w:themeColor="background1" w:themeShade="80"/>
            <w:sz w:val="16"/>
            <w:szCs w:val="16"/>
          </w:rPr>
          <w:t xml:space="preserve">Annual Report 2015: Chapter IV </w:t>
        </w:r>
        <w:proofErr w:type="gramStart"/>
        <w:r w:rsidRPr="001167CB">
          <w:rPr>
            <w:rStyle w:val="Hyperlink"/>
            <w:rFonts w:asciiTheme="majorHAnsi" w:hAnsiTheme="majorHAnsi" w:cstheme="majorHAnsi"/>
            <w:color w:val="808080" w:themeColor="background1" w:themeShade="80"/>
            <w:sz w:val="16"/>
            <w:szCs w:val="16"/>
          </w:rPr>
          <w:t>The</w:t>
        </w:r>
        <w:proofErr w:type="gramEnd"/>
        <w:r w:rsidRPr="001167CB">
          <w:rPr>
            <w:rStyle w:val="Hyperlink"/>
            <w:rFonts w:asciiTheme="majorHAnsi" w:hAnsiTheme="majorHAnsi" w:cstheme="majorHAnsi"/>
            <w:color w:val="808080" w:themeColor="background1" w:themeShade="80"/>
            <w:sz w:val="16"/>
            <w:szCs w:val="16"/>
          </w:rPr>
          <w:t xml:space="preserve"> Use of Force</w:t>
        </w:r>
      </w:hyperlink>
      <w:r w:rsidRPr="001167CB">
        <w:rPr>
          <w:rFonts w:asciiTheme="majorHAnsi" w:hAnsiTheme="majorHAnsi" w:cstheme="majorHAnsi"/>
          <w:color w:val="808080" w:themeColor="background1" w:themeShade="80"/>
          <w:sz w:val="16"/>
          <w:szCs w:val="16"/>
        </w:rPr>
        <w:t xml:space="preserve">, para. 21 (citing </w:t>
      </w:r>
      <w:proofErr w:type="gramStart"/>
      <w:r w:rsidRPr="001167CB">
        <w:rPr>
          <w:rFonts w:asciiTheme="majorHAnsi" w:hAnsiTheme="majorHAnsi" w:cstheme="majorHAnsi"/>
          <w:color w:val="808080" w:themeColor="background1" w:themeShade="80"/>
          <w:sz w:val="16"/>
          <w:szCs w:val="16"/>
        </w:rPr>
        <w:t>I/A</w:t>
      </w:r>
      <w:proofErr w:type="gramEnd"/>
      <w:r w:rsidRPr="001167CB">
        <w:rPr>
          <w:rFonts w:asciiTheme="majorHAnsi" w:hAnsiTheme="majorHAnsi" w:cstheme="majorHAnsi"/>
          <w:color w:val="808080" w:themeColor="background1" w:themeShade="80"/>
          <w:sz w:val="16"/>
          <w:szCs w:val="16"/>
        </w:rPr>
        <w:t xml:space="preserve"> Court HR. </w:t>
      </w:r>
      <w:r w:rsidRPr="001167CB">
        <w:rPr>
          <w:rFonts w:asciiTheme="majorHAnsi" w:hAnsiTheme="majorHAnsi" w:cstheme="majorHAnsi"/>
          <w:i/>
          <w:color w:val="808080" w:themeColor="background1" w:themeShade="80"/>
          <w:sz w:val="16"/>
          <w:szCs w:val="16"/>
        </w:rPr>
        <w:t xml:space="preserve">Case of Montero </w:t>
      </w:r>
      <w:proofErr w:type="spellStart"/>
      <w:r w:rsidRPr="001167CB">
        <w:rPr>
          <w:rFonts w:asciiTheme="majorHAnsi" w:hAnsiTheme="majorHAnsi" w:cstheme="majorHAnsi"/>
          <w:i/>
          <w:color w:val="808080" w:themeColor="background1" w:themeShade="80"/>
          <w:sz w:val="16"/>
          <w:szCs w:val="16"/>
        </w:rPr>
        <w:t>Aranguren</w:t>
      </w:r>
      <w:proofErr w:type="spellEnd"/>
      <w:r w:rsidRPr="001167CB">
        <w:rPr>
          <w:rFonts w:asciiTheme="majorHAnsi" w:hAnsiTheme="majorHAnsi" w:cstheme="majorHAnsi"/>
          <w:i/>
          <w:color w:val="808080" w:themeColor="background1" w:themeShade="80"/>
          <w:sz w:val="16"/>
          <w:szCs w:val="16"/>
        </w:rPr>
        <w:t xml:space="preserve"> et al. (Detention Center of </w:t>
      </w:r>
      <w:proofErr w:type="spellStart"/>
      <w:r w:rsidRPr="001167CB">
        <w:rPr>
          <w:rFonts w:asciiTheme="majorHAnsi" w:hAnsiTheme="majorHAnsi" w:cstheme="majorHAnsi"/>
          <w:i/>
          <w:color w:val="808080" w:themeColor="background1" w:themeShade="80"/>
          <w:sz w:val="16"/>
          <w:szCs w:val="16"/>
        </w:rPr>
        <w:t>Catia</w:t>
      </w:r>
      <w:proofErr w:type="spellEnd"/>
      <w:r w:rsidRPr="001167CB">
        <w:rPr>
          <w:rFonts w:asciiTheme="majorHAnsi" w:hAnsiTheme="majorHAnsi" w:cstheme="majorHAnsi"/>
          <w:i/>
          <w:color w:val="808080" w:themeColor="background1" w:themeShade="80"/>
          <w:sz w:val="16"/>
          <w:szCs w:val="16"/>
        </w:rPr>
        <w:t>) v. Venezuela</w:t>
      </w:r>
      <w:r w:rsidRPr="001167CB">
        <w:rPr>
          <w:rFonts w:asciiTheme="majorHAnsi" w:hAnsiTheme="majorHAnsi" w:cstheme="majorHAnsi"/>
          <w:color w:val="808080" w:themeColor="background1" w:themeShade="80"/>
          <w:sz w:val="16"/>
          <w:szCs w:val="16"/>
        </w:rPr>
        <w:t xml:space="preserve">. Preliminary Objections, Merits, Reparations and Costs. Judgment of July 5, 2006. Series C No. 150, para. 77; </w:t>
      </w:r>
      <w:r w:rsidRPr="001167CB">
        <w:rPr>
          <w:rFonts w:asciiTheme="majorHAnsi" w:hAnsiTheme="majorHAnsi" w:cstheme="majorHAnsi"/>
          <w:i/>
          <w:color w:val="808080" w:themeColor="background1" w:themeShade="80"/>
          <w:sz w:val="16"/>
          <w:szCs w:val="16"/>
        </w:rPr>
        <w:t xml:space="preserve">Case of Zambrano </w:t>
      </w:r>
      <w:proofErr w:type="spellStart"/>
      <w:r w:rsidRPr="001167CB">
        <w:rPr>
          <w:rFonts w:asciiTheme="majorHAnsi" w:hAnsiTheme="majorHAnsi" w:cstheme="majorHAnsi"/>
          <w:i/>
          <w:color w:val="808080" w:themeColor="background1" w:themeShade="80"/>
          <w:sz w:val="16"/>
          <w:szCs w:val="16"/>
        </w:rPr>
        <w:t>Vélez</w:t>
      </w:r>
      <w:proofErr w:type="spellEnd"/>
      <w:r w:rsidRPr="001167CB">
        <w:rPr>
          <w:rFonts w:asciiTheme="majorHAnsi" w:hAnsiTheme="majorHAnsi" w:cstheme="majorHAnsi"/>
          <w:i/>
          <w:color w:val="808080" w:themeColor="background1" w:themeShade="80"/>
          <w:sz w:val="16"/>
          <w:szCs w:val="16"/>
        </w:rPr>
        <w:t xml:space="preserve"> et al. v. Ecuador</w:t>
      </w:r>
      <w:r w:rsidRPr="001167CB">
        <w:rPr>
          <w:rFonts w:asciiTheme="majorHAnsi" w:hAnsiTheme="majorHAnsi" w:cstheme="majorHAnsi"/>
          <w:color w:val="808080" w:themeColor="background1" w:themeShade="80"/>
          <w:sz w:val="16"/>
          <w:szCs w:val="16"/>
        </w:rPr>
        <w:t xml:space="preserve">. Merits, Reparations and Costs. Judgment of July 4, 2007. Series C No. 166, para. 87. </w:t>
      </w:r>
      <w:r w:rsidRPr="001167CB">
        <w:rPr>
          <w:rFonts w:asciiTheme="majorHAnsi" w:hAnsiTheme="majorHAnsi" w:cstheme="majorHAnsi"/>
          <w:i/>
          <w:color w:val="808080" w:themeColor="background1" w:themeShade="80"/>
          <w:sz w:val="16"/>
          <w:szCs w:val="16"/>
        </w:rPr>
        <w:t>See also</w:t>
      </w:r>
      <w:r w:rsidRPr="001167CB">
        <w:rPr>
          <w:rFonts w:asciiTheme="majorHAnsi" w:hAnsiTheme="majorHAnsi" w:cstheme="majorHAnsi"/>
          <w:color w:val="808080" w:themeColor="background1" w:themeShade="80"/>
          <w:sz w:val="16"/>
          <w:szCs w:val="16"/>
        </w:rPr>
        <w:t xml:space="preserve"> IACHR, </w:t>
      </w:r>
      <w:hyperlink r:id="rId584" w:history="1">
        <w:r w:rsidRPr="001167CB">
          <w:rPr>
            <w:rStyle w:val="Hyperlink"/>
            <w:rFonts w:asciiTheme="majorHAnsi" w:hAnsiTheme="majorHAnsi" w:cstheme="majorHAnsi"/>
            <w:color w:val="808080" w:themeColor="background1" w:themeShade="80"/>
            <w:sz w:val="16"/>
            <w:szCs w:val="16"/>
          </w:rPr>
          <w:t>Citizen Security and Human Rights</w:t>
        </w:r>
      </w:hyperlink>
      <w:r w:rsidRPr="001167CB">
        <w:rPr>
          <w:rFonts w:asciiTheme="majorHAnsi" w:hAnsiTheme="majorHAnsi" w:cstheme="majorHAnsi"/>
          <w:color w:val="808080" w:themeColor="background1" w:themeShade="80"/>
          <w:sz w:val="16"/>
          <w:szCs w:val="16"/>
        </w:rPr>
        <w:t xml:space="preserve"> (2009), para. 115).</w:t>
      </w:r>
    </w:p>
  </w:footnote>
  <w:footnote w:id="484">
    <w:p w14:paraId="454D3DED"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Id. at para. 22.</w:t>
      </w:r>
    </w:p>
  </w:footnote>
  <w:footnote w:id="485">
    <w:p w14:paraId="3F4D8810"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hyperlink r:id="rId585" w:history="1">
        <w:r w:rsidRPr="001167CB">
          <w:rPr>
            <w:rStyle w:val="Hyperlink"/>
            <w:rFonts w:asciiTheme="majorHAnsi" w:hAnsiTheme="majorHAnsi" w:cstheme="majorHAnsi"/>
            <w:bCs/>
            <w:color w:val="808080" w:themeColor="background1" w:themeShade="80"/>
            <w:sz w:val="16"/>
            <w:szCs w:val="16"/>
          </w:rPr>
          <w:t>U.N. Basic Principles on the Use of Force</w:t>
        </w:r>
      </w:hyperlink>
      <w:r w:rsidRPr="001167CB">
        <w:rPr>
          <w:rFonts w:asciiTheme="majorHAnsi" w:hAnsiTheme="majorHAnsi" w:cstheme="majorHAnsi"/>
          <w:bCs/>
          <w:color w:val="808080" w:themeColor="background1" w:themeShade="80"/>
          <w:sz w:val="16"/>
          <w:szCs w:val="16"/>
        </w:rPr>
        <w:t>, No.</w:t>
      </w:r>
      <w:r w:rsidRPr="001167CB">
        <w:rPr>
          <w:rFonts w:asciiTheme="majorHAnsi" w:hAnsiTheme="majorHAnsi" w:cstheme="majorHAnsi"/>
          <w:color w:val="808080" w:themeColor="background1" w:themeShade="80"/>
          <w:sz w:val="16"/>
          <w:szCs w:val="16"/>
        </w:rPr>
        <w:t xml:space="preserve"> 18.</w:t>
      </w:r>
    </w:p>
  </w:footnote>
  <w:footnote w:id="486">
    <w:p w14:paraId="1C6994EC"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hyperlink r:id="rId586" w:history="1">
        <w:r w:rsidRPr="001167CB">
          <w:rPr>
            <w:rStyle w:val="Hyperlink"/>
            <w:rFonts w:asciiTheme="majorHAnsi" w:hAnsiTheme="majorHAnsi" w:cstheme="majorHAnsi"/>
            <w:bCs/>
            <w:color w:val="808080" w:themeColor="background1" w:themeShade="80"/>
            <w:sz w:val="16"/>
            <w:szCs w:val="16"/>
          </w:rPr>
          <w:t>U.N. Basic Principles on the Use of Force</w:t>
        </w:r>
      </w:hyperlink>
      <w:r w:rsidRPr="001167CB">
        <w:rPr>
          <w:rFonts w:asciiTheme="majorHAnsi" w:hAnsiTheme="majorHAnsi" w:cstheme="majorHAnsi"/>
          <w:bCs/>
          <w:color w:val="808080" w:themeColor="background1" w:themeShade="80"/>
          <w:sz w:val="16"/>
          <w:szCs w:val="16"/>
        </w:rPr>
        <w:t>, No.</w:t>
      </w:r>
      <w:r w:rsidRPr="001167CB">
        <w:rPr>
          <w:rFonts w:asciiTheme="majorHAnsi" w:hAnsiTheme="majorHAnsi" w:cstheme="majorHAnsi"/>
          <w:color w:val="808080" w:themeColor="background1" w:themeShade="80"/>
          <w:sz w:val="16"/>
          <w:szCs w:val="16"/>
        </w:rPr>
        <w:t xml:space="preserve"> 20.</w:t>
      </w:r>
    </w:p>
  </w:footnote>
  <w:footnote w:id="487">
    <w:p w14:paraId="1982E3AD"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Id.</w:t>
      </w:r>
    </w:p>
  </w:footnote>
  <w:footnote w:id="488">
    <w:p w14:paraId="4D651154" w14:textId="77777777" w:rsidR="005C2394" w:rsidRPr="001167CB" w:rsidRDefault="005C2394" w:rsidP="002C64F8">
      <w:pPr>
        <w:pStyle w:val="FootnoteText"/>
        <w:spacing w:after="40"/>
        <w:ind w:left="547" w:hanging="547"/>
        <w:contextualSpacing/>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CERD, </w:t>
      </w:r>
      <w:hyperlink r:id="rId587" w:history="1">
        <w:r w:rsidRPr="001167CB">
          <w:rPr>
            <w:rStyle w:val="Hyperlink"/>
            <w:rFonts w:asciiTheme="majorHAnsi" w:hAnsiTheme="majorHAnsi" w:cstheme="majorHAnsi"/>
            <w:i/>
            <w:color w:val="808080" w:themeColor="background1" w:themeShade="80"/>
            <w:sz w:val="16"/>
            <w:szCs w:val="16"/>
          </w:rPr>
          <w:t>General Recommendation XIII on the training of law enforcement officials in the protection of human rights</w:t>
        </w:r>
        <w:r w:rsidRPr="001167CB">
          <w:rPr>
            <w:rStyle w:val="Hyperlink"/>
            <w:rFonts w:asciiTheme="majorHAnsi" w:hAnsiTheme="majorHAnsi" w:cstheme="majorHAnsi"/>
            <w:color w:val="808080" w:themeColor="background1" w:themeShade="80"/>
            <w:sz w:val="16"/>
            <w:szCs w:val="16"/>
          </w:rPr>
          <w:t>.</w:t>
        </w:r>
      </w:hyperlink>
      <w:r w:rsidRPr="001167CB">
        <w:rPr>
          <w:rFonts w:asciiTheme="majorHAnsi" w:hAnsiTheme="majorHAnsi" w:cstheme="majorHAnsi"/>
          <w:color w:val="808080" w:themeColor="background1" w:themeShade="80"/>
          <w:sz w:val="16"/>
          <w:szCs w:val="16"/>
        </w:rPr>
        <w:t xml:space="preserve"> U.N. Doc A/48/18, 1993, para. 2.</w:t>
      </w:r>
    </w:p>
  </w:footnote>
  <w:footnote w:id="489">
    <w:p w14:paraId="3956A72C" w14:textId="77777777" w:rsidR="005C2394" w:rsidRPr="001167CB" w:rsidRDefault="005C2394" w:rsidP="002C64F8">
      <w:pPr>
        <w:pStyle w:val="FootnoteText"/>
        <w:spacing w:after="40"/>
        <w:ind w:left="547" w:hanging="547"/>
        <w:contextualSpacing/>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Id.</w:t>
      </w:r>
    </w:p>
  </w:footnote>
  <w:footnote w:id="490">
    <w:p w14:paraId="4C580CCA" w14:textId="3CFC086D"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hyperlink r:id="rId588" w:history="1">
        <w:r w:rsidRPr="001167CB">
          <w:rPr>
            <w:rStyle w:val="Hyperlink"/>
            <w:rFonts w:asciiTheme="majorHAnsi" w:hAnsiTheme="majorHAnsi" w:cstheme="majorHAnsi"/>
            <w:bCs/>
            <w:color w:val="808080" w:themeColor="background1" w:themeShade="80"/>
            <w:sz w:val="16"/>
            <w:szCs w:val="16"/>
          </w:rPr>
          <w:t>U.N. Basic Principles on the Use of Force</w:t>
        </w:r>
      </w:hyperlink>
      <w:r w:rsidRPr="001167CB">
        <w:rPr>
          <w:rFonts w:asciiTheme="majorHAnsi" w:hAnsiTheme="majorHAnsi" w:cstheme="majorHAnsi"/>
          <w:bCs/>
          <w:color w:val="808080" w:themeColor="background1" w:themeShade="80"/>
          <w:sz w:val="16"/>
          <w:szCs w:val="16"/>
        </w:rPr>
        <w:t>, No.</w:t>
      </w:r>
      <w:r w:rsidRPr="001167CB">
        <w:rPr>
          <w:rFonts w:asciiTheme="majorHAnsi" w:hAnsiTheme="majorHAnsi" w:cstheme="majorHAnsi"/>
          <w:color w:val="808080" w:themeColor="background1" w:themeShade="80"/>
          <w:sz w:val="16"/>
          <w:szCs w:val="16"/>
        </w:rPr>
        <w:t xml:space="preserve"> 19. </w:t>
      </w:r>
      <w:r w:rsidRPr="001167CB">
        <w:rPr>
          <w:rFonts w:asciiTheme="majorHAnsi" w:hAnsiTheme="majorHAnsi" w:cstheme="majorHAnsi"/>
          <w:i/>
          <w:color w:val="808080" w:themeColor="background1" w:themeShade="80"/>
          <w:sz w:val="16"/>
          <w:szCs w:val="16"/>
        </w:rPr>
        <w:t xml:space="preserve">See also supra </w:t>
      </w:r>
      <w:r w:rsidRPr="001167CB">
        <w:rPr>
          <w:rFonts w:asciiTheme="majorHAnsi" w:hAnsiTheme="majorHAnsi" w:cstheme="majorHAnsi"/>
          <w:color w:val="808080" w:themeColor="background1" w:themeShade="80"/>
          <w:sz w:val="16"/>
          <w:szCs w:val="16"/>
        </w:rPr>
        <w:t xml:space="preserve">para. </w:t>
      </w:r>
      <w:r w:rsidRPr="001167CB">
        <w:rPr>
          <w:rFonts w:asciiTheme="majorHAnsi" w:hAnsiTheme="majorHAnsi" w:cstheme="majorHAnsi"/>
          <w:color w:val="808080" w:themeColor="background1" w:themeShade="80"/>
          <w:sz w:val="16"/>
          <w:szCs w:val="16"/>
        </w:rPr>
        <w:fldChar w:fldCharType="begin"/>
      </w:r>
      <w:r w:rsidRPr="001167CB">
        <w:rPr>
          <w:rFonts w:asciiTheme="majorHAnsi" w:hAnsiTheme="majorHAnsi" w:cstheme="majorHAnsi"/>
          <w:color w:val="808080" w:themeColor="background1" w:themeShade="80"/>
          <w:sz w:val="16"/>
          <w:szCs w:val="16"/>
        </w:rPr>
        <w:instrText xml:space="preserve"> REF _Ref507172647 \r \h  \* MERGEFORMAT </w:instrText>
      </w:r>
      <w:r w:rsidRPr="001167CB">
        <w:rPr>
          <w:rFonts w:asciiTheme="majorHAnsi" w:hAnsiTheme="majorHAnsi" w:cstheme="majorHAnsi"/>
          <w:color w:val="808080" w:themeColor="background1" w:themeShade="80"/>
          <w:sz w:val="16"/>
          <w:szCs w:val="16"/>
        </w:rPr>
      </w:r>
      <w:r w:rsidRPr="001167CB">
        <w:rPr>
          <w:rFonts w:asciiTheme="majorHAnsi" w:hAnsiTheme="majorHAnsi" w:cstheme="majorHAnsi"/>
          <w:color w:val="808080" w:themeColor="background1" w:themeShade="80"/>
          <w:sz w:val="16"/>
          <w:szCs w:val="16"/>
        </w:rPr>
        <w:fldChar w:fldCharType="separate"/>
      </w:r>
      <w:r w:rsidRPr="001167CB">
        <w:rPr>
          <w:rFonts w:asciiTheme="majorHAnsi" w:hAnsiTheme="majorHAnsi" w:cstheme="majorHAnsi"/>
          <w:color w:val="808080" w:themeColor="background1" w:themeShade="80"/>
          <w:sz w:val="16"/>
          <w:szCs w:val="16"/>
        </w:rPr>
        <w:t>204</w:t>
      </w:r>
      <w:r w:rsidRPr="001167CB">
        <w:rPr>
          <w:rFonts w:asciiTheme="majorHAnsi" w:hAnsiTheme="majorHAnsi" w:cstheme="majorHAnsi"/>
          <w:color w:val="808080" w:themeColor="background1" w:themeShade="80"/>
          <w:sz w:val="16"/>
          <w:szCs w:val="16"/>
        </w:rPr>
        <w:fldChar w:fldCharType="end"/>
      </w:r>
      <w:r w:rsidRPr="001167CB">
        <w:rPr>
          <w:rFonts w:asciiTheme="majorHAnsi" w:hAnsiTheme="majorHAnsi" w:cstheme="majorHAnsi"/>
          <w:color w:val="808080" w:themeColor="background1" w:themeShade="80"/>
          <w:sz w:val="16"/>
          <w:szCs w:val="16"/>
        </w:rPr>
        <w:t>.</w:t>
      </w:r>
    </w:p>
  </w:footnote>
  <w:footnote w:id="491">
    <w:p w14:paraId="68EF77FF"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IACHR, </w:t>
      </w:r>
      <w:hyperlink r:id="rId589" w:history="1">
        <w:r w:rsidRPr="001167CB">
          <w:rPr>
            <w:rStyle w:val="Hyperlink"/>
            <w:rFonts w:asciiTheme="majorHAnsi" w:hAnsiTheme="majorHAnsi" w:cstheme="majorHAnsi"/>
            <w:color w:val="808080" w:themeColor="background1" w:themeShade="80"/>
            <w:sz w:val="16"/>
            <w:szCs w:val="16"/>
          </w:rPr>
          <w:t xml:space="preserve">Annual Report 2015: Chapter IV </w:t>
        </w:r>
        <w:proofErr w:type="gramStart"/>
        <w:r w:rsidRPr="001167CB">
          <w:rPr>
            <w:rStyle w:val="Hyperlink"/>
            <w:rFonts w:asciiTheme="majorHAnsi" w:hAnsiTheme="majorHAnsi" w:cstheme="majorHAnsi"/>
            <w:color w:val="808080" w:themeColor="background1" w:themeShade="80"/>
            <w:sz w:val="16"/>
            <w:szCs w:val="16"/>
          </w:rPr>
          <w:t>The</w:t>
        </w:r>
        <w:proofErr w:type="gramEnd"/>
        <w:r w:rsidRPr="001167CB">
          <w:rPr>
            <w:rStyle w:val="Hyperlink"/>
            <w:rFonts w:asciiTheme="majorHAnsi" w:hAnsiTheme="majorHAnsi" w:cstheme="majorHAnsi"/>
            <w:color w:val="808080" w:themeColor="background1" w:themeShade="80"/>
            <w:sz w:val="16"/>
            <w:szCs w:val="16"/>
          </w:rPr>
          <w:t xml:space="preserve"> Use of Force</w:t>
        </w:r>
      </w:hyperlink>
      <w:r w:rsidRPr="001167CB">
        <w:rPr>
          <w:rFonts w:asciiTheme="majorHAnsi" w:hAnsiTheme="majorHAnsi" w:cstheme="majorHAnsi"/>
          <w:color w:val="808080" w:themeColor="background1" w:themeShade="80"/>
          <w:sz w:val="16"/>
          <w:szCs w:val="16"/>
        </w:rPr>
        <w:t>, para. 23.</w:t>
      </w:r>
    </w:p>
  </w:footnote>
  <w:footnote w:id="492">
    <w:p w14:paraId="45DB70F1"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bCs/>
          <w:color w:val="808080" w:themeColor="background1" w:themeShade="80"/>
          <w:sz w:val="16"/>
          <w:szCs w:val="16"/>
        </w:rPr>
        <w:t xml:space="preserve">COPS, </w:t>
      </w:r>
      <w:hyperlink r:id="rId590" w:history="1">
        <w:r w:rsidRPr="001167CB">
          <w:rPr>
            <w:rStyle w:val="Hyperlink"/>
            <w:rFonts w:asciiTheme="majorHAnsi" w:hAnsiTheme="majorHAnsi" w:cstheme="majorHAnsi"/>
            <w:bCs/>
            <w:color w:val="808080" w:themeColor="background1" w:themeShade="80"/>
            <w:sz w:val="16"/>
            <w:szCs w:val="16"/>
          </w:rPr>
          <w:t>Final Report of the President’s Task Force on 21</w:t>
        </w:r>
        <w:r w:rsidRPr="001167CB">
          <w:rPr>
            <w:rStyle w:val="Hyperlink"/>
            <w:rFonts w:asciiTheme="majorHAnsi" w:hAnsiTheme="majorHAnsi" w:cstheme="majorHAnsi"/>
            <w:bCs/>
            <w:color w:val="808080" w:themeColor="background1" w:themeShade="80"/>
            <w:sz w:val="16"/>
            <w:szCs w:val="16"/>
            <w:vertAlign w:val="superscript"/>
          </w:rPr>
          <w:t>st</w:t>
        </w:r>
        <w:r w:rsidRPr="001167CB">
          <w:rPr>
            <w:rStyle w:val="Hyperlink"/>
            <w:rFonts w:asciiTheme="majorHAnsi" w:hAnsiTheme="majorHAnsi" w:cstheme="majorHAnsi"/>
            <w:bCs/>
            <w:color w:val="808080" w:themeColor="background1" w:themeShade="80"/>
            <w:sz w:val="16"/>
            <w:szCs w:val="16"/>
          </w:rPr>
          <w:t xml:space="preserve"> Century Policing</w:t>
        </w:r>
      </w:hyperlink>
      <w:r w:rsidRPr="001167CB">
        <w:rPr>
          <w:rFonts w:asciiTheme="majorHAnsi" w:hAnsiTheme="majorHAnsi" w:cstheme="majorHAnsi"/>
          <w:bCs/>
          <w:color w:val="808080" w:themeColor="background1" w:themeShade="80"/>
          <w:sz w:val="16"/>
          <w:szCs w:val="16"/>
        </w:rPr>
        <w:t>, May 2015</w:t>
      </w:r>
      <w:r w:rsidRPr="001167CB">
        <w:rPr>
          <w:rFonts w:asciiTheme="majorHAnsi" w:hAnsiTheme="majorHAnsi" w:cstheme="majorHAnsi"/>
          <w:color w:val="808080" w:themeColor="background1" w:themeShade="80"/>
          <w:sz w:val="16"/>
          <w:szCs w:val="16"/>
        </w:rPr>
        <w:t>, Recommendations 2.2.1, 3.6.</w:t>
      </w:r>
    </w:p>
  </w:footnote>
  <w:footnote w:id="493">
    <w:p w14:paraId="0E889855"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Bureau of Justice Statistics, </w:t>
      </w:r>
      <w:hyperlink r:id="rId591" w:history="1">
        <w:r w:rsidRPr="001167CB">
          <w:rPr>
            <w:rStyle w:val="Hyperlink"/>
            <w:rFonts w:asciiTheme="majorHAnsi" w:hAnsiTheme="majorHAnsi" w:cstheme="majorHAnsi"/>
            <w:color w:val="808080" w:themeColor="background1" w:themeShade="80"/>
            <w:sz w:val="16"/>
            <w:szCs w:val="16"/>
          </w:rPr>
          <w:t>Census of State and Local Law Enforcement Agencies, 2008</w:t>
        </w:r>
      </w:hyperlink>
      <w:r w:rsidRPr="001167CB">
        <w:rPr>
          <w:rFonts w:asciiTheme="majorHAnsi" w:hAnsiTheme="majorHAnsi" w:cstheme="majorHAnsi"/>
          <w:color w:val="808080" w:themeColor="background1" w:themeShade="80"/>
          <w:sz w:val="16"/>
          <w:szCs w:val="16"/>
        </w:rPr>
        <w:t>, July 2011.</w:t>
      </w:r>
    </w:p>
  </w:footnote>
  <w:footnote w:id="494">
    <w:p w14:paraId="2948B2FF"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RFK Human Rights, </w:t>
      </w:r>
      <w:hyperlink r:id="rId592" w:history="1">
        <w:r w:rsidRPr="001167CB">
          <w:rPr>
            <w:rStyle w:val="Hyperlink"/>
            <w:rFonts w:asciiTheme="majorHAnsi" w:hAnsiTheme="majorHAnsi" w:cstheme="majorHAnsi"/>
            <w:color w:val="808080" w:themeColor="background1" w:themeShade="80"/>
            <w:sz w:val="16"/>
            <w:szCs w:val="16"/>
          </w:rPr>
          <w:t>Excessive Use of Force</w:t>
        </w:r>
      </w:hyperlink>
      <w:r w:rsidRPr="001167CB">
        <w:rPr>
          <w:rFonts w:asciiTheme="majorHAnsi" w:hAnsiTheme="majorHAnsi" w:cstheme="majorHAnsi"/>
          <w:color w:val="808080" w:themeColor="background1" w:themeShade="80"/>
          <w:sz w:val="16"/>
          <w:szCs w:val="16"/>
        </w:rPr>
        <w:t xml:space="preserve">, updated Feb. 12, 2016, p. 44. </w:t>
      </w:r>
    </w:p>
  </w:footnote>
  <w:footnote w:id="495">
    <w:p w14:paraId="43751A2C" w14:textId="63E60DED"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IACHR, </w:t>
      </w:r>
      <w:hyperlink r:id="rId593" w:history="1">
        <w:r w:rsidRPr="001167CB">
          <w:rPr>
            <w:rStyle w:val="Hyperlink"/>
            <w:rFonts w:asciiTheme="majorHAnsi" w:hAnsiTheme="majorHAnsi" w:cstheme="majorHAnsi"/>
            <w:color w:val="808080" w:themeColor="background1" w:themeShade="80"/>
            <w:sz w:val="16"/>
            <w:szCs w:val="16"/>
          </w:rPr>
          <w:t xml:space="preserve">Annual Report 2015: Chapter IV </w:t>
        </w:r>
        <w:proofErr w:type="gramStart"/>
        <w:r w:rsidRPr="001167CB">
          <w:rPr>
            <w:rStyle w:val="Hyperlink"/>
            <w:rFonts w:asciiTheme="majorHAnsi" w:hAnsiTheme="majorHAnsi" w:cstheme="majorHAnsi"/>
            <w:color w:val="808080" w:themeColor="background1" w:themeShade="80"/>
            <w:sz w:val="16"/>
            <w:szCs w:val="16"/>
          </w:rPr>
          <w:t>The</w:t>
        </w:r>
        <w:proofErr w:type="gramEnd"/>
        <w:r w:rsidRPr="001167CB">
          <w:rPr>
            <w:rStyle w:val="Hyperlink"/>
            <w:rFonts w:asciiTheme="majorHAnsi" w:hAnsiTheme="majorHAnsi" w:cstheme="majorHAnsi"/>
            <w:color w:val="808080" w:themeColor="background1" w:themeShade="80"/>
            <w:sz w:val="16"/>
            <w:szCs w:val="16"/>
          </w:rPr>
          <w:t xml:space="preserve"> Use of Force</w:t>
        </w:r>
      </w:hyperlink>
      <w:r w:rsidRPr="001167CB">
        <w:rPr>
          <w:rFonts w:asciiTheme="majorHAnsi" w:hAnsiTheme="majorHAnsi" w:cstheme="majorHAnsi"/>
          <w:color w:val="808080" w:themeColor="background1" w:themeShade="80"/>
          <w:sz w:val="16"/>
          <w:szCs w:val="16"/>
        </w:rPr>
        <w:t xml:space="preserve">, para. 19.   </w:t>
      </w:r>
    </w:p>
  </w:footnote>
  <w:footnote w:id="496">
    <w:p w14:paraId="7E79D489"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Id. at para. 18 (citing U.N., Report of the Special Rapporteur on extrajudicial, summary or arbitrary executions, Christof </w:t>
      </w:r>
      <w:proofErr w:type="spellStart"/>
      <w:r w:rsidRPr="001167CB">
        <w:rPr>
          <w:rFonts w:asciiTheme="majorHAnsi" w:hAnsiTheme="majorHAnsi" w:cstheme="majorHAnsi"/>
          <w:color w:val="808080" w:themeColor="background1" w:themeShade="80"/>
          <w:sz w:val="16"/>
          <w:szCs w:val="16"/>
        </w:rPr>
        <w:t>Heyns</w:t>
      </w:r>
      <w:proofErr w:type="spellEnd"/>
      <w:r w:rsidRPr="001167CB">
        <w:rPr>
          <w:rFonts w:asciiTheme="majorHAnsi" w:hAnsiTheme="majorHAnsi" w:cstheme="majorHAnsi"/>
          <w:color w:val="808080" w:themeColor="background1" w:themeShade="80"/>
          <w:sz w:val="16"/>
          <w:szCs w:val="16"/>
        </w:rPr>
        <w:t>, A/HRC/26/36, Apr. 1, 2014, paras. 103-106).</w:t>
      </w:r>
    </w:p>
  </w:footnote>
  <w:footnote w:id="497">
    <w:p w14:paraId="22DB81B5"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Id. (citing U.N., Report of the Special Rapporteur on extrajudicial, summary or arbitrary executions, Note by the Secretary General, A/69/265, Aug. 6, 2014, para. 69).</w:t>
      </w:r>
    </w:p>
  </w:footnote>
  <w:footnote w:id="498">
    <w:p w14:paraId="5A0BD2FF"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IACHR, </w:t>
      </w:r>
      <w:hyperlink r:id="rId594" w:history="1">
        <w:r w:rsidRPr="001167CB">
          <w:rPr>
            <w:rStyle w:val="Hyperlink"/>
            <w:rFonts w:asciiTheme="majorHAnsi" w:hAnsiTheme="majorHAnsi" w:cstheme="majorHAnsi"/>
            <w:color w:val="808080" w:themeColor="background1" w:themeShade="80"/>
            <w:sz w:val="16"/>
            <w:szCs w:val="16"/>
          </w:rPr>
          <w:t xml:space="preserve">Annual Report 2015: Chapter IV </w:t>
        </w:r>
        <w:proofErr w:type="gramStart"/>
        <w:r w:rsidRPr="001167CB">
          <w:rPr>
            <w:rStyle w:val="Hyperlink"/>
            <w:rFonts w:asciiTheme="majorHAnsi" w:hAnsiTheme="majorHAnsi" w:cstheme="majorHAnsi"/>
            <w:color w:val="808080" w:themeColor="background1" w:themeShade="80"/>
            <w:sz w:val="16"/>
            <w:szCs w:val="16"/>
          </w:rPr>
          <w:t>The</w:t>
        </w:r>
        <w:proofErr w:type="gramEnd"/>
        <w:r w:rsidRPr="001167CB">
          <w:rPr>
            <w:rStyle w:val="Hyperlink"/>
            <w:rFonts w:asciiTheme="majorHAnsi" w:hAnsiTheme="majorHAnsi" w:cstheme="majorHAnsi"/>
            <w:color w:val="808080" w:themeColor="background1" w:themeShade="80"/>
            <w:sz w:val="16"/>
            <w:szCs w:val="16"/>
          </w:rPr>
          <w:t xml:space="preserve"> Use of Force</w:t>
        </w:r>
      </w:hyperlink>
      <w:r w:rsidRPr="001167CB">
        <w:rPr>
          <w:rFonts w:asciiTheme="majorHAnsi" w:hAnsiTheme="majorHAnsi" w:cstheme="majorHAnsi"/>
          <w:color w:val="808080" w:themeColor="background1" w:themeShade="80"/>
          <w:sz w:val="16"/>
          <w:szCs w:val="16"/>
        </w:rPr>
        <w:t xml:space="preserve">, para. 18. </w:t>
      </w:r>
      <w:r w:rsidRPr="001167CB">
        <w:rPr>
          <w:rFonts w:asciiTheme="majorHAnsi" w:hAnsiTheme="majorHAnsi" w:cstheme="majorHAnsi"/>
          <w:i/>
          <w:color w:val="808080" w:themeColor="background1" w:themeShade="80"/>
          <w:sz w:val="16"/>
          <w:szCs w:val="16"/>
        </w:rPr>
        <w:t>See also</w:t>
      </w:r>
      <w:r w:rsidRPr="001167CB">
        <w:rPr>
          <w:rFonts w:asciiTheme="majorHAnsi" w:hAnsiTheme="majorHAnsi" w:cstheme="majorHAnsi"/>
          <w:color w:val="808080" w:themeColor="background1" w:themeShade="80"/>
          <w:sz w:val="16"/>
          <w:szCs w:val="16"/>
        </w:rPr>
        <w:t xml:space="preserve">, e.g., Physicians for Human Rights et al., </w:t>
      </w:r>
      <w:hyperlink r:id="rId595" w:history="1">
        <w:r w:rsidRPr="001167CB">
          <w:rPr>
            <w:rStyle w:val="Hyperlink"/>
            <w:rFonts w:asciiTheme="majorHAnsi" w:hAnsiTheme="majorHAnsi" w:cstheme="majorHAnsi"/>
            <w:color w:val="808080" w:themeColor="background1" w:themeShade="80"/>
            <w:sz w:val="16"/>
            <w:szCs w:val="16"/>
          </w:rPr>
          <w:t>Lethal in Disguise: The Health Consequences of Crowd-Control Weapons</w:t>
        </w:r>
      </w:hyperlink>
      <w:r w:rsidRPr="001167CB">
        <w:rPr>
          <w:rFonts w:asciiTheme="majorHAnsi" w:hAnsiTheme="majorHAnsi" w:cstheme="majorHAnsi"/>
          <w:color w:val="808080" w:themeColor="background1" w:themeShade="80"/>
          <w:sz w:val="16"/>
          <w:szCs w:val="16"/>
        </w:rPr>
        <w:t>, 2016.</w:t>
      </w:r>
    </w:p>
  </w:footnote>
  <w:footnote w:id="499">
    <w:p w14:paraId="12AA5D1A"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In the cases of Eric Garner and Freddie Gray, respectively.</w:t>
      </w:r>
    </w:p>
  </w:footnote>
  <w:footnote w:id="500">
    <w:p w14:paraId="2CC26778" w14:textId="51D6B342"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IACHR, </w:t>
      </w:r>
      <w:hyperlink r:id="rId596" w:history="1">
        <w:r w:rsidRPr="001167CB">
          <w:rPr>
            <w:rStyle w:val="Hyperlink"/>
            <w:rFonts w:asciiTheme="majorHAnsi" w:hAnsiTheme="majorHAnsi" w:cstheme="majorHAnsi"/>
            <w:color w:val="808080" w:themeColor="background1" w:themeShade="80"/>
            <w:sz w:val="16"/>
            <w:szCs w:val="16"/>
          </w:rPr>
          <w:t xml:space="preserve">Annual Report 2015: Chapter IV </w:t>
        </w:r>
        <w:proofErr w:type="gramStart"/>
        <w:r w:rsidRPr="001167CB">
          <w:rPr>
            <w:rStyle w:val="Hyperlink"/>
            <w:rFonts w:asciiTheme="majorHAnsi" w:hAnsiTheme="majorHAnsi" w:cstheme="majorHAnsi"/>
            <w:color w:val="808080" w:themeColor="background1" w:themeShade="80"/>
            <w:sz w:val="16"/>
            <w:szCs w:val="16"/>
          </w:rPr>
          <w:t>The</w:t>
        </w:r>
        <w:proofErr w:type="gramEnd"/>
        <w:r w:rsidRPr="001167CB">
          <w:rPr>
            <w:rStyle w:val="Hyperlink"/>
            <w:rFonts w:asciiTheme="majorHAnsi" w:hAnsiTheme="majorHAnsi" w:cstheme="majorHAnsi"/>
            <w:color w:val="808080" w:themeColor="background1" w:themeShade="80"/>
            <w:sz w:val="16"/>
            <w:szCs w:val="16"/>
          </w:rPr>
          <w:t xml:space="preserve"> Use of Force</w:t>
        </w:r>
      </w:hyperlink>
      <w:r w:rsidRPr="001167CB">
        <w:rPr>
          <w:rFonts w:asciiTheme="majorHAnsi" w:hAnsiTheme="majorHAnsi" w:cstheme="majorHAnsi"/>
          <w:color w:val="808080" w:themeColor="background1" w:themeShade="80"/>
          <w:sz w:val="16"/>
          <w:szCs w:val="16"/>
        </w:rPr>
        <w:t xml:space="preserve">, para. 16. </w:t>
      </w:r>
      <w:r w:rsidRPr="001167CB">
        <w:rPr>
          <w:rFonts w:asciiTheme="majorHAnsi" w:hAnsiTheme="majorHAnsi" w:cstheme="majorHAnsi"/>
          <w:i/>
          <w:color w:val="808080" w:themeColor="background1" w:themeShade="80"/>
          <w:sz w:val="16"/>
          <w:szCs w:val="16"/>
        </w:rPr>
        <w:t>See also infra</w:t>
      </w:r>
      <w:r w:rsidRPr="001167CB">
        <w:rPr>
          <w:rFonts w:asciiTheme="majorHAnsi" w:hAnsiTheme="majorHAnsi" w:cstheme="majorHAnsi"/>
          <w:color w:val="808080" w:themeColor="background1" w:themeShade="80"/>
          <w:sz w:val="16"/>
          <w:szCs w:val="16"/>
        </w:rPr>
        <w:t xml:space="preserve"> paras. </w:t>
      </w:r>
      <w:r w:rsidRPr="001167CB">
        <w:rPr>
          <w:rFonts w:asciiTheme="majorHAnsi" w:hAnsiTheme="majorHAnsi" w:cstheme="majorHAnsi"/>
          <w:color w:val="808080" w:themeColor="background1" w:themeShade="80"/>
          <w:sz w:val="16"/>
          <w:szCs w:val="16"/>
        </w:rPr>
        <w:fldChar w:fldCharType="begin"/>
      </w:r>
      <w:r w:rsidRPr="001167CB">
        <w:rPr>
          <w:rFonts w:asciiTheme="majorHAnsi" w:hAnsiTheme="majorHAnsi" w:cstheme="majorHAnsi"/>
          <w:color w:val="808080" w:themeColor="background1" w:themeShade="80"/>
          <w:sz w:val="16"/>
          <w:szCs w:val="16"/>
        </w:rPr>
        <w:instrText xml:space="preserve"> REF _Ref507172810 \r \h  \* MERGEFORMAT </w:instrText>
      </w:r>
      <w:r w:rsidRPr="001167CB">
        <w:rPr>
          <w:rFonts w:asciiTheme="majorHAnsi" w:hAnsiTheme="majorHAnsi" w:cstheme="majorHAnsi"/>
          <w:color w:val="808080" w:themeColor="background1" w:themeShade="80"/>
          <w:sz w:val="16"/>
          <w:szCs w:val="16"/>
        </w:rPr>
      </w:r>
      <w:r w:rsidRPr="001167CB">
        <w:rPr>
          <w:rFonts w:asciiTheme="majorHAnsi" w:hAnsiTheme="majorHAnsi" w:cstheme="majorHAnsi"/>
          <w:color w:val="808080" w:themeColor="background1" w:themeShade="80"/>
          <w:sz w:val="16"/>
          <w:szCs w:val="16"/>
        </w:rPr>
        <w:fldChar w:fldCharType="separate"/>
      </w:r>
      <w:r w:rsidRPr="001167CB">
        <w:rPr>
          <w:rFonts w:asciiTheme="majorHAnsi" w:hAnsiTheme="majorHAnsi" w:cstheme="majorHAnsi"/>
          <w:color w:val="808080" w:themeColor="background1" w:themeShade="80"/>
          <w:sz w:val="16"/>
          <w:szCs w:val="16"/>
        </w:rPr>
        <w:t>241</w:t>
      </w:r>
      <w:r w:rsidRPr="001167CB">
        <w:rPr>
          <w:rFonts w:asciiTheme="majorHAnsi" w:hAnsiTheme="majorHAnsi" w:cstheme="majorHAnsi"/>
          <w:color w:val="808080" w:themeColor="background1" w:themeShade="80"/>
          <w:sz w:val="16"/>
          <w:szCs w:val="16"/>
        </w:rPr>
        <w:fldChar w:fldCharType="end"/>
      </w:r>
      <w:r w:rsidRPr="001167CB">
        <w:rPr>
          <w:rFonts w:asciiTheme="majorHAnsi" w:hAnsiTheme="majorHAnsi" w:cstheme="majorHAnsi"/>
          <w:color w:val="808080" w:themeColor="background1" w:themeShade="80"/>
          <w:sz w:val="16"/>
          <w:szCs w:val="16"/>
        </w:rPr>
        <w:t>-</w:t>
      </w:r>
      <w:r w:rsidRPr="001167CB">
        <w:rPr>
          <w:rFonts w:asciiTheme="majorHAnsi" w:hAnsiTheme="majorHAnsi" w:cstheme="majorHAnsi"/>
          <w:color w:val="808080" w:themeColor="background1" w:themeShade="80"/>
          <w:sz w:val="16"/>
          <w:szCs w:val="16"/>
        </w:rPr>
        <w:fldChar w:fldCharType="begin"/>
      </w:r>
      <w:r w:rsidRPr="001167CB">
        <w:rPr>
          <w:rFonts w:asciiTheme="majorHAnsi" w:hAnsiTheme="majorHAnsi" w:cstheme="majorHAnsi"/>
          <w:color w:val="808080" w:themeColor="background1" w:themeShade="80"/>
          <w:sz w:val="16"/>
          <w:szCs w:val="16"/>
        </w:rPr>
        <w:instrText xml:space="preserve"> REF _Ref507172812 \r \h  \* MERGEFORMAT </w:instrText>
      </w:r>
      <w:r w:rsidRPr="001167CB">
        <w:rPr>
          <w:rFonts w:asciiTheme="majorHAnsi" w:hAnsiTheme="majorHAnsi" w:cstheme="majorHAnsi"/>
          <w:color w:val="808080" w:themeColor="background1" w:themeShade="80"/>
          <w:sz w:val="16"/>
          <w:szCs w:val="16"/>
        </w:rPr>
      </w:r>
      <w:r w:rsidRPr="001167CB">
        <w:rPr>
          <w:rFonts w:asciiTheme="majorHAnsi" w:hAnsiTheme="majorHAnsi" w:cstheme="majorHAnsi"/>
          <w:color w:val="808080" w:themeColor="background1" w:themeShade="80"/>
          <w:sz w:val="16"/>
          <w:szCs w:val="16"/>
        </w:rPr>
        <w:fldChar w:fldCharType="separate"/>
      </w:r>
      <w:r w:rsidRPr="001167CB">
        <w:rPr>
          <w:rFonts w:asciiTheme="majorHAnsi" w:hAnsiTheme="majorHAnsi" w:cstheme="majorHAnsi"/>
          <w:color w:val="808080" w:themeColor="background1" w:themeShade="80"/>
          <w:sz w:val="16"/>
          <w:szCs w:val="16"/>
        </w:rPr>
        <w:t>242</w:t>
      </w:r>
      <w:r w:rsidRPr="001167CB">
        <w:rPr>
          <w:rFonts w:asciiTheme="majorHAnsi" w:hAnsiTheme="majorHAnsi" w:cstheme="majorHAnsi"/>
          <w:color w:val="808080" w:themeColor="background1" w:themeShade="80"/>
          <w:sz w:val="16"/>
          <w:szCs w:val="16"/>
        </w:rPr>
        <w:fldChar w:fldCharType="end"/>
      </w:r>
      <w:r w:rsidRPr="001167CB">
        <w:rPr>
          <w:rFonts w:asciiTheme="majorHAnsi" w:hAnsiTheme="majorHAnsi" w:cstheme="majorHAnsi"/>
          <w:color w:val="808080" w:themeColor="background1" w:themeShade="80"/>
          <w:sz w:val="16"/>
          <w:szCs w:val="16"/>
        </w:rPr>
        <w:t>.</w:t>
      </w:r>
    </w:p>
  </w:footnote>
  <w:footnote w:id="501">
    <w:p w14:paraId="390822D6"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Id. (referring additionally to statements from the UN Special Rapporteur on extrajudicial, summary or arbitrary executions and the International Committee of the Red Cross).</w:t>
      </w:r>
    </w:p>
  </w:footnote>
  <w:footnote w:id="502">
    <w:p w14:paraId="082D4715"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For example, </w:t>
      </w:r>
      <w:r w:rsidRPr="001167CB">
        <w:rPr>
          <w:rFonts w:asciiTheme="majorHAnsi" w:eastAsia="Times New Roman" w:hAnsiTheme="majorHAnsi" w:cstheme="majorHAnsi"/>
          <w:color w:val="808080" w:themeColor="background1" w:themeShade="80"/>
          <w:sz w:val="16"/>
          <w:szCs w:val="16"/>
        </w:rPr>
        <w:t>the State should develop standards regulating the composition and concentration of irritant chemical substances and water used in water cannons, the levels of discharge of electrical devices, the volume and frequency of acoustic weapons, and the levels of precision required for projectiles, among others.</w:t>
      </w:r>
      <w:r w:rsidRPr="001167CB">
        <w:rPr>
          <w:rFonts w:asciiTheme="majorHAnsi" w:hAnsiTheme="majorHAnsi" w:cstheme="majorHAnsi"/>
          <w:color w:val="808080" w:themeColor="background1" w:themeShade="80"/>
          <w:sz w:val="16"/>
          <w:szCs w:val="16"/>
        </w:rPr>
        <w:t xml:space="preserve"> IACHR, </w:t>
      </w:r>
      <w:hyperlink r:id="rId597" w:history="1">
        <w:r w:rsidRPr="001167CB">
          <w:rPr>
            <w:rStyle w:val="Hyperlink"/>
            <w:rFonts w:asciiTheme="majorHAnsi" w:hAnsiTheme="majorHAnsi" w:cstheme="majorHAnsi"/>
            <w:color w:val="808080" w:themeColor="background1" w:themeShade="80"/>
            <w:sz w:val="16"/>
            <w:szCs w:val="16"/>
          </w:rPr>
          <w:t xml:space="preserve">Annual Report 2015: Chapter IV </w:t>
        </w:r>
        <w:proofErr w:type="gramStart"/>
        <w:r w:rsidRPr="001167CB">
          <w:rPr>
            <w:rStyle w:val="Hyperlink"/>
            <w:rFonts w:asciiTheme="majorHAnsi" w:hAnsiTheme="majorHAnsi" w:cstheme="majorHAnsi"/>
            <w:color w:val="808080" w:themeColor="background1" w:themeShade="80"/>
            <w:sz w:val="16"/>
            <w:szCs w:val="16"/>
          </w:rPr>
          <w:t>The</w:t>
        </w:r>
        <w:proofErr w:type="gramEnd"/>
        <w:r w:rsidRPr="001167CB">
          <w:rPr>
            <w:rStyle w:val="Hyperlink"/>
            <w:rFonts w:asciiTheme="majorHAnsi" w:hAnsiTheme="majorHAnsi" w:cstheme="majorHAnsi"/>
            <w:color w:val="808080" w:themeColor="background1" w:themeShade="80"/>
            <w:sz w:val="16"/>
            <w:szCs w:val="16"/>
          </w:rPr>
          <w:t xml:space="preserve"> Use of Force</w:t>
        </w:r>
      </w:hyperlink>
      <w:r w:rsidRPr="001167CB">
        <w:rPr>
          <w:rFonts w:asciiTheme="majorHAnsi" w:hAnsiTheme="majorHAnsi" w:cstheme="majorHAnsi"/>
          <w:color w:val="808080" w:themeColor="background1" w:themeShade="80"/>
          <w:sz w:val="16"/>
          <w:szCs w:val="16"/>
        </w:rPr>
        <w:t>, para. 17.</w:t>
      </w:r>
    </w:p>
  </w:footnote>
  <w:footnote w:id="503">
    <w:p w14:paraId="4C0CB437"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Id. at para. 16.</w:t>
      </w:r>
    </w:p>
  </w:footnote>
  <w:footnote w:id="504">
    <w:p w14:paraId="1E6A75AE"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IACHR, </w:t>
      </w:r>
      <w:hyperlink r:id="rId598" w:history="1">
        <w:r w:rsidRPr="001167CB">
          <w:rPr>
            <w:rStyle w:val="Hyperlink"/>
            <w:rFonts w:asciiTheme="majorHAnsi" w:hAnsiTheme="majorHAnsi" w:cstheme="majorHAnsi"/>
            <w:color w:val="808080" w:themeColor="background1" w:themeShade="80"/>
            <w:sz w:val="16"/>
            <w:szCs w:val="16"/>
          </w:rPr>
          <w:t xml:space="preserve">Annual Report 2015: Chapter IV </w:t>
        </w:r>
        <w:proofErr w:type="gramStart"/>
        <w:r w:rsidRPr="001167CB">
          <w:rPr>
            <w:rStyle w:val="Hyperlink"/>
            <w:rFonts w:asciiTheme="majorHAnsi" w:hAnsiTheme="majorHAnsi" w:cstheme="majorHAnsi"/>
            <w:color w:val="808080" w:themeColor="background1" w:themeShade="80"/>
            <w:sz w:val="16"/>
            <w:szCs w:val="16"/>
          </w:rPr>
          <w:t>The</w:t>
        </w:r>
        <w:proofErr w:type="gramEnd"/>
        <w:r w:rsidRPr="001167CB">
          <w:rPr>
            <w:rStyle w:val="Hyperlink"/>
            <w:rFonts w:asciiTheme="majorHAnsi" w:hAnsiTheme="majorHAnsi" w:cstheme="majorHAnsi"/>
            <w:color w:val="808080" w:themeColor="background1" w:themeShade="80"/>
            <w:sz w:val="16"/>
            <w:szCs w:val="16"/>
          </w:rPr>
          <w:t xml:space="preserve"> Use of Force</w:t>
        </w:r>
      </w:hyperlink>
      <w:r w:rsidRPr="001167CB">
        <w:rPr>
          <w:rFonts w:asciiTheme="majorHAnsi" w:hAnsiTheme="majorHAnsi" w:cstheme="majorHAnsi"/>
          <w:color w:val="808080" w:themeColor="background1" w:themeShade="80"/>
          <w:sz w:val="16"/>
          <w:szCs w:val="16"/>
        </w:rPr>
        <w:t xml:space="preserve">, para. 227 (citing IACHR, </w:t>
      </w:r>
      <w:proofErr w:type="spellStart"/>
      <w:r w:rsidRPr="001167CB">
        <w:rPr>
          <w:rFonts w:asciiTheme="majorHAnsi" w:hAnsiTheme="majorHAnsi" w:cstheme="majorHAnsi"/>
          <w:color w:val="808080" w:themeColor="background1" w:themeShade="80"/>
          <w:sz w:val="16"/>
          <w:szCs w:val="16"/>
        </w:rPr>
        <w:t>THe</w:t>
      </w:r>
      <w:proofErr w:type="spellEnd"/>
      <w:r w:rsidRPr="001167CB">
        <w:rPr>
          <w:rFonts w:asciiTheme="majorHAnsi" w:hAnsiTheme="majorHAnsi" w:cstheme="majorHAnsi"/>
          <w:color w:val="808080" w:themeColor="background1" w:themeShade="80"/>
          <w:sz w:val="16"/>
          <w:szCs w:val="16"/>
        </w:rPr>
        <w:t xml:space="preserve"> Situation of Human Rights Defenders in the Americas, OEA/</w:t>
      </w:r>
      <w:proofErr w:type="spellStart"/>
      <w:r w:rsidRPr="001167CB">
        <w:rPr>
          <w:rFonts w:asciiTheme="majorHAnsi" w:hAnsiTheme="majorHAnsi" w:cstheme="majorHAnsi"/>
          <w:color w:val="808080" w:themeColor="background1" w:themeShade="80"/>
          <w:sz w:val="16"/>
          <w:szCs w:val="16"/>
        </w:rPr>
        <w:t>Ser.L</w:t>
      </w:r>
      <w:proofErr w:type="spellEnd"/>
      <w:r w:rsidRPr="001167CB">
        <w:rPr>
          <w:rFonts w:asciiTheme="majorHAnsi" w:hAnsiTheme="majorHAnsi" w:cstheme="majorHAnsi"/>
          <w:color w:val="808080" w:themeColor="background1" w:themeShade="80"/>
          <w:sz w:val="16"/>
          <w:szCs w:val="16"/>
        </w:rPr>
        <w:t>/V/II.124, Doc. 5 rev. 1 (2006), para. 68).</w:t>
      </w:r>
    </w:p>
  </w:footnote>
  <w:footnote w:id="505">
    <w:p w14:paraId="75314390"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hyperlink r:id="rId599" w:history="1">
        <w:r w:rsidRPr="001167CB">
          <w:rPr>
            <w:rStyle w:val="Hyperlink"/>
            <w:rFonts w:asciiTheme="majorHAnsi" w:hAnsiTheme="majorHAnsi" w:cstheme="majorHAnsi"/>
            <w:bCs/>
            <w:color w:val="808080" w:themeColor="background1" w:themeShade="80"/>
            <w:sz w:val="16"/>
            <w:szCs w:val="16"/>
          </w:rPr>
          <w:t>U.N. Basic Principles on the Use of Force</w:t>
        </w:r>
      </w:hyperlink>
      <w:r w:rsidRPr="001167CB">
        <w:rPr>
          <w:rFonts w:asciiTheme="majorHAnsi" w:hAnsiTheme="majorHAnsi" w:cstheme="majorHAnsi"/>
          <w:bCs/>
          <w:color w:val="808080" w:themeColor="background1" w:themeShade="80"/>
          <w:sz w:val="16"/>
          <w:szCs w:val="16"/>
        </w:rPr>
        <w:t xml:space="preserve">, No. </w:t>
      </w:r>
      <w:r w:rsidRPr="001167CB">
        <w:rPr>
          <w:rFonts w:asciiTheme="majorHAnsi" w:hAnsiTheme="majorHAnsi" w:cstheme="majorHAnsi"/>
          <w:color w:val="808080" w:themeColor="background1" w:themeShade="80"/>
          <w:sz w:val="16"/>
          <w:szCs w:val="16"/>
        </w:rPr>
        <w:t>11(d).</w:t>
      </w:r>
    </w:p>
  </w:footnote>
  <w:footnote w:id="506">
    <w:p w14:paraId="7DF9E3B8"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IACHR, </w:t>
      </w:r>
      <w:hyperlink r:id="rId600" w:history="1">
        <w:r w:rsidRPr="001167CB">
          <w:rPr>
            <w:rStyle w:val="Hyperlink"/>
            <w:rFonts w:asciiTheme="majorHAnsi" w:hAnsiTheme="majorHAnsi" w:cstheme="majorHAnsi"/>
            <w:color w:val="808080" w:themeColor="background1" w:themeShade="80"/>
            <w:sz w:val="16"/>
            <w:szCs w:val="16"/>
          </w:rPr>
          <w:t xml:space="preserve">Annual Report 2015: Chapter IV </w:t>
        </w:r>
        <w:proofErr w:type="gramStart"/>
        <w:r w:rsidRPr="001167CB">
          <w:rPr>
            <w:rStyle w:val="Hyperlink"/>
            <w:rFonts w:asciiTheme="majorHAnsi" w:hAnsiTheme="majorHAnsi" w:cstheme="majorHAnsi"/>
            <w:color w:val="808080" w:themeColor="background1" w:themeShade="80"/>
            <w:sz w:val="16"/>
            <w:szCs w:val="16"/>
          </w:rPr>
          <w:t>The</w:t>
        </w:r>
        <w:proofErr w:type="gramEnd"/>
        <w:r w:rsidRPr="001167CB">
          <w:rPr>
            <w:rStyle w:val="Hyperlink"/>
            <w:rFonts w:asciiTheme="majorHAnsi" w:hAnsiTheme="majorHAnsi" w:cstheme="majorHAnsi"/>
            <w:color w:val="808080" w:themeColor="background1" w:themeShade="80"/>
            <w:sz w:val="16"/>
            <w:szCs w:val="16"/>
          </w:rPr>
          <w:t xml:space="preserve"> Use of Force</w:t>
        </w:r>
      </w:hyperlink>
      <w:r w:rsidRPr="001167CB">
        <w:rPr>
          <w:rFonts w:asciiTheme="majorHAnsi" w:hAnsiTheme="majorHAnsi" w:cstheme="majorHAnsi"/>
          <w:color w:val="808080" w:themeColor="background1" w:themeShade="80"/>
          <w:sz w:val="16"/>
          <w:szCs w:val="16"/>
        </w:rPr>
        <w:t>, para. 227</w:t>
      </w:r>
    </w:p>
  </w:footnote>
  <w:footnote w:id="507">
    <w:p w14:paraId="76A20626"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i/>
          <w:color w:val="808080" w:themeColor="background1" w:themeShade="80"/>
          <w:sz w:val="16"/>
          <w:szCs w:val="16"/>
        </w:rPr>
        <w:t>See</w:t>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i/>
          <w:color w:val="808080" w:themeColor="background1" w:themeShade="80"/>
          <w:sz w:val="16"/>
          <w:szCs w:val="16"/>
        </w:rPr>
        <w:t>e.g.</w:t>
      </w:r>
      <w:r w:rsidRPr="001167CB">
        <w:rPr>
          <w:rFonts w:asciiTheme="majorHAnsi" w:hAnsiTheme="majorHAnsi" w:cstheme="majorHAnsi"/>
          <w:color w:val="808080" w:themeColor="background1" w:themeShade="80"/>
          <w:sz w:val="16"/>
          <w:szCs w:val="16"/>
        </w:rPr>
        <w:t xml:space="preserve">, IACHR, Report No. 92/05, Case 12.418, </w:t>
      </w:r>
      <w:r w:rsidRPr="001167CB">
        <w:rPr>
          <w:rFonts w:asciiTheme="majorHAnsi" w:hAnsiTheme="majorHAnsi" w:cstheme="majorHAnsi"/>
          <w:i/>
          <w:color w:val="808080" w:themeColor="background1" w:themeShade="80"/>
          <w:sz w:val="16"/>
          <w:szCs w:val="16"/>
        </w:rPr>
        <w:t>Michael Gayle</w:t>
      </w:r>
      <w:r w:rsidRPr="001167CB">
        <w:rPr>
          <w:rFonts w:asciiTheme="majorHAnsi" w:hAnsiTheme="majorHAnsi" w:cstheme="majorHAnsi"/>
          <w:color w:val="808080" w:themeColor="background1" w:themeShade="80"/>
          <w:sz w:val="16"/>
          <w:szCs w:val="16"/>
        </w:rPr>
        <w:t xml:space="preserve"> (Jamaica), </w:t>
      </w:r>
      <w:r w:rsidRPr="001167CB">
        <w:rPr>
          <w:rFonts w:asciiTheme="majorHAnsi" w:hAnsiTheme="majorHAnsi" w:cstheme="majorHAnsi"/>
          <w:bCs/>
          <w:color w:val="808080" w:themeColor="background1" w:themeShade="80"/>
          <w:sz w:val="16"/>
          <w:szCs w:val="16"/>
        </w:rPr>
        <w:t xml:space="preserve">Oct. </w:t>
      </w:r>
      <w:r w:rsidRPr="001167CB">
        <w:rPr>
          <w:rFonts w:asciiTheme="majorHAnsi" w:hAnsiTheme="majorHAnsi" w:cstheme="majorHAnsi"/>
          <w:color w:val="808080" w:themeColor="background1" w:themeShade="80"/>
          <w:sz w:val="16"/>
          <w:szCs w:val="16"/>
        </w:rPr>
        <w:t xml:space="preserve">24, 2005, para. 61 (citing </w:t>
      </w:r>
      <w:proofErr w:type="gramStart"/>
      <w:r w:rsidRPr="001167CB">
        <w:rPr>
          <w:rFonts w:asciiTheme="majorHAnsi" w:hAnsiTheme="majorHAnsi" w:cstheme="majorHAnsi"/>
          <w:color w:val="808080" w:themeColor="background1" w:themeShade="80"/>
          <w:sz w:val="16"/>
          <w:szCs w:val="16"/>
        </w:rPr>
        <w:t>I/A</w:t>
      </w:r>
      <w:proofErr w:type="gramEnd"/>
      <w:r w:rsidRPr="001167CB">
        <w:rPr>
          <w:rFonts w:asciiTheme="majorHAnsi" w:hAnsiTheme="majorHAnsi" w:cstheme="majorHAnsi"/>
          <w:color w:val="808080" w:themeColor="background1" w:themeShade="80"/>
          <w:sz w:val="16"/>
          <w:szCs w:val="16"/>
        </w:rPr>
        <w:t xml:space="preserve"> Ct. H.R., </w:t>
      </w:r>
      <w:proofErr w:type="spellStart"/>
      <w:r w:rsidRPr="001167CB">
        <w:rPr>
          <w:rFonts w:asciiTheme="majorHAnsi" w:hAnsiTheme="majorHAnsi" w:cstheme="majorHAnsi"/>
          <w:i/>
          <w:color w:val="808080" w:themeColor="background1" w:themeShade="80"/>
          <w:sz w:val="16"/>
          <w:szCs w:val="16"/>
        </w:rPr>
        <w:t>Cantoral</w:t>
      </w:r>
      <w:proofErr w:type="spellEnd"/>
      <w:r w:rsidRPr="001167CB">
        <w:rPr>
          <w:rFonts w:asciiTheme="majorHAnsi" w:hAnsiTheme="majorHAnsi" w:cstheme="majorHAnsi"/>
          <w:i/>
          <w:color w:val="808080" w:themeColor="background1" w:themeShade="80"/>
          <w:sz w:val="16"/>
          <w:szCs w:val="16"/>
        </w:rPr>
        <w:t xml:space="preserve"> Benavides</w:t>
      </w:r>
      <w:r w:rsidRPr="001167CB">
        <w:rPr>
          <w:rFonts w:asciiTheme="majorHAnsi" w:hAnsiTheme="majorHAnsi" w:cstheme="majorHAnsi"/>
          <w:color w:val="808080" w:themeColor="background1" w:themeShade="80"/>
          <w:sz w:val="16"/>
          <w:szCs w:val="16"/>
        </w:rPr>
        <w:t>, Judgment of Aug. 18, 2000, Ser. C No.  69, para. 95).</w:t>
      </w:r>
    </w:p>
  </w:footnote>
  <w:footnote w:id="508">
    <w:p w14:paraId="40D2C6D5"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Art. 10(1), (2).</w:t>
      </w:r>
    </w:p>
  </w:footnote>
  <w:footnote w:id="509">
    <w:p w14:paraId="7122A9ED"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ICCPR, Art. 7.</w:t>
      </w:r>
    </w:p>
  </w:footnote>
  <w:footnote w:id="510">
    <w:p w14:paraId="59DDCD0D"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IACHR, Report No. 92/05, Case 12.418, </w:t>
      </w:r>
      <w:r w:rsidRPr="001167CB">
        <w:rPr>
          <w:rFonts w:asciiTheme="majorHAnsi" w:hAnsiTheme="majorHAnsi" w:cstheme="majorHAnsi"/>
          <w:i/>
          <w:color w:val="808080" w:themeColor="background1" w:themeShade="80"/>
          <w:sz w:val="16"/>
          <w:szCs w:val="16"/>
        </w:rPr>
        <w:t>Michael Gayle</w:t>
      </w:r>
      <w:r w:rsidRPr="001167CB">
        <w:rPr>
          <w:rFonts w:asciiTheme="majorHAnsi" w:hAnsiTheme="majorHAnsi" w:cstheme="majorHAnsi"/>
          <w:color w:val="808080" w:themeColor="background1" w:themeShade="80"/>
          <w:sz w:val="16"/>
          <w:szCs w:val="16"/>
        </w:rPr>
        <w:t xml:space="preserve"> (Jamaica), </w:t>
      </w:r>
      <w:r w:rsidRPr="001167CB">
        <w:rPr>
          <w:rFonts w:asciiTheme="majorHAnsi" w:hAnsiTheme="majorHAnsi" w:cstheme="majorHAnsi"/>
          <w:bCs/>
          <w:color w:val="808080" w:themeColor="background1" w:themeShade="80"/>
          <w:sz w:val="16"/>
          <w:szCs w:val="16"/>
        </w:rPr>
        <w:t xml:space="preserve">Oct. </w:t>
      </w:r>
      <w:r w:rsidRPr="001167CB">
        <w:rPr>
          <w:rFonts w:asciiTheme="majorHAnsi" w:hAnsiTheme="majorHAnsi" w:cstheme="majorHAnsi"/>
          <w:color w:val="808080" w:themeColor="background1" w:themeShade="80"/>
          <w:sz w:val="16"/>
          <w:szCs w:val="16"/>
        </w:rPr>
        <w:t xml:space="preserve">24, 2005, para. 62 (citing Case 10.832, Report Nº 35/96, </w:t>
      </w:r>
      <w:r w:rsidRPr="001167CB">
        <w:rPr>
          <w:rFonts w:asciiTheme="majorHAnsi" w:hAnsiTheme="majorHAnsi" w:cstheme="majorHAnsi"/>
          <w:i/>
          <w:color w:val="808080" w:themeColor="background1" w:themeShade="80"/>
          <w:sz w:val="16"/>
          <w:szCs w:val="16"/>
        </w:rPr>
        <w:t xml:space="preserve">Luis </w:t>
      </w:r>
      <w:proofErr w:type="spellStart"/>
      <w:r w:rsidRPr="001167CB">
        <w:rPr>
          <w:rFonts w:asciiTheme="majorHAnsi" w:hAnsiTheme="majorHAnsi" w:cstheme="majorHAnsi"/>
          <w:i/>
          <w:color w:val="808080" w:themeColor="background1" w:themeShade="80"/>
          <w:sz w:val="16"/>
          <w:szCs w:val="16"/>
        </w:rPr>
        <w:t>Lizardo</w:t>
      </w:r>
      <w:proofErr w:type="spellEnd"/>
      <w:r w:rsidRPr="001167CB">
        <w:rPr>
          <w:rFonts w:asciiTheme="majorHAnsi" w:hAnsiTheme="majorHAnsi" w:cstheme="majorHAnsi"/>
          <w:i/>
          <w:color w:val="808080" w:themeColor="background1" w:themeShade="80"/>
          <w:sz w:val="16"/>
          <w:szCs w:val="16"/>
        </w:rPr>
        <w:t xml:space="preserve"> Cabrera</w:t>
      </w:r>
      <w:r w:rsidRPr="001167CB">
        <w:rPr>
          <w:rFonts w:asciiTheme="majorHAnsi" w:hAnsiTheme="majorHAnsi" w:cstheme="majorHAnsi"/>
          <w:color w:val="808080" w:themeColor="background1" w:themeShade="80"/>
          <w:sz w:val="16"/>
          <w:szCs w:val="16"/>
        </w:rPr>
        <w:t xml:space="preserve"> (Dominican Republic), Annual Report of the IACHR 1997, para. 79, citing Eur. Com. H.R., </w:t>
      </w:r>
      <w:r w:rsidRPr="001167CB">
        <w:rPr>
          <w:rFonts w:asciiTheme="majorHAnsi" w:hAnsiTheme="majorHAnsi" w:cstheme="majorHAnsi"/>
          <w:i/>
          <w:iCs/>
          <w:color w:val="808080" w:themeColor="background1" w:themeShade="80"/>
          <w:sz w:val="16"/>
          <w:szCs w:val="16"/>
        </w:rPr>
        <w:t>The Greek Case</w:t>
      </w:r>
      <w:r w:rsidRPr="001167CB">
        <w:rPr>
          <w:rFonts w:asciiTheme="majorHAnsi" w:hAnsiTheme="majorHAnsi" w:cstheme="majorHAnsi"/>
          <w:color w:val="808080" w:themeColor="background1" w:themeShade="80"/>
          <w:sz w:val="16"/>
          <w:szCs w:val="16"/>
        </w:rPr>
        <w:t>, 1969, 12 Y. B. Eur. Conv. on H.R. 12, at 186).</w:t>
      </w:r>
    </w:p>
  </w:footnote>
  <w:footnote w:id="511">
    <w:p w14:paraId="2D10518D"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5C2394">
        <w:rPr>
          <w:rFonts w:asciiTheme="majorHAnsi" w:hAnsiTheme="majorHAnsi" w:cstheme="majorHAnsi"/>
          <w:color w:val="808080" w:themeColor="background1" w:themeShade="80"/>
          <w:sz w:val="16"/>
          <w:szCs w:val="16"/>
        </w:rPr>
        <w:t xml:space="preserve"> </w:t>
      </w:r>
      <w:r w:rsidRPr="005C2394">
        <w:rPr>
          <w:rFonts w:asciiTheme="majorHAnsi" w:hAnsiTheme="majorHAnsi" w:cstheme="majorHAnsi"/>
          <w:color w:val="808080" w:themeColor="background1" w:themeShade="80"/>
          <w:sz w:val="16"/>
          <w:szCs w:val="16"/>
        </w:rPr>
        <w:tab/>
        <w:t xml:space="preserve">Id. (citing </w:t>
      </w:r>
      <w:r w:rsidRPr="005C2394">
        <w:rPr>
          <w:rFonts w:asciiTheme="majorHAnsi" w:hAnsiTheme="majorHAnsi" w:cstheme="majorHAnsi"/>
          <w:i/>
          <w:color w:val="808080" w:themeColor="background1" w:themeShade="80"/>
          <w:sz w:val="16"/>
          <w:szCs w:val="16"/>
        </w:rPr>
        <w:t xml:space="preserve">Luis </w:t>
      </w:r>
      <w:proofErr w:type="spellStart"/>
      <w:r w:rsidRPr="005C2394">
        <w:rPr>
          <w:rFonts w:asciiTheme="majorHAnsi" w:hAnsiTheme="majorHAnsi" w:cstheme="majorHAnsi"/>
          <w:i/>
          <w:color w:val="808080" w:themeColor="background1" w:themeShade="80"/>
          <w:sz w:val="16"/>
          <w:szCs w:val="16"/>
        </w:rPr>
        <w:t>Lizardo</w:t>
      </w:r>
      <w:proofErr w:type="spellEnd"/>
      <w:r w:rsidRPr="005C2394">
        <w:rPr>
          <w:rFonts w:asciiTheme="majorHAnsi" w:hAnsiTheme="majorHAnsi" w:cstheme="majorHAnsi"/>
          <w:i/>
          <w:color w:val="808080" w:themeColor="background1" w:themeShade="80"/>
          <w:sz w:val="16"/>
          <w:szCs w:val="16"/>
        </w:rPr>
        <w:t xml:space="preserve"> Cabrera</w:t>
      </w:r>
      <w:r w:rsidRPr="005C2394">
        <w:rPr>
          <w:rFonts w:asciiTheme="majorHAnsi" w:hAnsiTheme="majorHAnsi" w:cstheme="majorHAnsi"/>
          <w:color w:val="808080" w:themeColor="background1" w:themeShade="80"/>
          <w:sz w:val="16"/>
          <w:szCs w:val="16"/>
        </w:rPr>
        <w:t xml:space="preserve">, para. </w:t>
      </w:r>
      <w:r w:rsidRPr="001167CB">
        <w:rPr>
          <w:rFonts w:asciiTheme="majorHAnsi" w:hAnsiTheme="majorHAnsi" w:cstheme="majorHAnsi"/>
          <w:color w:val="808080" w:themeColor="background1" w:themeShade="80"/>
          <w:sz w:val="16"/>
          <w:szCs w:val="16"/>
        </w:rPr>
        <w:t xml:space="preserve">80, citing Eur. Court H. R., Ireland v. United Kingdom, judgment of </w:t>
      </w:r>
      <w:r w:rsidRPr="001167CB">
        <w:rPr>
          <w:rFonts w:asciiTheme="majorHAnsi" w:hAnsiTheme="majorHAnsi" w:cstheme="majorHAnsi"/>
          <w:bCs/>
          <w:color w:val="808080" w:themeColor="background1" w:themeShade="80"/>
          <w:sz w:val="16"/>
          <w:szCs w:val="16"/>
        </w:rPr>
        <w:t xml:space="preserve">Oct. </w:t>
      </w:r>
      <w:r w:rsidRPr="001167CB">
        <w:rPr>
          <w:rFonts w:asciiTheme="majorHAnsi" w:hAnsiTheme="majorHAnsi" w:cstheme="majorHAnsi"/>
          <w:color w:val="808080" w:themeColor="background1" w:themeShade="80"/>
          <w:sz w:val="16"/>
          <w:szCs w:val="16"/>
        </w:rPr>
        <w:t xml:space="preserve">9, 1979, Ser. </w:t>
      </w:r>
      <w:proofErr w:type="gramStart"/>
      <w:r w:rsidRPr="001167CB">
        <w:rPr>
          <w:rFonts w:asciiTheme="majorHAnsi" w:hAnsiTheme="majorHAnsi" w:cstheme="majorHAnsi"/>
          <w:color w:val="808080" w:themeColor="background1" w:themeShade="80"/>
          <w:sz w:val="16"/>
          <w:szCs w:val="16"/>
        </w:rPr>
        <w:t>A</w:t>
      </w:r>
      <w:proofErr w:type="gramEnd"/>
      <w:r w:rsidRPr="001167CB">
        <w:rPr>
          <w:rFonts w:asciiTheme="majorHAnsi" w:hAnsiTheme="majorHAnsi" w:cstheme="majorHAnsi"/>
          <w:color w:val="808080" w:themeColor="background1" w:themeShade="80"/>
          <w:sz w:val="16"/>
          <w:szCs w:val="16"/>
        </w:rPr>
        <w:t xml:space="preserve"> Nº 25, para. 167).</w:t>
      </w:r>
    </w:p>
  </w:footnote>
  <w:footnote w:id="512">
    <w:p w14:paraId="6615624A"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CAT, Art. 1.</w:t>
      </w:r>
    </w:p>
  </w:footnote>
  <w:footnote w:id="513">
    <w:p w14:paraId="5D68A971"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CAT, Art. 1.</w:t>
      </w:r>
    </w:p>
  </w:footnote>
  <w:footnote w:id="514">
    <w:p w14:paraId="133937DC"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IACHR, Report No. 92/05, Case 12.418, </w:t>
      </w:r>
      <w:r w:rsidRPr="001167CB">
        <w:rPr>
          <w:rFonts w:asciiTheme="majorHAnsi" w:hAnsiTheme="majorHAnsi" w:cstheme="majorHAnsi"/>
          <w:i/>
          <w:color w:val="808080" w:themeColor="background1" w:themeShade="80"/>
          <w:sz w:val="16"/>
          <w:szCs w:val="16"/>
        </w:rPr>
        <w:t>Michael Gayle</w:t>
      </w:r>
      <w:r w:rsidRPr="001167CB">
        <w:rPr>
          <w:rFonts w:asciiTheme="majorHAnsi" w:hAnsiTheme="majorHAnsi" w:cstheme="majorHAnsi"/>
          <w:color w:val="808080" w:themeColor="background1" w:themeShade="80"/>
          <w:sz w:val="16"/>
          <w:szCs w:val="16"/>
        </w:rPr>
        <w:t xml:space="preserve"> (Jamaica), </w:t>
      </w:r>
      <w:r w:rsidRPr="001167CB">
        <w:rPr>
          <w:rFonts w:asciiTheme="majorHAnsi" w:hAnsiTheme="majorHAnsi" w:cstheme="majorHAnsi"/>
          <w:bCs/>
          <w:color w:val="808080" w:themeColor="background1" w:themeShade="80"/>
          <w:sz w:val="16"/>
          <w:szCs w:val="16"/>
        </w:rPr>
        <w:t xml:space="preserve">Oct. </w:t>
      </w:r>
      <w:r w:rsidRPr="001167CB">
        <w:rPr>
          <w:rFonts w:asciiTheme="majorHAnsi" w:hAnsiTheme="majorHAnsi" w:cstheme="majorHAnsi"/>
          <w:color w:val="808080" w:themeColor="background1" w:themeShade="80"/>
          <w:sz w:val="16"/>
          <w:szCs w:val="16"/>
        </w:rPr>
        <w:t>24, 2005, paras. 59-60.</w:t>
      </w:r>
    </w:p>
  </w:footnote>
  <w:footnote w:id="515">
    <w:p w14:paraId="1520A44D"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Id. at para. 63.</w:t>
      </w:r>
    </w:p>
  </w:footnote>
  <w:footnote w:id="516">
    <w:p w14:paraId="642D84A7" w14:textId="03AAA09B" w:rsidR="005C2394" w:rsidRPr="001167CB" w:rsidRDefault="005C2394" w:rsidP="002C64F8">
      <w:pPr>
        <w:pStyle w:val="FootnoteText"/>
        <w:tabs>
          <w:tab w:val="left" w:pos="1080"/>
        </w:tabs>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IACHR, Report No. 64/12, Case 12.271, Merits, </w:t>
      </w:r>
      <w:r w:rsidRPr="001167CB">
        <w:rPr>
          <w:rFonts w:asciiTheme="majorHAnsi" w:hAnsiTheme="majorHAnsi" w:cstheme="majorHAnsi"/>
          <w:i/>
          <w:color w:val="808080" w:themeColor="background1" w:themeShade="80"/>
          <w:sz w:val="16"/>
          <w:szCs w:val="16"/>
        </w:rPr>
        <w:t>Benito Tide Méndez et al.</w:t>
      </w:r>
      <w:r w:rsidRPr="001167CB">
        <w:rPr>
          <w:rFonts w:asciiTheme="majorHAnsi" w:hAnsiTheme="majorHAnsi" w:cstheme="majorHAnsi"/>
          <w:color w:val="808080" w:themeColor="background1" w:themeShade="80"/>
          <w:sz w:val="16"/>
          <w:szCs w:val="16"/>
        </w:rPr>
        <w:t xml:space="preserve"> (Dominican Republic), Mar. 29, 2012, para. 209. </w:t>
      </w:r>
    </w:p>
  </w:footnote>
  <w:footnote w:id="517">
    <w:p w14:paraId="58343B85" w14:textId="3B2F1880"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lang w:val="es-US"/>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Id. at para. 194 (citing IACHR, Report No. 35/96, Case 10.832, Merits, </w:t>
      </w:r>
      <w:r w:rsidRPr="001167CB">
        <w:rPr>
          <w:rFonts w:asciiTheme="majorHAnsi" w:hAnsiTheme="majorHAnsi" w:cstheme="majorHAnsi"/>
          <w:i/>
          <w:color w:val="808080" w:themeColor="background1" w:themeShade="80"/>
          <w:sz w:val="16"/>
          <w:szCs w:val="16"/>
        </w:rPr>
        <w:t xml:space="preserve">Luis </w:t>
      </w:r>
      <w:proofErr w:type="spellStart"/>
      <w:r w:rsidRPr="001167CB">
        <w:rPr>
          <w:rFonts w:asciiTheme="majorHAnsi" w:hAnsiTheme="majorHAnsi" w:cstheme="majorHAnsi"/>
          <w:i/>
          <w:color w:val="808080" w:themeColor="background1" w:themeShade="80"/>
          <w:sz w:val="16"/>
          <w:szCs w:val="16"/>
        </w:rPr>
        <w:t>Lizardo</w:t>
      </w:r>
      <w:proofErr w:type="spellEnd"/>
      <w:r w:rsidRPr="001167CB">
        <w:rPr>
          <w:rFonts w:asciiTheme="majorHAnsi" w:hAnsiTheme="majorHAnsi" w:cstheme="majorHAnsi"/>
          <w:i/>
          <w:color w:val="808080" w:themeColor="background1" w:themeShade="80"/>
          <w:sz w:val="16"/>
          <w:szCs w:val="16"/>
        </w:rPr>
        <w:t xml:space="preserve"> Cabrera</w:t>
      </w:r>
      <w:r w:rsidRPr="001167CB">
        <w:rPr>
          <w:rFonts w:asciiTheme="majorHAnsi" w:hAnsiTheme="majorHAnsi" w:cstheme="majorHAnsi"/>
          <w:color w:val="808080" w:themeColor="background1" w:themeShade="80"/>
          <w:sz w:val="16"/>
          <w:szCs w:val="16"/>
        </w:rPr>
        <w:t xml:space="preserve"> (Dominican Republic). Feb. 19, 1998, para. 77, citing European Commission on Human Rights, The Greek Case, 1969, 12 </w:t>
      </w:r>
      <w:r w:rsidRPr="001167CB">
        <w:rPr>
          <w:rFonts w:asciiTheme="majorHAnsi" w:hAnsiTheme="majorHAnsi" w:cstheme="majorHAnsi"/>
          <w:smallCaps/>
          <w:color w:val="808080" w:themeColor="background1" w:themeShade="80"/>
          <w:sz w:val="16"/>
          <w:szCs w:val="16"/>
        </w:rPr>
        <w:t>Y.B. Eur. Conv. on H.R.</w:t>
      </w:r>
      <w:r w:rsidRPr="001167CB">
        <w:rPr>
          <w:rFonts w:asciiTheme="majorHAnsi" w:hAnsiTheme="majorHAnsi" w:cstheme="majorHAnsi"/>
          <w:color w:val="808080" w:themeColor="background1" w:themeShade="80"/>
          <w:sz w:val="16"/>
          <w:szCs w:val="16"/>
        </w:rPr>
        <w:t xml:space="preserve"> 12, 186. </w:t>
      </w:r>
      <w:r w:rsidRPr="001167CB">
        <w:rPr>
          <w:rFonts w:asciiTheme="majorHAnsi" w:hAnsiTheme="majorHAnsi" w:cstheme="majorHAnsi"/>
          <w:i/>
          <w:color w:val="808080" w:themeColor="background1" w:themeShade="80"/>
          <w:sz w:val="16"/>
          <w:szCs w:val="16"/>
        </w:rPr>
        <w:t>See also</w:t>
      </w:r>
      <w:r w:rsidRPr="001167CB">
        <w:rPr>
          <w:rFonts w:asciiTheme="majorHAnsi" w:hAnsiTheme="majorHAnsi" w:cstheme="majorHAnsi"/>
          <w:color w:val="808080" w:themeColor="background1" w:themeShade="80"/>
          <w:sz w:val="16"/>
          <w:szCs w:val="16"/>
        </w:rPr>
        <w:t xml:space="preserve"> IACHR, Report on Terrorism and Human Rights. </w:t>
      </w:r>
      <w:r w:rsidRPr="001167CB">
        <w:rPr>
          <w:rFonts w:asciiTheme="majorHAnsi" w:hAnsiTheme="majorHAnsi" w:cstheme="majorHAnsi"/>
          <w:color w:val="808080" w:themeColor="background1" w:themeShade="80"/>
          <w:sz w:val="16"/>
          <w:szCs w:val="16"/>
          <w:lang w:val="es-US"/>
        </w:rPr>
        <w:t>OEA/</w:t>
      </w:r>
      <w:proofErr w:type="spellStart"/>
      <w:r w:rsidRPr="001167CB">
        <w:rPr>
          <w:rFonts w:asciiTheme="majorHAnsi" w:hAnsiTheme="majorHAnsi" w:cstheme="majorHAnsi"/>
          <w:color w:val="808080" w:themeColor="background1" w:themeShade="80"/>
          <w:sz w:val="16"/>
          <w:szCs w:val="16"/>
          <w:lang w:val="es-US"/>
        </w:rPr>
        <w:t>Ser.L</w:t>
      </w:r>
      <w:proofErr w:type="spellEnd"/>
      <w:r w:rsidRPr="001167CB">
        <w:rPr>
          <w:rFonts w:asciiTheme="majorHAnsi" w:hAnsiTheme="majorHAnsi" w:cstheme="majorHAnsi"/>
          <w:color w:val="808080" w:themeColor="background1" w:themeShade="80"/>
          <w:sz w:val="16"/>
          <w:szCs w:val="16"/>
          <w:lang w:val="es-US"/>
        </w:rPr>
        <w:t xml:space="preserve">/V/II.116 </w:t>
      </w:r>
      <w:proofErr w:type="spellStart"/>
      <w:r w:rsidRPr="001167CB">
        <w:rPr>
          <w:rFonts w:asciiTheme="majorHAnsi" w:hAnsiTheme="majorHAnsi" w:cstheme="majorHAnsi"/>
          <w:color w:val="808080" w:themeColor="background1" w:themeShade="80"/>
          <w:sz w:val="16"/>
          <w:szCs w:val="16"/>
          <w:lang w:val="es-US"/>
        </w:rPr>
        <w:t>Doc</w:t>
      </w:r>
      <w:proofErr w:type="spellEnd"/>
      <w:r w:rsidRPr="001167CB">
        <w:rPr>
          <w:rFonts w:asciiTheme="majorHAnsi" w:hAnsiTheme="majorHAnsi" w:cstheme="majorHAnsi"/>
          <w:color w:val="808080" w:themeColor="background1" w:themeShade="80"/>
          <w:sz w:val="16"/>
          <w:szCs w:val="16"/>
          <w:lang w:val="es-US"/>
        </w:rPr>
        <w:t xml:space="preserve"> 5 </w:t>
      </w:r>
      <w:proofErr w:type="spellStart"/>
      <w:r w:rsidRPr="001167CB">
        <w:rPr>
          <w:rFonts w:asciiTheme="majorHAnsi" w:hAnsiTheme="majorHAnsi" w:cstheme="majorHAnsi"/>
          <w:color w:val="808080" w:themeColor="background1" w:themeShade="80"/>
          <w:sz w:val="16"/>
          <w:szCs w:val="16"/>
          <w:lang w:val="es-US"/>
        </w:rPr>
        <w:t>rev.</w:t>
      </w:r>
      <w:proofErr w:type="spellEnd"/>
      <w:r w:rsidRPr="001167CB">
        <w:rPr>
          <w:rFonts w:asciiTheme="majorHAnsi" w:hAnsiTheme="majorHAnsi" w:cstheme="majorHAnsi"/>
          <w:color w:val="808080" w:themeColor="background1" w:themeShade="80"/>
          <w:sz w:val="16"/>
          <w:szCs w:val="16"/>
          <w:lang w:val="es-US"/>
        </w:rPr>
        <w:t xml:space="preserve"> 1 </w:t>
      </w:r>
      <w:proofErr w:type="spellStart"/>
      <w:r w:rsidRPr="001167CB">
        <w:rPr>
          <w:rFonts w:asciiTheme="majorHAnsi" w:hAnsiTheme="majorHAnsi" w:cstheme="majorHAnsi"/>
          <w:color w:val="808080" w:themeColor="background1" w:themeShade="80"/>
          <w:sz w:val="16"/>
          <w:szCs w:val="16"/>
          <w:lang w:val="es-US"/>
        </w:rPr>
        <w:t>corr</w:t>
      </w:r>
      <w:proofErr w:type="spellEnd"/>
      <w:r w:rsidRPr="001167CB">
        <w:rPr>
          <w:rFonts w:asciiTheme="majorHAnsi" w:hAnsiTheme="majorHAnsi" w:cstheme="majorHAnsi"/>
          <w:color w:val="808080" w:themeColor="background1" w:themeShade="80"/>
          <w:sz w:val="16"/>
          <w:szCs w:val="16"/>
          <w:lang w:val="es-US"/>
        </w:rPr>
        <w:t>. (2002), para. 156.)</w:t>
      </w:r>
    </w:p>
  </w:footnote>
  <w:footnote w:id="518">
    <w:p w14:paraId="66DC549A" w14:textId="1A621A32" w:rsidR="005C2394" w:rsidRPr="001167CB" w:rsidRDefault="005C2394" w:rsidP="002C64F8">
      <w:pPr>
        <w:pStyle w:val="FootnoteText"/>
        <w:tabs>
          <w:tab w:val="left" w:pos="1080"/>
        </w:tabs>
        <w:spacing w:after="40"/>
        <w:ind w:left="547" w:hanging="547"/>
        <w:jc w:val="both"/>
        <w:rPr>
          <w:rFonts w:asciiTheme="majorHAnsi" w:hAnsiTheme="majorHAnsi" w:cstheme="majorHAnsi"/>
          <w:color w:val="808080" w:themeColor="background1" w:themeShade="80"/>
          <w:sz w:val="16"/>
          <w:szCs w:val="16"/>
          <w:lang w:val="es-US"/>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lang w:val="es-US"/>
        </w:rPr>
        <w:t xml:space="preserve">           Id.</w:t>
      </w:r>
    </w:p>
  </w:footnote>
  <w:footnote w:id="519">
    <w:p w14:paraId="2DA67861" w14:textId="044515AC" w:rsidR="005C2394" w:rsidRPr="001167CB" w:rsidRDefault="005C2394" w:rsidP="002C64F8">
      <w:pPr>
        <w:pStyle w:val="FootnoteText"/>
        <w:tabs>
          <w:tab w:val="left" w:pos="900"/>
        </w:tabs>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Id. (citing </w:t>
      </w:r>
      <w:proofErr w:type="gramStart"/>
      <w:r w:rsidRPr="001167CB">
        <w:rPr>
          <w:rFonts w:asciiTheme="majorHAnsi" w:hAnsiTheme="majorHAnsi" w:cstheme="majorHAnsi"/>
          <w:color w:val="808080" w:themeColor="background1" w:themeShade="80"/>
          <w:sz w:val="16"/>
          <w:szCs w:val="16"/>
        </w:rPr>
        <w:t>I/A</w:t>
      </w:r>
      <w:proofErr w:type="gramEnd"/>
      <w:r w:rsidRPr="001167CB">
        <w:rPr>
          <w:rFonts w:asciiTheme="majorHAnsi" w:hAnsiTheme="majorHAnsi" w:cstheme="majorHAnsi"/>
          <w:color w:val="808080" w:themeColor="background1" w:themeShade="80"/>
          <w:sz w:val="16"/>
          <w:szCs w:val="16"/>
        </w:rPr>
        <w:t xml:space="preserve"> Ct. H.R., </w:t>
      </w:r>
      <w:proofErr w:type="spellStart"/>
      <w:r w:rsidRPr="001167CB">
        <w:rPr>
          <w:rFonts w:asciiTheme="majorHAnsi" w:hAnsiTheme="majorHAnsi" w:cstheme="majorHAnsi"/>
          <w:i/>
          <w:color w:val="808080" w:themeColor="background1" w:themeShade="80"/>
          <w:sz w:val="16"/>
          <w:szCs w:val="16"/>
        </w:rPr>
        <w:t>Loayza</w:t>
      </w:r>
      <w:proofErr w:type="spellEnd"/>
      <w:r w:rsidRPr="001167CB">
        <w:rPr>
          <w:rFonts w:asciiTheme="majorHAnsi" w:hAnsiTheme="majorHAnsi" w:cstheme="majorHAnsi"/>
          <w:i/>
          <w:color w:val="808080" w:themeColor="background1" w:themeShade="80"/>
          <w:sz w:val="16"/>
          <w:szCs w:val="16"/>
        </w:rPr>
        <w:t xml:space="preserve"> Tamayo v. Peru</w:t>
      </w:r>
      <w:r w:rsidRPr="001167CB">
        <w:rPr>
          <w:rFonts w:asciiTheme="majorHAnsi" w:hAnsiTheme="majorHAnsi" w:cstheme="majorHAnsi"/>
          <w:color w:val="808080" w:themeColor="background1" w:themeShade="80"/>
          <w:sz w:val="16"/>
          <w:szCs w:val="16"/>
        </w:rPr>
        <w:t>. Sept. 19, 1997, Series C Nº 33, para. 57).</w:t>
      </w:r>
    </w:p>
  </w:footnote>
  <w:footnote w:id="520">
    <w:p w14:paraId="1BB6EC06"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Committee </w:t>
      </w:r>
      <w:proofErr w:type="gramStart"/>
      <w:r w:rsidRPr="001167CB">
        <w:rPr>
          <w:rFonts w:asciiTheme="majorHAnsi" w:hAnsiTheme="majorHAnsi" w:cstheme="majorHAnsi"/>
          <w:color w:val="808080" w:themeColor="background1" w:themeShade="80"/>
          <w:sz w:val="16"/>
          <w:szCs w:val="16"/>
        </w:rPr>
        <w:t>Against</w:t>
      </w:r>
      <w:proofErr w:type="gramEnd"/>
      <w:r w:rsidRPr="001167CB">
        <w:rPr>
          <w:rFonts w:asciiTheme="majorHAnsi" w:hAnsiTheme="majorHAnsi" w:cstheme="majorHAnsi"/>
          <w:color w:val="808080" w:themeColor="background1" w:themeShade="80"/>
          <w:sz w:val="16"/>
          <w:szCs w:val="16"/>
        </w:rPr>
        <w:t xml:space="preserve"> Torture, </w:t>
      </w:r>
      <w:r w:rsidRPr="001167CB">
        <w:rPr>
          <w:rFonts w:asciiTheme="majorHAnsi" w:hAnsiTheme="majorHAnsi" w:cstheme="majorHAnsi"/>
          <w:i/>
          <w:color w:val="808080" w:themeColor="background1" w:themeShade="80"/>
          <w:sz w:val="16"/>
          <w:szCs w:val="16"/>
        </w:rPr>
        <w:t>Conclusions and recommendations: U.S.</w:t>
      </w:r>
      <w:r w:rsidRPr="001167CB">
        <w:rPr>
          <w:rFonts w:asciiTheme="majorHAnsi" w:hAnsiTheme="majorHAnsi" w:cstheme="majorHAnsi"/>
          <w:color w:val="808080" w:themeColor="background1" w:themeShade="80"/>
          <w:sz w:val="16"/>
          <w:szCs w:val="16"/>
        </w:rPr>
        <w:t>, U.N. Doc. CAT/C/USA/CO/2 (July 25, 2006), para. 23.</w:t>
      </w:r>
    </w:p>
  </w:footnote>
  <w:footnote w:id="521">
    <w:p w14:paraId="538965EA"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Id. at para. 37.</w:t>
      </w:r>
    </w:p>
  </w:footnote>
  <w:footnote w:id="522">
    <w:p w14:paraId="5917A3A3"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bookmarkStart w:id="200" w:name="_Hlk504833244"/>
      <w:r w:rsidRPr="001167CB">
        <w:rPr>
          <w:rFonts w:asciiTheme="majorHAnsi" w:hAnsiTheme="majorHAnsi" w:cstheme="majorHAnsi"/>
          <w:color w:val="808080" w:themeColor="background1" w:themeShade="80"/>
          <w:sz w:val="16"/>
          <w:szCs w:val="16"/>
        </w:rPr>
        <w:tab/>
        <w:t xml:space="preserve">Committee Against Torture, </w:t>
      </w:r>
      <w:r w:rsidRPr="001167CB">
        <w:rPr>
          <w:rFonts w:asciiTheme="majorHAnsi" w:hAnsiTheme="majorHAnsi" w:cstheme="majorHAnsi"/>
          <w:i/>
          <w:color w:val="808080" w:themeColor="background1" w:themeShade="80"/>
          <w:sz w:val="16"/>
          <w:szCs w:val="16"/>
        </w:rPr>
        <w:t>Concluding observations on the combined third to fifth periodic reports of the United States of America</w:t>
      </w:r>
      <w:r w:rsidRPr="001167CB">
        <w:rPr>
          <w:rFonts w:asciiTheme="majorHAnsi" w:hAnsiTheme="majorHAnsi" w:cstheme="majorHAnsi"/>
          <w:color w:val="808080" w:themeColor="background1" w:themeShade="80"/>
          <w:sz w:val="16"/>
          <w:szCs w:val="16"/>
        </w:rPr>
        <w:t>, CAT/C/USA/CO/3-5, Dec. 19, 2014, para. 26.</w:t>
      </w:r>
      <w:bookmarkEnd w:id="200"/>
    </w:p>
  </w:footnote>
  <w:footnote w:id="523">
    <w:p w14:paraId="7AED980D" w14:textId="44F148DD"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i/>
          <w:color w:val="808080" w:themeColor="background1" w:themeShade="80"/>
          <w:sz w:val="16"/>
          <w:szCs w:val="16"/>
        </w:rPr>
        <w:t>See generally infra</w:t>
      </w:r>
      <w:r w:rsidRPr="001167CB">
        <w:rPr>
          <w:rFonts w:asciiTheme="majorHAnsi" w:hAnsiTheme="majorHAnsi" w:cstheme="majorHAnsi"/>
          <w:color w:val="808080" w:themeColor="background1" w:themeShade="80"/>
          <w:sz w:val="16"/>
          <w:szCs w:val="16"/>
        </w:rPr>
        <w:t xml:space="preserve"> paras. </w:t>
      </w:r>
      <w:r w:rsidRPr="001167CB">
        <w:rPr>
          <w:rFonts w:asciiTheme="majorHAnsi" w:hAnsiTheme="majorHAnsi" w:cstheme="majorHAnsi"/>
          <w:color w:val="808080" w:themeColor="background1" w:themeShade="80"/>
          <w:sz w:val="16"/>
          <w:szCs w:val="16"/>
        </w:rPr>
        <w:fldChar w:fldCharType="begin"/>
      </w:r>
      <w:r w:rsidRPr="001167CB">
        <w:rPr>
          <w:rFonts w:asciiTheme="majorHAnsi" w:hAnsiTheme="majorHAnsi" w:cstheme="majorHAnsi"/>
          <w:color w:val="808080" w:themeColor="background1" w:themeShade="80"/>
          <w:sz w:val="16"/>
          <w:szCs w:val="16"/>
        </w:rPr>
        <w:instrText xml:space="preserve"> REF _Ref507518542 \r \h  \* MERGEFORMAT </w:instrText>
      </w:r>
      <w:r w:rsidRPr="001167CB">
        <w:rPr>
          <w:rFonts w:asciiTheme="majorHAnsi" w:hAnsiTheme="majorHAnsi" w:cstheme="majorHAnsi"/>
          <w:color w:val="808080" w:themeColor="background1" w:themeShade="80"/>
          <w:sz w:val="16"/>
          <w:szCs w:val="16"/>
        </w:rPr>
      </w:r>
      <w:r w:rsidRPr="001167CB">
        <w:rPr>
          <w:rFonts w:asciiTheme="majorHAnsi" w:hAnsiTheme="majorHAnsi" w:cstheme="majorHAnsi"/>
          <w:color w:val="808080" w:themeColor="background1" w:themeShade="80"/>
          <w:sz w:val="16"/>
          <w:szCs w:val="16"/>
        </w:rPr>
        <w:fldChar w:fldCharType="separate"/>
      </w:r>
      <w:r w:rsidRPr="001167CB">
        <w:rPr>
          <w:rFonts w:asciiTheme="majorHAnsi" w:hAnsiTheme="majorHAnsi" w:cstheme="majorHAnsi"/>
          <w:color w:val="808080" w:themeColor="background1" w:themeShade="80"/>
          <w:sz w:val="16"/>
          <w:szCs w:val="16"/>
        </w:rPr>
        <w:t>250</w:t>
      </w:r>
      <w:r w:rsidRPr="001167CB">
        <w:rPr>
          <w:rFonts w:asciiTheme="majorHAnsi" w:hAnsiTheme="majorHAnsi" w:cstheme="majorHAnsi"/>
          <w:color w:val="808080" w:themeColor="background1" w:themeShade="80"/>
          <w:sz w:val="16"/>
          <w:szCs w:val="16"/>
        </w:rPr>
        <w:fldChar w:fldCharType="end"/>
      </w:r>
      <w:r w:rsidRPr="001167CB">
        <w:rPr>
          <w:rFonts w:asciiTheme="majorHAnsi" w:hAnsiTheme="majorHAnsi" w:cstheme="majorHAnsi"/>
          <w:color w:val="808080" w:themeColor="background1" w:themeShade="80"/>
          <w:sz w:val="16"/>
          <w:szCs w:val="16"/>
        </w:rPr>
        <w:t>-</w:t>
      </w:r>
      <w:r w:rsidRPr="001167CB">
        <w:rPr>
          <w:rFonts w:asciiTheme="majorHAnsi" w:hAnsiTheme="majorHAnsi" w:cstheme="majorHAnsi"/>
          <w:color w:val="808080" w:themeColor="background1" w:themeShade="80"/>
          <w:sz w:val="16"/>
          <w:szCs w:val="16"/>
        </w:rPr>
        <w:fldChar w:fldCharType="begin"/>
      </w:r>
      <w:r w:rsidRPr="001167CB">
        <w:rPr>
          <w:rFonts w:asciiTheme="majorHAnsi" w:hAnsiTheme="majorHAnsi" w:cstheme="majorHAnsi"/>
          <w:color w:val="808080" w:themeColor="background1" w:themeShade="80"/>
          <w:sz w:val="16"/>
          <w:szCs w:val="16"/>
        </w:rPr>
        <w:instrText xml:space="preserve"> REF _Ref507518547 \r \h  \* MERGEFORMAT </w:instrText>
      </w:r>
      <w:r w:rsidRPr="001167CB">
        <w:rPr>
          <w:rFonts w:asciiTheme="majorHAnsi" w:hAnsiTheme="majorHAnsi" w:cstheme="majorHAnsi"/>
          <w:color w:val="808080" w:themeColor="background1" w:themeShade="80"/>
          <w:sz w:val="16"/>
          <w:szCs w:val="16"/>
        </w:rPr>
      </w:r>
      <w:r w:rsidRPr="001167CB">
        <w:rPr>
          <w:rFonts w:asciiTheme="majorHAnsi" w:hAnsiTheme="majorHAnsi" w:cstheme="majorHAnsi"/>
          <w:color w:val="808080" w:themeColor="background1" w:themeShade="80"/>
          <w:sz w:val="16"/>
          <w:szCs w:val="16"/>
        </w:rPr>
        <w:fldChar w:fldCharType="separate"/>
      </w:r>
      <w:r w:rsidRPr="001167CB">
        <w:rPr>
          <w:rFonts w:asciiTheme="majorHAnsi" w:hAnsiTheme="majorHAnsi" w:cstheme="majorHAnsi"/>
          <w:color w:val="808080" w:themeColor="background1" w:themeShade="80"/>
          <w:sz w:val="16"/>
          <w:szCs w:val="16"/>
        </w:rPr>
        <w:t>256</w:t>
      </w:r>
      <w:r w:rsidRPr="001167CB">
        <w:rPr>
          <w:rFonts w:asciiTheme="majorHAnsi" w:hAnsiTheme="majorHAnsi" w:cstheme="majorHAnsi"/>
          <w:color w:val="808080" w:themeColor="background1" w:themeShade="80"/>
          <w:sz w:val="16"/>
          <w:szCs w:val="16"/>
        </w:rPr>
        <w:fldChar w:fldCharType="end"/>
      </w:r>
      <w:r w:rsidRPr="001167CB">
        <w:rPr>
          <w:rFonts w:asciiTheme="majorHAnsi" w:hAnsiTheme="majorHAnsi" w:cstheme="majorHAnsi"/>
          <w:color w:val="808080" w:themeColor="background1" w:themeShade="80"/>
          <w:sz w:val="16"/>
          <w:szCs w:val="16"/>
        </w:rPr>
        <w:t>.</w:t>
      </w:r>
    </w:p>
  </w:footnote>
  <w:footnote w:id="524">
    <w:p w14:paraId="07EF23E3" w14:textId="7E2EB81E"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i/>
          <w:color w:val="808080" w:themeColor="background1" w:themeShade="80"/>
          <w:sz w:val="16"/>
          <w:szCs w:val="16"/>
        </w:rPr>
        <w:t>See supra</w:t>
      </w:r>
      <w:r w:rsidRPr="001167CB">
        <w:rPr>
          <w:rFonts w:asciiTheme="majorHAnsi" w:hAnsiTheme="majorHAnsi" w:cstheme="majorHAnsi"/>
          <w:color w:val="808080" w:themeColor="background1" w:themeShade="80"/>
          <w:sz w:val="16"/>
          <w:szCs w:val="16"/>
        </w:rPr>
        <w:t xml:space="preserve"> paras. </w:t>
      </w:r>
      <w:r w:rsidRPr="001167CB">
        <w:rPr>
          <w:rFonts w:asciiTheme="majorHAnsi" w:hAnsiTheme="majorHAnsi" w:cstheme="majorHAnsi"/>
          <w:color w:val="808080" w:themeColor="background1" w:themeShade="80"/>
          <w:sz w:val="16"/>
          <w:szCs w:val="16"/>
        </w:rPr>
        <w:fldChar w:fldCharType="begin"/>
      </w:r>
      <w:r w:rsidRPr="001167CB">
        <w:rPr>
          <w:rFonts w:asciiTheme="majorHAnsi" w:hAnsiTheme="majorHAnsi" w:cstheme="majorHAnsi"/>
          <w:color w:val="808080" w:themeColor="background1" w:themeShade="80"/>
          <w:sz w:val="16"/>
          <w:szCs w:val="16"/>
        </w:rPr>
        <w:instrText xml:space="preserve"> REF _Ref507148704 \r \h  \* MERGEFORMAT </w:instrText>
      </w:r>
      <w:r w:rsidRPr="001167CB">
        <w:rPr>
          <w:rFonts w:asciiTheme="majorHAnsi" w:hAnsiTheme="majorHAnsi" w:cstheme="majorHAnsi"/>
          <w:color w:val="808080" w:themeColor="background1" w:themeShade="80"/>
          <w:sz w:val="16"/>
          <w:szCs w:val="16"/>
        </w:rPr>
      </w:r>
      <w:r w:rsidRPr="001167CB">
        <w:rPr>
          <w:rFonts w:asciiTheme="majorHAnsi" w:hAnsiTheme="majorHAnsi" w:cstheme="majorHAnsi"/>
          <w:color w:val="808080" w:themeColor="background1" w:themeShade="80"/>
          <w:sz w:val="16"/>
          <w:szCs w:val="16"/>
        </w:rPr>
        <w:fldChar w:fldCharType="separate"/>
      </w:r>
      <w:r w:rsidRPr="001167CB">
        <w:rPr>
          <w:rFonts w:asciiTheme="majorHAnsi" w:hAnsiTheme="majorHAnsi" w:cstheme="majorHAnsi"/>
          <w:color w:val="808080" w:themeColor="background1" w:themeShade="80"/>
          <w:sz w:val="16"/>
          <w:szCs w:val="16"/>
        </w:rPr>
        <w:t>66</w:t>
      </w:r>
      <w:r w:rsidRPr="001167CB">
        <w:rPr>
          <w:rFonts w:asciiTheme="majorHAnsi" w:hAnsiTheme="majorHAnsi" w:cstheme="majorHAnsi"/>
          <w:color w:val="808080" w:themeColor="background1" w:themeShade="80"/>
          <w:sz w:val="16"/>
          <w:szCs w:val="16"/>
        </w:rPr>
        <w:fldChar w:fldCharType="end"/>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fldChar w:fldCharType="begin"/>
      </w:r>
      <w:r w:rsidRPr="001167CB">
        <w:rPr>
          <w:rFonts w:asciiTheme="majorHAnsi" w:hAnsiTheme="majorHAnsi" w:cstheme="majorHAnsi"/>
          <w:color w:val="808080" w:themeColor="background1" w:themeShade="80"/>
          <w:sz w:val="16"/>
          <w:szCs w:val="16"/>
        </w:rPr>
        <w:instrText xml:space="preserve"> REF _Ref507153340 \r \h  \* MERGEFORMAT </w:instrText>
      </w:r>
      <w:r w:rsidRPr="001167CB">
        <w:rPr>
          <w:rFonts w:asciiTheme="majorHAnsi" w:hAnsiTheme="majorHAnsi" w:cstheme="majorHAnsi"/>
          <w:color w:val="808080" w:themeColor="background1" w:themeShade="80"/>
          <w:sz w:val="16"/>
          <w:szCs w:val="16"/>
        </w:rPr>
      </w:r>
      <w:r w:rsidRPr="001167CB">
        <w:rPr>
          <w:rFonts w:asciiTheme="majorHAnsi" w:hAnsiTheme="majorHAnsi" w:cstheme="majorHAnsi"/>
          <w:color w:val="808080" w:themeColor="background1" w:themeShade="80"/>
          <w:sz w:val="16"/>
          <w:szCs w:val="16"/>
        </w:rPr>
        <w:fldChar w:fldCharType="separate"/>
      </w:r>
      <w:r w:rsidRPr="001167CB">
        <w:rPr>
          <w:rFonts w:asciiTheme="majorHAnsi" w:hAnsiTheme="majorHAnsi" w:cstheme="majorHAnsi"/>
          <w:color w:val="808080" w:themeColor="background1" w:themeShade="80"/>
          <w:sz w:val="16"/>
          <w:szCs w:val="16"/>
        </w:rPr>
        <w:t>87</w:t>
      </w:r>
      <w:r w:rsidRPr="001167CB">
        <w:rPr>
          <w:rFonts w:asciiTheme="majorHAnsi" w:hAnsiTheme="majorHAnsi" w:cstheme="majorHAnsi"/>
          <w:color w:val="808080" w:themeColor="background1" w:themeShade="80"/>
          <w:sz w:val="16"/>
          <w:szCs w:val="16"/>
        </w:rPr>
        <w:fldChar w:fldCharType="end"/>
      </w:r>
      <w:r w:rsidRPr="001167CB">
        <w:rPr>
          <w:rFonts w:asciiTheme="majorHAnsi" w:hAnsiTheme="majorHAnsi" w:cstheme="majorHAnsi"/>
          <w:color w:val="808080" w:themeColor="background1" w:themeShade="80"/>
          <w:sz w:val="16"/>
          <w:szCs w:val="16"/>
        </w:rPr>
        <w:t>-</w:t>
      </w:r>
      <w:r w:rsidRPr="001167CB">
        <w:rPr>
          <w:rFonts w:asciiTheme="majorHAnsi" w:hAnsiTheme="majorHAnsi" w:cstheme="majorHAnsi"/>
          <w:color w:val="808080" w:themeColor="background1" w:themeShade="80"/>
          <w:sz w:val="16"/>
          <w:szCs w:val="16"/>
        </w:rPr>
        <w:fldChar w:fldCharType="begin"/>
      </w:r>
      <w:r w:rsidRPr="001167CB">
        <w:rPr>
          <w:rFonts w:asciiTheme="majorHAnsi" w:hAnsiTheme="majorHAnsi" w:cstheme="majorHAnsi"/>
          <w:color w:val="808080" w:themeColor="background1" w:themeShade="80"/>
          <w:sz w:val="16"/>
          <w:szCs w:val="16"/>
        </w:rPr>
        <w:instrText xml:space="preserve"> REF _Ref507153342 \r \h  \* MERGEFORMAT </w:instrText>
      </w:r>
      <w:r w:rsidRPr="001167CB">
        <w:rPr>
          <w:rFonts w:asciiTheme="majorHAnsi" w:hAnsiTheme="majorHAnsi" w:cstheme="majorHAnsi"/>
          <w:color w:val="808080" w:themeColor="background1" w:themeShade="80"/>
          <w:sz w:val="16"/>
          <w:szCs w:val="16"/>
        </w:rPr>
      </w:r>
      <w:r w:rsidRPr="001167CB">
        <w:rPr>
          <w:rFonts w:asciiTheme="majorHAnsi" w:hAnsiTheme="majorHAnsi" w:cstheme="majorHAnsi"/>
          <w:color w:val="808080" w:themeColor="background1" w:themeShade="80"/>
          <w:sz w:val="16"/>
          <w:szCs w:val="16"/>
        </w:rPr>
        <w:fldChar w:fldCharType="separate"/>
      </w:r>
      <w:r w:rsidRPr="001167CB">
        <w:rPr>
          <w:rFonts w:asciiTheme="majorHAnsi" w:hAnsiTheme="majorHAnsi" w:cstheme="majorHAnsi"/>
          <w:color w:val="808080" w:themeColor="background1" w:themeShade="80"/>
          <w:sz w:val="16"/>
          <w:szCs w:val="16"/>
        </w:rPr>
        <w:t>89</w:t>
      </w:r>
      <w:r w:rsidRPr="001167CB">
        <w:rPr>
          <w:rFonts w:asciiTheme="majorHAnsi" w:hAnsiTheme="majorHAnsi" w:cstheme="majorHAnsi"/>
          <w:color w:val="808080" w:themeColor="background1" w:themeShade="80"/>
          <w:sz w:val="16"/>
          <w:szCs w:val="16"/>
        </w:rPr>
        <w:fldChar w:fldCharType="end"/>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fldChar w:fldCharType="begin"/>
      </w:r>
      <w:r w:rsidRPr="001167CB">
        <w:rPr>
          <w:rFonts w:asciiTheme="majorHAnsi" w:hAnsiTheme="majorHAnsi" w:cstheme="majorHAnsi"/>
          <w:color w:val="808080" w:themeColor="background1" w:themeShade="80"/>
          <w:sz w:val="16"/>
          <w:szCs w:val="16"/>
        </w:rPr>
        <w:instrText xml:space="preserve"> REF _Ref507405452 \r \h  \* MERGEFORMAT </w:instrText>
      </w:r>
      <w:r w:rsidRPr="001167CB">
        <w:rPr>
          <w:rFonts w:asciiTheme="majorHAnsi" w:hAnsiTheme="majorHAnsi" w:cstheme="majorHAnsi"/>
          <w:color w:val="808080" w:themeColor="background1" w:themeShade="80"/>
          <w:sz w:val="16"/>
          <w:szCs w:val="16"/>
        </w:rPr>
      </w:r>
      <w:r w:rsidRPr="001167CB">
        <w:rPr>
          <w:rFonts w:asciiTheme="majorHAnsi" w:hAnsiTheme="majorHAnsi" w:cstheme="majorHAnsi"/>
          <w:color w:val="808080" w:themeColor="background1" w:themeShade="80"/>
          <w:sz w:val="16"/>
          <w:szCs w:val="16"/>
        </w:rPr>
        <w:fldChar w:fldCharType="separate"/>
      </w:r>
      <w:r w:rsidRPr="001167CB">
        <w:rPr>
          <w:rFonts w:asciiTheme="majorHAnsi" w:hAnsiTheme="majorHAnsi" w:cstheme="majorHAnsi"/>
          <w:color w:val="808080" w:themeColor="background1" w:themeShade="80"/>
          <w:sz w:val="16"/>
          <w:szCs w:val="16"/>
        </w:rPr>
        <w:t>178</w:t>
      </w:r>
      <w:r w:rsidRPr="001167CB">
        <w:rPr>
          <w:rFonts w:asciiTheme="majorHAnsi" w:hAnsiTheme="majorHAnsi" w:cstheme="majorHAnsi"/>
          <w:color w:val="808080" w:themeColor="background1" w:themeShade="80"/>
          <w:sz w:val="16"/>
          <w:szCs w:val="16"/>
        </w:rPr>
        <w:fldChar w:fldCharType="end"/>
      </w:r>
      <w:r w:rsidRPr="001167CB">
        <w:rPr>
          <w:rFonts w:asciiTheme="majorHAnsi" w:hAnsiTheme="majorHAnsi" w:cstheme="majorHAnsi"/>
          <w:color w:val="808080" w:themeColor="background1" w:themeShade="80"/>
          <w:sz w:val="16"/>
          <w:szCs w:val="16"/>
        </w:rPr>
        <w:t>.</w:t>
      </w:r>
    </w:p>
  </w:footnote>
  <w:footnote w:id="525">
    <w:p w14:paraId="7C4063FF" w14:textId="77777777" w:rsidR="005C2394" w:rsidRPr="001167CB" w:rsidRDefault="005C2394" w:rsidP="002C64F8">
      <w:pPr>
        <w:pStyle w:val="FootnoteText"/>
        <w:spacing w:after="40"/>
        <w:ind w:left="547" w:hanging="547"/>
        <w:contextualSpacing/>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ACLU, </w:t>
      </w:r>
      <w:hyperlink r:id="rId601" w:history="1">
        <w:r w:rsidRPr="001167CB">
          <w:rPr>
            <w:rStyle w:val="Hyperlink"/>
            <w:rFonts w:asciiTheme="majorHAnsi" w:hAnsiTheme="majorHAnsi" w:cstheme="majorHAnsi"/>
            <w:color w:val="808080" w:themeColor="background1" w:themeShade="80"/>
            <w:sz w:val="16"/>
            <w:szCs w:val="16"/>
          </w:rPr>
          <w:t>The War on Marijuana in Black and White</w:t>
        </w:r>
      </w:hyperlink>
      <w:proofErr w:type="gramStart"/>
      <w:r w:rsidRPr="001167CB">
        <w:rPr>
          <w:rFonts w:asciiTheme="majorHAnsi" w:hAnsiTheme="majorHAnsi" w:cstheme="majorHAnsi"/>
          <w:color w:val="808080" w:themeColor="background1" w:themeShade="80"/>
          <w:sz w:val="16"/>
          <w:szCs w:val="16"/>
        </w:rPr>
        <w:t>,  June</w:t>
      </w:r>
      <w:proofErr w:type="gramEnd"/>
      <w:r w:rsidRPr="001167CB">
        <w:rPr>
          <w:rFonts w:asciiTheme="majorHAnsi" w:hAnsiTheme="majorHAnsi" w:cstheme="majorHAnsi"/>
          <w:color w:val="808080" w:themeColor="background1" w:themeShade="80"/>
          <w:sz w:val="16"/>
          <w:szCs w:val="16"/>
        </w:rPr>
        <w:t xml:space="preserve"> 2013.</w:t>
      </w:r>
    </w:p>
  </w:footnote>
  <w:footnote w:id="526">
    <w:p w14:paraId="4D49381B" w14:textId="77777777" w:rsidR="005C2394" w:rsidRPr="001167CB" w:rsidRDefault="005C2394" w:rsidP="002C64F8">
      <w:pPr>
        <w:pStyle w:val="FootnoteText"/>
        <w:spacing w:after="40"/>
        <w:ind w:left="547" w:hanging="547"/>
        <w:contextualSpacing/>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ACLU. </w:t>
      </w:r>
      <w:hyperlink r:id="rId602" w:history="1">
        <w:r w:rsidRPr="001167CB">
          <w:rPr>
            <w:rStyle w:val="Hyperlink"/>
            <w:rFonts w:asciiTheme="majorHAnsi" w:hAnsiTheme="majorHAnsi" w:cstheme="majorHAnsi"/>
            <w:iCs/>
            <w:color w:val="808080" w:themeColor="background1" w:themeShade="80"/>
            <w:sz w:val="16"/>
            <w:szCs w:val="16"/>
          </w:rPr>
          <w:t>War Comes Home</w:t>
        </w:r>
        <w:r w:rsidRPr="001167CB">
          <w:rPr>
            <w:rStyle w:val="Hyperlink"/>
            <w:rFonts w:asciiTheme="majorHAnsi" w:hAnsiTheme="majorHAnsi" w:cstheme="majorHAnsi"/>
            <w:color w:val="808080" w:themeColor="background1" w:themeShade="80"/>
            <w:sz w:val="16"/>
            <w:szCs w:val="16"/>
          </w:rPr>
          <w:t>.</w:t>
        </w:r>
      </w:hyperlink>
      <w:r w:rsidRPr="001167CB">
        <w:rPr>
          <w:rFonts w:asciiTheme="majorHAnsi" w:hAnsiTheme="majorHAnsi" w:cstheme="majorHAnsi"/>
          <w:color w:val="808080" w:themeColor="background1" w:themeShade="80"/>
          <w:sz w:val="16"/>
          <w:szCs w:val="16"/>
        </w:rPr>
        <w:t xml:space="preserve"> </w:t>
      </w:r>
      <w:hyperlink r:id="rId603" w:history="1">
        <w:r w:rsidRPr="001167CB">
          <w:rPr>
            <w:rStyle w:val="Hyperlink"/>
            <w:rFonts w:asciiTheme="majorHAnsi" w:hAnsiTheme="majorHAnsi" w:cstheme="majorHAnsi"/>
            <w:color w:val="808080" w:themeColor="background1" w:themeShade="80"/>
            <w:sz w:val="16"/>
            <w:szCs w:val="16"/>
          </w:rPr>
          <w:t>The Excessive Militarization of American Policing</w:t>
        </w:r>
      </w:hyperlink>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lang w:val="en-GB"/>
        </w:rPr>
        <w:t xml:space="preserve">June 2014, </w:t>
      </w:r>
      <w:r w:rsidRPr="001167CB">
        <w:rPr>
          <w:rFonts w:asciiTheme="majorHAnsi" w:hAnsiTheme="majorHAnsi" w:cstheme="majorHAnsi"/>
          <w:color w:val="808080" w:themeColor="background1" w:themeShade="80"/>
          <w:sz w:val="16"/>
          <w:szCs w:val="16"/>
        </w:rPr>
        <w:t>p. 3.</w:t>
      </w:r>
    </w:p>
  </w:footnote>
  <w:footnote w:id="527">
    <w:p w14:paraId="0CFA3110" w14:textId="77777777" w:rsidR="005C2394" w:rsidRPr="001167CB" w:rsidRDefault="005C2394" w:rsidP="002C64F8">
      <w:pPr>
        <w:pStyle w:val="FootnoteText"/>
        <w:spacing w:after="40"/>
        <w:ind w:left="547" w:hanging="547"/>
        <w:contextualSpacing/>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Id. at 5.</w:t>
      </w:r>
    </w:p>
  </w:footnote>
  <w:footnote w:id="528">
    <w:p w14:paraId="7538F0B3"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IACHR, </w:t>
      </w:r>
      <w:hyperlink r:id="rId604" w:history="1">
        <w:r w:rsidRPr="001167CB">
          <w:rPr>
            <w:rStyle w:val="Hyperlink"/>
            <w:rFonts w:asciiTheme="majorHAnsi" w:hAnsiTheme="majorHAnsi" w:cstheme="majorHAnsi"/>
            <w:color w:val="808080" w:themeColor="background1" w:themeShade="80"/>
            <w:sz w:val="16"/>
            <w:szCs w:val="16"/>
          </w:rPr>
          <w:t>Annual Report 2015, Chapter IV: The Use of Force</w:t>
        </w:r>
      </w:hyperlink>
      <w:r w:rsidRPr="001167CB">
        <w:rPr>
          <w:rFonts w:asciiTheme="majorHAnsi" w:hAnsiTheme="majorHAnsi" w:cstheme="majorHAnsi"/>
          <w:color w:val="808080" w:themeColor="background1" w:themeShade="80"/>
          <w:sz w:val="16"/>
          <w:szCs w:val="16"/>
        </w:rPr>
        <w:t>, Mar. 17, 2016, para. 40.</w:t>
      </w:r>
    </w:p>
  </w:footnote>
  <w:footnote w:id="529">
    <w:p w14:paraId="24770495"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Id. at para. 49.</w:t>
      </w:r>
    </w:p>
  </w:footnote>
  <w:footnote w:id="530">
    <w:p w14:paraId="04F77DDB"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Id. at para. 2.</w:t>
      </w:r>
    </w:p>
  </w:footnote>
  <w:footnote w:id="531">
    <w:p w14:paraId="25A3F71A" w14:textId="00642E16"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i/>
          <w:color w:val="808080" w:themeColor="background1" w:themeShade="80"/>
          <w:sz w:val="16"/>
          <w:szCs w:val="16"/>
        </w:rPr>
        <w:t xml:space="preserve">See supra </w:t>
      </w:r>
      <w:r w:rsidRPr="001167CB">
        <w:rPr>
          <w:rFonts w:asciiTheme="majorHAnsi" w:hAnsiTheme="majorHAnsi" w:cstheme="majorHAnsi"/>
          <w:color w:val="808080" w:themeColor="background1" w:themeShade="80"/>
          <w:sz w:val="16"/>
          <w:szCs w:val="16"/>
        </w:rPr>
        <w:t xml:space="preserve">paras. </w:t>
      </w:r>
      <w:r w:rsidRPr="001167CB">
        <w:rPr>
          <w:rFonts w:asciiTheme="majorHAnsi" w:hAnsiTheme="majorHAnsi" w:cstheme="majorHAnsi"/>
          <w:color w:val="808080" w:themeColor="background1" w:themeShade="80"/>
          <w:sz w:val="16"/>
          <w:szCs w:val="16"/>
          <w:lang w:val="es-MX"/>
        </w:rPr>
        <w:fldChar w:fldCharType="begin"/>
      </w:r>
      <w:r w:rsidRPr="001167CB">
        <w:rPr>
          <w:rFonts w:asciiTheme="majorHAnsi" w:hAnsiTheme="majorHAnsi" w:cstheme="majorHAnsi"/>
          <w:color w:val="808080" w:themeColor="background1" w:themeShade="80"/>
          <w:sz w:val="16"/>
          <w:szCs w:val="16"/>
        </w:rPr>
        <w:instrText xml:space="preserve"> REF _Ref507405582 \r \h  \* MERGEFORMAT </w:instrText>
      </w:r>
      <w:r w:rsidRPr="001167CB">
        <w:rPr>
          <w:rFonts w:asciiTheme="majorHAnsi" w:hAnsiTheme="majorHAnsi" w:cstheme="majorHAnsi"/>
          <w:color w:val="808080" w:themeColor="background1" w:themeShade="80"/>
          <w:sz w:val="16"/>
          <w:szCs w:val="16"/>
          <w:lang w:val="es-MX"/>
        </w:rPr>
      </w:r>
      <w:r w:rsidRPr="001167CB">
        <w:rPr>
          <w:rFonts w:asciiTheme="majorHAnsi" w:hAnsiTheme="majorHAnsi" w:cstheme="majorHAnsi"/>
          <w:color w:val="808080" w:themeColor="background1" w:themeShade="80"/>
          <w:sz w:val="16"/>
          <w:szCs w:val="16"/>
          <w:lang w:val="es-MX"/>
        </w:rPr>
        <w:fldChar w:fldCharType="separate"/>
      </w:r>
      <w:r w:rsidRPr="001167CB">
        <w:rPr>
          <w:rFonts w:asciiTheme="majorHAnsi" w:hAnsiTheme="majorHAnsi" w:cstheme="majorHAnsi"/>
          <w:color w:val="808080" w:themeColor="background1" w:themeShade="80"/>
          <w:sz w:val="16"/>
          <w:szCs w:val="16"/>
        </w:rPr>
        <w:t>119</w:t>
      </w:r>
      <w:r w:rsidRPr="001167CB">
        <w:rPr>
          <w:rFonts w:asciiTheme="majorHAnsi" w:hAnsiTheme="majorHAnsi" w:cstheme="majorHAnsi"/>
          <w:color w:val="808080" w:themeColor="background1" w:themeShade="80"/>
          <w:sz w:val="16"/>
          <w:szCs w:val="16"/>
          <w:lang w:val="es-MX"/>
        </w:rPr>
        <w:fldChar w:fldCharType="end"/>
      </w:r>
      <w:r w:rsidRPr="001167CB">
        <w:rPr>
          <w:rFonts w:asciiTheme="majorHAnsi" w:hAnsiTheme="majorHAnsi" w:cstheme="majorHAnsi"/>
          <w:color w:val="808080" w:themeColor="background1" w:themeShade="80"/>
          <w:sz w:val="16"/>
          <w:szCs w:val="16"/>
        </w:rPr>
        <w:t>-</w:t>
      </w:r>
      <w:r w:rsidRPr="001167CB">
        <w:rPr>
          <w:rFonts w:asciiTheme="majorHAnsi" w:hAnsiTheme="majorHAnsi" w:cstheme="majorHAnsi"/>
          <w:color w:val="808080" w:themeColor="background1" w:themeShade="80"/>
          <w:sz w:val="16"/>
          <w:szCs w:val="16"/>
          <w:lang w:val="es-MX"/>
        </w:rPr>
        <w:fldChar w:fldCharType="begin"/>
      </w:r>
      <w:r w:rsidRPr="001167CB">
        <w:rPr>
          <w:rFonts w:asciiTheme="majorHAnsi" w:hAnsiTheme="majorHAnsi" w:cstheme="majorHAnsi"/>
          <w:color w:val="808080" w:themeColor="background1" w:themeShade="80"/>
          <w:sz w:val="16"/>
          <w:szCs w:val="16"/>
        </w:rPr>
        <w:instrText xml:space="preserve"> REF _Ref507405594 \r \h  \* MERGEFORMAT </w:instrText>
      </w:r>
      <w:r w:rsidRPr="001167CB">
        <w:rPr>
          <w:rFonts w:asciiTheme="majorHAnsi" w:hAnsiTheme="majorHAnsi" w:cstheme="majorHAnsi"/>
          <w:color w:val="808080" w:themeColor="background1" w:themeShade="80"/>
          <w:sz w:val="16"/>
          <w:szCs w:val="16"/>
          <w:lang w:val="es-MX"/>
        </w:rPr>
      </w:r>
      <w:r w:rsidRPr="001167CB">
        <w:rPr>
          <w:rFonts w:asciiTheme="majorHAnsi" w:hAnsiTheme="majorHAnsi" w:cstheme="majorHAnsi"/>
          <w:color w:val="808080" w:themeColor="background1" w:themeShade="80"/>
          <w:sz w:val="16"/>
          <w:szCs w:val="16"/>
          <w:lang w:val="es-MX"/>
        </w:rPr>
        <w:fldChar w:fldCharType="separate"/>
      </w:r>
      <w:r w:rsidRPr="001167CB">
        <w:rPr>
          <w:rFonts w:asciiTheme="majorHAnsi" w:hAnsiTheme="majorHAnsi" w:cstheme="majorHAnsi"/>
          <w:color w:val="808080" w:themeColor="background1" w:themeShade="80"/>
          <w:sz w:val="16"/>
          <w:szCs w:val="16"/>
        </w:rPr>
        <w:t>126</w:t>
      </w:r>
      <w:r w:rsidRPr="001167CB">
        <w:rPr>
          <w:rFonts w:asciiTheme="majorHAnsi" w:hAnsiTheme="majorHAnsi" w:cstheme="majorHAnsi"/>
          <w:color w:val="808080" w:themeColor="background1" w:themeShade="80"/>
          <w:sz w:val="16"/>
          <w:szCs w:val="16"/>
          <w:lang w:val="es-MX"/>
        </w:rPr>
        <w:fldChar w:fldCharType="end"/>
      </w:r>
      <w:r w:rsidRPr="001167CB">
        <w:rPr>
          <w:rFonts w:asciiTheme="majorHAnsi" w:hAnsiTheme="majorHAnsi" w:cstheme="majorHAnsi"/>
          <w:color w:val="808080" w:themeColor="background1" w:themeShade="80"/>
          <w:sz w:val="16"/>
          <w:szCs w:val="16"/>
        </w:rPr>
        <w:t>.</w:t>
      </w:r>
    </w:p>
  </w:footnote>
  <w:footnote w:id="532">
    <w:p w14:paraId="1E4B714C"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IACHR, </w:t>
      </w:r>
      <w:hyperlink r:id="rId605" w:history="1">
        <w:r w:rsidRPr="001167CB">
          <w:rPr>
            <w:rStyle w:val="Hyperlink"/>
            <w:rFonts w:asciiTheme="majorHAnsi" w:hAnsiTheme="majorHAnsi" w:cstheme="majorHAnsi"/>
            <w:color w:val="808080" w:themeColor="background1" w:themeShade="80"/>
            <w:sz w:val="16"/>
            <w:szCs w:val="16"/>
          </w:rPr>
          <w:t>Annual Report 2015, Chapter IV: The Use of Force</w:t>
        </w:r>
      </w:hyperlink>
      <w:r w:rsidRPr="001167CB">
        <w:rPr>
          <w:rFonts w:asciiTheme="majorHAnsi" w:hAnsiTheme="majorHAnsi" w:cstheme="majorHAnsi"/>
          <w:color w:val="808080" w:themeColor="background1" w:themeShade="80"/>
          <w:sz w:val="16"/>
          <w:szCs w:val="16"/>
        </w:rPr>
        <w:t>, Mar. 17, 2016, para. 64.</w:t>
      </w:r>
    </w:p>
  </w:footnote>
  <w:footnote w:id="533">
    <w:p w14:paraId="4F4623B6"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Id. at para. 68.</w:t>
      </w:r>
    </w:p>
  </w:footnote>
  <w:footnote w:id="534">
    <w:p w14:paraId="50D4D24F" w14:textId="59877A85"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Id. at para. 120. </w:t>
      </w:r>
      <w:r w:rsidRPr="001167CB">
        <w:rPr>
          <w:rFonts w:asciiTheme="majorHAnsi" w:hAnsiTheme="majorHAnsi" w:cstheme="majorHAnsi"/>
          <w:i/>
          <w:color w:val="808080" w:themeColor="background1" w:themeShade="80"/>
          <w:sz w:val="16"/>
          <w:szCs w:val="16"/>
        </w:rPr>
        <w:t>See also supra</w:t>
      </w:r>
      <w:r w:rsidRPr="001167CB">
        <w:rPr>
          <w:rFonts w:asciiTheme="majorHAnsi" w:hAnsiTheme="majorHAnsi" w:cstheme="majorHAnsi"/>
          <w:color w:val="808080" w:themeColor="background1" w:themeShade="80"/>
          <w:sz w:val="16"/>
          <w:szCs w:val="16"/>
        </w:rPr>
        <w:t xml:space="preserve"> paras. </w:t>
      </w:r>
      <w:r w:rsidRPr="001167CB">
        <w:rPr>
          <w:rFonts w:asciiTheme="majorHAnsi" w:hAnsiTheme="majorHAnsi" w:cstheme="majorHAnsi"/>
          <w:color w:val="808080" w:themeColor="background1" w:themeShade="80"/>
          <w:sz w:val="16"/>
          <w:szCs w:val="16"/>
        </w:rPr>
        <w:fldChar w:fldCharType="begin"/>
      </w:r>
      <w:r w:rsidRPr="001167CB">
        <w:rPr>
          <w:rFonts w:asciiTheme="majorHAnsi" w:hAnsiTheme="majorHAnsi" w:cstheme="majorHAnsi"/>
          <w:color w:val="808080" w:themeColor="background1" w:themeShade="80"/>
          <w:sz w:val="16"/>
          <w:szCs w:val="16"/>
        </w:rPr>
        <w:instrText xml:space="preserve"> REF _Ref507405694 \r \h  \* MERGEFORMAT </w:instrText>
      </w:r>
      <w:r w:rsidRPr="001167CB">
        <w:rPr>
          <w:rFonts w:asciiTheme="majorHAnsi" w:hAnsiTheme="majorHAnsi" w:cstheme="majorHAnsi"/>
          <w:color w:val="808080" w:themeColor="background1" w:themeShade="80"/>
          <w:sz w:val="16"/>
          <w:szCs w:val="16"/>
        </w:rPr>
      </w:r>
      <w:r w:rsidRPr="001167CB">
        <w:rPr>
          <w:rFonts w:asciiTheme="majorHAnsi" w:hAnsiTheme="majorHAnsi" w:cstheme="majorHAnsi"/>
          <w:color w:val="808080" w:themeColor="background1" w:themeShade="80"/>
          <w:sz w:val="16"/>
          <w:szCs w:val="16"/>
        </w:rPr>
        <w:fldChar w:fldCharType="separate"/>
      </w:r>
      <w:r w:rsidRPr="001167CB">
        <w:rPr>
          <w:rFonts w:asciiTheme="majorHAnsi" w:hAnsiTheme="majorHAnsi" w:cstheme="majorHAnsi"/>
          <w:color w:val="808080" w:themeColor="background1" w:themeShade="80"/>
          <w:sz w:val="16"/>
          <w:szCs w:val="16"/>
        </w:rPr>
        <w:t>221</w:t>
      </w:r>
      <w:r w:rsidRPr="001167CB">
        <w:rPr>
          <w:rFonts w:asciiTheme="majorHAnsi" w:hAnsiTheme="majorHAnsi" w:cstheme="majorHAnsi"/>
          <w:color w:val="808080" w:themeColor="background1" w:themeShade="80"/>
          <w:sz w:val="16"/>
          <w:szCs w:val="16"/>
        </w:rPr>
        <w:fldChar w:fldCharType="end"/>
      </w:r>
      <w:r w:rsidRPr="001167CB">
        <w:rPr>
          <w:rFonts w:asciiTheme="majorHAnsi" w:hAnsiTheme="majorHAnsi" w:cstheme="majorHAnsi"/>
          <w:color w:val="808080" w:themeColor="background1" w:themeShade="80"/>
          <w:sz w:val="16"/>
          <w:szCs w:val="16"/>
        </w:rPr>
        <w:t>-</w:t>
      </w:r>
      <w:r w:rsidRPr="001167CB">
        <w:rPr>
          <w:rFonts w:asciiTheme="majorHAnsi" w:hAnsiTheme="majorHAnsi" w:cstheme="majorHAnsi"/>
          <w:color w:val="808080" w:themeColor="background1" w:themeShade="80"/>
          <w:sz w:val="16"/>
          <w:szCs w:val="16"/>
        </w:rPr>
        <w:fldChar w:fldCharType="begin"/>
      </w:r>
      <w:r w:rsidRPr="001167CB">
        <w:rPr>
          <w:rFonts w:asciiTheme="majorHAnsi" w:hAnsiTheme="majorHAnsi" w:cstheme="majorHAnsi"/>
          <w:color w:val="808080" w:themeColor="background1" w:themeShade="80"/>
          <w:sz w:val="16"/>
          <w:szCs w:val="16"/>
        </w:rPr>
        <w:instrText xml:space="preserve"> REF _Ref507405696 \r \h  \* MERGEFORMAT </w:instrText>
      </w:r>
      <w:r w:rsidRPr="001167CB">
        <w:rPr>
          <w:rFonts w:asciiTheme="majorHAnsi" w:hAnsiTheme="majorHAnsi" w:cstheme="majorHAnsi"/>
          <w:color w:val="808080" w:themeColor="background1" w:themeShade="80"/>
          <w:sz w:val="16"/>
          <w:szCs w:val="16"/>
        </w:rPr>
      </w:r>
      <w:r w:rsidRPr="001167CB">
        <w:rPr>
          <w:rFonts w:asciiTheme="majorHAnsi" w:hAnsiTheme="majorHAnsi" w:cstheme="majorHAnsi"/>
          <w:color w:val="808080" w:themeColor="background1" w:themeShade="80"/>
          <w:sz w:val="16"/>
          <w:szCs w:val="16"/>
        </w:rPr>
        <w:fldChar w:fldCharType="separate"/>
      </w:r>
      <w:r w:rsidRPr="001167CB">
        <w:rPr>
          <w:rFonts w:asciiTheme="majorHAnsi" w:hAnsiTheme="majorHAnsi" w:cstheme="majorHAnsi"/>
          <w:color w:val="808080" w:themeColor="background1" w:themeShade="80"/>
          <w:sz w:val="16"/>
          <w:szCs w:val="16"/>
        </w:rPr>
        <w:t>222</w:t>
      </w:r>
      <w:r w:rsidRPr="001167CB">
        <w:rPr>
          <w:rFonts w:asciiTheme="majorHAnsi" w:hAnsiTheme="majorHAnsi" w:cstheme="majorHAnsi"/>
          <w:color w:val="808080" w:themeColor="background1" w:themeShade="80"/>
          <w:sz w:val="16"/>
          <w:szCs w:val="16"/>
        </w:rPr>
        <w:fldChar w:fldCharType="end"/>
      </w:r>
      <w:r w:rsidRPr="001167CB">
        <w:rPr>
          <w:rFonts w:asciiTheme="majorHAnsi" w:hAnsiTheme="majorHAnsi" w:cstheme="majorHAnsi"/>
          <w:color w:val="808080" w:themeColor="background1" w:themeShade="80"/>
          <w:sz w:val="16"/>
          <w:szCs w:val="16"/>
        </w:rPr>
        <w:t xml:space="preserve">. </w:t>
      </w:r>
    </w:p>
  </w:footnote>
  <w:footnote w:id="535">
    <w:p w14:paraId="64618F04"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Id. at para. 79.</w:t>
      </w:r>
    </w:p>
  </w:footnote>
  <w:footnote w:id="536">
    <w:p w14:paraId="0DB869D1"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Id. at para. 79 (citing IACHR, </w:t>
      </w:r>
      <w:hyperlink r:id="rId606" w:history="1">
        <w:r w:rsidRPr="001167CB">
          <w:rPr>
            <w:rStyle w:val="Hyperlink"/>
            <w:rFonts w:asciiTheme="majorHAnsi" w:hAnsiTheme="majorHAnsi" w:cstheme="majorHAnsi"/>
            <w:color w:val="808080" w:themeColor="background1" w:themeShade="80"/>
            <w:sz w:val="16"/>
            <w:szCs w:val="16"/>
          </w:rPr>
          <w:t>Citizen Security and Human Rights</w:t>
        </w:r>
      </w:hyperlink>
      <w:r w:rsidRPr="001167CB">
        <w:rPr>
          <w:rFonts w:asciiTheme="majorHAnsi" w:hAnsiTheme="majorHAnsi" w:cstheme="majorHAnsi"/>
          <w:color w:val="808080" w:themeColor="background1" w:themeShade="80"/>
          <w:sz w:val="16"/>
          <w:szCs w:val="16"/>
        </w:rPr>
        <w:t xml:space="preserve"> (2009), para. 193).</w:t>
      </w:r>
    </w:p>
  </w:footnote>
  <w:footnote w:id="537">
    <w:p w14:paraId="76C036D6"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i/>
          <w:color w:val="808080" w:themeColor="background1" w:themeShade="80"/>
          <w:sz w:val="16"/>
          <w:szCs w:val="16"/>
        </w:rPr>
        <w:t xml:space="preserve">See </w:t>
      </w:r>
      <w:r w:rsidRPr="001167CB">
        <w:rPr>
          <w:rFonts w:asciiTheme="majorHAnsi" w:hAnsiTheme="majorHAnsi" w:cstheme="majorHAnsi"/>
          <w:color w:val="808080" w:themeColor="background1" w:themeShade="80"/>
          <w:sz w:val="16"/>
          <w:szCs w:val="16"/>
        </w:rPr>
        <w:t xml:space="preserve">Id. at para. 82 (citing UN, </w:t>
      </w:r>
      <w:r w:rsidRPr="001167CB">
        <w:rPr>
          <w:rFonts w:asciiTheme="majorHAnsi" w:hAnsiTheme="majorHAnsi" w:cstheme="majorHAnsi"/>
          <w:i/>
          <w:color w:val="808080" w:themeColor="background1" w:themeShade="80"/>
          <w:sz w:val="16"/>
          <w:szCs w:val="16"/>
        </w:rPr>
        <w:t xml:space="preserve">Report of the Special Rapporteur on extrajudicial, summary or arbitrary executions, Christof </w:t>
      </w:r>
      <w:proofErr w:type="spellStart"/>
      <w:r w:rsidRPr="001167CB">
        <w:rPr>
          <w:rFonts w:asciiTheme="majorHAnsi" w:hAnsiTheme="majorHAnsi" w:cstheme="majorHAnsi"/>
          <w:i/>
          <w:color w:val="808080" w:themeColor="background1" w:themeShade="80"/>
          <w:sz w:val="16"/>
          <w:szCs w:val="16"/>
        </w:rPr>
        <w:t>Heyns</w:t>
      </w:r>
      <w:proofErr w:type="spellEnd"/>
      <w:r w:rsidRPr="001167CB">
        <w:rPr>
          <w:rFonts w:asciiTheme="majorHAnsi" w:hAnsiTheme="majorHAnsi" w:cstheme="majorHAnsi"/>
          <w:i/>
          <w:color w:val="808080" w:themeColor="background1" w:themeShade="80"/>
          <w:sz w:val="16"/>
          <w:szCs w:val="16"/>
        </w:rPr>
        <w:t>, "Use of force during demonstrations,"</w:t>
      </w:r>
      <w:r w:rsidRPr="001167CB">
        <w:rPr>
          <w:rFonts w:asciiTheme="majorHAnsi" w:hAnsiTheme="majorHAnsi" w:cstheme="majorHAnsi"/>
          <w:color w:val="808080" w:themeColor="background1" w:themeShade="80"/>
          <w:sz w:val="16"/>
          <w:szCs w:val="16"/>
        </w:rPr>
        <w:t xml:space="preserve"> A/HRC/17/28. May 23, 2011. Para. 75. See also: Amnesty International, </w:t>
      </w:r>
      <w:r w:rsidRPr="001167CB">
        <w:rPr>
          <w:rFonts w:asciiTheme="majorHAnsi" w:hAnsiTheme="majorHAnsi" w:cstheme="majorHAnsi"/>
          <w:i/>
          <w:color w:val="808080" w:themeColor="background1" w:themeShade="80"/>
          <w:sz w:val="16"/>
          <w:szCs w:val="16"/>
        </w:rPr>
        <w:t>Use of force: Guidelines for implementation of the UN Basic Principles on the Use of Force and Firearms by Law Enforcement Officials</w:t>
      </w:r>
      <w:r w:rsidRPr="001167CB">
        <w:rPr>
          <w:rFonts w:asciiTheme="majorHAnsi" w:hAnsiTheme="majorHAnsi" w:cstheme="majorHAnsi"/>
          <w:color w:val="808080" w:themeColor="background1" w:themeShade="80"/>
          <w:sz w:val="16"/>
          <w:szCs w:val="16"/>
        </w:rPr>
        <w:t>, Aug. 2015. p. 148(</w:t>
      </w:r>
      <w:proofErr w:type="spellStart"/>
      <w:r w:rsidRPr="001167CB">
        <w:rPr>
          <w:rFonts w:asciiTheme="majorHAnsi" w:hAnsiTheme="majorHAnsi" w:cstheme="majorHAnsi"/>
          <w:color w:val="808080" w:themeColor="background1" w:themeShade="80"/>
          <w:sz w:val="16"/>
          <w:szCs w:val="16"/>
        </w:rPr>
        <w:t>i</w:t>
      </w:r>
      <w:proofErr w:type="spellEnd"/>
      <w:r w:rsidRPr="001167CB">
        <w:rPr>
          <w:rFonts w:asciiTheme="majorHAnsi" w:hAnsiTheme="majorHAnsi" w:cstheme="majorHAnsi"/>
          <w:color w:val="808080" w:themeColor="background1" w:themeShade="80"/>
          <w:sz w:val="16"/>
          <w:szCs w:val="16"/>
        </w:rPr>
        <w:t>)).</w:t>
      </w:r>
    </w:p>
  </w:footnote>
  <w:footnote w:id="538">
    <w:p w14:paraId="4704AD9F"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IACHR, </w:t>
      </w:r>
      <w:hyperlink r:id="rId607" w:history="1">
        <w:r w:rsidRPr="001167CB">
          <w:rPr>
            <w:rStyle w:val="Hyperlink"/>
            <w:rFonts w:asciiTheme="majorHAnsi" w:hAnsiTheme="majorHAnsi" w:cstheme="majorHAnsi"/>
            <w:color w:val="808080" w:themeColor="background1" w:themeShade="80"/>
            <w:sz w:val="16"/>
            <w:szCs w:val="16"/>
          </w:rPr>
          <w:t>Annual Report 2015, Chapter IV: The Use of Force</w:t>
        </w:r>
      </w:hyperlink>
      <w:r w:rsidRPr="001167CB">
        <w:rPr>
          <w:rFonts w:asciiTheme="majorHAnsi" w:hAnsiTheme="majorHAnsi" w:cstheme="majorHAnsi"/>
          <w:color w:val="808080" w:themeColor="background1" w:themeShade="80"/>
          <w:sz w:val="16"/>
          <w:szCs w:val="16"/>
        </w:rPr>
        <w:t>, Mar. 17, 2016, para. 82 (citing Report on the Situation of Human Rights Defenders in the Americas, OEA/</w:t>
      </w:r>
      <w:proofErr w:type="spellStart"/>
      <w:r w:rsidRPr="001167CB">
        <w:rPr>
          <w:rFonts w:asciiTheme="majorHAnsi" w:hAnsiTheme="majorHAnsi" w:cstheme="majorHAnsi"/>
          <w:color w:val="808080" w:themeColor="background1" w:themeShade="80"/>
          <w:sz w:val="16"/>
          <w:szCs w:val="16"/>
        </w:rPr>
        <w:t>Ser.L</w:t>
      </w:r>
      <w:proofErr w:type="spellEnd"/>
      <w:r w:rsidRPr="001167CB">
        <w:rPr>
          <w:rFonts w:asciiTheme="majorHAnsi" w:hAnsiTheme="majorHAnsi" w:cstheme="majorHAnsi"/>
          <w:color w:val="808080" w:themeColor="background1" w:themeShade="80"/>
          <w:sz w:val="16"/>
          <w:szCs w:val="16"/>
        </w:rPr>
        <w:t>/V/II.124, Doc. 5 rev. 1, Mar. 7, 2006, para. 68(a)).</w:t>
      </w:r>
    </w:p>
  </w:footnote>
  <w:footnote w:id="539">
    <w:p w14:paraId="19858C99"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Id. at para. 82 (citations omitted).</w:t>
      </w:r>
    </w:p>
  </w:footnote>
  <w:footnote w:id="540">
    <w:p w14:paraId="336F8946"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Id. at para. 84.</w:t>
      </w:r>
    </w:p>
  </w:footnote>
  <w:footnote w:id="541">
    <w:p w14:paraId="58F2050A"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Id. at para. </w:t>
      </w:r>
      <w:r w:rsidRPr="005C2394">
        <w:rPr>
          <w:rFonts w:asciiTheme="majorHAnsi" w:hAnsiTheme="majorHAnsi" w:cstheme="majorHAnsi"/>
          <w:color w:val="808080" w:themeColor="background1" w:themeShade="80"/>
          <w:sz w:val="16"/>
          <w:szCs w:val="16"/>
          <w:lang w:val="es-US"/>
        </w:rPr>
        <w:t>121 (</w:t>
      </w:r>
      <w:proofErr w:type="spellStart"/>
      <w:r w:rsidRPr="005C2394">
        <w:rPr>
          <w:rFonts w:asciiTheme="majorHAnsi" w:hAnsiTheme="majorHAnsi" w:cstheme="majorHAnsi"/>
          <w:color w:val="808080" w:themeColor="background1" w:themeShade="80"/>
          <w:sz w:val="16"/>
          <w:szCs w:val="16"/>
          <w:lang w:val="es-US"/>
        </w:rPr>
        <w:t>citing</w:t>
      </w:r>
      <w:proofErr w:type="spellEnd"/>
      <w:r w:rsidRPr="005C2394">
        <w:rPr>
          <w:rFonts w:asciiTheme="majorHAnsi" w:hAnsiTheme="majorHAnsi" w:cstheme="majorHAnsi"/>
          <w:color w:val="808080" w:themeColor="background1" w:themeShade="80"/>
          <w:sz w:val="16"/>
          <w:szCs w:val="16"/>
          <w:lang w:val="es-US"/>
        </w:rPr>
        <w:t xml:space="preserve"> I/A </w:t>
      </w:r>
      <w:proofErr w:type="spellStart"/>
      <w:r w:rsidRPr="005C2394">
        <w:rPr>
          <w:rFonts w:asciiTheme="majorHAnsi" w:hAnsiTheme="majorHAnsi" w:cstheme="majorHAnsi"/>
          <w:color w:val="808080" w:themeColor="background1" w:themeShade="80"/>
          <w:sz w:val="16"/>
          <w:szCs w:val="16"/>
          <w:lang w:val="es-US"/>
        </w:rPr>
        <w:t>Ct</w:t>
      </w:r>
      <w:proofErr w:type="spellEnd"/>
      <w:r w:rsidRPr="005C2394">
        <w:rPr>
          <w:rFonts w:asciiTheme="majorHAnsi" w:hAnsiTheme="majorHAnsi" w:cstheme="majorHAnsi"/>
          <w:color w:val="808080" w:themeColor="background1" w:themeShade="80"/>
          <w:sz w:val="16"/>
          <w:szCs w:val="16"/>
          <w:lang w:val="es-US"/>
        </w:rPr>
        <w:t xml:space="preserve">. H.R., </w:t>
      </w:r>
      <w:proofErr w:type="spellStart"/>
      <w:r w:rsidRPr="005C2394">
        <w:rPr>
          <w:rFonts w:asciiTheme="majorHAnsi" w:hAnsiTheme="majorHAnsi" w:cstheme="majorHAnsi"/>
          <w:i/>
          <w:color w:val="808080" w:themeColor="background1" w:themeShade="80"/>
          <w:sz w:val="16"/>
          <w:szCs w:val="16"/>
          <w:lang w:val="es-US"/>
        </w:rPr>
        <w:t>Servellón</w:t>
      </w:r>
      <w:proofErr w:type="spellEnd"/>
      <w:r w:rsidRPr="005C2394">
        <w:rPr>
          <w:rFonts w:asciiTheme="majorHAnsi" w:hAnsiTheme="majorHAnsi" w:cstheme="majorHAnsi"/>
          <w:i/>
          <w:color w:val="808080" w:themeColor="background1" w:themeShade="80"/>
          <w:sz w:val="16"/>
          <w:szCs w:val="16"/>
          <w:lang w:val="es-US"/>
        </w:rPr>
        <w:t xml:space="preserve"> García et al. v. Honduras</w:t>
      </w:r>
      <w:r w:rsidRPr="005C2394">
        <w:rPr>
          <w:rFonts w:asciiTheme="majorHAnsi" w:hAnsiTheme="majorHAnsi" w:cstheme="majorHAnsi"/>
          <w:color w:val="808080" w:themeColor="background1" w:themeShade="80"/>
          <w:sz w:val="16"/>
          <w:szCs w:val="16"/>
          <w:lang w:val="es-US"/>
        </w:rPr>
        <w:t xml:space="preserve">. </w:t>
      </w:r>
      <w:r w:rsidRPr="001167CB">
        <w:rPr>
          <w:rFonts w:asciiTheme="majorHAnsi" w:hAnsiTheme="majorHAnsi" w:cstheme="majorHAnsi"/>
          <w:color w:val="808080" w:themeColor="background1" w:themeShade="80"/>
          <w:sz w:val="16"/>
          <w:szCs w:val="16"/>
        </w:rPr>
        <w:t xml:space="preserve">Judgment of Sept. 21, 2006. Series C No. 152, para. 134); </w:t>
      </w:r>
      <w:r w:rsidRPr="001167CB">
        <w:rPr>
          <w:rFonts w:asciiTheme="majorHAnsi" w:hAnsiTheme="majorHAnsi" w:cstheme="majorHAnsi"/>
          <w:i/>
          <w:color w:val="808080" w:themeColor="background1" w:themeShade="80"/>
          <w:sz w:val="16"/>
          <w:szCs w:val="16"/>
        </w:rPr>
        <w:t xml:space="preserve">see also </w:t>
      </w:r>
      <w:proofErr w:type="gramStart"/>
      <w:r w:rsidRPr="001167CB">
        <w:rPr>
          <w:rFonts w:asciiTheme="majorHAnsi" w:hAnsiTheme="majorHAnsi" w:cstheme="majorHAnsi"/>
          <w:color w:val="808080" w:themeColor="background1" w:themeShade="80"/>
          <w:sz w:val="16"/>
          <w:szCs w:val="16"/>
        </w:rPr>
        <w:t>I/A</w:t>
      </w:r>
      <w:proofErr w:type="gramEnd"/>
      <w:r w:rsidRPr="001167CB">
        <w:rPr>
          <w:rFonts w:asciiTheme="majorHAnsi" w:hAnsiTheme="majorHAnsi" w:cstheme="majorHAnsi"/>
          <w:color w:val="808080" w:themeColor="background1" w:themeShade="80"/>
          <w:sz w:val="16"/>
          <w:szCs w:val="16"/>
        </w:rPr>
        <w:t xml:space="preserve"> Ct. H.R.,</w:t>
      </w:r>
      <w:r w:rsidRPr="001167CB">
        <w:rPr>
          <w:rFonts w:asciiTheme="majorHAnsi" w:hAnsiTheme="majorHAnsi" w:cstheme="majorHAnsi"/>
          <w:i/>
          <w:color w:val="808080" w:themeColor="background1" w:themeShade="80"/>
          <w:sz w:val="16"/>
          <w:szCs w:val="16"/>
        </w:rPr>
        <w:t xml:space="preserve"> </w:t>
      </w:r>
      <w:proofErr w:type="spellStart"/>
      <w:r w:rsidRPr="001167CB">
        <w:rPr>
          <w:rFonts w:asciiTheme="majorHAnsi" w:hAnsiTheme="majorHAnsi" w:cstheme="majorHAnsi"/>
          <w:i/>
          <w:color w:val="808080" w:themeColor="background1" w:themeShade="80"/>
          <w:sz w:val="16"/>
          <w:szCs w:val="16"/>
        </w:rPr>
        <w:t>Bulacio</w:t>
      </w:r>
      <w:proofErr w:type="spellEnd"/>
      <w:r w:rsidRPr="001167CB">
        <w:rPr>
          <w:rFonts w:asciiTheme="majorHAnsi" w:hAnsiTheme="majorHAnsi" w:cstheme="majorHAnsi"/>
          <w:i/>
          <w:color w:val="808080" w:themeColor="background1" w:themeShade="80"/>
          <w:sz w:val="16"/>
          <w:szCs w:val="16"/>
        </w:rPr>
        <w:t xml:space="preserve"> v. Argentina. </w:t>
      </w:r>
      <w:r w:rsidRPr="001167CB">
        <w:rPr>
          <w:rFonts w:asciiTheme="majorHAnsi" w:hAnsiTheme="majorHAnsi" w:cstheme="majorHAnsi"/>
          <w:color w:val="808080" w:themeColor="background1" w:themeShade="80"/>
          <w:sz w:val="16"/>
          <w:szCs w:val="16"/>
        </w:rPr>
        <w:t>Judgment of Sept. 18, 2003. Series C No. 100, para. 137.</w:t>
      </w:r>
    </w:p>
  </w:footnote>
  <w:footnote w:id="542">
    <w:p w14:paraId="57B83CD4" w14:textId="31FFF83D"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i/>
          <w:color w:val="808080" w:themeColor="background1" w:themeShade="80"/>
          <w:sz w:val="16"/>
          <w:szCs w:val="16"/>
        </w:rPr>
        <w:t>See supra</w:t>
      </w:r>
      <w:r w:rsidRPr="001167CB">
        <w:rPr>
          <w:rFonts w:asciiTheme="majorHAnsi" w:hAnsiTheme="majorHAnsi" w:cstheme="majorHAnsi"/>
          <w:color w:val="808080" w:themeColor="background1" w:themeShade="80"/>
          <w:sz w:val="16"/>
          <w:szCs w:val="16"/>
        </w:rPr>
        <w:t xml:space="preserve"> paras. </w:t>
      </w:r>
      <w:r w:rsidRPr="001167CB">
        <w:rPr>
          <w:rFonts w:asciiTheme="majorHAnsi" w:hAnsiTheme="majorHAnsi" w:cstheme="majorHAnsi"/>
          <w:color w:val="808080" w:themeColor="background1" w:themeShade="80"/>
          <w:sz w:val="16"/>
          <w:szCs w:val="16"/>
          <w:lang w:val="es-MX"/>
        </w:rPr>
        <w:fldChar w:fldCharType="begin"/>
      </w:r>
      <w:r w:rsidRPr="001167CB">
        <w:rPr>
          <w:rFonts w:asciiTheme="majorHAnsi" w:hAnsiTheme="majorHAnsi" w:cstheme="majorHAnsi"/>
          <w:color w:val="808080" w:themeColor="background1" w:themeShade="80"/>
          <w:sz w:val="16"/>
          <w:szCs w:val="16"/>
        </w:rPr>
        <w:instrText xml:space="preserve"> REF _Ref507405582 \r \h  \* MERGEFORMAT </w:instrText>
      </w:r>
      <w:r w:rsidRPr="001167CB">
        <w:rPr>
          <w:rFonts w:asciiTheme="majorHAnsi" w:hAnsiTheme="majorHAnsi" w:cstheme="majorHAnsi"/>
          <w:color w:val="808080" w:themeColor="background1" w:themeShade="80"/>
          <w:sz w:val="16"/>
          <w:szCs w:val="16"/>
          <w:lang w:val="es-MX"/>
        </w:rPr>
      </w:r>
      <w:r w:rsidRPr="001167CB">
        <w:rPr>
          <w:rFonts w:asciiTheme="majorHAnsi" w:hAnsiTheme="majorHAnsi" w:cstheme="majorHAnsi"/>
          <w:color w:val="808080" w:themeColor="background1" w:themeShade="80"/>
          <w:sz w:val="16"/>
          <w:szCs w:val="16"/>
          <w:lang w:val="es-MX"/>
        </w:rPr>
        <w:fldChar w:fldCharType="separate"/>
      </w:r>
      <w:r w:rsidRPr="001167CB">
        <w:rPr>
          <w:rFonts w:asciiTheme="majorHAnsi" w:hAnsiTheme="majorHAnsi" w:cstheme="majorHAnsi"/>
          <w:color w:val="808080" w:themeColor="background1" w:themeShade="80"/>
          <w:sz w:val="16"/>
          <w:szCs w:val="16"/>
        </w:rPr>
        <w:t>119</w:t>
      </w:r>
      <w:r w:rsidRPr="001167CB">
        <w:rPr>
          <w:rFonts w:asciiTheme="majorHAnsi" w:hAnsiTheme="majorHAnsi" w:cstheme="majorHAnsi"/>
          <w:color w:val="808080" w:themeColor="background1" w:themeShade="80"/>
          <w:sz w:val="16"/>
          <w:szCs w:val="16"/>
          <w:lang w:val="es-MX"/>
        </w:rPr>
        <w:fldChar w:fldCharType="end"/>
      </w:r>
      <w:r w:rsidRPr="001167CB">
        <w:rPr>
          <w:rFonts w:asciiTheme="majorHAnsi" w:hAnsiTheme="majorHAnsi" w:cstheme="majorHAnsi"/>
          <w:color w:val="808080" w:themeColor="background1" w:themeShade="80"/>
          <w:sz w:val="16"/>
          <w:szCs w:val="16"/>
        </w:rPr>
        <w:t>-</w:t>
      </w:r>
      <w:r w:rsidRPr="001167CB">
        <w:rPr>
          <w:rFonts w:asciiTheme="majorHAnsi" w:hAnsiTheme="majorHAnsi" w:cstheme="majorHAnsi"/>
          <w:color w:val="808080" w:themeColor="background1" w:themeShade="80"/>
          <w:sz w:val="16"/>
          <w:szCs w:val="16"/>
          <w:lang w:val="es-MX"/>
        </w:rPr>
        <w:fldChar w:fldCharType="begin"/>
      </w:r>
      <w:r w:rsidRPr="001167CB">
        <w:rPr>
          <w:rFonts w:asciiTheme="majorHAnsi" w:hAnsiTheme="majorHAnsi" w:cstheme="majorHAnsi"/>
          <w:color w:val="808080" w:themeColor="background1" w:themeShade="80"/>
          <w:sz w:val="16"/>
          <w:szCs w:val="16"/>
        </w:rPr>
        <w:instrText xml:space="preserve"> REF _Ref507406888 \r \h  \* MERGEFORMAT </w:instrText>
      </w:r>
      <w:r w:rsidRPr="001167CB">
        <w:rPr>
          <w:rFonts w:asciiTheme="majorHAnsi" w:hAnsiTheme="majorHAnsi" w:cstheme="majorHAnsi"/>
          <w:color w:val="808080" w:themeColor="background1" w:themeShade="80"/>
          <w:sz w:val="16"/>
          <w:szCs w:val="16"/>
          <w:lang w:val="es-MX"/>
        </w:rPr>
      </w:r>
      <w:r w:rsidRPr="001167CB">
        <w:rPr>
          <w:rFonts w:asciiTheme="majorHAnsi" w:hAnsiTheme="majorHAnsi" w:cstheme="majorHAnsi"/>
          <w:color w:val="808080" w:themeColor="background1" w:themeShade="80"/>
          <w:sz w:val="16"/>
          <w:szCs w:val="16"/>
          <w:lang w:val="es-MX"/>
        </w:rPr>
        <w:fldChar w:fldCharType="separate"/>
      </w:r>
      <w:r w:rsidRPr="001167CB">
        <w:rPr>
          <w:rFonts w:asciiTheme="majorHAnsi" w:hAnsiTheme="majorHAnsi" w:cstheme="majorHAnsi"/>
          <w:color w:val="808080" w:themeColor="background1" w:themeShade="80"/>
          <w:sz w:val="16"/>
          <w:szCs w:val="16"/>
        </w:rPr>
        <w:t>120</w:t>
      </w:r>
      <w:r w:rsidRPr="001167CB">
        <w:rPr>
          <w:rFonts w:asciiTheme="majorHAnsi" w:hAnsiTheme="majorHAnsi" w:cstheme="majorHAnsi"/>
          <w:color w:val="808080" w:themeColor="background1" w:themeShade="80"/>
          <w:sz w:val="16"/>
          <w:szCs w:val="16"/>
          <w:lang w:val="es-MX"/>
        </w:rPr>
        <w:fldChar w:fldCharType="end"/>
      </w:r>
      <w:r w:rsidRPr="001167CB">
        <w:rPr>
          <w:rFonts w:asciiTheme="majorHAnsi" w:hAnsiTheme="majorHAnsi" w:cstheme="majorHAnsi"/>
          <w:color w:val="808080" w:themeColor="background1" w:themeShade="80"/>
          <w:sz w:val="16"/>
          <w:szCs w:val="16"/>
        </w:rPr>
        <w:t>.</w:t>
      </w:r>
    </w:p>
  </w:footnote>
  <w:footnote w:id="543">
    <w:p w14:paraId="520275F1"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Id. at para. 122.</w:t>
      </w:r>
    </w:p>
  </w:footnote>
  <w:footnote w:id="544">
    <w:p w14:paraId="43739217"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IACHR, </w:t>
      </w:r>
      <w:hyperlink r:id="rId608" w:history="1">
        <w:r w:rsidRPr="001167CB">
          <w:rPr>
            <w:rStyle w:val="Hyperlink"/>
            <w:rFonts w:asciiTheme="majorHAnsi" w:hAnsiTheme="majorHAnsi" w:cstheme="majorHAnsi"/>
            <w:color w:val="808080" w:themeColor="background1" w:themeShade="80"/>
            <w:sz w:val="16"/>
            <w:szCs w:val="16"/>
          </w:rPr>
          <w:t xml:space="preserve">Annual Report 2015: Chapter IV </w:t>
        </w:r>
        <w:proofErr w:type="gramStart"/>
        <w:r w:rsidRPr="001167CB">
          <w:rPr>
            <w:rStyle w:val="Hyperlink"/>
            <w:rFonts w:asciiTheme="majorHAnsi" w:hAnsiTheme="majorHAnsi" w:cstheme="majorHAnsi"/>
            <w:color w:val="808080" w:themeColor="background1" w:themeShade="80"/>
            <w:sz w:val="16"/>
            <w:szCs w:val="16"/>
          </w:rPr>
          <w:t>The</w:t>
        </w:r>
        <w:proofErr w:type="gramEnd"/>
        <w:r w:rsidRPr="001167CB">
          <w:rPr>
            <w:rStyle w:val="Hyperlink"/>
            <w:rFonts w:asciiTheme="majorHAnsi" w:hAnsiTheme="majorHAnsi" w:cstheme="majorHAnsi"/>
            <w:color w:val="808080" w:themeColor="background1" w:themeShade="80"/>
            <w:sz w:val="16"/>
            <w:szCs w:val="16"/>
          </w:rPr>
          <w:t xml:space="preserve"> Use of Force</w:t>
        </w:r>
      </w:hyperlink>
      <w:r w:rsidRPr="001167CB">
        <w:rPr>
          <w:rFonts w:asciiTheme="majorHAnsi" w:hAnsiTheme="majorHAnsi" w:cstheme="majorHAnsi"/>
          <w:color w:val="808080" w:themeColor="background1" w:themeShade="80"/>
          <w:sz w:val="16"/>
          <w:szCs w:val="16"/>
        </w:rPr>
        <w:t xml:space="preserve">, para. 225 (citing Amnesty International. </w:t>
      </w:r>
      <w:hyperlink r:id="rId609" w:history="1">
        <w:r w:rsidRPr="001167CB">
          <w:rPr>
            <w:rStyle w:val="Hyperlink"/>
            <w:rFonts w:asciiTheme="majorHAnsi" w:hAnsiTheme="majorHAnsi" w:cstheme="majorHAnsi"/>
            <w:color w:val="808080" w:themeColor="background1" w:themeShade="80"/>
            <w:sz w:val="16"/>
            <w:szCs w:val="16"/>
          </w:rPr>
          <w:t xml:space="preserve">Use of force: Guidelines for implementation of the UN Basic Principles on the use of </w:t>
        </w:r>
        <w:proofErr w:type="spellStart"/>
        <w:r w:rsidRPr="001167CB">
          <w:rPr>
            <w:rStyle w:val="Hyperlink"/>
            <w:rFonts w:asciiTheme="majorHAnsi" w:hAnsiTheme="majorHAnsi" w:cstheme="majorHAnsi"/>
            <w:color w:val="808080" w:themeColor="background1" w:themeShade="80"/>
            <w:sz w:val="16"/>
            <w:szCs w:val="16"/>
          </w:rPr>
          <w:t>forcé</w:t>
        </w:r>
        <w:proofErr w:type="spellEnd"/>
        <w:r w:rsidRPr="001167CB">
          <w:rPr>
            <w:rStyle w:val="Hyperlink"/>
            <w:rFonts w:asciiTheme="majorHAnsi" w:hAnsiTheme="majorHAnsi" w:cstheme="majorHAnsi"/>
            <w:color w:val="808080" w:themeColor="background1" w:themeShade="80"/>
            <w:sz w:val="16"/>
            <w:szCs w:val="16"/>
          </w:rPr>
          <w:t xml:space="preserve"> and firearms by law enforcement officials</w:t>
        </w:r>
      </w:hyperlink>
      <w:r w:rsidRPr="001167CB">
        <w:rPr>
          <w:rFonts w:asciiTheme="majorHAnsi" w:hAnsiTheme="majorHAnsi" w:cstheme="majorHAnsi"/>
          <w:color w:val="808080" w:themeColor="background1" w:themeShade="80"/>
          <w:sz w:val="16"/>
          <w:szCs w:val="16"/>
        </w:rPr>
        <w:t>, Aug. 2015).</w:t>
      </w:r>
    </w:p>
  </w:footnote>
  <w:footnote w:id="545">
    <w:p w14:paraId="43B859A4"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Id. at para. 225.</w:t>
      </w:r>
    </w:p>
  </w:footnote>
  <w:footnote w:id="546">
    <w:p w14:paraId="1253C7E4"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Id. at para. 226 (citing Report of the Special Rapporteur on the rights to freedom of peaceful assembly and of association, </w:t>
      </w:r>
      <w:proofErr w:type="spellStart"/>
      <w:r w:rsidRPr="001167CB">
        <w:rPr>
          <w:rFonts w:asciiTheme="majorHAnsi" w:hAnsiTheme="majorHAnsi" w:cstheme="majorHAnsi"/>
          <w:color w:val="808080" w:themeColor="background1" w:themeShade="80"/>
          <w:sz w:val="16"/>
          <w:szCs w:val="16"/>
        </w:rPr>
        <w:t>Maina</w:t>
      </w:r>
      <w:proofErr w:type="spellEnd"/>
      <w:r w:rsidRPr="001167CB">
        <w:rPr>
          <w:rFonts w:asciiTheme="majorHAnsi" w:hAnsiTheme="majorHAnsi" w:cstheme="majorHAnsi"/>
          <w:color w:val="808080" w:themeColor="background1" w:themeShade="80"/>
          <w:sz w:val="16"/>
          <w:szCs w:val="16"/>
        </w:rPr>
        <w:t xml:space="preserve"> </w:t>
      </w:r>
      <w:proofErr w:type="spellStart"/>
      <w:r w:rsidRPr="001167CB">
        <w:rPr>
          <w:rFonts w:asciiTheme="majorHAnsi" w:hAnsiTheme="majorHAnsi" w:cstheme="majorHAnsi"/>
          <w:color w:val="808080" w:themeColor="background1" w:themeShade="80"/>
          <w:sz w:val="16"/>
          <w:szCs w:val="16"/>
        </w:rPr>
        <w:t>Kiai</w:t>
      </w:r>
      <w:proofErr w:type="spellEnd"/>
      <w:r w:rsidRPr="001167CB">
        <w:rPr>
          <w:rFonts w:asciiTheme="majorHAnsi" w:hAnsiTheme="majorHAnsi" w:cstheme="majorHAnsi"/>
          <w:color w:val="808080" w:themeColor="background1" w:themeShade="80"/>
          <w:sz w:val="16"/>
          <w:szCs w:val="16"/>
        </w:rPr>
        <w:t>, on his mission to the United Kingdom (14-23 Jan. 2013) A/HRC/23/39/Add.1, para. 24).</w:t>
      </w:r>
    </w:p>
  </w:footnote>
  <w:footnote w:id="547">
    <w:p w14:paraId="33282B1A"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Id. at paras. 168, 170.</w:t>
      </w:r>
    </w:p>
    <w:p w14:paraId="270A63E8" w14:textId="77777777" w:rsidR="005C2394" w:rsidRPr="001167CB" w:rsidRDefault="005C2394" w:rsidP="00C91E4F">
      <w:pPr>
        <w:pStyle w:val="FootnoteText"/>
        <w:spacing w:after="40"/>
        <w:ind w:left="547"/>
        <w:jc w:val="both"/>
        <w:rPr>
          <w:rFonts w:asciiTheme="majorHAnsi" w:hAnsiTheme="majorHAnsi" w:cstheme="majorHAnsi"/>
          <w:color w:val="808080" w:themeColor="background1" w:themeShade="80"/>
          <w:sz w:val="16"/>
          <w:szCs w:val="16"/>
        </w:rPr>
      </w:pPr>
      <w:r w:rsidRPr="001167CB">
        <w:rPr>
          <w:rFonts w:asciiTheme="majorHAnsi" w:hAnsiTheme="majorHAnsi" w:cstheme="majorHAnsi"/>
          <w:color w:val="808080" w:themeColor="background1" w:themeShade="80"/>
          <w:sz w:val="16"/>
          <w:szCs w:val="16"/>
        </w:rPr>
        <w:t xml:space="preserve">In this regard, “in the context of demonstrations and situations of social unrest, the work of journalists and media workers, as well as the free flow of information through alternative media such as the social networks, is essential to keeping the public informed of the events […] it plays an important role in reporting on the conduct of the State and of law enforcement authorities toward the protesters, preventing the disproportionate use of force and the abuse of authority.” U.N. Special Rapporteur on the Protection and Promotion of the Right to Freedom of Opinion and Expression and the Special Rapporteur for Freedom of Expression of the IACHR. </w:t>
      </w:r>
      <w:hyperlink r:id="rId610" w:history="1">
        <w:r w:rsidRPr="001167CB">
          <w:rPr>
            <w:rStyle w:val="Hyperlink"/>
            <w:rFonts w:asciiTheme="majorHAnsi" w:hAnsiTheme="majorHAnsi" w:cstheme="majorHAnsi"/>
            <w:color w:val="808080" w:themeColor="background1" w:themeShade="80"/>
            <w:sz w:val="16"/>
            <w:szCs w:val="16"/>
          </w:rPr>
          <w:t>Joint declaration on violence against journalists and media workers in the context of protests</w:t>
        </w:r>
      </w:hyperlink>
      <w:r w:rsidRPr="001167CB">
        <w:rPr>
          <w:rFonts w:asciiTheme="majorHAnsi" w:hAnsiTheme="majorHAnsi" w:cstheme="majorHAnsi"/>
          <w:color w:val="808080" w:themeColor="background1" w:themeShade="80"/>
          <w:sz w:val="16"/>
          <w:szCs w:val="16"/>
        </w:rPr>
        <w:t>. Sept. 13, 2013.</w:t>
      </w:r>
    </w:p>
  </w:footnote>
  <w:footnote w:id="548">
    <w:p w14:paraId="54A77E7E"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IACHR, </w:t>
      </w:r>
      <w:hyperlink r:id="rId611" w:history="1">
        <w:r w:rsidRPr="001167CB">
          <w:rPr>
            <w:rStyle w:val="Hyperlink"/>
            <w:rFonts w:asciiTheme="majorHAnsi" w:hAnsiTheme="majorHAnsi" w:cstheme="majorHAnsi"/>
            <w:color w:val="808080" w:themeColor="background1" w:themeShade="80"/>
            <w:sz w:val="16"/>
            <w:szCs w:val="16"/>
          </w:rPr>
          <w:t>Annual Report 2015, Chapter IV: The Use of Force</w:t>
        </w:r>
      </w:hyperlink>
      <w:r w:rsidRPr="001167CB">
        <w:rPr>
          <w:rFonts w:asciiTheme="majorHAnsi" w:hAnsiTheme="majorHAnsi" w:cstheme="majorHAnsi"/>
          <w:color w:val="808080" w:themeColor="background1" w:themeShade="80"/>
          <w:sz w:val="16"/>
          <w:szCs w:val="16"/>
        </w:rPr>
        <w:t>, Mar. 17, 2016, para. 172 (citing Guidelines on Peaceful Freedom of Assembly, OSCE – ODIHR and Venice Commission, para. 169).</w:t>
      </w:r>
    </w:p>
  </w:footnote>
  <w:footnote w:id="549">
    <w:p w14:paraId="38AC7EFE"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eastAsia="Times New Roman" w:hAnsiTheme="majorHAnsi" w:cstheme="majorHAnsi"/>
          <w:bCs/>
          <w:color w:val="808080" w:themeColor="background1" w:themeShade="80"/>
          <w:sz w:val="16"/>
          <w:szCs w:val="16"/>
          <w:lang w:eastAsia="es-ES"/>
        </w:rPr>
        <w:t xml:space="preserve">IACHR, </w:t>
      </w:r>
      <w:hyperlink r:id="rId612" w:history="1">
        <w:r w:rsidRPr="001167CB">
          <w:rPr>
            <w:rStyle w:val="Hyperlink"/>
            <w:rFonts w:asciiTheme="majorHAnsi" w:eastAsia="Times New Roman" w:hAnsiTheme="majorHAnsi" w:cstheme="majorHAnsi"/>
            <w:bCs/>
            <w:color w:val="808080" w:themeColor="background1" w:themeShade="80"/>
            <w:sz w:val="16"/>
            <w:szCs w:val="16"/>
            <w:lang w:eastAsia="es-ES"/>
          </w:rPr>
          <w:t>People of African Descent in the Americas</w:t>
        </w:r>
      </w:hyperlink>
      <w:r w:rsidRPr="001167CB">
        <w:rPr>
          <w:rFonts w:asciiTheme="majorHAnsi" w:eastAsia="Times New Roman" w:hAnsiTheme="majorHAnsi" w:cstheme="majorHAnsi"/>
          <w:bCs/>
          <w:color w:val="808080" w:themeColor="background1" w:themeShade="80"/>
          <w:sz w:val="16"/>
          <w:szCs w:val="16"/>
          <w:lang w:eastAsia="es-ES"/>
        </w:rPr>
        <w:t xml:space="preserve"> (2011)</w:t>
      </w:r>
      <w:r w:rsidRPr="001167CB">
        <w:rPr>
          <w:rFonts w:asciiTheme="majorHAnsi" w:eastAsia="Times New Roman" w:hAnsiTheme="majorHAnsi" w:cstheme="majorHAnsi"/>
          <w:color w:val="808080" w:themeColor="background1" w:themeShade="80"/>
          <w:sz w:val="16"/>
          <w:szCs w:val="16"/>
          <w:lang w:eastAsia="es-ES"/>
        </w:rPr>
        <w:t xml:space="preserve">, para. </w:t>
      </w:r>
      <w:r w:rsidRPr="001167CB">
        <w:rPr>
          <w:rFonts w:asciiTheme="majorHAnsi" w:hAnsiTheme="majorHAnsi" w:cstheme="majorHAnsi"/>
          <w:color w:val="808080" w:themeColor="background1" w:themeShade="80"/>
          <w:sz w:val="16"/>
          <w:szCs w:val="16"/>
        </w:rPr>
        <w:t>15.</w:t>
      </w:r>
    </w:p>
  </w:footnote>
  <w:footnote w:id="550">
    <w:p w14:paraId="4C909A3C"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IACHR, </w:t>
      </w:r>
      <w:hyperlink r:id="rId613" w:history="1">
        <w:r w:rsidRPr="001167CB">
          <w:rPr>
            <w:rStyle w:val="Hyperlink"/>
            <w:rFonts w:asciiTheme="majorHAnsi" w:hAnsiTheme="majorHAnsi" w:cstheme="majorHAnsi"/>
            <w:color w:val="808080" w:themeColor="background1" w:themeShade="80"/>
            <w:sz w:val="16"/>
            <w:szCs w:val="16"/>
          </w:rPr>
          <w:t>Citizen Security and Human Rights</w:t>
        </w:r>
      </w:hyperlink>
      <w:r w:rsidRPr="001167CB">
        <w:rPr>
          <w:rFonts w:asciiTheme="majorHAnsi" w:hAnsiTheme="majorHAnsi" w:cstheme="majorHAnsi"/>
          <w:color w:val="808080" w:themeColor="background1" w:themeShade="80"/>
          <w:sz w:val="16"/>
          <w:szCs w:val="16"/>
        </w:rPr>
        <w:t xml:space="preserve"> (2009), para. 168.</w:t>
      </w:r>
    </w:p>
  </w:footnote>
  <w:footnote w:id="551">
    <w:p w14:paraId="6279BFF8"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Id.</w:t>
      </w:r>
    </w:p>
  </w:footnote>
  <w:footnote w:id="552">
    <w:p w14:paraId="73C67491"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IACHR, </w:t>
      </w:r>
      <w:hyperlink r:id="rId614" w:history="1">
        <w:r w:rsidRPr="001167CB">
          <w:rPr>
            <w:rStyle w:val="Hyperlink"/>
            <w:rFonts w:asciiTheme="majorHAnsi" w:hAnsiTheme="majorHAnsi" w:cstheme="majorHAnsi"/>
            <w:color w:val="808080" w:themeColor="background1" w:themeShade="80"/>
            <w:sz w:val="16"/>
            <w:szCs w:val="16"/>
          </w:rPr>
          <w:t>Annual Report 2015, Chapter IV: The Use of Force</w:t>
        </w:r>
      </w:hyperlink>
      <w:r w:rsidRPr="001167CB">
        <w:rPr>
          <w:rFonts w:asciiTheme="majorHAnsi" w:hAnsiTheme="majorHAnsi" w:cstheme="majorHAnsi"/>
          <w:color w:val="808080" w:themeColor="background1" w:themeShade="80"/>
          <w:sz w:val="16"/>
          <w:szCs w:val="16"/>
        </w:rPr>
        <w:t>, Mar. 17, 2016, para. 236.</w:t>
      </w:r>
    </w:p>
  </w:footnote>
  <w:footnote w:id="553">
    <w:p w14:paraId="1F72D8F6" w14:textId="47BEB8BD"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04388D">
        <w:rPr>
          <w:rFonts w:asciiTheme="majorHAnsi" w:hAnsiTheme="majorHAnsi" w:cstheme="majorHAnsi"/>
          <w:color w:val="808080" w:themeColor="background1" w:themeShade="80"/>
          <w:sz w:val="16"/>
          <w:szCs w:val="16"/>
        </w:rPr>
        <w:t xml:space="preserve"> </w:t>
      </w:r>
      <w:r w:rsidRPr="0004388D">
        <w:rPr>
          <w:rFonts w:asciiTheme="majorHAnsi" w:hAnsiTheme="majorHAnsi" w:cstheme="majorHAnsi"/>
          <w:color w:val="808080" w:themeColor="background1" w:themeShade="80"/>
          <w:sz w:val="16"/>
          <w:szCs w:val="16"/>
        </w:rPr>
        <w:tab/>
        <w:t xml:space="preserve">IACHR, Report No. 80/11, </w:t>
      </w:r>
      <w:hyperlink r:id="rId615" w:history="1">
        <w:r w:rsidRPr="0004388D">
          <w:rPr>
            <w:rStyle w:val="Hyperlink"/>
            <w:rFonts w:asciiTheme="majorHAnsi" w:hAnsiTheme="majorHAnsi" w:cstheme="majorHAnsi"/>
            <w:i/>
            <w:color w:val="808080" w:themeColor="background1" w:themeShade="80"/>
            <w:sz w:val="16"/>
            <w:szCs w:val="16"/>
          </w:rPr>
          <w:t xml:space="preserve">Jessica </w:t>
        </w:r>
        <w:proofErr w:type="spellStart"/>
        <w:r w:rsidRPr="0004388D">
          <w:rPr>
            <w:rStyle w:val="Hyperlink"/>
            <w:rFonts w:asciiTheme="majorHAnsi" w:hAnsiTheme="majorHAnsi" w:cstheme="majorHAnsi"/>
            <w:i/>
            <w:color w:val="808080" w:themeColor="background1" w:themeShade="80"/>
            <w:sz w:val="16"/>
            <w:szCs w:val="16"/>
          </w:rPr>
          <w:t>Lenahan</w:t>
        </w:r>
        <w:proofErr w:type="spellEnd"/>
      </w:hyperlink>
      <w:r w:rsidRPr="0004388D">
        <w:rPr>
          <w:rFonts w:asciiTheme="majorHAnsi" w:hAnsiTheme="majorHAnsi" w:cstheme="majorHAnsi"/>
          <w:color w:val="808080" w:themeColor="background1" w:themeShade="80"/>
          <w:sz w:val="16"/>
          <w:szCs w:val="16"/>
        </w:rPr>
        <w:t xml:space="preserve"> (2011), para. </w:t>
      </w:r>
      <w:r w:rsidRPr="001167CB">
        <w:rPr>
          <w:rFonts w:asciiTheme="majorHAnsi" w:hAnsiTheme="majorHAnsi" w:cstheme="majorHAnsi"/>
          <w:color w:val="808080" w:themeColor="background1" w:themeShade="80"/>
          <w:sz w:val="16"/>
          <w:szCs w:val="16"/>
        </w:rPr>
        <w:t xml:space="preserve">125, 128. </w:t>
      </w:r>
      <w:r w:rsidRPr="001167CB">
        <w:rPr>
          <w:rFonts w:asciiTheme="majorHAnsi" w:hAnsiTheme="majorHAnsi" w:cstheme="majorHAnsi"/>
          <w:i/>
          <w:color w:val="808080" w:themeColor="background1" w:themeShade="80"/>
          <w:sz w:val="16"/>
          <w:szCs w:val="16"/>
        </w:rPr>
        <w:t>See also</w:t>
      </w:r>
      <w:r w:rsidRPr="001167CB">
        <w:rPr>
          <w:rFonts w:asciiTheme="majorHAnsi" w:hAnsiTheme="majorHAnsi" w:cstheme="majorHAnsi"/>
          <w:color w:val="808080" w:themeColor="background1" w:themeShade="80"/>
          <w:sz w:val="16"/>
          <w:szCs w:val="16"/>
        </w:rPr>
        <w:t xml:space="preserve"> U.N., </w:t>
      </w:r>
      <w:r w:rsidRPr="001167CB">
        <w:rPr>
          <w:rFonts w:asciiTheme="majorHAnsi" w:hAnsiTheme="majorHAnsi" w:cstheme="majorHAnsi"/>
          <w:i/>
          <w:color w:val="808080" w:themeColor="background1" w:themeShade="80"/>
          <w:sz w:val="16"/>
          <w:szCs w:val="16"/>
        </w:rPr>
        <w:t xml:space="preserve">Durban Declaration and </w:t>
      </w:r>
      <w:proofErr w:type="spellStart"/>
      <w:r w:rsidRPr="001167CB">
        <w:rPr>
          <w:rFonts w:asciiTheme="majorHAnsi" w:hAnsiTheme="majorHAnsi" w:cstheme="majorHAnsi"/>
          <w:i/>
          <w:color w:val="808080" w:themeColor="background1" w:themeShade="80"/>
          <w:sz w:val="16"/>
          <w:szCs w:val="16"/>
        </w:rPr>
        <w:t>Programme</w:t>
      </w:r>
      <w:proofErr w:type="spellEnd"/>
      <w:r w:rsidRPr="001167CB">
        <w:rPr>
          <w:rFonts w:asciiTheme="majorHAnsi" w:hAnsiTheme="majorHAnsi" w:cstheme="majorHAnsi"/>
          <w:i/>
          <w:color w:val="808080" w:themeColor="background1" w:themeShade="80"/>
          <w:sz w:val="16"/>
          <w:szCs w:val="16"/>
        </w:rPr>
        <w:t xml:space="preserve"> of Action</w:t>
      </w:r>
      <w:r w:rsidRPr="001167CB">
        <w:rPr>
          <w:rFonts w:asciiTheme="majorHAnsi" w:hAnsiTheme="majorHAnsi" w:cstheme="majorHAnsi"/>
          <w:color w:val="808080" w:themeColor="background1" w:themeShade="80"/>
          <w:sz w:val="16"/>
          <w:szCs w:val="16"/>
        </w:rPr>
        <w:t xml:space="preserve"> (adopted at the 2001 World Conference </w:t>
      </w:r>
      <w:proofErr w:type="gramStart"/>
      <w:r w:rsidRPr="001167CB">
        <w:rPr>
          <w:rFonts w:asciiTheme="majorHAnsi" w:hAnsiTheme="majorHAnsi" w:cstheme="majorHAnsi"/>
          <w:color w:val="808080" w:themeColor="background1" w:themeShade="80"/>
          <w:sz w:val="16"/>
          <w:szCs w:val="16"/>
        </w:rPr>
        <w:t>Against</w:t>
      </w:r>
      <w:proofErr w:type="gramEnd"/>
      <w:r w:rsidRPr="001167CB">
        <w:rPr>
          <w:rFonts w:asciiTheme="majorHAnsi" w:hAnsiTheme="majorHAnsi" w:cstheme="majorHAnsi"/>
          <w:color w:val="808080" w:themeColor="background1" w:themeShade="80"/>
          <w:sz w:val="16"/>
          <w:szCs w:val="16"/>
        </w:rPr>
        <w:t xml:space="preserve"> Racism), para. 104; </w:t>
      </w:r>
      <w:r w:rsidRPr="001167CB">
        <w:rPr>
          <w:rFonts w:asciiTheme="majorHAnsi" w:hAnsiTheme="majorHAnsi" w:cstheme="majorHAnsi"/>
          <w:i/>
          <w:color w:val="808080" w:themeColor="background1" w:themeShade="80"/>
          <w:sz w:val="16"/>
          <w:szCs w:val="16"/>
        </w:rPr>
        <w:t>International Convention on the Elimination of All Forms of Racial Discrimination</w:t>
      </w:r>
      <w:r w:rsidRPr="001167CB">
        <w:rPr>
          <w:rFonts w:asciiTheme="majorHAnsi" w:hAnsiTheme="majorHAnsi" w:cstheme="majorHAnsi"/>
          <w:color w:val="808080" w:themeColor="background1" w:themeShade="80"/>
          <w:sz w:val="16"/>
          <w:szCs w:val="16"/>
        </w:rPr>
        <w:t xml:space="preserve">, adopted and opened for signature and ratification by General Assembly Resolution 2106 (XX) of Dec. 21, 1965. </w:t>
      </w:r>
    </w:p>
  </w:footnote>
  <w:footnote w:id="554">
    <w:p w14:paraId="13FA19A1"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ICCPR, arts. 6-7; CAT, art. 2; CRC, art. 37; Belem do </w:t>
      </w:r>
      <w:proofErr w:type="spellStart"/>
      <w:r w:rsidRPr="001167CB">
        <w:rPr>
          <w:rFonts w:asciiTheme="majorHAnsi" w:hAnsiTheme="majorHAnsi" w:cstheme="majorHAnsi"/>
          <w:color w:val="808080" w:themeColor="background1" w:themeShade="80"/>
          <w:sz w:val="16"/>
          <w:szCs w:val="16"/>
        </w:rPr>
        <w:t>Pará</w:t>
      </w:r>
      <w:proofErr w:type="spellEnd"/>
      <w:r w:rsidRPr="001167CB">
        <w:rPr>
          <w:rFonts w:asciiTheme="majorHAnsi" w:hAnsiTheme="majorHAnsi" w:cstheme="majorHAnsi"/>
          <w:color w:val="808080" w:themeColor="background1" w:themeShade="80"/>
          <w:sz w:val="16"/>
          <w:szCs w:val="16"/>
        </w:rPr>
        <w:t>, art. 4.</w:t>
      </w:r>
    </w:p>
  </w:footnote>
  <w:footnote w:id="555">
    <w:p w14:paraId="7CB5FB2B"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bCs/>
          <w:color w:val="808080" w:themeColor="background1" w:themeShade="80"/>
          <w:sz w:val="16"/>
          <w:szCs w:val="16"/>
        </w:rPr>
        <w:t xml:space="preserve">IACHR, </w:t>
      </w:r>
      <w:hyperlink r:id="rId616" w:history="1">
        <w:r w:rsidRPr="001167CB">
          <w:rPr>
            <w:rStyle w:val="Hyperlink"/>
            <w:rFonts w:asciiTheme="majorHAnsi" w:hAnsiTheme="majorHAnsi" w:cstheme="majorHAnsi"/>
            <w:bCs/>
            <w:color w:val="808080" w:themeColor="background1" w:themeShade="80"/>
            <w:sz w:val="16"/>
            <w:szCs w:val="16"/>
          </w:rPr>
          <w:t>Human Rights of Migrants and Other Persons in the Context of Human Mobility in Mexico</w:t>
        </w:r>
      </w:hyperlink>
      <w:r w:rsidRPr="001167CB">
        <w:rPr>
          <w:rFonts w:asciiTheme="majorHAnsi" w:hAnsiTheme="majorHAnsi" w:cstheme="majorHAnsi"/>
          <w:bCs/>
          <w:color w:val="808080" w:themeColor="background1" w:themeShade="80"/>
          <w:sz w:val="16"/>
          <w:szCs w:val="16"/>
        </w:rPr>
        <w:t>, OEA/</w:t>
      </w:r>
      <w:proofErr w:type="spellStart"/>
      <w:r w:rsidRPr="001167CB">
        <w:rPr>
          <w:rFonts w:asciiTheme="majorHAnsi" w:hAnsiTheme="majorHAnsi" w:cstheme="majorHAnsi"/>
          <w:bCs/>
          <w:color w:val="808080" w:themeColor="background1" w:themeShade="80"/>
          <w:sz w:val="16"/>
          <w:szCs w:val="16"/>
        </w:rPr>
        <w:t>Ser.L</w:t>
      </w:r>
      <w:proofErr w:type="spellEnd"/>
      <w:r w:rsidRPr="001167CB">
        <w:rPr>
          <w:rFonts w:asciiTheme="majorHAnsi" w:hAnsiTheme="majorHAnsi" w:cstheme="majorHAnsi"/>
          <w:bCs/>
          <w:color w:val="808080" w:themeColor="background1" w:themeShade="80"/>
          <w:sz w:val="16"/>
          <w:szCs w:val="16"/>
        </w:rPr>
        <w:t>/V/II, Doc. 48/13 (2013)</w:t>
      </w:r>
      <w:r w:rsidRPr="001167CB">
        <w:rPr>
          <w:rFonts w:asciiTheme="majorHAnsi" w:hAnsiTheme="majorHAnsi" w:cstheme="majorHAnsi"/>
          <w:color w:val="808080" w:themeColor="background1" w:themeShade="80"/>
          <w:sz w:val="16"/>
          <w:szCs w:val="16"/>
        </w:rPr>
        <w:t xml:space="preserve">, para. </w:t>
      </w:r>
      <w:r w:rsidRPr="001167CB">
        <w:rPr>
          <w:rFonts w:asciiTheme="majorHAnsi" w:hAnsiTheme="majorHAnsi" w:cstheme="majorHAnsi"/>
          <w:color w:val="808080" w:themeColor="background1" w:themeShade="80"/>
          <w:sz w:val="16"/>
          <w:szCs w:val="16"/>
          <w:lang w:val="pt-BR"/>
        </w:rPr>
        <w:t xml:space="preserve">365 (citing I/A Ct. H.R., </w:t>
      </w:r>
      <w:r w:rsidRPr="001167CB">
        <w:rPr>
          <w:rFonts w:asciiTheme="majorHAnsi" w:hAnsiTheme="majorHAnsi" w:cstheme="majorHAnsi"/>
          <w:i/>
          <w:color w:val="808080" w:themeColor="background1" w:themeShade="80"/>
          <w:sz w:val="16"/>
          <w:szCs w:val="16"/>
          <w:lang w:val="pt-BR"/>
        </w:rPr>
        <w:t>Velásquez Rodríguez</w:t>
      </w:r>
      <w:r w:rsidRPr="001167CB">
        <w:rPr>
          <w:rFonts w:asciiTheme="majorHAnsi" w:hAnsiTheme="majorHAnsi" w:cstheme="majorHAnsi"/>
          <w:color w:val="808080" w:themeColor="background1" w:themeShade="80"/>
          <w:sz w:val="16"/>
          <w:szCs w:val="16"/>
          <w:lang w:val="pt-BR"/>
        </w:rPr>
        <w:t xml:space="preserve">, Ser. C No. 7 (1989). </w:t>
      </w:r>
      <w:r w:rsidRPr="001167CB">
        <w:rPr>
          <w:rFonts w:asciiTheme="majorHAnsi" w:hAnsiTheme="majorHAnsi" w:cstheme="majorHAnsi"/>
          <w:color w:val="808080" w:themeColor="background1" w:themeShade="80"/>
          <w:sz w:val="16"/>
          <w:szCs w:val="16"/>
        </w:rPr>
        <w:t xml:space="preserve">Other instruments of the Inter-American human rights system also establish the State’s obligation to act with due diligence to protect human rights. Examples include Art. 6 of the Inter-American Convention against Torture and Art. 7(b) of the Convention of </w:t>
      </w:r>
      <w:proofErr w:type="spellStart"/>
      <w:r w:rsidRPr="001167CB">
        <w:rPr>
          <w:rFonts w:asciiTheme="majorHAnsi" w:hAnsiTheme="majorHAnsi" w:cstheme="majorHAnsi"/>
          <w:color w:val="808080" w:themeColor="background1" w:themeShade="80"/>
          <w:sz w:val="16"/>
          <w:szCs w:val="16"/>
        </w:rPr>
        <w:t>Belém</w:t>
      </w:r>
      <w:proofErr w:type="spellEnd"/>
      <w:r w:rsidRPr="001167CB">
        <w:rPr>
          <w:rFonts w:asciiTheme="majorHAnsi" w:hAnsiTheme="majorHAnsi" w:cstheme="majorHAnsi"/>
          <w:color w:val="808080" w:themeColor="background1" w:themeShade="80"/>
          <w:sz w:val="16"/>
          <w:szCs w:val="16"/>
        </w:rPr>
        <w:t xml:space="preserve"> do </w:t>
      </w:r>
      <w:proofErr w:type="spellStart"/>
      <w:r w:rsidRPr="001167CB">
        <w:rPr>
          <w:rFonts w:asciiTheme="majorHAnsi" w:hAnsiTheme="majorHAnsi" w:cstheme="majorHAnsi"/>
          <w:color w:val="808080" w:themeColor="background1" w:themeShade="80"/>
          <w:sz w:val="16"/>
          <w:szCs w:val="16"/>
        </w:rPr>
        <w:t>Pará</w:t>
      </w:r>
      <w:proofErr w:type="spellEnd"/>
      <w:r w:rsidRPr="001167CB">
        <w:rPr>
          <w:rFonts w:asciiTheme="majorHAnsi" w:hAnsiTheme="majorHAnsi" w:cstheme="majorHAnsi"/>
          <w:color w:val="808080" w:themeColor="background1" w:themeShade="80"/>
          <w:sz w:val="16"/>
          <w:szCs w:val="16"/>
        </w:rPr>
        <w:t>).</w:t>
      </w:r>
    </w:p>
  </w:footnote>
  <w:footnote w:id="556">
    <w:p w14:paraId="6C719DF9"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lang w:val="es-US"/>
        </w:rPr>
        <w:t xml:space="preserve"> </w:t>
      </w:r>
      <w:r w:rsidRPr="001167CB">
        <w:rPr>
          <w:rFonts w:asciiTheme="majorHAnsi" w:hAnsiTheme="majorHAnsi" w:cstheme="majorHAnsi"/>
          <w:color w:val="808080" w:themeColor="background1" w:themeShade="80"/>
          <w:sz w:val="16"/>
          <w:szCs w:val="16"/>
          <w:lang w:val="es-US"/>
        </w:rPr>
        <w:tab/>
        <w:t xml:space="preserve">IACHR, </w:t>
      </w:r>
      <w:proofErr w:type="spellStart"/>
      <w:r w:rsidRPr="001167CB">
        <w:rPr>
          <w:rFonts w:asciiTheme="majorHAnsi" w:hAnsiTheme="majorHAnsi" w:cstheme="majorHAnsi"/>
          <w:color w:val="808080" w:themeColor="background1" w:themeShade="80"/>
          <w:sz w:val="16"/>
          <w:szCs w:val="16"/>
          <w:lang w:val="es-US"/>
        </w:rPr>
        <w:t>Report</w:t>
      </w:r>
      <w:proofErr w:type="spellEnd"/>
      <w:r w:rsidRPr="001167CB">
        <w:rPr>
          <w:rFonts w:asciiTheme="majorHAnsi" w:hAnsiTheme="majorHAnsi" w:cstheme="majorHAnsi"/>
          <w:color w:val="808080" w:themeColor="background1" w:themeShade="80"/>
          <w:sz w:val="16"/>
          <w:szCs w:val="16"/>
          <w:lang w:val="es-US"/>
        </w:rPr>
        <w:t xml:space="preserve"> No. 80/11, </w:t>
      </w:r>
      <w:hyperlink r:id="rId617" w:history="1">
        <w:r w:rsidRPr="001167CB">
          <w:rPr>
            <w:rStyle w:val="Hyperlink"/>
            <w:rFonts w:asciiTheme="majorHAnsi" w:hAnsiTheme="majorHAnsi" w:cstheme="majorHAnsi"/>
            <w:i/>
            <w:color w:val="808080" w:themeColor="background1" w:themeShade="80"/>
            <w:sz w:val="16"/>
            <w:szCs w:val="16"/>
            <w:lang w:val="es-US"/>
          </w:rPr>
          <w:t xml:space="preserve">Jessica </w:t>
        </w:r>
        <w:proofErr w:type="spellStart"/>
        <w:r w:rsidRPr="001167CB">
          <w:rPr>
            <w:rStyle w:val="Hyperlink"/>
            <w:rFonts w:asciiTheme="majorHAnsi" w:hAnsiTheme="majorHAnsi" w:cstheme="majorHAnsi"/>
            <w:i/>
            <w:color w:val="808080" w:themeColor="background1" w:themeShade="80"/>
            <w:sz w:val="16"/>
            <w:szCs w:val="16"/>
            <w:lang w:val="es-US"/>
          </w:rPr>
          <w:t>Lenahan</w:t>
        </w:r>
        <w:proofErr w:type="spellEnd"/>
      </w:hyperlink>
      <w:r w:rsidRPr="001167CB">
        <w:rPr>
          <w:rFonts w:asciiTheme="majorHAnsi" w:hAnsiTheme="majorHAnsi" w:cstheme="majorHAnsi"/>
          <w:color w:val="808080" w:themeColor="background1" w:themeShade="80"/>
          <w:sz w:val="16"/>
          <w:szCs w:val="16"/>
          <w:lang w:val="es-US"/>
        </w:rPr>
        <w:t xml:space="preserve"> (2011), paras. 122, 128 (</w:t>
      </w:r>
      <w:proofErr w:type="spellStart"/>
      <w:r w:rsidRPr="001167CB">
        <w:rPr>
          <w:rFonts w:asciiTheme="majorHAnsi" w:hAnsiTheme="majorHAnsi" w:cstheme="majorHAnsi"/>
          <w:color w:val="808080" w:themeColor="background1" w:themeShade="80"/>
          <w:sz w:val="16"/>
          <w:szCs w:val="16"/>
          <w:lang w:val="es-US"/>
        </w:rPr>
        <w:t>citing</w:t>
      </w:r>
      <w:proofErr w:type="spellEnd"/>
      <w:r w:rsidRPr="001167CB">
        <w:rPr>
          <w:rFonts w:asciiTheme="majorHAnsi" w:hAnsiTheme="majorHAnsi" w:cstheme="majorHAnsi"/>
          <w:color w:val="808080" w:themeColor="background1" w:themeShade="80"/>
          <w:sz w:val="16"/>
          <w:szCs w:val="16"/>
          <w:lang w:val="es-US"/>
        </w:rPr>
        <w:t xml:space="preserve"> IACHR, </w:t>
      </w:r>
      <w:proofErr w:type="spellStart"/>
      <w:r w:rsidRPr="001167CB">
        <w:rPr>
          <w:rFonts w:asciiTheme="majorHAnsi" w:hAnsiTheme="majorHAnsi" w:cstheme="majorHAnsi"/>
          <w:color w:val="808080" w:themeColor="background1" w:themeShade="80"/>
          <w:sz w:val="16"/>
          <w:szCs w:val="16"/>
          <w:lang w:val="es-US"/>
        </w:rPr>
        <w:t>Report</w:t>
      </w:r>
      <w:proofErr w:type="spellEnd"/>
      <w:r w:rsidRPr="001167CB">
        <w:rPr>
          <w:rFonts w:asciiTheme="majorHAnsi" w:hAnsiTheme="majorHAnsi" w:cstheme="majorHAnsi"/>
          <w:color w:val="808080" w:themeColor="background1" w:themeShade="80"/>
          <w:sz w:val="16"/>
          <w:szCs w:val="16"/>
          <w:lang w:val="es-US"/>
        </w:rPr>
        <w:t xml:space="preserve"> No. 28/07, </w:t>
      </w:r>
      <w:r w:rsidRPr="001167CB">
        <w:rPr>
          <w:rFonts w:asciiTheme="majorHAnsi" w:hAnsiTheme="majorHAnsi" w:cstheme="majorHAnsi"/>
          <w:i/>
          <w:color w:val="808080" w:themeColor="background1" w:themeShade="80"/>
          <w:sz w:val="16"/>
          <w:szCs w:val="16"/>
          <w:lang w:val="es-US"/>
        </w:rPr>
        <w:t>Gonzalez et al.</w:t>
      </w:r>
      <w:r w:rsidRPr="001167CB">
        <w:rPr>
          <w:rFonts w:asciiTheme="majorHAnsi" w:hAnsiTheme="majorHAnsi" w:cstheme="majorHAnsi"/>
          <w:color w:val="808080" w:themeColor="background1" w:themeShade="80"/>
          <w:sz w:val="16"/>
          <w:szCs w:val="16"/>
          <w:lang w:val="es-US"/>
        </w:rPr>
        <w:t xml:space="preserve"> (2007), paras. </w:t>
      </w:r>
      <w:r w:rsidRPr="001167CB">
        <w:rPr>
          <w:rFonts w:asciiTheme="majorHAnsi" w:hAnsiTheme="majorHAnsi" w:cstheme="majorHAnsi"/>
          <w:color w:val="808080" w:themeColor="background1" w:themeShade="80"/>
          <w:sz w:val="16"/>
          <w:szCs w:val="16"/>
        </w:rPr>
        <w:t xml:space="preserve">247-255; I/A Ct. H.R., </w:t>
      </w:r>
      <w:r w:rsidRPr="001167CB">
        <w:rPr>
          <w:rFonts w:asciiTheme="majorHAnsi" w:hAnsiTheme="majorHAnsi" w:cstheme="majorHAnsi"/>
          <w:i/>
          <w:color w:val="808080" w:themeColor="background1" w:themeShade="80"/>
          <w:sz w:val="16"/>
          <w:szCs w:val="16"/>
        </w:rPr>
        <w:t>Cotton Field</w:t>
      </w:r>
      <w:r w:rsidRPr="001167CB">
        <w:rPr>
          <w:rFonts w:asciiTheme="majorHAnsi" w:hAnsiTheme="majorHAnsi" w:cstheme="majorHAnsi"/>
          <w:color w:val="808080" w:themeColor="background1" w:themeShade="80"/>
          <w:sz w:val="16"/>
          <w:szCs w:val="16"/>
        </w:rPr>
        <w:t xml:space="preserve">, Series C No. 205 (2009), para. 245); for a more detailed discussion, </w:t>
      </w:r>
      <w:r w:rsidRPr="001167CB">
        <w:rPr>
          <w:rFonts w:asciiTheme="majorHAnsi" w:hAnsiTheme="majorHAnsi" w:cstheme="majorHAnsi"/>
          <w:i/>
          <w:color w:val="808080" w:themeColor="background1" w:themeShade="80"/>
          <w:sz w:val="16"/>
          <w:szCs w:val="16"/>
        </w:rPr>
        <w:t>see generally</w:t>
      </w:r>
      <w:r w:rsidRPr="001167CB">
        <w:rPr>
          <w:rFonts w:asciiTheme="majorHAnsi" w:hAnsiTheme="majorHAnsi" w:cstheme="majorHAnsi"/>
          <w:color w:val="808080" w:themeColor="background1" w:themeShade="80"/>
          <w:sz w:val="16"/>
          <w:szCs w:val="16"/>
        </w:rPr>
        <w:t xml:space="preserve"> J. </w:t>
      </w:r>
      <w:proofErr w:type="spellStart"/>
      <w:r w:rsidRPr="001167CB">
        <w:rPr>
          <w:rFonts w:asciiTheme="majorHAnsi" w:hAnsiTheme="majorHAnsi" w:cstheme="majorHAnsi"/>
          <w:color w:val="808080" w:themeColor="background1" w:themeShade="80"/>
          <w:sz w:val="16"/>
          <w:szCs w:val="16"/>
        </w:rPr>
        <w:t>Hessbruegge</w:t>
      </w:r>
      <w:proofErr w:type="spellEnd"/>
      <w:r w:rsidRPr="001167CB">
        <w:rPr>
          <w:rFonts w:asciiTheme="majorHAnsi" w:hAnsiTheme="majorHAnsi" w:cstheme="majorHAnsi"/>
          <w:color w:val="808080" w:themeColor="background1" w:themeShade="80"/>
          <w:sz w:val="16"/>
          <w:szCs w:val="16"/>
        </w:rPr>
        <w:t xml:space="preserve">. 2004. “The Historical development of the doctrines of attribution and due diligence in international law”, </w:t>
      </w:r>
      <w:r w:rsidRPr="001167CB">
        <w:rPr>
          <w:rFonts w:asciiTheme="majorHAnsi" w:hAnsiTheme="majorHAnsi" w:cstheme="majorHAnsi"/>
          <w:i/>
          <w:color w:val="808080" w:themeColor="background1" w:themeShade="80"/>
          <w:sz w:val="16"/>
          <w:szCs w:val="16"/>
        </w:rPr>
        <w:t>NYU Journal of Int’l Law</w:t>
      </w:r>
      <w:r w:rsidRPr="001167CB">
        <w:rPr>
          <w:rFonts w:asciiTheme="majorHAnsi" w:hAnsiTheme="majorHAnsi" w:cstheme="majorHAnsi"/>
          <w:color w:val="808080" w:themeColor="background1" w:themeShade="80"/>
          <w:sz w:val="16"/>
          <w:szCs w:val="16"/>
        </w:rPr>
        <w:t xml:space="preserve">, vol. 36; Robert P. Barnidge, Jr., The Due Diligence Principle under International Law, </w:t>
      </w:r>
      <w:r w:rsidRPr="001167CB">
        <w:rPr>
          <w:rFonts w:asciiTheme="majorHAnsi" w:hAnsiTheme="majorHAnsi" w:cstheme="majorHAnsi"/>
          <w:i/>
          <w:color w:val="808080" w:themeColor="background1" w:themeShade="80"/>
          <w:sz w:val="16"/>
          <w:szCs w:val="16"/>
        </w:rPr>
        <w:t>Int’l Community Law Review</w:t>
      </w:r>
      <w:r w:rsidRPr="001167CB">
        <w:rPr>
          <w:rFonts w:asciiTheme="majorHAnsi" w:hAnsiTheme="majorHAnsi" w:cstheme="majorHAnsi"/>
          <w:color w:val="808080" w:themeColor="background1" w:themeShade="80"/>
          <w:sz w:val="16"/>
          <w:szCs w:val="16"/>
        </w:rPr>
        <w:t xml:space="preserve"> (2006).</w:t>
      </w:r>
    </w:p>
  </w:footnote>
  <w:footnote w:id="557">
    <w:p w14:paraId="5DC65550"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IACHR, Report No. 50/16, </w:t>
      </w:r>
      <w:hyperlink r:id="rId618" w:history="1">
        <w:r w:rsidRPr="001167CB">
          <w:rPr>
            <w:rStyle w:val="Hyperlink"/>
            <w:rFonts w:asciiTheme="majorHAnsi" w:hAnsiTheme="majorHAnsi" w:cstheme="majorHAnsi"/>
            <w:i/>
            <w:color w:val="808080" w:themeColor="background1" w:themeShade="80"/>
            <w:sz w:val="16"/>
            <w:szCs w:val="16"/>
          </w:rPr>
          <w:t>Undocumented Workers</w:t>
        </w:r>
      </w:hyperlink>
      <w:r w:rsidRPr="001167CB">
        <w:rPr>
          <w:rFonts w:asciiTheme="majorHAnsi" w:hAnsiTheme="majorHAnsi" w:cstheme="majorHAnsi"/>
          <w:color w:val="808080" w:themeColor="background1" w:themeShade="80"/>
          <w:sz w:val="16"/>
          <w:szCs w:val="16"/>
        </w:rPr>
        <w:t xml:space="preserve"> (2016), para. </w:t>
      </w:r>
      <w:r w:rsidRPr="001167CB">
        <w:rPr>
          <w:rFonts w:asciiTheme="majorHAnsi" w:hAnsiTheme="majorHAnsi" w:cstheme="majorHAnsi"/>
          <w:color w:val="808080" w:themeColor="background1" w:themeShade="80"/>
          <w:sz w:val="16"/>
          <w:szCs w:val="16"/>
          <w:lang w:val="es-CO"/>
        </w:rPr>
        <w:t xml:space="preserve">99; </w:t>
      </w:r>
      <w:proofErr w:type="spellStart"/>
      <w:r w:rsidRPr="001167CB">
        <w:rPr>
          <w:rFonts w:asciiTheme="majorHAnsi" w:hAnsiTheme="majorHAnsi" w:cstheme="majorHAnsi"/>
          <w:color w:val="808080" w:themeColor="background1" w:themeShade="80"/>
          <w:sz w:val="16"/>
          <w:szCs w:val="16"/>
          <w:lang w:val="es-CO"/>
        </w:rPr>
        <w:t>Report</w:t>
      </w:r>
      <w:proofErr w:type="spellEnd"/>
      <w:r w:rsidRPr="001167CB">
        <w:rPr>
          <w:rFonts w:asciiTheme="majorHAnsi" w:hAnsiTheme="majorHAnsi" w:cstheme="majorHAnsi"/>
          <w:color w:val="808080" w:themeColor="background1" w:themeShade="80"/>
          <w:sz w:val="16"/>
          <w:szCs w:val="16"/>
          <w:lang w:val="es-CO"/>
        </w:rPr>
        <w:t xml:space="preserve"> No. 80/11, </w:t>
      </w:r>
      <w:hyperlink r:id="rId619" w:history="1">
        <w:r w:rsidRPr="001167CB">
          <w:rPr>
            <w:rStyle w:val="Hyperlink"/>
            <w:rFonts w:asciiTheme="majorHAnsi" w:hAnsiTheme="majorHAnsi" w:cstheme="majorHAnsi"/>
            <w:i/>
            <w:color w:val="808080" w:themeColor="background1" w:themeShade="80"/>
            <w:sz w:val="16"/>
            <w:szCs w:val="16"/>
            <w:lang w:val="es-CO"/>
          </w:rPr>
          <w:t xml:space="preserve">Jessica </w:t>
        </w:r>
        <w:proofErr w:type="spellStart"/>
        <w:r w:rsidRPr="001167CB">
          <w:rPr>
            <w:rStyle w:val="Hyperlink"/>
            <w:rFonts w:asciiTheme="majorHAnsi" w:hAnsiTheme="majorHAnsi" w:cstheme="majorHAnsi"/>
            <w:i/>
            <w:color w:val="808080" w:themeColor="background1" w:themeShade="80"/>
            <w:sz w:val="16"/>
            <w:szCs w:val="16"/>
            <w:lang w:val="es-CO"/>
          </w:rPr>
          <w:t>Lenahan</w:t>
        </w:r>
        <w:proofErr w:type="spellEnd"/>
      </w:hyperlink>
      <w:r w:rsidRPr="001167CB">
        <w:rPr>
          <w:rFonts w:asciiTheme="majorHAnsi" w:hAnsiTheme="majorHAnsi" w:cstheme="majorHAnsi"/>
          <w:color w:val="808080" w:themeColor="background1" w:themeShade="80"/>
          <w:sz w:val="16"/>
          <w:szCs w:val="16"/>
          <w:lang w:val="es-CO"/>
        </w:rPr>
        <w:t xml:space="preserve"> (2011), para. 125; </w:t>
      </w:r>
      <w:proofErr w:type="spellStart"/>
      <w:r w:rsidRPr="001167CB">
        <w:rPr>
          <w:rFonts w:asciiTheme="majorHAnsi" w:hAnsiTheme="majorHAnsi" w:cstheme="majorHAnsi"/>
          <w:color w:val="808080" w:themeColor="background1" w:themeShade="80"/>
          <w:sz w:val="16"/>
          <w:szCs w:val="16"/>
          <w:lang w:val="es-CO"/>
        </w:rPr>
        <w:t>Report</w:t>
      </w:r>
      <w:proofErr w:type="spellEnd"/>
      <w:r w:rsidRPr="001167CB">
        <w:rPr>
          <w:rFonts w:asciiTheme="majorHAnsi" w:hAnsiTheme="majorHAnsi" w:cstheme="majorHAnsi"/>
          <w:color w:val="808080" w:themeColor="background1" w:themeShade="80"/>
          <w:sz w:val="16"/>
          <w:szCs w:val="16"/>
          <w:lang w:val="es-CO"/>
        </w:rPr>
        <w:t xml:space="preserve"> 40/04, </w:t>
      </w:r>
      <w:hyperlink r:id="rId620" w:history="1">
        <w:r w:rsidRPr="001167CB">
          <w:rPr>
            <w:rStyle w:val="Hyperlink"/>
            <w:rFonts w:asciiTheme="majorHAnsi" w:hAnsiTheme="majorHAnsi" w:cstheme="majorHAnsi"/>
            <w:i/>
            <w:color w:val="808080" w:themeColor="background1" w:themeShade="80"/>
            <w:sz w:val="16"/>
            <w:szCs w:val="16"/>
            <w:lang w:val="es-CO"/>
          </w:rPr>
          <w:t xml:space="preserve">Maya </w:t>
        </w:r>
        <w:proofErr w:type="spellStart"/>
        <w:r w:rsidRPr="001167CB">
          <w:rPr>
            <w:rStyle w:val="Hyperlink"/>
            <w:rFonts w:asciiTheme="majorHAnsi" w:hAnsiTheme="majorHAnsi" w:cstheme="majorHAnsi"/>
            <w:i/>
            <w:color w:val="808080" w:themeColor="background1" w:themeShade="80"/>
            <w:sz w:val="16"/>
            <w:szCs w:val="16"/>
            <w:lang w:val="es-CO"/>
          </w:rPr>
          <w:t>Indigenous</w:t>
        </w:r>
        <w:proofErr w:type="spellEnd"/>
        <w:r w:rsidRPr="001167CB">
          <w:rPr>
            <w:rStyle w:val="Hyperlink"/>
            <w:rFonts w:asciiTheme="majorHAnsi" w:hAnsiTheme="majorHAnsi" w:cstheme="majorHAnsi"/>
            <w:i/>
            <w:color w:val="808080" w:themeColor="background1" w:themeShade="80"/>
            <w:sz w:val="16"/>
            <w:szCs w:val="16"/>
            <w:lang w:val="es-CO"/>
          </w:rPr>
          <w:t xml:space="preserve"> </w:t>
        </w:r>
        <w:proofErr w:type="spellStart"/>
        <w:r w:rsidRPr="001167CB">
          <w:rPr>
            <w:rStyle w:val="Hyperlink"/>
            <w:rFonts w:asciiTheme="majorHAnsi" w:hAnsiTheme="majorHAnsi" w:cstheme="majorHAnsi"/>
            <w:i/>
            <w:color w:val="808080" w:themeColor="background1" w:themeShade="80"/>
            <w:sz w:val="16"/>
            <w:szCs w:val="16"/>
            <w:lang w:val="es-CO"/>
          </w:rPr>
          <w:t>Community</w:t>
        </w:r>
        <w:proofErr w:type="spellEnd"/>
      </w:hyperlink>
      <w:r w:rsidRPr="001167CB">
        <w:rPr>
          <w:rFonts w:asciiTheme="majorHAnsi" w:hAnsiTheme="majorHAnsi" w:cstheme="majorHAnsi"/>
          <w:color w:val="808080" w:themeColor="background1" w:themeShade="80"/>
          <w:sz w:val="16"/>
          <w:szCs w:val="16"/>
          <w:lang w:val="es-CO"/>
        </w:rPr>
        <w:t xml:space="preserve"> (2004), para. 162; </w:t>
      </w:r>
      <w:proofErr w:type="spellStart"/>
      <w:r w:rsidRPr="001167CB">
        <w:rPr>
          <w:rFonts w:asciiTheme="majorHAnsi" w:hAnsiTheme="majorHAnsi" w:cstheme="majorHAnsi"/>
          <w:color w:val="808080" w:themeColor="background1" w:themeShade="80"/>
          <w:sz w:val="16"/>
          <w:szCs w:val="16"/>
          <w:lang w:val="es-CO"/>
        </w:rPr>
        <w:t>Report</w:t>
      </w:r>
      <w:proofErr w:type="spellEnd"/>
      <w:r w:rsidRPr="001167CB">
        <w:rPr>
          <w:rFonts w:asciiTheme="majorHAnsi" w:hAnsiTheme="majorHAnsi" w:cstheme="majorHAnsi"/>
          <w:color w:val="808080" w:themeColor="background1" w:themeShade="80"/>
          <w:sz w:val="16"/>
          <w:szCs w:val="16"/>
          <w:lang w:val="es-CO"/>
        </w:rPr>
        <w:t xml:space="preserve"> No. 67/06, </w:t>
      </w:r>
      <w:hyperlink r:id="rId621" w:history="1">
        <w:r w:rsidRPr="001167CB">
          <w:rPr>
            <w:rStyle w:val="Hyperlink"/>
            <w:rFonts w:asciiTheme="majorHAnsi" w:hAnsiTheme="majorHAnsi" w:cstheme="majorHAnsi"/>
            <w:i/>
            <w:color w:val="808080" w:themeColor="background1" w:themeShade="80"/>
            <w:sz w:val="16"/>
            <w:szCs w:val="16"/>
            <w:lang w:val="es-CO"/>
          </w:rPr>
          <w:t xml:space="preserve">Oscar Elías </w:t>
        </w:r>
        <w:proofErr w:type="spellStart"/>
        <w:r w:rsidRPr="001167CB">
          <w:rPr>
            <w:rStyle w:val="Hyperlink"/>
            <w:rFonts w:asciiTheme="majorHAnsi" w:hAnsiTheme="majorHAnsi" w:cstheme="majorHAnsi"/>
            <w:i/>
            <w:color w:val="808080" w:themeColor="background1" w:themeShade="80"/>
            <w:sz w:val="16"/>
            <w:szCs w:val="16"/>
            <w:lang w:val="es-CO"/>
          </w:rPr>
          <w:t>Bicet</w:t>
        </w:r>
        <w:proofErr w:type="spellEnd"/>
        <w:r w:rsidRPr="001167CB">
          <w:rPr>
            <w:rStyle w:val="Hyperlink"/>
            <w:rFonts w:asciiTheme="majorHAnsi" w:hAnsiTheme="majorHAnsi" w:cstheme="majorHAnsi"/>
            <w:i/>
            <w:color w:val="808080" w:themeColor="background1" w:themeShade="80"/>
            <w:sz w:val="16"/>
            <w:szCs w:val="16"/>
            <w:lang w:val="es-CO"/>
          </w:rPr>
          <w:t xml:space="preserve"> et al.</w:t>
        </w:r>
      </w:hyperlink>
      <w:r w:rsidRPr="001167CB">
        <w:rPr>
          <w:rFonts w:asciiTheme="majorHAnsi" w:hAnsiTheme="majorHAnsi" w:cstheme="majorHAnsi"/>
          <w:color w:val="808080" w:themeColor="background1" w:themeShade="80"/>
          <w:sz w:val="16"/>
          <w:szCs w:val="16"/>
          <w:lang w:val="es-CO"/>
        </w:rPr>
        <w:t xml:space="preserve"> (2006), para. </w:t>
      </w:r>
      <w:r w:rsidRPr="001167CB">
        <w:rPr>
          <w:rFonts w:asciiTheme="majorHAnsi" w:hAnsiTheme="majorHAnsi" w:cstheme="majorHAnsi"/>
          <w:color w:val="808080" w:themeColor="background1" w:themeShade="80"/>
          <w:sz w:val="16"/>
          <w:szCs w:val="16"/>
        </w:rPr>
        <w:t>228.</w:t>
      </w:r>
    </w:p>
    <w:p w14:paraId="1CC3C1A5" w14:textId="77777777" w:rsidR="005C2394" w:rsidRPr="001167CB" w:rsidRDefault="005C2394" w:rsidP="00C91E4F">
      <w:pPr>
        <w:pStyle w:val="FootnoteText"/>
        <w:spacing w:after="40"/>
        <w:ind w:left="547"/>
        <w:jc w:val="both"/>
        <w:rPr>
          <w:rFonts w:asciiTheme="majorHAnsi" w:hAnsiTheme="majorHAnsi" w:cstheme="majorHAnsi"/>
          <w:color w:val="808080" w:themeColor="background1" w:themeShade="80"/>
          <w:sz w:val="16"/>
          <w:szCs w:val="16"/>
        </w:rPr>
      </w:pPr>
      <w:r w:rsidRPr="001167CB">
        <w:rPr>
          <w:rFonts w:asciiTheme="majorHAnsi" w:hAnsiTheme="majorHAnsi" w:cstheme="majorHAnsi"/>
          <w:i/>
          <w:color w:val="808080" w:themeColor="background1" w:themeShade="80"/>
          <w:sz w:val="16"/>
          <w:szCs w:val="16"/>
        </w:rPr>
        <w:t>See also, e.g.,</w:t>
      </w:r>
      <w:r w:rsidRPr="001167CB">
        <w:rPr>
          <w:rFonts w:asciiTheme="majorHAnsi" w:hAnsiTheme="majorHAnsi" w:cstheme="majorHAnsi"/>
          <w:color w:val="808080" w:themeColor="background1" w:themeShade="80"/>
          <w:sz w:val="16"/>
          <w:szCs w:val="16"/>
        </w:rPr>
        <w:t xml:space="preserve"> IACHR, Report No. 28/07, </w:t>
      </w:r>
      <w:r w:rsidRPr="001167CB">
        <w:rPr>
          <w:rFonts w:asciiTheme="majorHAnsi" w:hAnsiTheme="majorHAnsi" w:cstheme="majorHAnsi"/>
          <w:i/>
          <w:color w:val="808080" w:themeColor="background1" w:themeShade="80"/>
          <w:sz w:val="16"/>
          <w:szCs w:val="16"/>
        </w:rPr>
        <w:t>Gonzalez et al.</w:t>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lang w:val="es-CO"/>
        </w:rPr>
        <w:t>(2007)</w:t>
      </w:r>
      <w:r w:rsidRPr="001167CB">
        <w:rPr>
          <w:rFonts w:asciiTheme="majorHAnsi" w:hAnsiTheme="majorHAnsi" w:cstheme="majorHAnsi"/>
          <w:color w:val="808080" w:themeColor="background1" w:themeShade="80"/>
          <w:sz w:val="16"/>
          <w:szCs w:val="16"/>
          <w:lang w:val="es-MX"/>
        </w:rPr>
        <w:t xml:space="preserve">, paras. </w:t>
      </w:r>
      <w:r w:rsidRPr="001167CB">
        <w:rPr>
          <w:rFonts w:asciiTheme="majorHAnsi" w:hAnsiTheme="majorHAnsi" w:cstheme="majorHAnsi"/>
          <w:color w:val="808080" w:themeColor="background1" w:themeShade="80"/>
          <w:sz w:val="16"/>
          <w:szCs w:val="16"/>
          <w:lang w:val="pt-BR"/>
        </w:rPr>
        <w:t xml:space="preserve">160-255; IACHR, Report No. 54/01, Case 12.051, </w:t>
      </w:r>
      <w:r w:rsidRPr="001167CB">
        <w:rPr>
          <w:rFonts w:asciiTheme="majorHAnsi" w:hAnsiTheme="majorHAnsi" w:cstheme="majorHAnsi"/>
          <w:i/>
          <w:color w:val="808080" w:themeColor="background1" w:themeShade="80"/>
          <w:sz w:val="16"/>
          <w:szCs w:val="16"/>
          <w:lang w:val="pt-BR"/>
        </w:rPr>
        <w:t>Maria Da Penha Maia Fernandes</w:t>
      </w:r>
      <w:r w:rsidRPr="001167CB">
        <w:rPr>
          <w:rFonts w:asciiTheme="majorHAnsi" w:hAnsiTheme="majorHAnsi" w:cstheme="majorHAnsi"/>
          <w:color w:val="808080" w:themeColor="background1" w:themeShade="80"/>
          <w:sz w:val="16"/>
          <w:szCs w:val="16"/>
          <w:lang w:val="pt-BR"/>
        </w:rPr>
        <w:t xml:space="preserve"> (Brazil), Apr. 16, 2001, paras. </w:t>
      </w:r>
      <w:r w:rsidRPr="001167CB">
        <w:rPr>
          <w:rFonts w:asciiTheme="majorHAnsi" w:hAnsiTheme="majorHAnsi" w:cstheme="majorHAnsi"/>
          <w:color w:val="808080" w:themeColor="background1" w:themeShade="80"/>
          <w:sz w:val="16"/>
          <w:szCs w:val="16"/>
        </w:rPr>
        <w:t>55-58 [hereinafter “</w:t>
      </w:r>
      <w:bookmarkStart w:id="220" w:name="_Hlk507688268"/>
      <w:r w:rsidRPr="001167CB">
        <w:rPr>
          <w:rFonts w:asciiTheme="majorHAnsi" w:hAnsiTheme="majorHAnsi" w:cstheme="majorHAnsi"/>
          <w:color w:val="808080" w:themeColor="background1" w:themeShade="80"/>
          <w:sz w:val="16"/>
          <w:szCs w:val="16"/>
        </w:rPr>
        <w:t xml:space="preserve">Report No. 54/01, </w:t>
      </w:r>
      <w:r w:rsidRPr="001167CB">
        <w:rPr>
          <w:rFonts w:asciiTheme="majorHAnsi" w:hAnsiTheme="majorHAnsi" w:cstheme="majorHAnsi"/>
          <w:i/>
          <w:color w:val="808080" w:themeColor="background1" w:themeShade="80"/>
          <w:sz w:val="16"/>
          <w:szCs w:val="16"/>
        </w:rPr>
        <w:t>Maria da Penha</w:t>
      </w:r>
      <w:r w:rsidRPr="001167CB">
        <w:rPr>
          <w:rFonts w:asciiTheme="majorHAnsi" w:hAnsiTheme="majorHAnsi" w:cstheme="majorHAnsi"/>
          <w:color w:val="808080" w:themeColor="background1" w:themeShade="80"/>
          <w:sz w:val="16"/>
          <w:szCs w:val="16"/>
        </w:rPr>
        <w:t xml:space="preserve"> (2001)</w:t>
      </w:r>
      <w:bookmarkEnd w:id="220"/>
      <w:r w:rsidRPr="001167CB">
        <w:rPr>
          <w:rFonts w:asciiTheme="majorHAnsi" w:hAnsiTheme="majorHAnsi" w:cstheme="majorHAnsi"/>
          <w:color w:val="808080" w:themeColor="background1" w:themeShade="80"/>
          <w:sz w:val="16"/>
          <w:szCs w:val="16"/>
        </w:rPr>
        <w:t xml:space="preserve">”]; IACHR, Access to Justice for Women Victims of Violence in the Americas, paras 26-58; </w:t>
      </w:r>
      <w:r w:rsidRPr="001167CB">
        <w:rPr>
          <w:rFonts w:asciiTheme="majorHAnsi" w:hAnsiTheme="majorHAnsi" w:cstheme="majorHAnsi"/>
          <w:i/>
          <w:color w:val="808080" w:themeColor="background1" w:themeShade="80"/>
          <w:sz w:val="16"/>
          <w:szCs w:val="16"/>
        </w:rPr>
        <w:t>See also generally</w:t>
      </w:r>
      <w:r w:rsidRPr="001167CB">
        <w:rPr>
          <w:rFonts w:asciiTheme="majorHAnsi" w:hAnsiTheme="majorHAnsi" w:cstheme="majorHAnsi"/>
          <w:color w:val="808080" w:themeColor="background1" w:themeShade="80"/>
          <w:sz w:val="16"/>
          <w:szCs w:val="16"/>
        </w:rPr>
        <w:t xml:space="preserve"> I/A Ct. H.R., </w:t>
      </w:r>
      <w:r w:rsidRPr="001167CB">
        <w:rPr>
          <w:rFonts w:asciiTheme="majorHAnsi" w:hAnsiTheme="majorHAnsi" w:cstheme="majorHAnsi"/>
          <w:i/>
          <w:color w:val="808080" w:themeColor="background1" w:themeShade="80"/>
          <w:sz w:val="16"/>
          <w:szCs w:val="16"/>
        </w:rPr>
        <w:t>Cotton Field</w:t>
      </w:r>
      <w:r w:rsidRPr="001167CB">
        <w:rPr>
          <w:rFonts w:asciiTheme="majorHAnsi" w:hAnsiTheme="majorHAnsi" w:cstheme="majorHAnsi"/>
          <w:color w:val="808080" w:themeColor="background1" w:themeShade="80"/>
          <w:sz w:val="16"/>
          <w:szCs w:val="16"/>
        </w:rPr>
        <w:t>, Series C No. 205 (2009).</w:t>
      </w:r>
    </w:p>
  </w:footnote>
  <w:footnote w:id="558">
    <w:p w14:paraId="1CE899C8"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i/>
          <w:color w:val="808080" w:themeColor="background1" w:themeShade="80"/>
          <w:sz w:val="16"/>
          <w:szCs w:val="16"/>
        </w:rPr>
        <w:t>See, e.g.,</w:t>
      </w:r>
      <w:r w:rsidRPr="001167CB">
        <w:rPr>
          <w:rFonts w:asciiTheme="majorHAnsi" w:hAnsiTheme="majorHAnsi" w:cstheme="majorHAnsi"/>
          <w:color w:val="808080" w:themeColor="background1" w:themeShade="80"/>
          <w:sz w:val="16"/>
          <w:szCs w:val="16"/>
        </w:rPr>
        <w:t xml:space="preserve"> IACHR, Report No. 50/16, </w:t>
      </w:r>
      <w:hyperlink r:id="rId622" w:history="1">
        <w:r w:rsidRPr="001167CB">
          <w:rPr>
            <w:rStyle w:val="Hyperlink"/>
            <w:rFonts w:asciiTheme="majorHAnsi" w:hAnsiTheme="majorHAnsi" w:cstheme="majorHAnsi"/>
            <w:i/>
            <w:color w:val="808080" w:themeColor="background1" w:themeShade="80"/>
            <w:sz w:val="16"/>
            <w:szCs w:val="16"/>
          </w:rPr>
          <w:t>Undocumented Workers</w:t>
        </w:r>
      </w:hyperlink>
      <w:r w:rsidRPr="001167CB">
        <w:rPr>
          <w:rFonts w:asciiTheme="majorHAnsi" w:hAnsiTheme="majorHAnsi" w:cstheme="majorHAnsi"/>
          <w:color w:val="808080" w:themeColor="background1" w:themeShade="80"/>
          <w:sz w:val="16"/>
          <w:szCs w:val="16"/>
        </w:rPr>
        <w:t xml:space="preserve"> (2016); Report No. 80/11, </w:t>
      </w:r>
      <w:hyperlink r:id="rId623" w:history="1">
        <w:r w:rsidRPr="001167CB">
          <w:rPr>
            <w:rStyle w:val="Hyperlink"/>
            <w:rFonts w:asciiTheme="majorHAnsi" w:hAnsiTheme="majorHAnsi" w:cstheme="majorHAnsi"/>
            <w:i/>
            <w:color w:val="808080" w:themeColor="background1" w:themeShade="80"/>
            <w:sz w:val="16"/>
            <w:szCs w:val="16"/>
          </w:rPr>
          <w:t xml:space="preserve">Jessica </w:t>
        </w:r>
        <w:proofErr w:type="spellStart"/>
        <w:r w:rsidRPr="001167CB">
          <w:rPr>
            <w:rStyle w:val="Hyperlink"/>
            <w:rFonts w:asciiTheme="majorHAnsi" w:hAnsiTheme="majorHAnsi" w:cstheme="majorHAnsi"/>
            <w:i/>
            <w:color w:val="808080" w:themeColor="background1" w:themeShade="80"/>
            <w:sz w:val="16"/>
            <w:szCs w:val="16"/>
          </w:rPr>
          <w:t>Lenahan</w:t>
        </w:r>
        <w:proofErr w:type="spellEnd"/>
      </w:hyperlink>
      <w:r w:rsidRPr="001167CB">
        <w:rPr>
          <w:rFonts w:asciiTheme="majorHAnsi" w:hAnsiTheme="majorHAnsi" w:cstheme="majorHAnsi"/>
          <w:color w:val="808080" w:themeColor="background1" w:themeShade="80"/>
          <w:sz w:val="16"/>
          <w:szCs w:val="16"/>
        </w:rPr>
        <w:t xml:space="preserve"> (2011), para. 111); </w:t>
      </w:r>
      <w:hyperlink r:id="rId624" w:history="1">
        <w:r w:rsidRPr="001167CB">
          <w:rPr>
            <w:rStyle w:val="Hyperlink"/>
            <w:rFonts w:asciiTheme="majorHAnsi" w:hAnsiTheme="majorHAnsi" w:cstheme="majorHAnsi"/>
            <w:color w:val="808080" w:themeColor="background1" w:themeShade="80"/>
            <w:sz w:val="16"/>
            <w:szCs w:val="16"/>
          </w:rPr>
          <w:t>Refugees and Migrants in the United States: Families and Unaccompanied Children</w:t>
        </w:r>
      </w:hyperlink>
      <w:r w:rsidRPr="001167CB">
        <w:rPr>
          <w:rFonts w:asciiTheme="majorHAnsi" w:hAnsiTheme="majorHAnsi" w:cstheme="majorHAnsi"/>
          <w:color w:val="808080" w:themeColor="background1" w:themeShade="80"/>
          <w:sz w:val="16"/>
          <w:szCs w:val="16"/>
        </w:rPr>
        <w:t>, OAS/</w:t>
      </w:r>
      <w:proofErr w:type="spellStart"/>
      <w:r w:rsidRPr="001167CB">
        <w:rPr>
          <w:rFonts w:asciiTheme="majorHAnsi" w:hAnsiTheme="majorHAnsi" w:cstheme="majorHAnsi"/>
          <w:color w:val="808080" w:themeColor="background1" w:themeShade="80"/>
          <w:sz w:val="16"/>
          <w:szCs w:val="16"/>
        </w:rPr>
        <w:t>Ser.L</w:t>
      </w:r>
      <w:proofErr w:type="spellEnd"/>
      <w:r w:rsidRPr="001167CB">
        <w:rPr>
          <w:rFonts w:asciiTheme="majorHAnsi" w:hAnsiTheme="majorHAnsi" w:cstheme="majorHAnsi"/>
          <w:color w:val="808080" w:themeColor="background1" w:themeShade="80"/>
          <w:sz w:val="16"/>
          <w:szCs w:val="16"/>
        </w:rPr>
        <w:t xml:space="preserve">/V/II.155, Doc. 16 (2015); </w:t>
      </w:r>
      <w:hyperlink r:id="rId625" w:history="1">
        <w:r w:rsidRPr="001167CB">
          <w:rPr>
            <w:rStyle w:val="Hyperlink"/>
            <w:rFonts w:asciiTheme="majorHAnsi" w:hAnsiTheme="majorHAnsi" w:cstheme="majorHAnsi"/>
            <w:color w:val="808080" w:themeColor="background1" w:themeShade="80"/>
            <w:sz w:val="16"/>
            <w:szCs w:val="16"/>
          </w:rPr>
          <w:t>Report on Immigration in the United States: Detention and Due Process</w:t>
        </w:r>
      </w:hyperlink>
      <w:r w:rsidRPr="001167CB">
        <w:rPr>
          <w:rFonts w:asciiTheme="majorHAnsi" w:hAnsiTheme="majorHAnsi" w:cstheme="majorHAnsi"/>
          <w:color w:val="808080" w:themeColor="background1" w:themeShade="80"/>
          <w:sz w:val="16"/>
          <w:szCs w:val="16"/>
        </w:rPr>
        <w:t>, OEA/</w:t>
      </w:r>
      <w:proofErr w:type="spellStart"/>
      <w:r w:rsidRPr="001167CB">
        <w:rPr>
          <w:rFonts w:asciiTheme="majorHAnsi" w:hAnsiTheme="majorHAnsi" w:cstheme="majorHAnsi"/>
          <w:color w:val="808080" w:themeColor="background1" w:themeShade="80"/>
          <w:sz w:val="16"/>
          <w:szCs w:val="16"/>
        </w:rPr>
        <w:t>Ser.L</w:t>
      </w:r>
      <w:proofErr w:type="spellEnd"/>
      <w:r w:rsidRPr="001167CB">
        <w:rPr>
          <w:rFonts w:asciiTheme="majorHAnsi" w:hAnsiTheme="majorHAnsi" w:cstheme="majorHAnsi"/>
          <w:color w:val="808080" w:themeColor="background1" w:themeShade="80"/>
          <w:sz w:val="16"/>
          <w:szCs w:val="16"/>
        </w:rPr>
        <w:t>/V/II., Doc. 78/10 (2010).</w:t>
      </w:r>
    </w:p>
  </w:footnote>
  <w:footnote w:id="559">
    <w:p w14:paraId="22604209"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bCs/>
          <w:color w:val="808080" w:themeColor="background1" w:themeShade="80"/>
          <w:sz w:val="16"/>
          <w:szCs w:val="16"/>
        </w:rPr>
        <w:t xml:space="preserve">IACHR, </w:t>
      </w:r>
      <w:hyperlink r:id="rId626" w:history="1">
        <w:r w:rsidRPr="001167CB">
          <w:rPr>
            <w:rStyle w:val="Hyperlink"/>
            <w:rFonts w:asciiTheme="majorHAnsi" w:hAnsiTheme="majorHAnsi" w:cstheme="majorHAnsi"/>
            <w:bCs/>
            <w:color w:val="808080" w:themeColor="background1" w:themeShade="80"/>
            <w:sz w:val="16"/>
            <w:szCs w:val="16"/>
          </w:rPr>
          <w:t>Eric Garner and Michael Brown Press Release</w:t>
        </w:r>
      </w:hyperlink>
      <w:r w:rsidRPr="001167CB">
        <w:rPr>
          <w:rFonts w:asciiTheme="majorHAnsi" w:hAnsiTheme="majorHAnsi" w:cstheme="majorHAnsi"/>
          <w:bCs/>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 xml:space="preserve">Aug. </w:t>
      </w:r>
      <w:r w:rsidRPr="001167CB">
        <w:rPr>
          <w:rFonts w:asciiTheme="majorHAnsi" w:hAnsiTheme="majorHAnsi" w:cstheme="majorHAnsi"/>
          <w:bCs/>
          <w:color w:val="808080" w:themeColor="background1" w:themeShade="80"/>
          <w:sz w:val="16"/>
          <w:szCs w:val="16"/>
        </w:rPr>
        <w:t xml:space="preserve">22, 2014; </w:t>
      </w:r>
      <w:hyperlink r:id="rId627" w:history="1">
        <w:r w:rsidRPr="001167CB">
          <w:rPr>
            <w:rStyle w:val="Hyperlink"/>
            <w:rFonts w:asciiTheme="majorHAnsi" w:hAnsiTheme="majorHAnsi" w:cstheme="majorHAnsi"/>
            <w:bCs/>
            <w:color w:val="808080" w:themeColor="background1" w:themeShade="80"/>
            <w:sz w:val="16"/>
            <w:szCs w:val="16"/>
          </w:rPr>
          <w:t>Walter Scott Press Release</w:t>
        </w:r>
      </w:hyperlink>
      <w:r w:rsidRPr="001167CB">
        <w:rPr>
          <w:rFonts w:asciiTheme="majorHAnsi" w:hAnsiTheme="majorHAnsi" w:cstheme="majorHAnsi"/>
          <w:bCs/>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 xml:space="preserve">Apr. </w:t>
      </w:r>
      <w:r w:rsidRPr="001167CB">
        <w:rPr>
          <w:rFonts w:asciiTheme="majorHAnsi" w:hAnsiTheme="majorHAnsi" w:cstheme="majorHAnsi"/>
          <w:bCs/>
          <w:color w:val="808080" w:themeColor="background1" w:themeShade="80"/>
          <w:sz w:val="16"/>
          <w:szCs w:val="16"/>
        </w:rPr>
        <w:t xml:space="preserve">17, 2015; </w:t>
      </w:r>
      <w:hyperlink r:id="rId628" w:history="1">
        <w:r w:rsidRPr="001167CB">
          <w:rPr>
            <w:rStyle w:val="Hyperlink"/>
            <w:rFonts w:asciiTheme="majorHAnsi" w:hAnsiTheme="majorHAnsi" w:cstheme="majorHAnsi"/>
            <w:bCs/>
            <w:color w:val="808080" w:themeColor="background1" w:themeShade="80"/>
            <w:sz w:val="16"/>
            <w:szCs w:val="16"/>
          </w:rPr>
          <w:t>Investigation of Police Killings Press Release</w:t>
        </w:r>
      </w:hyperlink>
      <w:r w:rsidRPr="001167CB">
        <w:rPr>
          <w:rFonts w:asciiTheme="majorHAnsi" w:hAnsiTheme="majorHAnsi" w:cstheme="majorHAnsi"/>
          <w:bCs/>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 xml:space="preserve">Aug. </w:t>
      </w:r>
      <w:r w:rsidRPr="001167CB">
        <w:rPr>
          <w:rFonts w:asciiTheme="majorHAnsi" w:hAnsiTheme="majorHAnsi" w:cstheme="majorHAnsi"/>
          <w:bCs/>
          <w:color w:val="808080" w:themeColor="background1" w:themeShade="80"/>
          <w:sz w:val="16"/>
          <w:szCs w:val="16"/>
        </w:rPr>
        <w:t xml:space="preserve">23, 2016; </w:t>
      </w:r>
      <w:hyperlink r:id="rId629" w:history="1">
        <w:r w:rsidRPr="001167CB">
          <w:rPr>
            <w:rStyle w:val="Hyperlink"/>
            <w:rFonts w:asciiTheme="majorHAnsi" w:hAnsiTheme="majorHAnsi" w:cstheme="majorHAnsi"/>
            <w:bCs/>
            <w:color w:val="808080" w:themeColor="background1" w:themeShade="80"/>
            <w:sz w:val="16"/>
            <w:szCs w:val="16"/>
          </w:rPr>
          <w:t>Charlottesville Press Release</w:t>
        </w:r>
      </w:hyperlink>
      <w:r w:rsidRPr="001167CB">
        <w:rPr>
          <w:rFonts w:asciiTheme="majorHAnsi" w:hAnsiTheme="majorHAnsi" w:cstheme="majorHAnsi"/>
          <w:bCs/>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 xml:space="preserve">Aug. </w:t>
      </w:r>
      <w:r w:rsidRPr="001167CB">
        <w:rPr>
          <w:rFonts w:asciiTheme="majorHAnsi" w:hAnsiTheme="majorHAnsi" w:cstheme="majorHAnsi"/>
          <w:bCs/>
          <w:color w:val="808080" w:themeColor="background1" w:themeShade="80"/>
          <w:sz w:val="16"/>
          <w:szCs w:val="16"/>
        </w:rPr>
        <w:t>18, 2017.</w:t>
      </w:r>
    </w:p>
  </w:footnote>
  <w:footnote w:id="560">
    <w:p w14:paraId="61D20578"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See, e.g., IACHR, Report No. 80/11, </w:t>
      </w:r>
      <w:hyperlink r:id="rId630" w:history="1">
        <w:r w:rsidRPr="001167CB">
          <w:rPr>
            <w:rStyle w:val="Hyperlink"/>
            <w:rFonts w:asciiTheme="majorHAnsi" w:hAnsiTheme="majorHAnsi" w:cstheme="majorHAnsi"/>
            <w:i/>
            <w:color w:val="808080" w:themeColor="background1" w:themeShade="80"/>
            <w:sz w:val="16"/>
            <w:szCs w:val="16"/>
          </w:rPr>
          <w:t xml:space="preserve">Jessica </w:t>
        </w:r>
        <w:proofErr w:type="spellStart"/>
        <w:r w:rsidRPr="001167CB">
          <w:rPr>
            <w:rStyle w:val="Hyperlink"/>
            <w:rFonts w:asciiTheme="majorHAnsi" w:hAnsiTheme="majorHAnsi" w:cstheme="majorHAnsi"/>
            <w:i/>
            <w:color w:val="808080" w:themeColor="background1" w:themeShade="80"/>
            <w:sz w:val="16"/>
            <w:szCs w:val="16"/>
          </w:rPr>
          <w:t>Lenahan</w:t>
        </w:r>
        <w:proofErr w:type="spellEnd"/>
      </w:hyperlink>
      <w:r w:rsidRPr="001167CB">
        <w:rPr>
          <w:rFonts w:asciiTheme="majorHAnsi" w:hAnsiTheme="majorHAnsi" w:cstheme="majorHAnsi"/>
          <w:color w:val="808080" w:themeColor="background1" w:themeShade="80"/>
          <w:sz w:val="16"/>
          <w:szCs w:val="16"/>
        </w:rPr>
        <w:t xml:space="preserve"> (2011); Report No. 28/07, </w:t>
      </w:r>
      <w:r w:rsidRPr="001167CB">
        <w:rPr>
          <w:rFonts w:asciiTheme="majorHAnsi" w:hAnsiTheme="majorHAnsi" w:cstheme="majorHAnsi"/>
          <w:i/>
          <w:color w:val="808080" w:themeColor="background1" w:themeShade="80"/>
          <w:sz w:val="16"/>
          <w:szCs w:val="16"/>
        </w:rPr>
        <w:t>Gonzalez et al.</w:t>
      </w:r>
      <w:r w:rsidRPr="001167CB">
        <w:rPr>
          <w:rFonts w:asciiTheme="majorHAnsi" w:hAnsiTheme="majorHAnsi" w:cstheme="majorHAnsi"/>
          <w:color w:val="808080" w:themeColor="background1" w:themeShade="80"/>
          <w:sz w:val="16"/>
          <w:szCs w:val="16"/>
        </w:rPr>
        <w:t xml:space="preserve"> (2007); I/A Ct. H.R., </w:t>
      </w:r>
      <w:r w:rsidRPr="001167CB">
        <w:rPr>
          <w:rFonts w:asciiTheme="majorHAnsi" w:hAnsiTheme="majorHAnsi" w:cstheme="majorHAnsi"/>
          <w:i/>
          <w:color w:val="808080" w:themeColor="background1" w:themeShade="80"/>
          <w:sz w:val="16"/>
          <w:szCs w:val="16"/>
        </w:rPr>
        <w:t>Cotton Field</w:t>
      </w:r>
      <w:r w:rsidRPr="001167CB">
        <w:rPr>
          <w:rFonts w:asciiTheme="majorHAnsi" w:hAnsiTheme="majorHAnsi" w:cstheme="majorHAnsi"/>
          <w:color w:val="808080" w:themeColor="background1" w:themeShade="80"/>
          <w:sz w:val="16"/>
          <w:szCs w:val="16"/>
        </w:rPr>
        <w:t xml:space="preserve">, Series C No. 205 (2009); IACHR, Report No. 54/01, </w:t>
      </w:r>
      <w:r w:rsidRPr="001167CB">
        <w:rPr>
          <w:rFonts w:asciiTheme="majorHAnsi" w:hAnsiTheme="majorHAnsi" w:cstheme="majorHAnsi"/>
          <w:i/>
          <w:color w:val="808080" w:themeColor="background1" w:themeShade="80"/>
          <w:sz w:val="16"/>
          <w:szCs w:val="16"/>
        </w:rPr>
        <w:t>Maria da Penha</w:t>
      </w:r>
      <w:r w:rsidRPr="001167CB">
        <w:rPr>
          <w:rFonts w:asciiTheme="majorHAnsi" w:hAnsiTheme="majorHAnsi" w:cstheme="majorHAnsi"/>
          <w:color w:val="808080" w:themeColor="background1" w:themeShade="80"/>
          <w:sz w:val="16"/>
          <w:szCs w:val="16"/>
        </w:rPr>
        <w:t xml:space="preserve"> (2001).</w:t>
      </w:r>
    </w:p>
  </w:footnote>
  <w:footnote w:id="561">
    <w:p w14:paraId="5128C142"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lang w:val="pt-BR"/>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lang w:val="pt-BR"/>
        </w:rPr>
        <w:t xml:space="preserve"> </w:t>
      </w:r>
      <w:r w:rsidRPr="001167CB">
        <w:rPr>
          <w:rFonts w:asciiTheme="majorHAnsi" w:hAnsiTheme="majorHAnsi" w:cstheme="majorHAnsi"/>
          <w:color w:val="808080" w:themeColor="background1" w:themeShade="80"/>
          <w:sz w:val="16"/>
          <w:szCs w:val="16"/>
          <w:lang w:val="pt-BR"/>
        </w:rPr>
        <w:tab/>
        <w:t>Id.</w:t>
      </w:r>
    </w:p>
  </w:footnote>
  <w:footnote w:id="562">
    <w:p w14:paraId="238AD3B3"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lang w:val="pt-BR"/>
        </w:rPr>
        <w:t xml:space="preserve"> </w:t>
      </w:r>
      <w:r w:rsidRPr="001167CB">
        <w:rPr>
          <w:rFonts w:asciiTheme="majorHAnsi" w:hAnsiTheme="majorHAnsi" w:cstheme="majorHAnsi"/>
          <w:color w:val="808080" w:themeColor="background1" w:themeShade="80"/>
          <w:sz w:val="16"/>
          <w:szCs w:val="16"/>
          <w:lang w:val="pt-BR"/>
        </w:rPr>
        <w:tab/>
        <w:t xml:space="preserve">IACHR, Report No. </w:t>
      </w:r>
      <w:r w:rsidRPr="001167CB">
        <w:rPr>
          <w:rFonts w:asciiTheme="majorHAnsi" w:hAnsiTheme="majorHAnsi" w:cstheme="majorHAnsi"/>
          <w:color w:val="808080" w:themeColor="background1" w:themeShade="80"/>
          <w:sz w:val="16"/>
          <w:szCs w:val="16"/>
          <w:lang w:val="pt-BR"/>
        </w:rPr>
        <w:t xml:space="preserve">80/11, </w:t>
      </w:r>
      <w:r>
        <w:rPr>
          <w:rStyle w:val="Hyperlink"/>
          <w:rFonts w:asciiTheme="majorHAnsi" w:hAnsiTheme="majorHAnsi" w:cstheme="majorHAnsi"/>
          <w:i/>
          <w:color w:val="808080" w:themeColor="background1" w:themeShade="80"/>
          <w:sz w:val="16"/>
          <w:szCs w:val="16"/>
          <w:lang w:val="pt-BR"/>
        </w:rPr>
        <w:fldChar w:fldCharType="begin"/>
      </w:r>
      <w:r>
        <w:rPr>
          <w:rStyle w:val="Hyperlink"/>
          <w:rFonts w:asciiTheme="majorHAnsi" w:hAnsiTheme="majorHAnsi" w:cstheme="majorHAnsi"/>
          <w:i/>
          <w:color w:val="808080" w:themeColor="background1" w:themeShade="80"/>
          <w:sz w:val="16"/>
          <w:szCs w:val="16"/>
          <w:lang w:val="pt-BR"/>
        </w:rPr>
        <w:instrText xml:space="preserve"> HYPERLINK "http://www.oas.org/en/iachr/decisions/2011/uspu12626en.doc" </w:instrText>
      </w:r>
      <w:r>
        <w:rPr>
          <w:rStyle w:val="Hyperlink"/>
          <w:rFonts w:asciiTheme="majorHAnsi" w:hAnsiTheme="majorHAnsi" w:cstheme="majorHAnsi"/>
          <w:i/>
          <w:color w:val="808080" w:themeColor="background1" w:themeShade="80"/>
          <w:sz w:val="16"/>
          <w:szCs w:val="16"/>
          <w:lang w:val="pt-BR"/>
        </w:rPr>
        <w:fldChar w:fldCharType="separate"/>
      </w:r>
      <w:r w:rsidRPr="001167CB">
        <w:rPr>
          <w:rStyle w:val="Hyperlink"/>
          <w:rFonts w:asciiTheme="majorHAnsi" w:hAnsiTheme="majorHAnsi" w:cstheme="majorHAnsi"/>
          <w:i/>
          <w:color w:val="808080" w:themeColor="background1" w:themeShade="80"/>
          <w:sz w:val="16"/>
          <w:szCs w:val="16"/>
          <w:lang w:val="pt-BR"/>
        </w:rPr>
        <w:t>Jessica Lenahan</w:t>
      </w:r>
      <w:r>
        <w:rPr>
          <w:rStyle w:val="Hyperlink"/>
          <w:rFonts w:asciiTheme="majorHAnsi" w:hAnsiTheme="majorHAnsi" w:cstheme="majorHAnsi"/>
          <w:i/>
          <w:color w:val="808080" w:themeColor="background1" w:themeShade="80"/>
          <w:sz w:val="16"/>
          <w:szCs w:val="16"/>
          <w:lang w:val="pt-BR"/>
        </w:rPr>
        <w:fldChar w:fldCharType="end"/>
      </w:r>
      <w:r w:rsidRPr="001167CB">
        <w:rPr>
          <w:rFonts w:asciiTheme="majorHAnsi" w:hAnsiTheme="majorHAnsi" w:cstheme="majorHAnsi"/>
          <w:color w:val="808080" w:themeColor="background1" w:themeShade="80"/>
          <w:sz w:val="16"/>
          <w:szCs w:val="16"/>
          <w:lang w:val="pt-BR"/>
        </w:rPr>
        <w:t xml:space="preserve"> (2011), para. 131 (citing Report No. 54/01, </w:t>
      </w:r>
      <w:r w:rsidRPr="001167CB">
        <w:rPr>
          <w:rFonts w:asciiTheme="majorHAnsi" w:hAnsiTheme="majorHAnsi" w:cstheme="majorHAnsi"/>
          <w:i/>
          <w:color w:val="808080" w:themeColor="background1" w:themeShade="80"/>
          <w:sz w:val="16"/>
          <w:szCs w:val="16"/>
          <w:lang w:val="pt-BR"/>
        </w:rPr>
        <w:t>Maria da Penha</w:t>
      </w:r>
      <w:r w:rsidRPr="001167CB">
        <w:rPr>
          <w:rFonts w:asciiTheme="majorHAnsi" w:hAnsiTheme="majorHAnsi" w:cstheme="majorHAnsi"/>
          <w:color w:val="808080" w:themeColor="background1" w:themeShade="80"/>
          <w:sz w:val="16"/>
          <w:szCs w:val="16"/>
          <w:lang w:val="pt-BR"/>
        </w:rPr>
        <w:t xml:space="preserve"> (2001), para. </w:t>
      </w:r>
      <w:r w:rsidRPr="001167CB">
        <w:rPr>
          <w:rFonts w:asciiTheme="majorHAnsi" w:hAnsiTheme="majorHAnsi" w:cstheme="majorHAnsi"/>
          <w:color w:val="808080" w:themeColor="background1" w:themeShade="80"/>
          <w:sz w:val="16"/>
          <w:szCs w:val="16"/>
        </w:rPr>
        <w:t>56).</w:t>
      </w:r>
    </w:p>
  </w:footnote>
  <w:footnote w:id="563">
    <w:p w14:paraId="1FE841E3"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Id. at para. 126 (citation omitted).</w:t>
      </w:r>
    </w:p>
  </w:footnote>
  <w:footnote w:id="564">
    <w:p w14:paraId="2C345C5C"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Id.</w:t>
      </w:r>
    </w:p>
  </w:footnote>
  <w:footnote w:id="565">
    <w:p w14:paraId="6FC8066B" w14:textId="77777777" w:rsidR="005C2394" w:rsidRPr="001167CB" w:rsidRDefault="005C2394" w:rsidP="002C64F8">
      <w:pPr>
        <w:pStyle w:val="NormalWeb"/>
        <w:spacing w:before="0" w:beforeAutospacing="0" w:after="40" w:afterAutospacing="0"/>
        <w:ind w:left="547" w:hanging="547"/>
        <w:jc w:val="both"/>
        <w:rPr>
          <w:rFonts w:asciiTheme="majorHAnsi" w:hAnsiTheme="majorHAnsi" w:cstheme="majorHAnsi"/>
          <w:color w:val="808080" w:themeColor="background1" w:themeShade="80"/>
          <w:sz w:val="16"/>
          <w:szCs w:val="16"/>
          <w:lang w:val="en-US"/>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lang w:val="en-US"/>
        </w:rPr>
        <w:t xml:space="preserve"> </w:t>
      </w:r>
      <w:r w:rsidRPr="001167CB">
        <w:rPr>
          <w:rFonts w:asciiTheme="majorHAnsi" w:hAnsiTheme="majorHAnsi" w:cstheme="majorHAnsi"/>
          <w:color w:val="808080" w:themeColor="background1" w:themeShade="80"/>
          <w:sz w:val="16"/>
          <w:szCs w:val="16"/>
          <w:lang w:val="en-US"/>
        </w:rPr>
        <w:tab/>
        <w:t xml:space="preserve">Id. at para. 121 (citing Report No. 54/01, </w:t>
      </w:r>
      <w:r w:rsidRPr="001167CB">
        <w:rPr>
          <w:rFonts w:asciiTheme="majorHAnsi" w:hAnsiTheme="majorHAnsi" w:cstheme="majorHAnsi"/>
          <w:i/>
          <w:color w:val="808080" w:themeColor="background1" w:themeShade="80"/>
          <w:sz w:val="16"/>
          <w:szCs w:val="16"/>
          <w:lang w:val="en-US"/>
        </w:rPr>
        <w:t>Maria da Penha</w:t>
      </w:r>
      <w:r w:rsidRPr="001167CB">
        <w:rPr>
          <w:rFonts w:asciiTheme="majorHAnsi" w:hAnsiTheme="majorHAnsi" w:cstheme="majorHAnsi"/>
          <w:color w:val="808080" w:themeColor="background1" w:themeShade="80"/>
          <w:sz w:val="16"/>
          <w:szCs w:val="16"/>
          <w:lang w:val="en-US"/>
        </w:rPr>
        <w:t xml:space="preserve"> (2001), para. 55).</w:t>
      </w:r>
    </w:p>
  </w:footnote>
  <w:footnote w:id="566">
    <w:p w14:paraId="67AB1E45"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I</w:t>
      </w:r>
      <w:r w:rsidRPr="001167CB">
        <w:rPr>
          <w:rFonts w:asciiTheme="majorHAnsi" w:hAnsiTheme="majorHAnsi" w:cstheme="majorHAnsi"/>
          <w:bCs/>
          <w:color w:val="808080" w:themeColor="background1" w:themeShade="80"/>
          <w:sz w:val="16"/>
          <w:szCs w:val="16"/>
        </w:rPr>
        <w:t xml:space="preserve">ACHR, </w:t>
      </w:r>
      <w:hyperlink r:id="rId631" w:history="1">
        <w:r w:rsidRPr="001167CB">
          <w:rPr>
            <w:rStyle w:val="Hyperlink"/>
            <w:rFonts w:asciiTheme="majorHAnsi" w:hAnsiTheme="majorHAnsi" w:cstheme="majorHAnsi"/>
            <w:bCs/>
            <w:color w:val="808080" w:themeColor="background1" w:themeShade="80"/>
            <w:sz w:val="16"/>
            <w:szCs w:val="16"/>
          </w:rPr>
          <w:t>On-Site Visit Press Release</w:t>
        </w:r>
      </w:hyperlink>
      <w:r w:rsidRPr="001167CB">
        <w:rPr>
          <w:rFonts w:asciiTheme="majorHAnsi" w:hAnsiTheme="majorHAnsi" w:cstheme="majorHAnsi"/>
          <w:bCs/>
          <w:color w:val="808080" w:themeColor="background1" w:themeShade="80"/>
          <w:sz w:val="16"/>
          <w:szCs w:val="16"/>
        </w:rPr>
        <w:t>, Oct. 16, 2015.</w:t>
      </w:r>
    </w:p>
  </w:footnote>
  <w:footnote w:id="567">
    <w:p w14:paraId="2AB53062"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Id. </w:t>
      </w:r>
    </w:p>
  </w:footnote>
  <w:footnote w:id="568">
    <w:p w14:paraId="040DE7FC" w14:textId="409B27CC"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i/>
          <w:color w:val="808080" w:themeColor="background1" w:themeShade="80"/>
          <w:sz w:val="16"/>
          <w:szCs w:val="16"/>
        </w:rPr>
        <w:t>See also infra</w:t>
      </w:r>
      <w:r w:rsidRPr="001167CB">
        <w:rPr>
          <w:rFonts w:asciiTheme="majorHAnsi" w:hAnsiTheme="majorHAnsi" w:cstheme="majorHAnsi"/>
          <w:color w:val="808080" w:themeColor="background1" w:themeShade="80"/>
          <w:sz w:val="16"/>
          <w:szCs w:val="16"/>
        </w:rPr>
        <w:t xml:space="preserve"> para. </w:t>
      </w:r>
      <w:r w:rsidRPr="001167CB">
        <w:rPr>
          <w:rFonts w:asciiTheme="majorHAnsi" w:hAnsiTheme="majorHAnsi" w:cstheme="majorHAnsi"/>
          <w:color w:val="808080" w:themeColor="background1" w:themeShade="80"/>
          <w:sz w:val="16"/>
          <w:szCs w:val="16"/>
          <w:highlight w:val="yellow"/>
        </w:rPr>
        <w:fldChar w:fldCharType="begin"/>
      </w:r>
      <w:r w:rsidRPr="001167CB">
        <w:rPr>
          <w:rFonts w:asciiTheme="majorHAnsi" w:hAnsiTheme="majorHAnsi" w:cstheme="majorHAnsi"/>
          <w:color w:val="808080" w:themeColor="background1" w:themeShade="80"/>
          <w:sz w:val="16"/>
          <w:szCs w:val="16"/>
        </w:rPr>
        <w:instrText xml:space="preserve"> REF _Ref507677509 \r \h </w:instrText>
      </w:r>
      <w:r w:rsidRPr="001167CB">
        <w:rPr>
          <w:rFonts w:asciiTheme="majorHAnsi" w:hAnsiTheme="majorHAnsi" w:cstheme="majorHAnsi"/>
          <w:color w:val="808080" w:themeColor="background1" w:themeShade="80"/>
          <w:sz w:val="16"/>
          <w:szCs w:val="16"/>
          <w:highlight w:val="yellow"/>
        </w:rPr>
        <w:instrText xml:space="preserve"> \* MERGEFORMAT </w:instrText>
      </w:r>
      <w:r w:rsidRPr="001167CB">
        <w:rPr>
          <w:rFonts w:asciiTheme="majorHAnsi" w:hAnsiTheme="majorHAnsi" w:cstheme="majorHAnsi"/>
          <w:color w:val="808080" w:themeColor="background1" w:themeShade="80"/>
          <w:sz w:val="16"/>
          <w:szCs w:val="16"/>
          <w:highlight w:val="yellow"/>
        </w:rPr>
      </w:r>
      <w:r w:rsidRPr="001167CB">
        <w:rPr>
          <w:rFonts w:asciiTheme="majorHAnsi" w:hAnsiTheme="majorHAnsi" w:cstheme="majorHAnsi"/>
          <w:color w:val="808080" w:themeColor="background1" w:themeShade="80"/>
          <w:sz w:val="16"/>
          <w:szCs w:val="16"/>
          <w:highlight w:val="yellow"/>
        </w:rPr>
        <w:fldChar w:fldCharType="separate"/>
      </w:r>
      <w:r w:rsidRPr="001167CB">
        <w:rPr>
          <w:rFonts w:asciiTheme="majorHAnsi" w:hAnsiTheme="majorHAnsi" w:cstheme="majorHAnsi"/>
          <w:color w:val="808080" w:themeColor="background1" w:themeShade="80"/>
          <w:sz w:val="16"/>
          <w:szCs w:val="16"/>
        </w:rPr>
        <w:t>294</w:t>
      </w:r>
      <w:r w:rsidRPr="001167CB">
        <w:rPr>
          <w:rFonts w:asciiTheme="majorHAnsi" w:hAnsiTheme="majorHAnsi" w:cstheme="majorHAnsi"/>
          <w:color w:val="808080" w:themeColor="background1" w:themeShade="80"/>
          <w:sz w:val="16"/>
          <w:szCs w:val="16"/>
          <w:highlight w:val="yellow"/>
        </w:rPr>
        <w:fldChar w:fldCharType="end"/>
      </w:r>
      <w:r w:rsidRPr="001167CB">
        <w:rPr>
          <w:rFonts w:asciiTheme="majorHAnsi" w:hAnsiTheme="majorHAnsi" w:cstheme="majorHAnsi"/>
          <w:color w:val="808080" w:themeColor="background1" w:themeShade="80"/>
          <w:sz w:val="16"/>
          <w:szCs w:val="16"/>
        </w:rPr>
        <w:t>.</w:t>
      </w:r>
    </w:p>
  </w:footnote>
  <w:footnote w:id="569">
    <w:p w14:paraId="248973DC"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eastAsia="Times New Roman" w:hAnsiTheme="majorHAnsi" w:cstheme="majorHAnsi"/>
          <w:bCs/>
          <w:color w:val="808080" w:themeColor="background1" w:themeShade="80"/>
          <w:sz w:val="16"/>
          <w:szCs w:val="16"/>
          <w:lang w:eastAsia="es-ES"/>
        </w:rPr>
        <w:t xml:space="preserve">IACHR, </w:t>
      </w:r>
      <w:hyperlink r:id="rId632" w:history="1">
        <w:r w:rsidRPr="001167CB">
          <w:rPr>
            <w:rStyle w:val="Hyperlink"/>
            <w:rFonts w:asciiTheme="majorHAnsi" w:eastAsia="Times New Roman" w:hAnsiTheme="majorHAnsi" w:cstheme="majorHAnsi"/>
            <w:bCs/>
            <w:color w:val="808080" w:themeColor="background1" w:themeShade="80"/>
            <w:sz w:val="16"/>
            <w:szCs w:val="16"/>
            <w:lang w:eastAsia="es-ES"/>
          </w:rPr>
          <w:t>People of African Descent in the Americas</w:t>
        </w:r>
      </w:hyperlink>
      <w:r w:rsidRPr="001167CB">
        <w:rPr>
          <w:rFonts w:asciiTheme="majorHAnsi" w:eastAsia="Times New Roman" w:hAnsiTheme="majorHAnsi" w:cstheme="majorHAnsi"/>
          <w:bCs/>
          <w:color w:val="808080" w:themeColor="background1" w:themeShade="80"/>
          <w:sz w:val="16"/>
          <w:szCs w:val="16"/>
          <w:lang w:eastAsia="es-ES"/>
        </w:rPr>
        <w:t xml:space="preserve"> (2011)</w:t>
      </w:r>
      <w:r w:rsidRPr="001167CB">
        <w:rPr>
          <w:rFonts w:asciiTheme="majorHAnsi" w:hAnsiTheme="majorHAnsi" w:cstheme="majorHAnsi"/>
          <w:color w:val="808080" w:themeColor="background1" w:themeShade="80"/>
          <w:sz w:val="16"/>
          <w:szCs w:val="16"/>
        </w:rPr>
        <w:t>, para. 162.</w:t>
      </w:r>
    </w:p>
  </w:footnote>
  <w:footnote w:id="570">
    <w:p w14:paraId="482E7312" w14:textId="0CADC545" w:rsidR="005C2394" w:rsidRPr="001167CB" w:rsidRDefault="005C2394" w:rsidP="002C64F8">
      <w:pPr>
        <w:pStyle w:val="FootnoteText"/>
        <w:spacing w:after="40"/>
        <w:ind w:left="547" w:hanging="547"/>
        <w:jc w:val="both"/>
        <w:rPr>
          <w:rFonts w:asciiTheme="majorHAnsi" w:hAnsiTheme="majorHAnsi" w:cstheme="majorHAnsi"/>
          <w: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5C2394">
        <w:rPr>
          <w:rFonts w:asciiTheme="majorHAnsi" w:hAnsiTheme="majorHAnsi" w:cstheme="majorHAnsi"/>
          <w:color w:val="808080" w:themeColor="background1" w:themeShade="80"/>
          <w:sz w:val="16"/>
          <w:szCs w:val="16"/>
        </w:rPr>
        <w:t xml:space="preserve"> </w:t>
      </w:r>
      <w:r w:rsidRPr="005C2394">
        <w:rPr>
          <w:rFonts w:asciiTheme="majorHAnsi" w:hAnsiTheme="majorHAnsi" w:cstheme="majorHAnsi"/>
          <w:color w:val="808080" w:themeColor="background1" w:themeShade="80"/>
          <w:sz w:val="16"/>
          <w:szCs w:val="16"/>
        </w:rPr>
        <w:tab/>
        <w:t xml:space="preserve">IACHR, Report No. 80/11, </w:t>
      </w:r>
      <w:hyperlink r:id="rId633" w:history="1">
        <w:r w:rsidRPr="005C2394">
          <w:rPr>
            <w:rStyle w:val="Hyperlink"/>
            <w:rFonts w:asciiTheme="majorHAnsi" w:hAnsiTheme="majorHAnsi" w:cstheme="majorHAnsi"/>
            <w:i/>
            <w:color w:val="808080" w:themeColor="background1" w:themeShade="80"/>
            <w:sz w:val="16"/>
            <w:szCs w:val="16"/>
          </w:rPr>
          <w:t xml:space="preserve">Jessica </w:t>
        </w:r>
        <w:proofErr w:type="spellStart"/>
        <w:r w:rsidRPr="005C2394">
          <w:rPr>
            <w:rStyle w:val="Hyperlink"/>
            <w:rFonts w:asciiTheme="majorHAnsi" w:hAnsiTheme="majorHAnsi" w:cstheme="majorHAnsi"/>
            <w:i/>
            <w:color w:val="808080" w:themeColor="background1" w:themeShade="80"/>
            <w:sz w:val="16"/>
            <w:szCs w:val="16"/>
          </w:rPr>
          <w:t>Lenahan</w:t>
        </w:r>
        <w:proofErr w:type="spellEnd"/>
      </w:hyperlink>
      <w:r w:rsidRPr="005C2394">
        <w:rPr>
          <w:rFonts w:asciiTheme="majorHAnsi" w:hAnsiTheme="majorHAnsi" w:cstheme="majorHAnsi"/>
          <w:color w:val="808080" w:themeColor="background1" w:themeShade="80"/>
          <w:sz w:val="16"/>
          <w:szCs w:val="16"/>
        </w:rPr>
        <w:t xml:space="preserve"> (2011), para. </w:t>
      </w:r>
      <w:r w:rsidRPr="001167CB">
        <w:rPr>
          <w:rFonts w:asciiTheme="majorHAnsi" w:hAnsiTheme="majorHAnsi" w:cstheme="majorHAnsi"/>
          <w:color w:val="808080" w:themeColor="background1" w:themeShade="80"/>
          <w:sz w:val="16"/>
          <w:szCs w:val="16"/>
        </w:rPr>
        <w:t xml:space="preserve">127 (citation omitted); </w:t>
      </w:r>
      <w:r w:rsidRPr="001167CB">
        <w:rPr>
          <w:rFonts w:asciiTheme="majorHAnsi" w:hAnsiTheme="majorHAnsi" w:cstheme="majorHAnsi"/>
          <w:i/>
          <w:color w:val="808080" w:themeColor="background1" w:themeShade="80"/>
          <w:sz w:val="16"/>
          <w:szCs w:val="16"/>
        </w:rPr>
        <w:t>see also infra</w:t>
      </w:r>
      <w:r w:rsidRPr="001167CB">
        <w:rPr>
          <w:rFonts w:asciiTheme="majorHAnsi" w:hAnsiTheme="majorHAnsi" w:cstheme="majorHAnsi"/>
          <w:color w:val="808080" w:themeColor="background1" w:themeShade="80"/>
          <w:sz w:val="16"/>
          <w:szCs w:val="16"/>
        </w:rPr>
        <w:t xml:space="preserve"> paras. </w:t>
      </w:r>
      <w:r w:rsidRPr="001167CB">
        <w:rPr>
          <w:rFonts w:asciiTheme="majorHAnsi" w:hAnsiTheme="majorHAnsi" w:cstheme="majorHAnsi"/>
          <w:color w:val="808080" w:themeColor="background1" w:themeShade="80"/>
          <w:sz w:val="16"/>
          <w:szCs w:val="16"/>
        </w:rPr>
        <w:fldChar w:fldCharType="begin"/>
      </w:r>
      <w:r w:rsidRPr="001167CB">
        <w:rPr>
          <w:rFonts w:asciiTheme="majorHAnsi" w:hAnsiTheme="majorHAnsi" w:cstheme="majorHAnsi"/>
          <w:color w:val="808080" w:themeColor="background1" w:themeShade="80"/>
          <w:sz w:val="16"/>
          <w:szCs w:val="16"/>
        </w:rPr>
        <w:instrText xml:space="preserve"> REF _Ref507677064 \r \h  \* MERGEFORMAT </w:instrText>
      </w:r>
      <w:r w:rsidRPr="001167CB">
        <w:rPr>
          <w:rFonts w:asciiTheme="majorHAnsi" w:hAnsiTheme="majorHAnsi" w:cstheme="majorHAnsi"/>
          <w:color w:val="808080" w:themeColor="background1" w:themeShade="80"/>
          <w:sz w:val="16"/>
          <w:szCs w:val="16"/>
        </w:rPr>
      </w:r>
      <w:r w:rsidRPr="001167CB">
        <w:rPr>
          <w:rFonts w:asciiTheme="majorHAnsi" w:hAnsiTheme="majorHAnsi" w:cstheme="majorHAnsi"/>
          <w:color w:val="808080" w:themeColor="background1" w:themeShade="80"/>
          <w:sz w:val="16"/>
          <w:szCs w:val="16"/>
        </w:rPr>
        <w:fldChar w:fldCharType="separate"/>
      </w:r>
      <w:r w:rsidRPr="001167CB">
        <w:rPr>
          <w:rFonts w:asciiTheme="majorHAnsi" w:hAnsiTheme="majorHAnsi" w:cstheme="majorHAnsi"/>
          <w:color w:val="808080" w:themeColor="background1" w:themeShade="80"/>
          <w:sz w:val="16"/>
          <w:szCs w:val="16"/>
        </w:rPr>
        <w:t>279</w:t>
      </w:r>
      <w:r w:rsidRPr="001167CB">
        <w:rPr>
          <w:rFonts w:asciiTheme="majorHAnsi" w:hAnsiTheme="majorHAnsi" w:cstheme="majorHAnsi"/>
          <w:color w:val="808080" w:themeColor="background1" w:themeShade="80"/>
          <w:sz w:val="16"/>
          <w:szCs w:val="16"/>
        </w:rPr>
        <w:fldChar w:fldCharType="end"/>
      </w:r>
      <w:r w:rsidRPr="001167CB">
        <w:rPr>
          <w:rFonts w:asciiTheme="majorHAnsi" w:hAnsiTheme="majorHAnsi" w:cstheme="majorHAnsi"/>
          <w:color w:val="808080" w:themeColor="background1" w:themeShade="80"/>
          <w:sz w:val="16"/>
          <w:szCs w:val="16"/>
        </w:rPr>
        <w:t>-</w:t>
      </w:r>
      <w:r w:rsidRPr="001167CB">
        <w:rPr>
          <w:rFonts w:asciiTheme="majorHAnsi" w:hAnsiTheme="majorHAnsi" w:cstheme="majorHAnsi"/>
          <w:color w:val="808080" w:themeColor="background1" w:themeShade="80"/>
          <w:sz w:val="16"/>
          <w:szCs w:val="16"/>
        </w:rPr>
        <w:fldChar w:fldCharType="begin"/>
      </w:r>
      <w:r w:rsidRPr="001167CB">
        <w:rPr>
          <w:rFonts w:asciiTheme="majorHAnsi" w:hAnsiTheme="majorHAnsi" w:cstheme="majorHAnsi"/>
          <w:color w:val="808080" w:themeColor="background1" w:themeShade="80"/>
          <w:sz w:val="16"/>
          <w:szCs w:val="16"/>
        </w:rPr>
        <w:instrText xml:space="preserve"> REF _Ref507677071 \r \h  \* MERGEFORMAT </w:instrText>
      </w:r>
      <w:r w:rsidRPr="001167CB">
        <w:rPr>
          <w:rFonts w:asciiTheme="majorHAnsi" w:hAnsiTheme="majorHAnsi" w:cstheme="majorHAnsi"/>
          <w:color w:val="808080" w:themeColor="background1" w:themeShade="80"/>
          <w:sz w:val="16"/>
          <w:szCs w:val="16"/>
        </w:rPr>
      </w:r>
      <w:r w:rsidRPr="001167CB">
        <w:rPr>
          <w:rFonts w:asciiTheme="majorHAnsi" w:hAnsiTheme="majorHAnsi" w:cstheme="majorHAnsi"/>
          <w:color w:val="808080" w:themeColor="background1" w:themeShade="80"/>
          <w:sz w:val="16"/>
          <w:szCs w:val="16"/>
        </w:rPr>
        <w:fldChar w:fldCharType="separate"/>
      </w:r>
      <w:r w:rsidRPr="001167CB">
        <w:rPr>
          <w:rFonts w:asciiTheme="majorHAnsi" w:hAnsiTheme="majorHAnsi" w:cstheme="majorHAnsi"/>
          <w:color w:val="808080" w:themeColor="background1" w:themeShade="80"/>
          <w:sz w:val="16"/>
          <w:szCs w:val="16"/>
        </w:rPr>
        <w:t>288</w:t>
      </w:r>
      <w:r w:rsidRPr="001167CB">
        <w:rPr>
          <w:rFonts w:asciiTheme="majorHAnsi" w:hAnsiTheme="majorHAnsi" w:cstheme="majorHAnsi"/>
          <w:color w:val="808080" w:themeColor="background1" w:themeShade="80"/>
          <w:sz w:val="16"/>
          <w:szCs w:val="16"/>
        </w:rPr>
        <w:fldChar w:fldCharType="end"/>
      </w:r>
      <w:r w:rsidRPr="001167CB">
        <w:rPr>
          <w:rFonts w:asciiTheme="majorHAnsi" w:hAnsiTheme="majorHAnsi" w:cstheme="majorHAnsi"/>
          <w:color w:val="808080" w:themeColor="background1" w:themeShade="80"/>
          <w:sz w:val="16"/>
          <w:szCs w:val="16"/>
        </w:rPr>
        <w:t>.</w:t>
      </w:r>
    </w:p>
  </w:footnote>
  <w:footnote w:id="571">
    <w:p w14:paraId="39016390" w14:textId="51CEA63E"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i/>
          <w:color w:val="808080" w:themeColor="background1" w:themeShade="80"/>
          <w:sz w:val="16"/>
          <w:szCs w:val="16"/>
        </w:rPr>
        <w:t>See infra</w:t>
      </w:r>
      <w:r w:rsidRPr="001167CB">
        <w:rPr>
          <w:rFonts w:asciiTheme="majorHAnsi" w:hAnsiTheme="majorHAnsi" w:cstheme="majorHAnsi"/>
          <w:color w:val="808080" w:themeColor="background1" w:themeShade="80"/>
          <w:sz w:val="16"/>
          <w:szCs w:val="16"/>
        </w:rPr>
        <w:t xml:space="preserve"> para. </w:t>
      </w:r>
      <w:r w:rsidRPr="001167CB">
        <w:rPr>
          <w:rFonts w:asciiTheme="majorHAnsi" w:hAnsiTheme="majorHAnsi" w:cstheme="majorHAnsi"/>
          <w:color w:val="808080" w:themeColor="background1" w:themeShade="80"/>
          <w:sz w:val="16"/>
          <w:szCs w:val="16"/>
        </w:rPr>
        <w:fldChar w:fldCharType="begin"/>
      </w:r>
      <w:r w:rsidRPr="001167CB">
        <w:rPr>
          <w:rFonts w:asciiTheme="majorHAnsi" w:hAnsiTheme="majorHAnsi" w:cstheme="majorHAnsi"/>
          <w:color w:val="808080" w:themeColor="background1" w:themeShade="80"/>
          <w:sz w:val="16"/>
          <w:szCs w:val="16"/>
        </w:rPr>
        <w:instrText xml:space="preserve"> REF _Ref507409426 \r \h  \* MERGEFORMAT </w:instrText>
      </w:r>
      <w:r w:rsidRPr="001167CB">
        <w:rPr>
          <w:rFonts w:asciiTheme="majorHAnsi" w:hAnsiTheme="majorHAnsi" w:cstheme="majorHAnsi"/>
          <w:color w:val="808080" w:themeColor="background1" w:themeShade="80"/>
          <w:sz w:val="16"/>
          <w:szCs w:val="16"/>
        </w:rPr>
      </w:r>
      <w:r w:rsidRPr="001167CB">
        <w:rPr>
          <w:rFonts w:asciiTheme="majorHAnsi" w:hAnsiTheme="majorHAnsi" w:cstheme="majorHAnsi"/>
          <w:color w:val="808080" w:themeColor="background1" w:themeShade="80"/>
          <w:sz w:val="16"/>
          <w:szCs w:val="16"/>
        </w:rPr>
        <w:fldChar w:fldCharType="separate"/>
      </w:r>
      <w:r w:rsidRPr="001167CB">
        <w:rPr>
          <w:rFonts w:asciiTheme="majorHAnsi" w:hAnsiTheme="majorHAnsi" w:cstheme="majorHAnsi"/>
          <w:color w:val="808080" w:themeColor="background1" w:themeShade="80"/>
          <w:sz w:val="16"/>
          <w:szCs w:val="16"/>
        </w:rPr>
        <w:t>49</w:t>
      </w:r>
      <w:r w:rsidRPr="001167CB">
        <w:rPr>
          <w:rFonts w:asciiTheme="majorHAnsi" w:hAnsiTheme="majorHAnsi" w:cstheme="majorHAnsi"/>
          <w:color w:val="808080" w:themeColor="background1" w:themeShade="80"/>
          <w:sz w:val="16"/>
          <w:szCs w:val="16"/>
        </w:rPr>
        <w:fldChar w:fldCharType="end"/>
      </w:r>
      <w:r w:rsidRPr="001167CB">
        <w:rPr>
          <w:rFonts w:asciiTheme="majorHAnsi" w:hAnsiTheme="majorHAnsi" w:cstheme="majorHAnsi"/>
          <w:color w:val="808080" w:themeColor="background1" w:themeShade="80"/>
          <w:sz w:val="16"/>
          <w:szCs w:val="16"/>
        </w:rPr>
        <w:t>.</w:t>
      </w:r>
    </w:p>
  </w:footnote>
  <w:footnote w:id="572">
    <w:p w14:paraId="055565FB"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IACHR, </w:t>
      </w:r>
      <w:hyperlink r:id="rId634" w:history="1">
        <w:r w:rsidRPr="001167CB">
          <w:rPr>
            <w:rStyle w:val="Hyperlink"/>
            <w:rFonts w:asciiTheme="majorHAnsi" w:hAnsiTheme="majorHAnsi" w:cstheme="majorHAnsi"/>
            <w:color w:val="808080" w:themeColor="background1" w:themeShade="80"/>
            <w:sz w:val="16"/>
            <w:szCs w:val="16"/>
          </w:rPr>
          <w:t>Annual Report 2015, Chapter IV: The Use of Force</w:t>
        </w:r>
      </w:hyperlink>
      <w:r w:rsidRPr="001167CB">
        <w:rPr>
          <w:rFonts w:asciiTheme="majorHAnsi" w:hAnsiTheme="majorHAnsi" w:cstheme="majorHAnsi"/>
          <w:color w:val="808080" w:themeColor="background1" w:themeShade="80"/>
          <w:sz w:val="16"/>
          <w:szCs w:val="16"/>
        </w:rPr>
        <w:t xml:space="preserve">, Mar. 17, 2016, para. 222 (citing </w:t>
      </w:r>
      <w:proofErr w:type="gramStart"/>
      <w:r w:rsidRPr="001167CB">
        <w:rPr>
          <w:rFonts w:asciiTheme="majorHAnsi" w:hAnsiTheme="majorHAnsi" w:cstheme="majorHAnsi"/>
          <w:color w:val="808080" w:themeColor="background1" w:themeShade="80"/>
          <w:sz w:val="16"/>
          <w:szCs w:val="16"/>
        </w:rPr>
        <w:t>I/A</w:t>
      </w:r>
      <w:proofErr w:type="gramEnd"/>
      <w:r w:rsidRPr="001167CB">
        <w:rPr>
          <w:rFonts w:asciiTheme="majorHAnsi" w:hAnsiTheme="majorHAnsi" w:cstheme="majorHAnsi"/>
          <w:color w:val="808080" w:themeColor="background1" w:themeShade="80"/>
          <w:sz w:val="16"/>
          <w:szCs w:val="16"/>
        </w:rPr>
        <w:t xml:space="preserve"> Ct. H.R. </w:t>
      </w:r>
      <w:r w:rsidRPr="001167CB">
        <w:rPr>
          <w:rFonts w:asciiTheme="majorHAnsi" w:hAnsiTheme="majorHAnsi" w:cstheme="majorHAnsi"/>
          <w:i/>
          <w:iCs/>
          <w:color w:val="808080" w:themeColor="background1" w:themeShade="80"/>
          <w:sz w:val="16"/>
          <w:szCs w:val="16"/>
        </w:rPr>
        <w:t xml:space="preserve">Barrios Family v. Venezuela. </w:t>
      </w:r>
      <w:r w:rsidRPr="001167CB">
        <w:rPr>
          <w:rFonts w:asciiTheme="majorHAnsi" w:hAnsiTheme="majorHAnsi" w:cstheme="majorHAnsi"/>
          <w:color w:val="808080" w:themeColor="background1" w:themeShade="80"/>
          <w:sz w:val="16"/>
          <w:szCs w:val="16"/>
        </w:rPr>
        <w:t xml:space="preserve">Merits, Reparations and Costs. Judgment of Nov. 24, 2011. Series C No. 237, para. 234).  </w:t>
      </w:r>
    </w:p>
  </w:footnote>
  <w:footnote w:id="573">
    <w:p w14:paraId="3835F96B"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IACHR, </w:t>
      </w:r>
      <w:hyperlink r:id="rId635" w:history="1">
        <w:r w:rsidRPr="001167CB">
          <w:rPr>
            <w:rStyle w:val="Hyperlink"/>
            <w:rFonts w:asciiTheme="majorHAnsi" w:hAnsiTheme="majorHAnsi" w:cstheme="majorHAnsi"/>
            <w:color w:val="808080" w:themeColor="background1" w:themeShade="80"/>
            <w:sz w:val="16"/>
            <w:szCs w:val="16"/>
          </w:rPr>
          <w:t>Annual Report 2015, Chapter IV: The Use of Force</w:t>
        </w:r>
      </w:hyperlink>
      <w:r w:rsidRPr="001167CB">
        <w:rPr>
          <w:rFonts w:asciiTheme="majorHAnsi" w:hAnsiTheme="majorHAnsi" w:cstheme="majorHAnsi"/>
          <w:color w:val="808080" w:themeColor="background1" w:themeShade="80"/>
          <w:sz w:val="16"/>
          <w:szCs w:val="16"/>
        </w:rPr>
        <w:t xml:space="preserve">, Mar. 17, 2016, para. 216; </w:t>
      </w:r>
      <w:r w:rsidRPr="001167CB">
        <w:rPr>
          <w:rFonts w:asciiTheme="majorHAnsi" w:hAnsiTheme="majorHAnsi" w:cstheme="majorHAnsi"/>
          <w:i/>
          <w:color w:val="808080" w:themeColor="background1" w:themeShade="80"/>
          <w:sz w:val="16"/>
          <w:szCs w:val="16"/>
        </w:rPr>
        <w:t>see also, e.g.,</w:t>
      </w:r>
      <w:r w:rsidRPr="001167CB">
        <w:rPr>
          <w:rFonts w:asciiTheme="majorHAnsi" w:hAnsiTheme="majorHAnsi" w:cstheme="majorHAnsi"/>
          <w:color w:val="808080" w:themeColor="background1" w:themeShade="80"/>
          <w:sz w:val="16"/>
          <w:szCs w:val="16"/>
        </w:rPr>
        <w:t xml:space="preserve"> Washington Post, </w:t>
      </w:r>
      <w:hyperlink r:id="rId636" w:history="1">
        <w:r w:rsidRPr="001167CB">
          <w:rPr>
            <w:rStyle w:val="Hyperlink"/>
            <w:rFonts w:asciiTheme="majorHAnsi" w:hAnsiTheme="majorHAnsi" w:cstheme="majorHAnsi"/>
            <w:color w:val="808080" w:themeColor="background1" w:themeShade="80"/>
            <w:sz w:val="16"/>
            <w:szCs w:val="16"/>
            <w:lang w:val="en"/>
          </w:rPr>
          <w:t>FBI director calls lack of data on police shootings ‘ridiculous,’ ‘embarrassing’</w:t>
        </w:r>
      </w:hyperlink>
      <w:r w:rsidRPr="001167CB">
        <w:rPr>
          <w:rFonts w:asciiTheme="majorHAnsi" w:hAnsiTheme="majorHAnsi" w:cstheme="majorHAnsi"/>
          <w:color w:val="808080" w:themeColor="background1" w:themeShade="80"/>
          <w:sz w:val="16"/>
          <w:szCs w:val="16"/>
          <w:lang w:val="en"/>
        </w:rPr>
        <w:t xml:space="preserve">, </w:t>
      </w:r>
      <w:r w:rsidRPr="001167CB">
        <w:rPr>
          <w:rFonts w:asciiTheme="majorHAnsi" w:hAnsiTheme="majorHAnsi" w:cstheme="majorHAnsi"/>
          <w:bCs/>
          <w:color w:val="808080" w:themeColor="background1" w:themeShade="80"/>
          <w:sz w:val="16"/>
          <w:szCs w:val="16"/>
        </w:rPr>
        <w:t xml:space="preserve">Oct. </w:t>
      </w:r>
      <w:r w:rsidRPr="001167CB">
        <w:rPr>
          <w:rFonts w:asciiTheme="majorHAnsi" w:hAnsiTheme="majorHAnsi" w:cstheme="majorHAnsi"/>
          <w:color w:val="808080" w:themeColor="background1" w:themeShade="80"/>
          <w:sz w:val="16"/>
          <w:szCs w:val="16"/>
          <w:lang w:val="en"/>
        </w:rPr>
        <w:t>7, 2015.</w:t>
      </w:r>
    </w:p>
  </w:footnote>
  <w:footnote w:id="574">
    <w:p w14:paraId="09AE504C"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IACHR, </w:t>
      </w:r>
      <w:hyperlink r:id="rId637" w:history="1">
        <w:r w:rsidRPr="001167CB">
          <w:rPr>
            <w:rStyle w:val="Hyperlink"/>
            <w:rFonts w:asciiTheme="majorHAnsi" w:hAnsiTheme="majorHAnsi" w:cstheme="majorHAnsi"/>
            <w:color w:val="808080" w:themeColor="background1" w:themeShade="80"/>
            <w:sz w:val="16"/>
            <w:szCs w:val="16"/>
          </w:rPr>
          <w:t>Annual Report 2015, Chapter IV: The Use of Force</w:t>
        </w:r>
      </w:hyperlink>
      <w:r w:rsidRPr="001167CB">
        <w:rPr>
          <w:rFonts w:asciiTheme="majorHAnsi" w:hAnsiTheme="majorHAnsi" w:cstheme="majorHAnsi"/>
          <w:color w:val="808080" w:themeColor="background1" w:themeShade="80"/>
          <w:sz w:val="16"/>
          <w:szCs w:val="16"/>
        </w:rPr>
        <w:t>, Mar. 17, 2016, para. 216.</w:t>
      </w:r>
    </w:p>
  </w:footnote>
  <w:footnote w:id="575">
    <w:p w14:paraId="7F4B1F97"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IACHR, </w:t>
      </w:r>
      <w:hyperlink r:id="rId638" w:history="1">
        <w:r w:rsidRPr="001167CB">
          <w:rPr>
            <w:rStyle w:val="Hyperlink"/>
            <w:rFonts w:asciiTheme="majorHAnsi" w:hAnsiTheme="majorHAnsi" w:cstheme="majorHAnsi"/>
            <w:color w:val="808080" w:themeColor="background1" w:themeShade="80"/>
            <w:sz w:val="16"/>
            <w:szCs w:val="16"/>
          </w:rPr>
          <w:t>Annual Report 2015, Chapter IV: The Use of Force</w:t>
        </w:r>
      </w:hyperlink>
      <w:r w:rsidRPr="001167CB">
        <w:rPr>
          <w:rFonts w:asciiTheme="majorHAnsi" w:hAnsiTheme="majorHAnsi" w:cstheme="majorHAnsi"/>
          <w:color w:val="808080" w:themeColor="background1" w:themeShade="80"/>
          <w:sz w:val="16"/>
          <w:szCs w:val="16"/>
        </w:rPr>
        <w:t>, Mar. 17, 2016, para. 215.</w:t>
      </w:r>
    </w:p>
  </w:footnote>
  <w:footnote w:id="576">
    <w:p w14:paraId="0007D59A"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bCs/>
          <w:color w:val="808080" w:themeColor="background1" w:themeShade="80"/>
          <w:sz w:val="16"/>
          <w:szCs w:val="16"/>
        </w:rPr>
        <w:t xml:space="preserve">COPS, </w:t>
      </w:r>
      <w:hyperlink r:id="rId639" w:history="1">
        <w:r w:rsidRPr="001167CB">
          <w:rPr>
            <w:rStyle w:val="Hyperlink"/>
            <w:rFonts w:asciiTheme="majorHAnsi" w:hAnsiTheme="majorHAnsi" w:cstheme="majorHAnsi"/>
            <w:bCs/>
            <w:color w:val="808080" w:themeColor="background1" w:themeShade="80"/>
            <w:sz w:val="16"/>
            <w:szCs w:val="16"/>
          </w:rPr>
          <w:t>Final Report of the President’s Task Force on 21</w:t>
        </w:r>
        <w:r w:rsidRPr="001167CB">
          <w:rPr>
            <w:rStyle w:val="Hyperlink"/>
            <w:rFonts w:asciiTheme="majorHAnsi" w:hAnsiTheme="majorHAnsi" w:cstheme="majorHAnsi"/>
            <w:bCs/>
            <w:color w:val="808080" w:themeColor="background1" w:themeShade="80"/>
            <w:sz w:val="16"/>
            <w:szCs w:val="16"/>
            <w:vertAlign w:val="superscript"/>
          </w:rPr>
          <w:t>st</w:t>
        </w:r>
        <w:r w:rsidRPr="001167CB">
          <w:rPr>
            <w:rStyle w:val="Hyperlink"/>
            <w:rFonts w:asciiTheme="majorHAnsi" w:hAnsiTheme="majorHAnsi" w:cstheme="majorHAnsi"/>
            <w:bCs/>
            <w:color w:val="808080" w:themeColor="background1" w:themeShade="80"/>
            <w:sz w:val="16"/>
            <w:szCs w:val="16"/>
          </w:rPr>
          <w:t xml:space="preserve"> Century Policing</w:t>
        </w:r>
      </w:hyperlink>
      <w:r w:rsidRPr="001167CB">
        <w:rPr>
          <w:rFonts w:asciiTheme="majorHAnsi" w:hAnsiTheme="majorHAnsi" w:cstheme="majorHAnsi"/>
          <w:bCs/>
          <w:color w:val="808080" w:themeColor="background1" w:themeShade="80"/>
          <w:sz w:val="16"/>
          <w:szCs w:val="16"/>
        </w:rPr>
        <w:t>, May 2015</w:t>
      </w:r>
      <w:r w:rsidRPr="001167CB">
        <w:rPr>
          <w:rFonts w:asciiTheme="majorHAnsi" w:hAnsiTheme="majorHAnsi" w:cstheme="majorHAnsi"/>
          <w:color w:val="808080" w:themeColor="background1" w:themeShade="80"/>
          <w:sz w:val="16"/>
          <w:szCs w:val="16"/>
        </w:rPr>
        <w:t>, Recs. 2.2.4, 2.2.5.</w:t>
      </w:r>
    </w:p>
  </w:footnote>
  <w:footnote w:id="577">
    <w:p w14:paraId="479A1E3B" w14:textId="645FC805"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lang w:val="es-US"/>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lang w:val="es-US"/>
        </w:rPr>
        <w:t xml:space="preserve"> </w:t>
      </w:r>
      <w:r w:rsidRPr="001167CB">
        <w:rPr>
          <w:rFonts w:asciiTheme="majorHAnsi" w:hAnsiTheme="majorHAnsi" w:cstheme="majorHAnsi"/>
          <w:color w:val="808080" w:themeColor="background1" w:themeShade="80"/>
          <w:sz w:val="16"/>
          <w:szCs w:val="16"/>
          <w:lang w:val="es-US"/>
        </w:rPr>
        <w:tab/>
      </w:r>
      <w:proofErr w:type="spellStart"/>
      <w:r w:rsidRPr="001167CB">
        <w:rPr>
          <w:rFonts w:asciiTheme="majorHAnsi" w:hAnsiTheme="majorHAnsi" w:cstheme="majorHAnsi"/>
          <w:i/>
          <w:color w:val="808080" w:themeColor="background1" w:themeShade="80"/>
          <w:sz w:val="16"/>
          <w:szCs w:val="16"/>
          <w:lang w:val="es-US"/>
        </w:rPr>
        <w:t>See</w:t>
      </w:r>
      <w:proofErr w:type="spellEnd"/>
      <w:r w:rsidRPr="001167CB">
        <w:rPr>
          <w:rFonts w:asciiTheme="majorHAnsi" w:hAnsiTheme="majorHAnsi" w:cstheme="majorHAnsi"/>
          <w:i/>
          <w:color w:val="808080" w:themeColor="background1" w:themeShade="80"/>
          <w:sz w:val="16"/>
          <w:szCs w:val="16"/>
          <w:lang w:val="es-US"/>
        </w:rPr>
        <w:t xml:space="preserve"> supra</w:t>
      </w:r>
      <w:r w:rsidRPr="001167CB">
        <w:rPr>
          <w:rFonts w:asciiTheme="majorHAnsi" w:hAnsiTheme="majorHAnsi" w:cstheme="majorHAnsi"/>
          <w:color w:val="808080" w:themeColor="background1" w:themeShade="80"/>
          <w:sz w:val="16"/>
          <w:szCs w:val="16"/>
          <w:lang w:val="es-US"/>
        </w:rPr>
        <w:t xml:space="preserve"> para. </w:t>
      </w:r>
      <w:r w:rsidRPr="001167CB">
        <w:rPr>
          <w:rFonts w:asciiTheme="majorHAnsi" w:hAnsiTheme="majorHAnsi" w:cstheme="majorHAnsi"/>
          <w:color w:val="808080" w:themeColor="background1" w:themeShade="80"/>
          <w:sz w:val="16"/>
          <w:szCs w:val="16"/>
        </w:rPr>
        <w:fldChar w:fldCharType="begin"/>
      </w:r>
      <w:r w:rsidRPr="001167CB">
        <w:rPr>
          <w:rFonts w:asciiTheme="majorHAnsi" w:hAnsiTheme="majorHAnsi" w:cstheme="majorHAnsi"/>
          <w:color w:val="808080" w:themeColor="background1" w:themeShade="80"/>
          <w:sz w:val="16"/>
          <w:szCs w:val="16"/>
          <w:lang w:val="es-US"/>
        </w:rPr>
        <w:instrText xml:space="preserve"> REF _Ref507411660 \r \h  \* MERGEFORMAT </w:instrText>
      </w:r>
      <w:r w:rsidRPr="001167CB">
        <w:rPr>
          <w:rFonts w:asciiTheme="majorHAnsi" w:hAnsiTheme="majorHAnsi" w:cstheme="majorHAnsi"/>
          <w:color w:val="808080" w:themeColor="background1" w:themeShade="80"/>
          <w:sz w:val="16"/>
          <w:szCs w:val="16"/>
        </w:rPr>
      </w:r>
      <w:r w:rsidRPr="001167CB">
        <w:rPr>
          <w:rFonts w:asciiTheme="majorHAnsi" w:hAnsiTheme="majorHAnsi" w:cstheme="majorHAnsi"/>
          <w:color w:val="808080" w:themeColor="background1" w:themeShade="80"/>
          <w:sz w:val="16"/>
          <w:szCs w:val="16"/>
        </w:rPr>
        <w:fldChar w:fldCharType="separate"/>
      </w:r>
      <w:r w:rsidRPr="001167CB">
        <w:rPr>
          <w:rFonts w:asciiTheme="majorHAnsi" w:hAnsiTheme="majorHAnsi" w:cstheme="majorHAnsi"/>
          <w:color w:val="808080" w:themeColor="background1" w:themeShade="80"/>
          <w:sz w:val="16"/>
          <w:szCs w:val="16"/>
          <w:lang w:val="es-US"/>
        </w:rPr>
        <w:t>79</w:t>
      </w:r>
      <w:r w:rsidRPr="001167CB">
        <w:rPr>
          <w:rFonts w:asciiTheme="majorHAnsi" w:hAnsiTheme="majorHAnsi" w:cstheme="majorHAnsi"/>
          <w:color w:val="808080" w:themeColor="background1" w:themeShade="80"/>
          <w:sz w:val="16"/>
          <w:szCs w:val="16"/>
        </w:rPr>
        <w:fldChar w:fldCharType="end"/>
      </w:r>
      <w:r w:rsidRPr="001167CB">
        <w:rPr>
          <w:rFonts w:asciiTheme="majorHAnsi" w:hAnsiTheme="majorHAnsi" w:cstheme="majorHAnsi"/>
          <w:color w:val="808080" w:themeColor="background1" w:themeShade="80"/>
          <w:sz w:val="16"/>
          <w:szCs w:val="16"/>
          <w:lang w:val="es-US"/>
        </w:rPr>
        <w:t>.</w:t>
      </w:r>
    </w:p>
  </w:footnote>
  <w:footnote w:id="578">
    <w:p w14:paraId="7E869A7E" w14:textId="0175A9EF"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lang w:val="es-US"/>
        </w:rPr>
        <w:t xml:space="preserve"> </w:t>
      </w:r>
      <w:r w:rsidRPr="001167CB">
        <w:rPr>
          <w:rFonts w:asciiTheme="majorHAnsi" w:hAnsiTheme="majorHAnsi" w:cstheme="majorHAnsi"/>
          <w:color w:val="808080" w:themeColor="background1" w:themeShade="80"/>
          <w:sz w:val="16"/>
          <w:szCs w:val="16"/>
          <w:lang w:val="es-US"/>
        </w:rPr>
        <w:tab/>
      </w:r>
      <w:proofErr w:type="spellStart"/>
      <w:r w:rsidRPr="001167CB">
        <w:rPr>
          <w:rFonts w:asciiTheme="majorHAnsi" w:hAnsiTheme="majorHAnsi" w:cstheme="majorHAnsi"/>
          <w:i/>
          <w:color w:val="808080" w:themeColor="background1" w:themeShade="80"/>
          <w:sz w:val="16"/>
          <w:szCs w:val="16"/>
          <w:lang w:val="es-US"/>
        </w:rPr>
        <w:t>See</w:t>
      </w:r>
      <w:proofErr w:type="spellEnd"/>
      <w:r w:rsidRPr="001167CB">
        <w:rPr>
          <w:rFonts w:asciiTheme="majorHAnsi" w:hAnsiTheme="majorHAnsi" w:cstheme="majorHAnsi"/>
          <w:i/>
          <w:color w:val="808080" w:themeColor="background1" w:themeShade="80"/>
          <w:sz w:val="16"/>
          <w:szCs w:val="16"/>
          <w:lang w:val="es-US"/>
        </w:rPr>
        <w:t xml:space="preserve"> supra</w:t>
      </w:r>
      <w:r w:rsidRPr="001167CB">
        <w:rPr>
          <w:rFonts w:asciiTheme="majorHAnsi" w:hAnsiTheme="majorHAnsi" w:cstheme="majorHAnsi"/>
          <w:color w:val="808080" w:themeColor="background1" w:themeShade="80"/>
          <w:sz w:val="16"/>
          <w:szCs w:val="16"/>
          <w:lang w:val="es-US"/>
        </w:rPr>
        <w:t xml:space="preserve"> para. </w:t>
      </w:r>
      <w:r w:rsidRPr="001167CB">
        <w:rPr>
          <w:rFonts w:asciiTheme="majorHAnsi" w:hAnsiTheme="majorHAnsi" w:cstheme="majorHAnsi"/>
          <w:color w:val="808080" w:themeColor="background1" w:themeShade="80"/>
          <w:sz w:val="16"/>
          <w:szCs w:val="16"/>
        </w:rPr>
        <w:fldChar w:fldCharType="begin"/>
      </w:r>
      <w:r w:rsidRPr="001167CB">
        <w:rPr>
          <w:rFonts w:asciiTheme="majorHAnsi" w:hAnsiTheme="majorHAnsi" w:cstheme="majorHAnsi"/>
          <w:color w:val="808080" w:themeColor="background1" w:themeShade="80"/>
          <w:sz w:val="16"/>
          <w:szCs w:val="16"/>
          <w:lang w:val="es-US"/>
        </w:rPr>
        <w:instrText xml:space="preserve"> REF _Ref507172812 \r \h  \* MERGEFORMAT </w:instrText>
      </w:r>
      <w:r w:rsidRPr="001167CB">
        <w:rPr>
          <w:rFonts w:asciiTheme="majorHAnsi" w:hAnsiTheme="majorHAnsi" w:cstheme="majorHAnsi"/>
          <w:color w:val="808080" w:themeColor="background1" w:themeShade="80"/>
          <w:sz w:val="16"/>
          <w:szCs w:val="16"/>
        </w:rPr>
      </w:r>
      <w:r w:rsidRPr="001167CB">
        <w:rPr>
          <w:rFonts w:asciiTheme="majorHAnsi" w:hAnsiTheme="majorHAnsi" w:cstheme="majorHAnsi"/>
          <w:color w:val="808080" w:themeColor="background1" w:themeShade="80"/>
          <w:sz w:val="16"/>
          <w:szCs w:val="16"/>
        </w:rPr>
        <w:fldChar w:fldCharType="separate"/>
      </w:r>
      <w:r w:rsidRPr="001167CB">
        <w:rPr>
          <w:rFonts w:asciiTheme="majorHAnsi" w:hAnsiTheme="majorHAnsi" w:cstheme="majorHAnsi"/>
          <w:color w:val="808080" w:themeColor="background1" w:themeShade="80"/>
          <w:sz w:val="16"/>
          <w:szCs w:val="16"/>
        </w:rPr>
        <w:t>242</w:t>
      </w:r>
      <w:r w:rsidRPr="001167CB">
        <w:rPr>
          <w:rFonts w:asciiTheme="majorHAnsi" w:hAnsiTheme="majorHAnsi" w:cstheme="majorHAnsi"/>
          <w:color w:val="808080" w:themeColor="background1" w:themeShade="80"/>
          <w:sz w:val="16"/>
          <w:szCs w:val="16"/>
        </w:rPr>
        <w:fldChar w:fldCharType="end"/>
      </w:r>
      <w:r w:rsidRPr="001167CB">
        <w:rPr>
          <w:rFonts w:asciiTheme="majorHAnsi" w:hAnsiTheme="majorHAnsi" w:cstheme="majorHAnsi"/>
          <w:color w:val="808080" w:themeColor="background1" w:themeShade="80"/>
          <w:sz w:val="16"/>
          <w:szCs w:val="16"/>
        </w:rPr>
        <w:t>.</w:t>
      </w:r>
    </w:p>
  </w:footnote>
  <w:footnote w:id="579">
    <w:p w14:paraId="0CE1D22E"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IACHR, </w:t>
      </w:r>
      <w:hyperlink r:id="rId640" w:history="1">
        <w:r w:rsidRPr="001167CB">
          <w:rPr>
            <w:rStyle w:val="Hyperlink"/>
            <w:rFonts w:asciiTheme="majorHAnsi" w:hAnsiTheme="majorHAnsi" w:cstheme="majorHAnsi"/>
            <w:color w:val="808080" w:themeColor="background1" w:themeShade="80"/>
            <w:sz w:val="16"/>
            <w:szCs w:val="16"/>
          </w:rPr>
          <w:t>Citizen Security and Human Rights</w:t>
        </w:r>
      </w:hyperlink>
      <w:r w:rsidRPr="001167CB">
        <w:rPr>
          <w:rFonts w:asciiTheme="majorHAnsi" w:hAnsiTheme="majorHAnsi" w:cstheme="majorHAnsi"/>
          <w:color w:val="808080" w:themeColor="background1" w:themeShade="80"/>
          <w:sz w:val="16"/>
          <w:szCs w:val="16"/>
        </w:rPr>
        <w:t xml:space="preserve"> (2009), para. 46.</w:t>
      </w:r>
    </w:p>
  </w:footnote>
  <w:footnote w:id="580">
    <w:p w14:paraId="4E48F2AC"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Id. at para. 45.</w:t>
      </w:r>
    </w:p>
  </w:footnote>
  <w:footnote w:id="581">
    <w:p w14:paraId="5F9280A8"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Id. (citing </w:t>
      </w:r>
      <w:proofErr w:type="gramStart"/>
      <w:r w:rsidRPr="001167CB">
        <w:rPr>
          <w:rFonts w:asciiTheme="majorHAnsi" w:hAnsiTheme="majorHAnsi" w:cstheme="majorHAnsi"/>
          <w:color w:val="808080" w:themeColor="background1" w:themeShade="80"/>
          <w:sz w:val="16"/>
          <w:szCs w:val="16"/>
        </w:rPr>
        <w:t>I/A</w:t>
      </w:r>
      <w:proofErr w:type="gramEnd"/>
      <w:r w:rsidRPr="001167CB">
        <w:rPr>
          <w:rFonts w:asciiTheme="majorHAnsi" w:hAnsiTheme="majorHAnsi" w:cstheme="majorHAnsi"/>
          <w:color w:val="808080" w:themeColor="background1" w:themeShade="80"/>
          <w:sz w:val="16"/>
          <w:szCs w:val="16"/>
        </w:rPr>
        <w:t xml:space="preserve"> Ct. H.R., </w:t>
      </w:r>
      <w:r w:rsidRPr="001167CB">
        <w:rPr>
          <w:rFonts w:asciiTheme="majorHAnsi" w:hAnsiTheme="majorHAnsi" w:cstheme="majorHAnsi"/>
          <w:i/>
          <w:iCs/>
          <w:color w:val="808080" w:themeColor="background1" w:themeShade="80"/>
          <w:sz w:val="16"/>
          <w:szCs w:val="16"/>
        </w:rPr>
        <w:t>“</w:t>
      </w:r>
      <w:proofErr w:type="spellStart"/>
      <w:r w:rsidRPr="001167CB">
        <w:rPr>
          <w:rFonts w:asciiTheme="majorHAnsi" w:hAnsiTheme="majorHAnsi" w:cstheme="majorHAnsi"/>
          <w:i/>
          <w:iCs/>
          <w:color w:val="808080" w:themeColor="background1" w:themeShade="80"/>
          <w:sz w:val="16"/>
          <w:szCs w:val="16"/>
        </w:rPr>
        <w:t>Mapiripán</w:t>
      </w:r>
      <w:proofErr w:type="spellEnd"/>
      <w:r w:rsidRPr="001167CB">
        <w:rPr>
          <w:rFonts w:asciiTheme="majorHAnsi" w:hAnsiTheme="majorHAnsi" w:cstheme="majorHAnsi"/>
          <w:i/>
          <w:iCs/>
          <w:color w:val="808080" w:themeColor="background1" w:themeShade="80"/>
          <w:sz w:val="16"/>
          <w:szCs w:val="16"/>
        </w:rPr>
        <w:t xml:space="preserve"> Massacre” v. Colombia</w:t>
      </w:r>
      <w:r w:rsidRPr="001167CB">
        <w:rPr>
          <w:rFonts w:asciiTheme="majorHAnsi" w:hAnsiTheme="majorHAnsi" w:cstheme="majorHAnsi"/>
          <w:color w:val="808080" w:themeColor="background1" w:themeShade="80"/>
          <w:sz w:val="16"/>
          <w:szCs w:val="16"/>
        </w:rPr>
        <w:t xml:space="preserve">. Judgment of Sept. 15, 2005. Series C No. 134, para. 219; </w:t>
      </w:r>
      <w:proofErr w:type="spellStart"/>
      <w:r w:rsidRPr="001167CB">
        <w:rPr>
          <w:rFonts w:asciiTheme="majorHAnsi" w:hAnsiTheme="majorHAnsi" w:cstheme="majorHAnsi"/>
          <w:i/>
          <w:iCs/>
          <w:color w:val="808080" w:themeColor="background1" w:themeShade="80"/>
          <w:sz w:val="16"/>
          <w:szCs w:val="16"/>
        </w:rPr>
        <w:t>Moiwana</w:t>
      </w:r>
      <w:proofErr w:type="spellEnd"/>
      <w:r w:rsidRPr="001167CB">
        <w:rPr>
          <w:rFonts w:asciiTheme="majorHAnsi" w:hAnsiTheme="majorHAnsi" w:cstheme="majorHAnsi"/>
          <w:i/>
          <w:iCs/>
          <w:color w:val="808080" w:themeColor="background1" w:themeShade="80"/>
          <w:sz w:val="16"/>
          <w:szCs w:val="16"/>
        </w:rPr>
        <w:t xml:space="preserve"> Community v. Suriname</w:t>
      </w:r>
      <w:r w:rsidRPr="001167CB">
        <w:rPr>
          <w:rFonts w:asciiTheme="majorHAnsi" w:hAnsiTheme="majorHAnsi" w:cstheme="majorHAnsi"/>
          <w:color w:val="808080" w:themeColor="background1" w:themeShade="80"/>
          <w:sz w:val="16"/>
          <w:szCs w:val="16"/>
        </w:rPr>
        <w:t xml:space="preserve">. Judgment of June 15, 2005. Series C No. 124, para. </w:t>
      </w:r>
      <w:r w:rsidRPr="001167CB">
        <w:rPr>
          <w:rFonts w:asciiTheme="majorHAnsi" w:hAnsiTheme="majorHAnsi" w:cstheme="majorHAnsi"/>
          <w:color w:val="808080" w:themeColor="background1" w:themeShade="80"/>
          <w:sz w:val="16"/>
          <w:szCs w:val="16"/>
          <w:lang w:val="es-US"/>
        </w:rPr>
        <w:t xml:space="preserve">147; </w:t>
      </w:r>
      <w:r w:rsidRPr="001167CB">
        <w:rPr>
          <w:rFonts w:asciiTheme="majorHAnsi" w:hAnsiTheme="majorHAnsi" w:cstheme="majorHAnsi"/>
          <w:i/>
          <w:iCs/>
          <w:color w:val="808080" w:themeColor="background1" w:themeShade="80"/>
          <w:sz w:val="16"/>
          <w:szCs w:val="16"/>
          <w:lang w:val="es-US"/>
        </w:rPr>
        <w:t xml:space="preserve">Serrano Cruz </w:t>
      </w:r>
      <w:proofErr w:type="spellStart"/>
      <w:r w:rsidRPr="001167CB">
        <w:rPr>
          <w:rFonts w:asciiTheme="majorHAnsi" w:hAnsiTheme="majorHAnsi" w:cstheme="majorHAnsi"/>
          <w:i/>
          <w:iCs/>
          <w:color w:val="808080" w:themeColor="background1" w:themeShade="80"/>
          <w:sz w:val="16"/>
          <w:szCs w:val="16"/>
          <w:lang w:val="es-US"/>
        </w:rPr>
        <w:t>Sisters</w:t>
      </w:r>
      <w:proofErr w:type="spellEnd"/>
      <w:r w:rsidRPr="001167CB">
        <w:rPr>
          <w:rFonts w:asciiTheme="majorHAnsi" w:hAnsiTheme="majorHAnsi" w:cstheme="majorHAnsi"/>
          <w:i/>
          <w:iCs/>
          <w:color w:val="808080" w:themeColor="background1" w:themeShade="80"/>
          <w:sz w:val="16"/>
          <w:szCs w:val="16"/>
          <w:lang w:val="es-US"/>
        </w:rPr>
        <w:t xml:space="preserve"> v. El Salvador</w:t>
      </w:r>
      <w:r w:rsidRPr="001167CB">
        <w:rPr>
          <w:rFonts w:asciiTheme="majorHAnsi" w:hAnsiTheme="majorHAnsi" w:cstheme="majorHAnsi"/>
          <w:color w:val="808080" w:themeColor="background1" w:themeShade="80"/>
          <w:sz w:val="16"/>
          <w:szCs w:val="16"/>
          <w:lang w:val="es-US"/>
        </w:rPr>
        <w:t xml:space="preserve">. </w:t>
      </w:r>
      <w:proofErr w:type="spellStart"/>
      <w:r w:rsidRPr="001167CB">
        <w:rPr>
          <w:rFonts w:asciiTheme="majorHAnsi" w:hAnsiTheme="majorHAnsi" w:cstheme="majorHAnsi"/>
          <w:color w:val="808080" w:themeColor="background1" w:themeShade="80"/>
          <w:sz w:val="16"/>
          <w:szCs w:val="16"/>
          <w:lang w:val="es-US"/>
        </w:rPr>
        <w:t>Judgment</w:t>
      </w:r>
      <w:proofErr w:type="spellEnd"/>
      <w:r w:rsidRPr="001167CB">
        <w:rPr>
          <w:rFonts w:asciiTheme="majorHAnsi" w:hAnsiTheme="majorHAnsi" w:cstheme="majorHAnsi"/>
          <w:color w:val="808080" w:themeColor="background1" w:themeShade="80"/>
          <w:sz w:val="16"/>
          <w:szCs w:val="16"/>
          <w:lang w:val="es-US"/>
        </w:rPr>
        <w:t xml:space="preserve"> of Mar. 1, 2005. Series C No. 120, para. </w:t>
      </w:r>
      <w:r w:rsidRPr="001167CB">
        <w:rPr>
          <w:rFonts w:asciiTheme="majorHAnsi" w:hAnsiTheme="majorHAnsi" w:cstheme="majorHAnsi"/>
          <w:color w:val="808080" w:themeColor="background1" w:themeShade="80"/>
          <w:sz w:val="16"/>
          <w:szCs w:val="16"/>
        </w:rPr>
        <w:t xml:space="preserve">63).  </w:t>
      </w:r>
    </w:p>
  </w:footnote>
  <w:footnote w:id="582">
    <w:p w14:paraId="125E9483"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Id.</w:t>
      </w:r>
    </w:p>
  </w:footnote>
  <w:footnote w:id="583">
    <w:p w14:paraId="51741325"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IACHR, </w:t>
      </w:r>
      <w:hyperlink r:id="rId641" w:history="1">
        <w:r w:rsidRPr="001167CB">
          <w:rPr>
            <w:rStyle w:val="Hyperlink"/>
            <w:rFonts w:asciiTheme="majorHAnsi" w:hAnsiTheme="majorHAnsi" w:cstheme="majorHAnsi"/>
            <w:color w:val="808080" w:themeColor="background1" w:themeShade="80"/>
            <w:sz w:val="16"/>
            <w:szCs w:val="16"/>
          </w:rPr>
          <w:t>Annual Report 2015, Chapter IV: The Use of Force</w:t>
        </w:r>
      </w:hyperlink>
      <w:r w:rsidRPr="001167CB">
        <w:rPr>
          <w:rFonts w:asciiTheme="majorHAnsi" w:hAnsiTheme="majorHAnsi" w:cstheme="majorHAnsi"/>
          <w:color w:val="808080" w:themeColor="background1" w:themeShade="80"/>
          <w:sz w:val="16"/>
          <w:szCs w:val="16"/>
        </w:rPr>
        <w:t xml:space="preserve">, Mar. 17, 2016, para. 231; </w:t>
      </w:r>
      <w:r w:rsidRPr="001167CB">
        <w:rPr>
          <w:rFonts w:asciiTheme="majorHAnsi" w:hAnsiTheme="majorHAnsi" w:cstheme="majorHAnsi"/>
          <w:i/>
          <w:color w:val="808080" w:themeColor="background1" w:themeShade="80"/>
          <w:sz w:val="16"/>
          <w:szCs w:val="16"/>
        </w:rPr>
        <w:t xml:space="preserve">see also </w:t>
      </w:r>
      <w:r w:rsidRPr="001167CB">
        <w:rPr>
          <w:rFonts w:asciiTheme="majorHAnsi" w:eastAsiaTheme="minorEastAsia" w:hAnsiTheme="majorHAnsi" w:cstheme="majorHAnsi"/>
          <w:color w:val="808080" w:themeColor="background1" w:themeShade="80"/>
          <w:sz w:val="16"/>
          <w:szCs w:val="16"/>
          <w:lang w:eastAsia="es-ES"/>
        </w:rPr>
        <w:t xml:space="preserve">I/A Ct. H.R., </w:t>
      </w:r>
      <w:proofErr w:type="gramStart"/>
      <w:r w:rsidRPr="001167CB">
        <w:rPr>
          <w:rFonts w:asciiTheme="majorHAnsi" w:eastAsiaTheme="minorEastAsia" w:hAnsiTheme="majorHAnsi" w:cstheme="majorHAnsi"/>
          <w:color w:val="808080" w:themeColor="background1" w:themeShade="80"/>
          <w:sz w:val="16"/>
          <w:szCs w:val="16"/>
          <w:lang w:eastAsia="es-ES"/>
        </w:rPr>
        <w:t>The</w:t>
      </w:r>
      <w:proofErr w:type="gramEnd"/>
      <w:r w:rsidRPr="001167CB">
        <w:rPr>
          <w:rFonts w:asciiTheme="majorHAnsi" w:eastAsiaTheme="minorEastAsia" w:hAnsiTheme="majorHAnsi" w:cstheme="majorHAnsi"/>
          <w:color w:val="808080" w:themeColor="background1" w:themeShade="80"/>
          <w:sz w:val="16"/>
          <w:szCs w:val="16"/>
          <w:lang w:eastAsia="es-ES"/>
        </w:rPr>
        <w:t xml:space="preserve"> “Street Children” Case (</w:t>
      </w:r>
      <w:proofErr w:type="spellStart"/>
      <w:r w:rsidRPr="001167CB">
        <w:rPr>
          <w:rFonts w:asciiTheme="majorHAnsi" w:eastAsiaTheme="minorEastAsia" w:hAnsiTheme="majorHAnsi" w:cstheme="majorHAnsi"/>
          <w:color w:val="808080" w:themeColor="background1" w:themeShade="80"/>
          <w:sz w:val="16"/>
          <w:szCs w:val="16"/>
          <w:lang w:eastAsia="es-ES"/>
        </w:rPr>
        <w:t>Villagrán</w:t>
      </w:r>
      <w:proofErr w:type="spellEnd"/>
      <w:r w:rsidRPr="001167CB">
        <w:rPr>
          <w:rFonts w:asciiTheme="majorHAnsi" w:eastAsiaTheme="minorEastAsia" w:hAnsiTheme="majorHAnsi" w:cstheme="majorHAnsi"/>
          <w:color w:val="808080" w:themeColor="background1" w:themeShade="80"/>
          <w:sz w:val="16"/>
          <w:szCs w:val="16"/>
          <w:lang w:eastAsia="es-ES"/>
        </w:rPr>
        <w:t xml:space="preserve"> Morales et al.). Judgment of </w:t>
      </w:r>
      <w:r w:rsidRPr="001167CB">
        <w:rPr>
          <w:rFonts w:asciiTheme="majorHAnsi" w:hAnsiTheme="majorHAnsi" w:cstheme="majorHAnsi"/>
          <w:color w:val="808080" w:themeColor="background1" w:themeShade="80"/>
          <w:sz w:val="16"/>
          <w:szCs w:val="16"/>
        </w:rPr>
        <w:t xml:space="preserve">Nov. </w:t>
      </w:r>
      <w:r w:rsidRPr="001167CB">
        <w:rPr>
          <w:rFonts w:asciiTheme="majorHAnsi" w:eastAsiaTheme="minorEastAsia" w:hAnsiTheme="majorHAnsi" w:cstheme="majorHAnsi"/>
          <w:color w:val="808080" w:themeColor="background1" w:themeShade="80"/>
          <w:sz w:val="16"/>
          <w:szCs w:val="16"/>
          <w:lang w:eastAsia="es-ES"/>
        </w:rPr>
        <w:t xml:space="preserve">19, 1999. Series C No. 63, para. 22 [hereinafter “I/A Ct. H.R. “Street Children,” Ser. </w:t>
      </w:r>
      <w:r w:rsidRPr="001167CB">
        <w:rPr>
          <w:rFonts w:asciiTheme="majorHAnsi" w:eastAsiaTheme="minorEastAsia" w:hAnsiTheme="majorHAnsi" w:cstheme="majorHAnsi"/>
          <w:color w:val="808080" w:themeColor="background1" w:themeShade="80"/>
          <w:sz w:val="16"/>
          <w:szCs w:val="16"/>
          <w:lang w:val="es-US" w:eastAsia="es-ES"/>
        </w:rPr>
        <w:t>C No. 63 (1999)”]</w:t>
      </w:r>
      <w:r w:rsidRPr="001167CB">
        <w:rPr>
          <w:rFonts w:asciiTheme="majorHAnsi" w:hAnsiTheme="majorHAnsi" w:cstheme="majorHAnsi"/>
          <w:color w:val="808080" w:themeColor="background1" w:themeShade="80"/>
          <w:sz w:val="16"/>
          <w:szCs w:val="16"/>
          <w:lang w:val="es-US"/>
        </w:rPr>
        <w:t xml:space="preserve">; I/A </w:t>
      </w:r>
      <w:proofErr w:type="spellStart"/>
      <w:r w:rsidRPr="001167CB">
        <w:rPr>
          <w:rFonts w:asciiTheme="majorHAnsi" w:hAnsiTheme="majorHAnsi" w:cstheme="majorHAnsi"/>
          <w:color w:val="808080" w:themeColor="background1" w:themeShade="80"/>
          <w:sz w:val="16"/>
          <w:szCs w:val="16"/>
          <w:lang w:val="es-US"/>
        </w:rPr>
        <w:t>Ct</w:t>
      </w:r>
      <w:proofErr w:type="spellEnd"/>
      <w:r w:rsidRPr="001167CB">
        <w:rPr>
          <w:rFonts w:asciiTheme="majorHAnsi" w:hAnsiTheme="majorHAnsi" w:cstheme="majorHAnsi"/>
          <w:color w:val="808080" w:themeColor="background1" w:themeShade="80"/>
          <w:sz w:val="16"/>
          <w:szCs w:val="16"/>
          <w:lang w:val="es-US"/>
        </w:rPr>
        <w:t xml:space="preserve">. H.R., </w:t>
      </w:r>
      <w:r w:rsidRPr="001167CB">
        <w:rPr>
          <w:rFonts w:asciiTheme="majorHAnsi" w:hAnsiTheme="majorHAnsi" w:cstheme="majorHAnsi"/>
          <w:i/>
          <w:color w:val="808080" w:themeColor="background1" w:themeShade="80"/>
          <w:sz w:val="16"/>
          <w:szCs w:val="16"/>
          <w:lang w:val="es-US"/>
        </w:rPr>
        <w:t>Velásquez Rodríguez</w:t>
      </w:r>
      <w:r w:rsidRPr="001167CB">
        <w:rPr>
          <w:rFonts w:asciiTheme="majorHAnsi" w:hAnsiTheme="majorHAnsi" w:cstheme="majorHAnsi"/>
          <w:color w:val="808080" w:themeColor="background1" w:themeShade="80"/>
          <w:sz w:val="16"/>
          <w:szCs w:val="16"/>
          <w:lang w:val="es-US"/>
        </w:rPr>
        <w:t xml:space="preserve">, Ser. </w:t>
      </w:r>
      <w:r w:rsidRPr="001167CB">
        <w:rPr>
          <w:rFonts w:asciiTheme="majorHAnsi" w:hAnsiTheme="majorHAnsi" w:cstheme="majorHAnsi"/>
          <w:color w:val="808080" w:themeColor="background1" w:themeShade="80"/>
          <w:sz w:val="16"/>
          <w:szCs w:val="16"/>
        </w:rPr>
        <w:t xml:space="preserve">C No. 7 (1989), para. 177; IACHR, </w:t>
      </w:r>
      <w:hyperlink r:id="rId642" w:history="1">
        <w:r w:rsidRPr="001167CB">
          <w:rPr>
            <w:rStyle w:val="Hyperlink"/>
            <w:rFonts w:asciiTheme="majorHAnsi" w:hAnsiTheme="majorHAnsi" w:cstheme="majorHAnsi"/>
            <w:color w:val="808080" w:themeColor="background1" w:themeShade="80"/>
            <w:sz w:val="16"/>
            <w:szCs w:val="16"/>
          </w:rPr>
          <w:t>Citizen Security and Human Rights</w:t>
        </w:r>
      </w:hyperlink>
      <w:r w:rsidRPr="001167CB">
        <w:rPr>
          <w:rFonts w:asciiTheme="majorHAnsi" w:hAnsiTheme="majorHAnsi" w:cstheme="majorHAnsi"/>
          <w:color w:val="808080" w:themeColor="background1" w:themeShade="80"/>
          <w:sz w:val="16"/>
          <w:szCs w:val="16"/>
        </w:rPr>
        <w:t xml:space="preserve"> (2009), para. 45.</w:t>
      </w:r>
    </w:p>
  </w:footnote>
  <w:footnote w:id="584">
    <w:p w14:paraId="6D0F5D10"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IACHR, </w:t>
      </w:r>
      <w:hyperlink r:id="rId643" w:history="1">
        <w:r w:rsidRPr="001167CB">
          <w:rPr>
            <w:rStyle w:val="Hyperlink"/>
            <w:rFonts w:asciiTheme="majorHAnsi" w:hAnsiTheme="majorHAnsi" w:cstheme="majorHAnsi"/>
            <w:color w:val="808080" w:themeColor="background1" w:themeShade="80"/>
            <w:sz w:val="16"/>
            <w:szCs w:val="16"/>
          </w:rPr>
          <w:t>Annual Report 2015, Chapter IV: The Use of Force</w:t>
        </w:r>
      </w:hyperlink>
      <w:r w:rsidRPr="001167CB">
        <w:rPr>
          <w:rFonts w:asciiTheme="majorHAnsi" w:hAnsiTheme="majorHAnsi" w:cstheme="majorHAnsi"/>
          <w:color w:val="808080" w:themeColor="background1" w:themeShade="80"/>
          <w:sz w:val="16"/>
          <w:szCs w:val="16"/>
        </w:rPr>
        <w:t xml:space="preserve">, Mar. 17, 2016, para. 231; </w:t>
      </w:r>
      <w:r w:rsidRPr="001167CB">
        <w:rPr>
          <w:rFonts w:asciiTheme="majorHAnsi" w:hAnsiTheme="majorHAnsi" w:cstheme="majorHAnsi"/>
          <w:i/>
          <w:color w:val="808080" w:themeColor="background1" w:themeShade="80"/>
          <w:sz w:val="16"/>
          <w:szCs w:val="16"/>
        </w:rPr>
        <w:t xml:space="preserve">see also </w:t>
      </w:r>
      <w:r w:rsidRPr="001167CB">
        <w:rPr>
          <w:rFonts w:asciiTheme="majorHAnsi" w:eastAsiaTheme="minorEastAsia" w:hAnsiTheme="majorHAnsi" w:cstheme="majorHAnsi"/>
          <w:color w:val="808080" w:themeColor="background1" w:themeShade="80"/>
          <w:sz w:val="16"/>
          <w:szCs w:val="16"/>
          <w:lang w:eastAsia="es-ES"/>
        </w:rPr>
        <w:t>I/A Ct. H.R. “Street Children,” Ser. C No. 63 (1999)</w:t>
      </w:r>
      <w:r w:rsidRPr="001167CB">
        <w:rPr>
          <w:rFonts w:asciiTheme="majorHAnsi" w:hAnsiTheme="majorHAnsi" w:cstheme="majorHAnsi"/>
          <w:color w:val="808080" w:themeColor="background1" w:themeShade="80"/>
          <w:sz w:val="16"/>
          <w:szCs w:val="16"/>
        </w:rPr>
        <w:t>, para. 22.</w:t>
      </w:r>
    </w:p>
  </w:footnote>
  <w:footnote w:id="585">
    <w:p w14:paraId="01721ADD"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Istanbul Protocol: Manual on the Effective Investigation and Documentation of Torture and Other Cruel, Inhuman or Degrading Treatment or Punishment (2004), available at: </w:t>
      </w:r>
      <w:hyperlink r:id="rId644" w:history="1">
        <w:r w:rsidRPr="001167CB">
          <w:rPr>
            <w:rStyle w:val="Hyperlink"/>
            <w:rFonts w:asciiTheme="majorHAnsi" w:hAnsiTheme="majorHAnsi" w:cstheme="majorHAnsi"/>
            <w:color w:val="808080" w:themeColor="background1" w:themeShade="80"/>
            <w:sz w:val="16"/>
            <w:szCs w:val="16"/>
          </w:rPr>
          <w:t>http://www.ohchr.org/Documents/Publications/training8Rev1en.pdf</w:t>
        </w:r>
      </w:hyperlink>
      <w:r w:rsidRPr="001167CB">
        <w:rPr>
          <w:rFonts w:asciiTheme="majorHAnsi" w:hAnsiTheme="majorHAnsi" w:cstheme="majorHAnsi"/>
          <w:color w:val="808080" w:themeColor="background1" w:themeShade="80"/>
          <w:sz w:val="16"/>
          <w:szCs w:val="16"/>
        </w:rPr>
        <w:t xml:space="preserve">. </w:t>
      </w:r>
    </w:p>
  </w:footnote>
  <w:footnote w:id="586">
    <w:p w14:paraId="117D4111"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The Minnesota Protocol on the Investigation of Potentially Unlawful Death: The Revised United Nations Manual on the Effective Prevention and Investigation of Extra-legal, Arbitrary and Summary Executions (2016), available at: </w:t>
      </w:r>
      <w:hyperlink r:id="rId645" w:history="1">
        <w:r w:rsidRPr="001167CB">
          <w:rPr>
            <w:rStyle w:val="Hyperlink"/>
            <w:rFonts w:asciiTheme="majorHAnsi" w:hAnsiTheme="majorHAnsi" w:cstheme="majorHAnsi"/>
            <w:color w:val="808080" w:themeColor="background1" w:themeShade="80"/>
            <w:sz w:val="16"/>
            <w:szCs w:val="16"/>
          </w:rPr>
          <w:t>http://www.ohchr.org/Documents/Publications/MinnesotaProtocol.pdf</w:t>
        </w:r>
      </w:hyperlink>
      <w:r w:rsidRPr="001167CB">
        <w:rPr>
          <w:rFonts w:asciiTheme="majorHAnsi" w:hAnsiTheme="majorHAnsi" w:cstheme="majorHAnsi"/>
          <w:color w:val="808080" w:themeColor="background1" w:themeShade="80"/>
          <w:sz w:val="16"/>
          <w:szCs w:val="16"/>
        </w:rPr>
        <w:t xml:space="preserve">. </w:t>
      </w:r>
    </w:p>
  </w:footnote>
  <w:footnote w:id="587">
    <w:p w14:paraId="0D35E62C"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IACHR, </w:t>
      </w:r>
      <w:hyperlink r:id="rId646" w:history="1">
        <w:r w:rsidRPr="001167CB">
          <w:rPr>
            <w:rStyle w:val="Hyperlink"/>
            <w:rFonts w:asciiTheme="majorHAnsi" w:hAnsiTheme="majorHAnsi" w:cstheme="majorHAnsi"/>
            <w:color w:val="808080" w:themeColor="background1" w:themeShade="80"/>
            <w:sz w:val="16"/>
            <w:szCs w:val="16"/>
          </w:rPr>
          <w:t>Annual Report 2015, Chapter IV: The Use of Force</w:t>
        </w:r>
      </w:hyperlink>
      <w:r w:rsidRPr="001167CB">
        <w:rPr>
          <w:rFonts w:asciiTheme="majorHAnsi" w:hAnsiTheme="majorHAnsi" w:cstheme="majorHAnsi"/>
          <w:color w:val="808080" w:themeColor="background1" w:themeShade="80"/>
          <w:sz w:val="16"/>
          <w:szCs w:val="16"/>
        </w:rPr>
        <w:t>, Mar. 17, 2016, para. 234.</w:t>
      </w:r>
    </w:p>
  </w:footnote>
  <w:footnote w:id="588">
    <w:p w14:paraId="67CBDF6A"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Id. at para. 229 (citing </w:t>
      </w:r>
      <w:proofErr w:type="gramStart"/>
      <w:r w:rsidRPr="001167CB">
        <w:rPr>
          <w:rFonts w:asciiTheme="majorHAnsi" w:hAnsiTheme="majorHAnsi" w:cstheme="majorHAnsi"/>
          <w:color w:val="808080" w:themeColor="background1" w:themeShade="80"/>
          <w:sz w:val="16"/>
          <w:szCs w:val="16"/>
        </w:rPr>
        <w:t>I/A</w:t>
      </w:r>
      <w:proofErr w:type="gramEnd"/>
      <w:r w:rsidRPr="001167CB">
        <w:rPr>
          <w:rFonts w:asciiTheme="majorHAnsi" w:hAnsiTheme="majorHAnsi" w:cstheme="majorHAnsi"/>
          <w:color w:val="808080" w:themeColor="background1" w:themeShade="80"/>
          <w:sz w:val="16"/>
          <w:szCs w:val="16"/>
        </w:rPr>
        <w:t xml:space="preserve"> Court HR. </w:t>
      </w:r>
      <w:r w:rsidRPr="001167CB">
        <w:rPr>
          <w:rFonts w:asciiTheme="majorHAnsi" w:hAnsiTheme="majorHAnsi" w:cstheme="majorHAnsi"/>
          <w:i/>
          <w:iCs/>
          <w:color w:val="808080" w:themeColor="background1" w:themeShade="80"/>
          <w:sz w:val="16"/>
          <w:szCs w:val="16"/>
        </w:rPr>
        <w:t xml:space="preserve">Montero </w:t>
      </w:r>
      <w:proofErr w:type="spellStart"/>
      <w:r w:rsidRPr="001167CB">
        <w:rPr>
          <w:rFonts w:asciiTheme="majorHAnsi" w:hAnsiTheme="majorHAnsi" w:cstheme="majorHAnsi"/>
          <w:i/>
          <w:iCs/>
          <w:color w:val="808080" w:themeColor="background1" w:themeShade="80"/>
          <w:sz w:val="16"/>
          <w:szCs w:val="16"/>
        </w:rPr>
        <w:t>Aranguren</w:t>
      </w:r>
      <w:proofErr w:type="spellEnd"/>
      <w:r w:rsidRPr="001167CB">
        <w:rPr>
          <w:rFonts w:asciiTheme="majorHAnsi" w:hAnsiTheme="majorHAnsi" w:cstheme="majorHAnsi"/>
          <w:i/>
          <w:iCs/>
          <w:color w:val="808080" w:themeColor="background1" w:themeShade="80"/>
          <w:sz w:val="16"/>
          <w:szCs w:val="16"/>
        </w:rPr>
        <w:t xml:space="preserve"> et al. (Detention Center of </w:t>
      </w:r>
      <w:proofErr w:type="spellStart"/>
      <w:r w:rsidRPr="001167CB">
        <w:rPr>
          <w:rFonts w:asciiTheme="majorHAnsi" w:hAnsiTheme="majorHAnsi" w:cstheme="majorHAnsi"/>
          <w:i/>
          <w:iCs/>
          <w:color w:val="808080" w:themeColor="background1" w:themeShade="80"/>
          <w:sz w:val="16"/>
          <w:szCs w:val="16"/>
        </w:rPr>
        <w:t>Catia</w:t>
      </w:r>
      <w:proofErr w:type="spellEnd"/>
      <w:r w:rsidRPr="001167CB">
        <w:rPr>
          <w:rFonts w:asciiTheme="majorHAnsi" w:hAnsiTheme="majorHAnsi" w:cstheme="majorHAnsi"/>
          <w:i/>
          <w:iCs/>
          <w:color w:val="808080" w:themeColor="background1" w:themeShade="80"/>
          <w:sz w:val="16"/>
          <w:szCs w:val="16"/>
        </w:rPr>
        <w:t xml:space="preserve">) v. Venezuela. Preliminary Objection, Merits, Reparations and Costs. </w:t>
      </w:r>
      <w:r w:rsidRPr="001167CB">
        <w:rPr>
          <w:rFonts w:asciiTheme="majorHAnsi" w:hAnsiTheme="majorHAnsi" w:cstheme="majorHAnsi"/>
          <w:color w:val="808080" w:themeColor="background1" w:themeShade="80"/>
          <w:sz w:val="16"/>
          <w:szCs w:val="16"/>
        </w:rPr>
        <w:t xml:space="preserve">Judgment of July 5, 2006. Series C No. 150, para. 81. When referring to the real independence of the investigative body, the Court also queried the propriety of the assistance lent to the principal investigative organ, in other words the Public Prosecution Service, by the institution involved in the events relating to the allegedly excessive use of force, namely the Judicial Police Technical Corps, a circumstance that might have contributed to the irregularities encountered in the proceeding. I/A Court HR. </w:t>
      </w:r>
      <w:proofErr w:type="spellStart"/>
      <w:r w:rsidRPr="001167CB">
        <w:rPr>
          <w:rFonts w:asciiTheme="majorHAnsi" w:hAnsiTheme="majorHAnsi" w:cstheme="majorHAnsi"/>
          <w:i/>
          <w:iCs/>
          <w:color w:val="808080" w:themeColor="background1" w:themeShade="80"/>
          <w:sz w:val="16"/>
          <w:szCs w:val="16"/>
        </w:rPr>
        <w:t>Uzcátegui</w:t>
      </w:r>
      <w:proofErr w:type="spellEnd"/>
      <w:r w:rsidRPr="001167CB">
        <w:rPr>
          <w:rFonts w:asciiTheme="majorHAnsi" w:hAnsiTheme="majorHAnsi" w:cstheme="majorHAnsi"/>
          <w:i/>
          <w:iCs/>
          <w:color w:val="808080" w:themeColor="background1" w:themeShade="80"/>
          <w:sz w:val="16"/>
          <w:szCs w:val="16"/>
        </w:rPr>
        <w:t xml:space="preserve"> et al. v. Venezuela. </w:t>
      </w:r>
      <w:r w:rsidRPr="001167CB">
        <w:rPr>
          <w:rFonts w:asciiTheme="majorHAnsi" w:hAnsiTheme="majorHAnsi" w:cstheme="majorHAnsi"/>
          <w:color w:val="808080" w:themeColor="background1" w:themeShade="80"/>
          <w:sz w:val="16"/>
          <w:szCs w:val="16"/>
        </w:rPr>
        <w:t>Merits and Reparations. Judgment of Sept. 3, 2012, Series C No. 249, para. 220).</w:t>
      </w:r>
    </w:p>
  </w:footnote>
  <w:footnote w:id="589">
    <w:p w14:paraId="1346DB43"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Id. at para. 230 (adding that The Inter-American Court of Human Rights has pointed out that “failure to adequately protect the scene of the crime may affect the investigation because it is a crucial factor for its being conducted properly” (I/A Ct. H.R., Myrna Mack Chang v. Guatemala, para. 166) and the United Nations Human Rights Council has urged “States to investigate any cases of deaths or injuries brought about during demonstrations, including those resulting from shots from firearms or the use of nonlethal weapons by law enforcement personnel” (CDH ONU, A/HRC/25/L.20, para. 12)). </w:t>
      </w:r>
    </w:p>
  </w:footnote>
  <w:footnote w:id="590">
    <w:p w14:paraId="20564ACB"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Id. (citation omitted).</w:t>
      </w:r>
    </w:p>
  </w:footnote>
  <w:footnote w:id="591">
    <w:p w14:paraId="29802317"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Id. at para. 214 (citing U.N., Special Rapporteur on extrajudicial, summary or arbitrary executions, Christof </w:t>
      </w:r>
      <w:proofErr w:type="spellStart"/>
      <w:r w:rsidRPr="001167CB">
        <w:rPr>
          <w:rFonts w:asciiTheme="majorHAnsi" w:hAnsiTheme="majorHAnsi" w:cstheme="majorHAnsi"/>
          <w:color w:val="808080" w:themeColor="background1" w:themeShade="80"/>
          <w:sz w:val="16"/>
          <w:szCs w:val="16"/>
        </w:rPr>
        <w:t>Heyns</w:t>
      </w:r>
      <w:proofErr w:type="spellEnd"/>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i/>
          <w:iCs/>
          <w:color w:val="808080" w:themeColor="background1" w:themeShade="80"/>
          <w:sz w:val="16"/>
          <w:szCs w:val="16"/>
        </w:rPr>
        <w:t>Use of information and communications technologies to secure the right to life</w:t>
      </w:r>
      <w:r w:rsidRPr="001167CB">
        <w:rPr>
          <w:rFonts w:asciiTheme="majorHAnsi" w:hAnsiTheme="majorHAnsi" w:cstheme="majorHAnsi"/>
          <w:color w:val="808080" w:themeColor="background1" w:themeShade="80"/>
          <w:sz w:val="16"/>
          <w:szCs w:val="16"/>
        </w:rPr>
        <w:t xml:space="preserve">. Apr. 24, 2015).  </w:t>
      </w:r>
    </w:p>
  </w:footnote>
  <w:footnote w:id="592">
    <w:p w14:paraId="33CEFEED"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Id. </w:t>
      </w:r>
    </w:p>
  </w:footnote>
  <w:footnote w:id="593">
    <w:p w14:paraId="27168E36"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Id. at para. 222.</w:t>
      </w:r>
    </w:p>
  </w:footnote>
  <w:footnote w:id="594">
    <w:p w14:paraId="275A655E"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Id. (citing U.N., Report of the Special Rapporteur on extrajudicial, summary or arbitrary executions, Christof </w:t>
      </w:r>
      <w:proofErr w:type="spellStart"/>
      <w:r w:rsidRPr="001167CB">
        <w:rPr>
          <w:rFonts w:asciiTheme="majorHAnsi" w:hAnsiTheme="majorHAnsi" w:cstheme="majorHAnsi"/>
          <w:color w:val="808080" w:themeColor="background1" w:themeShade="80"/>
          <w:sz w:val="16"/>
          <w:szCs w:val="16"/>
        </w:rPr>
        <w:t>Heyns</w:t>
      </w:r>
      <w:proofErr w:type="spellEnd"/>
      <w:r w:rsidRPr="001167CB">
        <w:rPr>
          <w:rFonts w:asciiTheme="majorHAnsi" w:hAnsiTheme="majorHAnsi" w:cstheme="majorHAnsi"/>
          <w:color w:val="808080" w:themeColor="background1" w:themeShade="80"/>
          <w:sz w:val="16"/>
          <w:szCs w:val="16"/>
        </w:rPr>
        <w:t>, A/HRC/26/36, Apr. 1, 2014, para. 23).</w:t>
      </w:r>
    </w:p>
  </w:footnote>
  <w:footnote w:id="595">
    <w:p w14:paraId="51EF8005"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bCs/>
          <w:color w:val="808080" w:themeColor="background1" w:themeShade="80"/>
          <w:sz w:val="16"/>
          <w:szCs w:val="16"/>
        </w:rPr>
        <w:t xml:space="preserve">IACHR, </w:t>
      </w:r>
      <w:hyperlink r:id="rId647" w:history="1">
        <w:r w:rsidRPr="001167CB">
          <w:rPr>
            <w:rStyle w:val="Hyperlink"/>
            <w:rFonts w:asciiTheme="majorHAnsi" w:hAnsiTheme="majorHAnsi" w:cstheme="majorHAnsi"/>
            <w:bCs/>
            <w:color w:val="808080" w:themeColor="background1" w:themeShade="80"/>
            <w:sz w:val="16"/>
            <w:szCs w:val="16"/>
          </w:rPr>
          <w:t>On-Site Visit Press Release</w:t>
        </w:r>
      </w:hyperlink>
      <w:r w:rsidRPr="001167CB">
        <w:rPr>
          <w:rFonts w:asciiTheme="majorHAnsi" w:hAnsiTheme="majorHAnsi" w:cstheme="majorHAnsi"/>
          <w:bCs/>
          <w:color w:val="808080" w:themeColor="background1" w:themeShade="80"/>
          <w:sz w:val="16"/>
          <w:szCs w:val="16"/>
        </w:rPr>
        <w:t>, Oct. 16, 2015</w:t>
      </w:r>
      <w:r w:rsidRPr="001167CB">
        <w:rPr>
          <w:rFonts w:asciiTheme="majorHAnsi" w:hAnsiTheme="majorHAnsi" w:cstheme="majorHAnsi"/>
          <w:color w:val="808080" w:themeColor="background1" w:themeShade="80"/>
          <w:sz w:val="16"/>
          <w:szCs w:val="16"/>
        </w:rPr>
        <w:t>.</w:t>
      </w:r>
    </w:p>
  </w:footnote>
  <w:footnote w:id="596">
    <w:p w14:paraId="6C0F147C"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hyperlink r:id="rId648" w:history="1">
        <w:r w:rsidRPr="001167CB">
          <w:rPr>
            <w:rStyle w:val="Hyperlink"/>
            <w:rFonts w:asciiTheme="majorHAnsi" w:hAnsiTheme="majorHAnsi" w:cstheme="majorHAnsi"/>
            <w:bCs/>
            <w:iCs/>
            <w:color w:val="808080" w:themeColor="background1" w:themeShade="80"/>
            <w:sz w:val="16"/>
            <w:szCs w:val="16"/>
          </w:rPr>
          <w:t>U.N. Basic Principles on the Use of Force</w:t>
        </w:r>
      </w:hyperlink>
      <w:r w:rsidRPr="001167CB">
        <w:rPr>
          <w:rFonts w:asciiTheme="majorHAnsi" w:hAnsiTheme="majorHAnsi" w:cstheme="majorHAnsi"/>
          <w:iCs/>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Nos. 22 and 11.</w:t>
      </w:r>
    </w:p>
  </w:footnote>
  <w:footnote w:id="597">
    <w:p w14:paraId="1991BCA1"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hyperlink r:id="rId649" w:history="1">
        <w:r w:rsidRPr="001167CB">
          <w:rPr>
            <w:rStyle w:val="Hyperlink"/>
            <w:rFonts w:asciiTheme="majorHAnsi" w:hAnsiTheme="majorHAnsi" w:cstheme="majorHAnsi"/>
            <w:bCs/>
            <w:iCs/>
            <w:color w:val="808080" w:themeColor="background1" w:themeShade="80"/>
            <w:sz w:val="16"/>
            <w:szCs w:val="16"/>
          </w:rPr>
          <w:t>U.N. Basic Principles on the Use of Force</w:t>
        </w:r>
      </w:hyperlink>
      <w:r w:rsidRPr="001167CB">
        <w:rPr>
          <w:rFonts w:asciiTheme="majorHAnsi" w:hAnsiTheme="majorHAnsi" w:cstheme="majorHAnsi"/>
          <w:iCs/>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 xml:space="preserve">No. 26.  </w:t>
      </w:r>
    </w:p>
  </w:footnote>
  <w:footnote w:id="598">
    <w:p w14:paraId="06FE2F67" w14:textId="48104101"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i/>
          <w:color w:val="808080" w:themeColor="background1" w:themeShade="80"/>
          <w:sz w:val="16"/>
          <w:szCs w:val="16"/>
        </w:rPr>
        <w:t>See supra</w:t>
      </w:r>
      <w:r w:rsidRPr="001167CB">
        <w:rPr>
          <w:rFonts w:asciiTheme="majorHAnsi" w:hAnsiTheme="majorHAnsi" w:cstheme="majorHAnsi"/>
          <w:color w:val="808080" w:themeColor="background1" w:themeShade="80"/>
          <w:sz w:val="16"/>
          <w:szCs w:val="16"/>
        </w:rPr>
        <w:t xml:space="preserve"> paras. </w:t>
      </w:r>
      <w:r w:rsidRPr="001167CB">
        <w:rPr>
          <w:rFonts w:asciiTheme="majorHAnsi" w:hAnsiTheme="majorHAnsi" w:cstheme="majorHAnsi"/>
          <w:color w:val="808080" w:themeColor="background1" w:themeShade="80"/>
          <w:sz w:val="16"/>
          <w:szCs w:val="16"/>
        </w:rPr>
        <w:fldChar w:fldCharType="begin"/>
      </w:r>
      <w:r w:rsidRPr="001167CB">
        <w:rPr>
          <w:rFonts w:asciiTheme="majorHAnsi" w:hAnsiTheme="majorHAnsi" w:cstheme="majorHAnsi"/>
          <w:color w:val="808080" w:themeColor="background1" w:themeShade="80"/>
          <w:sz w:val="16"/>
          <w:szCs w:val="16"/>
        </w:rPr>
        <w:instrText xml:space="preserve"> REF _Ref507429069 \r \h  \* MERGEFORMAT </w:instrText>
      </w:r>
      <w:r w:rsidRPr="001167CB">
        <w:rPr>
          <w:rFonts w:asciiTheme="majorHAnsi" w:hAnsiTheme="majorHAnsi" w:cstheme="majorHAnsi"/>
          <w:color w:val="808080" w:themeColor="background1" w:themeShade="80"/>
          <w:sz w:val="16"/>
          <w:szCs w:val="16"/>
        </w:rPr>
      </w:r>
      <w:r w:rsidRPr="001167CB">
        <w:rPr>
          <w:rFonts w:asciiTheme="majorHAnsi" w:hAnsiTheme="majorHAnsi" w:cstheme="majorHAnsi"/>
          <w:color w:val="808080" w:themeColor="background1" w:themeShade="80"/>
          <w:sz w:val="16"/>
          <w:szCs w:val="16"/>
        </w:rPr>
        <w:fldChar w:fldCharType="separate"/>
      </w:r>
      <w:r w:rsidRPr="001167CB">
        <w:rPr>
          <w:rFonts w:asciiTheme="majorHAnsi" w:hAnsiTheme="majorHAnsi" w:cstheme="majorHAnsi"/>
          <w:color w:val="808080" w:themeColor="background1" w:themeShade="80"/>
          <w:sz w:val="16"/>
          <w:szCs w:val="16"/>
        </w:rPr>
        <w:t>110</w:t>
      </w:r>
      <w:r w:rsidRPr="001167CB">
        <w:rPr>
          <w:rFonts w:asciiTheme="majorHAnsi" w:hAnsiTheme="majorHAnsi" w:cstheme="majorHAnsi"/>
          <w:color w:val="808080" w:themeColor="background1" w:themeShade="80"/>
          <w:sz w:val="16"/>
          <w:szCs w:val="16"/>
        </w:rPr>
        <w:fldChar w:fldCharType="end"/>
      </w:r>
      <w:r w:rsidRPr="001167CB">
        <w:rPr>
          <w:rFonts w:asciiTheme="majorHAnsi" w:hAnsiTheme="majorHAnsi" w:cstheme="majorHAnsi"/>
          <w:color w:val="808080" w:themeColor="background1" w:themeShade="80"/>
          <w:sz w:val="16"/>
          <w:szCs w:val="16"/>
        </w:rPr>
        <w:t>-</w:t>
      </w:r>
      <w:r w:rsidRPr="001167CB">
        <w:rPr>
          <w:rFonts w:asciiTheme="majorHAnsi" w:hAnsiTheme="majorHAnsi" w:cstheme="majorHAnsi"/>
          <w:color w:val="808080" w:themeColor="background1" w:themeShade="80"/>
          <w:sz w:val="16"/>
          <w:szCs w:val="16"/>
        </w:rPr>
        <w:fldChar w:fldCharType="begin"/>
      </w:r>
      <w:r w:rsidRPr="001167CB">
        <w:rPr>
          <w:rFonts w:asciiTheme="majorHAnsi" w:hAnsiTheme="majorHAnsi" w:cstheme="majorHAnsi"/>
          <w:color w:val="808080" w:themeColor="background1" w:themeShade="80"/>
          <w:sz w:val="16"/>
          <w:szCs w:val="16"/>
        </w:rPr>
        <w:instrText xml:space="preserve"> REF _Ref507429070 \r \h  \* MERGEFORMAT </w:instrText>
      </w:r>
      <w:r w:rsidRPr="001167CB">
        <w:rPr>
          <w:rFonts w:asciiTheme="majorHAnsi" w:hAnsiTheme="majorHAnsi" w:cstheme="majorHAnsi"/>
          <w:color w:val="808080" w:themeColor="background1" w:themeShade="80"/>
          <w:sz w:val="16"/>
          <w:szCs w:val="16"/>
        </w:rPr>
      </w:r>
      <w:r w:rsidRPr="001167CB">
        <w:rPr>
          <w:rFonts w:asciiTheme="majorHAnsi" w:hAnsiTheme="majorHAnsi" w:cstheme="majorHAnsi"/>
          <w:color w:val="808080" w:themeColor="background1" w:themeShade="80"/>
          <w:sz w:val="16"/>
          <w:szCs w:val="16"/>
        </w:rPr>
        <w:fldChar w:fldCharType="separate"/>
      </w:r>
      <w:r w:rsidRPr="001167CB">
        <w:rPr>
          <w:rFonts w:asciiTheme="majorHAnsi" w:hAnsiTheme="majorHAnsi" w:cstheme="majorHAnsi"/>
          <w:color w:val="808080" w:themeColor="background1" w:themeShade="80"/>
          <w:sz w:val="16"/>
          <w:szCs w:val="16"/>
        </w:rPr>
        <w:t>111</w:t>
      </w:r>
      <w:r w:rsidRPr="001167CB">
        <w:rPr>
          <w:rFonts w:asciiTheme="majorHAnsi" w:hAnsiTheme="majorHAnsi" w:cstheme="majorHAnsi"/>
          <w:color w:val="808080" w:themeColor="background1" w:themeShade="80"/>
          <w:sz w:val="16"/>
          <w:szCs w:val="16"/>
        </w:rPr>
        <w:fldChar w:fldCharType="end"/>
      </w:r>
      <w:r w:rsidRPr="001167CB">
        <w:rPr>
          <w:rFonts w:asciiTheme="majorHAnsi" w:hAnsiTheme="majorHAnsi" w:cstheme="majorHAnsi"/>
          <w:color w:val="808080" w:themeColor="background1" w:themeShade="80"/>
          <w:sz w:val="16"/>
          <w:szCs w:val="16"/>
        </w:rPr>
        <w:t>.</w:t>
      </w:r>
    </w:p>
  </w:footnote>
  <w:footnote w:id="599">
    <w:p w14:paraId="606D3DC2"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Information received from Robert F. Kennedy Human Rights during 166</w:t>
      </w:r>
      <w:r w:rsidRPr="001167CB">
        <w:rPr>
          <w:rFonts w:asciiTheme="majorHAnsi" w:hAnsiTheme="majorHAnsi" w:cstheme="majorHAnsi"/>
          <w:color w:val="808080" w:themeColor="background1" w:themeShade="80"/>
          <w:sz w:val="16"/>
          <w:szCs w:val="16"/>
          <w:vertAlign w:val="superscript"/>
        </w:rPr>
        <w:t>th</w:t>
      </w:r>
      <w:r w:rsidRPr="001167CB">
        <w:rPr>
          <w:rFonts w:asciiTheme="majorHAnsi" w:hAnsiTheme="majorHAnsi" w:cstheme="majorHAnsi"/>
          <w:color w:val="808080" w:themeColor="background1" w:themeShade="80"/>
          <w:sz w:val="16"/>
          <w:szCs w:val="16"/>
        </w:rPr>
        <w:t xml:space="preserve"> Period of Sessions, Thematic Hearing: Reports of Impunity for Extrajudicial Killings in the United States, Dec. 7, 2017, p. 1 (citing MSNBC, </w:t>
      </w:r>
      <w:hyperlink r:id="rId650" w:history="1">
        <w:r w:rsidRPr="001167CB">
          <w:rPr>
            <w:rStyle w:val="Hyperlink"/>
            <w:rFonts w:asciiTheme="majorHAnsi" w:hAnsiTheme="majorHAnsi" w:cstheme="majorHAnsi"/>
            <w:color w:val="808080" w:themeColor="background1" w:themeShade="80"/>
            <w:sz w:val="16"/>
            <w:szCs w:val="16"/>
          </w:rPr>
          <w:t>Prosecutors and police: The inherent conflict in our courts</w:t>
        </w:r>
      </w:hyperlink>
      <w:r w:rsidRPr="001167CB">
        <w:rPr>
          <w:rFonts w:asciiTheme="majorHAnsi" w:hAnsiTheme="majorHAnsi" w:cstheme="majorHAnsi"/>
          <w:color w:val="808080" w:themeColor="background1" w:themeShade="80"/>
          <w:sz w:val="16"/>
          <w:szCs w:val="16"/>
        </w:rPr>
        <w:t xml:space="preserve">, Dec. 5, 2014; FiveThirtyEight, </w:t>
      </w:r>
      <w:hyperlink r:id="rId651" w:history="1">
        <w:r w:rsidRPr="001167CB">
          <w:rPr>
            <w:rStyle w:val="Hyperlink"/>
            <w:rFonts w:asciiTheme="majorHAnsi" w:hAnsiTheme="majorHAnsi" w:cstheme="majorHAnsi"/>
            <w:color w:val="808080" w:themeColor="background1" w:themeShade="80"/>
            <w:sz w:val="16"/>
            <w:szCs w:val="16"/>
          </w:rPr>
          <w:t>Allegations Of Police Misconduct Rarely Result In Charges</w:t>
        </w:r>
      </w:hyperlink>
      <w:r w:rsidRPr="001167CB">
        <w:rPr>
          <w:rFonts w:asciiTheme="majorHAnsi" w:hAnsiTheme="majorHAnsi" w:cstheme="majorHAnsi"/>
          <w:color w:val="808080" w:themeColor="background1" w:themeShade="80"/>
          <w:sz w:val="16"/>
          <w:szCs w:val="16"/>
        </w:rPr>
        <w:t xml:space="preserve">, Nov. 25, 2014; Washington Post, </w:t>
      </w:r>
      <w:hyperlink r:id="rId652" w:history="1">
        <w:r w:rsidRPr="001167CB">
          <w:rPr>
            <w:rStyle w:val="Hyperlink"/>
            <w:rFonts w:asciiTheme="majorHAnsi" w:hAnsiTheme="majorHAnsi" w:cstheme="majorHAnsi"/>
            <w:color w:val="808080" w:themeColor="background1" w:themeShade="80"/>
            <w:sz w:val="16"/>
            <w:szCs w:val="16"/>
          </w:rPr>
          <w:t>Thousands Dead, Few Prosecuted</w:t>
        </w:r>
      </w:hyperlink>
      <w:r w:rsidRPr="001167CB">
        <w:rPr>
          <w:rFonts w:asciiTheme="majorHAnsi" w:hAnsiTheme="majorHAnsi" w:cstheme="majorHAnsi"/>
          <w:color w:val="808080" w:themeColor="background1" w:themeShade="80"/>
          <w:sz w:val="16"/>
          <w:szCs w:val="16"/>
        </w:rPr>
        <w:t xml:space="preserve">, Apr. 11, 2015; Houston Chronicle, </w:t>
      </w:r>
      <w:hyperlink r:id="rId653" w:history="1">
        <w:r w:rsidRPr="001167CB">
          <w:rPr>
            <w:rStyle w:val="Hyperlink"/>
            <w:rFonts w:asciiTheme="majorHAnsi" w:hAnsiTheme="majorHAnsi" w:cstheme="majorHAnsi"/>
            <w:color w:val="808080" w:themeColor="background1" w:themeShade="80"/>
            <w:sz w:val="16"/>
            <w:szCs w:val="16"/>
          </w:rPr>
          <w:t>Hard to Charge</w:t>
        </w:r>
      </w:hyperlink>
      <w:r w:rsidRPr="001167CB">
        <w:rPr>
          <w:rFonts w:asciiTheme="majorHAnsi" w:hAnsiTheme="majorHAnsi" w:cstheme="majorHAnsi"/>
          <w:color w:val="808080" w:themeColor="background1" w:themeShade="80"/>
          <w:sz w:val="16"/>
          <w:szCs w:val="16"/>
        </w:rPr>
        <w:t xml:space="preserve">, last visited </w:t>
      </w:r>
      <w:r w:rsidRPr="001167CB">
        <w:rPr>
          <w:rFonts w:asciiTheme="majorHAnsi" w:hAnsiTheme="majorHAnsi" w:cstheme="majorHAnsi"/>
          <w:bCs/>
          <w:color w:val="808080" w:themeColor="background1" w:themeShade="80"/>
          <w:sz w:val="16"/>
          <w:szCs w:val="16"/>
        </w:rPr>
        <w:t xml:space="preserve">Oct. </w:t>
      </w:r>
      <w:r w:rsidRPr="001167CB">
        <w:rPr>
          <w:rFonts w:asciiTheme="majorHAnsi" w:hAnsiTheme="majorHAnsi" w:cstheme="majorHAnsi"/>
          <w:color w:val="808080" w:themeColor="background1" w:themeShade="80"/>
          <w:sz w:val="16"/>
          <w:szCs w:val="16"/>
        </w:rPr>
        <w:t xml:space="preserve">5, 2015; Bureau of Justice Statistics, </w:t>
      </w:r>
      <w:hyperlink r:id="rId654" w:history="1">
        <w:r w:rsidRPr="001167CB">
          <w:rPr>
            <w:rStyle w:val="Hyperlink"/>
            <w:rFonts w:asciiTheme="majorHAnsi" w:hAnsiTheme="majorHAnsi" w:cstheme="majorHAnsi"/>
            <w:color w:val="808080" w:themeColor="background1" w:themeShade="80"/>
            <w:sz w:val="16"/>
            <w:szCs w:val="16"/>
          </w:rPr>
          <w:t>Federal Justice Statistics 2010 – Statistical Tables</w:t>
        </w:r>
      </w:hyperlink>
      <w:r w:rsidRPr="001167CB">
        <w:rPr>
          <w:rFonts w:asciiTheme="majorHAnsi" w:hAnsiTheme="majorHAnsi" w:cstheme="majorHAnsi"/>
          <w:color w:val="808080" w:themeColor="background1" w:themeShade="80"/>
          <w:sz w:val="16"/>
          <w:szCs w:val="16"/>
        </w:rPr>
        <w:t xml:space="preserve">, Dec. 2013). </w:t>
      </w:r>
    </w:p>
  </w:footnote>
  <w:footnote w:id="600">
    <w:p w14:paraId="59E73648"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bCs/>
          <w:color w:val="808080" w:themeColor="background1" w:themeShade="80"/>
          <w:sz w:val="16"/>
          <w:szCs w:val="16"/>
        </w:rPr>
        <w:t xml:space="preserve">COPS, </w:t>
      </w:r>
      <w:hyperlink r:id="rId655" w:history="1">
        <w:r w:rsidRPr="001167CB">
          <w:rPr>
            <w:rStyle w:val="Hyperlink"/>
            <w:rFonts w:asciiTheme="majorHAnsi" w:hAnsiTheme="majorHAnsi" w:cstheme="majorHAnsi"/>
            <w:bCs/>
            <w:color w:val="808080" w:themeColor="background1" w:themeShade="80"/>
            <w:sz w:val="16"/>
            <w:szCs w:val="16"/>
          </w:rPr>
          <w:t>Final Report of the President’s Task Force on 21</w:t>
        </w:r>
        <w:r w:rsidRPr="001167CB">
          <w:rPr>
            <w:rStyle w:val="Hyperlink"/>
            <w:rFonts w:asciiTheme="majorHAnsi" w:hAnsiTheme="majorHAnsi" w:cstheme="majorHAnsi"/>
            <w:bCs/>
            <w:color w:val="808080" w:themeColor="background1" w:themeShade="80"/>
            <w:sz w:val="16"/>
            <w:szCs w:val="16"/>
            <w:vertAlign w:val="superscript"/>
          </w:rPr>
          <w:t>st</w:t>
        </w:r>
        <w:r w:rsidRPr="001167CB">
          <w:rPr>
            <w:rStyle w:val="Hyperlink"/>
            <w:rFonts w:asciiTheme="majorHAnsi" w:hAnsiTheme="majorHAnsi" w:cstheme="majorHAnsi"/>
            <w:bCs/>
            <w:color w:val="808080" w:themeColor="background1" w:themeShade="80"/>
            <w:sz w:val="16"/>
            <w:szCs w:val="16"/>
          </w:rPr>
          <w:t xml:space="preserve"> Century Policing</w:t>
        </w:r>
      </w:hyperlink>
      <w:r w:rsidRPr="001167CB">
        <w:rPr>
          <w:rFonts w:asciiTheme="majorHAnsi" w:hAnsiTheme="majorHAnsi" w:cstheme="majorHAnsi"/>
          <w:bCs/>
          <w:color w:val="808080" w:themeColor="background1" w:themeShade="80"/>
          <w:sz w:val="16"/>
          <w:szCs w:val="16"/>
        </w:rPr>
        <w:t>, May 2015</w:t>
      </w:r>
      <w:r w:rsidRPr="001167CB">
        <w:rPr>
          <w:rFonts w:asciiTheme="majorHAnsi" w:hAnsiTheme="majorHAnsi" w:cstheme="majorHAnsi"/>
          <w:color w:val="808080" w:themeColor="background1" w:themeShade="80"/>
          <w:sz w:val="16"/>
          <w:szCs w:val="16"/>
        </w:rPr>
        <w:t xml:space="preserve">, Rec. 2.2.2. </w:t>
      </w:r>
    </w:p>
  </w:footnote>
  <w:footnote w:id="601">
    <w:p w14:paraId="161A5D32"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hyperlink r:id="rId656" w:history="1">
        <w:r w:rsidRPr="001167CB">
          <w:rPr>
            <w:rStyle w:val="Hyperlink"/>
            <w:rFonts w:asciiTheme="majorHAnsi" w:hAnsiTheme="majorHAnsi" w:cstheme="majorHAnsi"/>
            <w:bCs/>
            <w:iCs/>
            <w:color w:val="808080" w:themeColor="background1" w:themeShade="80"/>
            <w:sz w:val="16"/>
            <w:szCs w:val="16"/>
          </w:rPr>
          <w:t>U.N. Basic Principles on the Use of Force</w:t>
        </w:r>
      </w:hyperlink>
      <w:r w:rsidRPr="001167CB">
        <w:rPr>
          <w:rFonts w:asciiTheme="majorHAnsi" w:hAnsiTheme="majorHAnsi" w:cstheme="majorHAnsi"/>
          <w:iCs/>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No. 22.</w:t>
      </w:r>
    </w:p>
  </w:footnote>
  <w:footnote w:id="602">
    <w:p w14:paraId="0C76165E"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hyperlink r:id="rId657" w:history="1">
        <w:r w:rsidRPr="001167CB">
          <w:rPr>
            <w:rStyle w:val="Hyperlink"/>
            <w:rFonts w:asciiTheme="majorHAnsi" w:hAnsiTheme="majorHAnsi" w:cstheme="majorHAnsi"/>
            <w:bCs/>
            <w:iCs/>
            <w:color w:val="808080" w:themeColor="background1" w:themeShade="80"/>
            <w:sz w:val="16"/>
            <w:szCs w:val="16"/>
          </w:rPr>
          <w:t>U.N. Basic Principles on the Use of Force</w:t>
        </w:r>
      </w:hyperlink>
      <w:r w:rsidRPr="001167CB">
        <w:rPr>
          <w:rFonts w:asciiTheme="majorHAnsi" w:hAnsiTheme="majorHAnsi" w:cstheme="majorHAnsi"/>
          <w:iCs/>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No. 22.</w:t>
      </w:r>
    </w:p>
  </w:footnote>
  <w:footnote w:id="603">
    <w:p w14:paraId="2944C767" w14:textId="7295EE2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i/>
          <w:color w:val="808080" w:themeColor="background1" w:themeShade="80"/>
          <w:sz w:val="16"/>
          <w:szCs w:val="16"/>
        </w:rPr>
        <w:t>See supra</w:t>
      </w:r>
      <w:r w:rsidRPr="001167CB">
        <w:rPr>
          <w:rFonts w:asciiTheme="majorHAnsi" w:hAnsiTheme="majorHAnsi" w:cstheme="majorHAnsi"/>
          <w:color w:val="808080" w:themeColor="background1" w:themeShade="80"/>
          <w:sz w:val="16"/>
          <w:szCs w:val="16"/>
        </w:rPr>
        <w:t xml:space="preserve"> para. </w:t>
      </w:r>
      <w:r w:rsidRPr="001167CB">
        <w:rPr>
          <w:rFonts w:asciiTheme="majorHAnsi" w:hAnsiTheme="majorHAnsi" w:cstheme="majorHAnsi"/>
          <w:color w:val="808080" w:themeColor="background1" w:themeShade="80"/>
          <w:sz w:val="16"/>
          <w:szCs w:val="16"/>
        </w:rPr>
        <w:fldChar w:fldCharType="begin"/>
      </w:r>
      <w:r w:rsidRPr="001167CB">
        <w:rPr>
          <w:rFonts w:asciiTheme="majorHAnsi" w:hAnsiTheme="majorHAnsi" w:cstheme="majorHAnsi"/>
          <w:color w:val="808080" w:themeColor="background1" w:themeShade="80"/>
          <w:sz w:val="16"/>
          <w:szCs w:val="16"/>
        </w:rPr>
        <w:instrText xml:space="preserve"> REF _Ref511222838 \r \h  \* MERGEFORMAT </w:instrText>
      </w:r>
      <w:r w:rsidRPr="001167CB">
        <w:rPr>
          <w:rFonts w:asciiTheme="majorHAnsi" w:hAnsiTheme="majorHAnsi" w:cstheme="majorHAnsi"/>
          <w:color w:val="808080" w:themeColor="background1" w:themeShade="80"/>
          <w:sz w:val="16"/>
          <w:szCs w:val="16"/>
        </w:rPr>
      </w:r>
      <w:r w:rsidRPr="001167CB">
        <w:rPr>
          <w:rFonts w:asciiTheme="majorHAnsi" w:hAnsiTheme="majorHAnsi" w:cstheme="majorHAnsi"/>
          <w:color w:val="808080" w:themeColor="background1" w:themeShade="80"/>
          <w:sz w:val="16"/>
          <w:szCs w:val="16"/>
        </w:rPr>
        <w:fldChar w:fldCharType="separate"/>
      </w:r>
      <w:r w:rsidRPr="001167CB">
        <w:rPr>
          <w:rFonts w:asciiTheme="majorHAnsi" w:hAnsiTheme="majorHAnsi" w:cstheme="majorHAnsi"/>
          <w:color w:val="808080" w:themeColor="background1" w:themeShade="80"/>
          <w:sz w:val="16"/>
          <w:szCs w:val="16"/>
        </w:rPr>
        <w:t>113</w:t>
      </w:r>
      <w:r w:rsidRPr="001167CB">
        <w:rPr>
          <w:rFonts w:asciiTheme="majorHAnsi" w:hAnsiTheme="majorHAnsi" w:cstheme="majorHAnsi"/>
          <w:color w:val="808080" w:themeColor="background1" w:themeShade="80"/>
          <w:sz w:val="16"/>
          <w:szCs w:val="16"/>
        </w:rPr>
        <w:fldChar w:fldCharType="end"/>
      </w:r>
      <w:r w:rsidRPr="001167CB">
        <w:rPr>
          <w:rFonts w:asciiTheme="majorHAnsi" w:hAnsiTheme="majorHAnsi" w:cstheme="majorHAnsi"/>
          <w:color w:val="808080" w:themeColor="background1" w:themeShade="80"/>
          <w:sz w:val="16"/>
          <w:szCs w:val="16"/>
        </w:rPr>
        <w:t>.</w:t>
      </w:r>
    </w:p>
  </w:footnote>
  <w:footnote w:id="604">
    <w:p w14:paraId="4EA2772F"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IACHR, </w:t>
      </w:r>
      <w:hyperlink r:id="rId658" w:history="1">
        <w:r w:rsidRPr="001167CB">
          <w:rPr>
            <w:rStyle w:val="Hyperlink"/>
            <w:rFonts w:asciiTheme="majorHAnsi" w:hAnsiTheme="majorHAnsi" w:cstheme="majorHAnsi"/>
            <w:color w:val="808080" w:themeColor="background1" w:themeShade="80"/>
            <w:sz w:val="16"/>
            <w:szCs w:val="16"/>
          </w:rPr>
          <w:t>Annual Report 2015, Chapter IV: The Use of Force</w:t>
        </w:r>
      </w:hyperlink>
      <w:r w:rsidRPr="001167CB">
        <w:rPr>
          <w:rFonts w:asciiTheme="majorHAnsi" w:hAnsiTheme="majorHAnsi" w:cstheme="majorHAnsi"/>
          <w:color w:val="808080" w:themeColor="background1" w:themeShade="80"/>
          <w:sz w:val="16"/>
          <w:szCs w:val="16"/>
        </w:rPr>
        <w:t>, Mar. 17, 2016, para. 228 (citation omitted).</w:t>
      </w:r>
    </w:p>
  </w:footnote>
  <w:footnote w:id="605">
    <w:p w14:paraId="49C32BD4" w14:textId="74D3A250"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i/>
          <w:color w:val="808080" w:themeColor="background1" w:themeShade="80"/>
          <w:sz w:val="16"/>
          <w:szCs w:val="16"/>
        </w:rPr>
        <w:t>See supra</w:t>
      </w:r>
      <w:r w:rsidRPr="001167CB">
        <w:rPr>
          <w:rFonts w:asciiTheme="majorHAnsi" w:hAnsiTheme="majorHAnsi" w:cstheme="majorHAnsi"/>
          <w:color w:val="808080" w:themeColor="background1" w:themeShade="80"/>
          <w:sz w:val="16"/>
          <w:szCs w:val="16"/>
        </w:rPr>
        <w:t xml:space="preserve"> para. </w:t>
      </w:r>
      <w:r w:rsidRPr="001167CB">
        <w:rPr>
          <w:rFonts w:asciiTheme="majorHAnsi" w:hAnsiTheme="majorHAnsi" w:cstheme="majorHAnsi"/>
          <w:color w:val="808080" w:themeColor="background1" w:themeShade="80"/>
          <w:sz w:val="16"/>
          <w:szCs w:val="16"/>
        </w:rPr>
        <w:fldChar w:fldCharType="begin"/>
      </w:r>
      <w:r w:rsidRPr="001167CB">
        <w:rPr>
          <w:rFonts w:asciiTheme="majorHAnsi" w:hAnsiTheme="majorHAnsi" w:cstheme="majorHAnsi"/>
          <w:color w:val="808080" w:themeColor="background1" w:themeShade="80"/>
          <w:sz w:val="16"/>
          <w:szCs w:val="16"/>
        </w:rPr>
        <w:instrText xml:space="preserve"> REF _Ref507429434 \r \h  \* MERGEFORMAT </w:instrText>
      </w:r>
      <w:r w:rsidRPr="001167CB">
        <w:rPr>
          <w:rFonts w:asciiTheme="majorHAnsi" w:hAnsiTheme="majorHAnsi" w:cstheme="majorHAnsi"/>
          <w:color w:val="808080" w:themeColor="background1" w:themeShade="80"/>
          <w:sz w:val="16"/>
          <w:szCs w:val="16"/>
        </w:rPr>
      </w:r>
      <w:r w:rsidRPr="001167CB">
        <w:rPr>
          <w:rFonts w:asciiTheme="majorHAnsi" w:hAnsiTheme="majorHAnsi" w:cstheme="majorHAnsi"/>
          <w:color w:val="808080" w:themeColor="background1" w:themeShade="80"/>
          <w:sz w:val="16"/>
          <w:szCs w:val="16"/>
        </w:rPr>
        <w:fldChar w:fldCharType="separate"/>
      </w:r>
      <w:r w:rsidRPr="001167CB">
        <w:rPr>
          <w:rFonts w:asciiTheme="majorHAnsi" w:hAnsiTheme="majorHAnsi" w:cstheme="majorHAnsi"/>
          <w:color w:val="808080" w:themeColor="background1" w:themeShade="80"/>
          <w:sz w:val="16"/>
          <w:szCs w:val="16"/>
        </w:rPr>
        <w:t>112</w:t>
      </w:r>
      <w:r w:rsidRPr="001167CB">
        <w:rPr>
          <w:rFonts w:asciiTheme="majorHAnsi" w:hAnsiTheme="majorHAnsi" w:cstheme="majorHAnsi"/>
          <w:color w:val="808080" w:themeColor="background1" w:themeShade="80"/>
          <w:sz w:val="16"/>
          <w:szCs w:val="16"/>
        </w:rPr>
        <w:fldChar w:fldCharType="end"/>
      </w:r>
      <w:r w:rsidRPr="001167CB">
        <w:rPr>
          <w:rFonts w:asciiTheme="majorHAnsi" w:hAnsiTheme="majorHAnsi" w:cstheme="majorHAnsi"/>
          <w:color w:val="808080" w:themeColor="background1" w:themeShade="80"/>
          <w:sz w:val="16"/>
          <w:szCs w:val="16"/>
        </w:rPr>
        <w:t>.</w:t>
      </w:r>
    </w:p>
  </w:footnote>
  <w:footnote w:id="606">
    <w:p w14:paraId="5F75311E"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Committee Against Torture, Concluding observations on the combined third to fifth periodic reports of the United States of America, CAT/C/USA/CO/3-5, Dec. 19, 2014, para. 26.</w:t>
      </w:r>
    </w:p>
  </w:footnote>
  <w:footnote w:id="607">
    <w:p w14:paraId="2DEA2238"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IACHR, </w:t>
      </w:r>
      <w:hyperlink r:id="rId659" w:history="1">
        <w:r w:rsidRPr="001167CB">
          <w:rPr>
            <w:rStyle w:val="Hyperlink"/>
            <w:rFonts w:asciiTheme="majorHAnsi" w:hAnsiTheme="majorHAnsi" w:cstheme="majorHAnsi"/>
            <w:color w:val="808080" w:themeColor="background1" w:themeShade="80"/>
            <w:sz w:val="16"/>
            <w:szCs w:val="16"/>
          </w:rPr>
          <w:t>Annual Report 2015, Chapter IV: The Use of Force</w:t>
        </w:r>
      </w:hyperlink>
      <w:r w:rsidRPr="001167CB">
        <w:rPr>
          <w:rFonts w:asciiTheme="majorHAnsi" w:hAnsiTheme="majorHAnsi" w:cstheme="majorHAnsi"/>
          <w:color w:val="808080" w:themeColor="background1" w:themeShade="80"/>
          <w:sz w:val="16"/>
          <w:szCs w:val="16"/>
        </w:rPr>
        <w:t xml:space="preserve">, Mar. 17, 2016, para. 233 (citing </w:t>
      </w:r>
      <w:hyperlink r:id="rId660" w:history="1">
        <w:r w:rsidRPr="001167CB">
          <w:rPr>
            <w:rStyle w:val="Hyperlink"/>
            <w:rFonts w:asciiTheme="majorHAnsi" w:hAnsiTheme="majorHAnsi" w:cstheme="majorHAnsi"/>
            <w:bCs/>
            <w:iCs/>
            <w:color w:val="808080" w:themeColor="background1" w:themeShade="80"/>
            <w:sz w:val="16"/>
            <w:szCs w:val="16"/>
          </w:rPr>
          <w:t>U.N. Basic Principles on the Use of Force</w:t>
        </w:r>
      </w:hyperlink>
      <w:r w:rsidRPr="001167CB">
        <w:rPr>
          <w:rFonts w:asciiTheme="majorHAnsi" w:hAnsiTheme="majorHAnsi" w:cstheme="majorHAnsi"/>
          <w:iCs/>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No. 24).</w:t>
      </w:r>
    </w:p>
  </w:footnote>
  <w:footnote w:id="608">
    <w:p w14:paraId="0A2F7B6A"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Id. (citing </w:t>
      </w:r>
      <w:hyperlink r:id="rId661" w:history="1">
        <w:r w:rsidRPr="001167CB">
          <w:rPr>
            <w:rStyle w:val="Hyperlink"/>
            <w:rFonts w:asciiTheme="majorHAnsi" w:hAnsiTheme="majorHAnsi" w:cstheme="majorHAnsi"/>
            <w:bCs/>
            <w:iCs/>
            <w:color w:val="808080" w:themeColor="background1" w:themeShade="80"/>
            <w:sz w:val="16"/>
            <w:szCs w:val="16"/>
          </w:rPr>
          <w:t>U.N. Basic Principles on the Use of Force</w:t>
        </w:r>
      </w:hyperlink>
      <w:r w:rsidRPr="001167CB">
        <w:rPr>
          <w:rFonts w:asciiTheme="majorHAnsi" w:hAnsiTheme="majorHAnsi" w:cstheme="majorHAnsi"/>
          <w:iCs/>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No. 26).</w:t>
      </w:r>
    </w:p>
  </w:footnote>
  <w:footnote w:id="609">
    <w:p w14:paraId="5A9E4668"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Id. at para 232.</w:t>
      </w:r>
    </w:p>
  </w:footnote>
  <w:footnote w:id="610">
    <w:p w14:paraId="04FFE6C4" w14:textId="63A66DA5"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i/>
          <w:color w:val="808080" w:themeColor="background1" w:themeShade="80"/>
          <w:sz w:val="16"/>
          <w:szCs w:val="16"/>
        </w:rPr>
        <w:t>See supra</w:t>
      </w:r>
      <w:r w:rsidRPr="001167CB">
        <w:rPr>
          <w:rFonts w:asciiTheme="majorHAnsi" w:hAnsiTheme="majorHAnsi" w:cstheme="majorHAnsi"/>
          <w:color w:val="808080" w:themeColor="background1" w:themeShade="80"/>
          <w:sz w:val="16"/>
          <w:szCs w:val="16"/>
        </w:rPr>
        <w:t xml:space="preserve"> paras. </w:t>
      </w:r>
      <w:r w:rsidRPr="001167CB">
        <w:rPr>
          <w:rFonts w:asciiTheme="majorHAnsi" w:hAnsiTheme="majorHAnsi" w:cstheme="majorHAnsi"/>
          <w:color w:val="808080" w:themeColor="background1" w:themeShade="80"/>
          <w:sz w:val="16"/>
          <w:szCs w:val="16"/>
        </w:rPr>
        <w:fldChar w:fldCharType="begin"/>
      </w:r>
      <w:r w:rsidRPr="001167CB">
        <w:rPr>
          <w:rFonts w:asciiTheme="majorHAnsi" w:hAnsiTheme="majorHAnsi" w:cstheme="majorHAnsi"/>
          <w:color w:val="808080" w:themeColor="background1" w:themeShade="80"/>
          <w:sz w:val="16"/>
          <w:szCs w:val="16"/>
        </w:rPr>
        <w:instrText xml:space="preserve"> REF _Ref507429957 \r \h  \* MERGEFORMAT </w:instrText>
      </w:r>
      <w:r w:rsidRPr="001167CB">
        <w:rPr>
          <w:rFonts w:asciiTheme="majorHAnsi" w:hAnsiTheme="majorHAnsi" w:cstheme="majorHAnsi"/>
          <w:color w:val="808080" w:themeColor="background1" w:themeShade="80"/>
          <w:sz w:val="16"/>
          <w:szCs w:val="16"/>
        </w:rPr>
      </w:r>
      <w:r w:rsidRPr="001167CB">
        <w:rPr>
          <w:rFonts w:asciiTheme="majorHAnsi" w:hAnsiTheme="majorHAnsi" w:cstheme="majorHAnsi"/>
          <w:color w:val="808080" w:themeColor="background1" w:themeShade="80"/>
          <w:sz w:val="16"/>
          <w:szCs w:val="16"/>
        </w:rPr>
        <w:fldChar w:fldCharType="separate"/>
      </w:r>
      <w:r w:rsidRPr="001167CB">
        <w:rPr>
          <w:rFonts w:asciiTheme="majorHAnsi" w:hAnsiTheme="majorHAnsi" w:cstheme="majorHAnsi"/>
          <w:color w:val="808080" w:themeColor="background1" w:themeShade="80"/>
          <w:sz w:val="16"/>
          <w:szCs w:val="16"/>
        </w:rPr>
        <w:t>103</w:t>
      </w:r>
      <w:r w:rsidRPr="001167CB">
        <w:rPr>
          <w:rFonts w:asciiTheme="majorHAnsi" w:hAnsiTheme="majorHAnsi" w:cstheme="majorHAnsi"/>
          <w:color w:val="808080" w:themeColor="background1" w:themeShade="80"/>
          <w:sz w:val="16"/>
          <w:szCs w:val="16"/>
        </w:rPr>
        <w:fldChar w:fldCharType="end"/>
      </w:r>
      <w:r w:rsidRPr="001167CB">
        <w:rPr>
          <w:rFonts w:asciiTheme="majorHAnsi" w:hAnsiTheme="majorHAnsi" w:cstheme="majorHAnsi"/>
          <w:color w:val="808080" w:themeColor="background1" w:themeShade="80"/>
          <w:sz w:val="16"/>
          <w:szCs w:val="16"/>
        </w:rPr>
        <w:t>-</w:t>
      </w:r>
      <w:r w:rsidRPr="001167CB">
        <w:rPr>
          <w:rFonts w:asciiTheme="majorHAnsi" w:hAnsiTheme="majorHAnsi" w:cstheme="majorHAnsi"/>
          <w:color w:val="808080" w:themeColor="background1" w:themeShade="80"/>
          <w:sz w:val="16"/>
          <w:szCs w:val="16"/>
        </w:rPr>
        <w:fldChar w:fldCharType="begin"/>
      </w:r>
      <w:r w:rsidRPr="001167CB">
        <w:rPr>
          <w:rFonts w:asciiTheme="majorHAnsi" w:hAnsiTheme="majorHAnsi" w:cstheme="majorHAnsi"/>
          <w:color w:val="808080" w:themeColor="background1" w:themeShade="80"/>
          <w:sz w:val="16"/>
          <w:szCs w:val="16"/>
        </w:rPr>
        <w:instrText xml:space="preserve"> REF _Ref507429959 \r \h  \* MERGEFORMAT </w:instrText>
      </w:r>
      <w:r w:rsidRPr="001167CB">
        <w:rPr>
          <w:rFonts w:asciiTheme="majorHAnsi" w:hAnsiTheme="majorHAnsi" w:cstheme="majorHAnsi"/>
          <w:color w:val="808080" w:themeColor="background1" w:themeShade="80"/>
          <w:sz w:val="16"/>
          <w:szCs w:val="16"/>
        </w:rPr>
      </w:r>
      <w:r w:rsidRPr="001167CB">
        <w:rPr>
          <w:rFonts w:asciiTheme="majorHAnsi" w:hAnsiTheme="majorHAnsi" w:cstheme="majorHAnsi"/>
          <w:color w:val="808080" w:themeColor="background1" w:themeShade="80"/>
          <w:sz w:val="16"/>
          <w:szCs w:val="16"/>
        </w:rPr>
        <w:fldChar w:fldCharType="separate"/>
      </w:r>
      <w:r w:rsidRPr="001167CB">
        <w:rPr>
          <w:rFonts w:asciiTheme="majorHAnsi" w:hAnsiTheme="majorHAnsi" w:cstheme="majorHAnsi"/>
          <w:color w:val="808080" w:themeColor="background1" w:themeShade="80"/>
          <w:sz w:val="16"/>
          <w:szCs w:val="16"/>
        </w:rPr>
        <w:t>105</w:t>
      </w:r>
      <w:r w:rsidRPr="001167CB">
        <w:rPr>
          <w:rFonts w:asciiTheme="majorHAnsi" w:hAnsiTheme="majorHAnsi" w:cstheme="majorHAnsi"/>
          <w:color w:val="808080" w:themeColor="background1" w:themeShade="80"/>
          <w:sz w:val="16"/>
          <w:szCs w:val="16"/>
        </w:rPr>
        <w:fldChar w:fldCharType="end"/>
      </w:r>
      <w:r w:rsidRPr="001167CB">
        <w:rPr>
          <w:rFonts w:asciiTheme="majorHAnsi" w:hAnsiTheme="majorHAnsi" w:cstheme="majorHAnsi"/>
          <w:color w:val="808080" w:themeColor="background1" w:themeShade="80"/>
          <w:sz w:val="16"/>
          <w:szCs w:val="16"/>
        </w:rPr>
        <w:t>.</w:t>
      </w:r>
    </w:p>
  </w:footnote>
  <w:footnote w:id="611">
    <w:p w14:paraId="68449EA7"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i/>
          <w:color w:val="808080" w:themeColor="background1" w:themeShade="80"/>
          <w:sz w:val="16"/>
          <w:szCs w:val="16"/>
        </w:rPr>
        <w:t xml:space="preserve">See </w:t>
      </w:r>
      <w:r w:rsidRPr="001167CB">
        <w:rPr>
          <w:rFonts w:asciiTheme="majorHAnsi" w:hAnsiTheme="majorHAnsi" w:cstheme="majorHAnsi"/>
          <w:bCs/>
          <w:color w:val="808080" w:themeColor="background1" w:themeShade="80"/>
          <w:sz w:val="16"/>
          <w:szCs w:val="16"/>
        </w:rPr>
        <w:t xml:space="preserve">IACHR, </w:t>
      </w:r>
      <w:hyperlink r:id="rId662" w:history="1">
        <w:r w:rsidRPr="001167CB">
          <w:rPr>
            <w:rStyle w:val="Hyperlink"/>
            <w:rFonts w:asciiTheme="majorHAnsi" w:hAnsiTheme="majorHAnsi" w:cstheme="majorHAnsi"/>
            <w:bCs/>
            <w:color w:val="808080" w:themeColor="background1" w:themeShade="80"/>
            <w:sz w:val="16"/>
            <w:szCs w:val="16"/>
          </w:rPr>
          <w:t>Investigation of Police Killings Press Release</w:t>
        </w:r>
      </w:hyperlink>
      <w:r w:rsidRPr="001167CB">
        <w:rPr>
          <w:rFonts w:asciiTheme="majorHAnsi" w:hAnsiTheme="majorHAnsi" w:cstheme="majorHAnsi"/>
          <w:bCs/>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 xml:space="preserve">Aug. </w:t>
      </w:r>
      <w:r w:rsidRPr="001167CB">
        <w:rPr>
          <w:rFonts w:asciiTheme="majorHAnsi" w:hAnsiTheme="majorHAnsi" w:cstheme="majorHAnsi"/>
          <w:bCs/>
          <w:color w:val="808080" w:themeColor="background1" w:themeShade="80"/>
          <w:sz w:val="16"/>
          <w:szCs w:val="16"/>
        </w:rPr>
        <w:t>23, 2016.</w:t>
      </w:r>
    </w:p>
  </w:footnote>
  <w:footnote w:id="612">
    <w:p w14:paraId="2B876860" w14:textId="55EC933C"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i/>
          <w:color w:val="808080" w:themeColor="background1" w:themeShade="80"/>
          <w:sz w:val="16"/>
          <w:szCs w:val="16"/>
        </w:rPr>
        <w:t>See supra</w:t>
      </w:r>
      <w:r w:rsidRPr="001167CB">
        <w:rPr>
          <w:rFonts w:asciiTheme="majorHAnsi" w:hAnsiTheme="majorHAnsi" w:cstheme="majorHAnsi"/>
          <w:color w:val="808080" w:themeColor="background1" w:themeShade="80"/>
          <w:sz w:val="16"/>
          <w:szCs w:val="16"/>
        </w:rPr>
        <w:t xml:space="preserve"> para. </w:t>
      </w:r>
      <w:r w:rsidRPr="001167CB">
        <w:rPr>
          <w:rFonts w:asciiTheme="majorHAnsi" w:hAnsiTheme="majorHAnsi" w:cstheme="majorHAnsi"/>
          <w:color w:val="808080" w:themeColor="background1" w:themeShade="80"/>
          <w:sz w:val="16"/>
          <w:szCs w:val="16"/>
        </w:rPr>
        <w:fldChar w:fldCharType="begin"/>
      </w:r>
      <w:r w:rsidRPr="001167CB">
        <w:rPr>
          <w:rFonts w:asciiTheme="majorHAnsi" w:hAnsiTheme="majorHAnsi" w:cstheme="majorHAnsi"/>
          <w:color w:val="808080" w:themeColor="background1" w:themeShade="80"/>
          <w:sz w:val="16"/>
          <w:szCs w:val="16"/>
        </w:rPr>
        <w:instrText xml:space="preserve"> REF _Ref507430107 \r \h  \* MERGEFORMAT </w:instrText>
      </w:r>
      <w:r w:rsidRPr="001167CB">
        <w:rPr>
          <w:rFonts w:asciiTheme="majorHAnsi" w:hAnsiTheme="majorHAnsi" w:cstheme="majorHAnsi"/>
          <w:color w:val="808080" w:themeColor="background1" w:themeShade="80"/>
          <w:sz w:val="16"/>
          <w:szCs w:val="16"/>
        </w:rPr>
      </w:r>
      <w:r w:rsidRPr="001167CB">
        <w:rPr>
          <w:rFonts w:asciiTheme="majorHAnsi" w:hAnsiTheme="majorHAnsi" w:cstheme="majorHAnsi"/>
          <w:color w:val="808080" w:themeColor="background1" w:themeShade="80"/>
          <w:sz w:val="16"/>
          <w:szCs w:val="16"/>
        </w:rPr>
        <w:fldChar w:fldCharType="separate"/>
      </w:r>
      <w:r w:rsidRPr="001167CB">
        <w:rPr>
          <w:rFonts w:asciiTheme="majorHAnsi" w:hAnsiTheme="majorHAnsi" w:cstheme="majorHAnsi"/>
          <w:color w:val="808080" w:themeColor="background1" w:themeShade="80"/>
          <w:sz w:val="16"/>
          <w:szCs w:val="16"/>
        </w:rPr>
        <w:t>116</w:t>
      </w:r>
      <w:r w:rsidRPr="001167CB">
        <w:rPr>
          <w:rFonts w:asciiTheme="majorHAnsi" w:hAnsiTheme="majorHAnsi" w:cstheme="majorHAnsi"/>
          <w:color w:val="808080" w:themeColor="background1" w:themeShade="80"/>
          <w:sz w:val="16"/>
          <w:szCs w:val="16"/>
        </w:rPr>
        <w:fldChar w:fldCharType="end"/>
      </w:r>
      <w:r w:rsidRPr="001167CB">
        <w:rPr>
          <w:rFonts w:asciiTheme="majorHAnsi" w:hAnsiTheme="majorHAnsi" w:cstheme="majorHAnsi"/>
          <w:color w:val="808080" w:themeColor="background1" w:themeShade="80"/>
          <w:sz w:val="16"/>
          <w:szCs w:val="16"/>
        </w:rPr>
        <w:t xml:space="preserve">. </w:t>
      </w:r>
    </w:p>
  </w:footnote>
  <w:footnote w:id="613">
    <w:p w14:paraId="04BC0072" w14:textId="77777777" w:rsidR="005C2394" w:rsidRPr="001167CB" w:rsidRDefault="005C2394" w:rsidP="002C64F8">
      <w:pPr>
        <w:pStyle w:val="NormalWeb"/>
        <w:shd w:val="clear" w:color="auto" w:fill="FFFFFF"/>
        <w:spacing w:before="0" w:beforeAutospacing="0" w:after="40" w:afterAutospacing="0"/>
        <w:ind w:left="547" w:hanging="547"/>
        <w:jc w:val="both"/>
        <w:rPr>
          <w:rFonts w:asciiTheme="majorHAnsi" w:hAnsiTheme="majorHAnsi" w:cstheme="majorHAnsi"/>
          <w:color w:val="808080" w:themeColor="background1" w:themeShade="80"/>
          <w:sz w:val="16"/>
          <w:szCs w:val="16"/>
          <w:lang w:val="en-US"/>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lang w:val="en-US"/>
        </w:rPr>
        <w:t xml:space="preserve"> </w:t>
      </w:r>
      <w:r w:rsidRPr="001167CB">
        <w:rPr>
          <w:rFonts w:asciiTheme="majorHAnsi" w:hAnsiTheme="majorHAnsi" w:cstheme="majorHAnsi"/>
          <w:color w:val="808080" w:themeColor="background1" w:themeShade="80"/>
          <w:sz w:val="16"/>
          <w:szCs w:val="16"/>
          <w:lang w:val="en-US"/>
        </w:rPr>
        <w:tab/>
      </w:r>
      <w:r w:rsidRPr="001167CB">
        <w:rPr>
          <w:rFonts w:asciiTheme="majorHAnsi" w:eastAsia="Times New Roman" w:hAnsiTheme="majorHAnsi" w:cstheme="majorHAnsi"/>
          <w:bCs/>
          <w:color w:val="808080" w:themeColor="background1" w:themeShade="80"/>
          <w:sz w:val="16"/>
          <w:szCs w:val="16"/>
          <w:lang w:val="en-US"/>
        </w:rPr>
        <w:t xml:space="preserve">IACHR, </w:t>
      </w:r>
      <w:hyperlink r:id="rId663" w:history="1">
        <w:r w:rsidRPr="001167CB">
          <w:rPr>
            <w:rStyle w:val="Hyperlink"/>
            <w:rFonts w:asciiTheme="majorHAnsi" w:eastAsia="Times New Roman" w:hAnsiTheme="majorHAnsi" w:cstheme="majorHAnsi"/>
            <w:bCs/>
            <w:color w:val="808080" w:themeColor="background1" w:themeShade="80"/>
            <w:sz w:val="16"/>
            <w:szCs w:val="16"/>
            <w:lang w:val="en-US"/>
          </w:rPr>
          <w:t>People of African Descent in the Americas</w:t>
        </w:r>
      </w:hyperlink>
      <w:r w:rsidRPr="001167CB">
        <w:rPr>
          <w:rFonts w:asciiTheme="majorHAnsi" w:eastAsia="Times New Roman" w:hAnsiTheme="majorHAnsi" w:cstheme="majorHAnsi"/>
          <w:bCs/>
          <w:color w:val="808080" w:themeColor="background1" w:themeShade="80"/>
          <w:sz w:val="16"/>
          <w:szCs w:val="16"/>
          <w:lang w:val="en-US"/>
        </w:rPr>
        <w:t xml:space="preserve"> (2011)</w:t>
      </w:r>
      <w:r w:rsidRPr="001167CB">
        <w:rPr>
          <w:rFonts w:asciiTheme="majorHAnsi" w:hAnsiTheme="majorHAnsi" w:cstheme="majorHAnsi"/>
          <w:color w:val="808080" w:themeColor="background1" w:themeShade="80"/>
          <w:sz w:val="16"/>
          <w:szCs w:val="16"/>
          <w:lang w:val="en-US"/>
        </w:rPr>
        <w:t>, para 141;</w:t>
      </w:r>
      <w:r w:rsidRPr="001167CB">
        <w:rPr>
          <w:rFonts w:asciiTheme="majorHAnsi" w:hAnsiTheme="majorHAnsi" w:cstheme="majorHAnsi"/>
          <w:bCs/>
          <w:color w:val="808080" w:themeColor="background1" w:themeShade="80"/>
          <w:sz w:val="16"/>
          <w:szCs w:val="16"/>
          <w:lang w:val="en-US"/>
        </w:rPr>
        <w:t xml:space="preserve"> </w:t>
      </w:r>
      <w:hyperlink r:id="rId664" w:history="1">
        <w:r w:rsidRPr="001167CB">
          <w:rPr>
            <w:rStyle w:val="Hyperlink"/>
            <w:rFonts w:asciiTheme="majorHAnsi" w:hAnsiTheme="majorHAnsi" w:cstheme="majorHAnsi"/>
            <w:bCs/>
            <w:color w:val="808080" w:themeColor="background1" w:themeShade="80"/>
            <w:sz w:val="16"/>
            <w:szCs w:val="16"/>
            <w:lang w:val="en-US"/>
          </w:rPr>
          <w:t>Eric Garner and Michael Brown Press Release</w:t>
        </w:r>
      </w:hyperlink>
      <w:r w:rsidRPr="001167CB">
        <w:rPr>
          <w:rFonts w:asciiTheme="majorHAnsi" w:hAnsiTheme="majorHAnsi" w:cstheme="majorHAnsi"/>
          <w:bCs/>
          <w:color w:val="808080" w:themeColor="background1" w:themeShade="80"/>
          <w:sz w:val="16"/>
          <w:szCs w:val="16"/>
          <w:lang w:val="en-US"/>
        </w:rPr>
        <w:t xml:space="preserve">, </w:t>
      </w:r>
      <w:r w:rsidRPr="001167CB">
        <w:rPr>
          <w:rFonts w:asciiTheme="majorHAnsi" w:hAnsiTheme="majorHAnsi" w:cstheme="majorHAnsi"/>
          <w:color w:val="808080" w:themeColor="background1" w:themeShade="80"/>
          <w:sz w:val="16"/>
          <w:szCs w:val="16"/>
          <w:lang w:val="en-US"/>
        </w:rPr>
        <w:t xml:space="preserve">Aug. </w:t>
      </w:r>
      <w:r w:rsidRPr="001167CB">
        <w:rPr>
          <w:rFonts w:asciiTheme="majorHAnsi" w:hAnsiTheme="majorHAnsi" w:cstheme="majorHAnsi"/>
          <w:bCs/>
          <w:color w:val="808080" w:themeColor="background1" w:themeShade="80"/>
          <w:sz w:val="16"/>
          <w:szCs w:val="16"/>
          <w:lang w:val="en-US"/>
        </w:rPr>
        <w:t xml:space="preserve">22, 2014; </w:t>
      </w:r>
      <w:hyperlink r:id="rId665" w:history="1">
        <w:r w:rsidRPr="001167CB">
          <w:rPr>
            <w:rStyle w:val="Hyperlink"/>
            <w:rFonts w:asciiTheme="majorHAnsi" w:hAnsiTheme="majorHAnsi" w:cstheme="majorHAnsi"/>
            <w:bCs/>
            <w:color w:val="808080" w:themeColor="background1" w:themeShade="80"/>
            <w:sz w:val="16"/>
            <w:szCs w:val="16"/>
            <w:lang w:val="en-US"/>
          </w:rPr>
          <w:t>Walter Scott Press Release</w:t>
        </w:r>
      </w:hyperlink>
      <w:r w:rsidRPr="001167CB">
        <w:rPr>
          <w:rFonts w:asciiTheme="majorHAnsi" w:hAnsiTheme="majorHAnsi" w:cstheme="majorHAnsi"/>
          <w:bCs/>
          <w:color w:val="808080" w:themeColor="background1" w:themeShade="80"/>
          <w:sz w:val="16"/>
          <w:szCs w:val="16"/>
          <w:lang w:val="en-US"/>
        </w:rPr>
        <w:t xml:space="preserve">, </w:t>
      </w:r>
      <w:r w:rsidRPr="001167CB">
        <w:rPr>
          <w:rFonts w:asciiTheme="majorHAnsi" w:hAnsiTheme="majorHAnsi" w:cstheme="majorHAnsi"/>
          <w:color w:val="808080" w:themeColor="background1" w:themeShade="80"/>
          <w:sz w:val="16"/>
          <w:szCs w:val="16"/>
          <w:lang w:val="en-US"/>
        </w:rPr>
        <w:t xml:space="preserve">Apr. </w:t>
      </w:r>
      <w:r w:rsidRPr="001167CB">
        <w:rPr>
          <w:rFonts w:asciiTheme="majorHAnsi" w:hAnsiTheme="majorHAnsi" w:cstheme="majorHAnsi"/>
          <w:bCs/>
          <w:color w:val="808080" w:themeColor="background1" w:themeShade="80"/>
          <w:sz w:val="16"/>
          <w:szCs w:val="16"/>
          <w:lang w:val="en-US"/>
        </w:rPr>
        <w:t xml:space="preserve">17, 2015; </w:t>
      </w:r>
      <w:hyperlink r:id="rId666" w:history="1">
        <w:r w:rsidRPr="001167CB">
          <w:rPr>
            <w:rStyle w:val="Hyperlink"/>
            <w:rFonts w:asciiTheme="majorHAnsi" w:hAnsiTheme="majorHAnsi" w:cstheme="majorHAnsi"/>
            <w:bCs/>
            <w:color w:val="808080" w:themeColor="background1" w:themeShade="80"/>
            <w:sz w:val="16"/>
            <w:szCs w:val="16"/>
            <w:lang w:val="en-US"/>
          </w:rPr>
          <w:t>Investigation of Police Killings Press Release</w:t>
        </w:r>
      </w:hyperlink>
      <w:r w:rsidRPr="001167CB">
        <w:rPr>
          <w:rFonts w:asciiTheme="majorHAnsi" w:hAnsiTheme="majorHAnsi" w:cstheme="majorHAnsi"/>
          <w:bCs/>
          <w:color w:val="808080" w:themeColor="background1" w:themeShade="80"/>
          <w:sz w:val="16"/>
          <w:szCs w:val="16"/>
          <w:lang w:val="en-US"/>
        </w:rPr>
        <w:t xml:space="preserve">, </w:t>
      </w:r>
      <w:r w:rsidRPr="001167CB">
        <w:rPr>
          <w:rFonts w:asciiTheme="majorHAnsi" w:hAnsiTheme="majorHAnsi" w:cstheme="majorHAnsi"/>
          <w:color w:val="808080" w:themeColor="background1" w:themeShade="80"/>
          <w:sz w:val="16"/>
          <w:szCs w:val="16"/>
          <w:lang w:val="en-US"/>
        </w:rPr>
        <w:t xml:space="preserve">Aug. </w:t>
      </w:r>
      <w:r w:rsidRPr="001167CB">
        <w:rPr>
          <w:rFonts w:asciiTheme="majorHAnsi" w:hAnsiTheme="majorHAnsi" w:cstheme="majorHAnsi"/>
          <w:bCs/>
          <w:color w:val="808080" w:themeColor="background1" w:themeShade="80"/>
          <w:sz w:val="16"/>
          <w:szCs w:val="16"/>
          <w:lang w:val="en-US"/>
        </w:rPr>
        <w:t>23, 2016.</w:t>
      </w:r>
    </w:p>
  </w:footnote>
  <w:footnote w:id="614">
    <w:p w14:paraId="3B69D986"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IACHR, Report No. 50/16, </w:t>
      </w:r>
      <w:hyperlink r:id="rId667" w:history="1">
        <w:r w:rsidRPr="001167CB">
          <w:rPr>
            <w:rStyle w:val="Hyperlink"/>
            <w:rFonts w:asciiTheme="majorHAnsi" w:hAnsiTheme="majorHAnsi" w:cstheme="majorHAnsi"/>
            <w:i/>
            <w:color w:val="808080" w:themeColor="background1" w:themeShade="80"/>
            <w:sz w:val="16"/>
            <w:szCs w:val="16"/>
          </w:rPr>
          <w:t>Undocumented Workers</w:t>
        </w:r>
      </w:hyperlink>
      <w:r w:rsidRPr="001167CB">
        <w:rPr>
          <w:rFonts w:asciiTheme="majorHAnsi" w:hAnsiTheme="majorHAnsi" w:cstheme="majorHAnsi"/>
          <w:color w:val="808080" w:themeColor="background1" w:themeShade="80"/>
          <w:sz w:val="16"/>
          <w:szCs w:val="16"/>
        </w:rPr>
        <w:t xml:space="preserve"> (2016), para. 98.</w:t>
      </w:r>
    </w:p>
  </w:footnote>
  <w:footnote w:id="615">
    <w:p w14:paraId="66CAC7CA"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lang w:val="pt-BR"/>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Id. (citing </w:t>
      </w:r>
      <w:r w:rsidRPr="001167CB">
        <w:rPr>
          <w:rFonts w:asciiTheme="majorHAnsi" w:eastAsiaTheme="minorEastAsia" w:hAnsiTheme="majorHAnsi" w:cstheme="majorHAnsi"/>
          <w:color w:val="808080" w:themeColor="background1" w:themeShade="80"/>
          <w:sz w:val="16"/>
          <w:szCs w:val="16"/>
          <w:lang w:eastAsia="es-ES"/>
        </w:rPr>
        <w:t xml:space="preserve">IACHR, Report No. 51/01, Case 9903, </w:t>
      </w:r>
      <w:r w:rsidRPr="001167CB">
        <w:rPr>
          <w:rFonts w:asciiTheme="majorHAnsi" w:eastAsiaTheme="minorEastAsia" w:hAnsiTheme="majorHAnsi" w:cstheme="majorHAnsi"/>
          <w:i/>
          <w:iCs/>
          <w:color w:val="808080" w:themeColor="background1" w:themeShade="80"/>
          <w:sz w:val="16"/>
          <w:szCs w:val="16"/>
          <w:lang w:eastAsia="es-ES"/>
        </w:rPr>
        <w:t>Rafael Ferrer-</w:t>
      </w:r>
      <w:proofErr w:type="spellStart"/>
      <w:r w:rsidRPr="001167CB">
        <w:rPr>
          <w:rFonts w:asciiTheme="majorHAnsi" w:eastAsiaTheme="minorEastAsia" w:hAnsiTheme="majorHAnsi" w:cstheme="majorHAnsi"/>
          <w:i/>
          <w:iCs/>
          <w:color w:val="808080" w:themeColor="background1" w:themeShade="80"/>
          <w:sz w:val="16"/>
          <w:szCs w:val="16"/>
          <w:lang w:eastAsia="es-ES"/>
        </w:rPr>
        <w:t>Mazorra</w:t>
      </w:r>
      <w:proofErr w:type="spellEnd"/>
      <w:r w:rsidRPr="001167CB">
        <w:rPr>
          <w:rFonts w:asciiTheme="majorHAnsi" w:eastAsiaTheme="minorEastAsia" w:hAnsiTheme="majorHAnsi" w:cstheme="majorHAnsi"/>
          <w:i/>
          <w:iCs/>
          <w:color w:val="808080" w:themeColor="background1" w:themeShade="80"/>
          <w:sz w:val="16"/>
          <w:szCs w:val="16"/>
          <w:lang w:eastAsia="es-ES"/>
        </w:rPr>
        <w:t xml:space="preserve"> et al.</w:t>
      </w:r>
      <w:r w:rsidRPr="001167CB">
        <w:rPr>
          <w:rFonts w:asciiTheme="majorHAnsi" w:eastAsiaTheme="minorEastAsia" w:hAnsiTheme="majorHAnsi" w:cstheme="majorHAnsi"/>
          <w:color w:val="808080" w:themeColor="background1" w:themeShade="80"/>
          <w:sz w:val="16"/>
          <w:szCs w:val="16"/>
          <w:lang w:eastAsia="es-ES"/>
        </w:rPr>
        <w:t xml:space="preserve">, United States, Apr. 4, 2001, para. </w:t>
      </w:r>
      <w:r w:rsidRPr="001167CB">
        <w:rPr>
          <w:rFonts w:asciiTheme="majorHAnsi" w:eastAsiaTheme="minorEastAsia" w:hAnsiTheme="majorHAnsi" w:cstheme="majorHAnsi"/>
          <w:color w:val="808080" w:themeColor="background1" w:themeShade="80"/>
          <w:sz w:val="16"/>
          <w:szCs w:val="16"/>
          <w:lang w:val="pt-BR" w:eastAsia="es-ES"/>
        </w:rPr>
        <w:t>243).</w:t>
      </w:r>
    </w:p>
  </w:footnote>
  <w:footnote w:id="616">
    <w:p w14:paraId="0C5F6F9F"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lang w:val="pt-BR"/>
        </w:rPr>
        <w:t xml:space="preserve"> </w:t>
      </w:r>
      <w:r w:rsidRPr="001167CB">
        <w:rPr>
          <w:rFonts w:asciiTheme="majorHAnsi" w:hAnsiTheme="majorHAnsi" w:cstheme="majorHAnsi"/>
          <w:color w:val="808080" w:themeColor="background1" w:themeShade="80"/>
          <w:sz w:val="16"/>
          <w:szCs w:val="16"/>
          <w:lang w:val="pt-BR"/>
        </w:rPr>
        <w:tab/>
        <w:t xml:space="preserve">Id. (citing IACHR, Report No. </w:t>
      </w:r>
      <w:r w:rsidRPr="001167CB">
        <w:rPr>
          <w:rFonts w:asciiTheme="majorHAnsi" w:hAnsiTheme="majorHAnsi" w:cstheme="majorHAnsi"/>
          <w:color w:val="808080" w:themeColor="background1" w:themeShade="80"/>
          <w:sz w:val="16"/>
          <w:szCs w:val="16"/>
          <w:lang w:val="pt-BR"/>
        </w:rPr>
        <w:t xml:space="preserve">80/11, </w:t>
      </w:r>
      <w:r>
        <w:rPr>
          <w:rStyle w:val="Hyperlink"/>
          <w:rFonts w:asciiTheme="majorHAnsi" w:hAnsiTheme="majorHAnsi" w:cstheme="majorHAnsi"/>
          <w:i/>
          <w:color w:val="808080" w:themeColor="background1" w:themeShade="80"/>
          <w:sz w:val="16"/>
          <w:szCs w:val="16"/>
          <w:lang w:val="pt-BR"/>
        </w:rPr>
        <w:fldChar w:fldCharType="begin"/>
      </w:r>
      <w:r>
        <w:rPr>
          <w:rStyle w:val="Hyperlink"/>
          <w:rFonts w:asciiTheme="majorHAnsi" w:hAnsiTheme="majorHAnsi" w:cstheme="majorHAnsi"/>
          <w:i/>
          <w:color w:val="808080" w:themeColor="background1" w:themeShade="80"/>
          <w:sz w:val="16"/>
          <w:szCs w:val="16"/>
          <w:lang w:val="pt-BR"/>
        </w:rPr>
        <w:instrText xml:space="preserve"> HYPERLINK "http://www.oas.org/en/iachr/decisions/2011/uspu12626en.doc" </w:instrText>
      </w:r>
      <w:r>
        <w:rPr>
          <w:rStyle w:val="Hyperlink"/>
          <w:rFonts w:asciiTheme="majorHAnsi" w:hAnsiTheme="majorHAnsi" w:cstheme="majorHAnsi"/>
          <w:i/>
          <w:color w:val="808080" w:themeColor="background1" w:themeShade="80"/>
          <w:sz w:val="16"/>
          <w:szCs w:val="16"/>
          <w:lang w:val="pt-BR"/>
        </w:rPr>
        <w:fldChar w:fldCharType="separate"/>
      </w:r>
      <w:r w:rsidRPr="001167CB">
        <w:rPr>
          <w:rStyle w:val="Hyperlink"/>
          <w:rFonts w:asciiTheme="majorHAnsi" w:hAnsiTheme="majorHAnsi" w:cstheme="majorHAnsi"/>
          <w:i/>
          <w:color w:val="808080" w:themeColor="background1" w:themeShade="80"/>
          <w:sz w:val="16"/>
          <w:szCs w:val="16"/>
          <w:lang w:val="pt-BR"/>
        </w:rPr>
        <w:t>Jessica Lenahan</w:t>
      </w:r>
      <w:r>
        <w:rPr>
          <w:rStyle w:val="Hyperlink"/>
          <w:rFonts w:asciiTheme="majorHAnsi" w:hAnsiTheme="majorHAnsi" w:cstheme="majorHAnsi"/>
          <w:i/>
          <w:color w:val="808080" w:themeColor="background1" w:themeShade="80"/>
          <w:sz w:val="16"/>
          <w:szCs w:val="16"/>
          <w:lang w:val="pt-BR"/>
        </w:rPr>
        <w:fldChar w:fldCharType="end"/>
      </w:r>
      <w:r w:rsidRPr="001167CB">
        <w:rPr>
          <w:rFonts w:asciiTheme="majorHAnsi" w:hAnsiTheme="majorHAnsi" w:cstheme="majorHAnsi"/>
          <w:color w:val="808080" w:themeColor="background1" w:themeShade="80"/>
          <w:sz w:val="16"/>
          <w:szCs w:val="16"/>
          <w:lang w:val="pt-BR"/>
        </w:rPr>
        <w:t xml:space="preserve"> (2011)</w:t>
      </w:r>
      <w:r w:rsidRPr="001167CB">
        <w:rPr>
          <w:rFonts w:asciiTheme="majorHAnsi" w:eastAsiaTheme="minorEastAsia" w:hAnsiTheme="majorHAnsi" w:cstheme="majorHAnsi"/>
          <w:color w:val="808080" w:themeColor="background1" w:themeShade="80"/>
          <w:sz w:val="16"/>
          <w:szCs w:val="16"/>
          <w:lang w:val="pt-BR" w:eastAsia="es-ES"/>
        </w:rPr>
        <w:t>, para. 172;</w:t>
      </w:r>
      <w:r w:rsidRPr="001167CB">
        <w:rPr>
          <w:rFonts w:asciiTheme="majorHAnsi" w:hAnsiTheme="majorHAnsi" w:cstheme="majorHAnsi"/>
          <w:color w:val="808080" w:themeColor="background1" w:themeShade="80"/>
          <w:sz w:val="16"/>
          <w:szCs w:val="16"/>
          <w:lang w:val="pt-BR"/>
        </w:rPr>
        <w:t xml:space="preserve"> Report No. 54/01, </w:t>
      </w:r>
      <w:r w:rsidRPr="001167CB">
        <w:rPr>
          <w:rFonts w:asciiTheme="majorHAnsi" w:hAnsiTheme="majorHAnsi" w:cstheme="majorHAnsi"/>
          <w:i/>
          <w:color w:val="808080" w:themeColor="background1" w:themeShade="80"/>
          <w:sz w:val="16"/>
          <w:szCs w:val="16"/>
          <w:lang w:val="pt-BR"/>
        </w:rPr>
        <w:t>Maria da Penha</w:t>
      </w:r>
      <w:r w:rsidRPr="001167CB">
        <w:rPr>
          <w:rFonts w:asciiTheme="majorHAnsi" w:hAnsiTheme="majorHAnsi" w:cstheme="majorHAnsi"/>
          <w:color w:val="808080" w:themeColor="background1" w:themeShade="80"/>
          <w:sz w:val="16"/>
          <w:szCs w:val="16"/>
          <w:lang w:val="pt-BR"/>
        </w:rPr>
        <w:t xml:space="preserve"> (2001)</w:t>
      </w:r>
      <w:r w:rsidRPr="001167CB">
        <w:rPr>
          <w:rFonts w:asciiTheme="majorHAnsi" w:eastAsiaTheme="minorEastAsia" w:hAnsiTheme="majorHAnsi" w:cstheme="majorHAnsi"/>
          <w:color w:val="808080" w:themeColor="background1" w:themeShade="80"/>
          <w:sz w:val="16"/>
          <w:szCs w:val="16"/>
          <w:lang w:val="pt-BR" w:eastAsia="es-ES"/>
        </w:rPr>
        <w:t xml:space="preserve">, para. </w:t>
      </w:r>
      <w:r w:rsidRPr="001167CB">
        <w:rPr>
          <w:rFonts w:asciiTheme="majorHAnsi" w:eastAsiaTheme="minorEastAsia" w:hAnsiTheme="majorHAnsi" w:cstheme="majorHAnsi"/>
          <w:color w:val="808080" w:themeColor="background1" w:themeShade="80"/>
          <w:sz w:val="16"/>
          <w:szCs w:val="16"/>
          <w:lang w:eastAsia="es-ES"/>
        </w:rPr>
        <w:t>37).</w:t>
      </w:r>
    </w:p>
  </w:footnote>
  <w:footnote w:id="617">
    <w:p w14:paraId="4449D511"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lang w:val="pt-BR"/>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Id. (citing IACHR, Report No. 80/11, </w:t>
      </w:r>
      <w:hyperlink r:id="rId668" w:history="1">
        <w:r w:rsidRPr="001167CB">
          <w:rPr>
            <w:rStyle w:val="Hyperlink"/>
            <w:rFonts w:asciiTheme="majorHAnsi" w:hAnsiTheme="majorHAnsi" w:cstheme="majorHAnsi"/>
            <w:i/>
            <w:color w:val="808080" w:themeColor="background1" w:themeShade="80"/>
            <w:sz w:val="16"/>
            <w:szCs w:val="16"/>
          </w:rPr>
          <w:t xml:space="preserve">Jessica </w:t>
        </w:r>
        <w:proofErr w:type="spellStart"/>
        <w:r w:rsidRPr="001167CB">
          <w:rPr>
            <w:rStyle w:val="Hyperlink"/>
            <w:rFonts w:asciiTheme="majorHAnsi" w:hAnsiTheme="majorHAnsi" w:cstheme="majorHAnsi"/>
            <w:i/>
            <w:color w:val="808080" w:themeColor="background1" w:themeShade="80"/>
            <w:sz w:val="16"/>
            <w:szCs w:val="16"/>
          </w:rPr>
          <w:t>Lenahan</w:t>
        </w:r>
        <w:proofErr w:type="spellEnd"/>
      </w:hyperlink>
      <w:r w:rsidRPr="001167CB">
        <w:rPr>
          <w:rFonts w:asciiTheme="majorHAnsi" w:hAnsiTheme="majorHAnsi" w:cstheme="majorHAnsi"/>
          <w:color w:val="808080" w:themeColor="background1" w:themeShade="80"/>
          <w:sz w:val="16"/>
          <w:szCs w:val="16"/>
        </w:rPr>
        <w:t xml:space="preserve"> (2011)</w:t>
      </w:r>
      <w:r w:rsidRPr="001167CB">
        <w:rPr>
          <w:rFonts w:asciiTheme="majorHAnsi" w:eastAsiaTheme="minorEastAsia" w:hAnsiTheme="majorHAnsi" w:cstheme="majorHAnsi"/>
          <w:color w:val="808080" w:themeColor="background1" w:themeShade="80"/>
          <w:sz w:val="16"/>
          <w:szCs w:val="16"/>
          <w:lang w:eastAsia="es-ES"/>
        </w:rPr>
        <w:t>, para. 172;</w:t>
      </w:r>
      <w:r w:rsidRPr="001167CB">
        <w:rPr>
          <w:rFonts w:asciiTheme="majorHAnsi" w:hAnsiTheme="majorHAnsi" w:cstheme="majorHAnsi"/>
          <w:color w:val="808080" w:themeColor="background1" w:themeShade="80"/>
          <w:sz w:val="16"/>
          <w:szCs w:val="16"/>
        </w:rPr>
        <w:t xml:space="preserve"> Report 40/04, </w:t>
      </w:r>
      <w:hyperlink r:id="rId669" w:history="1">
        <w:r w:rsidRPr="001167CB">
          <w:rPr>
            <w:rStyle w:val="Hyperlink"/>
            <w:rFonts w:asciiTheme="majorHAnsi" w:hAnsiTheme="majorHAnsi" w:cstheme="majorHAnsi"/>
            <w:i/>
            <w:color w:val="808080" w:themeColor="background1" w:themeShade="80"/>
            <w:sz w:val="16"/>
            <w:szCs w:val="16"/>
          </w:rPr>
          <w:t>Maya Indigenous Community</w:t>
        </w:r>
      </w:hyperlink>
      <w:r w:rsidRPr="001167CB">
        <w:rPr>
          <w:rFonts w:asciiTheme="majorHAnsi" w:hAnsiTheme="majorHAnsi" w:cstheme="majorHAnsi"/>
          <w:color w:val="808080" w:themeColor="background1" w:themeShade="80"/>
          <w:sz w:val="16"/>
          <w:szCs w:val="16"/>
        </w:rPr>
        <w:t xml:space="preserve"> (2004)</w:t>
      </w:r>
      <w:r w:rsidRPr="001167CB">
        <w:rPr>
          <w:rFonts w:asciiTheme="majorHAnsi" w:eastAsiaTheme="minorEastAsia" w:hAnsiTheme="majorHAnsi" w:cstheme="majorHAnsi"/>
          <w:color w:val="808080" w:themeColor="background1" w:themeShade="80"/>
          <w:sz w:val="16"/>
          <w:szCs w:val="16"/>
          <w:lang w:eastAsia="es-ES"/>
        </w:rPr>
        <w:t xml:space="preserve">, para. </w:t>
      </w:r>
      <w:r w:rsidRPr="001167CB">
        <w:rPr>
          <w:rFonts w:asciiTheme="majorHAnsi" w:eastAsiaTheme="minorEastAsia" w:hAnsiTheme="majorHAnsi" w:cstheme="majorHAnsi"/>
          <w:color w:val="808080" w:themeColor="background1" w:themeShade="80"/>
          <w:sz w:val="16"/>
          <w:szCs w:val="16"/>
          <w:lang w:val="pt-BR" w:eastAsia="es-ES"/>
        </w:rPr>
        <w:t>174;</w:t>
      </w:r>
      <w:r w:rsidRPr="001167CB">
        <w:rPr>
          <w:rFonts w:asciiTheme="majorHAnsi" w:hAnsiTheme="majorHAnsi" w:cstheme="majorHAnsi"/>
          <w:color w:val="808080" w:themeColor="background1" w:themeShade="80"/>
          <w:sz w:val="16"/>
          <w:szCs w:val="16"/>
          <w:lang w:val="pt-BR"/>
        </w:rPr>
        <w:t xml:space="preserve"> Report No. 54/01, </w:t>
      </w:r>
      <w:r w:rsidRPr="001167CB">
        <w:rPr>
          <w:rFonts w:asciiTheme="majorHAnsi" w:hAnsiTheme="majorHAnsi" w:cstheme="majorHAnsi"/>
          <w:i/>
          <w:color w:val="808080" w:themeColor="background1" w:themeShade="80"/>
          <w:sz w:val="16"/>
          <w:szCs w:val="16"/>
          <w:lang w:val="pt-BR"/>
        </w:rPr>
        <w:t>Maria da Penha</w:t>
      </w:r>
      <w:r w:rsidRPr="001167CB">
        <w:rPr>
          <w:rFonts w:asciiTheme="majorHAnsi" w:hAnsiTheme="majorHAnsi" w:cstheme="majorHAnsi"/>
          <w:color w:val="808080" w:themeColor="background1" w:themeShade="80"/>
          <w:sz w:val="16"/>
          <w:szCs w:val="16"/>
          <w:lang w:val="pt-BR"/>
        </w:rPr>
        <w:t xml:space="preserve"> (2001)</w:t>
      </w:r>
      <w:r w:rsidRPr="001167CB">
        <w:rPr>
          <w:rFonts w:asciiTheme="majorHAnsi" w:eastAsiaTheme="minorEastAsia" w:hAnsiTheme="majorHAnsi" w:cstheme="majorHAnsi"/>
          <w:color w:val="808080" w:themeColor="background1" w:themeShade="80"/>
          <w:sz w:val="16"/>
          <w:szCs w:val="16"/>
          <w:lang w:val="pt-BR" w:eastAsia="es-ES"/>
        </w:rPr>
        <w:t>, para. 37).</w:t>
      </w:r>
    </w:p>
  </w:footnote>
  <w:footnote w:id="618">
    <w:p w14:paraId="5F7FD0C1"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lang w:val="pt-BR"/>
        </w:rPr>
        <w:t xml:space="preserve"> </w:t>
      </w:r>
      <w:r w:rsidRPr="001167CB">
        <w:rPr>
          <w:rFonts w:asciiTheme="majorHAnsi" w:hAnsiTheme="majorHAnsi" w:cstheme="majorHAnsi"/>
          <w:color w:val="808080" w:themeColor="background1" w:themeShade="80"/>
          <w:sz w:val="16"/>
          <w:szCs w:val="16"/>
          <w:lang w:val="pt-BR"/>
        </w:rPr>
        <w:tab/>
        <w:t xml:space="preserve">Id. at para. 99 (citing, </w:t>
      </w:r>
      <w:r w:rsidRPr="001167CB">
        <w:rPr>
          <w:rFonts w:asciiTheme="majorHAnsi" w:hAnsiTheme="majorHAnsi" w:cstheme="majorHAnsi"/>
          <w:i/>
          <w:color w:val="808080" w:themeColor="background1" w:themeShade="80"/>
          <w:sz w:val="16"/>
          <w:szCs w:val="16"/>
          <w:lang w:val="pt-BR"/>
        </w:rPr>
        <w:t>inter alia</w:t>
      </w:r>
      <w:r w:rsidRPr="001167CB">
        <w:rPr>
          <w:rFonts w:asciiTheme="majorHAnsi" w:hAnsiTheme="majorHAnsi" w:cstheme="majorHAnsi"/>
          <w:color w:val="808080" w:themeColor="background1" w:themeShade="80"/>
          <w:sz w:val="16"/>
          <w:szCs w:val="16"/>
          <w:lang w:val="pt-BR"/>
        </w:rPr>
        <w:t xml:space="preserve">, IACHR, Report No. </w:t>
      </w:r>
      <w:r w:rsidRPr="001167CB">
        <w:rPr>
          <w:rFonts w:asciiTheme="majorHAnsi" w:hAnsiTheme="majorHAnsi" w:cstheme="majorHAnsi"/>
          <w:color w:val="808080" w:themeColor="background1" w:themeShade="80"/>
          <w:sz w:val="16"/>
          <w:szCs w:val="16"/>
          <w:lang w:val="pt-BR"/>
        </w:rPr>
        <w:t xml:space="preserve">80/11, </w:t>
      </w:r>
      <w:r>
        <w:rPr>
          <w:rStyle w:val="Hyperlink"/>
          <w:rFonts w:asciiTheme="majorHAnsi" w:hAnsiTheme="majorHAnsi" w:cstheme="majorHAnsi"/>
          <w:i/>
          <w:color w:val="808080" w:themeColor="background1" w:themeShade="80"/>
          <w:sz w:val="16"/>
          <w:szCs w:val="16"/>
          <w:lang w:val="pt-BR"/>
        </w:rPr>
        <w:fldChar w:fldCharType="begin"/>
      </w:r>
      <w:r>
        <w:rPr>
          <w:rStyle w:val="Hyperlink"/>
          <w:rFonts w:asciiTheme="majorHAnsi" w:hAnsiTheme="majorHAnsi" w:cstheme="majorHAnsi"/>
          <w:i/>
          <w:color w:val="808080" w:themeColor="background1" w:themeShade="80"/>
          <w:sz w:val="16"/>
          <w:szCs w:val="16"/>
          <w:lang w:val="pt-BR"/>
        </w:rPr>
        <w:instrText xml:space="preserve"> HYPERLINK "http://www.oas.org/en/iachr/decisions/2011/uspu12626en.doc" </w:instrText>
      </w:r>
      <w:r>
        <w:rPr>
          <w:rStyle w:val="Hyperlink"/>
          <w:rFonts w:asciiTheme="majorHAnsi" w:hAnsiTheme="majorHAnsi" w:cstheme="majorHAnsi"/>
          <w:i/>
          <w:color w:val="808080" w:themeColor="background1" w:themeShade="80"/>
          <w:sz w:val="16"/>
          <w:szCs w:val="16"/>
          <w:lang w:val="pt-BR"/>
        </w:rPr>
        <w:fldChar w:fldCharType="separate"/>
      </w:r>
      <w:r w:rsidRPr="001167CB">
        <w:rPr>
          <w:rStyle w:val="Hyperlink"/>
          <w:rFonts w:asciiTheme="majorHAnsi" w:hAnsiTheme="majorHAnsi" w:cstheme="majorHAnsi"/>
          <w:i/>
          <w:color w:val="808080" w:themeColor="background1" w:themeShade="80"/>
          <w:sz w:val="16"/>
          <w:szCs w:val="16"/>
          <w:lang w:val="pt-BR"/>
        </w:rPr>
        <w:t>Jessica Lenahan</w:t>
      </w:r>
      <w:r>
        <w:rPr>
          <w:rStyle w:val="Hyperlink"/>
          <w:rFonts w:asciiTheme="majorHAnsi" w:hAnsiTheme="majorHAnsi" w:cstheme="majorHAnsi"/>
          <w:i/>
          <w:color w:val="808080" w:themeColor="background1" w:themeShade="80"/>
          <w:sz w:val="16"/>
          <w:szCs w:val="16"/>
          <w:lang w:val="pt-BR"/>
        </w:rPr>
        <w:fldChar w:fldCharType="end"/>
      </w:r>
      <w:r w:rsidRPr="001167CB">
        <w:rPr>
          <w:rFonts w:asciiTheme="majorHAnsi" w:hAnsiTheme="majorHAnsi" w:cstheme="majorHAnsi"/>
          <w:color w:val="808080" w:themeColor="background1" w:themeShade="80"/>
          <w:sz w:val="16"/>
          <w:szCs w:val="16"/>
          <w:lang w:val="pt-BR"/>
        </w:rPr>
        <w:t xml:space="preserve"> (2011)</w:t>
      </w:r>
      <w:r w:rsidRPr="001167CB">
        <w:rPr>
          <w:rFonts w:asciiTheme="majorHAnsi" w:eastAsiaTheme="minorEastAsia" w:hAnsiTheme="majorHAnsi" w:cstheme="majorHAnsi"/>
          <w:color w:val="808080" w:themeColor="background1" w:themeShade="80"/>
          <w:sz w:val="16"/>
          <w:szCs w:val="16"/>
          <w:lang w:val="pt-BR" w:eastAsia="es-ES"/>
        </w:rPr>
        <w:t xml:space="preserve">, para. </w:t>
      </w:r>
      <w:r w:rsidRPr="001167CB">
        <w:rPr>
          <w:rFonts w:asciiTheme="majorHAnsi" w:eastAsiaTheme="minorEastAsia" w:hAnsiTheme="majorHAnsi" w:cstheme="majorHAnsi"/>
          <w:color w:val="808080" w:themeColor="background1" w:themeShade="80"/>
          <w:sz w:val="16"/>
          <w:szCs w:val="16"/>
          <w:lang w:eastAsia="es-ES"/>
        </w:rPr>
        <w:t xml:space="preserve">173; Report Nº 81/10, Case 12.562, </w:t>
      </w:r>
      <w:r w:rsidRPr="001167CB">
        <w:rPr>
          <w:rFonts w:asciiTheme="majorHAnsi" w:eastAsiaTheme="minorEastAsia" w:hAnsiTheme="majorHAnsi" w:cstheme="majorHAnsi"/>
          <w:i/>
          <w:iCs/>
          <w:color w:val="808080" w:themeColor="background1" w:themeShade="80"/>
          <w:sz w:val="16"/>
          <w:szCs w:val="16"/>
          <w:lang w:eastAsia="es-ES"/>
        </w:rPr>
        <w:t xml:space="preserve">Wayne Smith, Hugo </w:t>
      </w:r>
      <w:proofErr w:type="spellStart"/>
      <w:r w:rsidRPr="001167CB">
        <w:rPr>
          <w:rFonts w:asciiTheme="majorHAnsi" w:eastAsiaTheme="minorEastAsia" w:hAnsiTheme="majorHAnsi" w:cstheme="majorHAnsi"/>
          <w:i/>
          <w:iCs/>
          <w:color w:val="808080" w:themeColor="background1" w:themeShade="80"/>
          <w:sz w:val="16"/>
          <w:szCs w:val="16"/>
          <w:lang w:eastAsia="es-ES"/>
        </w:rPr>
        <w:t>Armendatriz</w:t>
      </w:r>
      <w:proofErr w:type="spellEnd"/>
      <w:r w:rsidRPr="001167CB">
        <w:rPr>
          <w:rFonts w:asciiTheme="majorHAnsi" w:eastAsiaTheme="minorEastAsia" w:hAnsiTheme="majorHAnsi" w:cstheme="majorHAnsi"/>
          <w:i/>
          <w:iCs/>
          <w:color w:val="808080" w:themeColor="background1" w:themeShade="80"/>
          <w:sz w:val="16"/>
          <w:szCs w:val="16"/>
          <w:lang w:eastAsia="es-ES"/>
        </w:rPr>
        <w:t xml:space="preserve">, et al., </w:t>
      </w:r>
      <w:r w:rsidRPr="001167CB">
        <w:rPr>
          <w:rFonts w:asciiTheme="majorHAnsi" w:eastAsiaTheme="minorEastAsia" w:hAnsiTheme="majorHAnsi" w:cstheme="majorHAnsi"/>
          <w:color w:val="808080" w:themeColor="background1" w:themeShade="80"/>
          <w:sz w:val="16"/>
          <w:szCs w:val="16"/>
          <w:lang w:eastAsia="es-ES"/>
        </w:rPr>
        <w:t>United States, July 12, 2010, para. 62).</w:t>
      </w:r>
    </w:p>
  </w:footnote>
  <w:footnote w:id="619">
    <w:p w14:paraId="45786550"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Id. (citing </w:t>
      </w:r>
      <w:r w:rsidRPr="001167CB">
        <w:rPr>
          <w:rFonts w:asciiTheme="majorHAnsi" w:eastAsiaTheme="minorEastAsia" w:hAnsiTheme="majorHAnsi" w:cstheme="majorHAnsi"/>
          <w:color w:val="808080" w:themeColor="background1" w:themeShade="80"/>
          <w:sz w:val="16"/>
          <w:szCs w:val="16"/>
          <w:lang w:eastAsia="es-ES"/>
        </w:rPr>
        <w:t xml:space="preserve">IACHR, </w:t>
      </w:r>
      <w:r w:rsidRPr="001167CB">
        <w:rPr>
          <w:rFonts w:asciiTheme="majorHAnsi" w:eastAsiaTheme="minorEastAsia" w:hAnsiTheme="majorHAnsi" w:cstheme="majorHAnsi"/>
          <w:i/>
          <w:iCs/>
          <w:color w:val="808080" w:themeColor="background1" w:themeShade="80"/>
          <w:sz w:val="16"/>
          <w:szCs w:val="16"/>
          <w:lang w:eastAsia="es-ES"/>
        </w:rPr>
        <w:t>Access to Justice as a Guarantee of Economic, Social, and Cultural Rights</w:t>
      </w:r>
      <w:r w:rsidRPr="001167CB">
        <w:rPr>
          <w:rFonts w:asciiTheme="majorHAnsi" w:eastAsiaTheme="minorEastAsia" w:hAnsiTheme="majorHAnsi" w:cstheme="majorHAnsi"/>
          <w:color w:val="808080" w:themeColor="background1" w:themeShade="80"/>
          <w:sz w:val="16"/>
          <w:szCs w:val="16"/>
          <w:lang w:eastAsia="es-ES"/>
        </w:rPr>
        <w:t>, OEA/</w:t>
      </w:r>
      <w:proofErr w:type="spellStart"/>
      <w:r w:rsidRPr="001167CB">
        <w:rPr>
          <w:rFonts w:asciiTheme="majorHAnsi" w:eastAsiaTheme="minorEastAsia" w:hAnsiTheme="majorHAnsi" w:cstheme="majorHAnsi"/>
          <w:color w:val="808080" w:themeColor="background1" w:themeShade="80"/>
          <w:sz w:val="16"/>
          <w:szCs w:val="16"/>
          <w:lang w:eastAsia="es-ES"/>
        </w:rPr>
        <w:t>Ser.L</w:t>
      </w:r>
      <w:proofErr w:type="spellEnd"/>
      <w:r w:rsidRPr="001167CB">
        <w:rPr>
          <w:rFonts w:asciiTheme="majorHAnsi" w:eastAsiaTheme="minorEastAsia" w:hAnsiTheme="majorHAnsi" w:cstheme="majorHAnsi"/>
          <w:color w:val="808080" w:themeColor="background1" w:themeShade="80"/>
          <w:sz w:val="16"/>
          <w:szCs w:val="16"/>
          <w:lang w:eastAsia="es-ES"/>
        </w:rPr>
        <w:t>/V/II.129 Doc.4 (2007) (hereinafter “IACHR Access to Justice Report”), para. 245 (citation omitted)).</w:t>
      </w:r>
    </w:p>
  </w:footnote>
  <w:footnote w:id="620">
    <w:p w14:paraId="36D388CD"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Id. (citing </w:t>
      </w:r>
      <w:r w:rsidRPr="001167CB">
        <w:rPr>
          <w:rFonts w:asciiTheme="majorHAnsi" w:eastAsiaTheme="minorEastAsia" w:hAnsiTheme="majorHAnsi" w:cstheme="majorHAnsi"/>
          <w:color w:val="808080" w:themeColor="background1" w:themeShade="80"/>
          <w:sz w:val="16"/>
          <w:szCs w:val="16"/>
          <w:lang w:eastAsia="es-ES"/>
        </w:rPr>
        <w:t>IACHR Access to Justice Report, paras. 246-47).</w:t>
      </w:r>
    </w:p>
  </w:footnote>
  <w:footnote w:id="621">
    <w:p w14:paraId="6C33F909"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Id. at para. 100 (citing </w:t>
      </w:r>
      <w:r w:rsidRPr="001167CB">
        <w:rPr>
          <w:rFonts w:asciiTheme="majorHAnsi" w:eastAsiaTheme="minorEastAsia" w:hAnsiTheme="majorHAnsi" w:cstheme="majorHAnsi"/>
          <w:color w:val="808080" w:themeColor="background1" w:themeShade="80"/>
          <w:sz w:val="16"/>
          <w:szCs w:val="16"/>
          <w:lang w:eastAsia="es-ES"/>
        </w:rPr>
        <w:t>IACHR Access to Justice Report, para. 251).</w:t>
      </w:r>
    </w:p>
  </w:footnote>
  <w:footnote w:id="622">
    <w:p w14:paraId="20E5C2EF"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Id. (citing </w:t>
      </w:r>
      <w:r w:rsidRPr="001167CB">
        <w:rPr>
          <w:rFonts w:asciiTheme="majorHAnsi" w:eastAsiaTheme="minorEastAsia" w:hAnsiTheme="majorHAnsi" w:cstheme="majorHAnsi"/>
          <w:color w:val="808080" w:themeColor="background1" w:themeShade="80"/>
          <w:sz w:val="16"/>
          <w:szCs w:val="16"/>
          <w:lang w:eastAsia="es-ES"/>
        </w:rPr>
        <w:t>IACHR Access to Justice Report, para. 251).</w:t>
      </w:r>
    </w:p>
  </w:footnote>
  <w:footnote w:id="623">
    <w:p w14:paraId="29741D9F" w14:textId="2D3FADC1"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i/>
          <w:color w:val="808080" w:themeColor="background1" w:themeShade="80"/>
          <w:sz w:val="16"/>
          <w:szCs w:val="16"/>
        </w:rPr>
        <w:t>See supra</w:t>
      </w:r>
      <w:r w:rsidRPr="001167CB">
        <w:rPr>
          <w:rFonts w:asciiTheme="majorHAnsi" w:hAnsiTheme="majorHAnsi" w:cstheme="majorHAnsi"/>
          <w:color w:val="808080" w:themeColor="background1" w:themeShade="80"/>
          <w:sz w:val="16"/>
          <w:szCs w:val="16"/>
        </w:rPr>
        <w:t xml:space="preserve"> para. </w:t>
      </w:r>
      <w:r w:rsidRPr="001167CB">
        <w:rPr>
          <w:rFonts w:asciiTheme="majorHAnsi" w:hAnsiTheme="majorHAnsi" w:cstheme="majorHAnsi"/>
          <w:color w:val="808080" w:themeColor="background1" w:themeShade="80"/>
          <w:sz w:val="16"/>
          <w:szCs w:val="16"/>
          <w:lang w:val="es-MX"/>
        </w:rPr>
        <w:fldChar w:fldCharType="begin"/>
      </w:r>
      <w:r w:rsidRPr="001167CB">
        <w:rPr>
          <w:rFonts w:asciiTheme="majorHAnsi" w:hAnsiTheme="majorHAnsi" w:cstheme="majorHAnsi"/>
          <w:color w:val="808080" w:themeColor="background1" w:themeShade="80"/>
          <w:sz w:val="16"/>
          <w:szCs w:val="16"/>
        </w:rPr>
        <w:instrText xml:space="preserve"> REF _Ref507431642 \r \h  \* MERGEFORMAT </w:instrText>
      </w:r>
      <w:r w:rsidRPr="001167CB">
        <w:rPr>
          <w:rFonts w:asciiTheme="majorHAnsi" w:hAnsiTheme="majorHAnsi" w:cstheme="majorHAnsi"/>
          <w:color w:val="808080" w:themeColor="background1" w:themeShade="80"/>
          <w:sz w:val="16"/>
          <w:szCs w:val="16"/>
          <w:lang w:val="es-MX"/>
        </w:rPr>
      </w:r>
      <w:r w:rsidRPr="001167CB">
        <w:rPr>
          <w:rFonts w:asciiTheme="majorHAnsi" w:hAnsiTheme="majorHAnsi" w:cstheme="majorHAnsi"/>
          <w:color w:val="808080" w:themeColor="background1" w:themeShade="80"/>
          <w:sz w:val="16"/>
          <w:szCs w:val="16"/>
          <w:lang w:val="es-MX"/>
        </w:rPr>
        <w:fldChar w:fldCharType="separate"/>
      </w:r>
      <w:r w:rsidRPr="001167CB">
        <w:rPr>
          <w:rFonts w:asciiTheme="majorHAnsi" w:hAnsiTheme="majorHAnsi" w:cstheme="majorHAnsi"/>
          <w:color w:val="808080" w:themeColor="background1" w:themeShade="80"/>
          <w:sz w:val="16"/>
          <w:szCs w:val="16"/>
        </w:rPr>
        <w:t>114</w:t>
      </w:r>
      <w:r w:rsidRPr="001167CB">
        <w:rPr>
          <w:rFonts w:asciiTheme="majorHAnsi" w:hAnsiTheme="majorHAnsi" w:cstheme="majorHAnsi"/>
          <w:color w:val="808080" w:themeColor="background1" w:themeShade="80"/>
          <w:sz w:val="16"/>
          <w:szCs w:val="16"/>
          <w:lang w:val="es-MX"/>
        </w:rPr>
        <w:fldChar w:fldCharType="end"/>
      </w:r>
      <w:r w:rsidRPr="001167CB">
        <w:rPr>
          <w:rFonts w:asciiTheme="majorHAnsi" w:hAnsiTheme="majorHAnsi" w:cstheme="majorHAnsi"/>
          <w:color w:val="808080" w:themeColor="background1" w:themeShade="80"/>
          <w:sz w:val="16"/>
          <w:szCs w:val="16"/>
        </w:rPr>
        <w:t>.</w:t>
      </w:r>
    </w:p>
  </w:footnote>
  <w:footnote w:id="624">
    <w:p w14:paraId="66A12B96"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Id.</w:t>
      </w:r>
    </w:p>
  </w:footnote>
  <w:footnote w:id="625">
    <w:p w14:paraId="5011F6A1"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lang w:val="es-US"/>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IACHR, Report No. 50/16, </w:t>
      </w:r>
      <w:hyperlink r:id="rId670" w:history="1">
        <w:r w:rsidRPr="001167CB">
          <w:rPr>
            <w:rStyle w:val="Hyperlink"/>
            <w:rFonts w:asciiTheme="majorHAnsi" w:hAnsiTheme="majorHAnsi" w:cstheme="majorHAnsi"/>
            <w:i/>
            <w:color w:val="808080" w:themeColor="background1" w:themeShade="80"/>
            <w:sz w:val="16"/>
            <w:szCs w:val="16"/>
          </w:rPr>
          <w:t>Undocumented Workers</w:t>
        </w:r>
      </w:hyperlink>
      <w:r w:rsidRPr="001167CB">
        <w:rPr>
          <w:rFonts w:asciiTheme="majorHAnsi" w:hAnsiTheme="majorHAnsi" w:cstheme="majorHAnsi"/>
          <w: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 xml:space="preserve">(2016), para 101 (citing IACHR, Report No. 80/11, </w:t>
      </w:r>
      <w:hyperlink r:id="rId671" w:history="1">
        <w:r w:rsidRPr="001167CB">
          <w:rPr>
            <w:rStyle w:val="Hyperlink"/>
            <w:rFonts w:asciiTheme="majorHAnsi" w:hAnsiTheme="majorHAnsi" w:cstheme="majorHAnsi"/>
            <w:i/>
            <w:color w:val="808080" w:themeColor="background1" w:themeShade="80"/>
            <w:sz w:val="16"/>
            <w:szCs w:val="16"/>
          </w:rPr>
          <w:t xml:space="preserve">Jessica </w:t>
        </w:r>
        <w:proofErr w:type="spellStart"/>
        <w:r w:rsidRPr="001167CB">
          <w:rPr>
            <w:rStyle w:val="Hyperlink"/>
            <w:rFonts w:asciiTheme="majorHAnsi" w:hAnsiTheme="majorHAnsi" w:cstheme="majorHAnsi"/>
            <w:i/>
            <w:color w:val="808080" w:themeColor="background1" w:themeShade="80"/>
            <w:sz w:val="16"/>
            <w:szCs w:val="16"/>
          </w:rPr>
          <w:t>Lenahan</w:t>
        </w:r>
        <w:proofErr w:type="spellEnd"/>
      </w:hyperlink>
      <w:r w:rsidRPr="001167CB">
        <w:rPr>
          <w:rFonts w:asciiTheme="majorHAnsi" w:hAnsiTheme="majorHAnsi" w:cstheme="majorHAnsi"/>
          <w:color w:val="808080" w:themeColor="background1" w:themeShade="80"/>
          <w:sz w:val="16"/>
          <w:szCs w:val="16"/>
        </w:rPr>
        <w:t xml:space="preserve"> (2011)</w:t>
      </w:r>
      <w:r w:rsidRPr="001167CB">
        <w:rPr>
          <w:rFonts w:asciiTheme="majorHAnsi" w:eastAsiaTheme="minorEastAsia" w:hAnsiTheme="majorHAnsi" w:cstheme="majorHAnsi"/>
          <w:color w:val="808080" w:themeColor="background1" w:themeShade="80"/>
          <w:sz w:val="16"/>
          <w:szCs w:val="16"/>
          <w:lang w:eastAsia="es-ES"/>
        </w:rPr>
        <w:t xml:space="preserve">, para. 173; IACHR, </w:t>
      </w:r>
      <w:r w:rsidRPr="001167CB">
        <w:rPr>
          <w:rFonts w:asciiTheme="majorHAnsi" w:eastAsiaTheme="minorEastAsia" w:hAnsiTheme="majorHAnsi" w:cstheme="majorHAnsi"/>
          <w:i/>
          <w:iCs/>
          <w:color w:val="808080" w:themeColor="background1" w:themeShade="80"/>
          <w:sz w:val="16"/>
          <w:szCs w:val="16"/>
          <w:lang w:eastAsia="es-ES"/>
        </w:rPr>
        <w:t>The Situation of</w:t>
      </w:r>
      <w:r w:rsidRPr="001167CB">
        <w:rPr>
          <w:rFonts w:asciiTheme="majorHAnsi" w:hAnsiTheme="majorHAnsi" w:cstheme="majorHAnsi"/>
          <w:i/>
          <w:iCs/>
          <w:color w:val="808080" w:themeColor="background1" w:themeShade="80"/>
          <w:sz w:val="16"/>
          <w:szCs w:val="16"/>
        </w:rPr>
        <w:t xml:space="preserve"> the Rights of Women in Ciudad Juarez</w:t>
      </w:r>
      <w:r w:rsidRPr="001167CB">
        <w:rPr>
          <w:rFonts w:asciiTheme="majorHAnsi" w:hAnsiTheme="majorHAnsi" w:cstheme="majorHAnsi"/>
          <w:color w:val="808080" w:themeColor="background1" w:themeShade="80"/>
          <w:sz w:val="16"/>
          <w:szCs w:val="16"/>
        </w:rPr>
        <w:t xml:space="preserve">, OEA/Ser. </w:t>
      </w:r>
      <w:r w:rsidRPr="001167CB">
        <w:rPr>
          <w:rFonts w:asciiTheme="majorHAnsi" w:hAnsiTheme="majorHAnsi" w:cstheme="majorHAnsi"/>
          <w:color w:val="808080" w:themeColor="background1" w:themeShade="80"/>
          <w:sz w:val="16"/>
          <w:szCs w:val="16"/>
          <w:lang w:val="es-US"/>
        </w:rPr>
        <w:t xml:space="preserve">L/V/II.117. Doc. 44 (2003), para. 51).  </w:t>
      </w:r>
    </w:p>
  </w:footnote>
  <w:footnote w:id="626">
    <w:p w14:paraId="5C2F4FDC"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lang w:val="es-US"/>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lang w:val="es-US"/>
        </w:rPr>
        <w:t xml:space="preserve"> </w:t>
      </w:r>
      <w:r w:rsidRPr="001167CB">
        <w:rPr>
          <w:rFonts w:asciiTheme="majorHAnsi" w:hAnsiTheme="majorHAnsi" w:cstheme="majorHAnsi"/>
          <w:color w:val="808080" w:themeColor="background1" w:themeShade="80"/>
          <w:sz w:val="16"/>
          <w:szCs w:val="16"/>
          <w:lang w:val="es-US"/>
        </w:rPr>
        <w:tab/>
        <w:t>Id.</w:t>
      </w:r>
    </w:p>
  </w:footnote>
  <w:footnote w:id="627">
    <w:p w14:paraId="1E178ECE" w14:textId="649E6202"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lang w:val="es-US"/>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lang w:val="es-US"/>
        </w:rPr>
        <w:t xml:space="preserve"> </w:t>
      </w:r>
      <w:r w:rsidRPr="001167CB">
        <w:rPr>
          <w:rFonts w:asciiTheme="majorHAnsi" w:hAnsiTheme="majorHAnsi" w:cstheme="majorHAnsi"/>
          <w:color w:val="808080" w:themeColor="background1" w:themeShade="80"/>
          <w:sz w:val="16"/>
          <w:szCs w:val="16"/>
          <w:lang w:val="es-US"/>
        </w:rPr>
        <w:tab/>
      </w:r>
      <w:proofErr w:type="spellStart"/>
      <w:r w:rsidRPr="001167CB">
        <w:rPr>
          <w:rFonts w:asciiTheme="majorHAnsi" w:hAnsiTheme="majorHAnsi" w:cstheme="majorHAnsi"/>
          <w:i/>
          <w:color w:val="808080" w:themeColor="background1" w:themeShade="80"/>
          <w:sz w:val="16"/>
          <w:szCs w:val="16"/>
          <w:lang w:val="es-US"/>
        </w:rPr>
        <w:t>See</w:t>
      </w:r>
      <w:proofErr w:type="spellEnd"/>
      <w:r w:rsidRPr="001167CB">
        <w:rPr>
          <w:rFonts w:asciiTheme="majorHAnsi" w:hAnsiTheme="majorHAnsi" w:cstheme="majorHAnsi"/>
          <w:i/>
          <w:color w:val="808080" w:themeColor="background1" w:themeShade="80"/>
          <w:sz w:val="16"/>
          <w:szCs w:val="16"/>
          <w:lang w:val="es-US"/>
        </w:rPr>
        <w:t xml:space="preserve"> supra</w:t>
      </w:r>
      <w:r w:rsidRPr="001167CB">
        <w:rPr>
          <w:rFonts w:asciiTheme="majorHAnsi" w:hAnsiTheme="majorHAnsi" w:cstheme="majorHAnsi"/>
          <w:color w:val="808080" w:themeColor="background1" w:themeShade="80"/>
          <w:sz w:val="16"/>
          <w:szCs w:val="16"/>
          <w:lang w:val="es-US"/>
        </w:rPr>
        <w:t xml:space="preserve"> paras. </w:t>
      </w:r>
      <w:r w:rsidRPr="001167CB">
        <w:rPr>
          <w:rFonts w:asciiTheme="majorHAnsi" w:hAnsiTheme="majorHAnsi" w:cstheme="majorHAnsi"/>
          <w:color w:val="808080" w:themeColor="background1" w:themeShade="80"/>
          <w:sz w:val="16"/>
          <w:szCs w:val="16"/>
          <w:lang w:val="es-MX"/>
        </w:rPr>
        <w:fldChar w:fldCharType="begin"/>
      </w:r>
      <w:r w:rsidRPr="001167CB">
        <w:rPr>
          <w:rFonts w:asciiTheme="majorHAnsi" w:hAnsiTheme="majorHAnsi" w:cstheme="majorHAnsi"/>
          <w:color w:val="808080" w:themeColor="background1" w:themeShade="80"/>
          <w:sz w:val="16"/>
          <w:szCs w:val="16"/>
          <w:lang w:val="es-US"/>
        </w:rPr>
        <w:instrText xml:space="preserve"> REF _Ref507429957 \r \h  \* MERGEFORMAT </w:instrText>
      </w:r>
      <w:r w:rsidRPr="001167CB">
        <w:rPr>
          <w:rFonts w:asciiTheme="majorHAnsi" w:hAnsiTheme="majorHAnsi" w:cstheme="majorHAnsi"/>
          <w:color w:val="808080" w:themeColor="background1" w:themeShade="80"/>
          <w:sz w:val="16"/>
          <w:szCs w:val="16"/>
          <w:lang w:val="es-MX"/>
        </w:rPr>
      </w:r>
      <w:r w:rsidRPr="001167CB">
        <w:rPr>
          <w:rFonts w:asciiTheme="majorHAnsi" w:hAnsiTheme="majorHAnsi" w:cstheme="majorHAnsi"/>
          <w:color w:val="808080" w:themeColor="background1" w:themeShade="80"/>
          <w:sz w:val="16"/>
          <w:szCs w:val="16"/>
          <w:lang w:val="es-MX"/>
        </w:rPr>
        <w:fldChar w:fldCharType="separate"/>
      </w:r>
      <w:r w:rsidRPr="001167CB">
        <w:rPr>
          <w:rFonts w:asciiTheme="majorHAnsi" w:hAnsiTheme="majorHAnsi" w:cstheme="majorHAnsi"/>
          <w:color w:val="808080" w:themeColor="background1" w:themeShade="80"/>
          <w:sz w:val="16"/>
          <w:szCs w:val="16"/>
          <w:lang w:val="es-US"/>
        </w:rPr>
        <w:t>103</w:t>
      </w:r>
      <w:r w:rsidRPr="001167CB">
        <w:rPr>
          <w:rFonts w:asciiTheme="majorHAnsi" w:hAnsiTheme="majorHAnsi" w:cstheme="majorHAnsi"/>
          <w:color w:val="808080" w:themeColor="background1" w:themeShade="80"/>
          <w:sz w:val="16"/>
          <w:szCs w:val="16"/>
          <w:lang w:val="es-MX"/>
        </w:rPr>
        <w:fldChar w:fldCharType="end"/>
      </w:r>
      <w:r w:rsidRPr="001167CB">
        <w:rPr>
          <w:rFonts w:asciiTheme="majorHAnsi" w:hAnsiTheme="majorHAnsi" w:cstheme="majorHAnsi"/>
          <w:color w:val="808080" w:themeColor="background1" w:themeShade="80"/>
          <w:sz w:val="16"/>
          <w:szCs w:val="16"/>
          <w:lang w:val="es-US"/>
        </w:rPr>
        <w:t>-</w:t>
      </w:r>
      <w:r w:rsidRPr="001167CB">
        <w:rPr>
          <w:rFonts w:asciiTheme="majorHAnsi" w:hAnsiTheme="majorHAnsi" w:cstheme="majorHAnsi"/>
          <w:color w:val="808080" w:themeColor="background1" w:themeShade="80"/>
          <w:sz w:val="16"/>
          <w:szCs w:val="16"/>
          <w:lang w:val="es-MX"/>
        </w:rPr>
        <w:fldChar w:fldCharType="begin"/>
      </w:r>
      <w:r w:rsidRPr="001167CB">
        <w:rPr>
          <w:rFonts w:asciiTheme="majorHAnsi" w:hAnsiTheme="majorHAnsi" w:cstheme="majorHAnsi"/>
          <w:color w:val="808080" w:themeColor="background1" w:themeShade="80"/>
          <w:sz w:val="16"/>
          <w:szCs w:val="16"/>
          <w:lang w:val="es-US"/>
        </w:rPr>
        <w:instrText xml:space="preserve"> REF _Ref507429959 \r \h  \* MERGEFORMAT </w:instrText>
      </w:r>
      <w:r w:rsidRPr="001167CB">
        <w:rPr>
          <w:rFonts w:asciiTheme="majorHAnsi" w:hAnsiTheme="majorHAnsi" w:cstheme="majorHAnsi"/>
          <w:color w:val="808080" w:themeColor="background1" w:themeShade="80"/>
          <w:sz w:val="16"/>
          <w:szCs w:val="16"/>
          <w:lang w:val="es-MX"/>
        </w:rPr>
      </w:r>
      <w:r w:rsidRPr="001167CB">
        <w:rPr>
          <w:rFonts w:asciiTheme="majorHAnsi" w:hAnsiTheme="majorHAnsi" w:cstheme="majorHAnsi"/>
          <w:color w:val="808080" w:themeColor="background1" w:themeShade="80"/>
          <w:sz w:val="16"/>
          <w:szCs w:val="16"/>
          <w:lang w:val="es-MX"/>
        </w:rPr>
        <w:fldChar w:fldCharType="separate"/>
      </w:r>
      <w:r w:rsidRPr="001167CB">
        <w:rPr>
          <w:rFonts w:asciiTheme="majorHAnsi" w:hAnsiTheme="majorHAnsi" w:cstheme="majorHAnsi"/>
          <w:color w:val="808080" w:themeColor="background1" w:themeShade="80"/>
          <w:sz w:val="16"/>
          <w:szCs w:val="16"/>
          <w:lang w:val="es-US"/>
        </w:rPr>
        <w:t>105</w:t>
      </w:r>
      <w:r w:rsidRPr="001167CB">
        <w:rPr>
          <w:rFonts w:asciiTheme="majorHAnsi" w:hAnsiTheme="majorHAnsi" w:cstheme="majorHAnsi"/>
          <w:color w:val="808080" w:themeColor="background1" w:themeShade="80"/>
          <w:sz w:val="16"/>
          <w:szCs w:val="16"/>
          <w:lang w:val="es-MX"/>
        </w:rPr>
        <w:fldChar w:fldCharType="end"/>
      </w:r>
      <w:r w:rsidRPr="001167CB">
        <w:rPr>
          <w:rFonts w:asciiTheme="majorHAnsi" w:hAnsiTheme="majorHAnsi" w:cstheme="majorHAnsi"/>
          <w:color w:val="808080" w:themeColor="background1" w:themeShade="80"/>
          <w:sz w:val="16"/>
          <w:szCs w:val="16"/>
          <w:lang w:val="es-US"/>
        </w:rPr>
        <w:t>.</w:t>
      </w:r>
    </w:p>
  </w:footnote>
  <w:footnote w:id="628">
    <w:p w14:paraId="08CE2D30" w14:textId="73FF55C5"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lang w:val="es-US"/>
        </w:rPr>
        <w:t xml:space="preserve"> </w:t>
      </w:r>
      <w:r w:rsidRPr="001167CB">
        <w:rPr>
          <w:rFonts w:asciiTheme="majorHAnsi" w:hAnsiTheme="majorHAnsi" w:cstheme="majorHAnsi"/>
          <w:color w:val="808080" w:themeColor="background1" w:themeShade="80"/>
          <w:sz w:val="16"/>
          <w:szCs w:val="16"/>
          <w:lang w:val="es-US"/>
        </w:rPr>
        <w:tab/>
      </w:r>
      <w:proofErr w:type="spellStart"/>
      <w:r w:rsidRPr="001167CB">
        <w:rPr>
          <w:rFonts w:asciiTheme="majorHAnsi" w:hAnsiTheme="majorHAnsi" w:cstheme="majorHAnsi"/>
          <w:i/>
          <w:color w:val="808080" w:themeColor="background1" w:themeShade="80"/>
          <w:sz w:val="16"/>
          <w:szCs w:val="16"/>
          <w:lang w:val="es-US"/>
        </w:rPr>
        <w:t>See</w:t>
      </w:r>
      <w:proofErr w:type="spellEnd"/>
      <w:r w:rsidRPr="001167CB">
        <w:rPr>
          <w:rFonts w:asciiTheme="majorHAnsi" w:hAnsiTheme="majorHAnsi" w:cstheme="majorHAnsi"/>
          <w:i/>
          <w:color w:val="808080" w:themeColor="background1" w:themeShade="80"/>
          <w:sz w:val="16"/>
          <w:szCs w:val="16"/>
          <w:lang w:val="es-US"/>
        </w:rPr>
        <w:t xml:space="preserve"> supra</w:t>
      </w:r>
      <w:r w:rsidRPr="001167CB">
        <w:rPr>
          <w:rFonts w:asciiTheme="majorHAnsi" w:hAnsiTheme="majorHAnsi" w:cstheme="majorHAnsi"/>
          <w:color w:val="808080" w:themeColor="background1" w:themeShade="80"/>
          <w:sz w:val="16"/>
          <w:szCs w:val="16"/>
          <w:lang w:val="es-US"/>
        </w:rPr>
        <w:t xml:space="preserve"> para. </w:t>
      </w:r>
      <w:r w:rsidRPr="001167CB">
        <w:rPr>
          <w:rFonts w:asciiTheme="majorHAnsi" w:hAnsiTheme="majorHAnsi" w:cstheme="majorHAnsi"/>
          <w:color w:val="808080" w:themeColor="background1" w:themeShade="80"/>
          <w:sz w:val="16"/>
          <w:szCs w:val="16"/>
        </w:rPr>
        <w:fldChar w:fldCharType="begin"/>
      </w:r>
      <w:r w:rsidRPr="001167CB">
        <w:rPr>
          <w:rFonts w:asciiTheme="majorHAnsi" w:hAnsiTheme="majorHAnsi" w:cstheme="majorHAnsi"/>
          <w:color w:val="808080" w:themeColor="background1" w:themeShade="80"/>
          <w:sz w:val="16"/>
          <w:szCs w:val="16"/>
          <w:lang w:val="es-US"/>
        </w:rPr>
        <w:instrText xml:space="preserve"> REF _Ref507431987 \r \h  \* MERGEFORMAT </w:instrText>
      </w:r>
      <w:r w:rsidRPr="001167CB">
        <w:rPr>
          <w:rFonts w:asciiTheme="majorHAnsi" w:hAnsiTheme="majorHAnsi" w:cstheme="majorHAnsi"/>
          <w:color w:val="808080" w:themeColor="background1" w:themeShade="80"/>
          <w:sz w:val="16"/>
          <w:szCs w:val="16"/>
        </w:rPr>
      </w:r>
      <w:r w:rsidRPr="001167CB">
        <w:rPr>
          <w:rFonts w:asciiTheme="majorHAnsi" w:hAnsiTheme="majorHAnsi" w:cstheme="majorHAnsi"/>
          <w:color w:val="808080" w:themeColor="background1" w:themeShade="80"/>
          <w:sz w:val="16"/>
          <w:szCs w:val="16"/>
        </w:rPr>
        <w:fldChar w:fldCharType="separate"/>
      </w:r>
      <w:r w:rsidRPr="001167CB">
        <w:rPr>
          <w:rFonts w:asciiTheme="majorHAnsi" w:hAnsiTheme="majorHAnsi" w:cstheme="majorHAnsi"/>
          <w:color w:val="808080" w:themeColor="background1" w:themeShade="80"/>
          <w:sz w:val="16"/>
          <w:szCs w:val="16"/>
        </w:rPr>
        <w:t>148</w:t>
      </w:r>
      <w:r w:rsidRPr="001167CB">
        <w:rPr>
          <w:rFonts w:asciiTheme="majorHAnsi" w:hAnsiTheme="majorHAnsi" w:cstheme="majorHAnsi"/>
          <w:color w:val="808080" w:themeColor="background1" w:themeShade="80"/>
          <w:sz w:val="16"/>
          <w:szCs w:val="16"/>
        </w:rPr>
        <w:fldChar w:fldCharType="end"/>
      </w:r>
      <w:r w:rsidRPr="001167CB">
        <w:rPr>
          <w:rFonts w:asciiTheme="majorHAnsi" w:hAnsiTheme="majorHAnsi" w:cstheme="majorHAnsi"/>
          <w:color w:val="808080" w:themeColor="background1" w:themeShade="80"/>
          <w:sz w:val="16"/>
          <w:szCs w:val="16"/>
        </w:rPr>
        <w:t>.</w:t>
      </w:r>
    </w:p>
  </w:footnote>
  <w:footnote w:id="629">
    <w:p w14:paraId="68A82E53" w14:textId="77777777" w:rsidR="005C2394" w:rsidRPr="001167CB" w:rsidRDefault="005C2394" w:rsidP="002C64F8">
      <w:pPr>
        <w:spacing w:after="40" w:line="240" w:lineRule="auto"/>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IACHR, Report No. 50/16, </w:t>
      </w:r>
      <w:hyperlink r:id="rId672" w:history="1">
        <w:r w:rsidRPr="001167CB">
          <w:rPr>
            <w:rStyle w:val="Hyperlink"/>
            <w:rFonts w:asciiTheme="majorHAnsi" w:hAnsiTheme="majorHAnsi" w:cstheme="majorHAnsi"/>
            <w:i/>
            <w:color w:val="808080" w:themeColor="background1" w:themeShade="80"/>
            <w:sz w:val="16"/>
            <w:szCs w:val="16"/>
          </w:rPr>
          <w:t>Undocumented Workers</w:t>
        </w:r>
      </w:hyperlink>
      <w:r w:rsidRPr="001167CB">
        <w:rPr>
          <w:rFonts w:asciiTheme="majorHAnsi" w:hAnsiTheme="majorHAnsi" w:cstheme="majorHAnsi"/>
          <w: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 xml:space="preserve">(2016), paras. </w:t>
      </w:r>
      <w:r w:rsidRPr="001167CB">
        <w:rPr>
          <w:rFonts w:asciiTheme="majorHAnsi" w:hAnsiTheme="majorHAnsi" w:cstheme="majorHAnsi"/>
          <w:color w:val="808080" w:themeColor="background1" w:themeShade="80"/>
          <w:sz w:val="16"/>
          <w:szCs w:val="16"/>
          <w:lang w:val="es-US"/>
        </w:rPr>
        <w:t xml:space="preserve">71-92; </w:t>
      </w:r>
      <w:proofErr w:type="spellStart"/>
      <w:r w:rsidRPr="001167CB">
        <w:rPr>
          <w:rFonts w:asciiTheme="majorHAnsi" w:hAnsiTheme="majorHAnsi" w:cstheme="majorHAnsi"/>
          <w:color w:val="808080" w:themeColor="background1" w:themeShade="80"/>
          <w:sz w:val="16"/>
          <w:szCs w:val="16"/>
          <w:lang w:val="es-US"/>
        </w:rPr>
        <w:t>Report</w:t>
      </w:r>
      <w:proofErr w:type="spellEnd"/>
      <w:r w:rsidRPr="001167CB">
        <w:rPr>
          <w:rFonts w:asciiTheme="majorHAnsi" w:hAnsiTheme="majorHAnsi" w:cstheme="majorHAnsi"/>
          <w:color w:val="808080" w:themeColor="background1" w:themeShade="80"/>
          <w:sz w:val="16"/>
          <w:szCs w:val="16"/>
          <w:lang w:val="es-US"/>
        </w:rPr>
        <w:t xml:space="preserve"> No. 80/11, </w:t>
      </w:r>
      <w:hyperlink r:id="rId673" w:history="1">
        <w:r w:rsidRPr="001167CB">
          <w:rPr>
            <w:rStyle w:val="Hyperlink"/>
            <w:rFonts w:asciiTheme="majorHAnsi" w:hAnsiTheme="majorHAnsi" w:cstheme="majorHAnsi"/>
            <w:i/>
            <w:color w:val="808080" w:themeColor="background1" w:themeShade="80"/>
            <w:sz w:val="16"/>
            <w:szCs w:val="16"/>
            <w:lang w:val="es-US"/>
          </w:rPr>
          <w:t xml:space="preserve">Jessica </w:t>
        </w:r>
        <w:proofErr w:type="spellStart"/>
        <w:r w:rsidRPr="001167CB">
          <w:rPr>
            <w:rStyle w:val="Hyperlink"/>
            <w:rFonts w:asciiTheme="majorHAnsi" w:hAnsiTheme="majorHAnsi" w:cstheme="majorHAnsi"/>
            <w:i/>
            <w:color w:val="808080" w:themeColor="background1" w:themeShade="80"/>
            <w:sz w:val="16"/>
            <w:szCs w:val="16"/>
            <w:lang w:val="es-US"/>
          </w:rPr>
          <w:t>Lenahan</w:t>
        </w:r>
        <w:proofErr w:type="spellEnd"/>
      </w:hyperlink>
      <w:r w:rsidRPr="001167CB">
        <w:rPr>
          <w:rFonts w:asciiTheme="majorHAnsi" w:hAnsiTheme="majorHAnsi" w:cstheme="majorHAnsi"/>
          <w:color w:val="808080" w:themeColor="background1" w:themeShade="80"/>
          <w:sz w:val="16"/>
          <w:szCs w:val="16"/>
          <w:lang w:val="es-US"/>
        </w:rPr>
        <w:t xml:space="preserve"> (2011), para. 108; </w:t>
      </w:r>
      <w:proofErr w:type="spellStart"/>
      <w:r w:rsidRPr="001167CB">
        <w:rPr>
          <w:rFonts w:asciiTheme="majorHAnsi" w:hAnsiTheme="majorHAnsi" w:cstheme="majorHAnsi"/>
          <w:color w:val="808080" w:themeColor="background1" w:themeShade="80"/>
          <w:sz w:val="16"/>
          <w:szCs w:val="16"/>
          <w:lang w:val="es-US"/>
        </w:rPr>
        <w:t>Report</w:t>
      </w:r>
      <w:proofErr w:type="spellEnd"/>
      <w:r w:rsidRPr="001167CB">
        <w:rPr>
          <w:rFonts w:asciiTheme="majorHAnsi" w:hAnsiTheme="majorHAnsi" w:cstheme="majorHAnsi"/>
          <w:color w:val="808080" w:themeColor="background1" w:themeShade="80"/>
          <w:sz w:val="16"/>
          <w:szCs w:val="16"/>
          <w:lang w:val="es-US"/>
        </w:rPr>
        <w:t xml:space="preserve"> 40/04, </w:t>
      </w:r>
      <w:hyperlink r:id="rId674" w:history="1">
        <w:r w:rsidRPr="001167CB">
          <w:rPr>
            <w:rStyle w:val="Hyperlink"/>
            <w:rFonts w:asciiTheme="majorHAnsi" w:hAnsiTheme="majorHAnsi" w:cstheme="majorHAnsi"/>
            <w:i/>
            <w:color w:val="808080" w:themeColor="background1" w:themeShade="80"/>
            <w:sz w:val="16"/>
            <w:szCs w:val="16"/>
            <w:lang w:val="es-US"/>
          </w:rPr>
          <w:t xml:space="preserve">Maya </w:t>
        </w:r>
        <w:proofErr w:type="spellStart"/>
        <w:r w:rsidRPr="001167CB">
          <w:rPr>
            <w:rStyle w:val="Hyperlink"/>
            <w:rFonts w:asciiTheme="majorHAnsi" w:hAnsiTheme="majorHAnsi" w:cstheme="majorHAnsi"/>
            <w:i/>
            <w:color w:val="808080" w:themeColor="background1" w:themeShade="80"/>
            <w:sz w:val="16"/>
            <w:szCs w:val="16"/>
            <w:lang w:val="es-US"/>
          </w:rPr>
          <w:t>Indigenous</w:t>
        </w:r>
        <w:proofErr w:type="spellEnd"/>
        <w:r w:rsidRPr="001167CB">
          <w:rPr>
            <w:rStyle w:val="Hyperlink"/>
            <w:rFonts w:asciiTheme="majorHAnsi" w:hAnsiTheme="majorHAnsi" w:cstheme="majorHAnsi"/>
            <w:i/>
            <w:color w:val="808080" w:themeColor="background1" w:themeShade="80"/>
            <w:sz w:val="16"/>
            <w:szCs w:val="16"/>
            <w:lang w:val="es-US"/>
          </w:rPr>
          <w:t xml:space="preserve"> </w:t>
        </w:r>
        <w:proofErr w:type="spellStart"/>
        <w:r w:rsidRPr="001167CB">
          <w:rPr>
            <w:rStyle w:val="Hyperlink"/>
            <w:rFonts w:asciiTheme="majorHAnsi" w:hAnsiTheme="majorHAnsi" w:cstheme="majorHAnsi"/>
            <w:i/>
            <w:color w:val="808080" w:themeColor="background1" w:themeShade="80"/>
            <w:sz w:val="16"/>
            <w:szCs w:val="16"/>
            <w:lang w:val="es-US"/>
          </w:rPr>
          <w:t>Community</w:t>
        </w:r>
        <w:proofErr w:type="spellEnd"/>
      </w:hyperlink>
      <w:r w:rsidRPr="001167CB">
        <w:rPr>
          <w:rFonts w:asciiTheme="majorHAnsi" w:hAnsiTheme="majorHAnsi" w:cstheme="majorHAnsi"/>
          <w:color w:val="808080" w:themeColor="background1" w:themeShade="80"/>
          <w:sz w:val="16"/>
          <w:szCs w:val="16"/>
          <w:lang w:val="es-US"/>
        </w:rPr>
        <w:t xml:space="preserve"> (2004), para. 162; </w:t>
      </w:r>
      <w:proofErr w:type="spellStart"/>
      <w:r w:rsidRPr="001167CB">
        <w:rPr>
          <w:rFonts w:asciiTheme="majorHAnsi" w:hAnsiTheme="majorHAnsi" w:cstheme="majorHAnsi"/>
          <w:color w:val="808080" w:themeColor="background1" w:themeShade="80"/>
          <w:sz w:val="16"/>
          <w:szCs w:val="16"/>
          <w:lang w:val="es-US"/>
        </w:rPr>
        <w:t>Report</w:t>
      </w:r>
      <w:proofErr w:type="spellEnd"/>
      <w:r w:rsidRPr="001167CB">
        <w:rPr>
          <w:rFonts w:asciiTheme="majorHAnsi" w:hAnsiTheme="majorHAnsi" w:cstheme="majorHAnsi"/>
          <w:color w:val="808080" w:themeColor="background1" w:themeShade="80"/>
          <w:sz w:val="16"/>
          <w:szCs w:val="16"/>
          <w:lang w:val="es-US"/>
        </w:rPr>
        <w:t xml:space="preserve"> No. 67/06, </w:t>
      </w:r>
      <w:hyperlink r:id="rId675" w:history="1">
        <w:r w:rsidRPr="001167CB">
          <w:rPr>
            <w:rStyle w:val="Hyperlink"/>
            <w:rFonts w:asciiTheme="majorHAnsi" w:hAnsiTheme="majorHAnsi" w:cstheme="majorHAnsi"/>
            <w:i/>
            <w:color w:val="808080" w:themeColor="background1" w:themeShade="80"/>
            <w:sz w:val="16"/>
            <w:szCs w:val="16"/>
            <w:lang w:val="es-US"/>
          </w:rPr>
          <w:t xml:space="preserve">Oscar Elías </w:t>
        </w:r>
        <w:proofErr w:type="spellStart"/>
        <w:r w:rsidRPr="001167CB">
          <w:rPr>
            <w:rStyle w:val="Hyperlink"/>
            <w:rFonts w:asciiTheme="majorHAnsi" w:hAnsiTheme="majorHAnsi" w:cstheme="majorHAnsi"/>
            <w:i/>
            <w:color w:val="808080" w:themeColor="background1" w:themeShade="80"/>
            <w:sz w:val="16"/>
            <w:szCs w:val="16"/>
            <w:lang w:val="es-US"/>
          </w:rPr>
          <w:t>Bicet</w:t>
        </w:r>
        <w:proofErr w:type="spellEnd"/>
        <w:r w:rsidRPr="001167CB">
          <w:rPr>
            <w:rStyle w:val="Hyperlink"/>
            <w:rFonts w:asciiTheme="majorHAnsi" w:hAnsiTheme="majorHAnsi" w:cstheme="majorHAnsi"/>
            <w:i/>
            <w:color w:val="808080" w:themeColor="background1" w:themeShade="80"/>
            <w:sz w:val="16"/>
            <w:szCs w:val="16"/>
            <w:lang w:val="es-US"/>
          </w:rPr>
          <w:t xml:space="preserve"> et al.</w:t>
        </w:r>
      </w:hyperlink>
      <w:r w:rsidRPr="001167CB">
        <w:rPr>
          <w:rFonts w:asciiTheme="majorHAnsi" w:hAnsiTheme="majorHAnsi" w:cstheme="majorHAnsi"/>
          <w:color w:val="808080" w:themeColor="background1" w:themeShade="80"/>
          <w:sz w:val="16"/>
          <w:szCs w:val="16"/>
          <w:lang w:val="es-US"/>
        </w:rPr>
        <w:t xml:space="preserve"> (2006), para. </w:t>
      </w:r>
      <w:r w:rsidRPr="001167CB">
        <w:rPr>
          <w:rFonts w:asciiTheme="majorHAnsi" w:hAnsiTheme="majorHAnsi" w:cstheme="majorHAnsi"/>
          <w:color w:val="808080" w:themeColor="background1" w:themeShade="80"/>
          <w:sz w:val="16"/>
          <w:szCs w:val="16"/>
        </w:rPr>
        <w:t>228.</w:t>
      </w:r>
    </w:p>
  </w:footnote>
  <w:footnote w:id="630">
    <w:p w14:paraId="17062695"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lang w:val="es-US"/>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IACHR, </w:t>
      </w:r>
      <w:hyperlink r:id="rId676" w:history="1">
        <w:r w:rsidRPr="001167CB">
          <w:rPr>
            <w:rStyle w:val="Hyperlink"/>
            <w:rFonts w:asciiTheme="majorHAnsi" w:hAnsiTheme="majorHAnsi" w:cstheme="majorHAnsi"/>
            <w:color w:val="808080" w:themeColor="background1" w:themeShade="80"/>
            <w:sz w:val="16"/>
            <w:szCs w:val="16"/>
          </w:rPr>
          <w:t>The Situation of Human Rights Defenders in the Americas</w:t>
        </w:r>
      </w:hyperlink>
      <w:r w:rsidRPr="001167CB">
        <w:rPr>
          <w:rFonts w:asciiTheme="majorHAnsi" w:hAnsiTheme="majorHAnsi" w:cstheme="majorHAnsi"/>
          <w:color w:val="808080" w:themeColor="background1" w:themeShade="80"/>
          <w:sz w:val="16"/>
          <w:szCs w:val="16"/>
        </w:rPr>
        <w:t>, OEA/</w:t>
      </w:r>
      <w:proofErr w:type="spellStart"/>
      <w:r w:rsidRPr="001167CB">
        <w:rPr>
          <w:rFonts w:asciiTheme="majorHAnsi" w:hAnsiTheme="majorHAnsi" w:cstheme="majorHAnsi"/>
          <w:color w:val="808080" w:themeColor="background1" w:themeShade="80"/>
          <w:sz w:val="16"/>
          <w:szCs w:val="16"/>
        </w:rPr>
        <w:t>Ser.L</w:t>
      </w:r>
      <w:proofErr w:type="spellEnd"/>
      <w:r w:rsidRPr="001167CB">
        <w:rPr>
          <w:rFonts w:asciiTheme="majorHAnsi" w:hAnsiTheme="majorHAnsi" w:cstheme="majorHAnsi"/>
          <w:color w:val="808080" w:themeColor="background1" w:themeShade="80"/>
          <w:sz w:val="16"/>
          <w:szCs w:val="16"/>
        </w:rPr>
        <w:t xml:space="preserve">/V/II.124 Doc. 5 rev.1 (2006), para. </w:t>
      </w:r>
      <w:r w:rsidRPr="001167CB">
        <w:rPr>
          <w:rFonts w:asciiTheme="majorHAnsi" w:hAnsiTheme="majorHAnsi" w:cstheme="majorHAnsi"/>
          <w:color w:val="808080" w:themeColor="background1" w:themeShade="80"/>
          <w:sz w:val="16"/>
          <w:szCs w:val="16"/>
          <w:lang w:val="es-US"/>
        </w:rPr>
        <w:t>349.</w:t>
      </w:r>
    </w:p>
  </w:footnote>
  <w:footnote w:id="631">
    <w:p w14:paraId="6202E257"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lang w:val="es-US"/>
        </w:rPr>
        <w:t xml:space="preserve"> </w:t>
      </w:r>
      <w:r w:rsidRPr="001167CB">
        <w:rPr>
          <w:rFonts w:asciiTheme="majorHAnsi" w:hAnsiTheme="majorHAnsi" w:cstheme="majorHAnsi"/>
          <w:color w:val="808080" w:themeColor="background1" w:themeShade="80"/>
          <w:sz w:val="16"/>
          <w:szCs w:val="16"/>
          <w:lang w:val="es-US"/>
        </w:rPr>
        <w:tab/>
        <w:t xml:space="preserve">I/A </w:t>
      </w:r>
      <w:proofErr w:type="spellStart"/>
      <w:r w:rsidRPr="001167CB">
        <w:rPr>
          <w:rFonts w:asciiTheme="majorHAnsi" w:hAnsiTheme="majorHAnsi" w:cstheme="majorHAnsi"/>
          <w:color w:val="808080" w:themeColor="background1" w:themeShade="80"/>
          <w:sz w:val="16"/>
          <w:szCs w:val="16"/>
          <w:lang w:val="es-US"/>
        </w:rPr>
        <w:t>Ct</w:t>
      </w:r>
      <w:proofErr w:type="spellEnd"/>
      <w:r w:rsidRPr="001167CB">
        <w:rPr>
          <w:rFonts w:asciiTheme="majorHAnsi" w:hAnsiTheme="majorHAnsi" w:cstheme="majorHAnsi"/>
          <w:color w:val="808080" w:themeColor="background1" w:themeShade="80"/>
          <w:sz w:val="16"/>
          <w:szCs w:val="16"/>
          <w:lang w:val="es-US"/>
        </w:rPr>
        <w:t xml:space="preserve">. H.R., </w:t>
      </w:r>
      <w:r w:rsidRPr="001167CB">
        <w:rPr>
          <w:rFonts w:asciiTheme="majorHAnsi" w:hAnsiTheme="majorHAnsi" w:cstheme="majorHAnsi"/>
          <w:i/>
          <w:color w:val="808080" w:themeColor="background1" w:themeShade="80"/>
          <w:sz w:val="16"/>
          <w:szCs w:val="16"/>
          <w:lang w:val="es-US"/>
        </w:rPr>
        <w:t>Velásquez Rodríguez</w:t>
      </w:r>
      <w:r w:rsidRPr="001167CB">
        <w:rPr>
          <w:rFonts w:asciiTheme="majorHAnsi" w:hAnsiTheme="majorHAnsi" w:cstheme="majorHAnsi"/>
          <w:color w:val="808080" w:themeColor="background1" w:themeShade="80"/>
          <w:sz w:val="16"/>
          <w:szCs w:val="16"/>
          <w:lang w:val="es-US"/>
        </w:rPr>
        <w:t xml:space="preserve">, Ser. C No. 7 (1989), para. </w:t>
      </w:r>
      <w:r w:rsidRPr="001167CB">
        <w:rPr>
          <w:rFonts w:asciiTheme="majorHAnsi" w:hAnsiTheme="majorHAnsi" w:cstheme="majorHAnsi"/>
          <w:color w:val="808080" w:themeColor="background1" w:themeShade="80"/>
          <w:sz w:val="16"/>
          <w:szCs w:val="16"/>
        </w:rPr>
        <w:t>166.</w:t>
      </w:r>
    </w:p>
  </w:footnote>
  <w:footnote w:id="632">
    <w:p w14:paraId="23B216FF" w14:textId="73CF4440"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i/>
          <w:color w:val="808080" w:themeColor="background1" w:themeShade="80"/>
          <w:sz w:val="16"/>
          <w:szCs w:val="16"/>
        </w:rPr>
        <w:t>See supra</w:t>
      </w:r>
      <w:r w:rsidRPr="001167CB">
        <w:rPr>
          <w:rFonts w:asciiTheme="majorHAnsi" w:hAnsiTheme="majorHAnsi" w:cstheme="majorHAnsi"/>
          <w:color w:val="808080" w:themeColor="background1" w:themeShade="80"/>
          <w:sz w:val="16"/>
          <w:szCs w:val="16"/>
        </w:rPr>
        <w:t xml:space="preserve"> paras. </w:t>
      </w:r>
      <w:r w:rsidRPr="001167CB">
        <w:rPr>
          <w:rFonts w:asciiTheme="majorHAnsi" w:hAnsiTheme="majorHAnsi" w:cstheme="majorHAnsi"/>
          <w:color w:val="808080" w:themeColor="background1" w:themeShade="80"/>
          <w:sz w:val="16"/>
          <w:szCs w:val="16"/>
          <w:lang w:val="es-MX"/>
        </w:rPr>
        <w:fldChar w:fldCharType="begin"/>
      </w:r>
      <w:r w:rsidRPr="001167CB">
        <w:rPr>
          <w:rFonts w:asciiTheme="majorHAnsi" w:hAnsiTheme="majorHAnsi" w:cstheme="majorHAnsi"/>
          <w:color w:val="808080" w:themeColor="background1" w:themeShade="80"/>
          <w:sz w:val="16"/>
          <w:szCs w:val="16"/>
        </w:rPr>
        <w:instrText xml:space="preserve"> REF _Ref507429070 \r \h  \* MERGEFORMAT </w:instrText>
      </w:r>
      <w:r w:rsidRPr="001167CB">
        <w:rPr>
          <w:rFonts w:asciiTheme="majorHAnsi" w:hAnsiTheme="majorHAnsi" w:cstheme="majorHAnsi"/>
          <w:color w:val="808080" w:themeColor="background1" w:themeShade="80"/>
          <w:sz w:val="16"/>
          <w:szCs w:val="16"/>
          <w:lang w:val="es-MX"/>
        </w:rPr>
      </w:r>
      <w:r w:rsidRPr="001167CB">
        <w:rPr>
          <w:rFonts w:asciiTheme="majorHAnsi" w:hAnsiTheme="majorHAnsi" w:cstheme="majorHAnsi"/>
          <w:color w:val="808080" w:themeColor="background1" w:themeShade="80"/>
          <w:sz w:val="16"/>
          <w:szCs w:val="16"/>
          <w:lang w:val="es-MX"/>
        </w:rPr>
        <w:fldChar w:fldCharType="separate"/>
      </w:r>
      <w:r w:rsidRPr="001167CB">
        <w:rPr>
          <w:rFonts w:asciiTheme="majorHAnsi" w:hAnsiTheme="majorHAnsi" w:cstheme="majorHAnsi"/>
          <w:color w:val="808080" w:themeColor="background1" w:themeShade="80"/>
          <w:sz w:val="16"/>
          <w:szCs w:val="16"/>
        </w:rPr>
        <w:t>111</w:t>
      </w:r>
      <w:r w:rsidRPr="001167CB">
        <w:rPr>
          <w:rFonts w:asciiTheme="majorHAnsi" w:hAnsiTheme="majorHAnsi" w:cstheme="majorHAnsi"/>
          <w:color w:val="808080" w:themeColor="background1" w:themeShade="80"/>
          <w:sz w:val="16"/>
          <w:szCs w:val="16"/>
          <w:lang w:val="es-MX"/>
        </w:rPr>
        <w:fldChar w:fldCharType="end"/>
      </w:r>
      <w:r w:rsidRPr="001167CB">
        <w:rPr>
          <w:rFonts w:asciiTheme="majorHAnsi" w:hAnsiTheme="majorHAnsi" w:cstheme="majorHAnsi"/>
          <w:color w:val="808080" w:themeColor="background1" w:themeShade="80"/>
          <w:sz w:val="16"/>
          <w:szCs w:val="16"/>
        </w:rPr>
        <w:t>-</w:t>
      </w:r>
      <w:r w:rsidRPr="001167CB">
        <w:rPr>
          <w:rFonts w:asciiTheme="majorHAnsi" w:hAnsiTheme="majorHAnsi" w:cstheme="majorHAnsi"/>
          <w:color w:val="808080" w:themeColor="background1" w:themeShade="80"/>
          <w:sz w:val="16"/>
          <w:szCs w:val="16"/>
          <w:lang w:val="es-MX"/>
        </w:rPr>
        <w:fldChar w:fldCharType="begin"/>
      </w:r>
      <w:r w:rsidRPr="001167CB">
        <w:rPr>
          <w:rFonts w:asciiTheme="majorHAnsi" w:hAnsiTheme="majorHAnsi" w:cstheme="majorHAnsi"/>
          <w:color w:val="808080" w:themeColor="background1" w:themeShade="80"/>
          <w:sz w:val="16"/>
          <w:szCs w:val="16"/>
        </w:rPr>
        <w:instrText xml:space="preserve"> REF _Ref507430107 \r \h  \* MERGEFORMAT </w:instrText>
      </w:r>
      <w:r w:rsidRPr="001167CB">
        <w:rPr>
          <w:rFonts w:asciiTheme="majorHAnsi" w:hAnsiTheme="majorHAnsi" w:cstheme="majorHAnsi"/>
          <w:color w:val="808080" w:themeColor="background1" w:themeShade="80"/>
          <w:sz w:val="16"/>
          <w:szCs w:val="16"/>
          <w:lang w:val="es-MX"/>
        </w:rPr>
      </w:r>
      <w:r w:rsidRPr="001167CB">
        <w:rPr>
          <w:rFonts w:asciiTheme="majorHAnsi" w:hAnsiTheme="majorHAnsi" w:cstheme="majorHAnsi"/>
          <w:color w:val="808080" w:themeColor="background1" w:themeShade="80"/>
          <w:sz w:val="16"/>
          <w:szCs w:val="16"/>
          <w:lang w:val="es-MX"/>
        </w:rPr>
        <w:fldChar w:fldCharType="separate"/>
      </w:r>
      <w:r w:rsidRPr="001167CB">
        <w:rPr>
          <w:rFonts w:asciiTheme="majorHAnsi" w:hAnsiTheme="majorHAnsi" w:cstheme="majorHAnsi"/>
          <w:color w:val="808080" w:themeColor="background1" w:themeShade="80"/>
          <w:sz w:val="16"/>
          <w:szCs w:val="16"/>
        </w:rPr>
        <w:t>116</w:t>
      </w:r>
      <w:r w:rsidRPr="001167CB">
        <w:rPr>
          <w:rFonts w:asciiTheme="majorHAnsi" w:hAnsiTheme="majorHAnsi" w:cstheme="majorHAnsi"/>
          <w:color w:val="808080" w:themeColor="background1" w:themeShade="80"/>
          <w:sz w:val="16"/>
          <w:szCs w:val="16"/>
          <w:lang w:val="es-MX"/>
        </w:rPr>
        <w:fldChar w:fldCharType="end"/>
      </w:r>
      <w:r w:rsidRPr="001167CB">
        <w:rPr>
          <w:rFonts w:asciiTheme="majorHAnsi" w:hAnsiTheme="majorHAnsi" w:cstheme="majorHAnsi"/>
          <w:color w:val="808080" w:themeColor="background1" w:themeShade="80"/>
          <w:sz w:val="16"/>
          <w:szCs w:val="16"/>
        </w:rPr>
        <w:t>.</w:t>
      </w:r>
    </w:p>
  </w:footnote>
  <w:footnote w:id="633">
    <w:p w14:paraId="022903FD"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IACHR, Report No. 50/16, </w:t>
      </w:r>
      <w:hyperlink r:id="rId677" w:history="1">
        <w:r w:rsidRPr="001167CB">
          <w:rPr>
            <w:rStyle w:val="Hyperlink"/>
            <w:rFonts w:asciiTheme="majorHAnsi" w:hAnsiTheme="majorHAnsi" w:cstheme="majorHAnsi"/>
            <w:i/>
            <w:color w:val="808080" w:themeColor="background1" w:themeShade="80"/>
            <w:sz w:val="16"/>
            <w:szCs w:val="16"/>
          </w:rPr>
          <w:t>Undocumented Workers</w:t>
        </w:r>
      </w:hyperlink>
      <w:r w:rsidRPr="001167CB">
        <w:rPr>
          <w:rFonts w:asciiTheme="majorHAnsi" w:hAnsiTheme="majorHAnsi" w:cstheme="majorHAnsi"/>
          <w: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(2016), para. 102 (citing IACHR Access to Justice Report, paras. 19-20).</w:t>
      </w:r>
    </w:p>
  </w:footnote>
  <w:footnote w:id="634">
    <w:p w14:paraId="7A8AC218" w14:textId="3509A9BD" w:rsidR="005C2394" w:rsidRPr="001167CB" w:rsidRDefault="005C2394" w:rsidP="002C64F8">
      <w:pPr>
        <w:pStyle w:val="FootnoteText"/>
        <w:spacing w:after="40"/>
        <w:ind w:left="547" w:hanging="547"/>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i/>
          <w:color w:val="808080" w:themeColor="background1" w:themeShade="80"/>
          <w:sz w:val="16"/>
          <w:szCs w:val="16"/>
        </w:rPr>
        <w:t>See supra</w:t>
      </w:r>
      <w:r w:rsidRPr="001167CB">
        <w:rPr>
          <w:rFonts w:asciiTheme="majorHAnsi" w:hAnsiTheme="majorHAnsi" w:cstheme="majorHAnsi"/>
          <w:color w:val="808080" w:themeColor="background1" w:themeShade="80"/>
          <w:sz w:val="16"/>
          <w:szCs w:val="16"/>
        </w:rPr>
        <w:t xml:space="preserve"> paras. </w:t>
      </w:r>
      <w:r w:rsidRPr="001167CB">
        <w:rPr>
          <w:rFonts w:asciiTheme="majorHAnsi" w:hAnsiTheme="majorHAnsi" w:cstheme="majorHAnsi"/>
          <w:color w:val="808080" w:themeColor="background1" w:themeShade="80"/>
          <w:sz w:val="16"/>
          <w:szCs w:val="16"/>
          <w:lang w:val="es-US"/>
        </w:rPr>
        <w:fldChar w:fldCharType="begin"/>
      </w:r>
      <w:r w:rsidRPr="001167CB">
        <w:rPr>
          <w:rFonts w:asciiTheme="majorHAnsi" w:hAnsiTheme="majorHAnsi" w:cstheme="majorHAnsi"/>
          <w:color w:val="808080" w:themeColor="background1" w:themeShade="80"/>
          <w:sz w:val="16"/>
          <w:szCs w:val="16"/>
        </w:rPr>
        <w:instrText xml:space="preserve"> REF _Ref511150058 \r \h  \* MERGEFORMAT </w:instrText>
      </w:r>
      <w:r w:rsidRPr="001167CB">
        <w:rPr>
          <w:rFonts w:asciiTheme="majorHAnsi" w:hAnsiTheme="majorHAnsi" w:cstheme="majorHAnsi"/>
          <w:color w:val="808080" w:themeColor="background1" w:themeShade="80"/>
          <w:sz w:val="16"/>
          <w:szCs w:val="16"/>
          <w:lang w:val="es-US"/>
        </w:rPr>
      </w:r>
      <w:r w:rsidRPr="001167CB">
        <w:rPr>
          <w:rFonts w:asciiTheme="majorHAnsi" w:hAnsiTheme="majorHAnsi" w:cstheme="majorHAnsi"/>
          <w:color w:val="808080" w:themeColor="background1" w:themeShade="80"/>
          <w:sz w:val="16"/>
          <w:szCs w:val="16"/>
          <w:lang w:val="es-US"/>
        </w:rPr>
        <w:fldChar w:fldCharType="separate"/>
      </w:r>
      <w:r w:rsidRPr="001167CB">
        <w:rPr>
          <w:rFonts w:asciiTheme="majorHAnsi" w:hAnsiTheme="majorHAnsi" w:cstheme="majorHAnsi"/>
          <w:color w:val="808080" w:themeColor="background1" w:themeShade="80"/>
          <w:sz w:val="16"/>
          <w:szCs w:val="16"/>
        </w:rPr>
        <w:t>133</w:t>
      </w:r>
      <w:r w:rsidRPr="001167CB">
        <w:rPr>
          <w:rFonts w:asciiTheme="majorHAnsi" w:hAnsiTheme="majorHAnsi" w:cstheme="majorHAnsi"/>
          <w:color w:val="808080" w:themeColor="background1" w:themeShade="80"/>
          <w:sz w:val="16"/>
          <w:szCs w:val="16"/>
          <w:lang w:val="es-US"/>
        </w:rPr>
        <w:fldChar w:fldCharType="end"/>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lang w:val="es-US"/>
        </w:rPr>
        <w:fldChar w:fldCharType="begin"/>
      </w:r>
      <w:r w:rsidRPr="001167CB">
        <w:rPr>
          <w:rFonts w:asciiTheme="majorHAnsi" w:hAnsiTheme="majorHAnsi" w:cstheme="majorHAnsi"/>
          <w:color w:val="808080" w:themeColor="background1" w:themeShade="80"/>
          <w:sz w:val="16"/>
          <w:szCs w:val="16"/>
        </w:rPr>
        <w:instrText xml:space="preserve"> REF _Ref511150077 \r \h  \* MERGEFORMAT </w:instrText>
      </w:r>
      <w:r w:rsidRPr="001167CB">
        <w:rPr>
          <w:rFonts w:asciiTheme="majorHAnsi" w:hAnsiTheme="majorHAnsi" w:cstheme="majorHAnsi"/>
          <w:color w:val="808080" w:themeColor="background1" w:themeShade="80"/>
          <w:sz w:val="16"/>
          <w:szCs w:val="16"/>
          <w:lang w:val="es-US"/>
        </w:rPr>
      </w:r>
      <w:r w:rsidRPr="001167CB">
        <w:rPr>
          <w:rFonts w:asciiTheme="majorHAnsi" w:hAnsiTheme="majorHAnsi" w:cstheme="majorHAnsi"/>
          <w:color w:val="808080" w:themeColor="background1" w:themeShade="80"/>
          <w:sz w:val="16"/>
          <w:szCs w:val="16"/>
          <w:lang w:val="es-US"/>
        </w:rPr>
        <w:fldChar w:fldCharType="separate"/>
      </w:r>
      <w:r w:rsidRPr="001167CB">
        <w:rPr>
          <w:rFonts w:asciiTheme="majorHAnsi" w:hAnsiTheme="majorHAnsi" w:cstheme="majorHAnsi"/>
          <w:color w:val="808080" w:themeColor="background1" w:themeShade="80"/>
          <w:sz w:val="16"/>
          <w:szCs w:val="16"/>
        </w:rPr>
        <w:t>166</w:t>
      </w:r>
      <w:r w:rsidRPr="001167CB">
        <w:rPr>
          <w:rFonts w:asciiTheme="majorHAnsi" w:hAnsiTheme="majorHAnsi" w:cstheme="majorHAnsi"/>
          <w:color w:val="808080" w:themeColor="background1" w:themeShade="80"/>
          <w:sz w:val="16"/>
          <w:szCs w:val="16"/>
          <w:lang w:val="es-US"/>
        </w:rPr>
        <w:fldChar w:fldCharType="end"/>
      </w:r>
      <w:r w:rsidRPr="001167CB">
        <w:rPr>
          <w:rFonts w:asciiTheme="majorHAnsi" w:hAnsiTheme="majorHAnsi" w:cstheme="majorHAnsi"/>
          <w:color w:val="808080" w:themeColor="background1" w:themeShade="80"/>
          <w:sz w:val="16"/>
          <w:szCs w:val="16"/>
        </w:rPr>
        <w:t>.</w:t>
      </w:r>
    </w:p>
  </w:footnote>
  <w:footnote w:id="635">
    <w:p w14:paraId="384513F9"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Id. at para. 103 (citing IACHR Access to Justice Report, para. 20).  </w:t>
      </w:r>
    </w:p>
  </w:footnote>
  <w:footnote w:id="636">
    <w:p w14:paraId="4D1C0E99"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Id.</w:t>
      </w:r>
    </w:p>
  </w:footnote>
  <w:footnote w:id="637">
    <w:p w14:paraId="4868E6F0"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eastAsia="Times New Roman" w:hAnsiTheme="majorHAnsi" w:cstheme="majorHAnsi"/>
          <w:bCs/>
          <w:color w:val="808080" w:themeColor="background1" w:themeShade="80"/>
          <w:sz w:val="16"/>
          <w:szCs w:val="16"/>
          <w:lang w:eastAsia="es-ES"/>
        </w:rPr>
        <w:t xml:space="preserve">IACHR, </w:t>
      </w:r>
      <w:hyperlink r:id="rId678" w:history="1">
        <w:r w:rsidRPr="001167CB">
          <w:rPr>
            <w:rStyle w:val="Hyperlink"/>
            <w:rFonts w:asciiTheme="majorHAnsi" w:eastAsia="Times New Roman" w:hAnsiTheme="majorHAnsi" w:cstheme="majorHAnsi"/>
            <w:bCs/>
            <w:color w:val="808080" w:themeColor="background1" w:themeShade="80"/>
            <w:sz w:val="16"/>
            <w:szCs w:val="16"/>
            <w:lang w:eastAsia="es-ES"/>
          </w:rPr>
          <w:t>People of African Descent in the Americas</w:t>
        </w:r>
      </w:hyperlink>
      <w:r w:rsidRPr="001167CB">
        <w:rPr>
          <w:rFonts w:asciiTheme="majorHAnsi" w:eastAsia="Times New Roman" w:hAnsiTheme="majorHAnsi" w:cstheme="majorHAnsi"/>
          <w:bCs/>
          <w:color w:val="808080" w:themeColor="background1" w:themeShade="80"/>
          <w:sz w:val="16"/>
          <w:szCs w:val="16"/>
          <w:lang w:eastAsia="es-ES"/>
        </w:rPr>
        <w:t xml:space="preserve"> (2011)</w:t>
      </w:r>
      <w:r w:rsidRPr="001167CB">
        <w:rPr>
          <w:rFonts w:asciiTheme="majorHAnsi" w:hAnsiTheme="majorHAnsi" w:cstheme="majorHAnsi"/>
          <w:color w:val="808080" w:themeColor="background1" w:themeShade="80"/>
          <w:sz w:val="16"/>
          <w:szCs w:val="16"/>
        </w:rPr>
        <w:t>, para. 15.</w:t>
      </w:r>
    </w:p>
  </w:footnote>
  <w:footnote w:id="638">
    <w:p w14:paraId="7B70597B"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Id. at para. 16.</w:t>
      </w:r>
    </w:p>
  </w:footnote>
  <w:footnote w:id="639">
    <w:p w14:paraId="2025AACA"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eastAsia="Times New Roman" w:hAnsiTheme="majorHAnsi" w:cstheme="majorHAnsi"/>
          <w:bCs/>
          <w:color w:val="808080" w:themeColor="background1" w:themeShade="80"/>
          <w:sz w:val="16"/>
          <w:szCs w:val="16"/>
          <w:lang w:eastAsia="es-ES"/>
        </w:rPr>
        <w:t xml:space="preserve">IACHR, </w:t>
      </w:r>
      <w:hyperlink r:id="rId679" w:history="1">
        <w:r w:rsidRPr="001167CB">
          <w:rPr>
            <w:rStyle w:val="Hyperlink"/>
            <w:rFonts w:asciiTheme="majorHAnsi" w:eastAsia="Times New Roman" w:hAnsiTheme="majorHAnsi" w:cstheme="majorHAnsi"/>
            <w:bCs/>
            <w:color w:val="808080" w:themeColor="background1" w:themeShade="80"/>
            <w:sz w:val="16"/>
            <w:szCs w:val="16"/>
            <w:lang w:eastAsia="es-ES"/>
          </w:rPr>
          <w:t>People of African Descent in the Americas</w:t>
        </w:r>
      </w:hyperlink>
      <w:r w:rsidRPr="001167CB">
        <w:rPr>
          <w:rFonts w:asciiTheme="majorHAnsi" w:eastAsia="Times New Roman" w:hAnsiTheme="majorHAnsi" w:cstheme="majorHAnsi"/>
          <w:bCs/>
          <w:color w:val="808080" w:themeColor="background1" w:themeShade="80"/>
          <w:sz w:val="16"/>
          <w:szCs w:val="16"/>
          <w:lang w:eastAsia="es-ES"/>
        </w:rPr>
        <w:t xml:space="preserve"> (2011)</w:t>
      </w:r>
      <w:r w:rsidRPr="001167CB">
        <w:rPr>
          <w:rFonts w:asciiTheme="majorHAnsi" w:hAnsiTheme="majorHAnsi" w:cstheme="majorHAnsi"/>
          <w:color w:val="808080" w:themeColor="background1" w:themeShade="80"/>
          <w:sz w:val="16"/>
          <w:szCs w:val="16"/>
        </w:rPr>
        <w:t>, para. 128</w:t>
      </w:r>
    </w:p>
  </w:footnote>
  <w:footnote w:id="640">
    <w:p w14:paraId="6015B876" w14:textId="77777777" w:rsidR="005C2394" w:rsidRPr="001167CB" w:rsidRDefault="005C2394" w:rsidP="002C64F8">
      <w:pPr>
        <w:spacing w:after="40" w:line="240" w:lineRule="auto"/>
        <w:ind w:left="547" w:hanging="547"/>
        <w:jc w:val="both"/>
        <w:rPr>
          <w:rFonts w:asciiTheme="majorHAnsi" w:hAnsiTheme="majorHAnsi" w:cstheme="majorHAnsi"/>
          <w:iCs/>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i/>
          <w:color w:val="808080" w:themeColor="background1" w:themeShade="80"/>
          <w:sz w:val="16"/>
          <w:szCs w:val="16"/>
        </w:rPr>
        <w:t xml:space="preserve"> </w:t>
      </w:r>
      <w:r w:rsidRPr="001167CB">
        <w:rPr>
          <w:rFonts w:asciiTheme="majorHAnsi" w:hAnsiTheme="majorHAnsi" w:cstheme="majorHAnsi"/>
          <w:i/>
          <w:color w:val="808080" w:themeColor="background1" w:themeShade="80"/>
          <w:sz w:val="16"/>
          <w:szCs w:val="16"/>
        </w:rPr>
        <w:tab/>
      </w:r>
      <w:r w:rsidRPr="001167CB">
        <w:rPr>
          <w:rFonts w:asciiTheme="majorHAnsi" w:hAnsiTheme="majorHAnsi" w:cstheme="majorHAnsi"/>
          <w:color w:val="808080" w:themeColor="background1" w:themeShade="80"/>
          <w:sz w:val="16"/>
          <w:szCs w:val="16"/>
        </w:rPr>
        <w:t xml:space="preserve">IACHR, </w:t>
      </w:r>
      <w:hyperlink r:id="rId680" w:history="1">
        <w:r w:rsidRPr="001167CB">
          <w:rPr>
            <w:rStyle w:val="Hyperlink"/>
            <w:rFonts w:asciiTheme="majorHAnsi" w:hAnsiTheme="majorHAnsi" w:cstheme="majorHAnsi"/>
            <w:color w:val="808080" w:themeColor="background1" w:themeShade="80"/>
            <w:sz w:val="16"/>
            <w:szCs w:val="16"/>
          </w:rPr>
          <w:t>The Right to Truth</w:t>
        </w:r>
      </w:hyperlink>
      <w:r w:rsidRPr="001167CB">
        <w:rPr>
          <w:rFonts w:asciiTheme="majorHAnsi" w:hAnsiTheme="majorHAnsi" w:cstheme="majorHAnsi"/>
          <w:color w:val="808080" w:themeColor="background1" w:themeShade="80"/>
          <w:sz w:val="16"/>
          <w:szCs w:val="16"/>
        </w:rPr>
        <w:t xml:space="preserve"> (2014), para. 122 (citing</w:t>
      </w:r>
      <w:r w:rsidRPr="001167CB">
        <w:rPr>
          <w:rFonts w:asciiTheme="majorHAnsi" w:hAnsiTheme="majorHAnsi" w:cstheme="majorHAnsi"/>
          <w:i/>
          <w:color w:val="808080" w:themeColor="background1" w:themeShade="80"/>
          <w:sz w:val="16"/>
          <w:szCs w:val="16"/>
        </w:rPr>
        <w:t xml:space="preserve"> </w:t>
      </w:r>
      <w:proofErr w:type="gramStart"/>
      <w:r w:rsidRPr="001167CB">
        <w:rPr>
          <w:rFonts w:asciiTheme="majorHAnsi" w:hAnsiTheme="majorHAnsi" w:cstheme="majorHAnsi"/>
          <w:color w:val="808080" w:themeColor="background1" w:themeShade="80"/>
          <w:sz w:val="16"/>
          <w:szCs w:val="16"/>
        </w:rPr>
        <w:t>I/A</w:t>
      </w:r>
      <w:proofErr w:type="gramEnd"/>
      <w:r w:rsidRPr="001167CB">
        <w:rPr>
          <w:rFonts w:asciiTheme="majorHAnsi" w:hAnsiTheme="majorHAnsi" w:cstheme="majorHAnsi"/>
          <w:color w:val="808080" w:themeColor="background1" w:themeShade="80"/>
          <w:sz w:val="16"/>
          <w:szCs w:val="16"/>
        </w:rPr>
        <w:t xml:space="preserve"> Ct. H.R., </w:t>
      </w:r>
      <w:proofErr w:type="spellStart"/>
      <w:r w:rsidRPr="001167CB">
        <w:rPr>
          <w:rFonts w:asciiTheme="majorHAnsi" w:hAnsiTheme="majorHAnsi" w:cstheme="majorHAnsi"/>
          <w:i/>
          <w:color w:val="808080" w:themeColor="background1" w:themeShade="80"/>
          <w:sz w:val="16"/>
          <w:szCs w:val="16"/>
        </w:rPr>
        <w:t>Velásquez</w:t>
      </w:r>
      <w:proofErr w:type="spellEnd"/>
      <w:r w:rsidRPr="001167CB">
        <w:rPr>
          <w:rFonts w:asciiTheme="majorHAnsi" w:hAnsiTheme="majorHAnsi" w:cstheme="majorHAnsi"/>
          <w:i/>
          <w:color w:val="808080" w:themeColor="background1" w:themeShade="80"/>
          <w:sz w:val="16"/>
          <w:szCs w:val="16"/>
        </w:rPr>
        <w:t xml:space="preserve"> Rodríguez</w:t>
      </w:r>
      <w:r w:rsidRPr="001167CB">
        <w:rPr>
          <w:rFonts w:asciiTheme="majorHAnsi" w:hAnsiTheme="majorHAnsi" w:cstheme="majorHAnsi"/>
          <w:color w:val="808080" w:themeColor="background1" w:themeShade="80"/>
          <w:sz w:val="16"/>
          <w:szCs w:val="16"/>
        </w:rPr>
        <w:t>, Ser. C No. 7 (1989), para. 25)</w:t>
      </w:r>
      <w:r w:rsidRPr="001167CB">
        <w:rPr>
          <w:rFonts w:asciiTheme="majorHAnsi" w:hAnsiTheme="majorHAnsi" w:cstheme="majorHAnsi"/>
          <w:iCs/>
          <w:color w:val="808080" w:themeColor="background1" w:themeShade="80"/>
          <w:sz w:val="16"/>
          <w:szCs w:val="16"/>
        </w:rPr>
        <w:t>.</w:t>
      </w:r>
    </w:p>
  </w:footnote>
  <w:footnote w:id="641">
    <w:p w14:paraId="3C525FBC"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IACHR, </w:t>
      </w:r>
      <w:hyperlink r:id="rId681" w:history="1">
        <w:r w:rsidRPr="001167CB">
          <w:rPr>
            <w:rStyle w:val="Hyperlink"/>
            <w:rFonts w:asciiTheme="majorHAnsi" w:hAnsiTheme="majorHAnsi" w:cstheme="majorHAnsi"/>
            <w:color w:val="808080" w:themeColor="background1" w:themeShade="80"/>
            <w:sz w:val="16"/>
            <w:szCs w:val="16"/>
          </w:rPr>
          <w:t>The Right to Truth</w:t>
        </w:r>
      </w:hyperlink>
      <w:r w:rsidRPr="001167CB">
        <w:rPr>
          <w:rFonts w:asciiTheme="majorHAnsi" w:hAnsiTheme="majorHAnsi" w:cstheme="majorHAnsi"/>
          <w:color w:val="808080" w:themeColor="background1" w:themeShade="80"/>
          <w:sz w:val="16"/>
          <w:szCs w:val="16"/>
        </w:rPr>
        <w:t xml:space="preserve"> (2014), para. 122 (citation omitted).</w:t>
      </w:r>
    </w:p>
  </w:footnote>
  <w:footnote w:id="642">
    <w:p w14:paraId="3F2F731B"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Id. (citing IACHR, Principal Guidelines for a Comprehensive Reparations Policy, OEA/</w:t>
      </w:r>
      <w:proofErr w:type="spellStart"/>
      <w:r w:rsidRPr="001167CB">
        <w:rPr>
          <w:rFonts w:asciiTheme="majorHAnsi" w:hAnsiTheme="majorHAnsi" w:cstheme="majorHAnsi"/>
          <w:color w:val="808080" w:themeColor="background1" w:themeShade="80"/>
          <w:sz w:val="16"/>
          <w:szCs w:val="16"/>
        </w:rPr>
        <w:t>Ser</w:t>
      </w:r>
      <w:proofErr w:type="spellEnd"/>
      <w:r w:rsidRPr="001167CB">
        <w:rPr>
          <w:rFonts w:asciiTheme="majorHAnsi" w:hAnsiTheme="majorHAnsi" w:cstheme="majorHAnsi"/>
          <w:color w:val="808080" w:themeColor="background1" w:themeShade="80"/>
          <w:sz w:val="16"/>
          <w:szCs w:val="16"/>
        </w:rPr>
        <w:t>/L/V/II.131, Doc. 1, (2008)).</w:t>
      </w:r>
    </w:p>
  </w:footnote>
  <w:footnote w:id="643">
    <w:p w14:paraId="1A5FBB69"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U.N., </w:t>
      </w:r>
      <w:hyperlink r:id="rId682" w:history="1">
        <w:r w:rsidRPr="001167CB">
          <w:rPr>
            <w:rStyle w:val="Hyperlink"/>
            <w:rFonts w:asciiTheme="majorHAnsi" w:hAnsiTheme="majorHAnsi" w:cstheme="majorHAnsi"/>
            <w:color w:val="808080" w:themeColor="background1" w:themeShade="80"/>
            <w:sz w:val="16"/>
            <w:szCs w:val="16"/>
          </w:rPr>
          <w:t>Basic Principles and Guidelines on the Right to a Remedy and Reparation for Victims of Gross Violations of International Human Rights Law and Serious Violations of International Humanitarian Law</w:t>
        </w:r>
      </w:hyperlink>
      <w:r w:rsidRPr="001167CB">
        <w:rPr>
          <w:rFonts w:asciiTheme="majorHAnsi" w:hAnsiTheme="majorHAnsi" w:cstheme="majorHAnsi"/>
          <w:color w:val="808080" w:themeColor="background1" w:themeShade="80"/>
          <w:sz w:val="16"/>
          <w:szCs w:val="16"/>
        </w:rPr>
        <w:t xml:space="preserve"> [hereinafter “UN Principles on the Right to a Remedy and Reparation”], adopted and proclaimed by General Assembly resolution 60/147 of 16 Dec. 2005, para. 11.</w:t>
      </w:r>
    </w:p>
  </w:footnote>
  <w:footnote w:id="644">
    <w:p w14:paraId="65A5747F"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hyperlink r:id="rId683" w:history="1">
        <w:r w:rsidRPr="001167CB">
          <w:rPr>
            <w:rStyle w:val="Hyperlink"/>
            <w:rFonts w:asciiTheme="majorHAnsi" w:hAnsiTheme="majorHAnsi" w:cstheme="majorHAnsi"/>
            <w:color w:val="808080" w:themeColor="background1" w:themeShade="80"/>
            <w:sz w:val="16"/>
            <w:szCs w:val="16"/>
          </w:rPr>
          <w:t>UN Principles on the Right to a Remedy and Reparation</w:t>
        </w:r>
      </w:hyperlink>
      <w:r w:rsidRPr="001167CB">
        <w:rPr>
          <w:rFonts w:asciiTheme="majorHAnsi" w:hAnsiTheme="majorHAnsi" w:cstheme="majorHAnsi"/>
          <w:color w:val="808080" w:themeColor="background1" w:themeShade="80"/>
          <w:sz w:val="16"/>
          <w:szCs w:val="16"/>
        </w:rPr>
        <w:t>, para. 12.</w:t>
      </w:r>
    </w:p>
  </w:footnote>
  <w:footnote w:id="645">
    <w:p w14:paraId="177325AC"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hyperlink r:id="rId684" w:history="1">
        <w:r w:rsidRPr="001167CB">
          <w:rPr>
            <w:rStyle w:val="Hyperlink"/>
            <w:rFonts w:asciiTheme="majorHAnsi" w:hAnsiTheme="majorHAnsi" w:cstheme="majorHAnsi"/>
            <w:color w:val="808080" w:themeColor="background1" w:themeShade="80"/>
            <w:sz w:val="16"/>
            <w:szCs w:val="16"/>
          </w:rPr>
          <w:t>UN Principles on the Right to a Remedy and Reparation</w:t>
        </w:r>
      </w:hyperlink>
      <w:r w:rsidRPr="001167CB">
        <w:rPr>
          <w:rFonts w:asciiTheme="majorHAnsi" w:hAnsiTheme="majorHAnsi" w:cstheme="majorHAnsi"/>
          <w:color w:val="808080" w:themeColor="background1" w:themeShade="80"/>
          <w:sz w:val="16"/>
          <w:szCs w:val="16"/>
        </w:rPr>
        <w:t>, para. 14.</w:t>
      </w:r>
    </w:p>
  </w:footnote>
  <w:footnote w:id="646">
    <w:p w14:paraId="377902CA"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I/A Ct. H.R., </w:t>
      </w:r>
      <w:r w:rsidRPr="001167CB">
        <w:rPr>
          <w:rFonts w:asciiTheme="majorHAnsi" w:hAnsiTheme="majorHAnsi" w:cstheme="majorHAnsi"/>
          <w:i/>
          <w:color w:val="808080" w:themeColor="background1" w:themeShade="80"/>
          <w:sz w:val="16"/>
          <w:szCs w:val="16"/>
        </w:rPr>
        <w:t>Cotton Field</w:t>
      </w:r>
      <w:r w:rsidRPr="001167CB">
        <w:rPr>
          <w:rFonts w:asciiTheme="majorHAnsi" w:hAnsiTheme="majorHAnsi" w:cstheme="majorHAnsi"/>
          <w:color w:val="808080" w:themeColor="background1" w:themeShade="80"/>
          <w:sz w:val="16"/>
          <w:szCs w:val="16"/>
        </w:rPr>
        <w:t>, Series C No. 205 (2009), para. 450</w:t>
      </w:r>
    </w:p>
  </w:footnote>
  <w:footnote w:id="647">
    <w:p w14:paraId="386CC7EA"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hyperlink r:id="rId685" w:history="1">
        <w:r w:rsidRPr="001167CB">
          <w:rPr>
            <w:rStyle w:val="Hyperlink"/>
            <w:rFonts w:asciiTheme="majorHAnsi" w:hAnsiTheme="majorHAnsi" w:cstheme="majorHAnsi"/>
            <w:color w:val="808080" w:themeColor="background1" w:themeShade="80"/>
            <w:sz w:val="16"/>
            <w:szCs w:val="16"/>
          </w:rPr>
          <w:t>UN Principles on the Right to a Remedy and Reparation</w:t>
        </w:r>
      </w:hyperlink>
      <w:r w:rsidRPr="001167CB">
        <w:rPr>
          <w:rFonts w:asciiTheme="majorHAnsi" w:hAnsiTheme="majorHAnsi" w:cstheme="majorHAnsi"/>
          <w:color w:val="808080" w:themeColor="background1" w:themeShade="80"/>
          <w:sz w:val="16"/>
          <w:szCs w:val="16"/>
        </w:rPr>
        <w:t>, para. 15.</w:t>
      </w:r>
    </w:p>
  </w:footnote>
  <w:footnote w:id="648">
    <w:p w14:paraId="403E2F41"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IACHR, </w:t>
      </w:r>
      <w:hyperlink r:id="rId686" w:history="1">
        <w:r w:rsidRPr="001167CB">
          <w:rPr>
            <w:rStyle w:val="Hyperlink"/>
            <w:rFonts w:asciiTheme="majorHAnsi" w:hAnsiTheme="majorHAnsi" w:cstheme="majorHAnsi"/>
            <w:color w:val="808080" w:themeColor="background1" w:themeShade="80"/>
            <w:sz w:val="16"/>
            <w:szCs w:val="16"/>
          </w:rPr>
          <w:t>The Right to Truth</w:t>
        </w:r>
      </w:hyperlink>
      <w:r w:rsidRPr="001167CB">
        <w:rPr>
          <w:rFonts w:asciiTheme="majorHAnsi" w:hAnsiTheme="majorHAnsi" w:cstheme="majorHAnsi"/>
          <w:color w:val="808080" w:themeColor="background1" w:themeShade="80"/>
          <w:sz w:val="16"/>
          <w:szCs w:val="16"/>
        </w:rPr>
        <w:t xml:space="preserve"> (2014), para. 123 (citing IACHR, Principal Guidelines for a Comprehensive Reparations Policy, OEA/</w:t>
      </w:r>
      <w:proofErr w:type="spellStart"/>
      <w:r w:rsidRPr="001167CB">
        <w:rPr>
          <w:rFonts w:asciiTheme="majorHAnsi" w:hAnsiTheme="majorHAnsi" w:cstheme="majorHAnsi"/>
          <w:color w:val="808080" w:themeColor="background1" w:themeShade="80"/>
          <w:sz w:val="16"/>
          <w:szCs w:val="16"/>
        </w:rPr>
        <w:t>Ser</w:t>
      </w:r>
      <w:proofErr w:type="spellEnd"/>
      <w:r w:rsidRPr="001167CB">
        <w:rPr>
          <w:rFonts w:asciiTheme="majorHAnsi" w:hAnsiTheme="majorHAnsi" w:cstheme="majorHAnsi"/>
          <w:color w:val="808080" w:themeColor="background1" w:themeShade="80"/>
          <w:sz w:val="16"/>
          <w:szCs w:val="16"/>
        </w:rPr>
        <w:t xml:space="preserve">/L/V/II.131, Doc. 1, Feb. 19, 2008; I/A Ct. H.R., Myrna Mack Chang v. Guatemala. </w:t>
      </w:r>
      <w:proofErr w:type="spellStart"/>
      <w:r w:rsidRPr="001167CB">
        <w:rPr>
          <w:rFonts w:asciiTheme="majorHAnsi" w:hAnsiTheme="majorHAnsi" w:cstheme="majorHAnsi"/>
          <w:color w:val="808080" w:themeColor="background1" w:themeShade="80"/>
          <w:sz w:val="16"/>
          <w:szCs w:val="16"/>
          <w:lang w:val="es-ES"/>
        </w:rPr>
        <w:t>Judgment</w:t>
      </w:r>
      <w:proofErr w:type="spellEnd"/>
      <w:r w:rsidRPr="001167CB">
        <w:rPr>
          <w:rFonts w:asciiTheme="majorHAnsi" w:hAnsiTheme="majorHAnsi" w:cstheme="majorHAnsi"/>
          <w:color w:val="808080" w:themeColor="background1" w:themeShade="80"/>
          <w:sz w:val="16"/>
          <w:szCs w:val="16"/>
          <w:lang w:val="es-ES"/>
        </w:rPr>
        <w:t xml:space="preserve"> of Nov. 25, 2003. Series C No. 101, paras. 236-237; El Caracazo v. Venezuela. </w:t>
      </w:r>
      <w:r w:rsidRPr="001167CB">
        <w:rPr>
          <w:rFonts w:asciiTheme="majorHAnsi" w:hAnsiTheme="majorHAnsi" w:cstheme="majorHAnsi"/>
          <w:color w:val="808080" w:themeColor="background1" w:themeShade="80"/>
          <w:sz w:val="16"/>
          <w:szCs w:val="16"/>
        </w:rPr>
        <w:t xml:space="preserve">Reparations. Judgment of Aug. 29, 2002. Series C No. 95, paras. 77-78; Blake v. Guatemala. Reparations. Judgment of Jan. 22, 1999. Series C No. 48, paras. 31-32). </w:t>
      </w:r>
    </w:p>
  </w:footnote>
  <w:footnote w:id="649">
    <w:p w14:paraId="2CA7A2E3"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I/A Ct. H.R., </w:t>
      </w:r>
      <w:r w:rsidRPr="001167CB">
        <w:rPr>
          <w:rFonts w:asciiTheme="majorHAnsi" w:hAnsiTheme="majorHAnsi" w:cstheme="majorHAnsi"/>
          <w:i/>
          <w:color w:val="808080" w:themeColor="background1" w:themeShade="80"/>
          <w:sz w:val="16"/>
          <w:szCs w:val="16"/>
        </w:rPr>
        <w:t>Cotton Field</w:t>
      </w:r>
      <w:r w:rsidRPr="001167CB">
        <w:rPr>
          <w:rFonts w:asciiTheme="majorHAnsi" w:hAnsiTheme="majorHAnsi" w:cstheme="majorHAnsi"/>
          <w:color w:val="808080" w:themeColor="background1" w:themeShade="80"/>
          <w:sz w:val="16"/>
          <w:szCs w:val="16"/>
        </w:rPr>
        <w:t>, Series C No. 205 (2009), para. 450.</w:t>
      </w:r>
    </w:p>
  </w:footnote>
  <w:footnote w:id="650">
    <w:p w14:paraId="3620A2E0"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hyperlink r:id="rId687" w:history="1">
        <w:r w:rsidRPr="001167CB">
          <w:rPr>
            <w:rStyle w:val="Hyperlink"/>
            <w:rFonts w:asciiTheme="majorHAnsi" w:hAnsiTheme="majorHAnsi" w:cstheme="majorHAnsi"/>
            <w:color w:val="808080" w:themeColor="background1" w:themeShade="80"/>
            <w:sz w:val="16"/>
            <w:szCs w:val="16"/>
          </w:rPr>
          <w:t>UN Principles on the Right to a Remedy and Reparation</w:t>
        </w:r>
      </w:hyperlink>
      <w:r w:rsidRPr="001167CB">
        <w:rPr>
          <w:rFonts w:asciiTheme="majorHAnsi" w:hAnsiTheme="majorHAnsi" w:cstheme="majorHAnsi"/>
          <w:color w:val="808080" w:themeColor="background1" w:themeShade="80"/>
          <w:sz w:val="16"/>
          <w:szCs w:val="16"/>
        </w:rPr>
        <w:t>, para. 15.</w:t>
      </w:r>
    </w:p>
  </w:footnote>
  <w:footnote w:id="651">
    <w:p w14:paraId="1D153EFF"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hyperlink r:id="rId688" w:history="1">
        <w:r w:rsidRPr="001167CB">
          <w:rPr>
            <w:rStyle w:val="Hyperlink"/>
            <w:rFonts w:asciiTheme="majorHAnsi" w:hAnsiTheme="majorHAnsi" w:cstheme="majorHAnsi"/>
            <w:color w:val="808080" w:themeColor="background1" w:themeShade="80"/>
            <w:sz w:val="16"/>
            <w:szCs w:val="16"/>
          </w:rPr>
          <w:t>UN Principles on the Right to a Remedy and Reparation</w:t>
        </w:r>
      </w:hyperlink>
      <w:r w:rsidRPr="001167CB">
        <w:rPr>
          <w:rFonts w:asciiTheme="majorHAnsi" w:hAnsiTheme="majorHAnsi" w:cstheme="majorHAnsi"/>
          <w:color w:val="808080" w:themeColor="background1" w:themeShade="80"/>
          <w:sz w:val="16"/>
          <w:szCs w:val="16"/>
        </w:rPr>
        <w:t>, para. 16.</w:t>
      </w:r>
    </w:p>
  </w:footnote>
  <w:footnote w:id="652">
    <w:p w14:paraId="531E8B63"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IACHR, </w:t>
      </w:r>
      <w:hyperlink r:id="rId689" w:history="1">
        <w:r w:rsidRPr="001167CB">
          <w:rPr>
            <w:rStyle w:val="Hyperlink"/>
            <w:rFonts w:asciiTheme="majorHAnsi" w:hAnsiTheme="majorHAnsi" w:cstheme="majorHAnsi"/>
            <w:color w:val="808080" w:themeColor="background1" w:themeShade="80"/>
            <w:sz w:val="16"/>
            <w:szCs w:val="16"/>
          </w:rPr>
          <w:t>The Right to Truth</w:t>
        </w:r>
      </w:hyperlink>
      <w:r w:rsidRPr="001167CB">
        <w:rPr>
          <w:rFonts w:asciiTheme="majorHAnsi" w:hAnsiTheme="majorHAnsi" w:cstheme="majorHAnsi"/>
          <w:color w:val="808080" w:themeColor="background1" w:themeShade="80"/>
          <w:sz w:val="16"/>
          <w:szCs w:val="16"/>
        </w:rPr>
        <w:t xml:space="preserve"> (2014), para. 123 (citing </w:t>
      </w:r>
      <w:proofErr w:type="gramStart"/>
      <w:r w:rsidRPr="001167CB">
        <w:rPr>
          <w:rFonts w:asciiTheme="majorHAnsi" w:hAnsiTheme="majorHAnsi" w:cstheme="majorHAnsi"/>
          <w:color w:val="808080" w:themeColor="background1" w:themeShade="80"/>
          <w:sz w:val="16"/>
          <w:szCs w:val="16"/>
        </w:rPr>
        <w:t>I/A</w:t>
      </w:r>
      <w:proofErr w:type="gramEnd"/>
      <w:r w:rsidRPr="001167CB">
        <w:rPr>
          <w:rFonts w:asciiTheme="majorHAnsi" w:hAnsiTheme="majorHAnsi" w:cstheme="majorHAnsi"/>
          <w:color w:val="808080" w:themeColor="background1" w:themeShade="80"/>
          <w:sz w:val="16"/>
          <w:szCs w:val="16"/>
        </w:rPr>
        <w:t xml:space="preserve"> Ct. H.R., “</w:t>
      </w:r>
      <w:proofErr w:type="spellStart"/>
      <w:r w:rsidRPr="001167CB">
        <w:rPr>
          <w:rFonts w:asciiTheme="majorHAnsi" w:hAnsiTheme="majorHAnsi" w:cstheme="majorHAnsi"/>
          <w:color w:val="808080" w:themeColor="background1" w:themeShade="80"/>
          <w:sz w:val="16"/>
          <w:szCs w:val="16"/>
        </w:rPr>
        <w:t>Rochela</w:t>
      </w:r>
      <w:proofErr w:type="spellEnd"/>
      <w:r w:rsidRPr="001167CB">
        <w:rPr>
          <w:rFonts w:asciiTheme="majorHAnsi" w:hAnsiTheme="majorHAnsi" w:cstheme="majorHAnsi"/>
          <w:color w:val="808080" w:themeColor="background1" w:themeShade="80"/>
          <w:sz w:val="16"/>
          <w:szCs w:val="16"/>
        </w:rPr>
        <w:t xml:space="preserve"> Massacre” v. Colombia. Merits and Reparations. Judgment of May 11, 2007. Series C No. 163, para. 220.)</w:t>
      </w:r>
    </w:p>
  </w:footnote>
  <w:footnote w:id="653">
    <w:p w14:paraId="55D62B22"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hyperlink r:id="rId690" w:history="1">
        <w:r w:rsidRPr="001167CB">
          <w:rPr>
            <w:rStyle w:val="Hyperlink"/>
            <w:rFonts w:asciiTheme="majorHAnsi" w:hAnsiTheme="majorHAnsi" w:cstheme="majorHAnsi"/>
            <w:color w:val="808080" w:themeColor="background1" w:themeShade="80"/>
            <w:sz w:val="16"/>
            <w:szCs w:val="16"/>
          </w:rPr>
          <w:t>UN Principles on the Right to a Remedy and Reparation</w:t>
        </w:r>
      </w:hyperlink>
      <w:r w:rsidRPr="001167CB">
        <w:rPr>
          <w:rFonts w:asciiTheme="majorHAnsi" w:hAnsiTheme="majorHAnsi" w:cstheme="majorHAnsi"/>
          <w:color w:val="808080" w:themeColor="background1" w:themeShade="80"/>
          <w:sz w:val="16"/>
          <w:szCs w:val="16"/>
        </w:rPr>
        <w:t>, para. 15.</w:t>
      </w:r>
    </w:p>
  </w:footnote>
  <w:footnote w:id="654">
    <w:p w14:paraId="14418CD9"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hyperlink r:id="rId691" w:history="1">
        <w:r w:rsidRPr="001167CB">
          <w:rPr>
            <w:rStyle w:val="Hyperlink"/>
            <w:rFonts w:asciiTheme="majorHAnsi" w:hAnsiTheme="majorHAnsi" w:cstheme="majorHAnsi"/>
            <w:color w:val="808080" w:themeColor="background1" w:themeShade="80"/>
            <w:sz w:val="16"/>
            <w:szCs w:val="16"/>
          </w:rPr>
          <w:t>UN Principles on the Right to a Remedy and Reparation</w:t>
        </w:r>
      </w:hyperlink>
      <w:r w:rsidRPr="001167CB">
        <w:rPr>
          <w:rFonts w:asciiTheme="majorHAnsi" w:hAnsiTheme="majorHAnsi" w:cstheme="majorHAnsi"/>
          <w:color w:val="808080" w:themeColor="background1" w:themeShade="80"/>
          <w:sz w:val="16"/>
          <w:szCs w:val="16"/>
        </w:rPr>
        <w:t>, para. 16.</w:t>
      </w:r>
    </w:p>
  </w:footnote>
  <w:footnote w:id="655">
    <w:p w14:paraId="31C51DFA"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hyperlink r:id="rId692" w:history="1">
        <w:r w:rsidRPr="001167CB">
          <w:rPr>
            <w:rStyle w:val="Hyperlink"/>
            <w:rFonts w:asciiTheme="majorHAnsi" w:hAnsiTheme="majorHAnsi" w:cstheme="majorHAnsi"/>
            <w:color w:val="808080" w:themeColor="background1" w:themeShade="80"/>
            <w:sz w:val="16"/>
            <w:szCs w:val="16"/>
          </w:rPr>
          <w:t>UN Principles on the Right to a Remedy and Reparation</w:t>
        </w:r>
      </w:hyperlink>
      <w:r w:rsidRPr="001167CB">
        <w:rPr>
          <w:rFonts w:asciiTheme="majorHAnsi" w:hAnsiTheme="majorHAnsi" w:cstheme="majorHAnsi"/>
          <w:color w:val="808080" w:themeColor="background1" w:themeShade="80"/>
          <w:sz w:val="16"/>
          <w:szCs w:val="16"/>
        </w:rPr>
        <w:t>, para. 15.</w:t>
      </w:r>
    </w:p>
  </w:footnote>
  <w:footnote w:id="656">
    <w:p w14:paraId="721BBBAF"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I/A Ct. H.R., </w:t>
      </w:r>
      <w:r w:rsidRPr="001167CB">
        <w:rPr>
          <w:rFonts w:asciiTheme="majorHAnsi" w:hAnsiTheme="majorHAnsi" w:cstheme="majorHAnsi"/>
          <w:i/>
          <w:color w:val="808080" w:themeColor="background1" w:themeShade="80"/>
          <w:sz w:val="16"/>
          <w:szCs w:val="16"/>
        </w:rPr>
        <w:t>Cotton Field</w:t>
      </w:r>
      <w:r w:rsidRPr="001167CB">
        <w:rPr>
          <w:rFonts w:asciiTheme="majorHAnsi" w:hAnsiTheme="majorHAnsi" w:cstheme="majorHAnsi"/>
          <w:color w:val="808080" w:themeColor="background1" w:themeShade="80"/>
          <w:sz w:val="16"/>
          <w:szCs w:val="16"/>
        </w:rPr>
        <w:t>, Series C No. 205 (2009), para. 450</w:t>
      </w:r>
    </w:p>
  </w:footnote>
  <w:footnote w:id="657">
    <w:p w14:paraId="2CFC2DCC"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hyperlink r:id="rId693" w:history="1">
        <w:r w:rsidRPr="001167CB">
          <w:rPr>
            <w:rStyle w:val="Hyperlink"/>
            <w:rFonts w:asciiTheme="majorHAnsi" w:hAnsiTheme="majorHAnsi" w:cstheme="majorHAnsi"/>
            <w:color w:val="808080" w:themeColor="background1" w:themeShade="80"/>
            <w:sz w:val="16"/>
            <w:szCs w:val="16"/>
          </w:rPr>
          <w:t>UN Principles on the Right to a Remedy and Reparation</w:t>
        </w:r>
      </w:hyperlink>
      <w:r w:rsidRPr="001167CB">
        <w:rPr>
          <w:rFonts w:asciiTheme="majorHAnsi" w:hAnsiTheme="majorHAnsi" w:cstheme="majorHAnsi"/>
          <w:color w:val="808080" w:themeColor="background1" w:themeShade="80"/>
          <w:sz w:val="16"/>
          <w:szCs w:val="16"/>
        </w:rPr>
        <w:t>, para. 15.</w:t>
      </w:r>
    </w:p>
  </w:footnote>
  <w:footnote w:id="658">
    <w:p w14:paraId="6175C373"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hyperlink r:id="rId694" w:history="1">
        <w:r w:rsidRPr="001167CB">
          <w:rPr>
            <w:rStyle w:val="Hyperlink"/>
            <w:rFonts w:asciiTheme="majorHAnsi" w:hAnsiTheme="majorHAnsi" w:cstheme="majorHAnsi"/>
            <w:color w:val="808080" w:themeColor="background1" w:themeShade="80"/>
            <w:sz w:val="16"/>
            <w:szCs w:val="16"/>
          </w:rPr>
          <w:t>UN Principles on the Right to a Remedy and Reparation</w:t>
        </w:r>
      </w:hyperlink>
      <w:r w:rsidRPr="001167CB">
        <w:rPr>
          <w:rFonts w:asciiTheme="majorHAnsi" w:hAnsiTheme="majorHAnsi" w:cstheme="majorHAnsi"/>
          <w:color w:val="808080" w:themeColor="background1" w:themeShade="80"/>
          <w:sz w:val="16"/>
          <w:szCs w:val="16"/>
        </w:rPr>
        <w:t>, para. 17.</w:t>
      </w:r>
    </w:p>
  </w:footnote>
  <w:footnote w:id="659">
    <w:p w14:paraId="7DD7F288"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IACHR, </w:t>
      </w:r>
      <w:hyperlink r:id="rId695" w:history="1">
        <w:r w:rsidRPr="001167CB">
          <w:rPr>
            <w:rStyle w:val="Hyperlink"/>
            <w:rFonts w:asciiTheme="majorHAnsi" w:hAnsiTheme="majorHAnsi" w:cstheme="majorHAnsi"/>
            <w:color w:val="808080" w:themeColor="background1" w:themeShade="80"/>
            <w:sz w:val="16"/>
            <w:szCs w:val="16"/>
          </w:rPr>
          <w:t>The Right to Truth</w:t>
        </w:r>
      </w:hyperlink>
      <w:r w:rsidRPr="001167CB">
        <w:rPr>
          <w:rFonts w:asciiTheme="majorHAnsi" w:hAnsiTheme="majorHAnsi" w:cstheme="majorHAnsi"/>
          <w:color w:val="808080" w:themeColor="background1" w:themeShade="80"/>
          <w:sz w:val="16"/>
          <w:szCs w:val="16"/>
        </w:rPr>
        <w:t xml:space="preserve"> (2014), para. 123 (citing </w:t>
      </w:r>
      <w:proofErr w:type="gramStart"/>
      <w:r w:rsidRPr="001167CB">
        <w:rPr>
          <w:rFonts w:asciiTheme="majorHAnsi" w:hAnsiTheme="majorHAnsi" w:cstheme="majorHAnsi"/>
          <w:color w:val="808080" w:themeColor="background1" w:themeShade="80"/>
          <w:sz w:val="16"/>
          <w:szCs w:val="16"/>
        </w:rPr>
        <w:t>I/A</w:t>
      </w:r>
      <w:proofErr w:type="gramEnd"/>
      <w:r w:rsidRPr="001167CB">
        <w:rPr>
          <w:rFonts w:asciiTheme="majorHAnsi" w:hAnsiTheme="majorHAnsi" w:cstheme="majorHAnsi"/>
          <w:color w:val="808080" w:themeColor="background1" w:themeShade="80"/>
          <w:sz w:val="16"/>
          <w:szCs w:val="16"/>
        </w:rPr>
        <w:t xml:space="preserve"> Ct. H.R., </w:t>
      </w:r>
      <w:r w:rsidRPr="001167CB">
        <w:rPr>
          <w:rFonts w:asciiTheme="majorHAnsi" w:hAnsiTheme="majorHAnsi" w:cstheme="majorHAnsi"/>
          <w:i/>
          <w:color w:val="808080" w:themeColor="background1" w:themeShade="80"/>
          <w:sz w:val="16"/>
          <w:szCs w:val="16"/>
        </w:rPr>
        <w:t>Cotton Field</w:t>
      </w:r>
      <w:r w:rsidRPr="001167CB">
        <w:rPr>
          <w:rFonts w:asciiTheme="majorHAnsi" w:hAnsiTheme="majorHAnsi" w:cstheme="majorHAnsi"/>
          <w:color w:val="808080" w:themeColor="background1" w:themeShade="80"/>
          <w:sz w:val="16"/>
          <w:szCs w:val="16"/>
        </w:rPr>
        <w:t>, Series C No. 205 (2009), para. 450).</w:t>
      </w:r>
    </w:p>
  </w:footnote>
  <w:footnote w:id="660">
    <w:p w14:paraId="608050DA"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I/A Ct. H.R., </w:t>
      </w:r>
      <w:r w:rsidRPr="001167CB">
        <w:rPr>
          <w:rFonts w:asciiTheme="majorHAnsi" w:hAnsiTheme="majorHAnsi" w:cstheme="majorHAnsi"/>
          <w:i/>
          <w:color w:val="808080" w:themeColor="background1" w:themeShade="80"/>
          <w:sz w:val="16"/>
          <w:szCs w:val="16"/>
        </w:rPr>
        <w:t>Cotton Field</w:t>
      </w:r>
      <w:r w:rsidRPr="001167CB">
        <w:rPr>
          <w:rFonts w:asciiTheme="majorHAnsi" w:hAnsiTheme="majorHAnsi" w:cstheme="majorHAnsi"/>
          <w:color w:val="808080" w:themeColor="background1" w:themeShade="80"/>
          <w:sz w:val="16"/>
          <w:szCs w:val="16"/>
        </w:rPr>
        <w:t>, Series C No. 205 (2009), para. 450</w:t>
      </w:r>
    </w:p>
  </w:footnote>
  <w:footnote w:id="661">
    <w:p w14:paraId="35AAA85E" w14:textId="7E669BB4"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i/>
          <w:color w:val="808080" w:themeColor="background1" w:themeShade="80"/>
          <w:sz w:val="16"/>
          <w:szCs w:val="16"/>
        </w:rPr>
        <w:t>See also supra</w:t>
      </w:r>
      <w:r w:rsidRPr="001167CB">
        <w:rPr>
          <w:rFonts w:asciiTheme="majorHAnsi" w:hAnsiTheme="majorHAnsi" w:cstheme="majorHAnsi"/>
          <w:color w:val="808080" w:themeColor="background1" w:themeShade="80"/>
          <w:sz w:val="16"/>
          <w:szCs w:val="16"/>
        </w:rPr>
        <w:t xml:space="preserve"> paras. </w:t>
      </w:r>
      <w:r w:rsidRPr="001167CB">
        <w:rPr>
          <w:rFonts w:asciiTheme="majorHAnsi" w:hAnsiTheme="majorHAnsi" w:cstheme="majorHAnsi"/>
          <w:color w:val="808080" w:themeColor="background1" w:themeShade="80"/>
          <w:sz w:val="16"/>
          <w:szCs w:val="16"/>
        </w:rPr>
        <w:fldChar w:fldCharType="begin"/>
      </w:r>
      <w:r w:rsidRPr="001167CB">
        <w:rPr>
          <w:rFonts w:asciiTheme="majorHAnsi" w:hAnsiTheme="majorHAnsi" w:cstheme="majorHAnsi"/>
          <w:color w:val="808080" w:themeColor="background1" w:themeShade="80"/>
          <w:sz w:val="16"/>
          <w:szCs w:val="16"/>
        </w:rPr>
        <w:instrText xml:space="preserve"> REF _Ref507497216 \r \h  \* MERGEFORMAT </w:instrText>
      </w:r>
      <w:r w:rsidRPr="001167CB">
        <w:rPr>
          <w:rFonts w:asciiTheme="majorHAnsi" w:hAnsiTheme="majorHAnsi" w:cstheme="majorHAnsi"/>
          <w:color w:val="808080" w:themeColor="background1" w:themeShade="80"/>
          <w:sz w:val="16"/>
          <w:szCs w:val="16"/>
        </w:rPr>
      </w:r>
      <w:r w:rsidRPr="001167CB">
        <w:rPr>
          <w:rFonts w:asciiTheme="majorHAnsi" w:hAnsiTheme="majorHAnsi" w:cstheme="majorHAnsi"/>
          <w:color w:val="808080" w:themeColor="background1" w:themeShade="80"/>
          <w:sz w:val="16"/>
          <w:szCs w:val="16"/>
        </w:rPr>
        <w:fldChar w:fldCharType="separate"/>
      </w:r>
      <w:r w:rsidRPr="001167CB">
        <w:rPr>
          <w:rFonts w:asciiTheme="majorHAnsi" w:hAnsiTheme="majorHAnsi" w:cstheme="majorHAnsi"/>
          <w:color w:val="808080" w:themeColor="background1" w:themeShade="80"/>
          <w:sz w:val="16"/>
          <w:szCs w:val="16"/>
        </w:rPr>
        <w:t>253</w:t>
      </w:r>
      <w:r w:rsidRPr="001167CB">
        <w:rPr>
          <w:rFonts w:asciiTheme="majorHAnsi" w:hAnsiTheme="majorHAnsi" w:cstheme="majorHAnsi"/>
          <w:color w:val="808080" w:themeColor="background1" w:themeShade="80"/>
          <w:sz w:val="16"/>
          <w:szCs w:val="16"/>
        </w:rPr>
        <w:fldChar w:fldCharType="end"/>
      </w:r>
      <w:r w:rsidRPr="001167CB">
        <w:rPr>
          <w:rFonts w:asciiTheme="majorHAnsi" w:hAnsiTheme="majorHAnsi" w:cstheme="majorHAnsi"/>
          <w:color w:val="808080" w:themeColor="background1" w:themeShade="80"/>
          <w:sz w:val="16"/>
          <w:szCs w:val="16"/>
        </w:rPr>
        <w:t>-</w:t>
      </w:r>
      <w:r w:rsidRPr="001167CB">
        <w:rPr>
          <w:rFonts w:asciiTheme="majorHAnsi" w:hAnsiTheme="majorHAnsi" w:cstheme="majorHAnsi"/>
          <w:color w:val="808080" w:themeColor="background1" w:themeShade="80"/>
          <w:sz w:val="16"/>
          <w:szCs w:val="16"/>
        </w:rPr>
        <w:fldChar w:fldCharType="begin"/>
      </w:r>
      <w:r w:rsidRPr="001167CB">
        <w:rPr>
          <w:rFonts w:asciiTheme="majorHAnsi" w:hAnsiTheme="majorHAnsi" w:cstheme="majorHAnsi"/>
          <w:color w:val="808080" w:themeColor="background1" w:themeShade="80"/>
          <w:sz w:val="16"/>
          <w:szCs w:val="16"/>
        </w:rPr>
        <w:instrText xml:space="preserve"> REF _Ref507497229 \r \h  \* MERGEFORMAT </w:instrText>
      </w:r>
      <w:r w:rsidRPr="001167CB">
        <w:rPr>
          <w:rFonts w:asciiTheme="majorHAnsi" w:hAnsiTheme="majorHAnsi" w:cstheme="majorHAnsi"/>
          <w:color w:val="808080" w:themeColor="background1" w:themeShade="80"/>
          <w:sz w:val="16"/>
          <w:szCs w:val="16"/>
        </w:rPr>
      </w:r>
      <w:r w:rsidRPr="001167CB">
        <w:rPr>
          <w:rFonts w:asciiTheme="majorHAnsi" w:hAnsiTheme="majorHAnsi" w:cstheme="majorHAnsi"/>
          <w:color w:val="808080" w:themeColor="background1" w:themeShade="80"/>
          <w:sz w:val="16"/>
          <w:szCs w:val="16"/>
        </w:rPr>
        <w:fldChar w:fldCharType="separate"/>
      </w:r>
      <w:r w:rsidRPr="001167CB">
        <w:rPr>
          <w:rFonts w:asciiTheme="majorHAnsi" w:hAnsiTheme="majorHAnsi" w:cstheme="majorHAnsi"/>
          <w:color w:val="808080" w:themeColor="background1" w:themeShade="80"/>
          <w:sz w:val="16"/>
          <w:szCs w:val="16"/>
        </w:rPr>
        <w:t>255</w:t>
      </w:r>
      <w:r w:rsidRPr="001167CB">
        <w:rPr>
          <w:rFonts w:asciiTheme="majorHAnsi" w:hAnsiTheme="majorHAnsi" w:cstheme="majorHAnsi"/>
          <w:color w:val="808080" w:themeColor="background1" w:themeShade="80"/>
          <w:sz w:val="16"/>
          <w:szCs w:val="16"/>
        </w:rPr>
        <w:fldChar w:fldCharType="end"/>
      </w:r>
      <w:r w:rsidRPr="001167CB">
        <w:rPr>
          <w:rFonts w:asciiTheme="majorHAnsi" w:hAnsiTheme="majorHAnsi" w:cstheme="majorHAnsi"/>
          <w:color w:val="808080" w:themeColor="background1" w:themeShade="80"/>
          <w:sz w:val="16"/>
          <w:szCs w:val="16"/>
        </w:rPr>
        <w:t>.</w:t>
      </w:r>
    </w:p>
  </w:footnote>
  <w:footnote w:id="662">
    <w:p w14:paraId="6F09EA93"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i/>
          <w:color w:val="808080" w:themeColor="background1" w:themeShade="80"/>
          <w:sz w:val="16"/>
          <w:szCs w:val="16"/>
        </w:rPr>
        <w:t>See generally</w:t>
      </w:r>
      <w:r w:rsidRPr="001167CB">
        <w:rPr>
          <w:rFonts w:asciiTheme="majorHAnsi" w:hAnsiTheme="majorHAnsi" w:cstheme="majorHAnsi"/>
          <w:color w:val="808080" w:themeColor="background1" w:themeShade="80"/>
          <w:sz w:val="16"/>
          <w:szCs w:val="16"/>
        </w:rPr>
        <w:t xml:space="preserve"> </w:t>
      </w:r>
      <w:r w:rsidRPr="001167CB">
        <w:rPr>
          <w:rFonts w:asciiTheme="majorHAnsi" w:eastAsia="Times New Roman" w:hAnsiTheme="majorHAnsi" w:cstheme="majorHAnsi"/>
          <w:bCs/>
          <w:color w:val="808080" w:themeColor="background1" w:themeShade="80"/>
          <w:sz w:val="16"/>
          <w:szCs w:val="16"/>
          <w:lang w:eastAsia="es-ES"/>
        </w:rPr>
        <w:t xml:space="preserve">IACHR, </w:t>
      </w:r>
      <w:hyperlink r:id="rId696" w:history="1">
        <w:r w:rsidRPr="001167CB">
          <w:rPr>
            <w:rStyle w:val="Hyperlink"/>
            <w:rFonts w:asciiTheme="majorHAnsi" w:eastAsia="Times New Roman" w:hAnsiTheme="majorHAnsi" w:cstheme="majorHAnsi"/>
            <w:bCs/>
            <w:color w:val="808080" w:themeColor="background1" w:themeShade="80"/>
            <w:sz w:val="16"/>
            <w:szCs w:val="16"/>
            <w:lang w:eastAsia="es-ES"/>
          </w:rPr>
          <w:t>People of African Descent in the Americas</w:t>
        </w:r>
      </w:hyperlink>
      <w:r w:rsidRPr="001167CB">
        <w:rPr>
          <w:rFonts w:asciiTheme="majorHAnsi" w:eastAsia="Times New Roman" w:hAnsiTheme="majorHAnsi" w:cstheme="majorHAnsi"/>
          <w:bCs/>
          <w:color w:val="808080" w:themeColor="background1" w:themeShade="80"/>
          <w:sz w:val="16"/>
          <w:szCs w:val="16"/>
          <w:lang w:eastAsia="es-ES"/>
        </w:rPr>
        <w:t xml:space="preserve"> (2011)</w:t>
      </w:r>
      <w:r w:rsidRPr="001167CB">
        <w:rPr>
          <w:rFonts w:asciiTheme="majorHAnsi" w:hAnsiTheme="majorHAnsi" w:cstheme="majorHAnsi"/>
          <w:color w:val="808080" w:themeColor="background1" w:themeShade="80"/>
          <w:sz w:val="16"/>
          <w:szCs w:val="16"/>
        </w:rPr>
        <w:t>;</w:t>
      </w:r>
      <w:r w:rsidRPr="001167CB">
        <w:rPr>
          <w:rFonts w:asciiTheme="majorHAnsi" w:hAnsiTheme="majorHAnsi" w:cstheme="majorHAnsi"/>
          <w:bCs/>
          <w:color w:val="808080" w:themeColor="background1" w:themeShade="80"/>
          <w:sz w:val="16"/>
          <w:szCs w:val="16"/>
        </w:rPr>
        <w:t xml:space="preserve"> </w:t>
      </w:r>
      <w:hyperlink r:id="rId697" w:history="1">
        <w:r w:rsidRPr="001167CB">
          <w:rPr>
            <w:rStyle w:val="Hyperlink"/>
            <w:rFonts w:asciiTheme="majorHAnsi" w:hAnsiTheme="majorHAnsi" w:cstheme="majorHAnsi"/>
            <w:bCs/>
            <w:color w:val="808080" w:themeColor="background1" w:themeShade="80"/>
            <w:sz w:val="16"/>
            <w:szCs w:val="16"/>
          </w:rPr>
          <w:t>Investigation of Police Killings Press Release</w:t>
        </w:r>
      </w:hyperlink>
      <w:r w:rsidRPr="001167CB">
        <w:rPr>
          <w:rFonts w:asciiTheme="majorHAnsi" w:hAnsiTheme="majorHAnsi" w:cstheme="majorHAnsi"/>
          <w:bCs/>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 xml:space="preserve">Aug. </w:t>
      </w:r>
      <w:r w:rsidRPr="001167CB">
        <w:rPr>
          <w:rFonts w:asciiTheme="majorHAnsi" w:hAnsiTheme="majorHAnsi" w:cstheme="majorHAnsi"/>
          <w:bCs/>
          <w:color w:val="808080" w:themeColor="background1" w:themeShade="80"/>
          <w:sz w:val="16"/>
          <w:szCs w:val="16"/>
        </w:rPr>
        <w:t>23, 2016.</w:t>
      </w:r>
    </w:p>
  </w:footnote>
  <w:footnote w:id="663">
    <w:p w14:paraId="6A78EDBB"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hyperlink r:id="rId698" w:history="1">
        <w:r w:rsidRPr="001167CB">
          <w:rPr>
            <w:rStyle w:val="Hyperlink"/>
            <w:rFonts w:asciiTheme="majorHAnsi" w:hAnsiTheme="majorHAnsi" w:cstheme="majorHAnsi"/>
            <w:color w:val="808080" w:themeColor="background1" w:themeShade="80"/>
            <w:sz w:val="16"/>
            <w:szCs w:val="16"/>
          </w:rPr>
          <w:t>UN Principles on the Right to a Remedy and Reparation</w:t>
        </w:r>
      </w:hyperlink>
      <w:r w:rsidRPr="001167CB">
        <w:rPr>
          <w:rFonts w:asciiTheme="majorHAnsi" w:hAnsiTheme="majorHAnsi" w:cstheme="majorHAnsi"/>
          <w:color w:val="808080" w:themeColor="background1" w:themeShade="80"/>
          <w:sz w:val="16"/>
          <w:szCs w:val="16"/>
        </w:rPr>
        <w:t>, para. 19.</w:t>
      </w:r>
    </w:p>
  </w:footnote>
  <w:footnote w:id="664">
    <w:p w14:paraId="3C45012A"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hyperlink r:id="rId699" w:history="1">
        <w:r w:rsidRPr="001167CB">
          <w:rPr>
            <w:rStyle w:val="Hyperlink"/>
            <w:rFonts w:asciiTheme="majorHAnsi" w:hAnsiTheme="majorHAnsi" w:cstheme="majorHAnsi"/>
            <w:color w:val="808080" w:themeColor="background1" w:themeShade="80"/>
            <w:sz w:val="16"/>
            <w:szCs w:val="16"/>
          </w:rPr>
          <w:t>UN Principles on the Right to a Remedy and Reparation</w:t>
        </w:r>
      </w:hyperlink>
      <w:r w:rsidRPr="001167CB">
        <w:rPr>
          <w:rFonts w:asciiTheme="majorHAnsi" w:hAnsiTheme="majorHAnsi" w:cstheme="majorHAnsi"/>
          <w:color w:val="808080" w:themeColor="background1" w:themeShade="80"/>
          <w:sz w:val="16"/>
          <w:szCs w:val="16"/>
        </w:rPr>
        <w:t>, para. 20.</w:t>
      </w:r>
    </w:p>
  </w:footnote>
  <w:footnote w:id="665">
    <w:p w14:paraId="3E4A871E"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I/A Ct. H.R., </w:t>
      </w:r>
      <w:r w:rsidRPr="001167CB">
        <w:rPr>
          <w:rFonts w:asciiTheme="majorHAnsi" w:hAnsiTheme="majorHAnsi" w:cstheme="majorHAnsi"/>
          <w:i/>
          <w:color w:val="808080" w:themeColor="background1" w:themeShade="80"/>
          <w:sz w:val="16"/>
          <w:szCs w:val="16"/>
        </w:rPr>
        <w:t>Cotton Field</w:t>
      </w:r>
      <w:r w:rsidRPr="001167CB">
        <w:rPr>
          <w:rFonts w:asciiTheme="majorHAnsi" w:hAnsiTheme="majorHAnsi" w:cstheme="majorHAnsi"/>
          <w:color w:val="808080" w:themeColor="background1" w:themeShade="80"/>
          <w:sz w:val="16"/>
          <w:szCs w:val="16"/>
        </w:rPr>
        <w:t xml:space="preserve">, Series C No. 205 (2009), fn. 547 (citing </w:t>
      </w:r>
      <w:proofErr w:type="spellStart"/>
      <w:r w:rsidRPr="001167CB">
        <w:rPr>
          <w:rFonts w:asciiTheme="majorHAnsi" w:hAnsiTheme="majorHAnsi" w:cstheme="majorHAnsi"/>
          <w:i/>
          <w:iCs/>
          <w:color w:val="808080" w:themeColor="background1" w:themeShade="80"/>
          <w:sz w:val="16"/>
          <w:szCs w:val="16"/>
        </w:rPr>
        <w:t>Anzualdo</w:t>
      </w:r>
      <w:proofErr w:type="spellEnd"/>
      <w:r w:rsidRPr="001167CB">
        <w:rPr>
          <w:rFonts w:asciiTheme="majorHAnsi" w:hAnsiTheme="majorHAnsi" w:cstheme="majorHAnsi"/>
          <w:i/>
          <w:iCs/>
          <w:color w:val="808080" w:themeColor="background1" w:themeShade="80"/>
          <w:sz w:val="16"/>
          <w:szCs w:val="16"/>
        </w:rPr>
        <w:t xml:space="preserve"> Castro v. Peru</w:t>
      </w:r>
      <w:r w:rsidRPr="001167CB">
        <w:rPr>
          <w:rFonts w:asciiTheme="majorHAnsi" w:hAnsiTheme="majorHAnsi" w:cstheme="majorHAnsi"/>
          <w:i/>
          <w:color w:val="808080" w:themeColor="background1" w:themeShade="80"/>
          <w:sz w:val="16"/>
          <w:szCs w:val="16"/>
        </w:rPr>
        <w:t xml:space="preserve">, </w:t>
      </w:r>
      <w:r w:rsidRPr="001167CB">
        <w:rPr>
          <w:rFonts w:asciiTheme="majorHAnsi" w:hAnsiTheme="majorHAnsi" w:cstheme="majorHAnsi"/>
          <w:iCs/>
          <w:color w:val="808080" w:themeColor="background1" w:themeShade="80"/>
          <w:sz w:val="16"/>
          <w:szCs w:val="16"/>
        </w:rPr>
        <w:t xml:space="preserve">para. 218, and </w:t>
      </w:r>
      <w:proofErr w:type="spellStart"/>
      <w:r w:rsidRPr="001167CB">
        <w:rPr>
          <w:rFonts w:asciiTheme="majorHAnsi" w:hAnsiTheme="majorHAnsi" w:cstheme="majorHAnsi"/>
          <w:i/>
          <w:iCs/>
          <w:color w:val="808080" w:themeColor="background1" w:themeShade="80"/>
          <w:sz w:val="16"/>
          <w:szCs w:val="16"/>
        </w:rPr>
        <w:t>Dacosta</w:t>
      </w:r>
      <w:proofErr w:type="spellEnd"/>
      <w:r w:rsidRPr="001167CB">
        <w:rPr>
          <w:rFonts w:asciiTheme="majorHAnsi" w:hAnsiTheme="majorHAnsi" w:cstheme="majorHAnsi"/>
          <w:i/>
          <w:iCs/>
          <w:color w:val="808080" w:themeColor="background1" w:themeShade="80"/>
          <w:sz w:val="16"/>
          <w:szCs w:val="16"/>
        </w:rPr>
        <w:t xml:space="preserve"> </w:t>
      </w:r>
      <w:proofErr w:type="spellStart"/>
      <w:r w:rsidRPr="001167CB">
        <w:rPr>
          <w:rFonts w:asciiTheme="majorHAnsi" w:hAnsiTheme="majorHAnsi" w:cstheme="majorHAnsi"/>
          <w:i/>
          <w:iCs/>
          <w:color w:val="808080" w:themeColor="background1" w:themeShade="80"/>
          <w:sz w:val="16"/>
          <w:szCs w:val="16"/>
        </w:rPr>
        <w:t>Cadogan</w:t>
      </w:r>
      <w:proofErr w:type="spellEnd"/>
      <w:r w:rsidRPr="001167CB">
        <w:rPr>
          <w:rFonts w:asciiTheme="majorHAnsi" w:hAnsiTheme="majorHAnsi" w:cstheme="majorHAnsi"/>
          <w:i/>
          <w:iCs/>
          <w:color w:val="808080" w:themeColor="background1" w:themeShade="80"/>
          <w:sz w:val="16"/>
          <w:szCs w:val="16"/>
        </w:rPr>
        <w:t xml:space="preserve"> v. Barbados, </w:t>
      </w:r>
      <w:r w:rsidRPr="001167CB">
        <w:rPr>
          <w:rFonts w:asciiTheme="majorHAnsi" w:hAnsiTheme="majorHAnsi" w:cstheme="majorHAnsi"/>
          <w:iCs/>
          <w:color w:val="808080" w:themeColor="background1" w:themeShade="80"/>
          <w:sz w:val="16"/>
          <w:szCs w:val="16"/>
        </w:rPr>
        <w:t>para. 111).</w:t>
      </w:r>
    </w:p>
  </w:footnote>
  <w:footnote w:id="666">
    <w:p w14:paraId="4C2E6217"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I/A Ct. H.R., </w:t>
      </w:r>
      <w:r w:rsidRPr="001167CB">
        <w:rPr>
          <w:rFonts w:asciiTheme="majorHAnsi" w:hAnsiTheme="majorHAnsi" w:cstheme="majorHAnsi"/>
          <w:i/>
          <w:color w:val="808080" w:themeColor="background1" w:themeShade="80"/>
          <w:sz w:val="16"/>
          <w:szCs w:val="16"/>
        </w:rPr>
        <w:t>Cotton Field</w:t>
      </w:r>
      <w:r w:rsidRPr="001167CB">
        <w:rPr>
          <w:rFonts w:asciiTheme="majorHAnsi" w:hAnsiTheme="majorHAnsi" w:cstheme="majorHAnsi"/>
          <w:color w:val="808080" w:themeColor="background1" w:themeShade="80"/>
          <w:sz w:val="16"/>
          <w:szCs w:val="16"/>
        </w:rPr>
        <w:t xml:space="preserve">, Series C No. 205 (2009), para. 549; </w:t>
      </w:r>
      <w:hyperlink r:id="rId700" w:history="1">
        <w:r w:rsidRPr="001167CB">
          <w:rPr>
            <w:rStyle w:val="Hyperlink"/>
            <w:rFonts w:asciiTheme="majorHAnsi" w:hAnsiTheme="majorHAnsi" w:cstheme="majorHAnsi"/>
            <w:color w:val="808080" w:themeColor="background1" w:themeShade="80"/>
            <w:sz w:val="16"/>
            <w:szCs w:val="16"/>
          </w:rPr>
          <w:t>UN Principles on the Right to a Remedy and Reparation</w:t>
        </w:r>
      </w:hyperlink>
      <w:r w:rsidRPr="001167CB">
        <w:rPr>
          <w:rFonts w:asciiTheme="majorHAnsi" w:hAnsiTheme="majorHAnsi" w:cstheme="majorHAnsi"/>
          <w:color w:val="808080" w:themeColor="background1" w:themeShade="80"/>
          <w:sz w:val="16"/>
          <w:szCs w:val="16"/>
        </w:rPr>
        <w:t xml:space="preserve">, para. </w:t>
      </w:r>
      <w:r w:rsidRPr="001167CB">
        <w:rPr>
          <w:rFonts w:asciiTheme="majorHAnsi" w:hAnsiTheme="majorHAnsi" w:cstheme="majorHAnsi"/>
          <w:color w:val="808080" w:themeColor="background1" w:themeShade="80"/>
          <w:sz w:val="16"/>
          <w:szCs w:val="16"/>
          <w:lang w:val="es-US"/>
        </w:rPr>
        <w:t xml:space="preserve">21; cf. </w:t>
      </w:r>
      <w:proofErr w:type="spellStart"/>
      <w:r w:rsidRPr="001167CB">
        <w:rPr>
          <w:rFonts w:asciiTheme="majorHAnsi" w:hAnsiTheme="majorHAnsi" w:cstheme="majorHAnsi"/>
          <w:i/>
          <w:color w:val="808080" w:themeColor="background1" w:themeShade="80"/>
          <w:sz w:val="16"/>
          <w:szCs w:val="16"/>
          <w:lang w:val="es-US"/>
        </w:rPr>
        <w:t>Kawas</w:t>
      </w:r>
      <w:proofErr w:type="spellEnd"/>
      <w:r w:rsidRPr="001167CB">
        <w:rPr>
          <w:rFonts w:asciiTheme="majorHAnsi" w:hAnsiTheme="majorHAnsi" w:cstheme="majorHAnsi"/>
          <w:i/>
          <w:color w:val="808080" w:themeColor="background1" w:themeShade="80"/>
          <w:sz w:val="16"/>
          <w:szCs w:val="16"/>
          <w:lang w:val="es-US"/>
        </w:rPr>
        <w:t xml:space="preserve"> Fernández v. Honduras</w:t>
      </w:r>
      <w:r w:rsidRPr="001167CB">
        <w:rPr>
          <w:rFonts w:asciiTheme="majorHAnsi" w:hAnsiTheme="majorHAnsi" w:cstheme="majorHAnsi"/>
          <w:color w:val="808080" w:themeColor="background1" w:themeShade="80"/>
          <w:sz w:val="16"/>
          <w:szCs w:val="16"/>
          <w:lang w:val="es-US"/>
        </w:rPr>
        <w:t xml:space="preserve">, para. 209; </w:t>
      </w:r>
      <w:proofErr w:type="spellStart"/>
      <w:r w:rsidRPr="001167CB">
        <w:rPr>
          <w:rFonts w:asciiTheme="majorHAnsi" w:hAnsiTheme="majorHAnsi" w:cstheme="majorHAnsi"/>
          <w:i/>
          <w:color w:val="808080" w:themeColor="background1" w:themeShade="80"/>
          <w:sz w:val="16"/>
          <w:szCs w:val="16"/>
          <w:lang w:val="es-US"/>
        </w:rPr>
        <w:t>Anzualdo</w:t>
      </w:r>
      <w:proofErr w:type="spellEnd"/>
      <w:r w:rsidRPr="001167CB">
        <w:rPr>
          <w:rFonts w:asciiTheme="majorHAnsi" w:hAnsiTheme="majorHAnsi" w:cstheme="majorHAnsi"/>
          <w:i/>
          <w:color w:val="808080" w:themeColor="background1" w:themeShade="80"/>
          <w:sz w:val="16"/>
          <w:szCs w:val="16"/>
          <w:lang w:val="es-US"/>
        </w:rPr>
        <w:t xml:space="preserve"> Castro v. </w:t>
      </w:r>
      <w:proofErr w:type="spellStart"/>
      <w:r w:rsidRPr="001167CB">
        <w:rPr>
          <w:rFonts w:asciiTheme="majorHAnsi" w:hAnsiTheme="majorHAnsi" w:cstheme="majorHAnsi"/>
          <w:i/>
          <w:color w:val="808080" w:themeColor="background1" w:themeShade="80"/>
          <w:sz w:val="16"/>
          <w:szCs w:val="16"/>
          <w:lang w:val="es-US"/>
        </w:rPr>
        <w:t>Peru</w:t>
      </w:r>
      <w:proofErr w:type="spellEnd"/>
      <w:r w:rsidRPr="001167CB">
        <w:rPr>
          <w:rFonts w:asciiTheme="majorHAnsi" w:hAnsiTheme="majorHAnsi" w:cstheme="majorHAnsi"/>
          <w:color w:val="808080" w:themeColor="background1" w:themeShade="80"/>
          <w:sz w:val="16"/>
          <w:szCs w:val="16"/>
          <w:lang w:val="es-US"/>
        </w:rPr>
        <w:t xml:space="preserve">, para. </w:t>
      </w:r>
      <w:r w:rsidRPr="001167CB">
        <w:rPr>
          <w:rFonts w:asciiTheme="majorHAnsi" w:hAnsiTheme="majorHAnsi" w:cstheme="majorHAnsi"/>
          <w:color w:val="808080" w:themeColor="background1" w:themeShade="80"/>
          <w:sz w:val="16"/>
          <w:szCs w:val="16"/>
        </w:rPr>
        <w:t>203.</w:t>
      </w:r>
    </w:p>
  </w:footnote>
  <w:footnote w:id="667">
    <w:p w14:paraId="2A75DE2E"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I/A Ct. H.R., </w:t>
      </w:r>
      <w:r w:rsidRPr="001167CB">
        <w:rPr>
          <w:rFonts w:asciiTheme="majorHAnsi" w:hAnsiTheme="majorHAnsi" w:cstheme="majorHAnsi"/>
          <w:i/>
          <w:color w:val="808080" w:themeColor="background1" w:themeShade="80"/>
          <w:sz w:val="16"/>
          <w:szCs w:val="16"/>
        </w:rPr>
        <w:t>Cotton Field</w:t>
      </w:r>
      <w:r w:rsidRPr="001167CB">
        <w:rPr>
          <w:rFonts w:asciiTheme="majorHAnsi" w:hAnsiTheme="majorHAnsi" w:cstheme="majorHAnsi"/>
          <w:color w:val="808080" w:themeColor="background1" w:themeShade="80"/>
          <w:sz w:val="16"/>
          <w:szCs w:val="16"/>
        </w:rPr>
        <w:t>, Series C No. 205 (2009), para. 549</w:t>
      </w:r>
    </w:p>
  </w:footnote>
  <w:footnote w:id="668">
    <w:p w14:paraId="06D94BAD"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i/>
          <w:color w:val="808080" w:themeColor="background1" w:themeShade="80"/>
          <w:sz w:val="16"/>
          <w:szCs w:val="16"/>
        </w:rPr>
        <w:t xml:space="preserve">See, e.g., </w:t>
      </w:r>
      <w:r w:rsidRPr="001167CB">
        <w:rPr>
          <w:rFonts w:asciiTheme="majorHAnsi" w:hAnsiTheme="majorHAnsi" w:cstheme="majorHAnsi"/>
          <w:color w:val="808080" w:themeColor="background1" w:themeShade="80"/>
          <w:sz w:val="16"/>
          <w:szCs w:val="16"/>
        </w:rPr>
        <w:t xml:space="preserve">I/A Ct. H.R., </w:t>
      </w:r>
      <w:r w:rsidRPr="001167CB">
        <w:rPr>
          <w:rFonts w:asciiTheme="majorHAnsi" w:hAnsiTheme="majorHAnsi" w:cstheme="majorHAnsi"/>
          <w:i/>
          <w:color w:val="808080" w:themeColor="background1" w:themeShade="80"/>
          <w:sz w:val="16"/>
          <w:szCs w:val="16"/>
        </w:rPr>
        <w:t>Cotton Field</w:t>
      </w:r>
      <w:r w:rsidRPr="001167CB">
        <w:rPr>
          <w:rFonts w:asciiTheme="majorHAnsi" w:hAnsiTheme="majorHAnsi" w:cstheme="majorHAnsi"/>
          <w:color w:val="808080" w:themeColor="background1" w:themeShade="80"/>
          <w:sz w:val="16"/>
          <w:szCs w:val="16"/>
        </w:rPr>
        <w:t xml:space="preserve">, Series C No. 205 (2009), para. </w:t>
      </w:r>
      <w:r w:rsidRPr="001167CB">
        <w:rPr>
          <w:rFonts w:asciiTheme="majorHAnsi" w:hAnsiTheme="majorHAnsi" w:cstheme="majorHAnsi"/>
          <w:color w:val="808080" w:themeColor="background1" w:themeShade="80"/>
          <w:sz w:val="16"/>
          <w:szCs w:val="16"/>
          <w:lang w:val="es-US"/>
        </w:rPr>
        <w:t xml:space="preserve">468; </w:t>
      </w:r>
      <w:r w:rsidRPr="001167CB">
        <w:rPr>
          <w:rFonts w:asciiTheme="majorHAnsi" w:hAnsiTheme="majorHAnsi" w:cstheme="majorHAnsi"/>
          <w:i/>
          <w:color w:val="808080" w:themeColor="background1" w:themeShade="80"/>
          <w:sz w:val="16"/>
          <w:szCs w:val="16"/>
          <w:lang w:val="es-US"/>
        </w:rPr>
        <w:t xml:space="preserve">Garibaldi v. </w:t>
      </w:r>
      <w:proofErr w:type="spellStart"/>
      <w:r w:rsidRPr="001167CB">
        <w:rPr>
          <w:rFonts w:asciiTheme="majorHAnsi" w:hAnsiTheme="majorHAnsi" w:cstheme="majorHAnsi"/>
          <w:i/>
          <w:color w:val="808080" w:themeColor="background1" w:themeShade="80"/>
          <w:sz w:val="16"/>
          <w:szCs w:val="16"/>
          <w:lang w:val="es-US"/>
        </w:rPr>
        <w:t>Brazil</w:t>
      </w:r>
      <w:proofErr w:type="spellEnd"/>
      <w:r w:rsidRPr="001167CB">
        <w:rPr>
          <w:rFonts w:asciiTheme="majorHAnsi" w:hAnsiTheme="majorHAnsi" w:cstheme="majorHAnsi"/>
          <w:color w:val="808080" w:themeColor="background1" w:themeShade="80"/>
          <w:sz w:val="16"/>
          <w:szCs w:val="16"/>
          <w:lang w:val="es-US"/>
        </w:rPr>
        <w:t xml:space="preserve">, para. 157; </w:t>
      </w:r>
      <w:proofErr w:type="spellStart"/>
      <w:r w:rsidRPr="001167CB">
        <w:rPr>
          <w:rFonts w:asciiTheme="majorHAnsi" w:hAnsiTheme="majorHAnsi" w:cstheme="majorHAnsi"/>
          <w:i/>
          <w:color w:val="808080" w:themeColor="background1" w:themeShade="80"/>
          <w:sz w:val="16"/>
          <w:szCs w:val="16"/>
          <w:lang w:val="es-US"/>
        </w:rPr>
        <w:t>Kawas</w:t>
      </w:r>
      <w:proofErr w:type="spellEnd"/>
      <w:r w:rsidRPr="001167CB">
        <w:rPr>
          <w:rFonts w:asciiTheme="majorHAnsi" w:hAnsiTheme="majorHAnsi" w:cstheme="majorHAnsi"/>
          <w:i/>
          <w:color w:val="808080" w:themeColor="background1" w:themeShade="80"/>
          <w:sz w:val="16"/>
          <w:szCs w:val="16"/>
          <w:lang w:val="es-US"/>
        </w:rPr>
        <w:t xml:space="preserve"> Fernández v. Honduras</w:t>
      </w:r>
      <w:r w:rsidRPr="001167CB">
        <w:rPr>
          <w:rFonts w:asciiTheme="majorHAnsi" w:hAnsiTheme="majorHAnsi" w:cstheme="majorHAnsi"/>
          <w:color w:val="808080" w:themeColor="background1" w:themeShade="80"/>
          <w:sz w:val="16"/>
          <w:szCs w:val="16"/>
          <w:lang w:val="es-US"/>
        </w:rPr>
        <w:t xml:space="preserve">, para. 199; </w:t>
      </w:r>
      <w:proofErr w:type="spellStart"/>
      <w:r w:rsidRPr="001167CB">
        <w:rPr>
          <w:rFonts w:asciiTheme="majorHAnsi" w:hAnsiTheme="majorHAnsi" w:cstheme="majorHAnsi"/>
          <w:i/>
          <w:color w:val="808080" w:themeColor="background1" w:themeShade="80"/>
          <w:sz w:val="16"/>
          <w:szCs w:val="16"/>
          <w:lang w:val="es-US"/>
        </w:rPr>
        <w:t>Escher</w:t>
      </w:r>
      <w:proofErr w:type="spellEnd"/>
      <w:r w:rsidRPr="001167CB">
        <w:rPr>
          <w:rFonts w:asciiTheme="majorHAnsi" w:hAnsiTheme="majorHAnsi" w:cstheme="majorHAnsi"/>
          <w:i/>
          <w:color w:val="808080" w:themeColor="background1" w:themeShade="80"/>
          <w:sz w:val="16"/>
          <w:szCs w:val="16"/>
          <w:lang w:val="es-US"/>
        </w:rPr>
        <w:t xml:space="preserve"> et al. v. </w:t>
      </w:r>
      <w:proofErr w:type="spellStart"/>
      <w:r w:rsidRPr="001167CB">
        <w:rPr>
          <w:rFonts w:asciiTheme="majorHAnsi" w:hAnsiTheme="majorHAnsi" w:cstheme="majorHAnsi"/>
          <w:i/>
          <w:color w:val="808080" w:themeColor="background1" w:themeShade="80"/>
          <w:sz w:val="16"/>
          <w:szCs w:val="16"/>
          <w:lang w:val="es-US"/>
        </w:rPr>
        <w:t>Brazil</w:t>
      </w:r>
      <w:proofErr w:type="spellEnd"/>
      <w:r w:rsidRPr="001167CB">
        <w:rPr>
          <w:rFonts w:asciiTheme="majorHAnsi" w:hAnsiTheme="majorHAnsi" w:cstheme="majorHAnsi"/>
          <w:color w:val="808080" w:themeColor="background1" w:themeShade="80"/>
          <w:sz w:val="16"/>
          <w:szCs w:val="16"/>
          <w:lang w:val="es-US"/>
        </w:rPr>
        <w:t xml:space="preserve">, para. </w:t>
      </w:r>
      <w:r w:rsidRPr="001167CB">
        <w:rPr>
          <w:rFonts w:asciiTheme="majorHAnsi" w:hAnsiTheme="majorHAnsi" w:cstheme="majorHAnsi"/>
          <w:color w:val="808080" w:themeColor="background1" w:themeShade="80"/>
          <w:sz w:val="16"/>
          <w:szCs w:val="16"/>
        </w:rPr>
        <w:t xml:space="preserve">239; </w:t>
      </w:r>
      <w:r w:rsidRPr="001167CB">
        <w:rPr>
          <w:rFonts w:asciiTheme="majorHAnsi" w:hAnsiTheme="majorHAnsi" w:cstheme="majorHAnsi"/>
          <w:i/>
          <w:color w:val="808080" w:themeColor="background1" w:themeShade="80"/>
          <w:sz w:val="16"/>
          <w:szCs w:val="16"/>
        </w:rPr>
        <w:t>Serrano Cruz Sisters v. El Salvador</w:t>
      </w:r>
      <w:r w:rsidRPr="001167CB">
        <w:rPr>
          <w:rFonts w:asciiTheme="majorHAnsi" w:hAnsiTheme="majorHAnsi" w:cstheme="majorHAnsi"/>
          <w:color w:val="808080" w:themeColor="background1" w:themeShade="80"/>
          <w:sz w:val="16"/>
          <w:szCs w:val="16"/>
        </w:rPr>
        <w:t>, para. 195.</w:t>
      </w:r>
    </w:p>
  </w:footnote>
  <w:footnote w:id="669">
    <w:p w14:paraId="5938F1D4"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hyperlink r:id="rId701" w:history="1">
        <w:r w:rsidRPr="001167CB">
          <w:rPr>
            <w:rStyle w:val="Hyperlink"/>
            <w:rFonts w:asciiTheme="majorHAnsi" w:hAnsiTheme="majorHAnsi" w:cstheme="majorHAnsi"/>
            <w:color w:val="808080" w:themeColor="background1" w:themeShade="80"/>
            <w:sz w:val="16"/>
            <w:szCs w:val="16"/>
          </w:rPr>
          <w:t>UN Principles on the Right to a Remedy and Reparation</w:t>
        </w:r>
      </w:hyperlink>
      <w:r w:rsidRPr="001167CB">
        <w:rPr>
          <w:rFonts w:asciiTheme="majorHAnsi" w:hAnsiTheme="majorHAnsi" w:cstheme="majorHAnsi"/>
          <w:color w:val="808080" w:themeColor="background1" w:themeShade="80"/>
          <w:sz w:val="16"/>
          <w:szCs w:val="16"/>
        </w:rPr>
        <w:t>, para. 22.</w:t>
      </w:r>
    </w:p>
  </w:footnote>
  <w:footnote w:id="670">
    <w:p w14:paraId="78A244E1"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hyperlink r:id="rId702" w:history="1">
        <w:r w:rsidRPr="001167CB">
          <w:rPr>
            <w:rStyle w:val="Hyperlink"/>
            <w:rFonts w:asciiTheme="majorHAnsi" w:hAnsiTheme="majorHAnsi" w:cstheme="majorHAnsi"/>
            <w:color w:val="808080" w:themeColor="background1" w:themeShade="80"/>
            <w:sz w:val="16"/>
            <w:szCs w:val="16"/>
          </w:rPr>
          <w:t>UN Principles on the Right to a Remedy and Reparation</w:t>
        </w:r>
      </w:hyperlink>
      <w:r w:rsidRPr="001167CB">
        <w:rPr>
          <w:rFonts w:asciiTheme="majorHAnsi" w:hAnsiTheme="majorHAnsi" w:cstheme="majorHAnsi"/>
          <w:color w:val="808080" w:themeColor="background1" w:themeShade="80"/>
          <w:sz w:val="16"/>
          <w:szCs w:val="16"/>
        </w:rPr>
        <w:t>, para. 23.</w:t>
      </w:r>
    </w:p>
  </w:footnote>
  <w:footnote w:id="671">
    <w:p w14:paraId="0439570A"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lang w:val="es-MX"/>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t xml:space="preserve">IACHR, </w:t>
      </w:r>
      <w:hyperlink r:id="rId703" w:history="1">
        <w:r w:rsidRPr="001167CB">
          <w:rPr>
            <w:rStyle w:val="Hyperlink"/>
            <w:rFonts w:asciiTheme="majorHAnsi" w:hAnsiTheme="majorHAnsi" w:cstheme="majorHAnsi"/>
            <w:color w:val="808080" w:themeColor="background1" w:themeShade="80"/>
            <w:sz w:val="16"/>
            <w:szCs w:val="16"/>
          </w:rPr>
          <w:t>The Right to Truth</w:t>
        </w:r>
      </w:hyperlink>
      <w:r w:rsidRPr="001167CB">
        <w:rPr>
          <w:rFonts w:asciiTheme="majorHAnsi" w:hAnsiTheme="majorHAnsi" w:cstheme="majorHAnsi"/>
          <w:color w:val="808080" w:themeColor="background1" w:themeShade="80"/>
          <w:sz w:val="16"/>
          <w:szCs w:val="16"/>
        </w:rPr>
        <w:t xml:space="preserve"> (2014), para. 124 (citing UN, Human Rights Council, Report of the Special Rapporteur on the promotion of truth, justice, reparation and guarantees of non-recurrence, Pablo de </w:t>
      </w:r>
      <w:proofErr w:type="spellStart"/>
      <w:r w:rsidRPr="001167CB">
        <w:rPr>
          <w:rFonts w:asciiTheme="majorHAnsi" w:hAnsiTheme="majorHAnsi" w:cstheme="majorHAnsi"/>
          <w:color w:val="808080" w:themeColor="background1" w:themeShade="80"/>
          <w:sz w:val="16"/>
          <w:szCs w:val="16"/>
        </w:rPr>
        <w:t>Greiff</w:t>
      </w:r>
      <w:proofErr w:type="spellEnd"/>
      <w:r w:rsidRPr="001167CB">
        <w:rPr>
          <w:rFonts w:asciiTheme="majorHAnsi" w:hAnsiTheme="majorHAnsi" w:cstheme="majorHAnsi"/>
          <w:color w:val="808080" w:themeColor="background1" w:themeShade="80"/>
          <w:sz w:val="16"/>
          <w:szCs w:val="16"/>
        </w:rPr>
        <w:t xml:space="preserve">, A/HRC/21/46, Aug. 9, 2012, para. </w:t>
      </w:r>
      <w:r w:rsidRPr="001167CB">
        <w:rPr>
          <w:rFonts w:asciiTheme="majorHAnsi" w:hAnsiTheme="majorHAnsi" w:cstheme="majorHAnsi"/>
          <w:color w:val="808080" w:themeColor="background1" w:themeShade="80"/>
          <w:sz w:val="16"/>
          <w:szCs w:val="16"/>
          <w:lang w:val="es-MX"/>
        </w:rPr>
        <w:t>30).</w:t>
      </w:r>
    </w:p>
  </w:footnote>
  <w:footnote w:id="672">
    <w:p w14:paraId="26CCD24E"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lang w:val="es-MX"/>
        </w:rPr>
        <w:t xml:space="preserve"> </w:t>
      </w:r>
      <w:r w:rsidRPr="001167CB">
        <w:rPr>
          <w:rFonts w:asciiTheme="majorHAnsi" w:hAnsiTheme="majorHAnsi" w:cstheme="majorHAnsi"/>
          <w:color w:val="808080" w:themeColor="background1" w:themeShade="80"/>
          <w:sz w:val="16"/>
          <w:szCs w:val="16"/>
          <w:lang w:val="es-MX"/>
        </w:rPr>
        <w:tab/>
        <w:t xml:space="preserve">IACHR, </w:t>
      </w:r>
      <w:proofErr w:type="spellStart"/>
      <w:r w:rsidRPr="001167CB">
        <w:rPr>
          <w:rFonts w:asciiTheme="majorHAnsi" w:hAnsiTheme="majorHAnsi" w:cstheme="majorHAnsi"/>
          <w:color w:val="808080" w:themeColor="background1" w:themeShade="80"/>
          <w:sz w:val="16"/>
          <w:szCs w:val="16"/>
          <w:lang w:val="es-MX"/>
        </w:rPr>
        <w:t>Report</w:t>
      </w:r>
      <w:proofErr w:type="spellEnd"/>
      <w:r w:rsidRPr="001167CB">
        <w:rPr>
          <w:rFonts w:asciiTheme="majorHAnsi" w:hAnsiTheme="majorHAnsi" w:cstheme="majorHAnsi"/>
          <w:color w:val="808080" w:themeColor="background1" w:themeShade="80"/>
          <w:sz w:val="16"/>
          <w:szCs w:val="16"/>
          <w:lang w:val="es-MX"/>
        </w:rPr>
        <w:t xml:space="preserve"> No. 37/00, Case 11.481, </w:t>
      </w:r>
      <w:proofErr w:type="spellStart"/>
      <w:r w:rsidRPr="001167CB">
        <w:rPr>
          <w:rFonts w:asciiTheme="majorHAnsi" w:hAnsiTheme="majorHAnsi" w:cstheme="majorHAnsi"/>
          <w:i/>
          <w:color w:val="808080" w:themeColor="background1" w:themeShade="80"/>
          <w:sz w:val="16"/>
          <w:szCs w:val="16"/>
          <w:lang w:val="es-MX"/>
        </w:rPr>
        <w:t>Monsignor</w:t>
      </w:r>
      <w:proofErr w:type="spellEnd"/>
      <w:r w:rsidRPr="001167CB">
        <w:rPr>
          <w:rFonts w:asciiTheme="majorHAnsi" w:hAnsiTheme="majorHAnsi" w:cstheme="majorHAnsi"/>
          <w:i/>
          <w:color w:val="808080" w:themeColor="background1" w:themeShade="80"/>
          <w:sz w:val="16"/>
          <w:szCs w:val="16"/>
          <w:lang w:val="es-MX"/>
        </w:rPr>
        <w:t xml:space="preserve"> Oscar Arnulfo Romero y Galdámez</w:t>
      </w:r>
      <w:r w:rsidRPr="001167CB">
        <w:rPr>
          <w:rFonts w:asciiTheme="majorHAnsi" w:hAnsiTheme="majorHAnsi" w:cstheme="majorHAnsi"/>
          <w:color w:val="808080" w:themeColor="background1" w:themeShade="80"/>
          <w:sz w:val="16"/>
          <w:szCs w:val="16"/>
          <w:lang w:val="es-MX"/>
        </w:rPr>
        <w:t xml:space="preserve"> (El Salvador), </w:t>
      </w:r>
      <w:proofErr w:type="spellStart"/>
      <w:r w:rsidRPr="001167CB">
        <w:rPr>
          <w:rFonts w:asciiTheme="majorHAnsi" w:hAnsiTheme="majorHAnsi" w:cstheme="majorHAnsi"/>
          <w:color w:val="808080" w:themeColor="background1" w:themeShade="80"/>
          <w:sz w:val="16"/>
          <w:szCs w:val="16"/>
          <w:lang w:val="es-US"/>
        </w:rPr>
        <w:t>Apr</w:t>
      </w:r>
      <w:proofErr w:type="spellEnd"/>
      <w:r w:rsidRPr="001167CB">
        <w:rPr>
          <w:rFonts w:asciiTheme="majorHAnsi" w:hAnsiTheme="majorHAnsi" w:cstheme="majorHAnsi"/>
          <w:color w:val="808080" w:themeColor="background1" w:themeShade="80"/>
          <w:sz w:val="16"/>
          <w:szCs w:val="16"/>
          <w:lang w:val="es-US"/>
        </w:rPr>
        <w:t xml:space="preserve">. </w:t>
      </w:r>
      <w:r w:rsidRPr="001167CB">
        <w:rPr>
          <w:rFonts w:asciiTheme="majorHAnsi" w:hAnsiTheme="majorHAnsi" w:cstheme="majorHAnsi"/>
          <w:color w:val="808080" w:themeColor="background1" w:themeShade="80"/>
          <w:sz w:val="16"/>
          <w:szCs w:val="16"/>
          <w:lang w:val="es-MX"/>
        </w:rPr>
        <w:t xml:space="preserve">13, 2000, para. </w:t>
      </w:r>
      <w:r w:rsidRPr="001167CB">
        <w:rPr>
          <w:rFonts w:asciiTheme="majorHAnsi" w:hAnsiTheme="majorHAnsi" w:cstheme="majorHAnsi"/>
          <w:color w:val="808080" w:themeColor="background1" w:themeShade="80"/>
          <w:sz w:val="16"/>
          <w:szCs w:val="16"/>
        </w:rPr>
        <w:t>148.</w:t>
      </w:r>
    </w:p>
    <w:p w14:paraId="1AACD29B" w14:textId="77777777" w:rsidR="005C2394" w:rsidRPr="001167CB" w:rsidRDefault="005C2394" w:rsidP="001167CB">
      <w:pPr>
        <w:pStyle w:val="FootnoteText"/>
        <w:spacing w:after="40"/>
        <w:ind w:left="547"/>
        <w:jc w:val="both"/>
        <w:rPr>
          <w:rFonts w:asciiTheme="majorHAnsi" w:hAnsiTheme="majorHAnsi" w:cstheme="majorHAnsi"/>
          <w:color w:val="808080" w:themeColor="background1" w:themeShade="80"/>
          <w:sz w:val="16"/>
          <w:szCs w:val="16"/>
        </w:rPr>
      </w:pPr>
      <w:r w:rsidRPr="001167CB">
        <w:rPr>
          <w:rFonts w:asciiTheme="majorHAnsi" w:hAnsiTheme="majorHAnsi" w:cstheme="majorHAnsi"/>
          <w:color w:val="808080" w:themeColor="background1" w:themeShade="80"/>
          <w:sz w:val="16"/>
          <w:szCs w:val="16"/>
        </w:rPr>
        <w:t xml:space="preserve">The Commission has previously defined some measures of reparation designed to guarantee the right to truth ordered by the Inter-American Court, including, </w:t>
      </w:r>
      <w:r w:rsidRPr="001167CB">
        <w:rPr>
          <w:rFonts w:asciiTheme="majorHAnsi" w:hAnsiTheme="majorHAnsi" w:cstheme="majorHAnsi"/>
          <w:i/>
          <w:color w:val="808080" w:themeColor="background1" w:themeShade="80"/>
          <w:sz w:val="16"/>
          <w:szCs w:val="16"/>
        </w:rPr>
        <w:t>inter alia</w:t>
      </w:r>
      <w:r w:rsidRPr="001167CB">
        <w:rPr>
          <w:rFonts w:asciiTheme="majorHAnsi" w:hAnsiTheme="majorHAnsi" w:cstheme="majorHAnsi"/>
          <w:color w:val="808080" w:themeColor="background1" w:themeShade="80"/>
          <w:sz w:val="16"/>
          <w:szCs w:val="16"/>
        </w:rPr>
        <w:t>:</w:t>
      </w:r>
    </w:p>
    <w:p w14:paraId="731836BC" w14:textId="77777777" w:rsidR="005C2394" w:rsidRPr="001167CB" w:rsidRDefault="005C2394" w:rsidP="001167CB">
      <w:pPr>
        <w:pStyle w:val="FootnoteText"/>
        <w:numPr>
          <w:ilvl w:val="0"/>
          <w:numId w:val="27"/>
        </w:numPr>
        <w:tabs>
          <w:tab w:val="left" w:pos="450"/>
        </w:tabs>
        <w:spacing w:after="40"/>
        <w:ind w:left="900" w:hanging="450"/>
        <w:jc w:val="both"/>
        <w:rPr>
          <w:rFonts w:asciiTheme="majorHAnsi" w:hAnsiTheme="majorHAnsi" w:cstheme="majorHAnsi"/>
          <w:color w:val="808080" w:themeColor="background1" w:themeShade="80"/>
          <w:sz w:val="16"/>
          <w:szCs w:val="16"/>
        </w:rPr>
      </w:pPr>
      <w:r w:rsidRPr="001167CB">
        <w:rPr>
          <w:rFonts w:asciiTheme="majorHAnsi" w:hAnsiTheme="majorHAnsi" w:cstheme="majorHAnsi"/>
          <w:color w:val="808080" w:themeColor="background1" w:themeShade="80"/>
          <w:sz w:val="16"/>
          <w:szCs w:val="16"/>
        </w:rPr>
        <w:t xml:space="preserve">“initiate, expedite, re-open, supervise, continue and conclude, as appropriate, the investigations into all the facts with the greatest diligence and within a reasonable time, […] in order to identify, prosecute and, as appropriate, punish those responsible, and remove all de facto and legal mechanisms and obstacles that maintain impunity”; </w:t>
      </w:r>
    </w:p>
    <w:p w14:paraId="02F8AD82" w14:textId="77777777" w:rsidR="005C2394" w:rsidRPr="001167CB" w:rsidRDefault="005C2394" w:rsidP="001167CB">
      <w:pPr>
        <w:pStyle w:val="FootnoteText"/>
        <w:numPr>
          <w:ilvl w:val="0"/>
          <w:numId w:val="27"/>
        </w:numPr>
        <w:tabs>
          <w:tab w:val="left" w:pos="450"/>
        </w:tabs>
        <w:spacing w:after="40"/>
        <w:ind w:left="900" w:hanging="450"/>
        <w:jc w:val="both"/>
        <w:rPr>
          <w:rFonts w:asciiTheme="majorHAnsi" w:hAnsiTheme="majorHAnsi" w:cstheme="majorHAnsi"/>
          <w:color w:val="808080" w:themeColor="background1" w:themeShade="80"/>
          <w:sz w:val="16"/>
          <w:szCs w:val="16"/>
        </w:rPr>
      </w:pPr>
      <w:r w:rsidRPr="001167CB">
        <w:rPr>
          <w:rFonts w:asciiTheme="majorHAnsi" w:hAnsiTheme="majorHAnsi" w:cstheme="majorHAnsi"/>
          <w:color w:val="808080" w:themeColor="background1" w:themeShade="80"/>
          <w:sz w:val="16"/>
          <w:szCs w:val="16"/>
        </w:rPr>
        <w:t xml:space="preserve">“take into account the systematic pattern of human rights violations […] so that the pertinent investigations and proceedings are conducted, bearing in mind the complexity of the events and the context in which they occurred, avoiding omissions in the collection of evidence and in following logical lines of investigation based on a correct assessment of the systematic patterns that gave rise to the events under investigation”; </w:t>
      </w:r>
    </w:p>
    <w:p w14:paraId="1924F439" w14:textId="77777777" w:rsidR="005C2394" w:rsidRPr="001167CB" w:rsidRDefault="005C2394" w:rsidP="001167CB">
      <w:pPr>
        <w:pStyle w:val="FootnoteText"/>
        <w:numPr>
          <w:ilvl w:val="0"/>
          <w:numId w:val="27"/>
        </w:numPr>
        <w:tabs>
          <w:tab w:val="left" w:pos="450"/>
        </w:tabs>
        <w:spacing w:after="40"/>
        <w:ind w:left="900" w:hanging="450"/>
        <w:jc w:val="both"/>
        <w:rPr>
          <w:rFonts w:asciiTheme="majorHAnsi" w:hAnsiTheme="majorHAnsi" w:cstheme="majorHAnsi"/>
          <w:color w:val="808080" w:themeColor="background1" w:themeShade="80"/>
          <w:sz w:val="16"/>
          <w:szCs w:val="16"/>
        </w:rPr>
      </w:pPr>
      <w:r w:rsidRPr="001167CB">
        <w:rPr>
          <w:rFonts w:asciiTheme="majorHAnsi" w:hAnsiTheme="majorHAnsi" w:cstheme="majorHAnsi"/>
          <w:color w:val="808080" w:themeColor="background1" w:themeShade="80"/>
          <w:sz w:val="16"/>
          <w:szCs w:val="16"/>
        </w:rPr>
        <w:t>“</w:t>
      </w:r>
      <w:proofErr w:type="gramStart"/>
      <w:r w:rsidRPr="001167CB">
        <w:rPr>
          <w:rFonts w:asciiTheme="majorHAnsi" w:hAnsiTheme="majorHAnsi" w:cstheme="majorHAnsi"/>
          <w:color w:val="808080" w:themeColor="background1" w:themeShade="80"/>
          <w:sz w:val="16"/>
          <w:szCs w:val="16"/>
        </w:rPr>
        <w:t>determine</w:t>
      </w:r>
      <w:proofErr w:type="gramEnd"/>
      <w:r w:rsidRPr="001167CB">
        <w:rPr>
          <w:rFonts w:asciiTheme="majorHAnsi" w:hAnsiTheme="majorHAnsi" w:cstheme="majorHAnsi"/>
          <w:color w:val="808080" w:themeColor="background1" w:themeShade="80"/>
          <w:sz w:val="16"/>
          <w:szCs w:val="16"/>
        </w:rPr>
        <w:t xml:space="preserve"> the identity of all the alleged masterminds and perpetrators […]. Due diligence in the investigation means that all the State authorities are obliged to collaborate in the gathering of evidence; thus they must provide the judge, prosecutor or other judicial authority in the case with all the information that he requests and abstain from acts that obstruct the investigative process”; </w:t>
      </w:r>
    </w:p>
    <w:p w14:paraId="39B9F7B1" w14:textId="77777777" w:rsidR="005C2394" w:rsidRPr="001167CB" w:rsidRDefault="005C2394" w:rsidP="001167CB">
      <w:pPr>
        <w:pStyle w:val="FootnoteText"/>
        <w:numPr>
          <w:ilvl w:val="0"/>
          <w:numId w:val="27"/>
        </w:numPr>
        <w:tabs>
          <w:tab w:val="left" w:pos="450"/>
        </w:tabs>
        <w:spacing w:after="40"/>
        <w:ind w:left="900" w:hanging="450"/>
        <w:jc w:val="both"/>
        <w:rPr>
          <w:rFonts w:asciiTheme="majorHAnsi" w:hAnsiTheme="majorHAnsi" w:cstheme="majorHAnsi"/>
          <w:color w:val="808080" w:themeColor="background1" w:themeShade="80"/>
          <w:sz w:val="16"/>
          <w:szCs w:val="16"/>
        </w:rPr>
      </w:pPr>
      <w:r w:rsidRPr="001167CB">
        <w:rPr>
          <w:rFonts w:asciiTheme="majorHAnsi" w:hAnsiTheme="majorHAnsi" w:cstheme="majorHAnsi"/>
          <w:color w:val="808080" w:themeColor="background1" w:themeShade="80"/>
          <w:sz w:val="16"/>
          <w:szCs w:val="16"/>
        </w:rPr>
        <w:t>“ensure that the competent authorities conduct the corresponding investigations ex officio and, to this end, that they have and use all necessary logistical and scientific resources for gathering and processing evidence and, in particular, have the authority to access the pertinent documentation and information to investigate the facts denounced and to conduct promptly all essential actions and inquiries to clarify what happened”;</w:t>
      </w:r>
    </w:p>
    <w:p w14:paraId="2E6008A2" w14:textId="77777777" w:rsidR="005C2394" w:rsidRPr="001167CB" w:rsidRDefault="005C2394" w:rsidP="001167CB">
      <w:pPr>
        <w:pStyle w:val="FootnoteText"/>
        <w:numPr>
          <w:ilvl w:val="0"/>
          <w:numId w:val="27"/>
        </w:numPr>
        <w:tabs>
          <w:tab w:val="left" w:pos="450"/>
        </w:tabs>
        <w:spacing w:after="40"/>
        <w:ind w:left="900" w:hanging="450"/>
        <w:jc w:val="both"/>
        <w:rPr>
          <w:rFonts w:asciiTheme="majorHAnsi" w:hAnsiTheme="majorHAnsi" w:cstheme="majorHAnsi"/>
          <w:color w:val="808080" w:themeColor="background1" w:themeShade="80"/>
          <w:sz w:val="16"/>
          <w:szCs w:val="16"/>
        </w:rPr>
      </w:pPr>
      <w:r w:rsidRPr="001167CB">
        <w:rPr>
          <w:rFonts w:asciiTheme="majorHAnsi" w:hAnsiTheme="majorHAnsi" w:cstheme="majorHAnsi"/>
          <w:color w:val="808080" w:themeColor="background1" w:themeShade="80"/>
          <w:sz w:val="16"/>
          <w:szCs w:val="16"/>
        </w:rPr>
        <w:t xml:space="preserve">“guarantee that the investigations into the events […] remain, at all times, in the courts of ordinary jurisdiction”; </w:t>
      </w:r>
    </w:p>
    <w:p w14:paraId="353805B2" w14:textId="77777777" w:rsidR="005C2394" w:rsidRPr="001167CB" w:rsidRDefault="005C2394" w:rsidP="001167CB">
      <w:pPr>
        <w:pStyle w:val="FootnoteText"/>
        <w:numPr>
          <w:ilvl w:val="0"/>
          <w:numId w:val="27"/>
        </w:numPr>
        <w:tabs>
          <w:tab w:val="left" w:pos="450"/>
        </w:tabs>
        <w:spacing w:after="40"/>
        <w:ind w:left="900" w:hanging="450"/>
        <w:jc w:val="both"/>
        <w:rPr>
          <w:rFonts w:asciiTheme="majorHAnsi" w:hAnsiTheme="majorHAnsi" w:cstheme="majorHAnsi"/>
          <w:color w:val="808080" w:themeColor="background1" w:themeShade="80"/>
          <w:sz w:val="16"/>
          <w:szCs w:val="16"/>
        </w:rPr>
      </w:pPr>
      <w:r w:rsidRPr="001167CB">
        <w:rPr>
          <w:rFonts w:asciiTheme="majorHAnsi" w:hAnsiTheme="majorHAnsi" w:cstheme="majorHAnsi"/>
          <w:color w:val="808080" w:themeColor="background1" w:themeShade="80"/>
          <w:sz w:val="16"/>
          <w:szCs w:val="16"/>
        </w:rPr>
        <w:t xml:space="preserve">“ensure that the different organs of the justice system involved in the case have the necessary human, financial, logistic, scientific or any other type of resources necessary to perform their tasks adequately, independently and impartially”; </w:t>
      </w:r>
    </w:p>
    <w:p w14:paraId="413F4525" w14:textId="77777777" w:rsidR="005C2394" w:rsidRPr="001167CB" w:rsidRDefault="005C2394" w:rsidP="001167CB">
      <w:pPr>
        <w:pStyle w:val="FootnoteText"/>
        <w:numPr>
          <w:ilvl w:val="0"/>
          <w:numId w:val="27"/>
        </w:numPr>
        <w:tabs>
          <w:tab w:val="left" w:pos="450"/>
        </w:tabs>
        <w:spacing w:after="40"/>
        <w:ind w:left="900" w:hanging="450"/>
        <w:jc w:val="both"/>
        <w:rPr>
          <w:rFonts w:asciiTheme="majorHAnsi" w:hAnsiTheme="majorHAnsi" w:cstheme="majorHAnsi"/>
          <w:color w:val="808080" w:themeColor="background1" w:themeShade="80"/>
          <w:sz w:val="16"/>
          <w:szCs w:val="16"/>
        </w:rPr>
      </w:pPr>
      <w:r w:rsidRPr="001167CB">
        <w:rPr>
          <w:rFonts w:asciiTheme="majorHAnsi" w:hAnsiTheme="majorHAnsi" w:cstheme="majorHAnsi"/>
          <w:color w:val="808080" w:themeColor="background1" w:themeShade="80"/>
          <w:sz w:val="16"/>
          <w:szCs w:val="16"/>
        </w:rPr>
        <w:t xml:space="preserve">“ensure that victims or their next of kin have full access and legal standing at all the stages of the investigation and prosecution”; </w:t>
      </w:r>
    </w:p>
    <w:p w14:paraId="334C8139" w14:textId="77777777" w:rsidR="005C2394" w:rsidRPr="001167CB" w:rsidRDefault="005C2394" w:rsidP="001167CB">
      <w:pPr>
        <w:pStyle w:val="FootnoteText"/>
        <w:numPr>
          <w:ilvl w:val="0"/>
          <w:numId w:val="27"/>
        </w:numPr>
        <w:tabs>
          <w:tab w:val="left" w:pos="450"/>
        </w:tabs>
        <w:spacing w:after="40"/>
        <w:ind w:left="900" w:hanging="450"/>
        <w:jc w:val="both"/>
        <w:rPr>
          <w:rFonts w:asciiTheme="majorHAnsi" w:hAnsiTheme="majorHAnsi" w:cstheme="majorHAnsi"/>
          <w:color w:val="808080" w:themeColor="background1" w:themeShade="80"/>
          <w:sz w:val="16"/>
          <w:szCs w:val="16"/>
        </w:rPr>
      </w:pPr>
      <w:r w:rsidRPr="001167CB">
        <w:rPr>
          <w:rFonts w:asciiTheme="majorHAnsi" w:hAnsiTheme="majorHAnsi" w:cstheme="majorHAnsi"/>
          <w:color w:val="808080" w:themeColor="background1" w:themeShade="80"/>
          <w:sz w:val="16"/>
          <w:szCs w:val="16"/>
        </w:rPr>
        <w:t xml:space="preserve">“guarantee to agents of justice, and also society, public, technical and systematized access to archives that contain relevant and useful information for the ongoing investigations in cases concerning human rights violations”; </w:t>
      </w:r>
    </w:p>
    <w:p w14:paraId="190626F3" w14:textId="77777777" w:rsidR="005C2394" w:rsidRPr="001167CB" w:rsidRDefault="005C2394" w:rsidP="001167CB">
      <w:pPr>
        <w:pStyle w:val="FootnoteText"/>
        <w:numPr>
          <w:ilvl w:val="0"/>
          <w:numId w:val="27"/>
        </w:numPr>
        <w:tabs>
          <w:tab w:val="left" w:pos="450"/>
        </w:tabs>
        <w:spacing w:after="40"/>
        <w:ind w:left="900" w:hanging="450"/>
        <w:jc w:val="both"/>
        <w:rPr>
          <w:rFonts w:asciiTheme="majorHAnsi" w:hAnsiTheme="majorHAnsi" w:cstheme="majorHAnsi"/>
          <w:color w:val="808080" w:themeColor="background1" w:themeShade="80"/>
          <w:sz w:val="16"/>
          <w:szCs w:val="16"/>
        </w:rPr>
      </w:pPr>
      <w:r w:rsidRPr="001167CB">
        <w:rPr>
          <w:rFonts w:asciiTheme="majorHAnsi" w:hAnsiTheme="majorHAnsi" w:cstheme="majorHAnsi"/>
          <w:color w:val="808080" w:themeColor="background1" w:themeShade="80"/>
          <w:sz w:val="16"/>
          <w:szCs w:val="16"/>
        </w:rPr>
        <w:t xml:space="preserve">“establish coordination mechanisms between the different State bodies and institutions with the authority to investigate, and mechanisms to monitor the cases being processed”; </w:t>
      </w:r>
    </w:p>
    <w:p w14:paraId="1C10F772" w14:textId="77777777" w:rsidR="005C2394" w:rsidRPr="001167CB" w:rsidRDefault="005C2394" w:rsidP="001167CB">
      <w:pPr>
        <w:pStyle w:val="FootnoteText"/>
        <w:numPr>
          <w:ilvl w:val="0"/>
          <w:numId w:val="27"/>
        </w:numPr>
        <w:tabs>
          <w:tab w:val="left" w:pos="450"/>
        </w:tabs>
        <w:spacing w:after="40"/>
        <w:ind w:left="900" w:hanging="450"/>
        <w:jc w:val="both"/>
        <w:rPr>
          <w:rFonts w:asciiTheme="majorHAnsi" w:hAnsiTheme="majorHAnsi" w:cstheme="majorHAnsi"/>
          <w:color w:val="808080" w:themeColor="background1" w:themeShade="80"/>
          <w:sz w:val="16"/>
          <w:szCs w:val="16"/>
        </w:rPr>
      </w:pPr>
      <w:r w:rsidRPr="001167CB">
        <w:rPr>
          <w:rFonts w:asciiTheme="majorHAnsi" w:hAnsiTheme="majorHAnsi" w:cstheme="majorHAnsi"/>
          <w:color w:val="808080" w:themeColor="background1" w:themeShade="80"/>
          <w:sz w:val="16"/>
          <w:szCs w:val="16"/>
        </w:rPr>
        <w:t xml:space="preserve">“develop protocols for procedures in the matter with an interdisciplinary approach and train the officials involved in investigation of serious human rights violations”; </w:t>
      </w:r>
    </w:p>
    <w:p w14:paraId="51F1889C" w14:textId="77777777" w:rsidR="005C2394" w:rsidRPr="001167CB" w:rsidRDefault="005C2394" w:rsidP="001167CB">
      <w:pPr>
        <w:pStyle w:val="FootnoteText"/>
        <w:numPr>
          <w:ilvl w:val="0"/>
          <w:numId w:val="27"/>
        </w:numPr>
        <w:tabs>
          <w:tab w:val="left" w:pos="450"/>
        </w:tabs>
        <w:spacing w:after="40"/>
        <w:ind w:left="900" w:hanging="450"/>
        <w:jc w:val="both"/>
        <w:rPr>
          <w:rFonts w:asciiTheme="majorHAnsi" w:hAnsiTheme="majorHAnsi" w:cstheme="majorHAnsi"/>
          <w:color w:val="808080" w:themeColor="background1" w:themeShade="80"/>
          <w:sz w:val="16"/>
          <w:szCs w:val="16"/>
        </w:rPr>
      </w:pPr>
      <w:r w:rsidRPr="001167CB">
        <w:rPr>
          <w:rFonts w:asciiTheme="majorHAnsi" w:hAnsiTheme="majorHAnsi" w:cstheme="majorHAnsi"/>
          <w:color w:val="808080" w:themeColor="background1" w:themeShade="80"/>
          <w:sz w:val="16"/>
          <w:szCs w:val="16"/>
        </w:rPr>
        <w:t>“take differentiated impacts into account”;</w:t>
      </w:r>
    </w:p>
    <w:p w14:paraId="3A12AB5A" w14:textId="77777777" w:rsidR="005C2394" w:rsidRPr="001167CB" w:rsidRDefault="005C2394" w:rsidP="001167CB">
      <w:pPr>
        <w:pStyle w:val="FootnoteText"/>
        <w:numPr>
          <w:ilvl w:val="0"/>
          <w:numId w:val="27"/>
        </w:numPr>
        <w:tabs>
          <w:tab w:val="left" w:pos="450"/>
        </w:tabs>
        <w:spacing w:after="40"/>
        <w:ind w:left="900" w:hanging="450"/>
        <w:jc w:val="both"/>
        <w:rPr>
          <w:rFonts w:asciiTheme="majorHAnsi" w:hAnsiTheme="majorHAnsi" w:cstheme="majorHAnsi"/>
          <w:color w:val="808080" w:themeColor="background1" w:themeShade="80"/>
          <w:sz w:val="16"/>
          <w:szCs w:val="16"/>
        </w:rPr>
      </w:pPr>
      <w:r w:rsidRPr="001167CB">
        <w:rPr>
          <w:rFonts w:asciiTheme="majorHAnsi" w:hAnsiTheme="majorHAnsi" w:cstheme="majorHAnsi"/>
          <w:color w:val="808080" w:themeColor="background1" w:themeShade="80"/>
          <w:sz w:val="16"/>
          <w:szCs w:val="16"/>
        </w:rPr>
        <w:t xml:space="preserve">“execute the pending arrest warrants […] and issue any that are pertinent in order to prosecute all those responsible”; and </w:t>
      </w:r>
    </w:p>
    <w:p w14:paraId="79447E00" w14:textId="77777777" w:rsidR="005C2394" w:rsidRPr="001167CB" w:rsidRDefault="005C2394" w:rsidP="001167CB">
      <w:pPr>
        <w:pStyle w:val="FootnoteText"/>
        <w:numPr>
          <w:ilvl w:val="0"/>
          <w:numId w:val="27"/>
        </w:numPr>
        <w:tabs>
          <w:tab w:val="left" w:pos="450"/>
        </w:tabs>
        <w:spacing w:after="40"/>
        <w:ind w:left="900" w:hanging="450"/>
        <w:jc w:val="both"/>
        <w:rPr>
          <w:rFonts w:asciiTheme="majorHAnsi" w:hAnsiTheme="majorHAnsi" w:cstheme="majorHAnsi"/>
          <w:color w:val="808080" w:themeColor="background1" w:themeShade="80"/>
          <w:sz w:val="16"/>
          <w:szCs w:val="16"/>
        </w:rPr>
      </w:pPr>
      <w:r w:rsidRPr="001167CB">
        <w:rPr>
          <w:rFonts w:asciiTheme="majorHAnsi" w:hAnsiTheme="majorHAnsi" w:cstheme="majorHAnsi"/>
          <w:color w:val="808080" w:themeColor="background1" w:themeShade="80"/>
          <w:sz w:val="16"/>
          <w:szCs w:val="16"/>
        </w:rPr>
        <w:t>“</w:t>
      </w:r>
      <w:proofErr w:type="gramStart"/>
      <w:r w:rsidRPr="001167CB">
        <w:rPr>
          <w:rFonts w:asciiTheme="majorHAnsi" w:hAnsiTheme="majorHAnsi" w:cstheme="majorHAnsi"/>
          <w:color w:val="808080" w:themeColor="background1" w:themeShade="80"/>
          <w:sz w:val="16"/>
          <w:szCs w:val="16"/>
        </w:rPr>
        <w:t>initiate</w:t>
      </w:r>
      <w:proofErr w:type="gramEnd"/>
      <w:r w:rsidRPr="001167CB">
        <w:rPr>
          <w:rFonts w:asciiTheme="majorHAnsi" w:hAnsiTheme="majorHAnsi" w:cstheme="majorHAnsi"/>
          <w:color w:val="808080" w:themeColor="background1" w:themeShade="80"/>
          <w:sz w:val="16"/>
          <w:szCs w:val="16"/>
        </w:rPr>
        <w:t xml:space="preserve"> disciplinary, administrative, or criminal actions, in conformity with domestic legislation, against the State authorities who may have thwarted or prevented an adequate investigation of the facts, as well as those responsible for the different procedural irregularities.” IACHR, </w:t>
      </w:r>
      <w:hyperlink r:id="rId704" w:history="1">
        <w:r w:rsidRPr="001167CB">
          <w:rPr>
            <w:rStyle w:val="Hyperlink"/>
            <w:rFonts w:asciiTheme="majorHAnsi" w:hAnsiTheme="majorHAnsi" w:cstheme="majorHAnsi"/>
            <w:color w:val="808080" w:themeColor="background1" w:themeShade="80"/>
            <w:sz w:val="16"/>
            <w:szCs w:val="16"/>
          </w:rPr>
          <w:t>The Right to Truth</w:t>
        </w:r>
      </w:hyperlink>
      <w:r w:rsidRPr="001167CB">
        <w:rPr>
          <w:rFonts w:asciiTheme="majorHAnsi" w:hAnsiTheme="majorHAnsi" w:cstheme="majorHAnsi"/>
          <w:color w:val="808080" w:themeColor="background1" w:themeShade="80"/>
          <w:sz w:val="16"/>
          <w:szCs w:val="16"/>
        </w:rPr>
        <w:t xml:space="preserve"> (2014), para. 126 (citation omitted).</w:t>
      </w:r>
    </w:p>
  </w:footnote>
  <w:footnote w:id="673">
    <w:p w14:paraId="53A2ABD4"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hAnsiTheme="majorHAnsi" w:cstheme="majorHAnsi"/>
          <w:bCs/>
          <w:color w:val="808080" w:themeColor="background1" w:themeShade="80"/>
          <w:sz w:val="16"/>
          <w:szCs w:val="16"/>
        </w:rPr>
        <w:t xml:space="preserve">IACHR, </w:t>
      </w:r>
      <w:hyperlink r:id="rId705" w:history="1">
        <w:r w:rsidRPr="001167CB">
          <w:rPr>
            <w:rStyle w:val="Hyperlink"/>
            <w:rFonts w:asciiTheme="majorHAnsi" w:hAnsiTheme="majorHAnsi" w:cstheme="majorHAnsi"/>
            <w:bCs/>
            <w:color w:val="808080" w:themeColor="background1" w:themeShade="80"/>
            <w:sz w:val="16"/>
            <w:szCs w:val="16"/>
          </w:rPr>
          <w:t>On-Site Visit Press Release</w:t>
        </w:r>
      </w:hyperlink>
      <w:r w:rsidRPr="001167CB">
        <w:rPr>
          <w:rFonts w:asciiTheme="majorHAnsi" w:hAnsiTheme="majorHAnsi" w:cstheme="majorHAnsi"/>
          <w:bCs/>
          <w:color w:val="808080" w:themeColor="background1" w:themeShade="80"/>
          <w:sz w:val="16"/>
          <w:szCs w:val="16"/>
        </w:rPr>
        <w:t>, Oct. 16, 2015.</w:t>
      </w:r>
    </w:p>
  </w:footnote>
  <w:footnote w:id="674">
    <w:p w14:paraId="22A6B82A" w14:textId="453F46EB"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lang w:val="es-US"/>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lang w:val="es-US"/>
        </w:rPr>
        <w:t xml:space="preserve"> </w:t>
      </w:r>
      <w:r w:rsidRPr="001167CB">
        <w:rPr>
          <w:rFonts w:asciiTheme="majorHAnsi" w:hAnsiTheme="majorHAnsi" w:cstheme="majorHAnsi"/>
          <w:color w:val="808080" w:themeColor="background1" w:themeShade="80"/>
          <w:sz w:val="16"/>
          <w:szCs w:val="16"/>
          <w:lang w:val="es-US"/>
        </w:rPr>
        <w:tab/>
      </w:r>
      <w:proofErr w:type="spellStart"/>
      <w:r w:rsidRPr="001167CB">
        <w:rPr>
          <w:rFonts w:asciiTheme="majorHAnsi" w:hAnsiTheme="majorHAnsi" w:cstheme="majorHAnsi"/>
          <w:i/>
          <w:color w:val="808080" w:themeColor="background1" w:themeShade="80"/>
          <w:sz w:val="16"/>
          <w:szCs w:val="16"/>
          <w:lang w:val="es-US"/>
        </w:rPr>
        <w:t>See</w:t>
      </w:r>
      <w:proofErr w:type="spellEnd"/>
      <w:r w:rsidRPr="001167CB">
        <w:rPr>
          <w:rFonts w:asciiTheme="majorHAnsi" w:hAnsiTheme="majorHAnsi" w:cstheme="majorHAnsi"/>
          <w:i/>
          <w:color w:val="808080" w:themeColor="background1" w:themeShade="80"/>
          <w:sz w:val="16"/>
          <w:szCs w:val="16"/>
          <w:lang w:val="es-US"/>
        </w:rPr>
        <w:t xml:space="preserve"> supra</w:t>
      </w:r>
      <w:r w:rsidRPr="001167CB">
        <w:rPr>
          <w:rFonts w:asciiTheme="majorHAnsi" w:hAnsiTheme="majorHAnsi" w:cstheme="majorHAnsi"/>
          <w:color w:val="808080" w:themeColor="background1" w:themeShade="80"/>
          <w:sz w:val="16"/>
          <w:szCs w:val="16"/>
          <w:lang w:val="es-US"/>
        </w:rPr>
        <w:t xml:space="preserve"> para </w:t>
      </w:r>
      <w:r w:rsidRPr="001167CB">
        <w:rPr>
          <w:rFonts w:asciiTheme="majorHAnsi" w:hAnsiTheme="majorHAnsi" w:cstheme="majorHAnsi"/>
          <w:color w:val="808080" w:themeColor="background1" w:themeShade="80"/>
          <w:sz w:val="16"/>
          <w:szCs w:val="16"/>
        </w:rPr>
        <w:fldChar w:fldCharType="begin"/>
      </w:r>
      <w:r w:rsidRPr="001167CB">
        <w:rPr>
          <w:rFonts w:asciiTheme="majorHAnsi" w:hAnsiTheme="majorHAnsi" w:cstheme="majorHAnsi"/>
          <w:color w:val="808080" w:themeColor="background1" w:themeShade="80"/>
          <w:sz w:val="16"/>
          <w:szCs w:val="16"/>
          <w:lang w:val="es-US"/>
        </w:rPr>
        <w:instrText xml:space="preserve"> REF _Ref507506137 \r \h  \* MERGEFORMAT </w:instrText>
      </w:r>
      <w:r w:rsidRPr="001167CB">
        <w:rPr>
          <w:rFonts w:asciiTheme="majorHAnsi" w:hAnsiTheme="majorHAnsi" w:cstheme="majorHAnsi"/>
          <w:color w:val="808080" w:themeColor="background1" w:themeShade="80"/>
          <w:sz w:val="16"/>
          <w:szCs w:val="16"/>
        </w:rPr>
      </w:r>
      <w:r w:rsidRPr="001167CB">
        <w:rPr>
          <w:rFonts w:asciiTheme="majorHAnsi" w:hAnsiTheme="majorHAnsi" w:cstheme="majorHAnsi"/>
          <w:color w:val="808080" w:themeColor="background1" w:themeShade="80"/>
          <w:sz w:val="16"/>
          <w:szCs w:val="16"/>
        </w:rPr>
        <w:fldChar w:fldCharType="separate"/>
      </w:r>
      <w:r w:rsidRPr="001167CB">
        <w:rPr>
          <w:rFonts w:asciiTheme="majorHAnsi" w:hAnsiTheme="majorHAnsi" w:cstheme="majorHAnsi"/>
          <w:color w:val="808080" w:themeColor="background1" w:themeShade="80"/>
          <w:sz w:val="16"/>
          <w:szCs w:val="16"/>
          <w:lang w:val="es-US"/>
        </w:rPr>
        <w:t>115</w:t>
      </w:r>
      <w:r w:rsidRPr="001167CB">
        <w:rPr>
          <w:rFonts w:asciiTheme="majorHAnsi" w:hAnsiTheme="majorHAnsi" w:cstheme="majorHAnsi"/>
          <w:color w:val="808080" w:themeColor="background1" w:themeShade="80"/>
          <w:sz w:val="16"/>
          <w:szCs w:val="16"/>
        </w:rPr>
        <w:fldChar w:fldCharType="end"/>
      </w:r>
      <w:r w:rsidRPr="001167CB">
        <w:rPr>
          <w:rFonts w:asciiTheme="majorHAnsi" w:hAnsiTheme="majorHAnsi" w:cstheme="majorHAnsi"/>
          <w:color w:val="808080" w:themeColor="background1" w:themeShade="80"/>
          <w:sz w:val="16"/>
          <w:szCs w:val="16"/>
          <w:lang w:val="es-US"/>
        </w:rPr>
        <w:t>.</w:t>
      </w:r>
    </w:p>
  </w:footnote>
  <w:footnote w:id="675">
    <w:p w14:paraId="70F3D60E" w14:textId="6D89CAFE"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lang w:val="es-US"/>
        </w:rPr>
        <w:t xml:space="preserve"> </w:t>
      </w:r>
      <w:r w:rsidRPr="001167CB">
        <w:rPr>
          <w:rFonts w:asciiTheme="majorHAnsi" w:hAnsiTheme="majorHAnsi" w:cstheme="majorHAnsi"/>
          <w:color w:val="808080" w:themeColor="background1" w:themeShade="80"/>
          <w:sz w:val="16"/>
          <w:szCs w:val="16"/>
          <w:lang w:val="es-US"/>
        </w:rPr>
        <w:tab/>
      </w:r>
      <w:proofErr w:type="spellStart"/>
      <w:r w:rsidRPr="001167CB">
        <w:rPr>
          <w:rFonts w:asciiTheme="majorHAnsi" w:hAnsiTheme="majorHAnsi" w:cstheme="majorHAnsi"/>
          <w:i/>
          <w:color w:val="808080" w:themeColor="background1" w:themeShade="80"/>
          <w:sz w:val="16"/>
          <w:szCs w:val="16"/>
          <w:lang w:val="es-US"/>
        </w:rPr>
        <w:t>See</w:t>
      </w:r>
      <w:proofErr w:type="spellEnd"/>
      <w:r w:rsidRPr="001167CB">
        <w:rPr>
          <w:rFonts w:asciiTheme="majorHAnsi" w:hAnsiTheme="majorHAnsi" w:cstheme="majorHAnsi"/>
          <w:i/>
          <w:color w:val="808080" w:themeColor="background1" w:themeShade="80"/>
          <w:sz w:val="16"/>
          <w:szCs w:val="16"/>
          <w:lang w:val="es-US"/>
        </w:rPr>
        <w:t xml:space="preserve"> supra</w:t>
      </w:r>
      <w:r w:rsidRPr="001167CB">
        <w:rPr>
          <w:rFonts w:asciiTheme="majorHAnsi" w:hAnsiTheme="majorHAnsi" w:cstheme="majorHAnsi"/>
          <w:color w:val="808080" w:themeColor="background1" w:themeShade="80"/>
          <w:sz w:val="16"/>
          <w:szCs w:val="16"/>
          <w:lang w:val="es-US"/>
        </w:rPr>
        <w:t xml:space="preserve"> para. </w:t>
      </w:r>
      <w:r w:rsidRPr="001167CB">
        <w:rPr>
          <w:rFonts w:asciiTheme="majorHAnsi" w:hAnsiTheme="majorHAnsi" w:cstheme="majorHAnsi"/>
          <w:color w:val="808080" w:themeColor="background1" w:themeShade="80"/>
          <w:sz w:val="16"/>
          <w:szCs w:val="16"/>
        </w:rPr>
        <w:fldChar w:fldCharType="begin"/>
      </w:r>
      <w:r w:rsidRPr="001167CB">
        <w:rPr>
          <w:rFonts w:asciiTheme="majorHAnsi" w:hAnsiTheme="majorHAnsi" w:cstheme="majorHAnsi"/>
          <w:color w:val="808080" w:themeColor="background1" w:themeShade="80"/>
          <w:sz w:val="16"/>
          <w:szCs w:val="16"/>
          <w:lang w:val="es-US"/>
        </w:rPr>
        <w:instrText xml:space="preserve"> REF _Ref507430107 \r \h  \* MERGEFORMAT </w:instrText>
      </w:r>
      <w:r w:rsidRPr="001167CB">
        <w:rPr>
          <w:rFonts w:asciiTheme="majorHAnsi" w:hAnsiTheme="majorHAnsi" w:cstheme="majorHAnsi"/>
          <w:color w:val="808080" w:themeColor="background1" w:themeShade="80"/>
          <w:sz w:val="16"/>
          <w:szCs w:val="16"/>
        </w:rPr>
      </w:r>
      <w:r w:rsidRPr="001167CB">
        <w:rPr>
          <w:rFonts w:asciiTheme="majorHAnsi" w:hAnsiTheme="majorHAnsi" w:cstheme="majorHAnsi"/>
          <w:color w:val="808080" w:themeColor="background1" w:themeShade="80"/>
          <w:sz w:val="16"/>
          <w:szCs w:val="16"/>
        </w:rPr>
        <w:fldChar w:fldCharType="separate"/>
      </w:r>
      <w:r w:rsidRPr="001167CB">
        <w:rPr>
          <w:rFonts w:asciiTheme="majorHAnsi" w:hAnsiTheme="majorHAnsi" w:cstheme="majorHAnsi"/>
          <w:color w:val="808080" w:themeColor="background1" w:themeShade="80"/>
          <w:sz w:val="16"/>
          <w:szCs w:val="16"/>
        </w:rPr>
        <w:t>116</w:t>
      </w:r>
      <w:r w:rsidRPr="001167CB">
        <w:rPr>
          <w:rFonts w:asciiTheme="majorHAnsi" w:hAnsiTheme="majorHAnsi" w:cstheme="majorHAnsi"/>
          <w:color w:val="808080" w:themeColor="background1" w:themeShade="80"/>
          <w:sz w:val="16"/>
          <w:szCs w:val="16"/>
        </w:rPr>
        <w:fldChar w:fldCharType="end"/>
      </w:r>
      <w:r w:rsidRPr="001167CB">
        <w:rPr>
          <w:rFonts w:asciiTheme="majorHAnsi" w:hAnsiTheme="majorHAnsi" w:cstheme="majorHAnsi"/>
          <w:color w:val="808080" w:themeColor="background1" w:themeShade="80"/>
          <w:sz w:val="16"/>
          <w:szCs w:val="16"/>
        </w:rPr>
        <w:t>.</w:t>
      </w:r>
    </w:p>
  </w:footnote>
  <w:footnote w:id="676">
    <w:p w14:paraId="5567DD22"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bCs/>
          <w:color w:val="808080" w:themeColor="background1" w:themeShade="80"/>
          <w:sz w:val="16"/>
          <w:szCs w:val="16"/>
        </w:rPr>
        <w:t xml:space="preserve"> </w:t>
      </w:r>
      <w:r w:rsidRPr="001167CB">
        <w:rPr>
          <w:rFonts w:asciiTheme="majorHAnsi" w:hAnsiTheme="majorHAnsi" w:cstheme="majorHAnsi"/>
          <w:bCs/>
          <w:color w:val="808080" w:themeColor="background1" w:themeShade="80"/>
          <w:sz w:val="16"/>
          <w:szCs w:val="16"/>
        </w:rPr>
        <w:tab/>
        <w:t xml:space="preserve">IACHR, </w:t>
      </w:r>
      <w:hyperlink r:id="rId706" w:history="1">
        <w:r w:rsidRPr="001167CB">
          <w:rPr>
            <w:rStyle w:val="Hyperlink"/>
            <w:rFonts w:asciiTheme="majorHAnsi" w:hAnsiTheme="majorHAnsi" w:cstheme="majorHAnsi"/>
            <w:bCs/>
            <w:color w:val="808080" w:themeColor="background1" w:themeShade="80"/>
            <w:sz w:val="16"/>
            <w:szCs w:val="16"/>
          </w:rPr>
          <w:t>On-Site Visit Press Release</w:t>
        </w:r>
      </w:hyperlink>
      <w:r w:rsidRPr="001167CB">
        <w:rPr>
          <w:rFonts w:asciiTheme="majorHAnsi" w:hAnsiTheme="majorHAnsi" w:cstheme="majorHAnsi"/>
          <w:bCs/>
          <w:color w:val="808080" w:themeColor="background1" w:themeShade="80"/>
          <w:sz w:val="16"/>
          <w:szCs w:val="16"/>
        </w:rPr>
        <w:t>, Oct. 16, 2015.</w:t>
      </w:r>
    </w:p>
  </w:footnote>
  <w:footnote w:id="677">
    <w:p w14:paraId="0C9B398C" w14:textId="77777777" w:rsidR="005C2394" w:rsidRPr="001167CB" w:rsidRDefault="005C2394" w:rsidP="002C64F8">
      <w:pPr>
        <w:pStyle w:val="FootnoteText"/>
        <w:spacing w:after="40"/>
        <w:ind w:left="547" w:hanging="547"/>
        <w:jc w:val="both"/>
        <w:rPr>
          <w:rFonts w:asciiTheme="majorHAnsi" w:hAnsiTheme="majorHAnsi" w:cstheme="majorHAnsi"/>
          <w:color w:val="808080" w:themeColor="background1" w:themeShade="80"/>
          <w:sz w:val="16"/>
          <w:szCs w:val="16"/>
        </w:rPr>
      </w:pPr>
      <w:r w:rsidRPr="001167CB">
        <w:rPr>
          <w:rStyle w:val="FootnoteReference"/>
          <w:rFonts w:asciiTheme="majorHAnsi" w:hAnsiTheme="majorHAnsi" w:cstheme="majorHAnsi"/>
          <w:color w:val="808080" w:themeColor="background1" w:themeShade="80"/>
          <w:sz w:val="16"/>
          <w:szCs w:val="16"/>
        </w:rPr>
        <w:footnoteRef/>
      </w:r>
      <w:r w:rsidRPr="001167CB">
        <w:rPr>
          <w:rFonts w:asciiTheme="majorHAnsi" w:hAnsiTheme="majorHAnsi" w:cstheme="majorHAnsi"/>
          <w:color w:val="808080" w:themeColor="background1" w:themeShade="80"/>
          <w:sz w:val="16"/>
          <w:szCs w:val="16"/>
        </w:rPr>
        <w:t xml:space="preserve"> </w:t>
      </w:r>
      <w:r w:rsidRPr="001167CB">
        <w:rPr>
          <w:rFonts w:asciiTheme="majorHAnsi" w:hAnsiTheme="majorHAnsi" w:cstheme="majorHAnsi"/>
          <w:color w:val="808080" w:themeColor="background1" w:themeShade="80"/>
          <w:sz w:val="16"/>
          <w:szCs w:val="16"/>
        </w:rPr>
        <w:tab/>
      </w:r>
      <w:r w:rsidRPr="001167CB">
        <w:rPr>
          <w:rFonts w:asciiTheme="majorHAnsi" w:eastAsia="Times New Roman" w:hAnsiTheme="majorHAnsi" w:cstheme="majorHAnsi"/>
          <w:bCs/>
          <w:color w:val="808080" w:themeColor="background1" w:themeShade="80"/>
          <w:sz w:val="16"/>
          <w:szCs w:val="16"/>
          <w:lang w:eastAsia="es-ES"/>
        </w:rPr>
        <w:t xml:space="preserve">IACHR, </w:t>
      </w:r>
      <w:hyperlink r:id="rId707" w:history="1">
        <w:r w:rsidRPr="001167CB">
          <w:rPr>
            <w:rStyle w:val="Hyperlink"/>
            <w:rFonts w:asciiTheme="majorHAnsi" w:eastAsia="Times New Roman" w:hAnsiTheme="majorHAnsi" w:cstheme="majorHAnsi"/>
            <w:bCs/>
            <w:color w:val="808080" w:themeColor="background1" w:themeShade="80"/>
            <w:sz w:val="16"/>
            <w:szCs w:val="16"/>
            <w:lang w:eastAsia="es-ES"/>
          </w:rPr>
          <w:t>People of African Descent in the Americas</w:t>
        </w:r>
      </w:hyperlink>
      <w:r w:rsidRPr="001167CB">
        <w:rPr>
          <w:rFonts w:asciiTheme="majorHAnsi" w:eastAsia="Times New Roman" w:hAnsiTheme="majorHAnsi" w:cstheme="majorHAnsi"/>
          <w:bCs/>
          <w:color w:val="808080" w:themeColor="background1" w:themeShade="80"/>
          <w:sz w:val="16"/>
          <w:szCs w:val="16"/>
          <w:lang w:eastAsia="es-ES"/>
        </w:rPr>
        <w:t xml:space="preserve"> (2011)</w:t>
      </w:r>
      <w:r w:rsidRPr="001167CB">
        <w:rPr>
          <w:rFonts w:asciiTheme="majorHAnsi" w:hAnsiTheme="majorHAnsi" w:cstheme="majorHAnsi"/>
          <w:color w:val="808080" w:themeColor="background1" w:themeShade="80"/>
          <w:sz w:val="16"/>
          <w:szCs w:val="16"/>
        </w:rPr>
        <w:t xml:space="preserve">, para. 22.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color w:val="4A442A" w:themeColor="background2" w:themeShade="40"/>
        <w:sz w:val="16"/>
        <w:szCs w:val="16"/>
      </w:rPr>
      <w:id w:val="-1545829092"/>
      <w:docPartObj>
        <w:docPartGallery w:val="Page Numbers (Top of Page)"/>
        <w:docPartUnique/>
      </w:docPartObj>
    </w:sdtPr>
    <w:sdtEndPr>
      <w:rPr>
        <w:noProof/>
      </w:rPr>
    </w:sdtEndPr>
    <w:sdtContent>
      <w:p w14:paraId="626C1F37" w14:textId="77777777" w:rsidR="005C2394" w:rsidRPr="00D91D6A" w:rsidRDefault="005C2394" w:rsidP="00D91D6A">
        <w:pPr>
          <w:pStyle w:val="Header"/>
          <w:spacing w:after="420"/>
          <w:rPr>
            <w:rFonts w:asciiTheme="majorHAnsi" w:hAnsiTheme="majorHAnsi"/>
            <w:color w:val="4A442A" w:themeColor="background2" w:themeShade="40"/>
            <w:sz w:val="16"/>
            <w:szCs w:val="16"/>
          </w:rPr>
        </w:pPr>
        <w:r w:rsidRPr="00D91D6A">
          <w:rPr>
            <w:rFonts w:asciiTheme="majorHAnsi" w:hAnsiTheme="majorHAnsi"/>
            <w:color w:val="4A442A" w:themeColor="background2" w:themeShade="40"/>
            <w:sz w:val="16"/>
            <w:szCs w:val="16"/>
          </w:rPr>
          <w:fldChar w:fldCharType="begin"/>
        </w:r>
        <w:r w:rsidRPr="00D91D6A">
          <w:rPr>
            <w:rFonts w:asciiTheme="majorHAnsi" w:hAnsiTheme="majorHAnsi"/>
            <w:color w:val="4A442A" w:themeColor="background2" w:themeShade="40"/>
            <w:sz w:val="16"/>
            <w:szCs w:val="16"/>
          </w:rPr>
          <w:instrText xml:space="preserve"> PAGE   \* MERGEFORMAT </w:instrText>
        </w:r>
        <w:r w:rsidRPr="00D91D6A">
          <w:rPr>
            <w:rFonts w:asciiTheme="majorHAnsi" w:hAnsiTheme="majorHAnsi"/>
            <w:color w:val="4A442A" w:themeColor="background2" w:themeShade="40"/>
            <w:sz w:val="16"/>
            <w:szCs w:val="16"/>
          </w:rPr>
          <w:fldChar w:fldCharType="separate"/>
        </w:r>
        <w:r w:rsidR="0004388D">
          <w:rPr>
            <w:rFonts w:asciiTheme="majorHAnsi" w:hAnsiTheme="majorHAnsi"/>
            <w:noProof/>
            <w:color w:val="4A442A" w:themeColor="background2" w:themeShade="40"/>
            <w:sz w:val="16"/>
            <w:szCs w:val="16"/>
          </w:rPr>
          <w:t>8</w:t>
        </w:r>
        <w:r w:rsidRPr="00D91D6A">
          <w:rPr>
            <w:rFonts w:asciiTheme="majorHAnsi" w:hAnsiTheme="majorHAnsi"/>
            <w:noProof/>
            <w:color w:val="4A442A" w:themeColor="background2" w:themeShade="40"/>
            <w:sz w:val="16"/>
            <w:szCs w:val="16"/>
          </w:rPr>
          <w:fldChar w:fldCharType="end"/>
        </w:r>
        <w:r w:rsidRPr="00D91D6A">
          <w:rPr>
            <w:rFonts w:asciiTheme="majorHAnsi" w:hAnsiTheme="majorHAnsi"/>
            <w:noProof/>
            <w:color w:val="4A442A" w:themeColor="background2" w:themeShade="40"/>
            <w:sz w:val="16"/>
            <w:szCs w:val="16"/>
          </w:rPr>
          <w:t xml:space="preserve"> | </w:t>
        </w:r>
        <w:r>
          <w:rPr>
            <w:rFonts w:asciiTheme="majorHAnsi" w:hAnsiTheme="majorHAnsi"/>
            <w:noProof/>
            <w:color w:val="4A442A" w:themeColor="background2" w:themeShade="40"/>
            <w:sz w:val="16"/>
            <w:szCs w:val="16"/>
          </w:rPr>
          <w:t xml:space="preserve">Draft - </w:t>
        </w:r>
        <w:r w:rsidRPr="00307771">
          <w:rPr>
            <w:rFonts w:asciiTheme="majorHAnsi" w:hAnsiTheme="majorHAnsi"/>
            <w:noProof/>
            <w:color w:val="4A442A" w:themeColor="background2" w:themeShade="40"/>
            <w:sz w:val="16"/>
            <w:szCs w:val="16"/>
          </w:rPr>
          <w:t>African Americans, Police Use of Force, and Human Rights in the United States</w:t>
        </w: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269F1" w14:textId="77777777" w:rsidR="005C2394" w:rsidRPr="00D034F3" w:rsidRDefault="005C2394" w:rsidP="00A9013E">
    <w:pPr>
      <w:pStyle w:val="Header"/>
      <w:spacing w:after="420"/>
      <w:jc w:val="right"/>
      <w:rPr>
        <w:rFonts w:asciiTheme="majorHAnsi" w:hAnsiTheme="majorHAnsi"/>
        <w:color w:val="4A442A" w:themeColor="background2" w:themeShade="40"/>
        <w:sz w:val="16"/>
        <w:szCs w:val="16"/>
      </w:rPr>
    </w:pPr>
    <w:r>
      <w:rPr>
        <w:rFonts w:asciiTheme="majorHAnsi" w:hAnsiTheme="majorHAnsi"/>
        <w:color w:val="4A442A" w:themeColor="background2" w:themeShade="40"/>
        <w:sz w:val="16"/>
        <w:szCs w:val="16"/>
      </w:rPr>
      <w:t xml:space="preserve">Structural Discrimination and </w:t>
    </w:r>
    <w:proofErr w:type="spellStart"/>
    <w:r>
      <w:rPr>
        <w:rFonts w:asciiTheme="majorHAnsi" w:hAnsiTheme="majorHAnsi"/>
        <w:color w:val="4A442A" w:themeColor="background2" w:themeShade="40"/>
        <w:sz w:val="16"/>
        <w:szCs w:val="16"/>
      </w:rPr>
      <w:t>Execssive</w:t>
    </w:r>
    <w:proofErr w:type="spellEnd"/>
    <w:r>
      <w:rPr>
        <w:rFonts w:asciiTheme="majorHAnsi" w:hAnsiTheme="majorHAnsi"/>
        <w:color w:val="4A442A" w:themeColor="background2" w:themeShade="40"/>
        <w:sz w:val="16"/>
        <w:szCs w:val="16"/>
      </w:rPr>
      <w:t xml:space="preserve"> use of Force in the U.S.</w:t>
    </w:r>
    <w:r w:rsidRPr="00D034F3">
      <w:rPr>
        <w:rFonts w:asciiTheme="majorHAnsi" w:hAnsiTheme="majorHAnsi"/>
        <w:color w:val="4A442A" w:themeColor="background2" w:themeShade="40"/>
        <w:sz w:val="16"/>
        <w:szCs w:val="16"/>
      </w:rPr>
      <w:t xml:space="preserve"> | </w:t>
    </w:r>
    <w:sdt>
      <w:sdtPr>
        <w:rPr>
          <w:rFonts w:asciiTheme="majorHAnsi" w:hAnsiTheme="majorHAnsi"/>
          <w:color w:val="4A442A" w:themeColor="background2" w:themeShade="40"/>
          <w:sz w:val="16"/>
          <w:szCs w:val="16"/>
        </w:rPr>
        <w:id w:val="1773669744"/>
        <w:docPartObj>
          <w:docPartGallery w:val="Page Numbers (Top of Page)"/>
          <w:docPartUnique/>
        </w:docPartObj>
      </w:sdtPr>
      <w:sdtEndPr>
        <w:rPr>
          <w:noProof/>
        </w:rPr>
      </w:sdtEndPr>
      <w:sdtContent>
        <w:r w:rsidRPr="00D034F3">
          <w:rPr>
            <w:rFonts w:asciiTheme="majorHAnsi" w:hAnsiTheme="majorHAnsi"/>
            <w:color w:val="4A442A" w:themeColor="background2" w:themeShade="40"/>
            <w:sz w:val="16"/>
            <w:szCs w:val="16"/>
          </w:rPr>
          <w:fldChar w:fldCharType="begin"/>
        </w:r>
        <w:r w:rsidRPr="00D034F3">
          <w:rPr>
            <w:rFonts w:asciiTheme="majorHAnsi" w:hAnsiTheme="majorHAnsi"/>
            <w:color w:val="4A442A" w:themeColor="background2" w:themeShade="40"/>
            <w:sz w:val="16"/>
            <w:szCs w:val="16"/>
          </w:rPr>
          <w:instrText xml:space="preserve"> PAGE   \* MERGEFORMAT </w:instrText>
        </w:r>
        <w:r w:rsidRPr="00D034F3">
          <w:rPr>
            <w:rFonts w:asciiTheme="majorHAnsi" w:hAnsiTheme="majorHAnsi"/>
            <w:color w:val="4A442A" w:themeColor="background2" w:themeShade="40"/>
            <w:sz w:val="16"/>
            <w:szCs w:val="16"/>
          </w:rPr>
          <w:fldChar w:fldCharType="separate"/>
        </w:r>
        <w:r>
          <w:rPr>
            <w:rFonts w:asciiTheme="majorHAnsi" w:hAnsiTheme="majorHAnsi"/>
            <w:noProof/>
            <w:color w:val="4A442A" w:themeColor="background2" w:themeShade="40"/>
            <w:sz w:val="16"/>
            <w:szCs w:val="16"/>
          </w:rPr>
          <w:t>63</w:t>
        </w:r>
        <w:r w:rsidRPr="00D034F3">
          <w:rPr>
            <w:rFonts w:asciiTheme="majorHAnsi" w:hAnsiTheme="majorHAnsi"/>
            <w:noProof/>
            <w:color w:val="4A442A" w:themeColor="background2" w:themeShade="40"/>
            <w:sz w:val="16"/>
            <w:szCs w:val="16"/>
          </w:rPr>
          <w:fldChar w:fldCharType="end"/>
        </w:r>
      </w:sdtContent>
    </w:sdt>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2C7EA" w14:textId="049ACD48" w:rsidR="005C2394" w:rsidRPr="00D034F3" w:rsidRDefault="005C2394" w:rsidP="00D034F3">
    <w:pPr>
      <w:pStyle w:val="Header"/>
      <w:spacing w:after="420"/>
      <w:jc w:val="right"/>
      <w:rPr>
        <w:rFonts w:asciiTheme="majorHAnsi" w:hAnsiTheme="majorHAnsi"/>
        <w:color w:val="4A442A" w:themeColor="background2" w:themeShade="40"/>
        <w:sz w:val="16"/>
        <w:szCs w:val="16"/>
      </w:rPr>
    </w:pPr>
    <w:r>
      <w:rPr>
        <w:rFonts w:asciiTheme="majorHAnsi" w:hAnsiTheme="majorHAnsi"/>
        <w:color w:val="4A442A" w:themeColor="background2" w:themeShade="40"/>
        <w:sz w:val="16"/>
        <w:szCs w:val="16"/>
      </w:rPr>
      <w:t>Chapter 2: Structural Discrimination and Excessive Use of Force in the U.S.</w:t>
    </w:r>
    <w:r w:rsidRPr="00D034F3">
      <w:rPr>
        <w:rFonts w:asciiTheme="majorHAnsi" w:hAnsiTheme="majorHAnsi"/>
        <w:color w:val="4A442A" w:themeColor="background2" w:themeShade="40"/>
        <w:sz w:val="16"/>
        <w:szCs w:val="16"/>
      </w:rPr>
      <w:t xml:space="preserve"> | </w:t>
    </w:r>
    <w:sdt>
      <w:sdtPr>
        <w:rPr>
          <w:rFonts w:asciiTheme="majorHAnsi" w:hAnsiTheme="majorHAnsi"/>
          <w:color w:val="4A442A" w:themeColor="background2" w:themeShade="40"/>
          <w:sz w:val="16"/>
          <w:szCs w:val="16"/>
        </w:rPr>
        <w:id w:val="1305748321"/>
        <w:docPartObj>
          <w:docPartGallery w:val="Page Numbers (Top of Page)"/>
          <w:docPartUnique/>
        </w:docPartObj>
      </w:sdtPr>
      <w:sdtEndPr>
        <w:rPr>
          <w:noProof/>
        </w:rPr>
      </w:sdtEndPr>
      <w:sdtContent>
        <w:r w:rsidRPr="00D034F3">
          <w:rPr>
            <w:rFonts w:asciiTheme="majorHAnsi" w:hAnsiTheme="majorHAnsi"/>
            <w:color w:val="4A442A" w:themeColor="background2" w:themeShade="40"/>
            <w:sz w:val="16"/>
            <w:szCs w:val="16"/>
          </w:rPr>
          <w:fldChar w:fldCharType="begin"/>
        </w:r>
        <w:r w:rsidRPr="00D034F3">
          <w:rPr>
            <w:rFonts w:asciiTheme="majorHAnsi" w:hAnsiTheme="majorHAnsi"/>
            <w:color w:val="4A442A" w:themeColor="background2" w:themeShade="40"/>
            <w:sz w:val="16"/>
            <w:szCs w:val="16"/>
          </w:rPr>
          <w:instrText xml:space="preserve"> PAGE   \* MERGEFORMAT </w:instrText>
        </w:r>
        <w:r w:rsidRPr="00D034F3">
          <w:rPr>
            <w:rFonts w:asciiTheme="majorHAnsi" w:hAnsiTheme="majorHAnsi"/>
            <w:color w:val="4A442A" w:themeColor="background2" w:themeShade="40"/>
            <w:sz w:val="16"/>
            <w:szCs w:val="16"/>
          </w:rPr>
          <w:fldChar w:fldCharType="separate"/>
        </w:r>
        <w:r w:rsidR="0004388D">
          <w:rPr>
            <w:rFonts w:asciiTheme="majorHAnsi" w:hAnsiTheme="majorHAnsi"/>
            <w:noProof/>
            <w:color w:val="4A442A" w:themeColor="background2" w:themeShade="40"/>
            <w:sz w:val="16"/>
            <w:szCs w:val="16"/>
          </w:rPr>
          <w:t>99</w:t>
        </w:r>
        <w:r w:rsidRPr="00D034F3">
          <w:rPr>
            <w:rFonts w:asciiTheme="majorHAnsi" w:hAnsiTheme="majorHAnsi"/>
            <w:noProof/>
            <w:color w:val="4A442A" w:themeColor="background2" w:themeShade="40"/>
            <w:sz w:val="16"/>
            <w:szCs w:val="16"/>
          </w:rPr>
          <w:fldChar w:fldCharType="end"/>
        </w:r>
      </w:sdtContent>
    </w:sdt>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B5817" w14:textId="5A6F22B3" w:rsidR="005C2394" w:rsidRPr="003F5BAC" w:rsidRDefault="005C2394" w:rsidP="003F5BAC">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E3736" w14:textId="3BD27C14" w:rsidR="005C2394" w:rsidRPr="00D034F3" w:rsidRDefault="005C2394" w:rsidP="00A9013E">
    <w:pPr>
      <w:pStyle w:val="Header"/>
      <w:spacing w:after="420"/>
      <w:jc w:val="right"/>
      <w:rPr>
        <w:rFonts w:asciiTheme="majorHAnsi" w:hAnsiTheme="majorHAnsi"/>
        <w:color w:val="4A442A" w:themeColor="background2" w:themeShade="40"/>
        <w:sz w:val="16"/>
        <w:szCs w:val="16"/>
      </w:rPr>
    </w:pPr>
    <w:r>
      <w:rPr>
        <w:rFonts w:asciiTheme="majorHAnsi" w:hAnsiTheme="majorHAnsi"/>
        <w:color w:val="4A442A" w:themeColor="background2" w:themeShade="40"/>
        <w:sz w:val="16"/>
        <w:szCs w:val="16"/>
      </w:rPr>
      <w:t>Chapter 3: Inter-American and International Obligations of t</w:t>
    </w:r>
    <w:r w:rsidRPr="0013717A">
      <w:rPr>
        <w:rFonts w:asciiTheme="majorHAnsi" w:hAnsiTheme="majorHAnsi"/>
        <w:color w:val="4A442A" w:themeColor="background2" w:themeShade="40"/>
        <w:sz w:val="16"/>
        <w:szCs w:val="16"/>
      </w:rPr>
      <w:t xml:space="preserve">he </w:t>
    </w:r>
    <w:proofErr w:type="spellStart"/>
    <w:r>
      <w:rPr>
        <w:rFonts w:asciiTheme="majorHAnsi" w:hAnsiTheme="majorHAnsi"/>
        <w:color w:val="4A442A" w:themeColor="background2" w:themeShade="40"/>
        <w:sz w:val="16"/>
        <w:szCs w:val="16"/>
      </w:rPr>
      <w:t>U.S.r</w:t>
    </w:r>
    <w:r w:rsidRPr="0013717A">
      <w:rPr>
        <w:rFonts w:asciiTheme="majorHAnsi" w:hAnsiTheme="majorHAnsi"/>
        <w:color w:val="4A442A" w:themeColor="background2" w:themeShade="40"/>
        <w:sz w:val="16"/>
        <w:szCs w:val="16"/>
      </w:rPr>
      <w:t>egarding</w:t>
    </w:r>
    <w:proofErr w:type="spellEnd"/>
    <w:r w:rsidRPr="0013717A">
      <w:rPr>
        <w:rFonts w:asciiTheme="majorHAnsi" w:hAnsiTheme="majorHAnsi"/>
        <w:color w:val="4A442A" w:themeColor="background2" w:themeShade="40"/>
        <w:sz w:val="16"/>
        <w:szCs w:val="16"/>
      </w:rPr>
      <w:t xml:space="preserve"> Non-Discrimination, Use </w:t>
    </w:r>
    <w:r>
      <w:rPr>
        <w:rFonts w:asciiTheme="majorHAnsi" w:hAnsiTheme="majorHAnsi"/>
        <w:color w:val="4A442A" w:themeColor="background2" w:themeShade="40"/>
        <w:sz w:val="16"/>
        <w:szCs w:val="16"/>
      </w:rPr>
      <w:t>o</w:t>
    </w:r>
    <w:r w:rsidRPr="0013717A">
      <w:rPr>
        <w:rFonts w:asciiTheme="majorHAnsi" w:hAnsiTheme="majorHAnsi"/>
        <w:color w:val="4A442A" w:themeColor="background2" w:themeShade="40"/>
        <w:sz w:val="16"/>
        <w:szCs w:val="16"/>
      </w:rPr>
      <w:t xml:space="preserve">f Force, </w:t>
    </w:r>
    <w:r>
      <w:rPr>
        <w:rFonts w:asciiTheme="majorHAnsi" w:hAnsiTheme="majorHAnsi"/>
        <w:color w:val="4A442A" w:themeColor="background2" w:themeShade="40"/>
        <w:sz w:val="16"/>
        <w:szCs w:val="16"/>
      </w:rPr>
      <w:t>a</w:t>
    </w:r>
    <w:r w:rsidRPr="0013717A">
      <w:rPr>
        <w:rFonts w:asciiTheme="majorHAnsi" w:hAnsiTheme="majorHAnsi"/>
        <w:color w:val="4A442A" w:themeColor="background2" w:themeShade="40"/>
        <w:sz w:val="16"/>
        <w:szCs w:val="16"/>
      </w:rPr>
      <w:t xml:space="preserve">nd Access </w:t>
    </w:r>
    <w:r>
      <w:rPr>
        <w:rFonts w:asciiTheme="majorHAnsi" w:hAnsiTheme="majorHAnsi"/>
        <w:color w:val="4A442A" w:themeColor="background2" w:themeShade="40"/>
        <w:sz w:val="16"/>
        <w:szCs w:val="16"/>
      </w:rPr>
      <w:t>t</w:t>
    </w:r>
    <w:r w:rsidRPr="0013717A">
      <w:rPr>
        <w:rFonts w:asciiTheme="majorHAnsi" w:hAnsiTheme="majorHAnsi"/>
        <w:color w:val="4A442A" w:themeColor="background2" w:themeShade="40"/>
        <w:sz w:val="16"/>
        <w:szCs w:val="16"/>
      </w:rPr>
      <w:t xml:space="preserve">o Justice </w:t>
    </w:r>
    <w:r w:rsidRPr="00D034F3">
      <w:rPr>
        <w:rFonts w:asciiTheme="majorHAnsi" w:hAnsiTheme="majorHAnsi"/>
        <w:color w:val="4A442A" w:themeColor="background2" w:themeShade="40"/>
        <w:sz w:val="16"/>
        <w:szCs w:val="16"/>
      </w:rPr>
      <w:t xml:space="preserve">| </w:t>
    </w:r>
    <w:sdt>
      <w:sdtPr>
        <w:rPr>
          <w:rFonts w:asciiTheme="majorHAnsi" w:hAnsiTheme="majorHAnsi"/>
          <w:color w:val="4A442A" w:themeColor="background2" w:themeShade="40"/>
          <w:sz w:val="16"/>
          <w:szCs w:val="16"/>
        </w:rPr>
        <w:id w:val="-332061211"/>
        <w:docPartObj>
          <w:docPartGallery w:val="Page Numbers (Top of Page)"/>
          <w:docPartUnique/>
        </w:docPartObj>
      </w:sdtPr>
      <w:sdtEndPr>
        <w:rPr>
          <w:noProof/>
        </w:rPr>
      </w:sdtEndPr>
      <w:sdtContent>
        <w:r w:rsidRPr="00D034F3">
          <w:rPr>
            <w:rFonts w:asciiTheme="majorHAnsi" w:hAnsiTheme="majorHAnsi"/>
            <w:color w:val="4A442A" w:themeColor="background2" w:themeShade="40"/>
            <w:sz w:val="16"/>
            <w:szCs w:val="16"/>
          </w:rPr>
          <w:fldChar w:fldCharType="begin"/>
        </w:r>
        <w:r w:rsidRPr="00D034F3">
          <w:rPr>
            <w:rFonts w:asciiTheme="majorHAnsi" w:hAnsiTheme="majorHAnsi"/>
            <w:color w:val="4A442A" w:themeColor="background2" w:themeShade="40"/>
            <w:sz w:val="16"/>
            <w:szCs w:val="16"/>
          </w:rPr>
          <w:instrText xml:space="preserve"> PAGE   \* MERGEFORMAT </w:instrText>
        </w:r>
        <w:r w:rsidRPr="00D034F3">
          <w:rPr>
            <w:rFonts w:asciiTheme="majorHAnsi" w:hAnsiTheme="majorHAnsi"/>
            <w:color w:val="4A442A" w:themeColor="background2" w:themeShade="40"/>
            <w:sz w:val="16"/>
            <w:szCs w:val="16"/>
          </w:rPr>
          <w:fldChar w:fldCharType="separate"/>
        </w:r>
        <w:r>
          <w:rPr>
            <w:rFonts w:asciiTheme="majorHAnsi" w:hAnsiTheme="majorHAnsi"/>
            <w:noProof/>
            <w:color w:val="4A442A" w:themeColor="background2" w:themeShade="40"/>
            <w:sz w:val="16"/>
            <w:szCs w:val="16"/>
          </w:rPr>
          <w:t>93</w:t>
        </w:r>
        <w:r w:rsidRPr="00D034F3">
          <w:rPr>
            <w:rFonts w:asciiTheme="majorHAnsi" w:hAnsiTheme="majorHAnsi"/>
            <w:noProof/>
            <w:color w:val="4A442A" w:themeColor="background2" w:themeShade="40"/>
            <w:sz w:val="16"/>
            <w:szCs w:val="16"/>
          </w:rPr>
          <w:fldChar w:fldCharType="end"/>
        </w:r>
      </w:sdtContent>
    </w:sdt>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8"/>
      <w:gridCol w:w="630"/>
    </w:tblGrid>
    <w:tr w:rsidR="005C2394" w14:paraId="5134F5E4" w14:textId="77777777" w:rsidTr="006E3350">
      <w:tc>
        <w:tcPr>
          <w:tcW w:w="7218" w:type="dxa"/>
        </w:tcPr>
        <w:p w14:paraId="47820810" w14:textId="206D9A1C" w:rsidR="005C2394" w:rsidRDefault="005C2394" w:rsidP="0004388D">
          <w:pPr>
            <w:pStyle w:val="Header"/>
            <w:spacing w:after="420"/>
            <w:jc w:val="right"/>
            <w:rPr>
              <w:rFonts w:asciiTheme="majorHAnsi" w:hAnsiTheme="majorHAnsi"/>
              <w:color w:val="4A442A" w:themeColor="background2" w:themeShade="40"/>
              <w:sz w:val="16"/>
              <w:szCs w:val="16"/>
            </w:rPr>
          </w:pPr>
          <w:r>
            <w:rPr>
              <w:rFonts w:asciiTheme="majorHAnsi" w:hAnsiTheme="majorHAnsi"/>
              <w:color w:val="4A442A" w:themeColor="background2" w:themeShade="40"/>
              <w:sz w:val="16"/>
              <w:szCs w:val="16"/>
            </w:rPr>
            <w:t xml:space="preserve">Chapter 3: </w:t>
          </w:r>
          <w:r w:rsidRPr="003F5BAC">
            <w:rPr>
              <w:rFonts w:asciiTheme="majorHAnsi" w:hAnsiTheme="majorHAnsi"/>
              <w:color w:val="4A442A" w:themeColor="background2" w:themeShade="40"/>
              <w:sz w:val="16"/>
              <w:szCs w:val="16"/>
            </w:rPr>
            <w:t>I</w:t>
          </w:r>
          <w:r>
            <w:rPr>
              <w:rFonts w:asciiTheme="majorHAnsi" w:hAnsiTheme="majorHAnsi"/>
              <w:color w:val="4A442A" w:themeColor="background2" w:themeShade="40"/>
              <w:sz w:val="16"/>
              <w:szCs w:val="16"/>
            </w:rPr>
            <w:t>nter-American and International Obligations o</w:t>
          </w:r>
          <w:r w:rsidRPr="003F5BAC">
            <w:rPr>
              <w:rFonts w:asciiTheme="majorHAnsi" w:hAnsiTheme="majorHAnsi"/>
              <w:color w:val="4A442A" w:themeColor="background2" w:themeShade="40"/>
              <w:sz w:val="16"/>
              <w:szCs w:val="16"/>
            </w:rPr>
            <w:t xml:space="preserve">f </w:t>
          </w:r>
          <w:r>
            <w:rPr>
              <w:rFonts w:asciiTheme="majorHAnsi" w:hAnsiTheme="majorHAnsi"/>
              <w:color w:val="4A442A" w:themeColor="background2" w:themeShade="40"/>
              <w:sz w:val="16"/>
              <w:szCs w:val="16"/>
            </w:rPr>
            <w:t>t</w:t>
          </w:r>
          <w:r w:rsidR="00226E45">
            <w:rPr>
              <w:rFonts w:asciiTheme="majorHAnsi" w:hAnsiTheme="majorHAnsi"/>
              <w:color w:val="4A442A" w:themeColor="background2" w:themeShade="40"/>
              <w:sz w:val="16"/>
              <w:szCs w:val="16"/>
            </w:rPr>
            <w:t xml:space="preserve">he United States </w:t>
          </w:r>
          <w:r w:rsidR="0004388D">
            <w:rPr>
              <w:rFonts w:asciiTheme="majorHAnsi" w:hAnsiTheme="majorHAnsi"/>
              <w:color w:val="4A442A" w:themeColor="background2" w:themeShade="40"/>
              <w:sz w:val="16"/>
              <w:szCs w:val="16"/>
            </w:rPr>
            <w:br/>
          </w:r>
          <w:r w:rsidR="00226E45">
            <w:rPr>
              <w:rFonts w:asciiTheme="majorHAnsi" w:hAnsiTheme="majorHAnsi"/>
              <w:color w:val="4A442A" w:themeColor="background2" w:themeShade="40"/>
              <w:sz w:val="16"/>
              <w:szCs w:val="16"/>
            </w:rPr>
            <w:t>r</w:t>
          </w:r>
          <w:r w:rsidRPr="003F5BAC">
            <w:rPr>
              <w:rFonts w:asciiTheme="majorHAnsi" w:hAnsiTheme="majorHAnsi"/>
              <w:color w:val="4A442A" w:themeColor="background2" w:themeShade="40"/>
              <w:sz w:val="16"/>
              <w:szCs w:val="16"/>
            </w:rPr>
            <w:t>eg</w:t>
          </w:r>
          <w:r>
            <w:rPr>
              <w:rFonts w:asciiTheme="majorHAnsi" w:hAnsiTheme="majorHAnsi"/>
              <w:color w:val="4A442A" w:themeColor="background2" w:themeShade="40"/>
              <w:sz w:val="16"/>
              <w:szCs w:val="16"/>
            </w:rPr>
            <w:t>arding Non-Discrimination,</w:t>
          </w:r>
          <w:r w:rsidR="0004388D">
            <w:rPr>
              <w:rFonts w:asciiTheme="majorHAnsi" w:hAnsiTheme="majorHAnsi"/>
              <w:color w:val="4A442A" w:themeColor="background2" w:themeShade="40"/>
              <w:sz w:val="16"/>
              <w:szCs w:val="16"/>
            </w:rPr>
            <w:t xml:space="preserve"> </w:t>
          </w:r>
          <w:r>
            <w:rPr>
              <w:rFonts w:asciiTheme="majorHAnsi" w:hAnsiTheme="majorHAnsi"/>
              <w:color w:val="4A442A" w:themeColor="background2" w:themeShade="40"/>
              <w:sz w:val="16"/>
              <w:szCs w:val="16"/>
            </w:rPr>
            <w:t>Use of Force, and Access t</w:t>
          </w:r>
          <w:r w:rsidRPr="003F5BAC">
            <w:rPr>
              <w:rFonts w:asciiTheme="majorHAnsi" w:hAnsiTheme="majorHAnsi"/>
              <w:color w:val="4A442A" w:themeColor="background2" w:themeShade="40"/>
              <w:sz w:val="16"/>
              <w:szCs w:val="16"/>
            </w:rPr>
            <w:t>o Justice</w:t>
          </w:r>
        </w:p>
      </w:tc>
      <w:tc>
        <w:tcPr>
          <w:tcW w:w="630" w:type="dxa"/>
        </w:tcPr>
        <w:p w14:paraId="627C2F71" w14:textId="1B04BBAB" w:rsidR="005C2394" w:rsidRDefault="005C2394" w:rsidP="00D034F3">
          <w:pPr>
            <w:pStyle w:val="Header"/>
            <w:spacing w:after="420"/>
            <w:jc w:val="right"/>
            <w:rPr>
              <w:rFonts w:asciiTheme="majorHAnsi" w:hAnsiTheme="majorHAnsi"/>
              <w:color w:val="4A442A" w:themeColor="background2" w:themeShade="40"/>
              <w:sz w:val="16"/>
              <w:szCs w:val="16"/>
            </w:rPr>
          </w:pPr>
          <w:r w:rsidRPr="00D034F3">
            <w:rPr>
              <w:rFonts w:asciiTheme="majorHAnsi" w:hAnsiTheme="majorHAnsi"/>
              <w:color w:val="4A442A" w:themeColor="background2" w:themeShade="40"/>
              <w:sz w:val="16"/>
              <w:szCs w:val="16"/>
            </w:rPr>
            <w:t xml:space="preserve">| </w:t>
          </w:r>
          <w:sdt>
            <w:sdtPr>
              <w:rPr>
                <w:rFonts w:asciiTheme="majorHAnsi" w:hAnsiTheme="majorHAnsi"/>
                <w:color w:val="4A442A" w:themeColor="background2" w:themeShade="40"/>
                <w:sz w:val="16"/>
                <w:szCs w:val="16"/>
              </w:rPr>
              <w:id w:val="-65724287"/>
              <w:docPartObj>
                <w:docPartGallery w:val="Page Numbers (Top of Page)"/>
                <w:docPartUnique/>
              </w:docPartObj>
            </w:sdtPr>
            <w:sdtEndPr>
              <w:rPr>
                <w:noProof/>
              </w:rPr>
            </w:sdtEndPr>
            <w:sdtContent>
              <w:r w:rsidRPr="00D034F3">
                <w:rPr>
                  <w:rFonts w:asciiTheme="majorHAnsi" w:hAnsiTheme="majorHAnsi"/>
                  <w:color w:val="4A442A" w:themeColor="background2" w:themeShade="40"/>
                  <w:sz w:val="16"/>
                  <w:szCs w:val="16"/>
                </w:rPr>
                <w:fldChar w:fldCharType="begin"/>
              </w:r>
              <w:r w:rsidRPr="00D034F3">
                <w:rPr>
                  <w:rFonts w:asciiTheme="majorHAnsi" w:hAnsiTheme="majorHAnsi"/>
                  <w:color w:val="4A442A" w:themeColor="background2" w:themeShade="40"/>
                  <w:sz w:val="16"/>
                  <w:szCs w:val="16"/>
                </w:rPr>
                <w:instrText xml:space="preserve"> PAGE   \* MERGEFORMAT </w:instrText>
              </w:r>
              <w:r w:rsidRPr="00D034F3">
                <w:rPr>
                  <w:rFonts w:asciiTheme="majorHAnsi" w:hAnsiTheme="majorHAnsi"/>
                  <w:color w:val="4A442A" w:themeColor="background2" w:themeShade="40"/>
                  <w:sz w:val="16"/>
                  <w:szCs w:val="16"/>
                </w:rPr>
                <w:fldChar w:fldCharType="separate"/>
              </w:r>
              <w:r w:rsidR="00A769FF">
                <w:rPr>
                  <w:rFonts w:asciiTheme="majorHAnsi" w:hAnsiTheme="majorHAnsi"/>
                  <w:noProof/>
                  <w:color w:val="4A442A" w:themeColor="background2" w:themeShade="40"/>
                  <w:sz w:val="16"/>
                  <w:szCs w:val="16"/>
                </w:rPr>
                <w:t>151</w:t>
              </w:r>
              <w:r w:rsidRPr="00D034F3">
                <w:rPr>
                  <w:rFonts w:asciiTheme="majorHAnsi" w:hAnsiTheme="majorHAnsi"/>
                  <w:noProof/>
                  <w:color w:val="4A442A" w:themeColor="background2" w:themeShade="40"/>
                  <w:sz w:val="16"/>
                  <w:szCs w:val="16"/>
                </w:rPr>
                <w:fldChar w:fldCharType="end"/>
              </w:r>
            </w:sdtContent>
          </w:sdt>
        </w:p>
      </w:tc>
    </w:tr>
  </w:tbl>
  <w:p w14:paraId="26758A9D" w14:textId="0EDEF90A" w:rsidR="005C2394" w:rsidRPr="006E3350" w:rsidRDefault="005C2394" w:rsidP="006E3350">
    <w:pPr>
      <w:pStyle w:val="Header"/>
      <w:jc w:val="right"/>
      <w:rPr>
        <w:rFonts w:asciiTheme="majorHAnsi" w:hAnsiTheme="majorHAnsi"/>
        <w:color w:val="4A442A" w:themeColor="background2" w:themeShade="40"/>
        <w:sz w:val="4"/>
        <w:szCs w:val="4"/>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A6145" w14:textId="66626211" w:rsidR="005C2394" w:rsidRPr="00E027D0" w:rsidRDefault="005C2394" w:rsidP="00E027D0">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B3019" w14:textId="1C0A1ECE" w:rsidR="005C2394" w:rsidRPr="00BB0D79" w:rsidRDefault="005C2394" w:rsidP="00A9013E">
    <w:pPr>
      <w:pStyle w:val="Header"/>
      <w:spacing w:after="420"/>
      <w:jc w:val="right"/>
      <w:rPr>
        <w:rFonts w:asciiTheme="majorHAnsi" w:hAnsiTheme="majorHAnsi"/>
        <w:color w:val="4A442A" w:themeColor="background2" w:themeShade="40"/>
        <w:sz w:val="16"/>
        <w:szCs w:val="16"/>
      </w:rPr>
    </w:pPr>
    <w:r>
      <w:rPr>
        <w:rFonts w:asciiTheme="majorHAnsi" w:hAnsiTheme="majorHAnsi"/>
        <w:color w:val="4A442A" w:themeColor="background2" w:themeShade="40"/>
        <w:sz w:val="16"/>
        <w:szCs w:val="16"/>
      </w:rPr>
      <w:t xml:space="preserve">Chapter 4: </w:t>
    </w:r>
    <w:r w:rsidRPr="00BB0D79">
      <w:rPr>
        <w:rFonts w:asciiTheme="majorHAnsi" w:hAnsiTheme="majorHAnsi"/>
        <w:color w:val="4A442A" w:themeColor="background2" w:themeShade="40"/>
        <w:sz w:val="16"/>
        <w:szCs w:val="16"/>
      </w:rPr>
      <w:t xml:space="preserve">Conclusion and Recommendations | </w:t>
    </w:r>
    <w:sdt>
      <w:sdtPr>
        <w:rPr>
          <w:rFonts w:asciiTheme="majorHAnsi" w:hAnsiTheme="majorHAnsi"/>
          <w:color w:val="4A442A" w:themeColor="background2" w:themeShade="40"/>
          <w:sz w:val="16"/>
          <w:szCs w:val="16"/>
        </w:rPr>
        <w:id w:val="-1240634568"/>
        <w:docPartObj>
          <w:docPartGallery w:val="Page Numbers (Top of Page)"/>
          <w:docPartUnique/>
        </w:docPartObj>
      </w:sdtPr>
      <w:sdtEndPr>
        <w:rPr>
          <w:noProof/>
        </w:rPr>
      </w:sdtEndPr>
      <w:sdtContent>
        <w:r w:rsidRPr="00BB0D79">
          <w:rPr>
            <w:rFonts w:asciiTheme="majorHAnsi" w:hAnsiTheme="majorHAnsi"/>
            <w:color w:val="4A442A" w:themeColor="background2" w:themeShade="40"/>
            <w:sz w:val="16"/>
            <w:szCs w:val="16"/>
          </w:rPr>
          <w:fldChar w:fldCharType="begin"/>
        </w:r>
        <w:r w:rsidRPr="00BB0D79">
          <w:rPr>
            <w:rFonts w:asciiTheme="majorHAnsi" w:hAnsiTheme="majorHAnsi"/>
            <w:color w:val="4A442A" w:themeColor="background2" w:themeShade="40"/>
            <w:sz w:val="16"/>
            <w:szCs w:val="16"/>
          </w:rPr>
          <w:instrText xml:space="preserve"> PAGE   \* MERGEFORMAT </w:instrText>
        </w:r>
        <w:r w:rsidRPr="00BB0D79">
          <w:rPr>
            <w:rFonts w:asciiTheme="majorHAnsi" w:hAnsiTheme="majorHAnsi"/>
            <w:color w:val="4A442A" w:themeColor="background2" w:themeShade="40"/>
            <w:sz w:val="16"/>
            <w:szCs w:val="16"/>
          </w:rPr>
          <w:fldChar w:fldCharType="separate"/>
        </w:r>
        <w:r>
          <w:rPr>
            <w:rFonts w:asciiTheme="majorHAnsi" w:hAnsiTheme="majorHAnsi"/>
            <w:noProof/>
            <w:color w:val="4A442A" w:themeColor="background2" w:themeShade="40"/>
            <w:sz w:val="16"/>
            <w:szCs w:val="16"/>
          </w:rPr>
          <w:t>143</w:t>
        </w:r>
        <w:r w:rsidRPr="00BB0D79">
          <w:rPr>
            <w:rFonts w:asciiTheme="majorHAnsi" w:hAnsiTheme="majorHAnsi"/>
            <w:noProof/>
            <w:color w:val="4A442A" w:themeColor="background2" w:themeShade="40"/>
            <w:sz w:val="16"/>
            <w:szCs w:val="16"/>
          </w:rPr>
          <w:fldChar w:fldCharType="end"/>
        </w:r>
      </w:sdtContent>
    </w:sdt>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58D50" w14:textId="1D17703B" w:rsidR="005C2394" w:rsidRPr="00D034F3" w:rsidRDefault="005C2394" w:rsidP="00D034F3">
    <w:pPr>
      <w:pStyle w:val="Header"/>
      <w:spacing w:after="420"/>
      <w:jc w:val="right"/>
      <w:rPr>
        <w:rFonts w:asciiTheme="majorHAnsi" w:hAnsiTheme="majorHAnsi"/>
        <w:color w:val="4A442A" w:themeColor="background2" w:themeShade="40"/>
        <w:sz w:val="16"/>
        <w:szCs w:val="16"/>
      </w:rPr>
    </w:pPr>
    <w:r>
      <w:rPr>
        <w:rFonts w:asciiTheme="majorHAnsi" w:hAnsiTheme="majorHAnsi"/>
        <w:color w:val="4A442A" w:themeColor="background2" w:themeShade="40"/>
        <w:sz w:val="16"/>
        <w:szCs w:val="16"/>
      </w:rPr>
      <w:t xml:space="preserve">Chapter 4: Conclusions and Recommendations </w:t>
    </w:r>
    <w:r>
      <w:rPr>
        <w:rFonts w:asciiTheme="majorHAnsi" w:hAnsiTheme="majorHAnsi" w:cstheme="majorHAnsi"/>
        <w:color w:val="4A442A" w:themeColor="background2" w:themeShade="40"/>
        <w:sz w:val="16"/>
        <w:szCs w:val="16"/>
      </w:rPr>
      <w:t>|</w:t>
    </w:r>
    <w:r w:rsidRPr="00D034F3">
      <w:rPr>
        <w:rFonts w:asciiTheme="majorHAnsi" w:hAnsiTheme="majorHAnsi"/>
        <w:color w:val="4A442A" w:themeColor="background2" w:themeShade="40"/>
        <w:sz w:val="16"/>
        <w:szCs w:val="16"/>
      </w:rPr>
      <w:t xml:space="preserve"> </w:t>
    </w:r>
    <w:sdt>
      <w:sdtPr>
        <w:rPr>
          <w:rFonts w:asciiTheme="majorHAnsi" w:hAnsiTheme="majorHAnsi"/>
          <w:color w:val="4A442A" w:themeColor="background2" w:themeShade="40"/>
          <w:sz w:val="16"/>
          <w:szCs w:val="16"/>
        </w:rPr>
        <w:id w:val="-1212340470"/>
        <w:docPartObj>
          <w:docPartGallery w:val="Page Numbers (Top of Page)"/>
          <w:docPartUnique/>
        </w:docPartObj>
      </w:sdtPr>
      <w:sdtEndPr>
        <w:rPr>
          <w:noProof/>
        </w:rPr>
      </w:sdtEndPr>
      <w:sdtContent>
        <w:r w:rsidRPr="00D034F3">
          <w:rPr>
            <w:rFonts w:asciiTheme="majorHAnsi" w:hAnsiTheme="majorHAnsi"/>
            <w:color w:val="4A442A" w:themeColor="background2" w:themeShade="40"/>
            <w:sz w:val="16"/>
            <w:szCs w:val="16"/>
          </w:rPr>
          <w:fldChar w:fldCharType="begin"/>
        </w:r>
        <w:r w:rsidRPr="00D034F3">
          <w:rPr>
            <w:rFonts w:asciiTheme="majorHAnsi" w:hAnsiTheme="majorHAnsi"/>
            <w:color w:val="4A442A" w:themeColor="background2" w:themeShade="40"/>
            <w:sz w:val="16"/>
            <w:szCs w:val="16"/>
          </w:rPr>
          <w:instrText xml:space="preserve"> PAGE   \* MERGEFORMAT </w:instrText>
        </w:r>
        <w:r w:rsidRPr="00D034F3">
          <w:rPr>
            <w:rFonts w:asciiTheme="majorHAnsi" w:hAnsiTheme="majorHAnsi"/>
            <w:color w:val="4A442A" w:themeColor="background2" w:themeShade="40"/>
            <w:sz w:val="16"/>
            <w:szCs w:val="16"/>
          </w:rPr>
          <w:fldChar w:fldCharType="separate"/>
        </w:r>
        <w:r w:rsidR="006800F1">
          <w:rPr>
            <w:rFonts w:asciiTheme="majorHAnsi" w:hAnsiTheme="majorHAnsi"/>
            <w:noProof/>
            <w:color w:val="4A442A" w:themeColor="background2" w:themeShade="40"/>
            <w:sz w:val="16"/>
            <w:szCs w:val="16"/>
          </w:rPr>
          <w:t>163</w:t>
        </w:r>
        <w:r w:rsidRPr="00D034F3">
          <w:rPr>
            <w:rFonts w:asciiTheme="majorHAnsi" w:hAnsiTheme="majorHAnsi"/>
            <w:noProof/>
            <w:color w:val="4A442A" w:themeColor="background2" w:themeShade="40"/>
            <w:sz w:val="16"/>
            <w:szCs w:val="16"/>
          </w:rPr>
          <w:fldChar w:fldCharType="end"/>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1321D" w14:textId="3DE3AB06" w:rsidR="005C2394" w:rsidRPr="00A0401B" w:rsidRDefault="005C2394" w:rsidP="00A040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F5064" w14:textId="77777777" w:rsidR="005C2394" w:rsidRPr="00D034F3" w:rsidRDefault="005C2394" w:rsidP="00A9013E">
    <w:pPr>
      <w:pStyle w:val="Header"/>
      <w:spacing w:after="420"/>
      <w:jc w:val="right"/>
      <w:rPr>
        <w:rFonts w:asciiTheme="majorHAnsi" w:hAnsiTheme="majorHAnsi"/>
        <w:sz w:val="16"/>
        <w:szCs w:val="16"/>
      </w:rPr>
    </w:pPr>
    <w:r w:rsidRPr="00D034F3">
      <w:rPr>
        <w:rFonts w:asciiTheme="majorHAnsi" w:hAnsiTheme="majorHAnsi"/>
        <w:sz w:val="16"/>
        <w:szCs w:val="16"/>
      </w:rPr>
      <w:t xml:space="preserve">Executive Summary | </w:t>
    </w:r>
    <w:sdt>
      <w:sdtPr>
        <w:rPr>
          <w:rFonts w:asciiTheme="majorHAnsi" w:hAnsiTheme="majorHAnsi"/>
          <w:sz w:val="16"/>
          <w:szCs w:val="16"/>
        </w:rPr>
        <w:id w:val="1581335537"/>
        <w:docPartObj>
          <w:docPartGallery w:val="Page Numbers (Top of Page)"/>
          <w:docPartUnique/>
        </w:docPartObj>
      </w:sdtPr>
      <w:sdtEndPr>
        <w:rPr>
          <w:noProof/>
        </w:rPr>
      </w:sdtEndPr>
      <w:sdtContent>
        <w:r w:rsidRPr="00D034F3">
          <w:rPr>
            <w:rFonts w:asciiTheme="majorHAnsi" w:hAnsiTheme="majorHAnsi"/>
            <w:sz w:val="16"/>
            <w:szCs w:val="16"/>
          </w:rPr>
          <w:fldChar w:fldCharType="begin"/>
        </w:r>
        <w:r w:rsidRPr="00D034F3">
          <w:rPr>
            <w:rFonts w:asciiTheme="majorHAnsi" w:hAnsiTheme="majorHAnsi"/>
            <w:sz w:val="16"/>
            <w:szCs w:val="16"/>
          </w:rPr>
          <w:instrText xml:space="preserve"> PAGE   \* MERGEFORMAT </w:instrText>
        </w:r>
        <w:r w:rsidRPr="00D034F3">
          <w:rPr>
            <w:rFonts w:asciiTheme="majorHAnsi" w:hAnsiTheme="majorHAnsi"/>
            <w:sz w:val="16"/>
            <w:szCs w:val="16"/>
          </w:rPr>
          <w:fldChar w:fldCharType="separate"/>
        </w:r>
        <w:r>
          <w:rPr>
            <w:rFonts w:asciiTheme="majorHAnsi" w:hAnsiTheme="majorHAnsi"/>
            <w:noProof/>
            <w:sz w:val="16"/>
            <w:szCs w:val="16"/>
          </w:rPr>
          <w:t>3</w:t>
        </w:r>
        <w:r w:rsidRPr="00D034F3">
          <w:rPr>
            <w:rFonts w:asciiTheme="majorHAnsi" w:hAnsiTheme="majorHAnsi"/>
            <w:noProof/>
            <w:sz w:val="16"/>
            <w:szCs w:val="16"/>
          </w:rPr>
          <w:fldChar w:fldCharType="end"/>
        </w:r>
      </w:sdtContent>
    </w:sdt>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color w:val="4A442A" w:themeColor="background2" w:themeShade="40"/>
        <w:sz w:val="16"/>
        <w:szCs w:val="16"/>
      </w:rPr>
      <w:id w:val="-706494752"/>
      <w:docPartObj>
        <w:docPartGallery w:val="Page Numbers (Top of Page)"/>
        <w:docPartUnique/>
      </w:docPartObj>
    </w:sdtPr>
    <w:sdtEndPr>
      <w:rPr>
        <w:noProof/>
      </w:rPr>
    </w:sdtEndPr>
    <w:sdtContent>
      <w:p w14:paraId="00F8EC22" w14:textId="73D3B4F8" w:rsidR="005C2394" w:rsidRPr="00D91D6A" w:rsidRDefault="005C2394" w:rsidP="00D91D6A">
        <w:pPr>
          <w:pStyle w:val="Header"/>
          <w:spacing w:after="420"/>
          <w:rPr>
            <w:rFonts w:asciiTheme="majorHAnsi" w:hAnsiTheme="majorHAnsi"/>
            <w:color w:val="4A442A" w:themeColor="background2" w:themeShade="40"/>
            <w:sz w:val="16"/>
            <w:szCs w:val="16"/>
          </w:rPr>
        </w:pPr>
        <w:r w:rsidRPr="00D91D6A">
          <w:rPr>
            <w:rFonts w:asciiTheme="majorHAnsi" w:hAnsiTheme="majorHAnsi"/>
            <w:color w:val="4A442A" w:themeColor="background2" w:themeShade="40"/>
            <w:sz w:val="16"/>
            <w:szCs w:val="16"/>
          </w:rPr>
          <w:fldChar w:fldCharType="begin"/>
        </w:r>
        <w:r w:rsidRPr="00D91D6A">
          <w:rPr>
            <w:rFonts w:asciiTheme="majorHAnsi" w:hAnsiTheme="majorHAnsi"/>
            <w:color w:val="4A442A" w:themeColor="background2" w:themeShade="40"/>
            <w:sz w:val="16"/>
            <w:szCs w:val="16"/>
          </w:rPr>
          <w:instrText xml:space="preserve"> PAGE   \* MERGEFORMAT </w:instrText>
        </w:r>
        <w:r w:rsidRPr="00D91D6A">
          <w:rPr>
            <w:rFonts w:asciiTheme="majorHAnsi" w:hAnsiTheme="majorHAnsi"/>
            <w:color w:val="4A442A" w:themeColor="background2" w:themeShade="40"/>
            <w:sz w:val="16"/>
            <w:szCs w:val="16"/>
          </w:rPr>
          <w:fldChar w:fldCharType="separate"/>
        </w:r>
        <w:r w:rsidR="002D27D9">
          <w:rPr>
            <w:rFonts w:asciiTheme="majorHAnsi" w:hAnsiTheme="majorHAnsi"/>
            <w:noProof/>
            <w:color w:val="4A442A" w:themeColor="background2" w:themeShade="40"/>
            <w:sz w:val="16"/>
            <w:szCs w:val="16"/>
          </w:rPr>
          <w:t>24</w:t>
        </w:r>
        <w:r w:rsidRPr="00D91D6A">
          <w:rPr>
            <w:rFonts w:asciiTheme="majorHAnsi" w:hAnsiTheme="majorHAnsi"/>
            <w:noProof/>
            <w:color w:val="4A442A" w:themeColor="background2" w:themeShade="40"/>
            <w:sz w:val="16"/>
            <w:szCs w:val="16"/>
          </w:rPr>
          <w:fldChar w:fldCharType="end"/>
        </w:r>
        <w:r w:rsidRPr="00D91D6A">
          <w:rPr>
            <w:rFonts w:asciiTheme="majorHAnsi" w:hAnsiTheme="majorHAnsi"/>
            <w:noProof/>
            <w:color w:val="4A442A" w:themeColor="background2" w:themeShade="40"/>
            <w:sz w:val="16"/>
            <w:szCs w:val="16"/>
          </w:rPr>
          <w:t xml:space="preserve"> | </w:t>
        </w:r>
        <w:r>
          <w:rPr>
            <w:rFonts w:asciiTheme="majorHAnsi" w:hAnsiTheme="majorHAnsi"/>
            <w:noProof/>
            <w:color w:val="4A442A" w:themeColor="background2" w:themeShade="40"/>
            <w:sz w:val="16"/>
            <w:szCs w:val="16"/>
          </w:rPr>
          <w:t>A</w:t>
        </w:r>
        <w:r w:rsidRPr="00307771">
          <w:rPr>
            <w:rFonts w:asciiTheme="majorHAnsi" w:hAnsiTheme="majorHAnsi"/>
            <w:noProof/>
            <w:color w:val="4A442A" w:themeColor="background2" w:themeShade="40"/>
            <w:sz w:val="16"/>
            <w:szCs w:val="16"/>
          </w:rPr>
          <w:t>frican Americans, Police Use of Force, and Human Rights in the United States</w:t>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20D45" w14:textId="6BBDF21D" w:rsidR="005C2394" w:rsidRPr="00D034F3" w:rsidRDefault="005C2394" w:rsidP="00D034F3">
    <w:pPr>
      <w:pStyle w:val="Header"/>
      <w:spacing w:after="420"/>
      <w:jc w:val="right"/>
      <w:rPr>
        <w:rFonts w:asciiTheme="majorHAnsi" w:hAnsiTheme="majorHAnsi"/>
        <w:color w:val="4A442A" w:themeColor="background2" w:themeShade="40"/>
        <w:sz w:val="16"/>
        <w:szCs w:val="16"/>
      </w:rPr>
    </w:pPr>
    <w:r>
      <w:rPr>
        <w:rFonts w:asciiTheme="majorHAnsi" w:hAnsiTheme="majorHAnsi"/>
        <w:color w:val="4A442A" w:themeColor="background2" w:themeShade="40"/>
        <w:sz w:val="16"/>
        <w:szCs w:val="16"/>
      </w:rPr>
      <w:t>Executive Summa</w:t>
    </w:r>
    <w:r w:rsidRPr="00D034F3">
      <w:rPr>
        <w:rFonts w:asciiTheme="majorHAnsi" w:hAnsiTheme="majorHAnsi"/>
        <w:color w:val="4A442A" w:themeColor="background2" w:themeShade="40"/>
        <w:sz w:val="16"/>
        <w:szCs w:val="16"/>
      </w:rPr>
      <w:t>ry</w:t>
    </w:r>
    <w:r>
      <w:rPr>
        <w:rFonts w:asciiTheme="majorHAnsi" w:hAnsiTheme="majorHAnsi"/>
        <w:color w:val="4A442A" w:themeColor="background2" w:themeShade="40"/>
        <w:sz w:val="16"/>
        <w:szCs w:val="16"/>
      </w:rPr>
      <w:t xml:space="preserve"> </w:t>
    </w:r>
    <w:r w:rsidRPr="00D034F3">
      <w:rPr>
        <w:rFonts w:asciiTheme="majorHAnsi" w:hAnsiTheme="majorHAnsi"/>
        <w:color w:val="4A442A" w:themeColor="background2" w:themeShade="40"/>
        <w:sz w:val="16"/>
        <w:szCs w:val="16"/>
      </w:rPr>
      <w:t xml:space="preserve">| </w:t>
    </w:r>
    <w:sdt>
      <w:sdtPr>
        <w:rPr>
          <w:rFonts w:asciiTheme="majorHAnsi" w:hAnsiTheme="majorHAnsi"/>
          <w:color w:val="4A442A" w:themeColor="background2" w:themeShade="40"/>
          <w:sz w:val="16"/>
          <w:szCs w:val="16"/>
        </w:rPr>
        <w:id w:val="796726473"/>
        <w:docPartObj>
          <w:docPartGallery w:val="Page Numbers (Top of Page)"/>
          <w:docPartUnique/>
        </w:docPartObj>
      </w:sdtPr>
      <w:sdtEndPr>
        <w:rPr>
          <w:noProof/>
        </w:rPr>
      </w:sdtEndPr>
      <w:sdtContent>
        <w:r w:rsidRPr="00D034F3">
          <w:rPr>
            <w:rFonts w:asciiTheme="majorHAnsi" w:hAnsiTheme="majorHAnsi"/>
            <w:color w:val="4A442A" w:themeColor="background2" w:themeShade="40"/>
            <w:sz w:val="16"/>
            <w:szCs w:val="16"/>
          </w:rPr>
          <w:fldChar w:fldCharType="begin"/>
        </w:r>
        <w:r w:rsidRPr="00D034F3">
          <w:rPr>
            <w:rFonts w:asciiTheme="majorHAnsi" w:hAnsiTheme="majorHAnsi"/>
            <w:color w:val="4A442A" w:themeColor="background2" w:themeShade="40"/>
            <w:sz w:val="16"/>
            <w:szCs w:val="16"/>
          </w:rPr>
          <w:instrText xml:space="preserve"> PAGE   \* MERGEFORMAT </w:instrText>
        </w:r>
        <w:r w:rsidRPr="00D034F3">
          <w:rPr>
            <w:rFonts w:asciiTheme="majorHAnsi" w:hAnsiTheme="majorHAnsi"/>
            <w:color w:val="4A442A" w:themeColor="background2" w:themeShade="40"/>
            <w:sz w:val="16"/>
            <w:szCs w:val="16"/>
          </w:rPr>
          <w:fldChar w:fldCharType="separate"/>
        </w:r>
        <w:r w:rsidR="002D27D9">
          <w:rPr>
            <w:rFonts w:asciiTheme="majorHAnsi" w:hAnsiTheme="majorHAnsi"/>
            <w:noProof/>
            <w:color w:val="4A442A" w:themeColor="background2" w:themeShade="40"/>
            <w:sz w:val="16"/>
            <w:szCs w:val="16"/>
          </w:rPr>
          <w:t>15</w:t>
        </w:r>
        <w:r w:rsidRPr="00D034F3">
          <w:rPr>
            <w:rFonts w:asciiTheme="majorHAnsi" w:hAnsiTheme="majorHAnsi"/>
            <w:noProof/>
            <w:color w:val="4A442A" w:themeColor="background2" w:themeShade="40"/>
            <w:sz w:val="16"/>
            <w:szCs w:val="16"/>
          </w:rPr>
          <w:fldChar w:fldCharType="end"/>
        </w:r>
      </w:sdtContent>
    </w:sdt>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A9814" w14:textId="3B18B7EA" w:rsidR="005C2394" w:rsidRPr="00A0401B" w:rsidRDefault="005C2394" w:rsidP="00A0401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3A4FA" w14:textId="77777777" w:rsidR="005C2394" w:rsidRPr="00D034F3" w:rsidRDefault="005C2394" w:rsidP="00A9013E">
    <w:pPr>
      <w:pStyle w:val="Header"/>
      <w:spacing w:after="420"/>
      <w:jc w:val="right"/>
      <w:rPr>
        <w:rFonts w:asciiTheme="majorHAnsi" w:hAnsiTheme="majorHAnsi"/>
        <w:color w:val="4A442A" w:themeColor="background2" w:themeShade="40"/>
        <w:sz w:val="16"/>
        <w:szCs w:val="16"/>
      </w:rPr>
    </w:pPr>
    <w:r w:rsidRPr="00D034F3">
      <w:rPr>
        <w:rFonts w:asciiTheme="majorHAnsi" w:hAnsiTheme="majorHAnsi"/>
        <w:color w:val="4A442A" w:themeColor="background2" w:themeShade="40"/>
        <w:sz w:val="16"/>
        <w:szCs w:val="16"/>
      </w:rPr>
      <w:t xml:space="preserve">Introduction | </w:t>
    </w:r>
    <w:sdt>
      <w:sdtPr>
        <w:rPr>
          <w:rFonts w:asciiTheme="majorHAnsi" w:hAnsiTheme="majorHAnsi"/>
          <w:color w:val="4A442A" w:themeColor="background2" w:themeShade="40"/>
          <w:sz w:val="16"/>
          <w:szCs w:val="16"/>
        </w:rPr>
        <w:id w:val="1758485190"/>
        <w:docPartObj>
          <w:docPartGallery w:val="Page Numbers (Top of Page)"/>
          <w:docPartUnique/>
        </w:docPartObj>
      </w:sdtPr>
      <w:sdtEndPr>
        <w:rPr>
          <w:noProof/>
        </w:rPr>
      </w:sdtEndPr>
      <w:sdtContent>
        <w:r w:rsidRPr="00D034F3">
          <w:rPr>
            <w:rFonts w:asciiTheme="majorHAnsi" w:hAnsiTheme="majorHAnsi"/>
            <w:color w:val="4A442A" w:themeColor="background2" w:themeShade="40"/>
            <w:sz w:val="16"/>
            <w:szCs w:val="16"/>
          </w:rPr>
          <w:fldChar w:fldCharType="begin"/>
        </w:r>
        <w:r w:rsidRPr="00D034F3">
          <w:rPr>
            <w:rFonts w:asciiTheme="majorHAnsi" w:hAnsiTheme="majorHAnsi"/>
            <w:color w:val="4A442A" w:themeColor="background2" w:themeShade="40"/>
            <w:sz w:val="16"/>
            <w:szCs w:val="16"/>
          </w:rPr>
          <w:instrText xml:space="preserve"> PAGE   \* MERGEFORMAT </w:instrText>
        </w:r>
        <w:r w:rsidRPr="00D034F3">
          <w:rPr>
            <w:rFonts w:asciiTheme="majorHAnsi" w:hAnsiTheme="majorHAnsi"/>
            <w:color w:val="4A442A" w:themeColor="background2" w:themeShade="40"/>
            <w:sz w:val="16"/>
            <w:szCs w:val="16"/>
          </w:rPr>
          <w:fldChar w:fldCharType="separate"/>
        </w:r>
        <w:r>
          <w:rPr>
            <w:rFonts w:asciiTheme="majorHAnsi" w:hAnsiTheme="majorHAnsi"/>
            <w:noProof/>
            <w:color w:val="4A442A" w:themeColor="background2" w:themeShade="40"/>
            <w:sz w:val="16"/>
            <w:szCs w:val="16"/>
          </w:rPr>
          <w:t>15</w:t>
        </w:r>
        <w:r w:rsidRPr="00D034F3">
          <w:rPr>
            <w:rFonts w:asciiTheme="majorHAnsi" w:hAnsiTheme="majorHAnsi"/>
            <w:noProof/>
            <w:color w:val="4A442A" w:themeColor="background2" w:themeShade="40"/>
            <w:sz w:val="16"/>
            <w:szCs w:val="16"/>
          </w:rPr>
          <w:fldChar w:fldCharType="end"/>
        </w:r>
      </w:sdtContent>
    </w:sdt>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16CCE" w14:textId="77777777" w:rsidR="005C2394" w:rsidRPr="00D034F3" w:rsidRDefault="005C2394" w:rsidP="00D034F3">
    <w:pPr>
      <w:pStyle w:val="Header"/>
      <w:spacing w:after="420"/>
      <w:jc w:val="right"/>
      <w:rPr>
        <w:rFonts w:asciiTheme="majorHAnsi" w:hAnsiTheme="majorHAnsi"/>
        <w:color w:val="4A442A" w:themeColor="background2" w:themeShade="40"/>
        <w:sz w:val="16"/>
        <w:szCs w:val="16"/>
      </w:rPr>
    </w:pPr>
    <w:r>
      <w:rPr>
        <w:rFonts w:asciiTheme="majorHAnsi" w:hAnsiTheme="majorHAnsi"/>
        <w:color w:val="4A442A" w:themeColor="background2" w:themeShade="40"/>
        <w:sz w:val="16"/>
        <w:szCs w:val="16"/>
      </w:rPr>
      <w:t>Chapter 1: Introduction</w:t>
    </w:r>
    <w:r w:rsidRPr="00D034F3">
      <w:rPr>
        <w:rFonts w:asciiTheme="majorHAnsi" w:hAnsiTheme="majorHAnsi"/>
        <w:color w:val="4A442A" w:themeColor="background2" w:themeShade="40"/>
        <w:sz w:val="16"/>
        <w:szCs w:val="16"/>
      </w:rPr>
      <w:t xml:space="preserve">| </w:t>
    </w:r>
    <w:sdt>
      <w:sdtPr>
        <w:rPr>
          <w:rFonts w:asciiTheme="majorHAnsi" w:hAnsiTheme="majorHAnsi"/>
          <w:color w:val="4A442A" w:themeColor="background2" w:themeShade="40"/>
          <w:sz w:val="16"/>
          <w:szCs w:val="16"/>
        </w:rPr>
        <w:id w:val="2117248866"/>
        <w:docPartObj>
          <w:docPartGallery w:val="Page Numbers (Top of Page)"/>
          <w:docPartUnique/>
        </w:docPartObj>
      </w:sdtPr>
      <w:sdtEndPr>
        <w:rPr>
          <w:noProof/>
        </w:rPr>
      </w:sdtEndPr>
      <w:sdtContent>
        <w:r w:rsidRPr="00D034F3">
          <w:rPr>
            <w:rFonts w:asciiTheme="majorHAnsi" w:hAnsiTheme="majorHAnsi"/>
            <w:color w:val="4A442A" w:themeColor="background2" w:themeShade="40"/>
            <w:sz w:val="16"/>
            <w:szCs w:val="16"/>
          </w:rPr>
          <w:fldChar w:fldCharType="begin"/>
        </w:r>
        <w:r w:rsidRPr="00D034F3">
          <w:rPr>
            <w:rFonts w:asciiTheme="majorHAnsi" w:hAnsiTheme="majorHAnsi"/>
            <w:color w:val="4A442A" w:themeColor="background2" w:themeShade="40"/>
            <w:sz w:val="16"/>
            <w:szCs w:val="16"/>
          </w:rPr>
          <w:instrText xml:space="preserve"> PAGE   \* MERGEFORMAT </w:instrText>
        </w:r>
        <w:r w:rsidRPr="00D034F3">
          <w:rPr>
            <w:rFonts w:asciiTheme="majorHAnsi" w:hAnsiTheme="majorHAnsi"/>
            <w:color w:val="4A442A" w:themeColor="background2" w:themeShade="40"/>
            <w:sz w:val="16"/>
            <w:szCs w:val="16"/>
          </w:rPr>
          <w:fldChar w:fldCharType="separate"/>
        </w:r>
        <w:r w:rsidR="002D27D9">
          <w:rPr>
            <w:rFonts w:asciiTheme="majorHAnsi" w:hAnsiTheme="majorHAnsi"/>
            <w:noProof/>
            <w:color w:val="4A442A" w:themeColor="background2" w:themeShade="40"/>
            <w:sz w:val="16"/>
            <w:szCs w:val="16"/>
          </w:rPr>
          <w:t>23</w:t>
        </w:r>
        <w:r w:rsidRPr="00D034F3">
          <w:rPr>
            <w:rFonts w:asciiTheme="majorHAnsi" w:hAnsiTheme="majorHAnsi"/>
            <w:noProof/>
            <w:color w:val="4A442A" w:themeColor="background2" w:themeShade="40"/>
            <w:sz w:val="16"/>
            <w:szCs w:val="16"/>
          </w:rPr>
          <w:fldChar w:fldCharType="end"/>
        </w:r>
      </w:sdtContent>
    </w:sdt>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B83ED" w14:textId="1B512FFC" w:rsidR="005C2394" w:rsidRPr="005340FA" w:rsidRDefault="005C2394" w:rsidP="005340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D3AED"/>
    <w:multiLevelType w:val="hybridMultilevel"/>
    <w:tmpl w:val="78EC7A70"/>
    <w:lvl w:ilvl="0" w:tplc="B252AA94">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5541288"/>
    <w:multiLevelType w:val="hybridMultilevel"/>
    <w:tmpl w:val="D136B176"/>
    <w:lvl w:ilvl="0" w:tplc="F1B2D7C2">
      <w:start w:val="1"/>
      <w:numFmt w:val="lowerRoman"/>
      <w:lvlText w:val="(%1)"/>
      <w:lvlJc w:val="left"/>
      <w:pPr>
        <w:ind w:left="1050" w:hanging="9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83928EC"/>
    <w:multiLevelType w:val="hybridMultilevel"/>
    <w:tmpl w:val="2D381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A5312"/>
    <w:multiLevelType w:val="hybridMultilevel"/>
    <w:tmpl w:val="40F2002C"/>
    <w:lvl w:ilvl="0" w:tplc="FE8C0A3C">
      <w:start w:val="35"/>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F75695"/>
    <w:multiLevelType w:val="hybridMultilevel"/>
    <w:tmpl w:val="D4F09FFA"/>
    <w:lvl w:ilvl="0" w:tplc="04090001">
      <w:start w:val="1"/>
      <w:numFmt w:val="bullet"/>
      <w:lvlText w:val=""/>
      <w:lvlJc w:val="left"/>
      <w:pPr>
        <w:ind w:left="720" w:hanging="72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0C0DB4"/>
    <w:multiLevelType w:val="hybridMultilevel"/>
    <w:tmpl w:val="B3F2C734"/>
    <w:lvl w:ilvl="0" w:tplc="715AEC92">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672C7A"/>
    <w:multiLevelType w:val="hybridMultilevel"/>
    <w:tmpl w:val="E51CFB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277D84"/>
    <w:multiLevelType w:val="hybridMultilevel"/>
    <w:tmpl w:val="2768482E"/>
    <w:lvl w:ilvl="0" w:tplc="9E70C254">
      <w:start w:val="1"/>
      <w:numFmt w:val="decimal"/>
      <w:lvlText w:val="%1."/>
      <w:lvlJc w:val="left"/>
      <w:pPr>
        <w:ind w:left="720" w:hanging="360"/>
      </w:pPr>
      <w:rPr>
        <w:rFonts w:ascii="Cambria" w:hAnsi="Cambria" w:hint="default"/>
        <w:b w:val="0"/>
        <w:i w:val="0"/>
        <w:color w:val="808080" w:themeColor="background1" w:themeShade="8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746963"/>
    <w:multiLevelType w:val="hybridMultilevel"/>
    <w:tmpl w:val="90FE02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315FF8"/>
    <w:multiLevelType w:val="hybridMultilevel"/>
    <w:tmpl w:val="D822384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000863"/>
    <w:multiLevelType w:val="hybridMultilevel"/>
    <w:tmpl w:val="3A7C1488"/>
    <w:lvl w:ilvl="0" w:tplc="0E4CD72C">
      <w:start w:val="1"/>
      <w:numFmt w:val="decimal"/>
      <w:pStyle w:val="Heading3"/>
      <w:lvlText w:val="%1."/>
      <w:lvlJc w:val="left"/>
      <w:pPr>
        <w:ind w:left="1170" w:hanging="720"/>
      </w:pPr>
      <w:rPr>
        <w:rFonts w:ascii="Cambria" w:hAnsi="Cambria" w:hint="default"/>
        <w:b/>
        <w:i w:val="0"/>
        <w:sz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2A884B80"/>
    <w:multiLevelType w:val="hybridMultilevel"/>
    <w:tmpl w:val="D64A8A6A"/>
    <w:lvl w:ilvl="0" w:tplc="66CE7BDE">
      <w:start w:val="1"/>
      <w:numFmt w:val="lowerLetter"/>
      <w:pStyle w:val="Heading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412A23"/>
    <w:multiLevelType w:val="hybridMultilevel"/>
    <w:tmpl w:val="5254C4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EC54EEC"/>
    <w:multiLevelType w:val="hybridMultilevel"/>
    <w:tmpl w:val="FDFEBF24"/>
    <w:lvl w:ilvl="0" w:tplc="9E0A5A10">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AC259F"/>
    <w:multiLevelType w:val="hybridMultilevel"/>
    <w:tmpl w:val="BBB47FC0"/>
    <w:lvl w:ilvl="0" w:tplc="8D78977A">
      <w:start w:val="1"/>
      <w:numFmt w:val="upperLetter"/>
      <w:pStyle w:val="Heading2"/>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3A6D56"/>
    <w:multiLevelType w:val="hybridMultilevel"/>
    <w:tmpl w:val="EFA2B8B2"/>
    <w:lvl w:ilvl="0" w:tplc="37F4FB76">
      <w:start w:val="1"/>
      <w:numFmt w:val="upperRoman"/>
      <w:lvlText w:val="%1."/>
      <w:lvlJc w:val="left"/>
      <w:pPr>
        <w:ind w:left="1080" w:hanging="72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8A1678"/>
    <w:multiLevelType w:val="hybridMultilevel"/>
    <w:tmpl w:val="EE606916"/>
    <w:lvl w:ilvl="0" w:tplc="EC2A85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8A4D86"/>
    <w:multiLevelType w:val="hybridMultilevel"/>
    <w:tmpl w:val="C30E7C02"/>
    <w:lvl w:ilvl="0" w:tplc="C25E243E">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5DD54DE"/>
    <w:multiLevelType w:val="hybridMultilevel"/>
    <w:tmpl w:val="B8B6BC1C"/>
    <w:lvl w:ilvl="0" w:tplc="A946883E">
      <w:start w:val="1"/>
      <w:numFmt w:val="decimal"/>
      <w:lvlText w:val="%1."/>
      <w:lvlJc w:val="left"/>
      <w:pPr>
        <w:tabs>
          <w:tab w:val="num" w:pos="1500"/>
        </w:tabs>
        <w:ind w:left="1500" w:hanging="765"/>
      </w:pPr>
      <w:rPr>
        <w:rFonts w:ascii="Cambria" w:hAnsi="Cambria" w:cs="Arial" w:hint="default"/>
        <w:b w:val="0"/>
        <w:vanish w:val="0"/>
        <w:color w:val="auto"/>
        <w:sz w:val="20"/>
        <w:szCs w:val="20"/>
      </w:rPr>
    </w:lvl>
    <w:lvl w:ilvl="1" w:tplc="04090019">
      <w:start w:val="1"/>
      <w:numFmt w:val="lowerLetter"/>
      <w:lvlText w:val="%2."/>
      <w:lvlJc w:val="left"/>
      <w:pPr>
        <w:tabs>
          <w:tab w:val="num" w:pos="1815"/>
        </w:tabs>
        <w:ind w:left="1815" w:hanging="360"/>
      </w:pPr>
      <w:rPr>
        <w:rFonts w:cs="Times New Roman"/>
      </w:rPr>
    </w:lvl>
    <w:lvl w:ilvl="2" w:tplc="0409001B">
      <w:start w:val="1"/>
      <w:numFmt w:val="lowerRoman"/>
      <w:lvlText w:val="%3."/>
      <w:lvlJc w:val="right"/>
      <w:pPr>
        <w:tabs>
          <w:tab w:val="num" w:pos="2535"/>
        </w:tabs>
        <w:ind w:left="2535" w:hanging="180"/>
      </w:pPr>
      <w:rPr>
        <w:rFonts w:cs="Times New Roman"/>
      </w:rPr>
    </w:lvl>
    <w:lvl w:ilvl="3" w:tplc="009EEB46">
      <w:start w:val="2"/>
      <w:numFmt w:val="upperLetter"/>
      <w:lvlText w:val="%4."/>
      <w:lvlJc w:val="left"/>
      <w:pPr>
        <w:tabs>
          <w:tab w:val="num" w:pos="3615"/>
        </w:tabs>
        <w:ind w:left="3615" w:hanging="720"/>
      </w:pPr>
      <w:rPr>
        <w:rFonts w:cs="Times New Roman" w:hint="default"/>
        <w:b/>
        <w:vanish w:val="0"/>
      </w:rPr>
    </w:lvl>
    <w:lvl w:ilvl="4" w:tplc="61D48DA0">
      <w:start w:val="4"/>
      <w:numFmt w:val="upperRoman"/>
      <w:lvlText w:val="%5."/>
      <w:lvlJc w:val="left"/>
      <w:pPr>
        <w:tabs>
          <w:tab w:val="num" w:pos="4335"/>
        </w:tabs>
        <w:ind w:left="4335" w:hanging="720"/>
      </w:pPr>
      <w:rPr>
        <w:rFonts w:hint="default"/>
      </w:rPr>
    </w:lvl>
    <w:lvl w:ilvl="5" w:tplc="0409001B" w:tentative="1">
      <w:start w:val="1"/>
      <w:numFmt w:val="lowerRoman"/>
      <w:lvlText w:val="%6."/>
      <w:lvlJc w:val="right"/>
      <w:pPr>
        <w:tabs>
          <w:tab w:val="num" w:pos="4695"/>
        </w:tabs>
        <w:ind w:left="4695" w:hanging="180"/>
      </w:pPr>
      <w:rPr>
        <w:rFonts w:cs="Times New Roman"/>
      </w:rPr>
    </w:lvl>
    <w:lvl w:ilvl="6" w:tplc="0409000F" w:tentative="1">
      <w:start w:val="1"/>
      <w:numFmt w:val="decimal"/>
      <w:lvlText w:val="%7."/>
      <w:lvlJc w:val="left"/>
      <w:pPr>
        <w:tabs>
          <w:tab w:val="num" w:pos="5415"/>
        </w:tabs>
        <w:ind w:left="5415" w:hanging="360"/>
      </w:pPr>
      <w:rPr>
        <w:rFonts w:cs="Times New Roman"/>
      </w:rPr>
    </w:lvl>
    <w:lvl w:ilvl="7" w:tplc="04090019" w:tentative="1">
      <w:start w:val="1"/>
      <w:numFmt w:val="lowerLetter"/>
      <w:lvlText w:val="%8."/>
      <w:lvlJc w:val="left"/>
      <w:pPr>
        <w:tabs>
          <w:tab w:val="num" w:pos="6135"/>
        </w:tabs>
        <w:ind w:left="6135" w:hanging="360"/>
      </w:pPr>
      <w:rPr>
        <w:rFonts w:cs="Times New Roman"/>
      </w:rPr>
    </w:lvl>
    <w:lvl w:ilvl="8" w:tplc="0409001B" w:tentative="1">
      <w:start w:val="1"/>
      <w:numFmt w:val="lowerRoman"/>
      <w:lvlText w:val="%9."/>
      <w:lvlJc w:val="right"/>
      <w:pPr>
        <w:tabs>
          <w:tab w:val="num" w:pos="6855"/>
        </w:tabs>
        <w:ind w:left="6855" w:hanging="180"/>
      </w:pPr>
      <w:rPr>
        <w:rFonts w:cs="Times New Roman"/>
      </w:rPr>
    </w:lvl>
  </w:abstractNum>
  <w:abstractNum w:abstractNumId="19" w15:restartNumberingAfterBreak="0">
    <w:nsid w:val="5C13118E"/>
    <w:multiLevelType w:val="hybridMultilevel"/>
    <w:tmpl w:val="6A082DFE"/>
    <w:lvl w:ilvl="0" w:tplc="B29EED16">
      <w:start w:val="1"/>
      <w:numFmt w:val="decimal"/>
      <w:lvlText w:val="%1."/>
      <w:lvlJc w:val="left"/>
      <w:pPr>
        <w:ind w:left="720" w:hanging="360"/>
      </w:pPr>
      <w:rPr>
        <w:rFonts w:asciiTheme="minorHAnsi" w:hAnsiTheme="minorHAnsi" w:hint="default"/>
        <w:b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887C0E"/>
    <w:multiLevelType w:val="hybridMultilevel"/>
    <w:tmpl w:val="676067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36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4F312FC"/>
    <w:multiLevelType w:val="hybridMultilevel"/>
    <w:tmpl w:val="45125288"/>
    <w:lvl w:ilvl="0" w:tplc="A3824D46">
      <w:start w:val="1"/>
      <w:numFmt w:val="decimal"/>
      <w:lvlText w:val="%1."/>
      <w:lvlJc w:val="left"/>
      <w:pPr>
        <w:ind w:left="360" w:hanging="360"/>
      </w:pPr>
      <w:rPr>
        <w:rFonts w:asciiTheme="minorHAnsi" w:hAnsiTheme="minorHAnsi" w:hint="default"/>
        <w:b w:val="0"/>
        <w:color w:val="808080" w:themeColor="background1" w:themeShade="80"/>
        <w:sz w:val="22"/>
        <w:szCs w:val="20"/>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65BE06BE"/>
    <w:multiLevelType w:val="hybridMultilevel"/>
    <w:tmpl w:val="74AECDAA"/>
    <w:lvl w:ilvl="0" w:tplc="83A85A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A64C29"/>
    <w:multiLevelType w:val="hybridMultilevel"/>
    <w:tmpl w:val="FAE231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896B2D"/>
    <w:multiLevelType w:val="hybridMultilevel"/>
    <w:tmpl w:val="BFF0E8E0"/>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211354"/>
    <w:multiLevelType w:val="hybridMultilevel"/>
    <w:tmpl w:val="17A8FF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6D12C9"/>
    <w:multiLevelType w:val="hybridMultilevel"/>
    <w:tmpl w:val="9F784A60"/>
    <w:lvl w:ilvl="0" w:tplc="9DC04ADE">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3D0066"/>
    <w:multiLevelType w:val="hybridMultilevel"/>
    <w:tmpl w:val="DDB88BE0"/>
    <w:lvl w:ilvl="0" w:tplc="629A09A2">
      <w:start w:val="3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6F1A93"/>
    <w:multiLevelType w:val="hybridMultilevel"/>
    <w:tmpl w:val="45508336"/>
    <w:lvl w:ilvl="0" w:tplc="D2AC9000">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081C3F"/>
    <w:multiLevelType w:val="hybridMultilevel"/>
    <w:tmpl w:val="9E2ED3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1432CC"/>
    <w:multiLevelType w:val="hybridMultilevel"/>
    <w:tmpl w:val="401E1306"/>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B9283C"/>
    <w:multiLevelType w:val="hybridMultilevel"/>
    <w:tmpl w:val="98487A1E"/>
    <w:lvl w:ilvl="0" w:tplc="3E7444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F062A3"/>
    <w:multiLevelType w:val="hybridMultilevel"/>
    <w:tmpl w:val="87788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22"/>
  </w:num>
  <w:num w:numId="3">
    <w:abstractNumId w:val="6"/>
  </w:num>
  <w:num w:numId="4">
    <w:abstractNumId w:val="8"/>
  </w:num>
  <w:num w:numId="5">
    <w:abstractNumId w:val="25"/>
  </w:num>
  <w:num w:numId="6">
    <w:abstractNumId w:val="14"/>
  </w:num>
  <w:num w:numId="7">
    <w:abstractNumId w:val="0"/>
  </w:num>
  <w:num w:numId="8">
    <w:abstractNumId w:val="15"/>
  </w:num>
  <w:num w:numId="9">
    <w:abstractNumId w:val="21"/>
  </w:num>
  <w:num w:numId="10">
    <w:abstractNumId w:val="16"/>
  </w:num>
  <w:num w:numId="11">
    <w:abstractNumId w:val="4"/>
  </w:num>
  <w:num w:numId="12">
    <w:abstractNumId w:val="30"/>
  </w:num>
  <w:num w:numId="13">
    <w:abstractNumId w:val="26"/>
  </w:num>
  <w:num w:numId="14">
    <w:abstractNumId w:val="23"/>
  </w:num>
  <w:num w:numId="15">
    <w:abstractNumId w:val="9"/>
  </w:num>
  <w:num w:numId="16">
    <w:abstractNumId w:val="3"/>
  </w:num>
  <w:num w:numId="17">
    <w:abstractNumId w:val="5"/>
  </w:num>
  <w:num w:numId="18">
    <w:abstractNumId w:val="24"/>
  </w:num>
  <w:num w:numId="19">
    <w:abstractNumId w:val="27"/>
  </w:num>
  <w:num w:numId="20">
    <w:abstractNumId w:val="13"/>
  </w:num>
  <w:num w:numId="21">
    <w:abstractNumId w:val="31"/>
  </w:num>
  <w:num w:numId="22">
    <w:abstractNumId w:val="28"/>
  </w:num>
  <w:num w:numId="23">
    <w:abstractNumId w:val="29"/>
  </w:num>
  <w:num w:numId="24">
    <w:abstractNumId w:val="19"/>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1"/>
  </w:num>
  <w:num w:numId="28">
    <w:abstractNumId w:val="17"/>
  </w:num>
  <w:num w:numId="29">
    <w:abstractNumId w:val="2"/>
  </w:num>
  <w:num w:numId="30">
    <w:abstractNumId w:val="10"/>
  </w:num>
  <w:num w:numId="31">
    <w:abstractNumId w:val="14"/>
    <w:lvlOverride w:ilvl="0">
      <w:startOverride w:val="1"/>
    </w:lvlOverride>
  </w:num>
  <w:num w:numId="32">
    <w:abstractNumId w:val="10"/>
    <w:lvlOverride w:ilvl="0">
      <w:startOverride w:val="1"/>
    </w:lvlOverride>
  </w:num>
  <w:num w:numId="33">
    <w:abstractNumId w:val="11"/>
  </w:num>
  <w:num w:numId="34">
    <w:abstractNumId w:val="11"/>
    <w:lvlOverride w:ilvl="0">
      <w:startOverride w:val="1"/>
    </w:lvlOverride>
  </w:num>
  <w:num w:numId="35">
    <w:abstractNumId w:val="11"/>
    <w:lvlOverride w:ilvl="0">
      <w:startOverride w:val="1"/>
    </w:lvlOverride>
  </w:num>
  <w:num w:numId="36">
    <w:abstractNumId w:val="10"/>
    <w:lvlOverride w:ilvl="0">
      <w:startOverride w:val="1"/>
    </w:lvlOverride>
  </w:num>
  <w:num w:numId="37">
    <w:abstractNumId w:val="11"/>
    <w:lvlOverride w:ilvl="0">
      <w:startOverride w:val="1"/>
    </w:lvlOverride>
  </w:num>
  <w:num w:numId="38">
    <w:abstractNumId w:val="14"/>
    <w:lvlOverride w:ilvl="0">
      <w:startOverride w:val="1"/>
    </w:lvlOverride>
  </w:num>
  <w:num w:numId="39">
    <w:abstractNumId w:val="7"/>
  </w:num>
  <w:num w:numId="40">
    <w:abstractNumId w:val="10"/>
    <w:lvlOverride w:ilvl="0">
      <w:startOverride w:val="1"/>
    </w:lvlOverride>
  </w:num>
  <w:num w:numId="41">
    <w:abstractNumId w:val="10"/>
    <w:lvlOverride w:ilvl="0">
      <w:startOverride w:val="1"/>
    </w:lvlOverride>
  </w:num>
  <w:num w:numId="42">
    <w:abstractNumId w:val="11"/>
    <w:lvlOverride w:ilvl="0">
      <w:startOverride w:val="1"/>
    </w:lvlOverride>
  </w:num>
  <w:num w:numId="43">
    <w:abstractNumId w:val="18"/>
  </w:num>
  <w:num w:numId="44">
    <w:abstractNumId w:val="10"/>
    <w:lvlOverride w:ilvl="0">
      <w:startOverride w:val="1"/>
    </w:lvlOverride>
  </w:num>
  <w:num w:numId="45">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mirrorMargins/>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E62"/>
    <w:rsid w:val="000001A9"/>
    <w:rsid w:val="000004B7"/>
    <w:rsid w:val="00002F47"/>
    <w:rsid w:val="00003995"/>
    <w:rsid w:val="000047EF"/>
    <w:rsid w:val="00004BB6"/>
    <w:rsid w:val="00005F46"/>
    <w:rsid w:val="0000634E"/>
    <w:rsid w:val="00007819"/>
    <w:rsid w:val="00007A36"/>
    <w:rsid w:val="00010AB0"/>
    <w:rsid w:val="0001121A"/>
    <w:rsid w:val="00011594"/>
    <w:rsid w:val="0001179A"/>
    <w:rsid w:val="0001260F"/>
    <w:rsid w:val="00012CB8"/>
    <w:rsid w:val="00013132"/>
    <w:rsid w:val="000143A3"/>
    <w:rsid w:val="00014B8F"/>
    <w:rsid w:val="000156FB"/>
    <w:rsid w:val="00015975"/>
    <w:rsid w:val="00015DB4"/>
    <w:rsid w:val="00015E52"/>
    <w:rsid w:val="00017F61"/>
    <w:rsid w:val="0002072B"/>
    <w:rsid w:val="00021EDB"/>
    <w:rsid w:val="0002252F"/>
    <w:rsid w:val="00022CAF"/>
    <w:rsid w:val="00023574"/>
    <w:rsid w:val="00023C35"/>
    <w:rsid w:val="00024D46"/>
    <w:rsid w:val="00026093"/>
    <w:rsid w:val="00026133"/>
    <w:rsid w:val="0002688B"/>
    <w:rsid w:val="00027602"/>
    <w:rsid w:val="00027A8C"/>
    <w:rsid w:val="00030B80"/>
    <w:rsid w:val="000310BD"/>
    <w:rsid w:val="00032480"/>
    <w:rsid w:val="0003292B"/>
    <w:rsid w:val="00033D09"/>
    <w:rsid w:val="000342EA"/>
    <w:rsid w:val="00035A87"/>
    <w:rsid w:val="00036E1B"/>
    <w:rsid w:val="00036F7D"/>
    <w:rsid w:val="00037774"/>
    <w:rsid w:val="0003795E"/>
    <w:rsid w:val="00037AC7"/>
    <w:rsid w:val="00037E5E"/>
    <w:rsid w:val="00037FDA"/>
    <w:rsid w:val="000402BA"/>
    <w:rsid w:val="00040379"/>
    <w:rsid w:val="000407C7"/>
    <w:rsid w:val="00040950"/>
    <w:rsid w:val="000422CE"/>
    <w:rsid w:val="00042F26"/>
    <w:rsid w:val="00043418"/>
    <w:rsid w:val="0004388D"/>
    <w:rsid w:val="00044406"/>
    <w:rsid w:val="0004447D"/>
    <w:rsid w:val="0004541B"/>
    <w:rsid w:val="000463FD"/>
    <w:rsid w:val="00046463"/>
    <w:rsid w:val="00046663"/>
    <w:rsid w:val="000467F7"/>
    <w:rsid w:val="00046E48"/>
    <w:rsid w:val="00046EB1"/>
    <w:rsid w:val="00051B4E"/>
    <w:rsid w:val="000546BE"/>
    <w:rsid w:val="00054BE2"/>
    <w:rsid w:val="000556A7"/>
    <w:rsid w:val="00055A84"/>
    <w:rsid w:val="000561DB"/>
    <w:rsid w:val="000563DA"/>
    <w:rsid w:val="00056B93"/>
    <w:rsid w:val="00057E93"/>
    <w:rsid w:val="000604D9"/>
    <w:rsid w:val="00061A9D"/>
    <w:rsid w:val="0006240D"/>
    <w:rsid w:val="00062644"/>
    <w:rsid w:val="000637E1"/>
    <w:rsid w:val="0006440A"/>
    <w:rsid w:val="00064585"/>
    <w:rsid w:val="000659C2"/>
    <w:rsid w:val="000663B4"/>
    <w:rsid w:val="000665B5"/>
    <w:rsid w:val="00066ED4"/>
    <w:rsid w:val="000708D2"/>
    <w:rsid w:val="000718E1"/>
    <w:rsid w:val="00071962"/>
    <w:rsid w:val="00071A26"/>
    <w:rsid w:val="000723AE"/>
    <w:rsid w:val="0007328A"/>
    <w:rsid w:val="000734B1"/>
    <w:rsid w:val="00073614"/>
    <w:rsid w:val="00073AE6"/>
    <w:rsid w:val="00074257"/>
    <w:rsid w:val="000742E5"/>
    <w:rsid w:val="00074D33"/>
    <w:rsid w:val="00076270"/>
    <w:rsid w:val="0007658D"/>
    <w:rsid w:val="0007670B"/>
    <w:rsid w:val="00076D3C"/>
    <w:rsid w:val="000776DC"/>
    <w:rsid w:val="00077A6B"/>
    <w:rsid w:val="0008241C"/>
    <w:rsid w:val="000829AD"/>
    <w:rsid w:val="00083981"/>
    <w:rsid w:val="00084ECF"/>
    <w:rsid w:val="00084FD5"/>
    <w:rsid w:val="0008532A"/>
    <w:rsid w:val="00085370"/>
    <w:rsid w:val="000856F5"/>
    <w:rsid w:val="00085A24"/>
    <w:rsid w:val="0008621D"/>
    <w:rsid w:val="00086ABA"/>
    <w:rsid w:val="000873BA"/>
    <w:rsid w:val="000879AC"/>
    <w:rsid w:val="00087AA2"/>
    <w:rsid w:val="0009009B"/>
    <w:rsid w:val="00090501"/>
    <w:rsid w:val="00090A2E"/>
    <w:rsid w:val="00090FAD"/>
    <w:rsid w:val="00091638"/>
    <w:rsid w:val="00092FF4"/>
    <w:rsid w:val="00093DF7"/>
    <w:rsid w:val="00094ECF"/>
    <w:rsid w:val="00095775"/>
    <w:rsid w:val="0009680A"/>
    <w:rsid w:val="00096E79"/>
    <w:rsid w:val="0009737D"/>
    <w:rsid w:val="00097731"/>
    <w:rsid w:val="000A028A"/>
    <w:rsid w:val="000A13D7"/>
    <w:rsid w:val="000A1E39"/>
    <w:rsid w:val="000A2F64"/>
    <w:rsid w:val="000A31C4"/>
    <w:rsid w:val="000A3E69"/>
    <w:rsid w:val="000A40CC"/>
    <w:rsid w:val="000A54F5"/>
    <w:rsid w:val="000A59E5"/>
    <w:rsid w:val="000A736A"/>
    <w:rsid w:val="000A7909"/>
    <w:rsid w:val="000A7B1C"/>
    <w:rsid w:val="000B0823"/>
    <w:rsid w:val="000B1549"/>
    <w:rsid w:val="000B1F66"/>
    <w:rsid w:val="000B3776"/>
    <w:rsid w:val="000B37B5"/>
    <w:rsid w:val="000B3A9E"/>
    <w:rsid w:val="000B416C"/>
    <w:rsid w:val="000B45AC"/>
    <w:rsid w:val="000B4690"/>
    <w:rsid w:val="000B4D78"/>
    <w:rsid w:val="000B51F4"/>
    <w:rsid w:val="000B5B06"/>
    <w:rsid w:val="000B66CF"/>
    <w:rsid w:val="000B6F19"/>
    <w:rsid w:val="000B7579"/>
    <w:rsid w:val="000C0A24"/>
    <w:rsid w:val="000C0BA8"/>
    <w:rsid w:val="000C1170"/>
    <w:rsid w:val="000C23EE"/>
    <w:rsid w:val="000C365A"/>
    <w:rsid w:val="000C369C"/>
    <w:rsid w:val="000C404E"/>
    <w:rsid w:val="000C5E1F"/>
    <w:rsid w:val="000D111D"/>
    <w:rsid w:val="000D175D"/>
    <w:rsid w:val="000D2E6C"/>
    <w:rsid w:val="000D39CC"/>
    <w:rsid w:val="000D4082"/>
    <w:rsid w:val="000D68E1"/>
    <w:rsid w:val="000D6DE0"/>
    <w:rsid w:val="000D706A"/>
    <w:rsid w:val="000D71FC"/>
    <w:rsid w:val="000D7442"/>
    <w:rsid w:val="000D7954"/>
    <w:rsid w:val="000D79B6"/>
    <w:rsid w:val="000D7DD2"/>
    <w:rsid w:val="000E0437"/>
    <w:rsid w:val="000E2658"/>
    <w:rsid w:val="000E2DE5"/>
    <w:rsid w:val="000E3EA3"/>
    <w:rsid w:val="000E441B"/>
    <w:rsid w:val="000E4A08"/>
    <w:rsid w:val="000E60CA"/>
    <w:rsid w:val="000E6B5B"/>
    <w:rsid w:val="000E6E0F"/>
    <w:rsid w:val="000E74CA"/>
    <w:rsid w:val="000E7B9C"/>
    <w:rsid w:val="000E7EDA"/>
    <w:rsid w:val="000F21F2"/>
    <w:rsid w:val="000F27F7"/>
    <w:rsid w:val="000F2A44"/>
    <w:rsid w:val="000F3907"/>
    <w:rsid w:val="000F3AB6"/>
    <w:rsid w:val="000F3CBB"/>
    <w:rsid w:val="000F429A"/>
    <w:rsid w:val="000F471F"/>
    <w:rsid w:val="000F4AB5"/>
    <w:rsid w:val="000F6BA0"/>
    <w:rsid w:val="000F6CA9"/>
    <w:rsid w:val="000F71F5"/>
    <w:rsid w:val="000F77DE"/>
    <w:rsid w:val="00100080"/>
    <w:rsid w:val="00100386"/>
    <w:rsid w:val="00100884"/>
    <w:rsid w:val="00101D7E"/>
    <w:rsid w:val="00101EE9"/>
    <w:rsid w:val="0010248A"/>
    <w:rsid w:val="0010264B"/>
    <w:rsid w:val="001033A0"/>
    <w:rsid w:val="00103D52"/>
    <w:rsid w:val="00104DF9"/>
    <w:rsid w:val="00106931"/>
    <w:rsid w:val="001073A8"/>
    <w:rsid w:val="00107D37"/>
    <w:rsid w:val="00110ED4"/>
    <w:rsid w:val="00111CF2"/>
    <w:rsid w:val="00112835"/>
    <w:rsid w:val="001130EE"/>
    <w:rsid w:val="001134B6"/>
    <w:rsid w:val="0011360B"/>
    <w:rsid w:val="00113F86"/>
    <w:rsid w:val="001147B7"/>
    <w:rsid w:val="00116575"/>
    <w:rsid w:val="001167CB"/>
    <w:rsid w:val="00116BC2"/>
    <w:rsid w:val="001179EB"/>
    <w:rsid w:val="001229B1"/>
    <w:rsid w:val="001238D1"/>
    <w:rsid w:val="001240DC"/>
    <w:rsid w:val="00125C81"/>
    <w:rsid w:val="001265BD"/>
    <w:rsid w:val="00127676"/>
    <w:rsid w:val="00130504"/>
    <w:rsid w:val="00130EF8"/>
    <w:rsid w:val="00131693"/>
    <w:rsid w:val="001320DC"/>
    <w:rsid w:val="001361C7"/>
    <w:rsid w:val="00136445"/>
    <w:rsid w:val="001365E4"/>
    <w:rsid w:val="00136722"/>
    <w:rsid w:val="00136764"/>
    <w:rsid w:val="00136B0D"/>
    <w:rsid w:val="0013717A"/>
    <w:rsid w:val="0013723C"/>
    <w:rsid w:val="001379A9"/>
    <w:rsid w:val="00137F54"/>
    <w:rsid w:val="00137FBC"/>
    <w:rsid w:val="001406F9"/>
    <w:rsid w:val="00140E88"/>
    <w:rsid w:val="00140E95"/>
    <w:rsid w:val="00140FE5"/>
    <w:rsid w:val="00141874"/>
    <w:rsid w:val="00142ACE"/>
    <w:rsid w:val="0014598D"/>
    <w:rsid w:val="00146055"/>
    <w:rsid w:val="001464CB"/>
    <w:rsid w:val="00146902"/>
    <w:rsid w:val="00146C57"/>
    <w:rsid w:val="00146D0B"/>
    <w:rsid w:val="00146D1C"/>
    <w:rsid w:val="0014737A"/>
    <w:rsid w:val="0015181D"/>
    <w:rsid w:val="00151E34"/>
    <w:rsid w:val="001520FD"/>
    <w:rsid w:val="001523EB"/>
    <w:rsid w:val="00152998"/>
    <w:rsid w:val="00152AB1"/>
    <w:rsid w:val="00153089"/>
    <w:rsid w:val="001549D0"/>
    <w:rsid w:val="00156B5E"/>
    <w:rsid w:val="0015750E"/>
    <w:rsid w:val="00157859"/>
    <w:rsid w:val="001600AA"/>
    <w:rsid w:val="0016018E"/>
    <w:rsid w:val="00160213"/>
    <w:rsid w:val="0016030A"/>
    <w:rsid w:val="00160E97"/>
    <w:rsid w:val="00160EC4"/>
    <w:rsid w:val="00161E8B"/>
    <w:rsid w:val="00162BEC"/>
    <w:rsid w:val="00163B41"/>
    <w:rsid w:val="00163D2F"/>
    <w:rsid w:val="00163D35"/>
    <w:rsid w:val="00165419"/>
    <w:rsid w:val="0016547D"/>
    <w:rsid w:val="00165625"/>
    <w:rsid w:val="001658D0"/>
    <w:rsid w:val="00165A7D"/>
    <w:rsid w:val="0016685A"/>
    <w:rsid w:val="00166960"/>
    <w:rsid w:val="00167343"/>
    <w:rsid w:val="00167623"/>
    <w:rsid w:val="00167ADE"/>
    <w:rsid w:val="00170D44"/>
    <w:rsid w:val="00171B13"/>
    <w:rsid w:val="00171E77"/>
    <w:rsid w:val="0017335C"/>
    <w:rsid w:val="0017383F"/>
    <w:rsid w:val="00174776"/>
    <w:rsid w:val="001748AD"/>
    <w:rsid w:val="00174C7C"/>
    <w:rsid w:val="00174CE4"/>
    <w:rsid w:val="0017556C"/>
    <w:rsid w:val="00175959"/>
    <w:rsid w:val="001763F9"/>
    <w:rsid w:val="001767CD"/>
    <w:rsid w:val="00176D16"/>
    <w:rsid w:val="0017727D"/>
    <w:rsid w:val="00180E33"/>
    <w:rsid w:val="001814C0"/>
    <w:rsid w:val="00181F07"/>
    <w:rsid w:val="0018245B"/>
    <w:rsid w:val="00182922"/>
    <w:rsid w:val="00182B53"/>
    <w:rsid w:val="001832F5"/>
    <w:rsid w:val="0018378B"/>
    <w:rsid w:val="001844F3"/>
    <w:rsid w:val="00184A35"/>
    <w:rsid w:val="00185AA3"/>
    <w:rsid w:val="001869CA"/>
    <w:rsid w:val="00187014"/>
    <w:rsid w:val="001871C2"/>
    <w:rsid w:val="0019212B"/>
    <w:rsid w:val="00192862"/>
    <w:rsid w:val="00192BFD"/>
    <w:rsid w:val="00193722"/>
    <w:rsid w:val="00193C15"/>
    <w:rsid w:val="00193FC3"/>
    <w:rsid w:val="00194300"/>
    <w:rsid w:val="001944EB"/>
    <w:rsid w:val="0019471C"/>
    <w:rsid w:val="00194DA6"/>
    <w:rsid w:val="001951ED"/>
    <w:rsid w:val="0019534B"/>
    <w:rsid w:val="00197D57"/>
    <w:rsid w:val="001A0E93"/>
    <w:rsid w:val="001A10D3"/>
    <w:rsid w:val="001A170E"/>
    <w:rsid w:val="001A21C1"/>
    <w:rsid w:val="001A22DB"/>
    <w:rsid w:val="001A3DC9"/>
    <w:rsid w:val="001A4153"/>
    <w:rsid w:val="001A6DB0"/>
    <w:rsid w:val="001A78B1"/>
    <w:rsid w:val="001A7B76"/>
    <w:rsid w:val="001B0875"/>
    <w:rsid w:val="001B1BFC"/>
    <w:rsid w:val="001B2547"/>
    <w:rsid w:val="001B2BE6"/>
    <w:rsid w:val="001B2F3E"/>
    <w:rsid w:val="001B3074"/>
    <w:rsid w:val="001B3BF3"/>
    <w:rsid w:val="001B56A1"/>
    <w:rsid w:val="001B5BAA"/>
    <w:rsid w:val="001B6FFD"/>
    <w:rsid w:val="001B7205"/>
    <w:rsid w:val="001C00F6"/>
    <w:rsid w:val="001C2EE0"/>
    <w:rsid w:val="001C39D2"/>
    <w:rsid w:val="001C39DE"/>
    <w:rsid w:val="001C3F50"/>
    <w:rsid w:val="001C4047"/>
    <w:rsid w:val="001C40B1"/>
    <w:rsid w:val="001C456F"/>
    <w:rsid w:val="001C5AAF"/>
    <w:rsid w:val="001C5D74"/>
    <w:rsid w:val="001C6362"/>
    <w:rsid w:val="001C7E6F"/>
    <w:rsid w:val="001D0018"/>
    <w:rsid w:val="001D1095"/>
    <w:rsid w:val="001D2FB8"/>
    <w:rsid w:val="001D38D4"/>
    <w:rsid w:val="001D41E3"/>
    <w:rsid w:val="001D49BD"/>
    <w:rsid w:val="001D6074"/>
    <w:rsid w:val="001D60B4"/>
    <w:rsid w:val="001D60FA"/>
    <w:rsid w:val="001D636D"/>
    <w:rsid w:val="001D6578"/>
    <w:rsid w:val="001D670E"/>
    <w:rsid w:val="001D71CA"/>
    <w:rsid w:val="001D788F"/>
    <w:rsid w:val="001E0695"/>
    <w:rsid w:val="001E1120"/>
    <w:rsid w:val="001E17A6"/>
    <w:rsid w:val="001E1FD3"/>
    <w:rsid w:val="001E248B"/>
    <w:rsid w:val="001E261B"/>
    <w:rsid w:val="001E271A"/>
    <w:rsid w:val="001E2B50"/>
    <w:rsid w:val="001E312E"/>
    <w:rsid w:val="001E3B68"/>
    <w:rsid w:val="001E3F5A"/>
    <w:rsid w:val="001E4021"/>
    <w:rsid w:val="001E466F"/>
    <w:rsid w:val="001E4747"/>
    <w:rsid w:val="001E5B34"/>
    <w:rsid w:val="001E5B65"/>
    <w:rsid w:val="001E639D"/>
    <w:rsid w:val="001E658D"/>
    <w:rsid w:val="001E6918"/>
    <w:rsid w:val="001E6FC6"/>
    <w:rsid w:val="001F1D81"/>
    <w:rsid w:val="001F2A1A"/>
    <w:rsid w:val="001F2FCD"/>
    <w:rsid w:val="001F3B90"/>
    <w:rsid w:val="001F3F19"/>
    <w:rsid w:val="001F57ED"/>
    <w:rsid w:val="001F60B3"/>
    <w:rsid w:val="001F62DB"/>
    <w:rsid w:val="001F6C66"/>
    <w:rsid w:val="001F753A"/>
    <w:rsid w:val="001F7C39"/>
    <w:rsid w:val="0020017E"/>
    <w:rsid w:val="00200783"/>
    <w:rsid w:val="00202DF1"/>
    <w:rsid w:val="002032D3"/>
    <w:rsid w:val="00203474"/>
    <w:rsid w:val="002038BC"/>
    <w:rsid w:val="0020523B"/>
    <w:rsid w:val="00205CCD"/>
    <w:rsid w:val="0020600C"/>
    <w:rsid w:val="00206055"/>
    <w:rsid w:val="00206D42"/>
    <w:rsid w:val="00207DD5"/>
    <w:rsid w:val="00210DB3"/>
    <w:rsid w:val="002112D3"/>
    <w:rsid w:val="00212435"/>
    <w:rsid w:val="00213012"/>
    <w:rsid w:val="0021308C"/>
    <w:rsid w:val="0021315A"/>
    <w:rsid w:val="0021415D"/>
    <w:rsid w:val="00215655"/>
    <w:rsid w:val="0021620C"/>
    <w:rsid w:val="00216DB4"/>
    <w:rsid w:val="00217857"/>
    <w:rsid w:val="002179A5"/>
    <w:rsid w:val="002204F7"/>
    <w:rsid w:val="00220F07"/>
    <w:rsid w:val="00221947"/>
    <w:rsid w:val="00221C3C"/>
    <w:rsid w:val="00222364"/>
    <w:rsid w:val="002223E4"/>
    <w:rsid w:val="00222926"/>
    <w:rsid w:val="00222D91"/>
    <w:rsid w:val="00224123"/>
    <w:rsid w:val="00224407"/>
    <w:rsid w:val="00224D66"/>
    <w:rsid w:val="00225E72"/>
    <w:rsid w:val="00226182"/>
    <w:rsid w:val="00226284"/>
    <w:rsid w:val="00226B8E"/>
    <w:rsid w:val="00226D1D"/>
    <w:rsid w:val="00226E45"/>
    <w:rsid w:val="00230232"/>
    <w:rsid w:val="00230978"/>
    <w:rsid w:val="002313BF"/>
    <w:rsid w:val="002314E4"/>
    <w:rsid w:val="002324A8"/>
    <w:rsid w:val="00232DEA"/>
    <w:rsid w:val="00233199"/>
    <w:rsid w:val="00234BD8"/>
    <w:rsid w:val="00234C1F"/>
    <w:rsid w:val="00235072"/>
    <w:rsid w:val="002355CD"/>
    <w:rsid w:val="002355DD"/>
    <w:rsid w:val="00235AE9"/>
    <w:rsid w:val="00236371"/>
    <w:rsid w:val="002370FA"/>
    <w:rsid w:val="00237627"/>
    <w:rsid w:val="00240F3F"/>
    <w:rsid w:val="00241741"/>
    <w:rsid w:val="00242949"/>
    <w:rsid w:val="00243298"/>
    <w:rsid w:val="00243BF1"/>
    <w:rsid w:val="00243D08"/>
    <w:rsid w:val="002442C5"/>
    <w:rsid w:val="00246FF3"/>
    <w:rsid w:val="002473CF"/>
    <w:rsid w:val="00247CE4"/>
    <w:rsid w:val="00253C0F"/>
    <w:rsid w:val="0025402C"/>
    <w:rsid w:val="00254620"/>
    <w:rsid w:val="0025468D"/>
    <w:rsid w:val="002549C6"/>
    <w:rsid w:val="00254A03"/>
    <w:rsid w:val="002571D0"/>
    <w:rsid w:val="0025724F"/>
    <w:rsid w:val="00257721"/>
    <w:rsid w:val="00257C18"/>
    <w:rsid w:val="00260121"/>
    <w:rsid w:val="00260825"/>
    <w:rsid w:val="00260D9A"/>
    <w:rsid w:val="0026170E"/>
    <w:rsid w:val="002624CC"/>
    <w:rsid w:val="00263AFF"/>
    <w:rsid w:val="00267077"/>
    <w:rsid w:val="00271DA7"/>
    <w:rsid w:val="00271ED5"/>
    <w:rsid w:val="00272BC4"/>
    <w:rsid w:val="00272C0A"/>
    <w:rsid w:val="00273544"/>
    <w:rsid w:val="00274AF7"/>
    <w:rsid w:val="00275213"/>
    <w:rsid w:val="002752E0"/>
    <w:rsid w:val="00276ADA"/>
    <w:rsid w:val="00277640"/>
    <w:rsid w:val="002776DB"/>
    <w:rsid w:val="0027785E"/>
    <w:rsid w:val="002800F9"/>
    <w:rsid w:val="00280E83"/>
    <w:rsid w:val="00281196"/>
    <w:rsid w:val="00283675"/>
    <w:rsid w:val="00285747"/>
    <w:rsid w:val="00286829"/>
    <w:rsid w:val="002873DC"/>
    <w:rsid w:val="002875A2"/>
    <w:rsid w:val="0028778C"/>
    <w:rsid w:val="002877DA"/>
    <w:rsid w:val="00287FA7"/>
    <w:rsid w:val="00290049"/>
    <w:rsid w:val="002903D8"/>
    <w:rsid w:val="002924FB"/>
    <w:rsid w:val="0029272D"/>
    <w:rsid w:val="00293334"/>
    <w:rsid w:val="00293C1C"/>
    <w:rsid w:val="00293FF7"/>
    <w:rsid w:val="00294257"/>
    <w:rsid w:val="00294396"/>
    <w:rsid w:val="00294551"/>
    <w:rsid w:val="002948B1"/>
    <w:rsid w:val="00294A0A"/>
    <w:rsid w:val="00294B12"/>
    <w:rsid w:val="0029585D"/>
    <w:rsid w:val="002963FF"/>
    <w:rsid w:val="00296A00"/>
    <w:rsid w:val="00296E14"/>
    <w:rsid w:val="002974A1"/>
    <w:rsid w:val="00297AB1"/>
    <w:rsid w:val="00297BBE"/>
    <w:rsid w:val="00297DCD"/>
    <w:rsid w:val="00297E19"/>
    <w:rsid w:val="002A0CD0"/>
    <w:rsid w:val="002A0CD1"/>
    <w:rsid w:val="002A2144"/>
    <w:rsid w:val="002A2FE1"/>
    <w:rsid w:val="002A3E9F"/>
    <w:rsid w:val="002A5284"/>
    <w:rsid w:val="002A5304"/>
    <w:rsid w:val="002A7083"/>
    <w:rsid w:val="002A7226"/>
    <w:rsid w:val="002A7252"/>
    <w:rsid w:val="002B1C7A"/>
    <w:rsid w:val="002B1F38"/>
    <w:rsid w:val="002B2038"/>
    <w:rsid w:val="002B2810"/>
    <w:rsid w:val="002B3E54"/>
    <w:rsid w:val="002B4344"/>
    <w:rsid w:val="002B43B4"/>
    <w:rsid w:val="002B4719"/>
    <w:rsid w:val="002B4E19"/>
    <w:rsid w:val="002B4F70"/>
    <w:rsid w:val="002B574C"/>
    <w:rsid w:val="002B5845"/>
    <w:rsid w:val="002B5DB0"/>
    <w:rsid w:val="002B6830"/>
    <w:rsid w:val="002B6DB2"/>
    <w:rsid w:val="002B6F65"/>
    <w:rsid w:val="002B786B"/>
    <w:rsid w:val="002B78E2"/>
    <w:rsid w:val="002C19B4"/>
    <w:rsid w:val="002C278C"/>
    <w:rsid w:val="002C367C"/>
    <w:rsid w:val="002C4575"/>
    <w:rsid w:val="002C476F"/>
    <w:rsid w:val="002C482C"/>
    <w:rsid w:val="002C4E56"/>
    <w:rsid w:val="002C524C"/>
    <w:rsid w:val="002C528D"/>
    <w:rsid w:val="002C64F8"/>
    <w:rsid w:val="002C70C0"/>
    <w:rsid w:val="002C7165"/>
    <w:rsid w:val="002C7910"/>
    <w:rsid w:val="002D033E"/>
    <w:rsid w:val="002D049C"/>
    <w:rsid w:val="002D0A7A"/>
    <w:rsid w:val="002D0D00"/>
    <w:rsid w:val="002D1513"/>
    <w:rsid w:val="002D2594"/>
    <w:rsid w:val="002D27D9"/>
    <w:rsid w:val="002D3161"/>
    <w:rsid w:val="002D4EC7"/>
    <w:rsid w:val="002D504F"/>
    <w:rsid w:val="002D541F"/>
    <w:rsid w:val="002D6E3D"/>
    <w:rsid w:val="002D76EB"/>
    <w:rsid w:val="002D7BB4"/>
    <w:rsid w:val="002E07A5"/>
    <w:rsid w:val="002E0BA4"/>
    <w:rsid w:val="002E1207"/>
    <w:rsid w:val="002E13A2"/>
    <w:rsid w:val="002E15C0"/>
    <w:rsid w:val="002E2513"/>
    <w:rsid w:val="002E2759"/>
    <w:rsid w:val="002E2C31"/>
    <w:rsid w:val="002E31F5"/>
    <w:rsid w:val="002E3A36"/>
    <w:rsid w:val="002E49DC"/>
    <w:rsid w:val="002E5EBF"/>
    <w:rsid w:val="002E72E0"/>
    <w:rsid w:val="002E7391"/>
    <w:rsid w:val="002E77D8"/>
    <w:rsid w:val="002E7A5A"/>
    <w:rsid w:val="002F06BF"/>
    <w:rsid w:val="002F0905"/>
    <w:rsid w:val="002F0B38"/>
    <w:rsid w:val="002F0DEC"/>
    <w:rsid w:val="002F12FD"/>
    <w:rsid w:val="002F3199"/>
    <w:rsid w:val="002F322D"/>
    <w:rsid w:val="002F3E61"/>
    <w:rsid w:val="002F3F29"/>
    <w:rsid w:val="002F48E5"/>
    <w:rsid w:val="002F4E05"/>
    <w:rsid w:val="002F7F93"/>
    <w:rsid w:val="00301309"/>
    <w:rsid w:val="00301E46"/>
    <w:rsid w:val="00301FDF"/>
    <w:rsid w:val="00302191"/>
    <w:rsid w:val="0030226E"/>
    <w:rsid w:val="00302A96"/>
    <w:rsid w:val="0030356C"/>
    <w:rsid w:val="003046A6"/>
    <w:rsid w:val="0030481E"/>
    <w:rsid w:val="00305383"/>
    <w:rsid w:val="00305744"/>
    <w:rsid w:val="00306984"/>
    <w:rsid w:val="00306A2F"/>
    <w:rsid w:val="00307659"/>
    <w:rsid w:val="00307771"/>
    <w:rsid w:val="003101F5"/>
    <w:rsid w:val="00310634"/>
    <w:rsid w:val="00310B9E"/>
    <w:rsid w:val="00311570"/>
    <w:rsid w:val="00311CD8"/>
    <w:rsid w:val="00311FAD"/>
    <w:rsid w:val="00312855"/>
    <w:rsid w:val="0031560A"/>
    <w:rsid w:val="00315F32"/>
    <w:rsid w:val="0031687E"/>
    <w:rsid w:val="00316E27"/>
    <w:rsid w:val="00317122"/>
    <w:rsid w:val="0031784C"/>
    <w:rsid w:val="00317879"/>
    <w:rsid w:val="0032073B"/>
    <w:rsid w:val="00320DEF"/>
    <w:rsid w:val="003213BE"/>
    <w:rsid w:val="00322648"/>
    <w:rsid w:val="003229AA"/>
    <w:rsid w:val="00323A10"/>
    <w:rsid w:val="003249DA"/>
    <w:rsid w:val="0032508B"/>
    <w:rsid w:val="00326144"/>
    <w:rsid w:val="003265CC"/>
    <w:rsid w:val="00327912"/>
    <w:rsid w:val="00327E11"/>
    <w:rsid w:val="003302FA"/>
    <w:rsid w:val="003309FE"/>
    <w:rsid w:val="00331A80"/>
    <w:rsid w:val="00334D89"/>
    <w:rsid w:val="0033543C"/>
    <w:rsid w:val="003357D2"/>
    <w:rsid w:val="00335CDD"/>
    <w:rsid w:val="00336647"/>
    <w:rsid w:val="0033681E"/>
    <w:rsid w:val="00336B3F"/>
    <w:rsid w:val="00336CB4"/>
    <w:rsid w:val="0033761C"/>
    <w:rsid w:val="00337CBC"/>
    <w:rsid w:val="00340D19"/>
    <w:rsid w:val="00341D93"/>
    <w:rsid w:val="00341F38"/>
    <w:rsid w:val="003422E5"/>
    <w:rsid w:val="003426B9"/>
    <w:rsid w:val="00342DE9"/>
    <w:rsid w:val="00343117"/>
    <w:rsid w:val="00343753"/>
    <w:rsid w:val="00343A08"/>
    <w:rsid w:val="00344360"/>
    <w:rsid w:val="003443D5"/>
    <w:rsid w:val="003444DA"/>
    <w:rsid w:val="003454D9"/>
    <w:rsid w:val="00345C6E"/>
    <w:rsid w:val="00345E27"/>
    <w:rsid w:val="0034713A"/>
    <w:rsid w:val="00347A94"/>
    <w:rsid w:val="0035052A"/>
    <w:rsid w:val="00350BEA"/>
    <w:rsid w:val="00350CBA"/>
    <w:rsid w:val="00350E2A"/>
    <w:rsid w:val="00350E8B"/>
    <w:rsid w:val="003513F6"/>
    <w:rsid w:val="00352158"/>
    <w:rsid w:val="00352483"/>
    <w:rsid w:val="003524EB"/>
    <w:rsid w:val="0035317D"/>
    <w:rsid w:val="00354C2F"/>
    <w:rsid w:val="003553C4"/>
    <w:rsid w:val="0035681F"/>
    <w:rsid w:val="00356B45"/>
    <w:rsid w:val="00357EB7"/>
    <w:rsid w:val="00357F3C"/>
    <w:rsid w:val="00360A8E"/>
    <w:rsid w:val="00360D59"/>
    <w:rsid w:val="00361368"/>
    <w:rsid w:val="00361881"/>
    <w:rsid w:val="003627B1"/>
    <w:rsid w:val="00362BEE"/>
    <w:rsid w:val="003639CE"/>
    <w:rsid w:val="0036528E"/>
    <w:rsid w:val="0036543D"/>
    <w:rsid w:val="00365773"/>
    <w:rsid w:val="003658C9"/>
    <w:rsid w:val="003669D4"/>
    <w:rsid w:val="00366CED"/>
    <w:rsid w:val="0036716C"/>
    <w:rsid w:val="003673DE"/>
    <w:rsid w:val="00370BBF"/>
    <w:rsid w:val="003713DF"/>
    <w:rsid w:val="003720DB"/>
    <w:rsid w:val="003731DE"/>
    <w:rsid w:val="00373C5D"/>
    <w:rsid w:val="0037436B"/>
    <w:rsid w:val="00374BB1"/>
    <w:rsid w:val="00374E59"/>
    <w:rsid w:val="00375426"/>
    <w:rsid w:val="0037593F"/>
    <w:rsid w:val="00375CB4"/>
    <w:rsid w:val="003761DC"/>
    <w:rsid w:val="0037650C"/>
    <w:rsid w:val="0037721D"/>
    <w:rsid w:val="00377BAD"/>
    <w:rsid w:val="00377EA1"/>
    <w:rsid w:val="00381470"/>
    <w:rsid w:val="00382670"/>
    <w:rsid w:val="00383F3C"/>
    <w:rsid w:val="00384574"/>
    <w:rsid w:val="0038546C"/>
    <w:rsid w:val="003854D5"/>
    <w:rsid w:val="00385CAC"/>
    <w:rsid w:val="00385E27"/>
    <w:rsid w:val="00386881"/>
    <w:rsid w:val="00390223"/>
    <w:rsid w:val="00390443"/>
    <w:rsid w:val="003904D6"/>
    <w:rsid w:val="00390794"/>
    <w:rsid w:val="00390BBA"/>
    <w:rsid w:val="00391E69"/>
    <w:rsid w:val="0039272B"/>
    <w:rsid w:val="00392A68"/>
    <w:rsid w:val="00392D4C"/>
    <w:rsid w:val="003934C2"/>
    <w:rsid w:val="00394165"/>
    <w:rsid w:val="00394B2D"/>
    <w:rsid w:val="00395531"/>
    <w:rsid w:val="00395B16"/>
    <w:rsid w:val="003962D0"/>
    <w:rsid w:val="00396D8F"/>
    <w:rsid w:val="0039779A"/>
    <w:rsid w:val="00397CF1"/>
    <w:rsid w:val="00397F08"/>
    <w:rsid w:val="003A0191"/>
    <w:rsid w:val="003A0A8F"/>
    <w:rsid w:val="003A10B7"/>
    <w:rsid w:val="003A1642"/>
    <w:rsid w:val="003A1785"/>
    <w:rsid w:val="003A22ED"/>
    <w:rsid w:val="003A2985"/>
    <w:rsid w:val="003A38C3"/>
    <w:rsid w:val="003A3E3A"/>
    <w:rsid w:val="003A4D27"/>
    <w:rsid w:val="003A5047"/>
    <w:rsid w:val="003A5980"/>
    <w:rsid w:val="003A6467"/>
    <w:rsid w:val="003A6706"/>
    <w:rsid w:val="003A7056"/>
    <w:rsid w:val="003A77B8"/>
    <w:rsid w:val="003A7AE0"/>
    <w:rsid w:val="003B272C"/>
    <w:rsid w:val="003B2BFB"/>
    <w:rsid w:val="003B3CCB"/>
    <w:rsid w:val="003B3FAC"/>
    <w:rsid w:val="003B4D7F"/>
    <w:rsid w:val="003B5181"/>
    <w:rsid w:val="003B5757"/>
    <w:rsid w:val="003B60B9"/>
    <w:rsid w:val="003B61B5"/>
    <w:rsid w:val="003B7CBA"/>
    <w:rsid w:val="003B7D37"/>
    <w:rsid w:val="003C252E"/>
    <w:rsid w:val="003C2583"/>
    <w:rsid w:val="003C2A2B"/>
    <w:rsid w:val="003C456A"/>
    <w:rsid w:val="003C4665"/>
    <w:rsid w:val="003C4AAD"/>
    <w:rsid w:val="003C4FB7"/>
    <w:rsid w:val="003C660B"/>
    <w:rsid w:val="003C6C15"/>
    <w:rsid w:val="003C7BE0"/>
    <w:rsid w:val="003D0A1F"/>
    <w:rsid w:val="003D1094"/>
    <w:rsid w:val="003D150E"/>
    <w:rsid w:val="003D1776"/>
    <w:rsid w:val="003D2919"/>
    <w:rsid w:val="003D2D63"/>
    <w:rsid w:val="003D314C"/>
    <w:rsid w:val="003D3437"/>
    <w:rsid w:val="003D4AC1"/>
    <w:rsid w:val="003D4D19"/>
    <w:rsid w:val="003D5CA9"/>
    <w:rsid w:val="003D6D7A"/>
    <w:rsid w:val="003D7958"/>
    <w:rsid w:val="003E1C3A"/>
    <w:rsid w:val="003E23C8"/>
    <w:rsid w:val="003E35F8"/>
    <w:rsid w:val="003E3E31"/>
    <w:rsid w:val="003E5ACA"/>
    <w:rsid w:val="003E603A"/>
    <w:rsid w:val="003E6677"/>
    <w:rsid w:val="003E68F6"/>
    <w:rsid w:val="003E7797"/>
    <w:rsid w:val="003F0BE1"/>
    <w:rsid w:val="003F24BF"/>
    <w:rsid w:val="003F2A03"/>
    <w:rsid w:val="003F5BAC"/>
    <w:rsid w:val="003F5C06"/>
    <w:rsid w:val="003F5E65"/>
    <w:rsid w:val="003F657E"/>
    <w:rsid w:val="003F664B"/>
    <w:rsid w:val="0040052F"/>
    <w:rsid w:val="004007E0"/>
    <w:rsid w:val="004009EF"/>
    <w:rsid w:val="00400B72"/>
    <w:rsid w:val="004013AD"/>
    <w:rsid w:val="004017B4"/>
    <w:rsid w:val="00401D2A"/>
    <w:rsid w:val="00401DF8"/>
    <w:rsid w:val="00401FF2"/>
    <w:rsid w:val="00402469"/>
    <w:rsid w:val="00402C78"/>
    <w:rsid w:val="00403200"/>
    <w:rsid w:val="00403286"/>
    <w:rsid w:val="004049C5"/>
    <w:rsid w:val="00404A00"/>
    <w:rsid w:val="00404C93"/>
    <w:rsid w:val="00404F68"/>
    <w:rsid w:val="00406A83"/>
    <w:rsid w:val="00410714"/>
    <w:rsid w:val="00410852"/>
    <w:rsid w:val="00411993"/>
    <w:rsid w:val="00412125"/>
    <w:rsid w:val="00412ECE"/>
    <w:rsid w:val="00413C74"/>
    <w:rsid w:val="0041409E"/>
    <w:rsid w:val="00414772"/>
    <w:rsid w:val="004166D0"/>
    <w:rsid w:val="00416B45"/>
    <w:rsid w:val="00420613"/>
    <w:rsid w:val="0042106D"/>
    <w:rsid w:val="00421979"/>
    <w:rsid w:val="00421C01"/>
    <w:rsid w:val="004220B5"/>
    <w:rsid w:val="00422618"/>
    <w:rsid w:val="00422A55"/>
    <w:rsid w:val="004238D7"/>
    <w:rsid w:val="00424268"/>
    <w:rsid w:val="0042488F"/>
    <w:rsid w:val="00424BEC"/>
    <w:rsid w:val="004251A4"/>
    <w:rsid w:val="00426016"/>
    <w:rsid w:val="004261CB"/>
    <w:rsid w:val="00426ED3"/>
    <w:rsid w:val="00427ADD"/>
    <w:rsid w:val="00427F11"/>
    <w:rsid w:val="00430F8C"/>
    <w:rsid w:val="0043130A"/>
    <w:rsid w:val="0043249A"/>
    <w:rsid w:val="00432BC9"/>
    <w:rsid w:val="00432CEC"/>
    <w:rsid w:val="004335ED"/>
    <w:rsid w:val="00434D73"/>
    <w:rsid w:val="00435022"/>
    <w:rsid w:val="0043644A"/>
    <w:rsid w:val="004373A8"/>
    <w:rsid w:val="00437B58"/>
    <w:rsid w:val="00437CFE"/>
    <w:rsid w:val="00440870"/>
    <w:rsid w:val="004415A1"/>
    <w:rsid w:val="004416B1"/>
    <w:rsid w:val="00441B7E"/>
    <w:rsid w:val="0044226C"/>
    <w:rsid w:val="00442729"/>
    <w:rsid w:val="004429AD"/>
    <w:rsid w:val="004437A7"/>
    <w:rsid w:val="00443C15"/>
    <w:rsid w:val="00445121"/>
    <w:rsid w:val="00445DD2"/>
    <w:rsid w:val="004462DB"/>
    <w:rsid w:val="00446937"/>
    <w:rsid w:val="00447297"/>
    <w:rsid w:val="00447CCB"/>
    <w:rsid w:val="0045005A"/>
    <w:rsid w:val="00450E55"/>
    <w:rsid w:val="00451053"/>
    <w:rsid w:val="004512B3"/>
    <w:rsid w:val="00451A5D"/>
    <w:rsid w:val="00452402"/>
    <w:rsid w:val="00452699"/>
    <w:rsid w:val="00452C81"/>
    <w:rsid w:val="00453AA5"/>
    <w:rsid w:val="00454092"/>
    <w:rsid w:val="00455859"/>
    <w:rsid w:val="00455BB4"/>
    <w:rsid w:val="00456458"/>
    <w:rsid w:val="00456BED"/>
    <w:rsid w:val="004570B4"/>
    <w:rsid w:val="00461C58"/>
    <w:rsid w:val="00462884"/>
    <w:rsid w:val="00462D2A"/>
    <w:rsid w:val="0046403F"/>
    <w:rsid w:val="00464236"/>
    <w:rsid w:val="00464244"/>
    <w:rsid w:val="0046453B"/>
    <w:rsid w:val="004645B6"/>
    <w:rsid w:val="00465413"/>
    <w:rsid w:val="0046596C"/>
    <w:rsid w:val="00465C0C"/>
    <w:rsid w:val="00466B11"/>
    <w:rsid w:val="0046735C"/>
    <w:rsid w:val="00467BF9"/>
    <w:rsid w:val="00467C8B"/>
    <w:rsid w:val="00470480"/>
    <w:rsid w:val="004704C3"/>
    <w:rsid w:val="004708CC"/>
    <w:rsid w:val="00471A01"/>
    <w:rsid w:val="00471CEE"/>
    <w:rsid w:val="00473041"/>
    <w:rsid w:val="004731D3"/>
    <w:rsid w:val="004736EA"/>
    <w:rsid w:val="00474F33"/>
    <w:rsid w:val="004755A9"/>
    <w:rsid w:val="004767FA"/>
    <w:rsid w:val="00477D79"/>
    <w:rsid w:val="00482D60"/>
    <w:rsid w:val="004848D1"/>
    <w:rsid w:val="00484AEA"/>
    <w:rsid w:val="00485252"/>
    <w:rsid w:val="00485A1D"/>
    <w:rsid w:val="00486700"/>
    <w:rsid w:val="00487BD5"/>
    <w:rsid w:val="00487E77"/>
    <w:rsid w:val="004905CF"/>
    <w:rsid w:val="00491F90"/>
    <w:rsid w:val="00492034"/>
    <w:rsid w:val="004920EB"/>
    <w:rsid w:val="004927C0"/>
    <w:rsid w:val="00492CE7"/>
    <w:rsid w:val="004936E2"/>
    <w:rsid w:val="00494E8F"/>
    <w:rsid w:val="0049524A"/>
    <w:rsid w:val="00495CA5"/>
    <w:rsid w:val="00495D9F"/>
    <w:rsid w:val="004966A0"/>
    <w:rsid w:val="0049779E"/>
    <w:rsid w:val="00497F0F"/>
    <w:rsid w:val="004A0068"/>
    <w:rsid w:val="004A15D1"/>
    <w:rsid w:val="004A1A75"/>
    <w:rsid w:val="004A3069"/>
    <w:rsid w:val="004A338F"/>
    <w:rsid w:val="004A437B"/>
    <w:rsid w:val="004A4C34"/>
    <w:rsid w:val="004A4D3B"/>
    <w:rsid w:val="004A50B5"/>
    <w:rsid w:val="004A5257"/>
    <w:rsid w:val="004A711D"/>
    <w:rsid w:val="004B083B"/>
    <w:rsid w:val="004B1ECA"/>
    <w:rsid w:val="004B279E"/>
    <w:rsid w:val="004B29A9"/>
    <w:rsid w:val="004B2A02"/>
    <w:rsid w:val="004B2CE1"/>
    <w:rsid w:val="004B4D4C"/>
    <w:rsid w:val="004B5B1E"/>
    <w:rsid w:val="004B6433"/>
    <w:rsid w:val="004B68D3"/>
    <w:rsid w:val="004B6B6E"/>
    <w:rsid w:val="004B6DB4"/>
    <w:rsid w:val="004B749F"/>
    <w:rsid w:val="004B784A"/>
    <w:rsid w:val="004B7B14"/>
    <w:rsid w:val="004B7C27"/>
    <w:rsid w:val="004C0821"/>
    <w:rsid w:val="004C15F5"/>
    <w:rsid w:val="004C189B"/>
    <w:rsid w:val="004C238D"/>
    <w:rsid w:val="004C36A0"/>
    <w:rsid w:val="004C3E1C"/>
    <w:rsid w:val="004C5588"/>
    <w:rsid w:val="004C5E70"/>
    <w:rsid w:val="004C5EDC"/>
    <w:rsid w:val="004C5FDE"/>
    <w:rsid w:val="004C6B5F"/>
    <w:rsid w:val="004C712D"/>
    <w:rsid w:val="004D03E8"/>
    <w:rsid w:val="004D07C5"/>
    <w:rsid w:val="004D0A7C"/>
    <w:rsid w:val="004D0B9D"/>
    <w:rsid w:val="004D23B2"/>
    <w:rsid w:val="004D4812"/>
    <w:rsid w:val="004D4A8B"/>
    <w:rsid w:val="004D5941"/>
    <w:rsid w:val="004D5953"/>
    <w:rsid w:val="004D60E8"/>
    <w:rsid w:val="004D6DE1"/>
    <w:rsid w:val="004E0F01"/>
    <w:rsid w:val="004E1277"/>
    <w:rsid w:val="004E1941"/>
    <w:rsid w:val="004E2C08"/>
    <w:rsid w:val="004E2F85"/>
    <w:rsid w:val="004E2F9D"/>
    <w:rsid w:val="004E31A7"/>
    <w:rsid w:val="004E3A65"/>
    <w:rsid w:val="004E3F29"/>
    <w:rsid w:val="004E4842"/>
    <w:rsid w:val="004E4886"/>
    <w:rsid w:val="004E4B55"/>
    <w:rsid w:val="004E4C19"/>
    <w:rsid w:val="004E5A9B"/>
    <w:rsid w:val="004E6928"/>
    <w:rsid w:val="004F08A7"/>
    <w:rsid w:val="004F108C"/>
    <w:rsid w:val="004F10E2"/>
    <w:rsid w:val="004F13E4"/>
    <w:rsid w:val="004F1A60"/>
    <w:rsid w:val="004F26C8"/>
    <w:rsid w:val="004F26DF"/>
    <w:rsid w:val="004F27C4"/>
    <w:rsid w:val="004F29DB"/>
    <w:rsid w:val="004F2B4A"/>
    <w:rsid w:val="004F2B83"/>
    <w:rsid w:val="004F37E2"/>
    <w:rsid w:val="004F38F8"/>
    <w:rsid w:val="004F3CBE"/>
    <w:rsid w:val="004F3F9C"/>
    <w:rsid w:val="004F4B12"/>
    <w:rsid w:val="004F5B13"/>
    <w:rsid w:val="004F659E"/>
    <w:rsid w:val="004F6DFC"/>
    <w:rsid w:val="004F79A3"/>
    <w:rsid w:val="0050086C"/>
    <w:rsid w:val="005017F8"/>
    <w:rsid w:val="00502230"/>
    <w:rsid w:val="00502585"/>
    <w:rsid w:val="00502F7E"/>
    <w:rsid w:val="00503213"/>
    <w:rsid w:val="00503408"/>
    <w:rsid w:val="00503969"/>
    <w:rsid w:val="00503E22"/>
    <w:rsid w:val="00504711"/>
    <w:rsid w:val="00504B56"/>
    <w:rsid w:val="005053DB"/>
    <w:rsid w:val="0050558F"/>
    <w:rsid w:val="0051004A"/>
    <w:rsid w:val="0051014D"/>
    <w:rsid w:val="0051109C"/>
    <w:rsid w:val="005112CF"/>
    <w:rsid w:val="0051308D"/>
    <w:rsid w:val="00513373"/>
    <w:rsid w:val="00513B72"/>
    <w:rsid w:val="00514853"/>
    <w:rsid w:val="00514AAB"/>
    <w:rsid w:val="005156C7"/>
    <w:rsid w:val="00515AE3"/>
    <w:rsid w:val="00515DF5"/>
    <w:rsid w:val="00516188"/>
    <w:rsid w:val="00516323"/>
    <w:rsid w:val="005164BE"/>
    <w:rsid w:val="00516515"/>
    <w:rsid w:val="00516F61"/>
    <w:rsid w:val="00517753"/>
    <w:rsid w:val="00517D07"/>
    <w:rsid w:val="0052150F"/>
    <w:rsid w:val="00521D15"/>
    <w:rsid w:val="00521FF0"/>
    <w:rsid w:val="00522210"/>
    <w:rsid w:val="00522A21"/>
    <w:rsid w:val="00522A53"/>
    <w:rsid w:val="005246B2"/>
    <w:rsid w:val="0052497B"/>
    <w:rsid w:val="0052509F"/>
    <w:rsid w:val="00526DD9"/>
    <w:rsid w:val="005274F9"/>
    <w:rsid w:val="00527890"/>
    <w:rsid w:val="00527D21"/>
    <w:rsid w:val="00530475"/>
    <w:rsid w:val="00530552"/>
    <w:rsid w:val="00530938"/>
    <w:rsid w:val="00532056"/>
    <w:rsid w:val="00532DEE"/>
    <w:rsid w:val="00533CEA"/>
    <w:rsid w:val="00533E48"/>
    <w:rsid w:val="005340FA"/>
    <w:rsid w:val="005342D1"/>
    <w:rsid w:val="005343F6"/>
    <w:rsid w:val="00534AD6"/>
    <w:rsid w:val="00534BDF"/>
    <w:rsid w:val="00535876"/>
    <w:rsid w:val="00535E22"/>
    <w:rsid w:val="005368A5"/>
    <w:rsid w:val="00537FCD"/>
    <w:rsid w:val="00540251"/>
    <w:rsid w:val="00540D1D"/>
    <w:rsid w:val="00541600"/>
    <w:rsid w:val="00541774"/>
    <w:rsid w:val="00542BB7"/>
    <w:rsid w:val="00543FF0"/>
    <w:rsid w:val="005440CB"/>
    <w:rsid w:val="00544327"/>
    <w:rsid w:val="00544E21"/>
    <w:rsid w:val="005462F7"/>
    <w:rsid w:val="0054675B"/>
    <w:rsid w:val="00546CC0"/>
    <w:rsid w:val="00547304"/>
    <w:rsid w:val="00547570"/>
    <w:rsid w:val="00547C3C"/>
    <w:rsid w:val="0055023E"/>
    <w:rsid w:val="00550CBD"/>
    <w:rsid w:val="00550D06"/>
    <w:rsid w:val="0055170E"/>
    <w:rsid w:val="00551EB5"/>
    <w:rsid w:val="005536A0"/>
    <w:rsid w:val="005538B3"/>
    <w:rsid w:val="00553D2A"/>
    <w:rsid w:val="00553DB1"/>
    <w:rsid w:val="00553DBE"/>
    <w:rsid w:val="00554A51"/>
    <w:rsid w:val="00554D14"/>
    <w:rsid w:val="00554F69"/>
    <w:rsid w:val="0055634E"/>
    <w:rsid w:val="0055649F"/>
    <w:rsid w:val="00556AEA"/>
    <w:rsid w:val="00557A16"/>
    <w:rsid w:val="00557B08"/>
    <w:rsid w:val="0056058E"/>
    <w:rsid w:val="00560EE3"/>
    <w:rsid w:val="005622AA"/>
    <w:rsid w:val="005623F3"/>
    <w:rsid w:val="00563AEA"/>
    <w:rsid w:val="005651D2"/>
    <w:rsid w:val="00567C3D"/>
    <w:rsid w:val="00567CB0"/>
    <w:rsid w:val="00570488"/>
    <w:rsid w:val="00570703"/>
    <w:rsid w:val="00571255"/>
    <w:rsid w:val="005713C0"/>
    <w:rsid w:val="005717BF"/>
    <w:rsid w:val="0057188F"/>
    <w:rsid w:val="005718A7"/>
    <w:rsid w:val="005718C8"/>
    <w:rsid w:val="005720B4"/>
    <w:rsid w:val="00572B90"/>
    <w:rsid w:val="00572BD7"/>
    <w:rsid w:val="005752AF"/>
    <w:rsid w:val="0057544E"/>
    <w:rsid w:val="00575CCC"/>
    <w:rsid w:val="00576657"/>
    <w:rsid w:val="00576957"/>
    <w:rsid w:val="00576A52"/>
    <w:rsid w:val="00577170"/>
    <w:rsid w:val="005771D3"/>
    <w:rsid w:val="00580148"/>
    <w:rsid w:val="00581A5E"/>
    <w:rsid w:val="00582028"/>
    <w:rsid w:val="00582DF4"/>
    <w:rsid w:val="00583617"/>
    <w:rsid w:val="00583AA0"/>
    <w:rsid w:val="005854BD"/>
    <w:rsid w:val="00585C0F"/>
    <w:rsid w:val="00585ED3"/>
    <w:rsid w:val="00586247"/>
    <w:rsid w:val="00586E8A"/>
    <w:rsid w:val="00590453"/>
    <w:rsid w:val="0059086B"/>
    <w:rsid w:val="005908F9"/>
    <w:rsid w:val="00590B58"/>
    <w:rsid w:val="00591102"/>
    <w:rsid w:val="00591E77"/>
    <w:rsid w:val="005922A2"/>
    <w:rsid w:val="0059301A"/>
    <w:rsid w:val="005932EF"/>
    <w:rsid w:val="00593380"/>
    <w:rsid w:val="005939F6"/>
    <w:rsid w:val="00594689"/>
    <w:rsid w:val="00595B7F"/>
    <w:rsid w:val="00595EA7"/>
    <w:rsid w:val="00596DE2"/>
    <w:rsid w:val="00597062"/>
    <w:rsid w:val="00597570"/>
    <w:rsid w:val="0059797A"/>
    <w:rsid w:val="005A142D"/>
    <w:rsid w:val="005A1A75"/>
    <w:rsid w:val="005A1CDA"/>
    <w:rsid w:val="005A2766"/>
    <w:rsid w:val="005A2C23"/>
    <w:rsid w:val="005A3C71"/>
    <w:rsid w:val="005A3D5C"/>
    <w:rsid w:val="005A3DF4"/>
    <w:rsid w:val="005A5268"/>
    <w:rsid w:val="005A5797"/>
    <w:rsid w:val="005A5B8F"/>
    <w:rsid w:val="005A60F1"/>
    <w:rsid w:val="005A6D17"/>
    <w:rsid w:val="005A7A50"/>
    <w:rsid w:val="005B014C"/>
    <w:rsid w:val="005B0768"/>
    <w:rsid w:val="005B0838"/>
    <w:rsid w:val="005B2402"/>
    <w:rsid w:val="005B24A2"/>
    <w:rsid w:val="005B4175"/>
    <w:rsid w:val="005B51D8"/>
    <w:rsid w:val="005B5C81"/>
    <w:rsid w:val="005B7043"/>
    <w:rsid w:val="005B7CE9"/>
    <w:rsid w:val="005B7F9E"/>
    <w:rsid w:val="005C0568"/>
    <w:rsid w:val="005C0724"/>
    <w:rsid w:val="005C08BC"/>
    <w:rsid w:val="005C0B6C"/>
    <w:rsid w:val="005C0B98"/>
    <w:rsid w:val="005C1223"/>
    <w:rsid w:val="005C1553"/>
    <w:rsid w:val="005C2394"/>
    <w:rsid w:val="005C39DF"/>
    <w:rsid w:val="005C3AC1"/>
    <w:rsid w:val="005C556A"/>
    <w:rsid w:val="005C5680"/>
    <w:rsid w:val="005C6676"/>
    <w:rsid w:val="005C71D8"/>
    <w:rsid w:val="005D041C"/>
    <w:rsid w:val="005D0900"/>
    <w:rsid w:val="005D11BE"/>
    <w:rsid w:val="005D11E8"/>
    <w:rsid w:val="005D1376"/>
    <w:rsid w:val="005D2145"/>
    <w:rsid w:val="005D279A"/>
    <w:rsid w:val="005D2BCD"/>
    <w:rsid w:val="005D391F"/>
    <w:rsid w:val="005D3EB6"/>
    <w:rsid w:val="005D4243"/>
    <w:rsid w:val="005D4641"/>
    <w:rsid w:val="005D4E6A"/>
    <w:rsid w:val="005D6B4E"/>
    <w:rsid w:val="005E04AA"/>
    <w:rsid w:val="005E0CEB"/>
    <w:rsid w:val="005E1399"/>
    <w:rsid w:val="005E1CF5"/>
    <w:rsid w:val="005E2FA1"/>
    <w:rsid w:val="005E484F"/>
    <w:rsid w:val="005E4885"/>
    <w:rsid w:val="005E4BB6"/>
    <w:rsid w:val="005E56FE"/>
    <w:rsid w:val="005E5723"/>
    <w:rsid w:val="005E5CCC"/>
    <w:rsid w:val="005E66E0"/>
    <w:rsid w:val="005E6ED1"/>
    <w:rsid w:val="005E7134"/>
    <w:rsid w:val="005F06F1"/>
    <w:rsid w:val="005F0FEA"/>
    <w:rsid w:val="005F16CE"/>
    <w:rsid w:val="005F1895"/>
    <w:rsid w:val="005F18B7"/>
    <w:rsid w:val="005F1901"/>
    <w:rsid w:val="005F1B4D"/>
    <w:rsid w:val="005F220B"/>
    <w:rsid w:val="005F224A"/>
    <w:rsid w:val="005F2AE3"/>
    <w:rsid w:val="005F2B17"/>
    <w:rsid w:val="005F2BC8"/>
    <w:rsid w:val="005F3152"/>
    <w:rsid w:val="005F3A77"/>
    <w:rsid w:val="005F402B"/>
    <w:rsid w:val="005F4599"/>
    <w:rsid w:val="005F482B"/>
    <w:rsid w:val="005F5FDC"/>
    <w:rsid w:val="005F60C6"/>
    <w:rsid w:val="006009DE"/>
    <w:rsid w:val="00600C43"/>
    <w:rsid w:val="006029AC"/>
    <w:rsid w:val="00602D10"/>
    <w:rsid w:val="00603028"/>
    <w:rsid w:val="006030BC"/>
    <w:rsid w:val="00606E7B"/>
    <w:rsid w:val="00610EA8"/>
    <w:rsid w:val="0061136A"/>
    <w:rsid w:val="00611484"/>
    <w:rsid w:val="0061168A"/>
    <w:rsid w:val="00611B4F"/>
    <w:rsid w:val="00612303"/>
    <w:rsid w:val="006138D4"/>
    <w:rsid w:val="00614D10"/>
    <w:rsid w:val="00615488"/>
    <w:rsid w:val="0061711E"/>
    <w:rsid w:val="00620290"/>
    <w:rsid w:val="00620372"/>
    <w:rsid w:val="00620D25"/>
    <w:rsid w:val="00620F90"/>
    <w:rsid w:val="0062177C"/>
    <w:rsid w:val="00621933"/>
    <w:rsid w:val="00622244"/>
    <w:rsid w:val="00622F56"/>
    <w:rsid w:val="00624409"/>
    <w:rsid w:val="0062483A"/>
    <w:rsid w:val="00624D9E"/>
    <w:rsid w:val="0062529F"/>
    <w:rsid w:val="006254E8"/>
    <w:rsid w:val="00625A23"/>
    <w:rsid w:val="00625D97"/>
    <w:rsid w:val="0063054C"/>
    <w:rsid w:val="00631976"/>
    <w:rsid w:val="006336EC"/>
    <w:rsid w:val="00635907"/>
    <w:rsid w:val="00635920"/>
    <w:rsid w:val="00636135"/>
    <w:rsid w:val="0063653F"/>
    <w:rsid w:val="00637088"/>
    <w:rsid w:val="00637A1A"/>
    <w:rsid w:val="00637B5A"/>
    <w:rsid w:val="00637E41"/>
    <w:rsid w:val="0064134E"/>
    <w:rsid w:val="006417E9"/>
    <w:rsid w:val="00641F9C"/>
    <w:rsid w:val="0064299F"/>
    <w:rsid w:val="00643D1F"/>
    <w:rsid w:val="00644C23"/>
    <w:rsid w:val="00644D03"/>
    <w:rsid w:val="0064619A"/>
    <w:rsid w:val="00646C8D"/>
    <w:rsid w:val="00647070"/>
    <w:rsid w:val="00647162"/>
    <w:rsid w:val="006506EE"/>
    <w:rsid w:val="006507DC"/>
    <w:rsid w:val="00650905"/>
    <w:rsid w:val="00651075"/>
    <w:rsid w:val="00651969"/>
    <w:rsid w:val="00651B51"/>
    <w:rsid w:val="00652705"/>
    <w:rsid w:val="006529B3"/>
    <w:rsid w:val="00653290"/>
    <w:rsid w:val="00653630"/>
    <w:rsid w:val="00654544"/>
    <w:rsid w:val="006546CE"/>
    <w:rsid w:val="00654BA9"/>
    <w:rsid w:val="0065599A"/>
    <w:rsid w:val="006567E3"/>
    <w:rsid w:val="00657A38"/>
    <w:rsid w:val="00657AA5"/>
    <w:rsid w:val="00657D90"/>
    <w:rsid w:val="00657E5C"/>
    <w:rsid w:val="00661306"/>
    <w:rsid w:val="00664030"/>
    <w:rsid w:val="00664354"/>
    <w:rsid w:val="00664C48"/>
    <w:rsid w:val="00664ED2"/>
    <w:rsid w:val="00665116"/>
    <w:rsid w:val="00665B07"/>
    <w:rsid w:val="00665D58"/>
    <w:rsid w:val="0066689F"/>
    <w:rsid w:val="006670D9"/>
    <w:rsid w:val="00667AF3"/>
    <w:rsid w:val="00672C86"/>
    <w:rsid w:val="00672CA3"/>
    <w:rsid w:val="006732CC"/>
    <w:rsid w:val="0067339A"/>
    <w:rsid w:val="00674394"/>
    <w:rsid w:val="006753A7"/>
    <w:rsid w:val="00676B00"/>
    <w:rsid w:val="00676F2B"/>
    <w:rsid w:val="006777DA"/>
    <w:rsid w:val="00677A57"/>
    <w:rsid w:val="006800F1"/>
    <w:rsid w:val="0068010D"/>
    <w:rsid w:val="00680620"/>
    <w:rsid w:val="006806F3"/>
    <w:rsid w:val="006813D7"/>
    <w:rsid w:val="00681675"/>
    <w:rsid w:val="00681D57"/>
    <w:rsid w:val="00682098"/>
    <w:rsid w:val="006821FA"/>
    <w:rsid w:val="0068291A"/>
    <w:rsid w:val="00682D45"/>
    <w:rsid w:val="00684DFD"/>
    <w:rsid w:val="00686944"/>
    <w:rsid w:val="00686D4F"/>
    <w:rsid w:val="006870D0"/>
    <w:rsid w:val="006872FA"/>
    <w:rsid w:val="00690095"/>
    <w:rsid w:val="00690A87"/>
    <w:rsid w:val="00691203"/>
    <w:rsid w:val="00691BB9"/>
    <w:rsid w:val="0069207D"/>
    <w:rsid w:val="006922AD"/>
    <w:rsid w:val="006936D1"/>
    <w:rsid w:val="006936F9"/>
    <w:rsid w:val="00693E7E"/>
    <w:rsid w:val="00693EDF"/>
    <w:rsid w:val="006940F3"/>
    <w:rsid w:val="00694411"/>
    <w:rsid w:val="0069524C"/>
    <w:rsid w:val="00695A43"/>
    <w:rsid w:val="00696510"/>
    <w:rsid w:val="00697021"/>
    <w:rsid w:val="00697836"/>
    <w:rsid w:val="00697C48"/>
    <w:rsid w:val="006A0627"/>
    <w:rsid w:val="006A0CEC"/>
    <w:rsid w:val="006A0F9D"/>
    <w:rsid w:val="006A1398"/>
    <w:rsid w:val="006A1B32"/>
    <w:rsid w:val="006A497D"/>
    <w:rsid w:val="006A4BA9"/>
    <w:rsid w:val="006A5911"/>
    <w:rsid w:val="006A5D8B"/>
    <w:rsid w:val="006A5F79"/>
    <w:rsid w:val="006A606A"/>
    <w:rsid w:val="006A763C"/>
    <w:rsid w:val="006B01DA"/>
    <w:rsid w:val="006B0A27"/>
    <w:rsid w:val="006B1420"/>
    <w:rsid w:val="006B1F0F"/>
    <w:rsid w:val="006B2061"/>
    <w:rsid w:val="006B2775"/>
    <w:rsid w:val="006B3542"/>
    <w:rsid w:val="006B3E71"/>
    <w:rsid w:val="006B4458"/>
    <w:rsid w:val="006B4539"/>
    <w:rsid w:val="006B5753"/>
    <w:rsid w:val="006B5E38"/>
    <w:rsid w:val="006B603C"/>
    <w:rsid w:val="006B6640"/>
    <w:rsid w:val="006B67B0"/>
    <w:rsid w:val="006B785F"/>
    <w:rsid w:val="006C07EB"/>
    <w:rsid w:val="006C1DA1"/>
    <w:rsid w:val="006C2641"/>
    <w:rsid w:val="006C280E"/>
    <w:rsid w:val="006C2926"/>
    <w:rsid w:val="006C2D70"/>
    <w:rsid w:val="006C347F"/>
    <w:rsid w:val="006C364A"/>
    <w:rsid w:val="006C3CF4"/>
    <w:rsid w:val="006C3D8C"/>
    <w:rsid w:val="006C439E"/>
    <w:rsid w:val="006C5703"/>
    <w:rsid w:val="006C6ACF"/>
    <w:rsid w:val="006C7266"/>
    <w:rsid w:val="006C76FC"/>
    <w:rsid w:val="006C78B2"/>
    <w:rsid w:val="006C7CD9"/>
    <w:rsid w:val="006C7DAF"/>
    <w:rsid w:val="006D019B"/>
    <w:rsid w:val="006D1560"/>
    <w:rsid w:val="006D184F"/>
    <w:rsid w:val="006D1CB5"/>
    <w:rsid w:val="006D2C1F"/>
    <w:rsid w:val="006D2D50"/>
    <w:rsid w:val="006D31B6"/>
    <w:rsid w:val="006D3272"/>
    <w:rsid w:val="006D3E31"/>
    <w:rsid w:val="006D44E8"/>
    <w:rsid w:val="006D4A9B"/>
    <w:rsid w:val="006D4FBE"/>
    <w:rsid w:val="006D56EC"/>
    <w:rsid w:val="006D5842"/>
    <w:rsid w:val="006D6D0A"/>
    <w:rsid w:val="006D7176"/>
    <w:rsid w:val="006D7248"/>
    <w:rsid w:val="006D7C99"/>
    <w:rsid w:val="006D7FC2"/>
    <w:rsid w:val="006E0572"/>
    <w:rsid w:val="006E0575"/>
    <w:rsid w:val="006E0A81"/>
    <w:rsid w:val="006E0C03"/>
    <w:rsid w:val="006E17F4"/>
    <w:rsid w:val="006E3350"/>
    <w:rsid w:val="006E3DD1"/>
    <w:rsid w:val="006E4275"/>
    <w:rsid w:val="006E4316"/>
    <w:rsid w:val="006E603A"/>
    <w:rsid w:val="006E6219"/>
    <w:rsid w:val="006E6552"/>
    <w:rsid w:val="006F1318"/>
    <w:rsid w:val="006F2F26"/>
    <w:rsid w:val="006F3DAA"/>
    <w:rsid w:val="006F498D"/>
    <w:rsid w:val="006F4C19"/>
    <w:rsid w:val="006F50BF"/>
    <w:rsid w:val="006F52FC"/>
    <w:rsid w:val="006F559D"/>
    <w:rsid w:val="006F5A3C"/>
    <w:rsid w:val="006F5B02"/>
    <w:rsid w:val="006F6081"/>
    <w:rsid w:val="006F6751"/>
    <w:rsid w:val="006F70A5"/>
    <w:rsid w:val="006F758A"/>
    <w:rsid w:val="007002D4"/>
    <w:rsid w:val="007002EB"/>
    <w:rsid w:val="00701B47"/>
    <w:rsid w:val="0070368F"/>
    <w:rsid w:val="00703896"/>
    <w:rsid w:val="00704151"/>
    <w:rsid w:val="00704559"/>
    <w:rsid w:val="007045FB"/>
    <w:rsid w:val="00704B88"/>
    <w:rsid w:val="00705314"/>
    <w:rsid w:val="0070555B"/>
    <w:rsid w:val="00706035"/>
    <w:rsid w:val="00710109"/>
    <w:rsid w:val="00710238"/>
    <w:rsid w:val="00711151"/>
    <w:rsid w:val="00711286"/>
    <w:rsid w:val="00711738"/>
    <w:rsid w:val="00711845"/>
    <w:rsid w:val="00711900"/>
    <w:rsid w:val="00712727"/>
    <w:rsid w:val="00713ECF"/>
    <w:rsid w:val="00713EFA"/>
    <w:rsid w:val="00714AA6"/>
    <w:rsid w:val="007151EF"/>
    <w:rsid w:val="007160FF"/>
    <w:rsid w:val="00716387"/>
    <w:rsid w:val="00716C8F"/>
    <w:rsid w:val="0071709C"/>
    <w:rsid w:val="007202BD"/>
    <w:rsid w:val="00720555"/>
    <w:rsid w:val="0072065E"/>
    <w:rsid w:val="007208D4"/>
    <w:rsid w:val="00720B2F"/>
    <w:rsid w:val="00720B55"/>
    <w:rsid w:val="00720D5C"/>
    <w:rsid w:val="00721465"/>
    <w:rsid w:val="00722549"/>
    <w:rsid w:val="00723DCD"/>
    <w:rsid w:val="00725876"/>
    <w:rsid w:val="007260FD"/>
    <w:rsid w:val="00727CD8"/>
    <w:rsid w:val="00730002"/>
    <w:rsid w:val="0073016F"/>
    <w:rsid w:val="00730E6C"/>
    <w:rsid w:val="00731C35"/>
    <w:rsid w:val="00731FA0"/>
    <w:rsid w:val="007325E4"/>
    <w:rsid w:val="007335F0"/>
    <w:rsid w:val="00733665"/>
    <w:rsid w:val="00733706"/>
    <w:rsid w:val="00733ED6"/>
    <w:rsid w:val="0073426B"/>
    <w:rsid w:val="007347F6"/>
    <w:rsid w:val="00734BEC"/>
    <w:rsid w:val="00734E46"/>
    <w:rsid w:val="00734F2C"/>
    <w:rsid w:val="00736EDD"/>
    <w:rsid w:val="007411EF"/>
    <w:rsid w:val="00741A35"/>
    <w:rsid w:val="007425E9"/>
    <w:rsid w:val="00742AE4"/>
    <w:rsid w:val="00742DAA"/>
    <w:rsid w:val="00743868"/>
    <w:rsid w:val="00743964"/>
    <w:rsid w:val="00744119"/>
    <w:rsid w:val="0074525D"/>
    <w:rsid w:val="007452B0"/>
    <w:rsid w:val="00745BF8"/>
    <w:rsid w:val="007471D4"/>
    <w:rsid w:val="00747B81"/>
    <w:rsid w:val="007502D1"/>
    <w:rsid w:val="00750708"/>
    <w:rsid w:val="00751B45"/>
    <w:rsid w:val="00751FEC"/>
    <w:rsid w:val="0075217A"/>
    <w:rsid w:val="007523D1"/>
    <w:rsid w:val="00752708"/>
    <w:rsid w:val="00752837"/>
    <w:rsid w:val="007528E2"/>
    <w:rsid w:val="00753713"/>
    <w:rsid w:val="00753DD5"/>
    <w:rsid w:val="00754338"/>
    <w:rsid w:val="007548BE"/>
    <w:rsid w:val="00755AB8"/>
    <w:rsid w:val="00755B0A"/>
    <w:rsid w:val="00756114"/>
    <w:rsid w:val="00756574"/>
    <w:rsid w:val="007569B4"/>
    <w:rsid w:val="00756C1A"/>
    <w:rsid w:val="00756FB1"/>
    <w:rsid w:val="007575DD"/>
    <w:rsid w:val="0076015F"/>
    <w:rsid w:val="00760365"/>
    <w:rsid w:val="00761FBF"/>
    <w:rsid w:val="00762508"/>
    <w:rsid w:val="007631C3"/>
    <w:rsid w:val="00764467"/>
    <w:rsid w:val="0076499D"/>
    <w:rsid w:val="007650E5"/>
    <w:rsid w:val="00765C31"/>
    <w:rsid w:val="00765C8B"/>
    <w:rsid w:val="007678C3"/>
    <w:rsid w:val="0076791C"/>
    <w:rsid w:val="00770625"/>
    <w:rsid w:val="00770A68"/>
    <w:rsid w:val="00770E83"/>
    <w:rsid w:val="00771FD1"/>
    <w:rsid w:val="0077273F"/>
    <w:rsid w:val="00772E4F"/>
    <w:rsid w:val="00773156"/>
    <w:rsid w:val="00773974"/>
    <w:rsid w:val="007739FB"/>
    <w:rsid w:val="0077479A"/>
    <w:rsid w:val="00774A0D"/>
    <w:rsid w:val="00775169"/>
    <w:rsid w:val="00775415"/>
    <w:rsid w:val="007770E4"/>
    <w:rsid w:val="0077727D"/>
    <w:rsid w:val="007774FA"/>
    <w:rsid w:val="007779E9"/>
    <w:rsid w:val="00777AE6"/>
    <w:rsid w:val="00777FAE"/>
    <w:rsid w:val="007803C2"/>
    <w:rsid w:val="0078084A"/>
    <w:rsid w:val="007828A8"/>
    <w:rsid w:val="00782BD3"/>
    <w:rsid w:val="00782BFE"/>
    <w:rsid w:val="007830C6"/>
    <w:rsid w:val="007833AB"/>
    <w:rsid w:val="007842ED"/>
    <w:rsid w:val="00784C72"/>
    <w:rsid w:val="007853B2"/>
    <w:rsid w:val="00785B5E"/>
    <w:rsid w:val="00786041"/>
    <w:rsid w:val="00786247"/>
    <w:rsid w:val="007865AF"/>
    <w:rsid w:val="007867C7"/>
    <w:rsid w:val="00786854"/>
    <w:rsid w:val="00786F6B"/>
    <w:rsid w:val="00787B21"/>
    <w:rsid w:val="007900DC"/>
    <w:rsid w:val="007905FB"/>
    <w:rsid w:val="00790F61"/>
    <w:rsid w:val="00791C48"/>
    <w:rsid w:val="00791D06"/>
    <w:rsid w:val="00791D5C"/>
    <w:rsid w:val="007931C7"/>
    <w:rsid w:val="00793D7E"/>
    <w:rsid w:val="007940E7"/>
    <w:rsid w:val="007944EA"/>
    <w:rsid w:val="00795650"/>
    <w:rsid w:val="00795813"/>
    <w:rsid w:val="00795F3B"/>
    <w:rsid w:val="007971CA"/>
    <w:rsid w:val="00797533"/>
    <w:rsid w:val="00797B9B"/>
    <w:rsid w:val="007A0B51"/>
    <w:rsid w:val="007A0C7F"/>
    <w:rsid w:val="007A1E26"/>
    <w:rsid w:val="007A1FD1"/>
    <w:rsid w:val="007A3623"/>
    <w:rsid w:val="007A4169"/>
    <w:rsid w:val="007A44C2"/>
    <w:rsid w:val="007A45D9"/>
    <w:rsid w:val="007A5155"/>
    <w:rsid w:val="007A5178"/>
    <w:rsid w:val="007A51DC"/>
    <w:rsid w:val="007A656C"/>
    <w:rsid w:val="007A6671"/>
    <w:rsid w:val="007A68DD"/>
    <w:rsid w:val="007A7741"/>
    <w:rsid w:val="007B00C7"/>
    <w:rsid w:val="007B08EE"/>
    <w:rsid w:val="007B0CF5"/>
    <w:rsid w:val="007B100A"/>
    <w:rsid w:val="007B106F"/>
    <w:rsid w:val="007B128F"/>
    <w:rsid w:val="007B1DCC"/>
    <w:rsid w:val="007B229E"/>
    <w:rsid w:val="007B248E"/>
    <w:rsid w:val="007B2849"/>
    <w:rsid w:val="007B2BA3"/>
    <w:rsid w:val="007B4333"/>
    <w:rsid w:val="007B4695"/>
    <w:rsid w:val="007B481A"/>
    <w:rsid w:val="007B549F"/>
    <w:rsid w:val="007B5AB8"/>
    <w:rsid w:val="007B6001"/>
    <w:rsid w:val="007B645D"/>
    <w:rsid w:val="007B6526"/>
    <w:rsid w:val="007B6A45"/>
    <w:rsid w:val="007B709B"/>
    <w:rsid w:val="007B7163"/>
    <w:rsid w:val="007B7CB9"/>
    <w:rsid w:val="007C0569"/>
    <w:rsid w:val="007C0B00"/>
    <w:rsid w:val="007C0E3E"/>
    <w:rsid w:val="007C1485"/>
    <w:rsid w:val="007C1CFE"/>
    <w:rsid w:val="007C2C1A"/>
    <w:rsid w:val="007C3132"/>
    <w:rsid w:val="007C444E"/>
    <w:rsid w:val="007C446D"/>
    <w:rsid w:val="007C4FA8"/>
    <w:rsid w:val="007C5281"/>
    <w:rsid w:val="007C56BA"/>
    <w:rsid w:val="007C6B9C"/>
    <w:rsid w:val="007C6C1D"/>
    <w:rsid w:val="007C7841"/>
    <w:rsid w:val="007D1BE0"/>
    <w:rsid w:val="007D20CC"/>
    <w:rsid w:val="007D2432"/>
    <w:rsid w:val="007D3A1C"/>
    <w:rsid w:val="007D5102"/>
    <w:rsid w:val="007D687F"/>
    <w:rsid w:val="007D6F52"/>
    <w:rsid w:val="007D7295"/>
    <w:rsid w:val="007D7E25"/>
    <w:rsid w:val="007E1046"/>
    <w:rsid w:val="007E1595"/>
    <w:rsid w:val="007E2092"/>
    <w:rsid w:val="007E2CDC"/>
    <w:rsid w:val="007E326B"/>
    <w:rsid w:val="007E3C35"/>
    <w:rsid w:val="007E4097"/>
    <w:rsid w:val="007E53C6"/>
    <w:rsid w:val="007E5EA5"/>
    <w:rsid w:val="007E6004"/>
    <w:rsid w:val="007E67C4"/>
    <w:rsid w:val="007E6FA7"/>
    <w:rsid w:val="007E7EDB"/>
    <w:rsid w:val="007F04D2"/>
    <w:rsid w:val="007F08C2"/>
    <w:rsid w:val="007F0B32"/>
    <w:rsid w:val="007F1B61"/>
    <w:rsid w:val="007F2B69"/>
    <w:rsid w:val="007F4AE0"/>
    <w:rsid w:val="007F62EC"/>
    <w:rsid w:val="007F68E0"/>
    <w:rsid w:val="007F7673"/>
    <w:rsid w:val="007F77A2"/>
    <w:rsid w:val="007F7E73"/>
    <w:rsid w:val="00801C6C"/>
    <w:rsid w:val="0080257C"/>
    <w:rsid w:val="008036B0"/>
    <w:rsid w:val="008036C3"/>
    <w:rsid w:val="00803F66"/>
    <w:rsid w:val="00804222"/>
    <w:rsid w:val="00804315"/>
    <w:rsid w:val="00804324"/>
    <w:rsid w:val="00804485"/>
    <w:rsid w:val="00804652"/>
    <w:rsid w:val="0080471D"/>
    <w:rsid w:val="00804DC4"/>
    <w:rsid w:val="008056F3"/>
    <w:rsid w:val="0080616A"/>
    <w:rsid w:val="008061D2"/>
    <w:rsid w:val="00806B34"/>
    <w:rsid w:val="00806C81"/>
    <w:rsid w:val="00806E5C"/>
    <w:rsid w:val="00807E26"/>
    <w:rsid w:val="0081104A"/>
    <w:rsid w:val="00814641"/>
    <w:rsid w:val="00815FCE"/>
    <w:rsid w:val="008168D5"/>
    <w:rsid w:val="0081691B"/>
    <w:rsid w:val="00817C03"/>
    <w:rsid w:val="00817E60"/>
    <w:rsid w:val="00820471"/>
    <w:rsid w:val="00821FCB"/>
    <w:rsid w:val="00822E14"/>
    <w:rsid w:val="00823258"/>
    <w:rsid w:val="008250DC"/>
    <w:rsid w:val="008257C9"/>
    <w:rsid w:val="00825956"/>
    <w:rsid w:val="00825CEF"/>
    <w:rsid w:val="00826102"/>
    <w:rsid w:val="008263AD"/>
    <w:rsid w:val="008263F5"/>
    <w:rsid w:val="0082655F"/>
    <w:rsid w:val="0082717D"/>
    <w:rsid w:val="00827630"/>
    <w:rsid w:val="00827804"/>
    <w:rsid w:val="00827A00"/>
    <w:rsid w:val="00830C95"/>
    <w:rsid w:val="00830E58"/>
    <w:rsid w:val="008311B0"/>
    <w:rsid w:val="00832001"/>
    <w:rsid w:val="00834821"/>
    <w:rsid w:val="00834A02"/>
    <w:rsid w:val="00834AF8"/>
    <w:rsid w:val="00834C9E"/>
    <w:rsid w:val="00836443"/>
    <w:rsid w:val="008374FF"/>
    <w:rsid w:val="00837676"/>
    <w:rsid w:val="00840ACF"/>
    <w:rsid w:val="00841617"/>
    <w:rsid w:val="00841F00"/>
    <w:rsid w:val="0084373C"/>
    <w:rsid w:val="008439BD"/>
    <w:rsid w:val="0084442B"/>
    <w:rsid w:val="008445C0"/>
    <w:rsid w:val="0084668A"/>
    <w:rsid w:val="00847DED"/>
    <w:rsid w:val="00851026"/>
    <w:rsid w:val="00851260"/>
    <w:rsid w:val="008513F0"/>
    <w:rsid w:val="00851BE8"/>
    <w:rsid w:val="0085252E"/>
    <w:rsid w:val="00852F70"/>
    <w:rsid w:val="008538B7"/>
    <w:rsid w:val="008539D0"/>
    <w:rsid w:val="00853A4F"/>
    <w:rsid w:val="00854FEC"/>
    <w:rsid w:val="008559CB"/>
    <w:rsid w:val="00855EBF"/>
    <w:rsid w:val="0085662E"/>
    <w:rsid w:val="0085670E"/>
    <w:rsid w:val="00857606"/>
    <w:rsid w:val="00860389"/>
    <w:rsid w:val="00861DAE"/>
    <w:rsid w:val="00861F1F"/>
    <w:rsid w:val="00862BA2"/>
    <w:rsid w:val="0086378B"/>
    <w:rsid w:val="0086478D"/>
    <w:rsid w:val="00864830"/>
    <w:rsid w:val="00864B85"/>
    <w:rsid w:val="00864BF1"/>
    <w:rsid w:val="00865633"/>
    <w:rsid w:val="00865AA9"/>
    <w:rsid w:val="00865B2C"/>
    <w:rsid w:val="00866BD2"/>
    <w:rsid w:val="0086740C"/>
    <w:rsid w:val="008704F0"/>
    <w:rsid w:val="00870858"/>
    <w:rsid w:val="00871E9E"/>
    <w:rsid w:val="00873C19"/>
    <w:rsid w:val="00873DD4"/>
    <w:rsid w:val="0087401D"/>
    <w:rsid w:val="0087401E"/>
    <w:rsid w:val="008742CB"/>
    <w:rsid w:val="008749EC"/>
    <w:rsid w:val="00874C45"/>
    <w:rsid w:val="008752BB"/>
    <w:rsid w:val="00875DF1"/>
    <w:rsid w:val="008767EF"/>
    <w:rsid w:val="008767F7"/>
    <w:rsid w:val="0087747F"/>
    <w:rsid w:val="008775EF"/>
    <w:rsid w:val="00880FFC"/>
    <w:rsid w:val="00881643"/>
    <w:rsid w:val="008819BD"/>
    <w:rsid w:val="0088307D"/>
    <w:rsid w:val="00883292"/>
    <w:rsid w:val="0088383F"/>
    <w:rsid w:val="00884DAD"/>
    <w:rsid w:val="008861E4"/>
    <w:rsid w:val="008904E6"/>
    <w:rsid w:val="00890AAC"/>
    <w:rsid w:val="00891011"/>
    <w:rsid w:val="008915F4"/>
    <w:rsid w:val="00892BDC"/>
    <w:rsid w:val="00893521"/>
    <w:rsid w:val="00893A6A"/>
    <w:rsid w:val="008940B9"/>
    <w:rsid w:val="008941FD"/>
    <w:rsid w:val="00894810"/>
    <w:rsid w:val="00894E5E"/>
    <w:rsid w:val="0089510B"/>
    <w:rsid w:val="00895A2E"/>
    <w:rsid w:val="00895E8C"/>
    <w:rsid w:val="00895F0A"/>
    <w:rsid w:val="00895F90"/>
    <w:rsid w:val="00897264"/>
    <w:rsid w:val="008976BF"/>
    <w:rsid w:val="008977F3"/>
    <w:rsid w:val="00897CF5"/>
    <w:rsid w:val="008A260F"/>
    <w:rsid w:val="008A2DF4"/>
    <w:rsid w:val="008A2F6F"/>
    <w:rsid w:val="008A3A0D"/>
    <w:rsid w:val="008A3CF1"/>
    <w:rsid w:val="008A4E1A"/>
    <w:rsid w:val="008A5A6E"/>
    <w:rsid w:val="008A67A5"/>
    <w:rsid w:val="008A7C97"/>
    <w:rsid w:val="008A7DA8"/>
    <w:rsid w:val="008B0006"/>
    <w:rsid w:val="008B27A9"/>
    <w:rsid w:val="008B2995"/>
    <w:rsid w:val="008B350E"/>
    <w:rsid w:val="008B4014"/>
    <w:rsid w:val="008B51D9"/>
    <w:rsid w:val="008B5240"/>
    <w:rsid w:val="008B55AF"/>
    <w:rsid w:val="008B55FA"/>
    <w:rsid w:val="008B63ED"/>
    <w:rsid w:val="008B7000"/>
    <w:rsid w:val="008B7671"/>
    <w:rsid w:val="008C0A3E"/>
    <w:rsid w:val="008C0F31"/>
    <w:rsid w:val="008C1138"/>
    <w:rsid w:val="008C167D"/>
    <w:rsid w:val="008C2208"/>
    <w:rsid w:val="008C22EA"/>
    <w:rsid w:val="008C2DB5"/>
    <w:rsid w:val="008C3072"/>
    <w:rsid w:val="008C3E32"/>
    <w:rsid w:val="008C48CB"/>
    <w:rsid w:val="008C508E"/>
    <w:rsid w:val="008C5B92"/>
    <w:rsid w:val="008C6E4A"/>
    <w:rsid w:val="008C6F73"/>
    <w:rsid w:val="008C7579"/>
    <w:rsid w:val="008C7950"/>
    <w:rsid w:val="008D0779"/>
    <w:rsid w:val="008D0907"/>
    <w:rsid w:val="008D0AD5"/>
    <w:rsid w:val="008D11E8"/>
    <w:rsid w:val="008D3226"/>
    <w:rsid w:val="008D335C"/>
    <w:rsid w:val="008D35F8"/>
    <w:rsid w:val="008D4915"/>
    <w:rsid w:val="008D4D55"/>
    <w:rsid w:val="008D4D81"/>
    <w:rsid w:val="008D65D5"/>
    <w:rsid w:val="008D6750"/>
    <w:rsid w:val="008D785E"/>
    <w:rsid w:val="008D79F0"/>
    <w:rsid w:val="008E0973"/>
    <w:rsid w:val="008E0B75"/>
    <w:rsid w:val="008E0C9F"/>
    <w:rsid w:val="008E0CD6"/>
    <w:rsid w:val="008E1C06"/>
    <w:rsid w:val="008E21A0"/>
    <w:rsid w:val="008E3496"/>
    <w:rsid w:val="008E3C49"/>
    <w:rsid w:val="008E41BD"/>
    <w:rsid w:val="008E47E5"/>
    <w:rsid w:val="008E48ED"/>
    <w:rsid w:val="008E62D9"/>
    <w:rsid w:val="008E6758"/>
    <w:rsid w:val="008E7538"/>
    <w:rsid w:val="008E7922"/>
    <w:rsid w:val="008F0AEA"/>
    <w:rsid w:val="008F1171"/>
    <w:rsid w:val="008F2BF7"/>
    <w:rsid w:val="008F36DF"/>
    <w:rsid w:val="008F4D43"/>
    <w:rsid w:val="008F4EF3"/>
    <w:rsid w:val="008F5279"/>
    <w:rsid w:val="008F5454"/>
    <w:rsid w:val="008F5BF7"/>
    <w:rsid w:val="008F61AF"/>
    <w:rsid w:val="008F624A"/>
    <w:rsid w:val="008F6DD1"/>
    <w:rsid w:val="008F6EBF"/>
    <w:rsid w:val="008F78F7"/>
    <w:rsid w:val="008F79AC"/>
    <w:rsid w:val="008F7AB1"/>
    <w:rsid w:val="009019FB"/>
    <w:rsid w:val="00903B37"/>
    <w:rsid w:val="009046D8"/>
    <w:rsid w:val="00904A46"/>
    <w:rsid w:val="00904CD6"/>
    <w:rsid w:val="00904DFC"/>
    <w:rsid w:val="00905E40"/>
    <w:rsid w:val="00905ED8"/>
    <w:rsid w:val="00906D2D"/>
    <w:rsid w:val="00906D44"/>
    <w:rsid w:val="00906E89"/>
    <w:rsid w:val="00907ABA"/>
    <w:rsid w:val="00907F77"/>
    <w:rsid w:val="009102A5"/>
    <w:rsid w:val="0091056D"/>
    <w:rsid w:val="00910DA6"/>
    <w:rsid w:val="009132DA"/>
    <w:rsid w:val="00913498"/>
    <w:rsid w:val="009136B1"/>
    <w:rsid w:val="00913CD1"/>
    <w:rsid w:val="0091412C"/>
    <w:rsid w:val="00914732"/>
    <w:rsid w:val="00914A83"/>
    <w:rsid w:val="00915FDA"/>
    <w:rsid w:val="00916775"/>
    <w:rsid w:val="009207C6"/>
    <w:rsid w:val="00920904"/>
    <w:rsid w:val="00920995"/>
    <w:rsid w:val="0092110A"/>
    <w:rsid w:val="00921282"/>
    <w:rsid w:val="0092134E"/>
    <w:rsid w:val="00921A4E"/>
    <w:rsid w:val="009232C3"/>
    <w:rsid w:val="0092419D"/>
    <w:rsid w:val="00925790"/>
    <w:rsid w:val="00926210"/>
    <w:rsid w:val="00926C4B"/>
    <w:rsid w:val="00927E3F"/>
    <w:rsid w:val="00930600"/>
    <w:rsid w:val="00931537"/>
    <w:rsid w:val="009317BE"/>
    <w:rsid w:val="00932FE3"/>
    <w:rsid w:val="0093426E"/>
    <w:rsid w:val="00934549"/>
    <w:rsid w:val="0093462E"/>
    <w:rsid w:val="00934E4D"/>
    <w:rsid w:val="0093523C"/>
    <w:rsid w:val="009355CE"/>
    <w:rsid w:val="00936AF5"/>
    <w:rsid w:val="00936C04"/>
    <w:rsid w:val="0094111E"/>
    <w:rsid w:val="0094204D"/>
    <w:rsid w:val="009423DC"/>
    <w:rsid w:val="00942B78"/>
    <w:rsid w:val="009439CD"/>
    <w:rsid w:val="00943FA9"/>
    <w:rsid w:val="0094585D"/>
    <w:rsid w:val="00946BC7"/>
    <w:rsid w:val="00946CDC"/>
    <w:rsid w:val="009479ED"/>
    <w:rsid w:val="00947CFC"/>
    <w:rsid w:val="00947EAE"/>
    <w:rsid w:val="00950430"/>
    <w:rsid w:val="00952933"/>
    <w:rsid w:val="00952B50"/>
    <w:rsid w:val="00953234"/>
    <w:rsid w:val="00953319"/>
    <w:rsid w:val="00954BCF"/>
    <w:rsid w:val="00954FA5"/>
    <w:rsid w:val="00955CA4"/>
    <w:rsid w:val="00956366"/>
    <w:rsid w:val="0095695C"/>
    <w:rsid w:val="00957F22"/>
    <w:rsid w:val="0096053D"/>
    <w:rsid w:val="00960B8B"/>
    <w:rsid w:val="00960DFD"/>
    <w:rsid w:val="00960FA4"/>
    <w:rsid w:val="00961962"/>
    <w:rsid w:val="0096231D"/>
    <w:rsid w:val="0096252D"/>
    <w:rsid w:val="009637FE"/>
    <w:rsid w:val="009639C5"/>
    <w:rsid w:val="00965472"/>
    <w:rsid w:val="009659C9"/>
    <w:rsid w:val="0096659A"/>
    <w:rsid w:val="00966B4A"/>
    <w:rsid w:val="00967016"/>
    <w:rsid w:val="00967B3A"/>
    <w:rsid w:val="009705A7"/>
    <w:rsid w:val="00970B76"/>
    <w:rsid w:val="0097300B"/>
    <w:rsid w:val="0097382D"/>
    <w:rsid w:val="00974288"/>
    <w:rsid w:val="009749F9"/>
    <w:rsid w:val="00974C9E"/>
    <w:rsid w:val="00975B17"/>
    <w:rsid w:val="009770A7"/>
    <w:rsid w:val="0097781F"/>
    <w:rsid w:val="009779C1"/>
    <w:rsid w:val="00977B80"/>
    <w:rsid w:val="00977EC6"/>
    <w:rsid w:val="0098031B"/>
    <w:rsid w:val="0098146B"/>
    <w:rsid w:val="009823F5"/>
    <w:rsid w:val="00982AF6"/>
    <w:rsid w:val="00982C12"/>
    <w:rsid w:val="00982F39"/>
    <w:rsid w:val="00983023"/>
    <w:rsid w:val="0098318F"/>
    <w:rsid w:val="0098320B"/>
    <w:rsid w:val="009836C1"/>
    <w:rsid w:val="00983883"/>
    <w:rsid w:val="00984B0E"/>
    <w:rsid w:val="0098507B"/>
    <w:rsid w:val="00985A93"/>
    <w:rsid w:val="00985AC7"/>
    <w:rsid w:val="00986146"/>
    <w:rsid w:val="00986D27"/>
    <w:rsid w:val="00987772"/>
    <w:rsid w:val="00987E08"/>
    <w:rsid w:val="0099011A"/>
    <w:rsid w:val="009906A6"/>
    <w:rsid w:val="00991206"/>
    <w:rsid w:val="00991681"/>
    <w:rsid w:val="00991BCB"/>
    <w:rsid w:val="00991C5F"/>
    <w:rsid w:val="00991EE1"/>
    <w:rsid w:val="0099266F"/>
    <w:rsid w:val="00994081"/>
    <w:rsid w:val="009946BB"/>
    <w:rsid w:val="00994D94"/>
    <w:rsid w:val="00995681"/>
    <w:rsid w:val="009961F9"/>
    <w:rsid w:val="00996673"/>
    <w:rsid w:val="009971DF"/>
    <w:rsid w:val="009975B9"/>
    <w:rsid w:val="009A1450"/>
    <w:rsid w:val="009A3EA2"/>
    <w:rsid w:val="009A4648"/>
    <w:rsid w:val="009A4A80"/>
    <w:rsid w:val="009A5BA4"/>
    <w:rsid w:val="009A6374"/>
    <w:rsid w:val="009A6ED1"/>
    <w:rsid w:val="009A74BC"/>
    <w:rsid w:val="009B040B"/>
    <w:rsid w:val="009B0C29"/>
    <w:rsid w:val="009B0FA3"/>
    <w:rsid w:val="009B10EC"/>
    <w:rsid w:val="009B11AD"/>
    <w:rsid w:val="009B1C8B"/>
    <w:rsid w:val="009B21FD"/>
    <w:rsid w:val="009B25E4"/>
    <w:rsid w:val="009B2D97"/>
    <w:rsid w:val="009B388D"/>
    <w:rsid w:val="009B3AF8"/>
    <w:rsid w:val="009B4EBE"/>
    <w:rsid w:val="009B59C7"/>
    <w:rsid w:val="009B6437"/>
    <w:rsid w:val="009B687C"/>
    <w:rsid w:val="009B7335"/>
    <w:rsid w:val="009B7D6D"/>
    <w:rsid w:val="009B7DFD"/>
    <w:rsid w:val="009B7EE9"/>
    <w:rsid w:val="009C185F"/>
    <w:rsid w:val="009C1F0A"/>
    <w:rsid w:val="009C2AF4"/>
    <w:rsid w:val="009C3C13"/>
    <w:rsid w:val="009C5A3F"/>
    <w:rsid w:val="009C7414"/>
    <w:rsid w:val="009C7D52"/>
    <w:rsid w:val="009C7EEA"/>
    <w:rsid w:val="009D00B8"/>
    <w:rsid w:val="009D0140"/>
    <w:rsid w:val="009D305C"/>
    <w:rsid w:val="009D3366"/>
    <w:rsid w:val="009D3618"/>
    <w:rsid w:val="009D481B"/>
    <w:rsid w:val="009D7118"/>
    <w:rsid w:val="009D7528"/>
    <w:rsid w:val="009D7595"/>
    <w:rsid w:val="009E0409"/>
    <w:rsid w:val="009E0CCC"/>
    <w:rsid w:val="009E4764"/>
    <w:rsid w:val="009E494E"/>
    <w:rsid w:val="009E5753"/>
    <w:rsid w:val="009E57D7"/>
    <w:rsid w:val="009E676F"/>
    <w:rsid w:val="009E703A"/>
    <w:rsid w:val="009E720B"/>
    <w:rsid w:val="009F099E"/>
    <w:rsid w:val="009F2211"/>
    <w:rsid w:val="009F3240"/>
    <w:rsid w:val="009F40FB"/>
    <w:rsid w:val="009F54B6"/>
    <w:rsid w:val="009F584F"/>
    <w:rsid w:val="009F5887"/>
    <w:rsid w:val="009F5B38"/>
    <w:rsid w:val="009F5BB2"/>
    <w:rsid w:val="009F5F5F"/>
    <w:rsid w:val="009F6610"/>
    <w:rsid w:val="009F793B"/>
    <w:rsid w:val="009F7C52"/>
    <w:rsid w:val="00A00DF4"/>
    <w:rsid w:val="00A00E87"/>
    <w:rsid w:val="00A01702"/>
    <w:rsid w:val="00A02253"/>
    <w:rsid w:val="00A02B96"/>
    <w:rsid w:val="00A0401B"/>
    <w:rsid w:val="00A040D8"/>
    <w:rsid w:val="00A051C4"/>
    <w:rsid w:val="00A0602C"/>
    <w:rsid w:val="00A06B95"/>
    <w:rsid w:val="00A06BBE"/>
    <w:rsid w:val="00A07183"/>
    <w:rsid w:val="00A104AE"/>
    <w:rsid w:val="00A10A9B"/>
    <w:rsid w:val="00A1221E"/>
    <w:rsid w:val="00A12E96"/>
    <w:rsid w:val="00A12EAD"/>
    <w:rsid w:val="00A1355D"/>
    <w:rsid w:val="00A13770"/>
    <w:rsid w:val="00A13C75"/>
    <w:rsid w:val="00A1611D"/>
    <w:rsid w:val="00A24443"/>
    <w:rsid w:val="00A254C8"/>
    <w:rsid w:val="00A265DE"/>
    <w:rsid w:val="00A27068"/>
    <w:rsid w:val="00A300C7"/>
    <w:rsid w:val="00A31344"/>
    <w:rsid w:val="00A315C9"/>
    <w:rsid w:val="00A3193E"/>
    <w:rsid w:val="00A32231"/>
    <w:rsid w:val="00A32EDF"/>
    <w:rsid w:val="00A330F8"/>
    <w:rsid w:val="00A335B3"/>
    <w:rsid w:val="00A3375F"/>
    <w:rsid w:val="00A33BFC"/>
    <w:rsid w:val="00A33C46"/>
    <w:rsid w:val="00A34075"/>
    <w:rsid w:val="00A345E3"/>
    <w:rsid w:val="00A35016"/>
    <w:rsid w:val="00A350FD"/>
    <w:rsid w:val="00A35D81"/>
    <w:rsid w:val="00A36323"/>
    <w:rsid w:val="00A36866"/>
    <w:rsid w:val="00A36907"/>
    <w:rsid w:val="00A36D70"/>
    <w:rsid w:val="00A36E72"/>
    <w:rsid w:val="00A37E64"/>
    <w:rsid w:val="00A40692"/>
    <w:rsid w:val="00A40AE1"/>
    <w:rsid w:val="00A40F8A"/>
    <w:rsid w:val="00A41915"/>
    <w:rsid w:val="00A42954"/>
    <w:rsid w:val="00A42CCD"/>
    <w:rsid w:val="00A43160"/>
    <w:rsid w:val="00A43575"/>
    <w:rsid w:val="00A43B7E"/>
    <w:rsid w:val="00A4515B"/>
    <w:rsid w:val="00A4642A"/>
    <w:rsid w:val="00A46827"/>
    <w:rsid w:val="00A46CAF"/>
    <w:rsid w:val="00A47B64"/>
    <w:rsid w:val="00A47BF9"/>
    <w:rsid w:val="00A52862"/>
    <w:rsid w:val="00A528DB"/>
    <w:rsid w:val="00A53190"/>
    <w:rsid w:val="00A539EA"/>
    <w:rsid w:val="00A53AB4"/>
    <w:rsid w:val="00A54708"/>
    <w:rsid w:val="00A54B5C"/>
    <w:rsid w:val="00A54E4B"/>
    <w:rsid w:val="00A575D4"/>
    <w:rsid w:val="00A60570"/>
    <w:rsid w:val="00A60699"/>
    <w:rsid w:val="00A60F43"/>
    <w:rsid w:val="00A613DF"/>
    <w:rsid w:val="00A61A98"/>
    <w:rsid w:val="00A61C74"/>
    <w:rsid w:val="00A6346C"/>
    <w:rsid w:val="00A63A9E"/>
    <w:rsid w:val="00A64147"/>
    <w:rsid w:val="00A647E4"/>
    <w:rsid w:val="00A65242"/>
    <w:rsid w:val="00A65472"/>
    <w:rsid w:val="00A66A40"/>
    <w:rsid w:val="00A66C8E"/>
    <w:rsid w:val="00A67907"/>
    <w:rsid w:val="00A67DEF"/>
    <w:rsid w:val="00A70856"/>
    <w:rsid w:val="00A70951"/>
    <w:rsid w:val="00A709C5"/>
    <w:rsid w:val="00A70C45"/>
    <w:rsid w:val="00A71120"/>
    <w:rsid w:val="00A7133D"/>
    <w:rsid w:val="00A72743"/>
    <w:rsid w:val="00A75070"/>
    <w:rsid w:val="00A756D5"/>
    <w:rsid w:val="00A769FF"/>
    <w:rsid w:val="00A772AF"/>
    <w:rsid w:val="00A77CF6"/>
    <w:rsid w:val="00A77F7C"/>
    <w:rsid w:val="00A804FE"/>
    <w:rsid w:val="00A80C34"/>
    <w:rsid w:val="00A81123"/>
    <w:rsid w:val="00A81D63"/>
    <w:rsid w:val="00A82EA6"/>
    <w:rsid w:val="00A83470"/>
    <w:rsid w:val="00A8363E"/>
    <w:rsid w:val="00A83E74"/>
    <w:rsid w:val="00A84A2D"/>
    <w:rsid w:val="00A85521"/>
    <w:rsid w:val="00A85971"/>
    <w:rsid w:val="00A85EA8"/>
    <w:rsid w:val="00A87554"/>
    <w:rsid w:val="00A87757"/>
    <w:rsid w:val="00A87C66"/>
    <w:rsid w:val="00A87DA5"/>
    <w:rsid w:val="00A87FCA"/>
    <w:rsid w:val="00A9013E"/>
    <w:rsid w:val="00A90E7F"/>
    <w:rsid w:val="00A913B1"/>
    <w:rsid w:val="00A91AA3"/>
    <w:rsid w:val="00A927C5"/>
    <w:rsid w:val="00A92BBB"/>
    <w:rsid w:val="00A92E22"/>
    <w:rsid w:val="00A93516"/>
    <w:rsid w:val="00A93FFC"/>
    <w:rsid w:val="00A97439"/>
    <w:rsid w:val="00AA09A6"/>
    <w:rsid w:val="00AA2EB6"/>
    <w:rsid w:val="00AA3116"/>
    <w:rsid w:val="00AA4310"/>
    <w:rsid w:val="00AA4B5C"/>
    <w:rsid w:val="00AA4E32"/>
    <w:rsid w:val="00AA50B0"/>
    <w:rsid w:val="00AA5A32"/>
    <w:rsid w:val="00AA6282"/>
    <w:rsid w:val="00AA6C59"/>
    <w:rsid w:val="00AA6E73"/>
    <w:rsid w:val="00AA74C5"/>
    <w:rsid w:val="00AA78C6"/>
    <w:rsid w:val="00AA7C27"/>
    <w:rsid w:val="00AB0244"/>
    <w:rsid w:val="00AB0DCA"/>
    <w:rsid w:val="00AB12AB"/>
    <w:rsid w:val="00AB13BA"/>
    <w:rsid w:val="00AB1650"/>
    <w:rsid w:val="00AB1C48"/>
    <w:rsid w:val="00AB26C5"/>
    <w:rsid w:val="00AB2C1B"/>
    <w:rsid w:val="00AB39C1"/>
    <w:rsid w:val="00AB4883"/>
    <w:rsid w:val="00AB51BE"/>
    <w:rsid w:val="00AB55B8"/>
    <w:rsid w:val="00AB5D62"/>
    <w:rsid w:val="00AB5E6E"/>
    <w:rsid w:val="00AB6BB7"/>
    <w:rsid w:val="00AB79F4"/>
    <w:rsid w:val="00AC123A"/>
    <w:rsid w:val="00AC1EBA"/>
    <w:rsid w:val="00AC2278"/>
    <w:rsid w:val="00AC33D7"/>
    <w:rsid w:val="00AC490D"/>
    <w:rsid w:val="00AC4F41"/>
    <w:rsid w:val="00AC4FD4"/>
    <w:rsid w:val="00AC527E"/>
    <w:rsid w:val="00AC57F7"/>
    <w:rsid w:val="00AC61E4"/>
    <w:rsid w:val="00AC7765"/>
    <w:rsid w:val="00AD156C"/>
    <w:rsid w:val="00AD18A9"/>
    <w:rsid w:val="00AD1EB8"/>
    <w:rsid w:val="00AD1FC5"/>
    <w:rsid w:val="00AD215B"/>
    <w:rsid w:val="00AD2A7C"/>
    <w:rsid w:val="00AD2CAE"/>
    <w:rsid w:val="00AD2D04"/>
    <w:rsid w:val="00AD37C2"/>
    <w:rsid w:val="00AD4426"/>
    <w:rsid w:val="00AD4AFA"/>
    <w:rsid w:val="00AD4DEB"/>
    <w:rsid w:val="00AD5FC0"/>
    <w:rsid w:val="00AD637C"/>
    <w:rsid w:val="00AD64A6"/>
    <w:rsid w:val="00AE039A"/>
    <w:rsid w:val="00AE130C"/>
    <w:rsid w:val="00AE1328"/>
    <w:rsid w:val="00AE1AC7"/>
    <w:rsid w:val="00AE1C40"/>
    <w:rsid w:val="00AE2823"/>
    <w:rsid w:val="00AE2E6C"/>
    <w:rsid w:val="00AE335E"/>
    <w:rsid w:val="00AE373C"/>
    <w:rsid w:val="00AE43C1"/>
    <w:rsid w:val="00AE48B3"/>
    <w:rsid w:val="00AE5038"/>
    <w:rsid w:val="00AE5172"/>
    <w:rsid w:val="00AE7879"/>
    <w:rsid w:val="00AE7890"/>
    <w:rsid w:val="00AE7A06"/>
    <w:rsid w:val="00AE7D6C"/>
    <w:rsid w:val="00AF0102"/>
    <w:rsid w:val="00AF0203"/>
    <w:rsid w:val="00AF0854"/>
    <w:rsid w:val="00AF0E04"/>
    <w:rsid w:val="00AF1A1B"/>
    <w:rsid w:val="00AF2BB9"/>
    <w:rsid w:val="00AF3511"/>
    <w:rsid w:val="00AF4C58"/>
    <w:rsid w:val="00AF5365"/>
    <w:rsid w:val="00AF5B3D"/>
    <w:rsid w:val="00AF61D8"/>
    <w:rsid w:val="00AF692F"/>
    <w:rsid w:val="00AF6A94"/>
    <w:rsid w:val="00AF6DA3"/>
    <w:rsid w:val="00AF6E84"/>
    <w:rsid w:val="00AF6F7D"/>
    <w:rsid w:val="00AF7ED3"/>
    <w:rsid w:val="00B00430"/>
    <w:rsid w:val="00B0046E"/>
    <w:rsid w:val="00B00A7E"/>
    <w:rsid w:val="00B00AA7"/>
    <w:rsid w:val="00B0160E"/>
    <w:rsid w:val="00B01D2F"/>
    <w:rsid w:val="00B01D68"/>
    <w:rsid w:val="00B02577"/>
    <w:rsid w:val="00B03BD7"/>
    <w:rsid w:val="00B03F5E"/>
    <w:rsid w:val="00B05A07"/>
    <w:rsid w:val="00B05D72"/>
    <w:rsid w:val="00B06A0A"/>
    <w:rsid w:val="00B07095"/>
    <w:rsid w:val="00B07A80"/>
    <w:rsid w:val="00B10736"/>
    <w:rsid w:val="00B10B29"/>
    <w:rsid w:val="00B114CD"/>
    <w:rsid w:val="00B1150B"/>
    <w:rsid w:val="00B1250E"/>
    <w:rsid w:val="00B12F5A"/>
    <w:rsid w:val="00B13231"/>
    <w:rsid w:val="00B137C4"/>
    <w:rsid w:val="00B13891"/>
    <w:rsid w:val="00B138E1"/>
    <w:rsid w:val="00B13AF3"/>
    <w:rsid w:val="00B14202"/>
    <w:rsid w:val="00B16ED2"/>
    <w:rsid w:val="00B17276"/>
    <w:rsid w:val="00B17B62"/>
    <w:rsid w:val="00B202E5"/>
    <w:rsid w:val="00B2221F"/>
    <w:rsid w:val="00B2230E"/>
    <w:rsid w:val="00B2330B"/>
    <w:rsid w:val="00B23A0B"/>
    <w:rsid w:val="00B24524"/>
    <w:rsid w:val="00B24BD8"/>
    <w:rsid w:val="00B24F92"/>
    <w:rsid w:val="00B24FEB"/>
    <w:rsid w:val="00B25CC1"/>
    <w:rsid w:val="00B25EC1"/>
    <w:rsid w:val="00B26271"/>
    <w:rsid w:val="00B26302"/>
    <w:rsid w:val="00B26F80"/>
    <w:rsid w:val="00B272C7"/>
    <w:rsid w:val="00B276C0"/>
    <w:rsid w:val="00B27CD3"/>
    <w:rsid w:val="00B27CDE"/>
    <w:rsid w:val="00B307B6"/>
    <w:rsid w:val="00B3088D"/>
    <w:rsid w:val="00B314B4"/>
    <w:rsid w:val="00B31D4A"/>
    <w:rsid w:val="00B3283F"/>
    <w:rsid w:val="00B32B0C"/>
    <w:rsid w:val="00B33A47"/>
    <w:rsid w:val="00B34201"/>
    <w:rsid w:val="00B3426A"/>
    <w:rsid w:val="00B3477E"/>
    <w:rsid w:val="00B34D9D"/>
    <w:rsid w:val="00B359A3"/>
    <w:rsid w:val="00B35D17"/>
    <w:rsid w:val="00B366D2"/>
    <w:rsid w:val="00B36DE9"/>
    <w:rsid w:val="00B37308"/>
    <w:rsid w:val="00B37944"/>
    <w:rsid w:val="00B409A4"/>
    <w:rsid w:val="00B40D8F"/>
    <w:rsid w:val="00B42D61"/>
    <w:rsid w:val="00B438D5"/>
    <w:rsid w:val="00B43A5E"/>
    <w:rsid w:val="00B4412C"/>
    <w:rsid w:val="00B4419A"/>
    <w:rsid w:val="00B44E81"/>
    <w:rsid w:val="00B452D3"/>
    <w:rsid w:val="00B4605E"/>
    <w:rsid w:val="00B46392"/>
    <w:rsid w:val="00B47756"/>
    <w:rsid w:val="00B47FC2"/>
    <w:rsid w:val="00B5081F"/>
    <w:rsid w:val="00B5110A"/>
    <w:rsid w:val="00B51AB7"/>
    <w:rsid w:val="00B52571"/>
    <w:rsid w:val="00B528AA"/>
    <w:rsid w:val="00B5334C"/>
    <w:rsid w:val="00B539B3"/>
    <w:rsid w:val="00B54495"/>
    <w:rsid w:val="00B54C7A"/>
    <w:rsid w:val="00B56671"/>
    <w:rsid w:val="00B567B4"/>
    <w:rsid w:val="00B56CF5"/>
    <w:rsid w:val="00B57BF8"/>
    <w:rsid w:val="00B603AD"/>
    <w:rsid w:val="00B608D1"/>
    <w:rsid w:val="00B60CA3"/>
    <w:rsid w:val="00B62090"/>
    <w:rsid w:val="00B63CDE"/>
    <w:rsid w:val="00B6450A"/>
    <w:rsid w:val="00B64625"/>
    <w:rsid w:val="00B64F49"/>
    <w:rsid w:val="00B6503A"/>
    <w:rsid w:val="00B662F5"/>
    <w:rsid w:val="00B67842"/>
    <w:rsid w:val="00B70D71"/>
    <w:rsid w:val="00B70F3B"/>
    <w:rsid w:val="00B71334"/>
    <w:rsid w:val="00B7246E"/>
    <w:rsid w:val="00B739C2"/>
    <w:rsid w:val="00B74EEE"/>
    <w:rsid w:val="00B751A9"/>
    <w:rsid w:val="00B751ED"/>
    <w:rsid w:val="00B75879"/>
    <w:rsid w:val="00B8082B"/>
    <w:rsid w:val="00B81284"/>
    <w:rsid w:val="00B81523"/>
    <w:rsid w:val="00B81C21"/>
    <w:rsid w:val="00B81CF7"/>
    <w:rsid w:val="00B82412"/>
    <w:rsid w:val="00B82BB8"/>
    <w:rsid w:val="00B830C7"/>
    <w:rsid w:val="00B83773"/>
    <w:rsid w:val="00B83842"/>
    <w:rsid w:val="00B84667"/>
    <w:rsid w:val="00B848E6"/>
    <w:rsid w:val="00B85190"/>
    <w:rsid w:val="00B85243"/>
    <w:rsid w:val="00B86733"/>
    <w:rsid w:val="00B87221"/>
    <w:rsid w:val="00B87560"/>
    <w:rsid w:val="00B87EA9"/>
    <w:rsid w:val="00B912E0"/>
    <w:rsid w:val="00B918DF"/>
    <w:rsid w:val="00B9198F"/>
    <w:rsid w:val="00B91FF8"/>
    <w:rsid w:val="00B922D3"/>
    <w:rsid w:val="00B92649"/>
    <w:rsid w:val="00B965CD"/>
    <w:rsid w:val="00B967A8"/>
    <w:rsid w:val="00B97657"/>
    <w:rsid w:val="00BA0172"/>
    <w:rsid w:val="00BA0288"/>
    <w:rsid w:val="00BA0D01"/>
    <w:rsid w:val="00BA1059"/>
    <w:rsid w:val="00BA1293"/>
    <w:rsid w:val="00BA1747"/>
    <w:rsid w:val="00BA17C5"/>
    <w:rsid w:val="00BA2FAA"/>
    <w:rsid w:val="00BA36BB"/>
    <w:rsid w:val="00BA406B"/>
    <w:rsid w:val="00BA4997"/>
    <w:rsid w:val="00BA4CE2"/>
    <w:rsid w:val="00BA5386"/>
    <w:rsid w:val="00BA5B01"/>
    <w:rsid w:val="00BA6771"/>
    <w:rsid w:val="00BA6EFC"/>
    <w:rsid w:val="00BA7307"/>
    <w:rsid w:val="00BB0D79"/>
    <w:rsid w:val="00BB184E"/>
    <w:rsid w:val="00BB1F50"/>
    <w:rsid w:val="00BB36E5"/>
    <w:rsid w:val="00BB461D"/>
    <w:rsid w:val="00BB4F84"/>
    <w:rsid w:val="00BB5106"/>
    <w:rsid w:val="00BB598C"/>
    <w:rsid w:val="00BB63B9"/>
    <w:rsid w:val="00BB63CF"/>
    <w:rsid w:val="00BB70E2"/>
    <w:rsid w:val="00BB7412"/>
    <w:rsid w:val="00BB7810"/>
    <w:rsid w:val="00BB7936"/>
    <w:rsid w:val="00BC05AD"/>
    <w:rsid w:val="00BC143C"/>
    <w:rsid w:val="00BC1F66"/>
    <w:rsid w:val="00BC27DA"/>
    <w:rsid w:val="00BC2D83"/>
    <w:rsid w:val="00BC3AB8"/>
    <w:rsid w:val="00BC4D94"/>
    <w:rsid w:val="00BC644B"/>
    <w:rsid w:val="00BC6865"/>
    <w:rsid w:val="00BC693D"/>
    <w:rsid w:val="00BC7093"/>
    <w:rsid w:val="00BD08E4"/>
    <w:rsid w:val="00BD11CA"/>
    <w:rsid w:val="00BD14BD"/>
    <w:rsid w:val="00BD18CE"/>
    <w:rsid w:val="00BD2759"/>
    <w:rsid w:val="00BD2C8D"/>
    <w:rsid w:val="00BD35D5"/>
    <w:rsid w:val="00BD478D"/>
    <w:rsid w:val="00BD6BA2"/>
    <w:rsid w:val="00BD7006"/>
    <w:rsid w:val="00BD789A"/>
    <w:rsid w:val="00BE0042"/>
    <w:rsid w:val="00BE04C4"/>
    <w:rsid w:val="00BE095B"/>
    <w:rsid w:val="00BE0EF5"/>
    <w:rsid w:val="00BE1E4E"/>
    <w:rsid w:val="00BE1ECE"/>
    <w:rsid w:val="00BE5451"/>
    <w:rsid w:val="00BE55BC"/>
    <w:rsid w:val="00BE59AB"/>
    <w:rsid w:val="00BE5B01"/>
    <w:rsid w:val="00BE66C1"/>
    <w:rsid w:val="00BE6966"/>
    <w:rsid w:val="00BE6ACB"/>
    <w:rsid w:val="00BE7101"/>
    <w:rsid w:val="00BF0468"/>
    <w:rsid w:val="00BF09CC"/>
    <w:rsid w:val="00BF0F8A"/>
    <w:rsid w:val="00BF12EF"/>
    <w:rsid w:val="00BF3A08"/>
    <w:rsid w:val="00BF4250"/>
    <w:rsid w:val="00BF499D"/>
    <w:rsid w:val="00BF4A26"/>
    <w:rsid w:val="00BF4EE1"/>
    <w:rsid w:val="00BF7872"/>
    <w:rsid w:val="00BF794D"/>
    <w:rsid w:val="00BF7CC5"/>
    <w:rsid w:val="00C01313"/>
    <w:rsid w:val="00C01DC9"/>
    <w:rsid w:val="00C02444"/>
    <w:rsid w:val="00C032F6"/>
    <w:rsid w:val="00C040C2"/>
    <w:rsid w:val="00C04258"/>
    <w:rsid w:val="00C04502"/>
    <w:rsid w:val="00C04C22"/>
    <w:rsid w:val="00C0601C"/>
    <w:rsid w:val="00C06390"/>
    <w:rsid w:val="00C06652"/>
    <w:rsid w:val="00C067E9"/>
    <w:rsid w:val="00C07875"/>
    <w:rsid w:val="00C1070E"/>
    <w:rsid w:val="00C10ABB"/>
    <w:rsid w:val="00C10EC5"/>
    <w:rsid w:val="00C11837"/>
    <w:rsid w:val="00C11EFB"/>
    <w:rsid w:val="00C1249E"/>
    <w:rsid w:val="00C12FC7"/>
    <w:rsid w:val="00C13594"/>
    <w:rsid w:val="00C13F6E"/>
    <w:rsid w:val="00C14755"/>
    <w:rsid w:val="00C147FF"/>
    <w:rsid w:val="00C14CB4"/>
    <w:rsid w:val="00C150F0"/>
    <w:rsid w:val="00C172B6"/>
    <w:rsid w:val="00C17916"/>
    <w:rsid w:val="00C218EF"/>
    <w:rsid w:val="00C21E3B"/>
    <w:rsid w:val="00C22463"/>
    <w:rsid w:val="00C22CF8"/>
    <w:rsid w:val="00C22DB3"/>
    <w:rsid w:val="00C23F21"/>
    <w:rsid w:val="00C24744"/>
    <w:rsid w:val="00C24B9C"/>
    <w:rsid w:val="00C25146"/>
    <w:rsid w:val="00C252AC"/>
    <w:rsid w:val="00C25A5B"/>
    <w:rsid w:val="00C26E9F"/>
    <w:rsid w:val="00C27D71"/>
    <w:rsid w:val="00C30EE4"/>
    <w:rsid w:val="00C31F46"/>
    <w:rsid w:val="00C31F92"/>
    <w:rsid w:val="00C31FA3"/>
    <w:rsid w:val="00C3235A"/>
    <w:rsid w:val="00C325C2"/>
    <w:rsid w:val="00C327FB"/>
    <w:rsid w:val="00C33D04"/>
    <w:rsid w:val="00C352D8"/>
    <w:rsid w:val="00C36904"/>
    <w:rsid w:val="00C36D7B"/>
    <w:rsid w:val="00C36E18"/>
    <w:rsid w:val="00C37A70"/>
    <w:rsid w:val="00C408A9"/>
    <w:rsid w:val="00C408F5"/>
    <w:rsid w:val="00C41FB5"/>
    <w:rsid w:val="00C42973"/>
    <w:rsid w:val="00C42B87"/>
    <w:rsid w:val="00C42ECC"/>
    <w:rsid w:val="00C44C51"/>
    <w:rsid w:val="00C45520"/>
    <w:rsid w:val="00C45605"/>
    <w:rsid w:val="00C45637"/>
    <w:rsid w:val="00C4593F"/>
    <w:rsid w:val="00C459FB"/>
    <w:rsid w:val="00C45A79"/>
    <w:rsid w:val="00C45EA2"/>
    <w:rsid w:val="00C46BFA"/>
    <w:rsid w:val="00C46C2B"/>
    <w:rsid w:val="00C47203"/>
    <w:rsid w:val="00C474D5"/>
    <w:rsid w:val="00C47738"/>
    <w:rsid w:val="00C47F6A"/>
    <w:rsid w:val="00C5005B"/>
    <w:rsid w:val="00C50F15"/>
    <w:rsid w:val="00C51BB5"/>
    <w:rsid w:val="00C52095"/>
    <w:rsid w:val="00C5219A"/>
    <w:rsid w:val="00C528B4"/>
    <w:rsid w:val="00C531D5"/>
    <w:rsid w:val="00C53862"/>
    <w:rsid w:val="00C544C3"/>
    <w:rsid w:val="00C54700"/>
    <w:rsid w:val="00C54776"/>
    <w:rsid w:val="00C54D16"/>
    <w:rsid w:val="00C55800"/>
    <w:rsid w:val="00C5669A"/>
    <w:rsid w:val="00C576B4"/>
    <w:rsid w:val="00C61959"/>
    <w:rsid w:val="00C61A79"/>
    <w:rsid w:val="00C61DAC"/>
    <w:rsid w:val="00C6286A"/>
    <w:rsid w:val="00C62F76"/>
    <w:rsid w:val="00C63176"/>
    <w:rsid w:val="00C63362"/>
    <w:rsid w:val="00C63972"/>
    <w:rsid w:val="00C65634"/>
    <w:rsid w:val="00C668AA"/>
    <w:rsid w:val="00C71DC0"/>
    <w:rsid w:val="00C724A6"/>
    <w:rsid w:val="00C73C74"/>
    <w:rsid w:val="00C74246"/>
    <w:rsid w:val="00C747F1"/>
    <w:rsid w:val="00C74CCA"/>
    <w:rsid w:val="00C74F36"/>
    <w:rsid w:val="00C7534A"/>
    <w:rsid w:val="00C76C2F"/>
    <w:rsid w:val="00C774DB"/>
    <w:rsid w:val="00C77741"/>
    <w:rsid w:val="00C77841"/>
    <w:rsid w:val="00C8070F"/>
    <w:rsid w:val="00C8166A"/>
    <w:rsid w:val="00C81DD1"/>
    <w:rsid w:val="00C81F9B"/>
    <w:rsid w:val="00C820B3"/>
    <w:rsid w:val="00C8664A"/>
    <w:rsid w:val="00C86DEC"/>
    <w:rsid w:val="00C86E0A"/>
    <w:rsid w:val="00C87C20"/>
    <w:rsid w:val="00C90CFF"/>
    <w:rsid w:val="00C91E4F"/>
    <w:rsid w:val="00C9256A"/>
    <w:rsid w:val="00C932A9"/>
    <w:rsid w:val="00C939B8"/>
    <w:rsid w:val="00C94051"/>
    <w:rsid w:val="00C94799"/>
    <w:rsid w:val="00C94ECD"/>
    <w:rsid w:val="00C950E0"/>
    <w:rsid w:val="00C96188"/>
    <w:rsid w:val="00CA0699"/>
    <w:rsid w:val="00CA1823"/>
    <w:rsid w:val="00CA1DEB"/>
    <w:rsid w:val="00CA2019"/>
    <w:rsid w:val="00CA22C2"/>
    <w:rsid w:val="00CA2AD2"/>
    <w:rsid w:val="00CA2F14"/>
    <w:rsid w:val="00CA38A6"/>
    <w:rsid w:val="00CA4010"/>
    <w:rsid w:val="00CA48BC"/>
    <w:rsid w:val="00CA5892"/>
    <w:rsid w:val="00CA6176"/>
    <w:rsid w:val="00CA648A"/>
    <w:rsid w:val="00CA6788"/>
    <w:rsid w:val="00CA76E6"/>
    <w:rsid w:val="00CA7D48"/>
    <w:rsid w:val="00CB01B9"/>
    <w:rsid w:val="00CB0A25"/>
    <w:rsid w:val="00CB165B"/>
    <w:rsid w:val="00CB2F24"/>
    <w:rsid w:val="00CB4785"/>
    <w:rsid w:val="00CB4EA5"/>
    <w:rsid w:val="00CB578D"/>
    <w:rsid w:val="00CB5E50"/>
    <w:rsid w:val="00CB7367"/>
    <w:rsid w:val="00CC0963"/>
    <w:rsid w:val="00CC1BC3"/>
    <w:rsid w:val="00CC2749"/>
    <w:rsid w:val="00CC395E"/>
    <w:rsid w:val="00CC3F19"/>
    <w:rsid w:val="00CC40AE"/>
    <w:rsid w:val="00CC4D41"/>
    <w:rsid w:val="00CC4FEC"/>
    <w:rsid w:val="00CC6643"/>
    <w:rsid w:val="00CC6763"/>
    <w:rsid w:val="00CC6935"/>
    <w:rsid w:val="00CC6A8B"/>
    <w:rsid w:val="00CC6F88"/>
    <w:rsid w:val="00CC7375"/>
    <w:rsid w:val="00CD0396"/>
    <w:rsid w:val="00CD178A"/>
    <w:rsid w:val="00CD1796"/>
    <w:rsid w:val="00CD1864"/>
    <w:rsid w:val="00CD3242"/>
    <w:rsid w:val="00CD4A34"/>
    <w:rsid w:val="00CD4F86"/>
    <w:rsid w:val="00CD55C7"/>
    <w:rsid w:val="00CD7AB6"/>
    <w:rsid w:val="00CE05A5"/>
    <w:rsid w:val="00CE0C26"/>
    <w:rsid w:val="00CE10A3"/>
    <w:rsid w:val="00CE2194"/>
    <w:rsid w:val="00CE2418"/>
    <w:rsid w:val="00CE26CE"/>
    <w:rsid w:val="00CE2FA5"/>
    <w:rsid w:val="00CE3A49"/>
    <w:rsid w:val="00CE3EBA"/>
    <w:rsid w:val="00CE4660"/>
    <w:rsid w:val="00CE46D7"/>
    <w:rsid w:val="00CE4CA9"/>
    <w:rsid w:val="00CE5096"/>
    <w:rsid w:val="00CE5FB7"/>
    <w:rsid w:val="00CE6332"/>
    <w:rsid w:val="00CE658F"/>
    <w:rsid w:val="00CE6DD7"/>
    <w:rsid w:val="00CE6E07"/>
    <w:rsid w:val="00CE796F"/>
    <w:rsid w:val="00CE7E9B"/>
    <w:rsid w:val="00CF0731"/>
    <w:rsid w:val="00CF20F5"/>
    <w:rsid w:val="00CF2E62"/>
    <w:rsid w:val="00CF30B3"/>
    <w:rsid w:val="00CF31D8"/>
    <w:rsid w:val="00CF3807"/>
    <w:rsid w:val="00CF4C4C"/>
    <w:rsid w:val="00CF4FAE"/>
    <w:rsid w:val="00CF562C"/>
    <w:rsid w:val="00CF5ABF"/>
    <w:rsid w:val="00CF7CFF"/>
    <w:rsid w:val="00D001ED"/>
    <w:rsid w:val="00D007A5"/>
    <w:rsid w:val="00D0153A"/>
    <w:rsid w:val="00D02CF7"/>
    <w:rsid w:val="00D033CB"/>
    <w:rsid w:val="00D034F3"/>
    <w:rsid w:val="00D03844"/>
    <w:rsid w:val="00D03849"/>
    <w:rsid w:val="00D0419E"/>
    <w:rsid w:val="00D04650"/>
    <w:rsid w:val="00D048CE"/>
    <w:rsid w:val="00D0491C"/>
    <w:rsid w:val="00D04B26"/>
    <w:rsid w:val="00D06809"/>
    <w:rsid w:val="00D06953"/>
    <w:rsid w:val="00D07ABF"/>
    <w:rsid w:val="00D10226"/>
    <w:rsid w:val="00D103BF"/>
    <w:rsid w:val="00D1132C"/>
    <w:rsid w:val="00D122B5"/>
    <w:rsid w:val="00D1382E"/>
    <w:rsid w:val="00D1452B"/>
    <w:rsid w:val="00D14955"/>
    <w:rsid w:val="00D15970"/>
    <w:rsid w:val="00D16388"/>
    <w:rsid w:val="00D167A9"/>
    <w:rsid w:val="00D1734A"/>
    <w:rsid w:val="00D177F4"/>
    <w:rsid w:val="00D20A3D"/>
    <w:rsid w:val="00D21101"/>
    <w:rsid w:val="00D2205C"/>
    <w:rsid w:val="00D24FA7"/>
    <w:rsid w:val="00D2531A"/>
    <w:rsid w:val="00D25A12"/>
    <w:rsid w:val="00D25A4F"/>
    <w:rsid w:val="00D262CF"/>
    <w:rsid w:val="00D26E79"/>
    <w:rsid w:val="00D3133D"/>
    <w:rsid w:val="00D31F7F"/>
    <w:rsid w:val="00D3259F"/>
    <w:rsid w:val="00D32A0D"/>
    <w:rsid w:val="00D32CB8"/>
    <w:rsid w:val="00D33D5D"/>
    <w:rsid w:val="00D34EB2"/>
    <w:rsid w:val="00D35521"/>
    <w:rsid w:val="00D360A9"/>
    <w:rsid w:val="00D36670"/>
    <w:rsid w:val="00D36735"/>
    <w:rsid w:val="00D36F26"/>
    <w:rsid w:val="00D379C0"/>
    <w:rsid w:val="00D407F6"/>
    <w:rsid w:val="00D41D7E"/>
    <w:rsid w:val="00D42D5E"/>
    <w:rsid w:val="00D42FA0"/>
    <w:rsid w:val="00D44603"/>
    <w:rsid w:val="00D450BF"/>
    <w:rsid w:val="00D45D94"/>
    <w:rsid w:val="00D47574"/>
    <w:rsid w:val="00D513D8"/>
    <w:rsid w:val="00D520D3"/>
    <w:rsid w:val="00D53B5E"/>
    <w:rsid w:val="00D54838"/>
    <w:rsid w:val="00D549D0"/>
    <w:rsid w:val="00D55025"/>
    <w:rsid w:val="00D55477"/>
    <w:rsid w:val="00D55FD6"/>
    <w:rsid w:val="00D5723F"/>
    <w:rsid w:val="00D57B4F"/>
    <w:rsid w:val="00D60E70"/>
    <w:rsid w:val="00D61537"/>
    <w:rsid w:val="00D62E5C"/>
    <w:rsid w:val="00D634EB"/>
    <w:rsid w:val="00D641EB"/>
    <w:rsid w:val="00D64A85"/>
    <w:rsid w:val="00D64FBC"/>
    <w:rsid w:val="00D65A48"/>
    <w:rsid w:val="00D66097"/>
    <w:rsid w:val="00D660BD"/>
    <w:rsid w:val="00D66AA8"/>
    <w:rsid w:val="00D6704D"/>
    <w:rsid w:val="00D670FC"/>
    <w:rsid w:val="00D67104"/>
    <w:rsid w:val="00D70F37"/>
    <w:rsid w:val="00D70FB5"/>
    <w:rsid w:val="00D71309"/>
    <w:rsid w:val="00D72DBB"/>
    <w:rsid w:val="00D734E6"/>
    <w:rsid w:val="00D7382A"/>
    <w:rsid w:val="00D744B4"/>
    <w:rsid w:val="00D748A0"/>
    <w:rsid w:val="00D7502C"/>
    <w:rsid w:val="00D75360"/>
    <w:rsid w:val="00D7583C"/>
    <w:rsid w:val="00D75C79"/>
    <w:rsid w:val="00D75CD6"/>
    <w:rsid w:val="00D767A5"/>
    <w:rsid w:val="00D76A84"/>
    <w:rsid w:val="00D776B0"/>
    <w:rsid w:val="00D77E5E"/>
    <w:rsid w:val="00D80A6B"/>
    <w:rsid w:val="00D82DE8"/>
    <w:rsid w:val="00D83539"/>
    <w:rsid w:val="00D838E3"/>
    <w:rsid w:val="00D84A69"/>
    <w:rsid w:val="00D8527D"/>
    <w:rsid w:val="00D8539B"/>
    <w:rsid w:val="00D85EFB"/>
    <w:rsid w:val="00D85F2B"/>
    <w:rsid w:val="00D86045"/>
    <w:rsid w:val="00D86092"/>
    <w:rsid w:val="00D86A5E"/>
    <w:rsid w:val="00D86ACF"/>
    <w:rsid w:val="00D87808"/>
    <w:rsid w:val="00D9010B"/>
    <w:rsid w:val="00D911F5"/>
    <w:rsid w:val="00D91515"/>
    <w:rsid w:val="00D9152E"/>
    <w:rsid w:val="00D91D6A"/>
    <w:rsid w:val="00D91F71"/>
    <w:rsid w:val="00D920C9"/>
    <w:rsid w:val="00D92274"/>
    <w:rsid w:val="00D92881"/>
    <w:rsid w:val="00D9293A"/>
    <w:rsid w:val="00D92AA3"/>
    <w:rsid w:val="00D93B82"/>
    <w:rsid w:val="00D94ACC"/>
    <w:rsid w:val="00D94FC3"/>
    <w:rsid w:val="00D95B20"/>
    <w:rsid w:val="00DA011E"/>
    <w:rsid w:val="00DA067E"/>
    <w:rsid w:val="00DA11CF"/>
    <w:rsid w:val="00DA14D9"/>
    <w:rsid w:val="00DA268F"/>
    <w:rsid w:val="00DA2949"/>
    <w:rsid w:val="00DA489F"/>
    <w:rsid w:val="00DA49F2"/>
    <w:rsid w:val="00DA5935"/>
    <w:rsid w:val="00DA5CB1"/>
    <w:rsid w:val="00DA5DA5"/>
    <w:rsid w:val="00DA6127"/>
    <w:rsid w:val="00DA69CF"/>
    <w:rsid w:val="00DA7134"/>
    <w:rsid w:val="00DB0288"/>
    <w:rsid w:val="00DB0A01"/>
    <w:rsid w:val="00DB154B"/>
    <w:rsid w:val="00DB1BC7"/>
    <w:rsid w:val="00DB3F5A"/>
    <w:rsid w:val="00DB42EF"/>
    <w:rsid w:val="00DB6E01"/>
    <w:rsid w:val="00DB7912"/>
    <w:rsid w:val="00DB7A4A"/>
    <w:rsid w:val="00DC0FE7"/>
    <w:rsid w:val="00DC17A4"/>
    <w:rsid w:val="00DC2377"/>
    <w:rsid w:val="00DC3C0A"/>
    <w:rsid w:val="00DC430D"/>
    <w:rsid w:val="00DC4CF0"/>
    <w:rsid w:val="00DC5947"/>
    <w:rsid w:val="00DC69E1"/>
    <w:rsid w:val="00DC746C"/>
    <w:rsid w:val="00DC766F"/>
    <w:rsid w:val="00DD01E3"/>
    <w:rsid w:val="00DD0CBD"/>
    <w:rsid w:val="00DD16D9"/>
    <w:rsid w:val="00DD18A2"/>
    <w:rsid w:val="00DD22B4"/>
    <w:rsid w:val="00DD24F0"/>
    <w:rsid w:val="00DD2B1C"/>
    <w:rsid w:val="00DD2FC9"/>
    <w:rsid w:val="00DD370A"/>
    <w:rsid w:val="00DD61C0"/>
    <w:rsid w:val="00DD6236"/>
    <w:rsid w:val="00DD6575"/>
    <w:rsid w:val="00DD6C2B"/>
    <w:rsid w:val="00DD76DA"/>
    <w:rsid w:val="00DD7F40"/>
    <w:rsid w:val="00DE128A"/>
    <w:rsid w:val="00DE12D3"/>
    <w:rsid w:val="00DE1C5A"/>
    <w:rsid w:val="00DE1C7C"/>
    <w:rsid w:val="00DE1EF3"/>
    <w:rsid w:val="00DE2EAE"/>
    <w:rsid w:val="00DE3609"/>
    <w:rsid w:val="00DE36D8"/>
    <w:rsid w:val="00DE44CE"/>
    <w:rsid w:val="00DE49F4"/>
    <w:rsid w:val="00DE5DBD"/>
    <w:rsid w:val="00DE5EED"/>
    <w:rsid w:val="00DE6555"/>
    <w:rsid w:val="00DE6ADF"/>
    <w:rsid w:val="00DE7215"/>
    <w:rsid w:val="00DF0B69"/>
    <w:rsid w:val="00DF2C2E"/>
    <w:rsid w:val="00DF33ED"/>
    <w:rsid w:val="00DF3CCA"/>
    <w:rsid w:val="00DF44F5"/>
    <w:rsid w:val="00DF4BDC"/>
    <w:rsid w:val="00DF565C"/>
    <w:rsid w:val="00DF6DD8"/>
    <w:rsid w:val="00E00584"/>
    <w:rsid w:val="00E00EB3"/>
    <w:rsid w:val="00E01A8B"/>
    <w:rsid w:val="00E01BEA"/>
    <w:rsid w:val="00E01CAE"/>
    <w:rsid w:val="00E01D2A"/>
    <w:rsid w:val="00E020AC"/>
    <w:rsid w:val="00E023D8"/>
    <w:rsid w:val="00E027D0"/>
    <w:rsid w:val="00E02E17"/>
    <w:rsid w:val="00E03D8F"/>
    <w:rsid w:val="00E04056"/>
    <w:rsid w:val="00E0552D"/>
    <w:rsid w:val="00E0568E"/>
    <w:rsid w:val="00E0611A"/>
    <w:rsid w:val="00E074C3"/>
    <w:rsid w:val="00E10369"/>
    <w:rsid w:val="00E10393"/>
    <w:rsid w:val="00E10C66"/>
    <w:rsid w:val="00E11164"/>
    <w:rsid w:val="00E121B8"/>
    <w:rsid w:val="00E12219"/>
    <w:rsid w:val="00E12732"/>
    <w:rsid w:val="00E13B0A"/>
    <w:rsid w:val="00E13B18"/>
    <w:rsid w:val="00E13B8E"/>
    <w:rsid w:val="00E14895"/>
    <w:rsid w:val="00E15B1A"/>
    <w:rsid w:val="00E15F73"/>
    <w:rsid w:val="00E161E3"/>
    <w:rsid w:val="00E1642A"/>
    <w:rsid w:val="00E16F3B"/>
    <w:rsid w:val="00E17F72"/>
    <w:rsid w:val="00E2025F"/>
    <w:rsid w:val="00E2081C"/>
    <w:rsid w:val="00E20993"/>
    <w:rsid w:val="00E20AFE"/>
    <w:rsid w:val="00E21E0A"/>
    <w:rsid w:val="00E23556"/>
    <w:rsid w:val="00E238A3"/>
    <w:rsid w:val="00E24772"/>
    <w:rsid w:val="00E270F2"/>
    <w:rsid w:val="00E27379"/>
    <w:rsid w:val="00E274F6"/>
    <w:rsid w:val="00E275F0"/>
    <w:rsid w:val="00E27A03"/>
    <w:rsid w:val="00E31585"/>
    <w:rsid w:val="00E327EA"/>
    <w:rsid w:val="00E3299D"/>
    <w:rsid w:val="00E334F7"/>
    <w:rsid w:val="00E34D76"/>
    <w:rsid w:val="00E34E6C"/>
    <w:rsid w:val="00E35067"/>
    <w:rsid w:val="00E354E4"/>
    <w:rsid w:val="00E3597E"/>
    <w:rsid w:val="00E370D8"/>
    <w:rsid w:val="00E37752"/>
    <w:rsid w:val="00E40AEE"/>
    <w:rsid w:val="00E415CF"/>
    <w:rsid w:val="00E41CCA"/>
    <w:rsid w:val="00E42BB1"/>
    <w:rsid w:val="00E4513C"/>
    <w:rsid w:val="00E46E1A"/>
    <w:rsid w:val="00E50ADE"/>
    <w:rsid w:val="00E5241A"/>
    <w:rsid w:val="00E5336C"/>
    <w:rsid w:val="00E5383E"/>
    <w:rsid w:val="00E53C93"/>
    <w:rsid w:val="00E53CBE"/>
    <w:rsid w:val="00E55ACF"/>
    <w:rsid w:val="00E5620E"/>
    <w:rsid w:val="00E567B9"/>
    <w:rsid w:val="00E56CC5"/>
    <w:rsid w:val="00E577A2"/>
    <w:rsid w:val="00E603B0"/>
    <w:rsid w:val="00E613D8"/>
    <w:rsid w:val="00E61BBC"/>
    <w:rsid w:val="00E63B8A"/>
    <w:rsid w:val="00E640A5"/>
    <w:rsid w:val="00E65238"/>
    <w:rsid w:val="00E65534"/>
    <w:rsid w:val="00E662E2"/>
    <w:rsid w:val="00E663E2"/>
    <w:rsid w:val="00E66A8D"/>
    <w:rsid w:val="00E70565"/>
    <w:rsid w:val="00E707A1"/>
    <w:rsid w:val="00E70B5A"/>
    <w:rsid w:val="00E7238D"/>
    <w:rsid w:val="00E72AC8"/>
    <w:rsid w:val="00E72E67"/>
    <w:rsid w:val="00E732E6"/>
    <w:rsid w:val="00E7336C"/>
    <w:rsid w:val="00E73966"/>
    <w:rsid w:val="00E7640C"/>
    <w:rsid w:val="00E7659C"/>
    <w:rsid w:val="00E77126"/>
    <w:rsid w:val="00E80FB1"/>
    <w:rsid w:val="00E82E6A"/>
    <w:rsid w:val="00E83859"/>
    <w:rsid w:val="00E83CC0"/>
    <w:rsid w:val="00E85447"/>
    <w:rsid w:val="00E86698"/>
    <w:rsid w:val="00E86B76"/>
    <w:rsid w:val="00E86E2E"/>
    <w:rsid w:val="00E87283"/>
    <w:rsid w:val="00E87802"/>
    <w:rsid w:val="00E90BBA"/>
    <w:rsid w:val="00E91CDE"/>
    <w:rsid w:val="00E91E1E"/>
    <w:rsid w:val="00E92130"/>
    <w:rsid w:val="00E92E69"/>
    <w:rsid w:val="00E931D2"/>
    <w:rsid w:val="00E9333D"/>
    <w:rsid w:val="00E94964"/>
    <w:rsid w:val="00E95AC7"/>
    <w:rsid w:val="00E9678A"/>
    <w:rsid w:val="00E972DB"/>
    <w:rsid w:val="00E97B02"/>
    <w:rsid w:val="00EA0E6B"/>
    <w:rsid w:val="00EA1368"/>
    <w:rsid w:val="00EA1AAB"/>
    <w:rsid w:val="00EA3EF6"/>
    <w:rsid w:val="00EA3F87"/>
    <w:rsid w:val="00EA483C"/>
    <w:rsid w:val="00EA4ACC"/>
    <w:rsid w:val="00EA4F7F"/>
    <w:rsid w:val="00EA5B81"/>
    <w:rsid w:val="00EA6D8A"/>
    <w:rsid w:val="00EA7848"/>
    <w:rsid w:val="00EA7C07"/>
    <w:rsid w:val="00EA7DBD"/>
    <w:rsid w:val="00EB260D"/>
    <w:rsid w:val="00EB275B"/>
    <w:rsid w:val="00EB2E04"/>
    <w:rsid w:val="00EB3E23"/>
    <w:rsid w:val="00EB52C8"/>
    <w:rsid w:val="00EB57E9"/>
    <w:rsid w:val="00EB639D"/>
    <w:rsid w:val="00EB68F4"/>
    <w:rsid w:val="00EB7FAF"/>
    <w:rsid w:val="00EC0A9F"/>
    <w:rsid w:val="00EC1675"/>
    <w:rsid w:val="00EC16BA"/>
    <w:rsid w:val="00EC2687"/>
    <w:rsid w:val="00EC2F91"/>
    <w:rsid w:val="00EC337D"/>
    <w:rsid w:val="00EC3AD1"/>
    <w:rsid w:val="00EC3DCD"/>
    <w:rsid w:val="00EC5191"/>
    <w:rsid w:val="00EC58C8"/>
    <w:rsid w:val="00EC5D13"/>
    <w:rsid w:val="00EC5F26"/>
    <w:rsid w:val="00EC6D3D"/>
    <w:rsid w:val="00EC7206"/>
    <w:rsid w:val="00EC7291"/>
    <w:rsid w:val="00EC7400"/>
    <w:rsid w:val="00EC75B0"/>
    <w:rsid w:val="00EC794C"/>
    <w:rsid w:val="00ED0AA8"/>
    <w:rsid w:val="00ED234C"/>
    <w:rsid w:val="00ED2E1F"/>
    <w:rsid w:val="00ED3311"/>
    <w:rsid w:val="00ED37DA"/>
    <w:rsid w:val="00ED4B80"/>
    <w:rsid w:val="00ED5B1D"/>
    <w:rsid w:val="00ED5CD3"/>
    <w:rsid w:val="00ED5E8D"/>
    <w:rsid w:val="00ED65C0"/>
    <w:rsid w:val="00ED6831"/>
    <w:rsid w:val="00ED6D8B"/>
    <w:rsid w:val="00EE040D"/>
    <w:rsid w:val="00EE0FC6"/>
    <w:rsid w:val="00EE1F6E"/>
    <w:rsid w:val="00EE2A9C"/>
    <w:rsid w:val="00EE32CD"/>
    <w:rsid w:val="00EE3810"/>
    <w:rsid w:val="00EE505C"/>
    <w:rsid w:val="00EE51C4"/>
    <w:rsid w:val="00EE57A9"/>
    <w:rsid w:val="00EE58E0"/>
    <w:rsid w:val="00EE593B"/>
    <w:rsid w:val="00EE6570"/>
    <w:rsid w:val="00EE6603"/>
    <w:rsid w:val="00EE6A51"/>
    <w:rsid w:val="00EE6D22"/>
    <w:rsid w:val="00EE78A3"/>
    <w:rsid w:val="00EE7DC7"/>
    <w:rsid w:val="00EF04EF"/>
    <w:rsid w:val="00EF0E62"/>
    <w:rsid w:val="00EF16B3"/>
    <w:rsid w:val="00EF2013"/>
    <w:rsid w:val="00EF240A"/>
    <w:rsid w:val="00EF31B4"/>
    <w:rsid w:val="00EF3797"/>
    <w:rsid w:val="00EF3E56"/>
    <w:rsid w:val="00EF6AA8"/>
    <w:rsid w:val="00EF6ABA"/>
    <w:rsid w:val="00EF7188"/>
    <w:rsid w:val="00F003CB"/>
    <w:rsid w:val="00F00660"/>
    <w:rsid w:val="00F00AEE"/>
    <w:rsid w:val="00F00DC4"/>
    <w:rsid w:val="00F00F5E"/>
    <w:rsid w:val="00F019AC"/>
    <w:rsid w:val="00F021FE"/>
    <w:rsid w:val="00F022B2"/>
    <w:rsid w:val="00F0283A"/>
    <w:rsid w:val="00F02FEB"/>
    <w:rsid w:val="00F036E0"/>
    <w:rsid w:val="00F0388F"/>
    <w:rsid w:val="00F03D4B"/>
    <w:rsid w:val="00F04E31"/>
    <w:rsid w:val="00F050C8"/>
    <w:rsid w:val="00F05B13"/>
    <w:rsid w:val="00F10074"/>
    <w:rsid w:val="00F13689"/>
    <w:rsid w:val="00F14D56"/>
    <w:rsid w:val="00F15232"/>
    <w:rsid w:val="00F15880"/>
    <w:rsid w:val="00F178C8"/>
    <w:rsid w:val="00F20C5E"/>
    <w:rsid w:val="00F20EE7"/>
    <w:rsid w:val="00F21012"/>
    <w:rsid w:val="00F2103D"/>
    <w:rsid w:val="00F225D3"/>
    <w:rsid w:val="00F233D9"/>
    <w:rsid w:val="00F23598"/>
    <w:rsid w:val="00F23ADD"/>
    <w:rsid w:val="00F247F3"/>
    <w:rsid w:val="00F24C67"/>
    <w:rsid w:val="00F2545F"/>
    <w:rsid w:val="00F2646C"/>
    <w:rsid w:val="00F26882"/>
    <w:rsid w:val="00F27CFB"/>
    <w:rsid w:val="00F305E0"/>
    <w:rsid w:val="00F307FA"/>
    <w:rsid w:val="00F30DBE"/>
    <w:rsid w:val="00F3167C"/>
    <w:rsid w:val="00F3205D"/>
    <w:rsid w:val="00F32700"/>
    <w:rsid w:val="00F33660"/>
    <w:rsid w:val="00F33D72"/>
    <w:rsid w:val="00F33ECF"/>
    <w:rsid w:val="00F34F5B"/>
    <w:rsid w:val="00F365A6"/>
    <w:rsid w:val="00F372B1"/>
    <w:rsid w:val="00F400A1"/>
    <w:rsid w:val="00F402E0"/>
    <w:rsid w:val="00F4118B"/>
    <w:rsid w:val="00F416EE"/>
    <w:rsid w:val="00F417B5"/>
    <w:rsid w:val="00F422AF"/>
    <w:rsid w:val="00F42648"/>
    <w:rsid w:val="00F4273C"/>
    <w:rsid w:val="00F43C5E"/>
    <w:rsid w:val="00F443B1"/>
    <w:rsid w:val="00F456A2"/>
    <w:rsid w:val="00F457DE"/>
    <w:rsid w:val="00F5037A"/>
    <w:rsid w:val="00F504E6"/>
    <w:rsid w:val="00F50C19"/>
    <w:rsid w:val="00F514FC"/>
    <w:rsid w:val="00F51BB6"/>
    <w:rsid w:val="00F51C44"/>
    <w:rsid w:val="00F539CD"/>
    <w:rsid w:val="00F53BA4"/>
    <w:rsid w:val="00F547F0"/>
    <w:rsid w:val="00F55411"/>
    <w:rsid w:val="00F55DA5"/>
    <w:rsid w:val="00F56BE6"/>
    <w:rsid w:val="00F56F74"/>
    <w:rsid w:val="00F5755B"/>
    <w:rsid w:val="00F579F7"/>
    <w:rsid w:val="00F57C84"/>
    <w:rsid w:val="00F6132E"/>
    <w:rsid w:val="00F6141F"/>
    <w:rsid w:val="00F61F7B"/>
    <w:rsid w:val="00F62B01"/>
    <w:rsid w:val="00F6354A"/>
    <w:rsid w:val="00F63816"/>
    <w:rsid w:val="00F63EB7"/>
    <w:rsid w:val="00F647FF"/>
    <w:rsid w:val="00F6487F"/>
    <w:rsid w:val="00F64E0D"/>
    <w:rsid w:val="00F65336"/>
    <w:rsid w:val="00F656A0"/>
    <w:rsid w:val="00F70A9B"/>
    <w:rsid w:val="00F71095"/>
    <w:rsid w:val="00F72000"/>
    <w:rsid w:val="00F7212C"/>
    <w:rsid w:val="00F72AD4"/>
    <w:rsid w:val="00F72D62"/>
    <w:rsid w:val="00F73292"/>
    <w:rsid w:val="00F73FE0"/>
    <w:rsid w:val="00F740D7"/>
    <w:rsid w:val="00F7433C"/>
    <w:rsid w:val="00F7476C"/>
    <w:rsid w:val="00F74A3F"/>
    <w:rsid w:val="00F75BDA"/>
    <w:rsid w:val="00F769DC"/>
    <w:rsid w:val="00F76EA0"/>
    <w:rsid w:val="00F77A69"/>
    <w:rsid w:val="00F77C68"/>
    <w:rsid w:val="00F77C9D"/>
    <w:rsid w:val="00F77DE0"/>
    <w:rsid w:val="00F77E5D"/>
    <w:rsid w:val="00F801A3"/>
    <w:rsid w:val="00F812C0"/>
    <w:rsid w:val="00F81677"/>
    <w:rsid w:val="00F817D6"/>
    <w:rsid w:val="00F82893"/>
    <w:rsid w:val="00F8313D"/>
    <w:rsid w:val="00F83CDD"/>
    <w:rsid w:val="00F84204"/>
    <w:rsid w:val="00F842E1"/>
    <w:rsid w:val="00F848C8"/>
    <w:rsid w:val="00F8576B"/>
    <w:rsid w:val="00F8597C"/>
    <w:rsid w:val="00F87294"/>
    <w:rsid w:val="00F90835"/>
    <w:rsid w:val="00F91102"/>
    <w:rsid w:val="00F91134"/>
    <w:rsid w:val="00F91655"/>
    <w:rsid w:val="00F92343"/>
    <w:rsid w:val="00F928E9"/>
    <w:rsid w:val="00F93626"/>
    <w:rsid w:val="00F94CE2"/>
    <w:rsid w:val="00F951B1"/>
    <w:rsid w:val="00F95620"/>
    <w:rsid w:val="00F959F1"/>
    <w:rsid w:val="00F96415"/>
    <w:rsid w:val="00F96BB1"/>
    <w:rsid w:val="00F96CAA"/>
    <w:rsid w:val="00F96FE9"/>
    <w:rsid w:val="00F97B50"/>
    <w:rsid w:val="00FA003D"/>
    <w:rsid w:val="00FA0CF7"/>
    <w:rsid w:val="00FA156A"/>
    <w:rsid w:val="00FA15C0"/>
    <w:rsid w:val="00FA171C"/>
    <w:rsid w:val="00FA1E78"/>
    <w:rsid w:val="00FA4C2D"/>
    <w:rsid w:val="00FA531E"/>
    <w:rsid w:val="00FA5967"/>
    <w:rsid w:val="00FA6B7E"/>
    <w:rsid w:val="00FA721D"/>
    <w:rsid w:val="00FA797C"/>
    <w:rsid w:val="00FA7E74"/>
    <w:rsid w:val="00FB04AB"/>
    <w:rsid w:val="00FB04E5"/>
    <w:rsid w:val="00FB0D6D"/>
    <w:rsid w:val="00FB1721"/>
    <w:rsid w:val="00FB176D"/>
    <w:rsid w:val="00FB1E14"/>
    <w:rsid w:val="00FB2B4A"/>
    <w:rsid w:val="00FB2C97"/>
    <w:rsid w:val="00FB4A19"/>
    <w:rsid w:val="00FB5DB6"/>
    <w:rsid w:val="00FB760A"/>
    <w:rsid w:val="00FB763E"/>
    <w:rsid w:val="00FB78B4"/>
    <w:rsid w:val="00FB7E57"/>
    <w:rsid w:val="00FB7FB7"/>
    <w:rsid w:val="00FC0368"/>
    <w:rsid w:val="00FC1912"/>
    <w:rsid w:val="00FC3B38"/>
    <w:rsid w:val="00FC4721"/>
    <w:rsid w:val="00FC5937"/>
    <w:rsid w:val="00FC5D4B"/>
    <w:rsid w:val="00FC6265"/>
    <w:rsid w:val="00FC6778"/>
    <w:rsid w:val="00FC6B29"/>
    <w:rsid w:val="00FD020D"/>
    <w:rsid w:val="00FD0306"/>
    <w:rsid w:val="00FD0784"/>
    <w:rsid w:val="00FD1113"/>
    <w:rsid w:val="00FD1E23"/>
    <w:rsid w:val="00FD24E7"/>
    <w:rsid w:val="00FD3669"/>
    <w:rsid w:val="00FD3844"/>
    <w:rsid w:val="00FD3CCA"/>
    <w:rsid w:val="00FD3DC0"/>
    <w:rsid w:val="00FD5C42"/>
    <w:rsid w:val="00FD5F10"/>
    <w:rsid w:val="00FD7769"/>
    <w:rsid w:val="00FE063B"/>
    <w:rsid w:val="00FE0818"/>
    <w:rsid w:val="00FE09A1"/>
    <w:rsid w:val="00FE0F68"/>
    <w:rsid w:val="00FE1249"/>
    <w:rsid w:val="00FE1605"/>
    <w:rsid w:val="00FE1DC2"/>
    <w:rsid w:val="00FE22C4"/>
    <w:rsid w:val="00FE2747"/>
    <w:rsid w:val="00FE4547"/>
    <w:rsid w:val="00FE4594"/>
    <w:rsid w:val="00FE4A90"/>
    <w:rsid w:val="00FE6223"/>
    <w:rsid w:val="00FE695C"/>
    <w:rsid w:val="00FE72B1"/>
    <w:rsid w:val="00FE72DC"/>
    <w:rsid w:val="00FF019C"/>
    <w:rsid w:val="00FF176C"/>
    <w:rsid w:val="00FF2FD5"/>
    <w:rsid w:val="00FF3C7A"/>
    <w:rsid w:val="00FF46FD"/>
    <w:rsid w:val="00FF53AA"/>
    <w:rsid w:val="00FF6A49"/>
    <w:rsid w:val="00FF7559"/>
    <w:rsid w:val="00FF7CC8"/>
    <w:rsid w:val="00FF7E6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ED6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E62"/>
    <w:pPr>
      <w:spacing w:after="200" w:line="276" w:lineRule="auto"/>
    </w:pPr>
    <w:rPr>
      <w:rFonts w:ascii="Calibri" w:eastAsia="Calibri" w:hAnsi="Calibri" w:cs="Times New Roman"/>
      <w:sz w:val="22"/>
      <w:szCs w:val="22"/>
      <w:lang w:val="en-US" w:eastAsia="en-US"/>
    </w:rPr>
  </w:style>
  <w:style w:type="paragraph" w:styleId="Heading1">
    <w:name w:val="heading 1"/>
    <w:basedOn w:val="Normal"/>
    <w:next w:val="Normal"/>
    <w:link w:val="Heading1Char"/>
    <w:qFormat/>
    <w:rsid w:val="00007A36"/>
    <w:pPr>
      <w:keepNext/>
      <w:spacing w:before="960" w:after="640" w:line="240" w:lineRule="auto"/>
      <w:outlineLvl w:val="0"/>
    </w:pPr>
    <w:rPr>
      <w:rFonts w:asciiTheme="minorHAnsi" w:eastAsia="Times New Roman" w:hAnsiTheme="minorHAnsi"/>
      <w:b/>
      <w:bCs/>
      <w:color w:val="4A442A" w:themeColor="background2" w:themeShade="40"/>
      <w:kern w:val="32"/>
      <w:sz w:val="32"/>
      <w:szCs w:val="26"/>
    </w:rPr>
  </w:style>
  <w:style w:type="paragraph" w:styleId="Heading2">
    <w:name w:val="heading 2"/>
    <w:basedOn w:val="Normal"/>
    <w:next w:val="Normal"/>
    <w:link w:val="Heading2Char"/>
    <w:uiPriority w:val="9"/>
    <w:unhideWhenUsed/>
    <w:qFormat/>
    <w:rsid w:val="00EE32CD"/>
    <w:pPr>
      <w:keepNext/>
      <w:keepLines/>
      <w:numPr>
        <w:numId w:val="6"/>
      </w:numPr>
      <w:spacing w:before="480" w:after="360" w:line="240" w:lineRule="auto"/>
      <w:outlineLvl w:val="1"/>
    </w:pPr>
    <w:rPr>
      <w:rFonts w:asciiTheme="minorHAnsi" w:eastAsiaTheme="majorEastAsia" w:hAnsiTheme="minorHAnsi" w:cstheme="majorBidi"/>
      <w:b/>
      <w:i/>
      <w:sz w:val="28"/>
    </w:rPr>
  </w:style>
  <w:style w:type="paragraph" w:styleId="Heading3">
    <w:name w:val="heading 3"/>
    <w:basedOn w:val="Normal"/>
    <w:next w:val="Normal"/>
    <w:link w:val="Heading3Char"/>
    <w:uiPriority w:val="9"/>
    <w:unhideWhenUsed/>
    <w:qFormat/>
    <w:rsid w:val="001D6578"/>
    <w:pPr>
      <w:numPr>
        <w:numId w:val="30"/>
      </w:numPr>
      <w:spacing w:before="480" w:after="360" w:line="240" w:lineRule="auto"/>
      <w:ind w:left="0" w:firstLine="0"/>
      <w:outlineLvl w:val="2"/>
    </w:pPr>
    <w:rPr>
      <w:rFonts w:asciiTheme="minorHAnsi" w:hAnsiTheme="minorHAnsi"/>
      <w:b/>
      <w:sz w:val="24"/>
      <w:szCs w:val="20"/>
    </w:rPr>
  </w:style>
  <w:style w:type="paragraph" w:styleId="Heading4">
    <w:name w:val="heading 4"/>
    <w:basedOn w:val="Normal"/>
    <w:next w:val="Normal"/>
    <w:link w:val="Heading4Char"/>
    <w:uiPriority w:val="9"/>
    <w:unhideWhenUsed/>
    <w:qFormat/>
    <w:rsid w:val="001D6074"/>
    <w:pPr>
      <w:keepNext/>
      <w:keepLines/>
      <w:numPr>
        <w:numId w:val="33"/>
      </w:numPr>
      <w:spacing w:before="480" w:after="360" w:line="240" w:lineRule="auto"/>
      <w:ind w:hanging="720"/>
      <w:outlineLvl w:val="3"/>
    </w:pPr>
    <w:rPr>
      <w:rFonts w:asciiTheme="minorHAnsi" w:eastAsiaTheme="majorEastAsia" w:hAnsiTheme="minorHAnsi" w:cstheme="majorBidi"/>
      <w:b/>
      <w:iCs/>
      <w:sz w:val="24"/>
      <w:szCs w:val="20"/>
    </w:rPr>
  </w:style>
  <w:style w:type="paragraph" w:styleId="Heading8">
    <w:name w:val="heading 8"/>
    <w:basedOn w:val="Normal"/>
    <w:next w:val="Normal"/>
    <w:link w:val="Heading8Char"/>
    <w:uiPriority w:val="9"/>
    <w:semiHidden/>
    <w:unhideWhenUsed/>
    <w:qFormat/>
    <w:rsid w:val="00091638"/>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7A36"/>
    <w:rPr>
      <w:rFonts w:eastAsia="Times New Roman" w:cs="Times New Roman"/>
      <w:b/>
      <w:bCs/>
      <w:color w:val="4A442A" w:themeColor="background2" w:themeShade="40"/>
      <w:kern w:val="32"/>
      <w:sz w:val="32"/>
      <w:szCs w:val="26"/>
      <w:lang w:val="en-US" w:eastAsia="en-US"/>
    </w:rPr>
  </w:style>
  <w:style w:type="character" w:customStyle="1" w:styleId="Heading3Char">
    <w:name w:val="Heading 3 Char"/>
    <w:basedOn w:val="DefaultParagraphFont"/>
    <w:link w:val="Heading3"/>
    <w:uiPriority w:val="9"/>
    <w:rsid w:val="001D6578"/>
    <w:rPr>
      <w:rFonts w:eastAsia="Calibri" w:cs="Times New Roman"/>
      <w:b/>
      <w:szCs w:val="20"/>
      <w:lang w:val="en-US" w:eastAsia="en-US"/>
    </w:rPr>
  </w:style>
  <w:style w:type="numbering" w:customStyle="1" w:styleId="NoList1">
    <w:name w:val="No List1"/>
    <w:next w:val="NoList"/>
    <w:uiPriority w:val="99"/>
    <w:semiHidden/>
    <w:unhideWhenUsed/>
    <w:rsid w:val="00EF0E62"/>
  </w:style>
  <w:style w:type="numbering" w:customStyle="1" w:styleId="NoList11">
    <w:name w:val="No List11"/>
    <w:next w:val="NoList"/>
    <w:uiPriority w:val="99"/>
    <w:semiHidden/>
    <w:unhideWhenUsed/>
    <w:rsid w:val="00EF0E62"/>
  </w:style>
  <w:style w:type="numbering" w:customStyle="1" w:styleId="NoList111">
    <w:name w:val="No List111"/>
    <w:next w:val="NoList"/>
    <w:uiPriority w:val="99"/>
    <w:semiHidden/>
    <w:unhideWhenUsed/>
    <w:rsid w:val="00EF0E62"/>
  </w:style>
  <w:style w:type="numbering" w:customStyle="1" w:styleId="NoList1111">
    <w:name w:val="No List1111"/>
    <w:next w:val="NoList"/>
    <w:uiPriority w:val="99"/>
    <w:semiHidden/>
    <w:unhideWhenUsed/>
    <w:rsid w:val="00EF0E62"/>
  </w:style>
  <w:style w:type="paragraph" w:styleId="ListParagraph">
    <w:name w:val="List Paragraph"/>
    <w:basedOn w:val="Normal"/>
    <w:link w:val="ListParagraphChar"/>
    <w:qFormat/>
    <w:rsid w:val="00EF0E62"/>
    <w:pPr>
      <w:ind w:left="720"/>
      <w:contextualSpacing/>
    </w:pPr>
    <w:rPr>
      <w:rFonts w:ascii="Cambria" w:eastAsia="Cambria" w:hAnsi="Cambria"/>
    </w:rPr>
  </w:style>
  <w:style w:type="paragraph" w:styleId="FootnoteText">
    <w:name w:val="footnote text"/>
    <w:aliases w:val="Footnote reference,FA Fu,Footnote Text Char Char Char Char Char,Footnote Text Char Char Char Char,Footnote Text Char Char Char,Footnote Text Cha,FA Fußnotentext,FA Fuﬂnotentext,Footnote Text Char Char,footnote text,Ca,f,FA Fu?notentext,Ref"/>
    <w:basedOn w:val="Normal"/>
    <w:link w:val="FootnoteTextChar"/>
    <w:unhideWhenUsed/>
    <w:qFormat/>
    <w:rsid w:val="00EF0E62"/>
    <w:pPr>
      <w:spacing w:after="0" w:line="240" w:lineRule="auto"/>
    </w:pPr>
    <w:rPr>
      <w:rFonts w:ascii="Cambria" w:eastAsia="Cambria" w:hAnsi="Cambria"/>
      <w:sz w:val="20"/>
      <w:szCs w:val="20"/>
    </w:rPr>
  </w:style>
  <w:style w:type="character" w:customStyle="1" w:styleId="TextonotapieCar">
    <w:name w:val="Texto nota pie Car"/>
    <w:aliases w:val="FA Fu?notentext Car"/>
    <w:basedOn w:val="DefaultParagraphFont"/>
    <w:uiPriority w:val="99"/>
    <w:rsid w:val="00EF0E62"/>
    <w:rPr>
      <w:rFonts w:ascii="Calibri" w:eastAsia="Calibri" w:hAnsi="Calibri" w:cs="Times New Roman"/>
      <w:lang w:val="en-US" w:eastAsia="en-US"/>
    </w:rPr>
  </w:style>
  <w:style w:type="character" w:customStyle="1" w:styleId="FootnoteTextChar">
    <w:name w:val="Footnote Text Char"/>
    <w:aliases w:val="Footnote reference Char,FA Fu Char,Footnote Text Char Char Char Char Char Char,Footnote Text Char Char Char Char Char1,Footnote Text Char Char Char Char1,Footnote Text Cha Char,FA Fußnotentext Char,FA Fuﬂnotentext Char,Ca Char,f Char"/>
    <w:link w:val="FootnoteText"/>
    <w:rsid w:val="00EF0E62"/>
    <w:rPr>
      <w:rFonts w:ascii="Cambria" w:eastAsia="Cambria" w:hAnsi="Cambria" w:cs="Times New Roman"/>
      <w:sz w:val="20"/>
      <w:szCs w:val="20"/>
      <w:lang w:val="en-US" w:eastAsia="en-US"/>
    </w:rPr>
  </w:style>
  <w:style w:type="character" w:styleId="FootnoteReference">
    <w:name w:val="footnote reference"/>
    <w:aliases w:val="Footnotes refss,Texto de nota al pie,Appel note de bas de page,referencia nota al pie,BVI fnr,Footnote number,Ref. de nota al pie.,Footnote symbol,Footnote,4_G,16 Point,Superscript 6 Point,Texto nota al pie,Footnote Reference Char3,f1"/>
    <w:link w:val="BVIfnrCar1CarCarCarCar"/>
    <w:uiPriority w:val="99"/>
    <w:unhideWhenUsed/>
    <w:qFormat/>
    <w:rsid w:val="00EF0E62"/>
    <w:rPr>
      <w:vertAlign w:val="superscript"/>
    </w:rPr>
  </w:style>
  <w:style w:type="paragraph" w:styleId="BalloonText">
    <w:name w:val="Balloon Text"/>
    <w:basedOn w:val="Normal"/>
    <w:link w:val="BalloonTextChar"/>
    <w:uiPriority w:val="99"/>
    <w:semiHidden/>
    <w:unhideWhenUsed/>
    <w:rsid w:val="00EF0E62"/>
    <w:pPr>
      <w:spacing w:after="0" w:line="240" w:lineRule="auto"/>
    </w:pPr>
    <w:rPr>
      <w:rFonts w:ascii="Tahoma" w:eastAsia="Cambria" w:hAnsi="Tahoma" w:cs="Tahoma"/>
      <w:sz w:val="16"/>
      <w:szCs w:val="16"/>
    </w:rPr>
  </w:style>
  <w:style w:type="character" w:customStyle="1" w:styleId="BalloonTextChar">
    <w:name w:val="Balloon Text Char"/>
    <w:basedOn w:val="DefaultParagraphFont"/>
    <w:link w:val="BalloonText"/>
    <w:uiPriority w:val="99"/>
    <w:semiHidden/>
    <w:rsid w:val="00EF0E62"/>
    <w:rPr>
      <w:rFonts w:ascii="Tahoma" w:eastAsia="Cambria" w:hAnsi="Tahoma" w:cs="Tahoma"/>
      <w:sz w:val="16"/>
      <w:szCs w:val="16"/>
      <w:lang w:val="en-US" w:eastAsia="en-US"/>
    </w:rPr>
  </w:style>
  <w:style w:type="character" w:customStyle="1" w:styleId="apple-converted-space">
    <w:name w:val="apple-converted-space"/>
    <w:rsid w:val="00EF0E62"/>
  </w:style>
  <w:style w:type="paragraph" w:styleId="NormalWeb">
    <w:name w:val="Normal (Web)"/>
    <w:basedOn w:val="Normal"/>
    <w:unhideWhenUsed/>
    <w:rsid w:val="00EF0E62"/>
    <w:pPr>
      <w:spacing w:before="100" w:beforeAutospacing="1" w:after="100" w:afterAutospacing="1" w:line="240" w:lineRule="auto"/>
    </w:pPr>
    <w:rPr>
      <w:rFonts w:ascii="Times" w:eastAsia="MS Mincho" w:hAnsi="Times"/>
      <w:sz w:val="20"/>
      <w:szCs w:val="20"/>
      <w:lang w:val="es-ES_tradnl" w:eastAsia="es-ES"/>
    </w:rPr>
  </w:style>
  <w:style w:type="character" w:customStyle="1" w:styleId="apple-style-span">
    <w:name w:val="apple-style-span"/>
    <w:rsid w:val="00EF0E62"/>
  </w:style>
  <w:style w:type="paragraph" w:customStyle="1" w:styleId="Default">
    <w:name w:val="Default"/>
    <w:rsid w:val="00EF0E62"/>
    <w:pPr>
      <w:autoSpaceDE w:val="0"/>
      <w:autoSpaceDN w:val="0"/>
      <w:adjustRightInd w:val="0"/>
    </w:pPr>
    <w:rPr>
      <w:rFonts w:ascii="Calibri" w:eastAsia="MS Mincho" w:hAnsi="Calibri" w:cs="Calibri"/>
      <w:color w:val="000000"/>
      <w:lang w:val="en-US"/>
    </w:rPr>
  </w:style>
  <w:style w:type="paragraph" w:styleId="Header">
    <w:name w:val="header"/>
    <w:basedOn w:val="Normal"/>
    <w:link w:val="HeaderChar"/>
    <w:uiPriority w:val="99"/>
    <w:unhideWhenUsed/>
    <w:rsid w:val="00EF0E62"/>
    <w:pPr>
      <w:tabs>
        <w:tab w:val="center" w:pos="4680"/>
        <w:tab w:val="right" w:pos="9360"/>
      </w:tabs>
      <w:spacing w:after="0" w:line="240" w:lineRule="auto"/>
    </w:pPr>
    <w:rPr>
      <w:rFonts w:ascii="Cambria" w:eastAsia="Cambria" w:hAnsi="Cambria"/>
    </w:rPr>
  </w:style>
  <w:style w:type="character" w:customStyle="1" w:styleId="HeaderChar">
    <w:name w:val="Header Char"/>
    <w:basedOn w:val="DefaultParagraphFont"/>
    <w:link w:val="Header"/>
    <w:uiPriority w:val="99"/>
    <w:rsid w:val="00EF0E62"/>
    <w:rPr>
      <w:rFonts w:ascii="Cambria" w:eastAsia="Cambria" w:hAnsi="Cambria" w:cs="Times New Roman"/>
      <w:sz w:val="22"/>
      <w:szCs w:val="22"/>
      <w:lang w:val="en-US" w:eastAsia="en-US"/>
    </w:rPr>
  </w:style>
  <w:style w:type="paragraph" w:styleId="Footer">
    <w:name w:val="footer"/>
    <w:basedOn w:val="Normal"/>
    <w:link w:val="FooterChar"/>
    <w:uiPriority w:val="99"/>
    <w:unhideWhenUsed/>
    <w:rsid w:val="00EF0E62"/>
    <w:pPr>
      <w:tabs>
        <w:tab w:val="center" w:pos="4680"/>
        <w:tab w:val="right" w:pos="9360"/>
      </w:tabs>
      <w:spacing w:after="0" w:line="240" w:lineRule="auto"/>
    </w:pPr>
    <w:rPr>
      <w:rFonts w:ascii="Cambria" w:eastAsia="Cambria" w:hAnsi="Cambria"/>
    </w:rPr>
  </w:style>
  <w:style w:type="character" w:customStyle="1" w:styleId="FooterChar">
    <w:name w:val="Footer Char"/>
    <w:basedOn w:val="DefaultParagraphFont"/>
    <w:link w:val="Footer"/>
    <w:uiPriority w:val="99"/>
    <w:rsid w:val="00EF0E62"/>
    <w:rPr>
      <w:rFonts w:ascii="Cambria" w:eastAsia="Cambria" w:hAnsi="Cambria" w:cs="Times New Roman"/>
      <w:sz w:val="22"/>
      <w:szCs w:val="22"/>
      <w:lang w:val="en-US" w:eastAsia="en-US"/>
    </w:rPr>
  </w:style>
  <w:style w:type="character" w:styleId="Hyperlink">
    <w:name w:val="Hyperlink"/>
    <w:uiPriority w:val="99"/>
    <w:unhideWhenUsed/>
    <w:rsid w:val="00EF0E62"/>
    <w:rPr>
      <w:color w:val="0000FF"/>
      <w:u w:val="single"/>
    </w:rPr>
  </w:style>
  <w:style w:type="character" w:customStyle="1" w:styleId="reference-text">
    <w:name w:val="reference-text"/>
    <w:rsid w:val="00EF0E62"/>
  </w:style>
  <w:style w:type="character" w:styleId="HTMLCite">
    <w:name w:val="HTML Cite"/>
    <w:uiPriority w:val="99"/>
    <w:semiHidden/>
    <w:unhideWhenUsed/>
    <w:rsid w:val="00EF0E62"/>
    <w:rPr>
      <w:i/>
      <w:iCs/>
    </w:rPr>
  </w:style>
  <w:style w:type="character" w:customStyle="1" w:styleId="reference-accessdate">
    <w:name w:val="reference-accessdate"/>
    <w:rsid w:val="00EF0E62"/>
  </w:style>
  <w:style w:type="character" w:styleId="CommentReference">
    <w:name w:val="annotation reference"/>
    <w:uiPriority w:val="99"/>
    <w:semiHidden/>
    <w:unhideWhenUsed/>
    <w:rsid w:val="00EF0E62"/>
    <w:rPr>
      <w:sz w:val="18"/>
      <w:szCs w:val="18"/>
    </w:rPr>
  </w:style>
  <w:style w:type="paragraph" w:styleId="CommentText">
    <w:name w:val="annotation text"/>
    <w:basedOn w:val="Normal"/>
    <w:link w:val="CommentTextChar"/>
    <w:unhideWhenUsed/>
    <w:rsid w:val="00EF0E62"/>
    <w:pPr>
      <w:spacing w:line="240" w:lineRule="auto"/>
    </w:pPr>
    <w:rPr>
      <w:rFonts w:ascii="Cambria" w:eastAsia="Cambria" w:hAnsi="Cambria"/>
      <w:sz w:val="24"/>
      <w:szCs w:val="24"/>
    </w:rPr>
  </w:style>
  <w:style w:type="character" w:customStyle="1" w:styleId="CommentTextChar">
    <w:name w:val="Comment Text Char"/>
    <w:basedOn w:val="DefaultParagraphFont"/>
    <w:link w:val="CommentText"/>
    <w:rsid w:val="00EF0E62"/>
    <w:rPr>
      <w:rFonts w:ascii="Cambria" w:eastAsia="Cambria" w:hAnsi="Cambria" w:cs="Times New Roman"/>
      <w:lang w:val="en-US" w:eastAsia="en-US"/>
    </w:rPr>
  </w:style>
  <w:style w:type="paragraph" w:styleId="NoSpacing">
    <w:name w:val="No Spacing"/>
    <w:uiPriority w:val="1"/>
    <w:qFormat/>
    <w:rsid w:val="00EF0E62"/>
    <w:rPr>
      <w:rFonts w:ascii="Calibri" w:eastAsia="Calibri" w:hAnsi="Calibri" w:cs="Times New Roman"/>
      <w:sz w:val="22"/>
      <w:szCs w:val="22"/>
      <w:lang w:val="en-US" w:eastAsia="en-US"/>
    </w:rPr>
  </w:style>
  <w:style w:type="paragraph" w:styleId="CommentSubject">
    <w:name w:val="annotation subject"/>
    <w:basedOn w:val="CommentText"/>
    <w:next w:val="CommentText"/>
    <w:link w:val="CommentSubjectChar"/>
    <w:uiPriority w:val="99"/>
    <w:semiHidden/>
    <w:unhideWhenUsed/>
    <w:rsid w:val="00EF0E62"/>
    <w:rPr>
      <w:b/>
      <w:bCs/>
      <w:sz w:val="20"/>
      <w:szCs w:val="20"/>
    </w:rPr>
  </w:style>
  <w:style w:type="character" w:customStyle="1" w:styleId="CommentSubjectChar">
    <w:name w:val="Comment Subject Char"/>
    <w:basedOn w:val="CommentTextChar"/>
    <w:link w:val="CommentSubject"/>
    <w:uiPriority w:val="99"/>
    <w:semiHidden/>
    <w:rsid w:val="00EF0E62"/>
    <w:rPr>
      <w:rFonts w:ascii="Cambria" w:eastAsia="Cambria" w:hAnsi="Cambria" w:cs="Times New Roman"/>
      <w:b/>
      <w:bCs/>
      <w:sz w:val="20"/>
      <w:szCs w:val="20"/>
      <w:lang w:val="en-US" w:eastAsia="en-US"/>
    </w:rPr>
  </w:style>
  <w:style w:type="character" w:customStyle="1" w:styleId="nowrap">
    <w:name w:val="nowrap"/>
    <w:rsid w:val="00EF0E62"/>
  </w:style>
  <w:style w:type="character" w:customStyle="1" w:styleId="hps">
    <w:name w:val="hps"/>
    <w:rsid w:val="00EF0E62"/>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uiPriority w:val="99"/>
    <w:rsid w:val="00EF0E62"/>
    <w:pPr>
      <w:spacing w:before="200" w:after="160" w:line="240" w:lineRule="exact"/>
    </w:pPr>
    <w:rPr>
      <w:rFonts w:asciiTheme="minorHAnsi" w:eastAsiaTheme="minorEastAsia" w:hAnsiTheme="minorHAnsi" w:cstheme="minorBidi"/>
      <w:sz w:val="24"/>
      <w:szCs w:val="24"/>
      <w:vertAlign w:val="superscript"/>
      <w:lang w:val="es-ES_tradnl" w:eastAsia="es-ES"/>
    </w:rPr>
  </w:style>
  <w:style w:type="character" w:styleId="FollowedHyperlink">
    <w:name w:val="FollowedHyperlink"/>
    <w:uiPriority w:val="99"/>
    <w:semiHidden/>
    <w:unhideWhenUsed/>
    <w:rsid w:val="00EF0E62"/>
    <w:rPr>
      <w:color w:val="800080"/>
      <w:u w:val="single"/>
    </w:rPr>
  </w:style>
  <w:style w:type="character" w:customStyle="1" w:styleId="nowrap1">
    <w:name w:val="nowrap1"/>
    <w:rsid w:val="00EF0E62"/>
  </w:style>
  <w:style w:type="character" w:styleId="Strong">
    <w:name w:val="Strong"/>
    <w:qFormat/>
    <w:rsid w:val="00EF0E62"/>
    <w:rPr>
      <w:b/>
      <w:bCs/>
    </w:rPr>
  </w:style>
  <w:style w:type="character" w:styleId="Emphasis">
    <w:name w:val="Emphasis"/>
    <w:uiPriority w:val="20"/>
    <w:qFormat/>
    <w:rsid w:val="00EF0E62"/>
    <w:rPr>
      <w:i/>
      <w:iCs/>
    </w:rPr>
  </w:style>
  <w:style w:type="character" w:customStyle="1" w:styleId="A5">
    <w:name w:val="A5"/>
    <w:uiPriority w:val="99"/>
    <w:rsid w:val="00EF0E62"/>
    <w:rPr>
      <w:rFonts w:cs="TradeGothic"/>
      <w:color w:val="000000"/>
      <w:sz w:val="22"/>
      <w:szCs w:val="22"/>
    </w:rPr>
  </w:style>
  <w:style w:type="character" w:customStyle="1" w:styleId="A6">
    <w:name w:val="A6"/>
    <w:uiPriority w:val="99"/>
    <w:rsid w:val="00EF0E62"/>
    <w:rPr>
      <w:rFonts w:cs="TradeGothic"/>
      <w:b/>
      <w:bCs/>
      <w:color w:val="000000"/>
      <w:sz w:val="12"/>
      <w:szCs w:val="12"/>
    </w:rPr>
  </w:style>
  <w:style w:type="paragraph" w:customStyle="1" w:styleId="Pa11">
    <w:name w:val="Pa1+1"/>
    <w:basedOn w:val="Default"/>
    <w:next w:val="Default"/>
    <w:uiPriority w:val="99"/>
    <w:rsid w:val="00EF0E62"/>
    <w:pPr>
      <w:spacing w:line="241" w:lineRule="atLeast"/>
    </w:pPr>
    <w:rPr>
      <w:rFonts w:ascii="TradeGothic Light" w:eastAsia="Calibri" w:hAnsi="TradeGothic Light" w:cs="Times New Roman"/>
      <w:color w:val="auto"/>
      <w:lang w:eastAsia="en-US"/>
    </w:rPr>
  </w:style>
  <w:style w:type="character" w:customStyle="1" w:styleId="A41">
    <w:name w:val="A4+1"/>
    <w:uiPriority w:val="99"/>
    <w:rsid w:val="00EF0E62"/>
    <w:rPr>
      <w:rFonts w:cs="TradeGothic Light"/>
      <w:b/>
      <w:bCs/>
      <w:color w:val="000000"/>
      <w:sz w:val="22"/>
      <w:szCs w:val="22"/>
    </w:rPr>
  </w:style>
  <w:style w:type="paragraph" w:customStyle="1" w:styleId="Pa21">
    <w:name w:val="Pa2+1"/>
    <w:basedOn w:val="Default"/>
    <w:next w:val="Default"/>
    <w:uiPriority w:val="99"/>
    <w:rsid w:val="00EF0E62"/>
    <w:pPr>
      <w:spacing w:line="241" w:lineRule="atLeast"/>
    </w:pPr>
    <w:rPr>
      <w:rFonts w:ascii="TradeGothic Light" w:eastAsia="Calibri" w:hAnsi="TradeGothic Light" w:cs="Times New Roman"/>
      <w:color w:val="auto"/>
      <w:lang w:eastAsia="en-US"/>
    </w:rPr>
  </w:style>
  <w:style w:type="paragraph" w:customStyle="1" w:styleId="Pa31">
    <w:name w:val="Pa3+1"/>
    <w:basedOn w:val="Default"/>
    <w:next w:val="Default"/>
    <w:uiPriority w:val="99"/>
    <w:rsid w:val="00EF0E62"/>
    <w:pPr>
      <w:spacing w:line="241" w:lineRule="atLeast"/>
    </w:pPr>
    <w:rPr>
      <w:rFonts w:ascii="TradeGothic Light" w:eastAsia="Calibri" w:hAnsi="TradeGothic Light" w:cs="Times New Roman"/>
      <w:color w:val="auto"/>
      <w:lang w:eastAsia="en-US"/>
    </w:rPr>
  </w:style>
  <w:style w:type="paragraph" w:customStyle="1" w:styleId="Pa71">
    <w:name w:val="Pa7+1"/>
    <w:basedOn w:val="Default"/>
    <w:next w:val="Default"/>
    <w:uiPriority w:val="99"/>
    <w:rsid w:val="00EF0E62"/>
    <w:pPr>
      <w:spacing w:line="241" w:lineRule="atLeast"/>
    </w:pPr>
    <w:rPr>
      <w:rFonts w:ascii="TradeGothic Light" w:eastAsia="Calibri" w:hAnsi="TradeGothic Light" w:cs="Times New Roman"/>
      <w:color w:val="auto"/>
      <w:lang w:eastAsia="en-US"/>
    </w:rPr>
  </w:style>
  <w:style w:type="character" w:customStyle="1" w:styleId="ListParagraphChar">
    <w:name w:val="List Paragraph Char"/>
    <w:link w:val="ListParagraph"/>
    <w:uiPriority w:val="34"/>
    <w:locked/>
    <w:rsid w:val="00EF0E62"/>
    <w:rPr>
      <w:rFonts w:ascii="Cambria" w:eastAsia="Cambria" w:hAnsi="Cambria" w:cs="Times New Roman"/>
      <w:sz w:val="22"/>
      <w:szCs w:val="22"/>
      <w:lang w:val="en-US" w:eastAsia="en-US"/>
    </w:rPr>
  </w:style>
  <w:style w:type="paragraph" w:styleId="List">
    <w:name w:val="List"/>
    <w:basedOn w:val="Normal"/>
    <w:uiPriority w:val="99"/>
    <w:unhideWhenUsed/>
    <w:rsid w:val="00EF0E62"/>
    <w:pPr>
      <w:ind w:left="360" w:hanging="360"/>
      <w:contextualSpacing/>
    </w:pPr>
    <w:rPr>
      <w:rFonts w:eastAsia="MS Mincho"/>
    </w:rPr>
  </w:style>
  <w:style w:type="paragraph" w:customStyle="1" w:styleId="SingleTxtG">
    <w:name w:val="_ Single Txt_G"/>
    <w:basedOn w:val="Normal"/>
    <w:link w:val="SingleTxtGChar"/>
    <w:rsid w:val="00EF0E62"/>
    <w:pPr>
      <w:spacing w:after="120" w:line="240" w:lineRule="atLeast"/>
      <w:ind w:left="1134" w:right="1134"/>
      <w:jc w:val="both"/>
    </w:pPr>
    <w:rPr>
      <w:rFonts w:ascii="Times New Roman" w:eastAsia="Times New Roman" w:hAnsi="Times New Roman"/>
      <w:sz w:val="20"/>
      <w:szCs w:val="20"/>
      <w:lang w:val="es-ES" w:eastAsia="es-ES"/>
    </w:rPr>
  </w:style>
  <w:style w:type="character" w:customStyle="1" w:styleId="atn">
    <w:name w:val="atn"/>
    <w:basedOn w:val="DefaultParagraphFont"/>
    <w:rsid w:val="007E1595"/>
  </w:style>
  <w:style w:type="paragraph" w:customStyle="1" w:styleId="Body">
    <w:name w:val="Body"/>
    <w:uiPriority w:val="99"/>
    <w:rsid w:val="00B43A5E"/>
    <w:pPr>
      <w:spacing w:after="200" w:line="276" w:lineRule="auto"/>
    </w:pPr>
    <w:rPr>
      <w:rFonts w:ascii="Calibri" w:eastAsia="Arial Unicode MS" w:hAnsi="Calibri" w:cs="Calibri"/>
      <w:color w:val="000000"/>
      <w:sz w:val="22"/>
      <w:szCs w:val="22"/>
      <w:u w:color="000000"/>
      <w:lang w:val="en-US" w:eastAsia="en-US"/>
    </w:rPr>
  </w:style>
  <w:style w:type="paragraph" w:customStyle="1" w:styleId="Normal1">
    <w:name w:val="Normal1"/>
    <w:rsid w:val="00217857"/>
    <w:pPr>
      <w:spacing w:line="276" w:lineRule="auto"/>
    </w:pPr>
    <w:rPr>
      <w:rFonts w:ascii="Arial" w:eastAsia="Arial" w:hAnsi="Arial" w:cs="Arial"/>
      <w:color w:val="000000"/>
      <w:sz w:val="22"/>
      <w:szCs w:val="22"/>
      <w:lang w:val="en-US" w:eastAsia="en-US"/>
    </w:rPr>
  </w:style>
  <w:style w:type="paragraph" w:styleId="TOCHeading">
    <w:name w:val="TOC Heading"/>
    <w:basedOn w:val="Heading1"/>
    <w:next w:val="Normal"/>
    <w:uiPriority w:val="39"/>
    <w:unhideWhenUsed/>
    <w:qFormat/>
    <w:rsid w:val="00AF6F7D"/>
    <w:pPr>
      <w:keepLines/>
      <w:spacing w:after="0" w:line="259" w:lineRule="auto"/>
      <w:outlineLvl w:val="9"/>
    </w:pPr>
    <w:rPr>
      <w:rFonts w:asciiTheme="majorHAnsi" w:eastAsiaTheme="majorEastAsia" w:hAnsiTheme="majorHAnsi" w:cstheme="majorBidi"/>
      <w:b w:val="0"/>
      <w:bCs w:val="0"/>
      <w:color w:val="122030" w:themeColor="accent1" w:themeShade="40"/>
      <w:kern w:val="0"/>
    </w:rPr>
  </w:style>
  <w:style w:type="paragraph" w:styleId="TOC2">
    <w:name w:val="toc 2"/>
    <w:basedOn w:val="Normal"/>
    <w:next w:val="Normal"/>
    <w:autoRedefine/>
    <w:uiPriority w:val="39"/>
    <w:unhideWhenUsed/>
    <w:rsid w:val="004F79A3"/>
    <w:pPr>
      <w:tabs>
        <w:tab w:val="left" w:pos="660"/>
        <w:tab w:val="right" w:pos="7560"/>
        <w:tab w:val="right" w:pos="9350"/>
      </w:tabs>
      <w:spacing w:line="20" w:lineRule="atLeast"/>
      <w:ind w:left="360" w:hanging="360"/>
    </w:pPr>
    <w:rPr>
      <w:rFonts w:asciiTheme="minorHAnsi" w:eastAsiaTheme="minorEastAsia" w:hAnsiTheme="minorHAnsi"/>
      <w:i/>
      <w:noProof/>
    </w:rPr>
  </w:style>
  <w:style w:type="paragraph" w:styleId="TOC1">
    <w:name w:val="toc 1"/>
    <w:basedOn w:val="Normal"/>
    <w:next w:val="Normal"/>
    <w:autoRedefine/>
    <w:uiPriority w:val="39"/>
    <w:unhideWhenUsed/>
    <w:rsid w:val="00141874"/>
    <w:pPr>
      <w:pBdr>
        <w:bottom w:val="single" w:sz="4" w:space="1" w:color="auto"/>
      </w:pBdr>
      <w:tabs>
        <w:tab w:val="left" w:pos="1440"/>
        <w:tab w:val="right" w:pos="7560"/>
        <w:tab w:val="right" w:pos="9350"/>
      </w:tabs>
      <w:spacing w:before="120" w:after="240"/>
      <w:ind w:left="1440" w:hanging="1440"/>
    </w:pPr>
    <w:rPr>
      <w:rFonts w:asciiTheme="minorHAnsi" w:eastAsiaTheme="minorEastAsia" w:hAnsiTheme="minorHAnsi"/>
      <w:sz w:val="20"/>
      <w:szCs w:val="20"/>
      <w:lang w:val="en-GB"/>
    </w:rPr>
  </w:style>
  <w:style w:type="paragraph" w:styleId="TOC3">
    <w:name w:val="toc 3"/>
    <w:basedOn w:val="Normal"/>
    <w:next w:val="Normal"/>
    <w:autoRedefine/>
    <w:uiPriority w:val="39"/>
    <w:unhideWhenUsed/>
    <w:rsid w:val="00C544C3"/>
    <w:pPr>
      <w:tabs>
        <w:tab w:val="left" w:pos="720"/>
        <w:tab w:val="right" w:pos="9350"/>
      </w:tabs>
      <w:spacing w:line="20" w:lineRule="atLeast"/>
      <w:ind w:firstLine="216"/>
      <w:contextualSpacing/>
    </w:pPr>
    <w:rPr>
      <w:rFonts w:asciiTheme="minorHAnsi" w:eastAsiaTheme="minorEastAsia" w:hAnsiTheme="minorHAnsi"/>
    </w:rPr>
  </w:style>
  <w:style w:type="paragraph" w:styleId="Title">
    <w:name w:val="Title"/>
    <w:basedOn w:val="Normal"/>
    <w:link w:val="TitleChar"/>
    <w:uiPriority w:val="10"/>
    <w:qFormat/>
    <w:rsid w:val="00EE0FC6"/>
    <w:pPr>
      <w:spacing w:before="100" w:beforeAutospacing="1" w:after="100" w:afterAutospacing="1" w:line="240" w:lineRule="auto"/>
    </w:pPr>
    <w:rPr>
      <w:rFonts w:ascii="Times New Roman" w:eastAsia="Times New Roman" w:hAnsi="Times New Roman"/>
      <w:sz w:val="24"/>
      <w:szCs w:val="24"/>
    </w:rPr>
  </w:style>
  <w:style w:type="character" w:customStyle="1" w:styleId="TitleChar">
    <w:name w:val="Title Char"/>
    <w:basedOn w:val="DefaultParagraphFont"/>
    <w:link w:val="Title"/>
    <w:uiPriority w:val="10"/>
    <w:rsid w:val="00EE0FC6"/>
    <w:rPr>
      <w:rFonts w:ascii="Times New Roman" w:eastAsia="Times New Roman" w:hAnsi="Times New Roman" w:cs="Times New Roman"/>
      <w:lang w:val="en-US" w:eastAsia="en-US"/>
    </w:rPr>
  </w:style>
  <w:style w:type="character" w:customStyle="1" w:styleId="Heading2Char">
    <w:name w:val="Heading 2 Char"/>
    <w:basedOn w:val="DefaultParagraphFont"/>
    <w:link w:val="Heading2"/>
    <w:uiPriority w:val="9"/>
    <w:rsid w:val="00EE32CD"/>
    <w:rPr>
      <w:rFonts w:eastAsiaTheme="majorEastAsia" w:cstheme="majorBidi"/>
      <w:b/>
      <w:i/>
      <w:sz w:val="28"/>
      <w:szCs w:val="22"/>
      <w:lang w:val="en-US" w:eastAsia="en-US"/>
    </w:rPr>
  </w:style>
  <w:style w:type="paragraph" w:styleId="EndnoteText">
    <w:name w:val="endnote text"/>
    <w:basedOn w:val="Normal"/>
    <w:link w:val="EndnoteTextChar"/>
    <w:uiPriority w:val="99"/>
    <w:semiHidden/>
    <w:unhideWhenUsed/>
    <w:rsid w:val="00D641E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641EB"/>
    <w:rPr>
      <w:rFonts w:ascii="Calibri" w:eastAsia="Calibri" w:hAnsi="Calibri" w:cs="Times New Roman"/>
      <w:sz w:val="20"/>
      <w:szCs w:val="20"/>
      <w:lang w:val="en-US" w:eastAsia="en-US"/>
    </w:rPr>
  </w:style>
  <w:style w:type="character" w:styleId="EndnoteReference">
    <w:name w:val="endnote reference"/>
    <w:basedOn w:val="DefaultParagraphFont"/>
    <w:uiPriority w:val="99"/>
    <w:semiHidden/>
    <w:unhideWhenUsed/>
    <w:rsid w:val="00D641EB"/>
    <w:rPr>
      <w:vertAlign w:val="superscript"/>
    </w:rPr>
  </w:style>
  <w:style w:type="paragraph" w:styleId="HTMLPreformatted">
    <w:name w:val="HTML Preformatted"/>
    <w:basedOn w:val="Normal"/>
    <w:link w:val="HTMLPreformattedChar"/>
    <w:uiPriority w:val="99"/>
    <w:unhideWhenUsed/>
    <w:rsid w:val="00AE132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AE1328"/>
    <w:rPr>
      <w:rFonts w:ascii="Consolas" w:eastAsia="Calibri" w:hAnsi="Consolas" w:cs="Times New Roman"/>
      <w:sz w:val="20"/>
      <w:szCs w:val="20"/>
      <w:lang w:val="en-US" w:eastAsia="en-US"/>
    </w:rPr>
  </w:style>
  <w:style w:type="character" w:customStyle="1" w:styleId="Heading4Char">
    <w:name w:val="Heading 4 Char"/>
    <w:basedOn w:val="DefaultParagraphFont"/>
    <w:link w:val="Heading4"/>
    <w:uiPriority w:val="9"/>
    <w:rsid w:val="001D6074"/>
    <w:rPr>
      <w:rFonts w:eastAsiaTheme="majorEastAsia" w:cstheme="majorBidi"/>
      <w:b/>
      <w:iCs/>
      <w:szCs w:val="20"/>
      <w:lang w:val="en-US" w:eastAsia="en-US"/>
    </w:rPr>
  </w:style>
  <w:style w:type="character" w:customStyle="1" w:styleId="contenttext">
    <w:name w:val="contenttext"/>
    <w:basedOn w:val="DefaultParagraphFont"/>
    <w:rsid w:val="0037593F"/>
  </w:style>
  <w:style w:type="character" w:customStyle="1" w:styleId="SingleTxtGChar">
    <w:name w:val="_ Single Txt_G Char"/>
    <w:link w:val="SingleTxtG"/>
    <w:rsid w:val="00DE6555"/>
    <w:rPr>
      <w:rFonts w:ascii="Times New Roman" w:eastAsia="Times New Roman" w:hAnsi="Times New Roman" w:cs="Times New Roman"/>
      <w:sz w:val="20"/>
      <w:szCs w:val="20"/>
      <w:lang w:val="es-ES"/>
    </w:rPr>
  </w:style>
  <w:style w:type="character" w:styleId="HTMLTypewriter">
    <w:name w:val="HTML Typewriter"/>
    <w:basedOn w:val="DefaultParagraphFont"/>
    <w:rsid w:val="008E1C06"/>
    <w:rPr>
      <w:rFonts w:ascii="Courier New" w:eastAsia="Times New Roman" w:hAnsi="Courier New" w:cs="Courier New"/>
      <w:sz w:val="20"/>
      <w:szCs w:val="20"/>
    </w:rPr>
  </w:style>
  <w:style w:type="paragraph" w:styleId="Revision">
    <w:name w:val="Revision"/>
    <w:hidden/>
    <w:uiPriority w:val="99"/>
    <w:semiHidden/>
    <w:rsid w:val="00033D09"/>
    <w:rPr>
      <w:rFonts w:ascii="Calibri" w:eastAsia="Calibri" w:hAnsi="Calibri" w:cs="Times New Roman"/>
      <w:sz w:val="22"/>
      <w:szCs w:val="22"/>
      <w:lang w:val="en-US" w:eastAsia="en-US"/>
    </w:rPr>
  </w:style>
  <w:style w:type="character" w:styleId="PageNumber">
    <w:name w:val="page number"/>
    <w:basedOn w:val="DefaultParagraphFont"/>
    <w:uiPriority w:val="99"/>
    <w:semiHidden/>
    <w:unhideWhenUsed/>
    <w:rsid w:val="00AF6E84"/>
  </w:style>
  <w:style w:type="character" w:customStyle="1" w:styleId="UnresolvedMention1">
    <w:name w:val="Unresolved Mention1"/>
    <w:basedOn w:val="DefaultParagraphFont"/>
    <w:uiPriority w:val="99"/>
    <w:semiHidden/>
    <w:unhideWhenUsed/>
    <w:rsid w:val="006D2D50"/>
    <w:rPr>
      <w:color w:val="808080"/>
      <w:shd w:val="clear" w:color="auto" w:fill="E6E6E6"/>
    </w:rPr>
  </w:style>
  <w:style w:type="paragraph" w:styleId="TOC4">
    <w:name w:val="toc 4"/>
    <w:basedOn w:val="Normal"/>
    <w:next w:val="Normal"/>
    <w:autoRedefine/>
    <w:uiPriority w:val="39"/>
    <w:unhideWhenUsed/>
    <w:rsid w:val="00A13770"/>
    <w:pPr>
      <w:spacing w:after="100"/>
      <w:ind w:left="660"/>
    </w:pPr>
  </w:style>
  <w:style w:type="character" w:customStyle="1" w:styleId="UnresolvedMention2">
    <w:name w:val="Unresolved Mention2"/>
    <w:basedOn w:val="DefaultParagraphFont"/>
    <w:uiPriority w:val="99"/>
    <w:semiHidden/>
    <w:unhideWhenUsed/>
    <w:rsid w:val="002F3F29"/>
    <w:rPr>
      <w:color w:val="808080"/>
      <w:shd w:val="clear" w:color="auto" w:fill="E6E6E6"/>
    </w:rPr>
  </w:style>
  <w:style w:type="character" w:customStyle="1" w:styleId="UnresolvedMention3">
    <w:name w:val="Unresolved Mention3"/>
    <w:basedOn w:val="DefaultParagraphFont"/>
    <w:uiPriority w:val="99"/>
    <w:semiHidden/>
    <w:unhideWhenUsed/>
    <w:rsid w:val="007E67C4"/>
    <w:rPr>
      <w:color w:val="808080"/>
      <w:shd w:val="clear" w:color="auto" w:fill="E6E6E6"/>
    </w:rPr>
  </w:style>
  <w:style w:type="character" w:customStyle="1" w:styleId="UnresolvedMention4">
    <w:name w:val="Unresolved Mention4"/>
    <w:basedOn w:val="DefaultParagraphFont"/>
    <w:uiPriority w:val="99"/>
    <w:semiHidden/>
    <w:unhideWhenUsed/>
    <w:rsid w:val="00E53CBE"/>
    <w:rPr>
      <w:color w:val="808080"/>
      <w:shd w:val="clear" w:color="auto" w:fill="E6E6E6"/>
    </w:rPr>
  </w:style>
  <w:style w:type="character" w:customStyle="1" w:styleId="UnresolvedMention5">
    <w:name w:val="Unresolved Mention5"/>
    <w:basedOn w:val="DefaultParagraphFont"/>
    <w:uiPriority w:val="99"/>
    <w:semiHidden/>
    <w:unhideWhenUsed/>
    <w:rsid w:val="007F08C2"/>
    <w:rPr>
      <w:color w:val="808080"/>
      <w:shd w:val="clear" w:color="auto" w:fill="E6E6E6"/>
    </w:rPr>
  </w:style>
  <w:style w:type="character" w:customStyle="1" w:styleId="UnresolvedMention6">
    <w:name w:val="Unresolved Mention6"/>
    <w:basedOn w:val="DefaultParagraphFont"/>
    <w:uiPriority w:val="99"/>
    <w:semiHidden/>
    <w:unhideWhenUsed/>
    <w:rsid w:val="00B85243"/>
    <w:rPr>
      <w:color w:val="808080"/>
      <w:shd w:val="clear" w:color="auto" w:fill="E6E6E6"/>
    </w:rPr>
  </w:style>
  <w:style w:type="character" w:customStyle="1" w:styleId="UnresolvedMention7">
    <w:name w:val="Unresolved Mention7"/>
    <w:basedOn w:val="DefaultParagraphFont"/>
    <w:uiPriority w:val="99"/>
    <w:semiHidden/>
    <w:unhideWhenUsed/>
    <w:rsid w:val="00704151"/>
    <w:rPr>
      <w:color w:val="808080"/>
      <w:shd w:val="clear" w:color="auto" w:fill="E6E6E6"/>
    </w:rPr>
  </w:style>
  <w:style w:type="character" w:customStyle="1" w:styleId="Heading8Char">
    <w:name w:val="Heading 8 Char"/>
    <w:basedOn w:val="DefaultParagraphFont"/>
    <w:link w:val="Heading8"/>
    <w:rsid w:val="00091638"/>
    <w:rPr>
      <w:rFonts w:asciiTheme="majorHAnsi" w:eastAsiaTheme="majorEastAsia" w:hAnsiTheme="majorHAnsi" w:cstheme="majorBidi"/>
      <w:color w:val="404040" w:themeColor="text1" w:themeTint="BF"/>
      <w:sz w:val="20"/>
      <w:szCs w:val="20"/>
      <w:lang w:val="en-US" w:eastAsia="en-US"/>
    </w:rPr>
  </w:style>
  <w:style w:type="character" w:customStyle="1" w:styleId="UnresolvedMention8">
    <w:name w:val="Unresolved Mention8"/>
    <w:basedOn w:val="DefaultParagraphFont"/>
    <w:uiPriority w:val="99"/>
    <w:semiHidden/>
    <w:unhideWhenUsed/>
    <w:rsid w:val="009F40FB"/>
    <w:rPr>
      <w:color w:val="808080"/>
      <w:shd w:val="clear" w:color="auto" w:fill="E6E6E6"/>
    </w:rPr>
  </w:style>
  <w:style w:type="character" w:customStyle="1" w:styleId="Hyperlink6">
    <w:name w:val="Hyperlink.6"/>
    <w:basedOn w:val="DefaultParagraphFont"/>
    <w:rsid w:val="000C369C"/>
    <w:rPr>
      <w:rFonts w:ascii="Cambria" w:eastAsia="Cambria" w:hAnsi="Cambria" w:cs="Cambria"/>
      <w:i/>
      <w:iCs/>
      <w:color w:val="0000FF"/>
      <w:sz w:val="16"/>
      <w:szCs w:val="16"/>
      <w:u w:val="single" w:color="0000FF"/>
    </w:rPr>
  </w:style>
  <w:style w:type="paragraph" w:customStyle="1" w:styleId="Footnotes">
    <w:name w:val="Footnotes"/>
    <w:basedOn w:val="FootnoteText"/>
    <w:qFormat/>
    <w:rsid w:val="00641F9C"/>
    <w:pPr>
      <w:spacing w:after="120"/>
      <w:ind w:firstLine="720"/>
      <w:jc w:val="both"/>
    </w:pPr>
    <w:rPr>
      <w:rFonts w:eastAsia="Calibri"/>
      <w:sz w:val="18"/>
      <w:szCs w:val="18"/>
      <w:u w:color="000000"/>
    </w:rPr>
  </w:style>
  <w:style w:type="table" w:styleId="TableGrid">
    <w:name w:val="Table Grid"/>
    <w:basedOn w:val="TableNormal"/>
    <w:uiPriority w:val="99"/>
    <w:rsid w:val="00E03D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1">
    <w:name w:val="CAP 1"/>
    <w:basedOn w:val="Heading1"/>
    <w:link w:val="CAP1Char"/>
    <w:qFormat/>
    <w:rsid w:val="00A0401B"/>
    <w:pPr>
      <w:spacing w:before="0" w:after="0"/>
      <w:jc w:val="center"/>
    </w:pPr>
    <w:rPr>
      <w:b w:val="0"/>
      <w:color w:val="808080" w:themeColor="background1" w:themeShade="80"/>
      <w:sz w:val="44"/>
      <w:szCs w:val="44"/>
    </w:rPr>
  </w:style>
  <w:style w:type="paragraph" w:customStyle="1" w:styleId="CAP2">
    <w:name w:val="CAP 2"/>
    <w:basedOn w:val="Normal"/>
    <w:qFormat/>
    <w:rsid w:val="00A0401B"/>
    <w:pPr>
      <w:jc w:val="center"/>
    </w:pPr>
    <w:rPr>
      <w:rFonts w:asciiTheme="minorHAnsi" w:hAnsiTheme="minorHAnsi"/>
      <w:color w:val="4A442A" w:themeColor="background2" w:themeShade="40"/>
      <w:sz w:val="52"/>
      <w:szCs w:val="52"/>
    </w:rPr>
  </w:style>
  <w:style w:type="character" w:customStyle="1" w:styleId="CAP1Char">
    <w:name w:val="CAP 1 Char"/>
    <w:basedOn w:val="Heading1Char"/>
    <w:link w:val="CAP1"/>
    <w:rsid w:val="00A0401B"/>
    <w:rPr>
      <w:rFonts w:eastAsia="Times New Roman" w:cs="Times New Roman"/>
      <w:b w:val="0"/>
      <w:bCs/>
      <w:color w:val="808080" w:themeColor="background1" w:themeShade="80"/>
      <w:kern w:val="32"/>
      <w:sz w:val="44"/>
      <w:szCs w:val="4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6708">
      <w:bodyDiv w:val="1"/>
      <w:marLeft w:val="0"/>
      <w:marRight w:val="0"/>
      <w:marTop w:val="0"/>
      <w:marBottom w:val="0"/>
      <w:divBdr>
        <w:top w:val="none" w:sz="0" w:space="0" w:color="auto"/>
        <w:left w:val="none" w:sz="0" w:space="0" w:color="auto"/>
        <w:bottom w:val="none" w:sz="0" w:space="0" w:color="auto"/>
        <w:right w:val="none" w:sz="0" w:space="0" w:color="auto"/>
      </w:divBdr>
    </w:div>
    <w:div w:id="14037100">
      <w:bodyDiv w:val="1"/>
      <w:marLeft w:val="0"/>
      <w:marRight w:val="0"/>
      <w:marTop w:val="0"/>
      <w:marBottom w:val="0"/>
      <w:divBdr>
        <w:top w:val="none" w:sz="0" w:space="0" w:color="auto"/>
        <w:left w:val="none" w:sz="0" w:space="0" w:color="auto"/>
        <w:bottom w:val="none" w:sz="0" w:space="0" w:color="auto"/>
        <w:right w:val="none" w:sz="0" w:space="0" w:color="auto"/>
      </w:divBdr>
    </w:div>
    <w:div w:id="15692111">
      <w:bodyDiv w:val="1"/>
      <w:marLeft w:val="0"/>
      <w:marRight w:val="0"/>
      <w:marTop w:val="0"/>
      <w:marBottom w:val="0"/>
      <w:divBdr>
        <w:top w:val="none" w:sz="0" w:space="0" w:color="auto"/>
        <w:left w:val="none" w:sz="0" w:space="0" w:color="auto"/>
        <w:bottom w:val="none" w:sz="0" w:space="0" w:color="auto"/>
        <w:right w:val="none" w:sz="0" w:space="0" w:color="auto"/>
      </w:divBdr>
    </w:div>
    <w:div w:id="31347980">
      <w:bodyDiv w:val="1"/>
      <w:marLeft w:val="0"/>
      <w:marRight w:val="0"/>
      <w:marTop w:val="0"/>
      <w:marBottom w:val="0"/>
      <w:divBdr>
        <w:top w:val="none" w:sz="0" w:space="0" w:color="auto"/>
        <w:left w:val="none" w:sz="0" w:space="0" w:color="auto"/>
        <w:bottom w:val="none" w:sz="0" w:space="0" w:color="auto"/>
        <w:right w:val="none" w:sz="0" w:space="0" w:color="auto"/>
      </w:divBdr>
    </w:div>
    <w:div w:id="36049362">
      <w:bodyDiv w:val="1"/>
      <w:marLeft w:val="0"/>
      <w:marRight w:val="0"/>
      <w:marTop w:val="0"/>
      <w:marBottom w:val="0"/>
      <w:divBdr>
        <w:top w:val="none" w:sz="0" w:space="0" w:color="auto"/>
        <w:left w:val="none" w:sz="0" w:space="0" w:color="auto"/>
        <w:bottom w:val="none" w:sz="0" w:space="0" w:color="auto"/>
        <w:right w:val="none" w:sz="0" w:space="0" w:color="auto"/>
      </w:divBdr>
    </w:div>
    <w:div w:id="53821914">
      <w:bodyDiv w:val="1"/>
      <w:marLeft w:val="0"/>
      <w:marRight w:val="0"/>
      <w:marTop w:val="0"/>
      <w:marBottom w:val="0"/>
      <w:divBdr>
        <w:top w:val="none" w:sz="0" w:space="0" w:color="auto"/>
        <w:left w:val="none" w:sz="0" w:space="0" w:color="auto"/>
        <w:bottom w:val="none" w:sz="0" w:space="0" w:color="auto"/>
        <w:right w:val="none" w:sz="0" w:space="0" w:color="auto"/>
      </w:divBdr>
    </w:div>
    <w:div w:id="72513871">
      <w:bodyDiv w:val="1"/>
      <w:marLeft w:val="0"/>
      <w:marRight w:val="0"/>
      <w:marTop w:val="0"/>
      <w:marBottom w:val="0"/>
      <w:divBdr>
        <w:top w:val="none" w:sz="0" w:space="0" w:color="auto"/>
        <w:left w:val="none" w:sz="0" w:space="0" w:color="auto"/>
        <w:bottom w:val="none" w:sz="0" w:space="0" w:color="auto"/>
        <w:right w:val="none" w:sz="0" w:space="0" w:color="auto"/>
      </w:divBdr>
    </w:div>
    <w:div w:id="75590054">
      <w:bodyDiv w:val="1"/>
      <w:marLeft w:val="0"/>
      <w:marRight w:val="0"/>
      <w:marTop w:val="0"/>
      <w:marBottom w:val="0"/>
      <w:divBdr>
        <w:top w:val="none" w:sz="0" w:space="0" w:color="auto"/>
        <w:left w:val="none" w:sz="0" w:space="0" w:color="auto"/>
        <w:bottom w:val="none" w:sz="0" w:space="0" w:color="auto"/>
        <w:right w:val="none" w:sz="0" w:space="0" w:color="auto"/>
      </w:divBdr>
    </w:div>
    <w:div w:id="82724161">
      <w:bodyDiv w:val="1"/>
      <w:marLeft w:val="0"/>
      <w:marRight w:val="0"/>
      <w:marTop w:val="0"/>
      <w:marBottom w:val="0"/>
      <w:divBdr>
        <w:top w:val="none" w:sz="0" w:space="0" w:color="auto"/>
        <w:left w:val="none" w:sz="0" w:space="0" w:color="auto"/>
        <w:bottom w:val="none" w:sz="0" w:space="0" w:color="auto"/>
        <w:right w:val="none" w:sz="0" w:space="0" w:color="auto"/>
      </w:divBdr>
    </w:div>
    <w:div w:id="89278206">
      <w:bodyDiv w:val="1"/>
      <w:marLeft w:val="0"/>
      <w:marRight w:val="0"/>
      <w:marTop w:val="0"/>
      <w:marBottom w:val="0"/>
      <w:divBdr>
        <w:top w:val="none" w:sz="0" w:space="0" w:color="auto"/>
        <w:left w:val="none" w:sz="0" w:space="0" w:color="auto"/>
        <w:bottom w:val="none" w:sz="0" w:space="0" w:color="auto"/>
        <w:right w:val="none" w:sz="0" w:space="0" w:color="auto"/>
      </w:divBdr>
    </w:div>
    <w:div w:id="92291133">
      <w:bodyDiv w:val="1"/>
      <w:marLeft w:val="0"/>
      <w:marRight w:val="0"/>
      <w:marTop w:val="0"/>
      <w:marBottom w:val="0"/>
      <w:divBdr>
        <w:top w:val="none" w:sz="0" w:space="0" w:color="auto"/>
        <w:left w:val="none" w:sz="0" w:space="0" w:color="auto"/>
        <w:bottom w:val="none" w:sz="0" w:space="0" w:color="auto"/>
        <w:right w:val="none" w:sz="0" w:space="0" w:color="auto"/>
      </w:divBdr>
    </w:div>
    <w:div w:id="93981696">
      <w:bodyDiv w:val="1"/>
      <w:marLeft w:val="0"/>
      <w:marRight w:val="0"/>
      <w:marTop w:val="0"/>
      <w:marBottom w:val="0"/>
      <w:divBdr>
        <w:top w:val="none" w:sz="0" w:space="0" w:color="auto"/>
        <w:left w:val="none" w:sz="0" w:space="0" w:color="auto"/>
        <w:bottom w:val="none" w:sz="0" w:space="0" w:color="auto"/>
        <w:right w:val="none" w:sz="0" w:space="0" w:color="auto"/>
      </w:divBdr>
    </w:div>
    <w:div w:id="103769115">
      <w:bodyDiv w:val="1"/>
      <w:marLeft w:val="0"/>
      <w:marRight w:val="0"/>
      <w:marTop w:val="0"/>
      <w:marBottom w:val="0"/>
      <w:divBdr>
        <w:top w:val="none" w:sz="0" w:space="0" w:color="auto"/>
        <w:left w:val="none" w:sz="0" w:space="0" w:color="auto"/>
        <w:bottom w:val="none" w:sz="0" w:space="0" w:color="auto"/>
        <w:right w:val="none" w:sz="0" w:space="0" w:color="auto"/>
      </w:divBdr>
    </w:div>
    <w:div w:id="109908284">
      <w:bodyDiv w:val="1"/>
      <w:marLeft w:val="0"/>
      <w:marRight w:val="0"/>
      <w:marTop w:val="0"/>
      <w:marBottom w:val="0"/>
      <w:divBdr>
        <w:top w:val="none" w:sz="0" w:space="0" w:color="auto"/>
        <w:left w:val="none" w:sz="0" w:space="0" w:color="auto"/>
        <w:bottom w:val="none" w:sz="0" w:space="0" w:color="auto"/>
        <w:right w:val="none" w:sz="0" w:space="0" w:color="auto"/>
      </w:divBdr>
      <w:divsChild>
        <w:div w:id="1536457883">
          <w:marLeft w:val="0"/>
          <w:marRight w:val="0"/>
          <w:marTop w:val="0"/>
          <w:marBottom w:val="0"/>
          <w:divBdr>
            <w:top w:val="none" w:sz="0" w:space="0" w:color="auto"/>
            <w:left w:val="none" w:sz="0" w:space="0" w:color="auto"/>
            <w:bottom w:val="none" w:sz="0" w:space="0" w:color="auto"/>
            <w:right w:val="none" w:sz="0" w:space="0" w:color="auto"/>
          </w:divBdr>
          <w:divsChild>
            <w:div w:id="346635220">
              <w:marLeft w:val="0"/>
              <w:marRight w:val="0"/>
              <w:marTop w:val="120"/>
              <w:marBottom w:val="0"/>
              <w:divBdr>
                <w:top w:val="none" w:sz="0" w:space="0" w:color="auto"/>
                <w:left w:val="none" w:sz="0" w:space="0" w:color="auto"/>
                <w:bottom w:val="single" w:sz="6" w:space="3" w:color="DBDBDB"/>
                <w:right w:val="none" w:sz="0" w:space="0" w:color="auto"/>
              </w:divBdr>
              <w:divsChild>
                <w:div w:id="649678364">
                  <w:marLeft w:val="0"/>
                  <w:marRight w:val="0"/>
                  <w:marTop w:val="0"/>
                  <w:marBottom w:val="0"/>
                  <w:divBdr>
                    <w:top w:val="none" w:sz="0" w:space="0" w:color="auto"/>
                    <w:left w:val="none" w:sz="0" w:space="0" w:color="auto"/>
                    <w:bottom w:val="none" w:sz="0" w:space="0" w:color="auto"/>
                    <w:right w:val="none" w:sz="0" w:space="0" w:color="auto"/>
                  </w:divBdr>
                  <w:divsChild>
                    <w:div w:id="145359386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41638">
      <w:bodyDiv w:val="1"/>
      <w:marLeft w:val="0"/>
      <w:marRight w:val="0"/>
      <w:marTop w:val="0"/>
      <w:marBottom w:val="0"/>
      <w:divBdr>
        <w:top w:val="none" w:sz="0" w:space="0" w:color="auto"/>
        <w:left w:val="none" w:sz="0" w:space="0" w:color="auto"/>
        <w:bottom w:val="none" w:sz="0" w:space="0" w:color="auto"/>
        <w:right w:val="none" w:sz="0" w:space="0" w:color="auto"/>
      </w:divBdr>
    </w:div>
    <w:div w:id="123429606">
      <w:bodyDiv w:val="1"/>
      <w:marLeft w:val="0"/>
      <w:marRight w:val="0"/>
      <w:marTop w:val="0"/>
      <w:marBottom w:val="0"/>
      <w:divBdr>
        <w:top w:val="none" w:sz="0" w:space="0" w:color="auto"/>
        <w:left w:val="none" w:sz="0" w:space="0" w:color="auto"/>
        <w:bottom w:val="none" w:sz="0" w:space="0" w:color="auto"/>
        <w:right w:val="none" w:sz="0" w:space="0" w:color="auto"/>
      </w:divBdr>
    </w:div>
    <w:div w:id="130947544">
      <w:bodyDiv w:val="1"/>
      <w:marLeft w:val="0"/>
      <w:marRight w:val="0"/>
      <w:marTop w:val="0"/>
      <w:marBottom w:val="0"/>
      <w:divBdr>
        <w:top w:val="none" w:sz="0" w:space="0" w:color="auto"/>
        <w:left w:val="none" w:sz="0" w:space="0" w:color="auto"/>
        <w:bottom w:val="none" w:sz="0" w:space="0" w:color="auto"/>
        <w:right w:val="none" w:sz="0" w:space="0" w:color="auto"/>
      </w:divBdr>
    </w:div>
    <w:div w:id="133110857">
      <w:bodyDiv w:val="1"/>
      <w:marLeft w:val="0"/>
      <w:marRight w:val="0"/>
      <w:marTop w:val="0"/>
      <w:marBottom w:val="0"/>
      <w:divBdr>
        <w:top w:val="none" w:sz="0" w:space="0" w:color="auto"/>
        <w:left w:val="none" w:sz="0" w:space="0" w:color="auto"/>
        <w:bottom w:val="none" w:sz="0" w:space="0" w:color="auto"/>
        <w:right w:val="none" w:sz="0" w:space="0" w:color="auto"/>
      </w:divBdr>
    </w:div>
    <w:div w:id="142233574">
      <w:bodyDiv w:val="1"/>
      <w:marLeft w:val="0"/>
      <w:marRight w:val="0"/>
      <w:marTop w:val="0"/>
      <w:marBottom w:val="0"/>
      <w:divBdr>
        <w:top w:val="none" w:sz="0" w:space="0" w:color="auto"/>
        <w:left w:val="none" w:sz="0" w:space="0" w:color="auto"/>
        <w:bottom w:val="none" w:sz="0" w:space="0" w:color="auto"/>
        <w:right w:val="none" w:sz="0" w:space="0" w:color="auto"/>
      </w:divBdr>
    </w:div>
    <w:div w:id="145368127">
      <w:bodyDiv w:val="1"/>
      <w:marLeft w:val="0"/>
      <w:marRight w:val="0"/>
      <w:marTop w:val="0"/>
      <w:marBottom w:val="0"/>
      <w:divBdr>
        <w:top w:val="none" w:sz="0" w:space="0" w:color="auto"/>
        <w:left w:val="none" w:sz="0" w:space="0" w:color="auto"/>
        <w:bottom w:val="none" w:sz="0" w:space="0" w:color="auto"/>
        <w:right w:val="none" w:sz="0" w:space="0" w:color="auto"/>
      </w:divBdr>
    </w:div>
    <w:div w:id="149564376">
      <w:bodyDiv w:val="1"/>
      <w:marLeft w:val="0"/>
      <w:marRight w:val="0"/>
      <w:marTop w:val="0"/>
      <w:marBottom w:val="0"/>
      <w:divBdr>
        <w:top w:val="none" w:sz="0" w:space="0" w:color="auto"/>
        <w:left w:val="none" w:sz="0" w:space="0" w:color="auto"/>
        <w:bottom w:val="none" w:sz="0" w:space="0" w:color="auto"/>
        <w:right w:val="none" w:sz="0" w:space="0" w:color="auto"/>
      </w:divBdr>
    </w:div>
    <w:div w:id="150684037">
      <w:bodyDiv w:val="1"/>
      <w:marLeft w:val="0"/>
      <w:marRight w:val="0"/>
      <w:marTop w:val="0"/>
      <w:marBottom w:val="0"/>
      <w:divBdr>
        <w:top w:val="none" w:sz="0" w:space="0" w:color="auto"/>
        <w:left w:val="none" w:sz="0" w:space="0" w:color="auto"/>
        <w:bottom w:val="none" w:sz="0" w:space="0" w:color="auto"/>
        <w:right w:val="none" w:sz="0" w:space="0" w:color="auto"/>
      </w:divBdr>
    </w:div>
    <w:div w:id="170923803">
      <w:bodyDiv w:val="1"/>
      <w:marLeft w:val="0"/>
      <w:marRight w:val="0"/>
      <w:marTop w:val="0"/>
      <w:marBottom w:val="0"/>
      <w:divBdr>
        <w:top w:val="none" w:sz="0" w:space="0" w:color="auto"/>
        <w:left w:val="none" w:sz="0" w:space="0" w:color="auto"/>
        <w:bottom w:val="none" w:sz="0" w:space="0" w:color="auto"/>
        <w:right w:val="none" w:sz="0" w:space="0" w:color="auto"/>
      </w:divBdr>
    </w:div>
    <w:div w:id="180244345">
      <w:bodyDiv w:val="1"/>
      <w:marLeft w:val="0"/>
      <w:marRight w:val="0"/>
      <w:marTop w:val="0"/>
      <w:marBottom w:val="0"/>
      <w:divBdr>
        <w:top w:val="none" w:sz="0" w:space="0" w:color="auto"/>
        <w:left w:val="none" w:sz="0" w:space="0" w:color="auto"/>
        <w:bottom w:val="none" w:sz="0" w:space="0" w:color="auto"/>
        <w:right w:val="none" w:sz="0" w:space="0" w:color="auto"/>
      </w:divBdr>
    </w:div>
    <w:div w:id="193612808">
      <w:bodyDiv w:val="1"/>
      <w:marLeft w:val="0"/>
      <w:marRight w:val="0"/>
      <w:marTop w:val="0"/>
      <w:marBottom w:val="0"/>
      <w:divBdr>
        <w:top w:val="none" w:sz="0" w:space="0" w:color="auto"/>
        <w:left w:val="none" w:sz="0" w:space="0" w:color="auto"/>
        <w:bottom w:val="none" w:sz="0" w:space="0" w:color="auto"/>
        <w:right w:val="none" w:sz="0" w:space="0" w:color="auto"/>
      </w:divBdr>
    </w:div>
    <w:div w:id="196503070">
      <w:bodyDiv w:val="1"/>
      <w:marLeft w:val="0"/>
      <w:marRight w:val="0"/>
      <w:marTop w:val="0"/>
      <w:marBottom w:val="0"/>
      <w:divBdr>
        <w:top w:val="none" w:sz="0" w:space="0" w:color="auto"/>
        <w:left w:val="none" w:sz="0" w:space="0" w:color="auto"/>
        <w:bottom w:val="none" w:sz="0" w:space="0" w:color="auto"/>
        <w:right w:val="none" w:sz="0" w:space="0" w:color="auto"/>
      </w:divBdr>
    </w:div>
    <w:div w:id="196547500">
      <w:bodyDiv w:val="1"/>
      <w:marLeft w:val="0"/>
      <w:marRight w:val="0"/>
      <w:marTop w:val="0"/>
      <w:marBottom w:val="0"/>
      <w:divBdr>
        <w:top w:val="none" w:sz="0" w:space="0" w:color="auto"/>
        <w:left w:val="none" w:sz="0" w:space="0" w:color="auto"/>
        <w:bottom w:val="none" w:sz="0" w:space="0" w:color="auto"/>
        <w:right w:val="none" w:sz="0" w:space="0" w:color="auto"/>
      </w:divBdr>
    </w:div>
    <w:div w:id="202983703">
      <w:bodyDiv w:val="1"/>
      <w:marLeft w:val="0"/>
      <w:marRight w:val="0"/>
      <w:marTop w:val="0"/>
      <w:marBottom w:val="0"/>
      <w:divBdr>
        <w:top w:val="none" w:sz="0" w:space="0" w:color="auto"/>
        <w:left w:val="none" w:sz="0" w:space="0" w:color="auto"/>
        <w:bottom w:val="none" w:sz="0" w:space="0" w:color="auto"/>
        <w:right w:val="none" w:sz="0" w:space="0" w:color="auto"/>
      </w:divBdr>
    </w:div>
    <w:div w:id="203174227">
      <w:bodyDiv w:val="1"/>
      <w:marLeft w:val="0"/>
      <w:marRight w:val="0"/>
      <w:marTop w:val="0"/>
      <w:marBottom w:val="0"/>
      <w:divBdr>
        <w:top w:val="none" w:sz="0" w:space="0" w:color="auto"/>
        <w:left w:val="none" w:sz="0" w:space="0" w:color="auto"/>
        <w:bottom w:val="none" w:sz="0" w:space="0" w:color="auto"/>
        <w:right w:val="none" w:sz="0" w:space="0" w:color="auto"/>
      </w:divBdr>
    </w:div>
    <w:div w:id="212735360">
      <w:bodyDiv w:val="1"/>
      <w:marLeft w:val="0"/>
      <w:marRight w:val="0"/>
      <w:marTop w:val="0"/>
      <w:marBottom w:val="0"/>
      <w:divBdr>
        <w:top w:val="none" w:sz="0" w:space="0" w:color="auto"/>
        <w:left w:val="none" w:sz="0" w:space="0" w:color="auto"/>
        <w:bottom w:val="none" w:sz="0" w:space="0" w:color="auto"/>
        <w:right w:val="none" w:sz="0" w:space="0" w:color="auto"/>
      </w:divBdr>
    </w:div>
    <w:div w:id="218368537">
      <w:bodyDiv w:val="1"/>
      <w:marLeft w:val="0"/>
      <w:marRight w:val="0"/>
      <w:marTop w:val="0"/>
      <w:marBottom w:val="0"/>
      <w:divBdr>
        <w:top w:val="none" w:sz="0" w:space="0" w:color="auto"/>
        <w:left w:val="none" w:sz="0" w:space="0" w:color="auto"/>
        <w:bottom w:val="none" w:sz="0" w:space="0" w:color="auto"/>
        <w:right w:val="none" w:sz="0" w:space="0" w:color="auto"/>
      </w:divBdr>
    </w:div>
    <w:div w:id="225384936">
      <w:bodyDiv w:val="1"/>
      <w:marLeft w:val="0"/>
      <w:marRight w:val="0"/>
      <w:marTop w:val="0"/>
      <w:marBottom w:val="0"/>
      <w:divBdr>
        <w:top w:val="none" w:sz="0" w:space="0" w:color="auto"/>
        <w:left w:val="none" w:sz="0" w:space="0" w:color="auto"/>
        <w:bottom w:val="none" w:sz="0" w:space="0" w:color="auto"/>
        <w:right w:val="none" w:sz="0" w:space="0" w:color="auto"/>
      </w:divBdr>
    </w:div>
    <w:div w:id="233206449">
      <w:bodyDiv w:val="1"/>
      <w:marLeft w:val="0"/>
      <w:marRight w:val="0"/>
      <w:marTop w:val="0"/>
      <w:marBottom w:val="0"/>
      <w:divBdr>
        <w:top w:val="none" w:sz="0" w:space="0" w:color="auto"/>
        <w:left w:val="none" w:sz="0" w:space="0" w:color="auto"/>
        <w:bottom w:val="none" w:sz="0" w:space="0" w:color="auto"/>
        <w:right w:val="none" w:sz="0" w:space="0" w:color="auto"/>
      </w:divBdr>
    </w:div>
    <w:div w:id="236131130">
      <w:bodyDiv w:val="1"/>
      <w:marLeft w:val="0"/>
      <w:marRight w:val="0"/>
      <w:marTop w:val="0"/>
      <w:marBottom w:val="0"/>
      <w:divBdr>
        <w:top w:val="none" w:sz="0" w:space="0" w:color="auto"/>
        <w:left w:val="none" w:sz="0" w:space="0" w:color="auto"/>
        <w:bottom w:val="none" w:sz="0" w:space="0" w:color="auto"/>
        <w:right w:val="none" w:sz="0" w:space="0" w:color="auto"/>
      </w:divBdr>
    </w:div>
    <w:div w:id="237597863">
      <w:bodyDiv w:val="1"/>
      <w:marLeft w:val="0"/>
      <w:marRight w:val="0"/>
      <w:marTop w:val="0"/>
      <w:marBottom w:val="0"/>
      <w:divBdr>
        <w:top w:val="none" w:sz="0" w:space="0" w:color="auto"/>
        <w:left w:val="none" w:sz="0" w:space="0" w:color="auto"/>
        <w:bottom w:val="none" w:sz="0" w:space="0" w:color="auto"/>
        <w:right w:val="none" w:sz="0" w:space="0" w:color="auto"/>
      </w:divBdr>
    </w:div>
    <w:div w:id="246816073">
      <w:bodyDiv w:val="1"/>
      <w:marLeft w:val="0"/>
      <w:marRight w:val="0"/>
      <w:marTop w:val="0"/>
      <w:marBottom w:val="0"/>
      <w:divBdr>
        <w:top w:val="none" w:sz="0" w:space="0" w:color="auto"/>
        <w:left w:val="none" w:sz="0" w:space="0" w:color="auto"/>
        <w:bottom w:val="none" w:sz="0" w:space="0" w:color="auto"/>
        <w:right w:val="none" w:sz="0" w:space="0" w:color="auto"/>
      </w:divBdr>
    </w:div>
    <w:div w:id="260070022">
      <w:bodyDiv w:val="1"/>
      <w:marLeft w:val="0"/>
      <w:marRight w:val="0"/>
      <w:marTop w:val="0"/>
      <w:marBottom w:val="0"/>
      <w:divBdr>
        <w:top w:val="none" w:sz="0" w:space="0" w:color="auto"/>
        <w:left w:val="none" w:sz="0" w:space="0" w:color="auto"/>
        <w:bottom w:val="none" w:sz="0" w:space="0" w:color="auto"/>
        <w:right w:val="none" w:sz="0" w:space="0" w:color="auto"/>
      </w:divBdr>
    </w:div>
    <w:div w:id="264389594">
      <w:bodyDiv w:val="1"/>
      <w:marLeft w:val="0"/>
      <w:marRight w:val="0"/>
      <w:marTop w:val="0"/>
      <w:marBottom w:val="0"/>
      <w:divBdr>
        <w:top w:val="none" w:sz="0" w:space="0" w:color="auto"/>
        <w:left w:val="none" w:sz="0" w:space="0" w:color="auto"/>
        <w:bottom w:val="none" w:sz="0" w:space="0" w:color="auto"/>
        <w:right w:val="none" w:sz="0" w:space="0" w:color="auto"/>
      </w:divBdr>
    </w:div>
    <w:div w:id="283587040">
      <w:bodyDiv w:val="1"/>
      <w:marLeft w:val="0"/>
      <w:marRight w:val="0"/>
      <w:marTop w:val="0"/>
      <w:marBottom w:val="0"/>
      <w:divBdr>
        <w:top w:val="none" w:sz="0" w:space="0" w:color="auto"/>
        <w:left w:val="none" w:sz="0" w:space="0" w:color="auto"/>
        <w:bottom w:val="none" w:sz="0" w:space="0" w:color="auto"/>
        <w:right w:val="none" w:sz="0" w:space="0" w:color="auto"/>
      </w:divBdr>
    </w:div>
    <w:div w:id="284627651">
      <w:bodyDiv w:val="1"/>
      <w:marLeft w:val="0"/>
      <w:marRight w:val="0"/>
      <w:marTop w:val="0"/>
      <w:marBottom w:val="0"/>
      <w:divBdr>
        <w:top w:val="none" w:sz="0" w:space="0" w:color="auto"/>
        <w:left w:val="none" w:sz="0" w:space="0" w:color="auto"/>
        <w:bottom w:val="none" w:sz="0" w:space="0" w:color="auto"/>
        <w:right w:val="none" w:sz="0" w:space="0" w:color="auto"/>
      </w:divBdr>
    </w:div>
    <w:div w:id="289559930">
      <w:bodyDiv w:val="1"/>
      <w:marLeft w:val="0"/>
      <w:marRight w:val="0"/>
      <w:marTop w:val="0"/>
      <w:marBottom w:val="0"/>
      <w:divBdr>
        <w:top w:val="none" w:sz="0" w:space="0" w:color="auto"/>
        <w:left w:val="none" w:sz="0" w:space="0" w:color="auto"/>
        <w:bottom w:val="none" w:sz="0" w:space="0" w:color="auto"/>
        <w:right w:val="none" w:sz="0" w:space="0" w:color="auto"/>
      </w:divBdr>
    </w:div>
    <w:div w:id="292834069">
      <w:bodyDiv w:val="1"/>
      <w:marLeft w:val="0"/>
      <w:marRight w:val="0"/>
      <w:marTop w:val="0"/>
      <w:marBottom w:val="0"/>
      <w:divBdr>
        <w:top w:val="none" w:sz="0" w:space="0" w:color="auto"/>
        <w:left w:val="none" w:sz="0" w:space="0" w:color="auto"/>
        <w:bottom w:val="none" w:sz="0" w:space="0" w:color="auto"/>
        <w:right w:val="none" w:sz="0" w:space="0" w:color="auto"/>
      </w:divBdr>
    </w:div>
    <w:div w:id="299463724">
      <w:bodyDiv w:val="1"/>
      <w:marLeft w:val="0"/>
      <w:marRight w:val="0"/>
      <w:marTop w:val="0"/>
      <w:marBottom w:val="0"/>
      <w:divBdr>
        <w:top w:val="none" w:sz="0" w:space="0" w:color="auto"/>
        <w:left w:val="none" w:sz="0" w:space="0" w:color="auto"/>
        <w:bottom w:val="none" w:sz="0" w:space="0" w:color="auto"/>
        <w:right w:val="none" w:sz="0" w:space="0" w:color="auto"/>
      </w:divBdr>
    </w:div>
    <w:div w:id="299767932">
      <w:bodyDiv w:val="1"/>
      <w:marLeft w:val="0"/>
      <w:marRight w:val="0"/>
      <w:marTop w:val="0"/>
      <w:marBottom w:val="0"/>
      <w:divBdr>
        <w:top w:val="none" w:sz="0" w:space="0" w:color="auto"/>
        <w:left w:val="none" w:sz="0" w:space="0" w:color="auto"/>
        <w:bottom w:val="none" w:sz="0" w:space="0" w:color="auto"/>
        <w:right w:val="none" w:sz="0" w:space="0" w:color="auto"/>
      </w:divBdr>
    </w:div>
    <w:div w:id="329649530">
      <w:bodyDiv w:val="1"/>
      <w:marLeft w:val="0"/>
      <w:marRight w:val="0"/>
      <w:marTop w:val="0"/>
      <w:marBottom w:val="0"/>
      <w:divBdr>
        <w:top w:val="none" w:sz="0" w:space="0" w:color="auto"/>
        <w:left w:val="none" w:sz="0" w:space="0" w:color="auto"/>
        <w:bottom w:val="none" w:sz="0" w:space="0" w:color="auto"/>
        <w:right w:val="none" w:sz="0" w:space="0" w:color="auto"/>
      </w:divBdr>
    </w:div>
    <w:div w:id="331183733">
      <w:bodyDiv w:val="1"/>
      <w:marLeft w:val="0"/>
      <w:marRight w:val="0"/>
      <w:marTop w:val="0"/>
      <w:marBottom w:val="0"/>
      <w:divBdr>
        <w:top w:val="none" w:sz="0" w:space="0" w:color="auto"/>
        <w:left w:val="none" w:sz="0" w:space="0" w:color="auto"/>
        <w:bottom w:val="none" w:sz="0" w:space="0" w:color="auto"/>
        <w:right w:val="none" w:sz="0" w:space="0" w:color="auto"/>
      </w:divBdr>
    </w:div>
    <w:div w:id="343942675">
      <w:bodyDiv w:val="1"/>
      <w:marLeft w:val="0"/>
      <w:marRight w:val="0"/>
      <w:marTop w:val="0"/>
      <w:marBottom w:val="0"/>
      <w:divBdr>
        <w:top w:val="none" w:sz="0" w:space="0" w:color="auto"/>
        <w:left w:val="none" w:sz="0" w:space="0" w:color="auto"/>
        <w:bottom w:val="none" w:sz="0" w:space="0" w:color="auto"/>
        <w:right w:val="none" w:sz="0" w:space="0" w:color="auto"/>
      </w:divBdr>
    </w:div>
    <w:div w:id="346564964">
      <w:bodyDiv w:val="1"/>
      <w:marLeft w:val="0"/>
      <w:marRight w:val="0"/>
      <w:marTop w:val="0"/>
      <w:marBottom w:val="0"/>
      <w:divBdr>
        <w:top w:val="none" w:sz="0" w:space="0" w:color="auto"/>
        <w:left w:val="none" w:sz="0" w:space="0" w:color="auto"/>
        <w:bottom w:val="none" w:sz="0" w:space="0" w:color="auto"/>
        <w:right w:val="none" w:sz="0" w:space="0" w:color="auto"/>
      </w:divBdr>
      <w:divsChild>
        <w:div w:id="1824194774">
          <w:marLeft w:val="0"/>
          <w:marRight w:val="0"/>
          <w:marTop w:val="300"/>
          <w:marBottom w:val="300"/>
          <w:divBdr>
            <w:top w:val="none" w:sz="0" w:space="0" w:color="auto"/>
            <w:left w:val="none" w:sz="0" w:space="0" w:color="auto"/>
            <w:bottom w:val="none" w:sz="0" w:space="0" w:color="auto"/>
            <w:right w:val="none" w:sz="0" w:space="0" w:color="auto"/>
          </w:divBdr>
        </w:div>
      </w:divsChild>
    </w:div>
    <w:div w:id="351340578">
      <w:bodyDiv w:val="1"/>
      <w:marLeft w:val="0"/>
      <w:marRight w:val="0"/>
      <w:marTop w:val="0"/>
      <w:marBottom w:val="0"/>
      <w:divBdr>
        <w:top w:val="none" w:sz="0" w:space="0" w:color="auto"/>
        <w:left w:val="none" w:sz="0" w:space="0" w:color="auto"/>
        <w:bottom w:val="none" w:sz="0" w:space="0" w:color="auto"/>
        <w:right w:val="none" w:sz="0" w:space="0" w:color="auto"/>
      </w:divBdr>
    </w:div>
    <w:div w:id="352190723">
      <w:bodyDiv w:val="1"/>
      <w:marLeft w:val="0"/>
      <w:marRight w:val="0"/>
      <w:marTop w:val="0"/>
      <w:marBottom w:val="0"/>
      <w:divBdr>
        <w:top w:val="none" w:sz="0" w:space="0" w:color="auto"/>
        <w:left w:val="none" w:sz="0" w:space="0" w:color="auto"/>
        <w:bottom w:val="none" w:sz="0" w:space="0" w:color="auto"/>
        <w:right w:val="none" w:sz="0" w:space="0" w:color="auto"/>
      </w:divBdr>
      <w:divsChild>
        <w:div w:id="676538211">
          <w:marLeft w:val="0"/>
          <w:marRight w:val="0"/>
          <w:marTop w:val="0"/>
          <w:marBottom w:val="0"/>
          <w:divBdr>
            <w:top w:val="none" w:sz="0" w:space="0" w:color="auto"/>
            <w:left w:val="none" w:sz="0" w:space="0" w:color="auto"/>
            <w:bottom w:val="none" w:sz="0" w:space="0" w:color="auto"/>
            <w:right w:val="none" w:sz="0" w:space="0" w:color="auto"/>
          </w:divBdr>
          <w:divsChild>
            <w:div w:id="440761077">
              <w:marLeft w:val="0"/>
              <w:marRight w:val="0"/>
              <w:marTop w:val="0"/>
              <w:marBottom w:val="0"/>
              <w:divBdr>
                <w:top w:val="none" w:sz="0" w:space="0" w:color="auto"/>
                <w:left w:val="none" w:sz="0" w:space="0" w:color="auto"/>
                <w:bottom w:val="none" w:sz="0" w:space="0" w:color="auto"/>
                <w:right w:val="none" w:sz="0" w:space="0" w:color="auto"/>
              </w:divBdr>
              <w:divsChild>
                <w:div w:id="1456176818">
                  <w:marLeft w:val="0"/>
                  <w:marRight w:val="0"/>
                  <w:marTop w:val="0"/>
                  <w:marBottom w:val="0"/>
                  <w:divBdr>
                    <w:top w:val="none" w:sz="0" w:space="0" w:color="auto"/>
                    <w:left w:val="none" w:sz="0" w:space="0" w:color="auto"/>
                    <w:bottom w:val="none" w:sz="0" w:space="0" w:color="auto"/>
                    <w:right w:val="none" w:sz="0" w:space="0" w:color="auto"/>
                  </w:divBdr>
                  <w:divsChild>
                    <w:div w:id="1502815447">
                      <w:marLeft w:val="0"/>
                      <w:marRight w:val="0"/>
                      <w:marTop w:val="0"/>
                      <w:marBottom w:val="0"/>
                      <w:divBdr>
                        <w:top w:val="none" w:sz="0" w:space="0" w:color="auto"/>
                        <w:left w:val="none" w:sz="0" w:space="0" w:color="auto"/>
                        <w:bottom w:val="none" w:sz="0" w:space="0" w:color="auto"/>
                        <w:right w:val="none" w:sz="0" w:space="0" w:color="auto"/>
                      </w:divBdr>
                      <w:divsChild>
                        <w:div w:id="60950564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52347719">
      <w:bodyDiv w:val="1"/>
      <w:marLeft w:val="0"/>
      <w:marRight w:val="0"/>
      <w:marTop w:val="0"/>
      <w:marBottom w:val="0"/>
      <w:divBdr>
        <w:top w:val="none" w:sz="0" w:space="0" w:color="auto"/>
        <w:left w:val="none" w:sz="0" w:space="0" w:color="auto"/>
        <w:bottom w:val="none" w:sz="0" w:space="0" w:color="auto"/>
        <w:right w:val="none" w:sz="0" w:space="0" w:color="auto"/>
      </w:divBdr>
    </w:div>
    <w:div w:id="353388106">
      <w:bodyDiv w:val="1"/>
      <w:marLeft w:val="0"/>
      <w:marRight w:val="0"/>
      <w:marTop w:val="0"/>
      <w:marBottom w:val="0"/>
      <w:divBdr>
        <w:top w:val="none" w:sz="0" w:space="0" w:color="auto"/>
        <w:left w:val="none" w:sz="0" w:space="0" w:color="auto"/>
        <w:bottom w:val="none" w:sz="0" w:space="0" w:color="auto"/>
        <w:right w:val="none" w:sz="0" w:space="0" w:color="auto"/>
      </w:divBdr>
    </w:div>
    <w:div w:id="366103876">
      <w:bodyDiv w:val="1"/>
      <w:marLeft w:val="0"/>
      <w:marRight w:val="0"/>
      <w:marTop w:val="0"/>
      <w:marBottom w:val="0"/>
      <w:divBdr>
        <w:top w:val="none" w:sz="0" w:space="0" w:color="auto"/>
        <w:left w:val="none" w:sz="0" w:space="0" w:color="auto"/>
        <w:bottom w:val="none" w:sz="0" w:space="0" w:color="auto"/>
        <w:right w:val="none" w:sz="0" w:space="0" w:color="auto"/>
      </w:divBdr>
    </w:div>
    <w:div w:id="369494293">
      <w:bodyDiv w:val="1"/>
      <w:marLeft w:val="0"/>
      <w:marRight w:val="0"/>
      <w:marTop w:val="0"/>
      <w:marBottom w:val="0"/>
      <w:divBdr>
        <w:top w:val="none" w:sz="0" w:space="0" w:color="auto"/>
        <w:left w:val="none" w:sz="0" w:space="0" w:color="auto"/>
        <w:bottom w:val="none" w:sz="0" w:space="0" w:color="auto"/>
        <w:right w:val="none" w:sz="0" w:space="0" w:color="auto"/>
      </w:divBdr>
    </w:div>
    <w:div w:id="372466344">
      <w:bodyDiv w:val="1"/>
      <w:marLeft w:val="0"/>
      <w:marRight w:val="0"/>
      <w:marTop w:val="0"/>
      <w:marBottom w:val="0"/>
      <w:divBdr>
        <w:top w:val="none" w:sz="0" w:space="0" w:color="auto"/>
        <w:left w:val="none" w:sz="0" w:space="0" w:color="auto"/>
        <w:bottom w:val="none" w:sz="0" w:space="0" w:color="auto"/>
        <w:right w:val="none" w:sz="0" w:space="0" w:color="auto"/>
      </w:divBdr>
    </w:div>
    <w:div w:id="374505124">
      <w:bodyDiv w:val="1"/>
      <w:marLeft w:val="0"/>
      <w:marRight w:val="0"/>
      <w:marTop w:val="0"/>
      <w:marBottom w:val="0"/>
      <w:divBdr>
        <w:top w:val="none" w:sz="0" w:space="0" w:color="auto"/>
        <w:left w:val="none" w:sz="0" w:space="0" w:color="auto"/>
        <w:bottom w:val="none" w:sz="0" w:space="0" w:color="auto"/>
        <w:right w:val="none" w:sz="0" w:space="0" w:color="auto"/>
      </w:divBdr>
    </w:div>
    <w:div w:id="378476133">
      <w:bodyDiv w:val="1"/>
      <w:marLeft w:val="0"/>
      <w:marRight w:val="0"/>
      <w:marTop w:val="0"/>
      <w:marBottom w:val="0"/>
      <w:divBdr>
        <w:top w:val="none" w:sz="0" w:space="0" w:color="auto"/>
        <w:left w:val="none" w:sz="0" w:space="0" w:color="auto"/>
        <w:bottom w:val="none" w:sz="0" w:space="0" w:color="auto"/>
        <w:right w:val="none" w:sz="0" w:space="0" w:color="auto"/>
      </w:divBdr>
    </w:div>
    <w:div w:id="387609141">
      <w:bodyDiv w:val="1"/>
      <w:marLeft w:val="0"/>
      <w:marRight w:val="0"/>
      <w:marTop w:val="0"/>
      <w:marBottom w:val="0"/>
      <w:divBdr>
        <w:top w:val="none" w:sz="0" w:space="0" w:color="auto"/>
        <w:left w:val="none" w:sz="0" w:space="0" w:color="auto"/>
        <w:bottom w:val="none" w:sz="0" w:space="0" w:color="auto"/>
        <w:right w:val="none" w:sz="0" w:space="0" w:color="auto"/>
      </w:divBdr>
      <w:divsChild>
        <w:div w:id="313339511">
          <w:marLeft w:val="0"/>
          <w:marRight w:val="0"/>
          <w:marTop w:val="0"/>
          <w:marBottom w:val="0"/>
          <w:divBdr>
            <w:top w:val="none" w:sz="0" w:space="0" w:color="auto"/>
            <w:left w:val="none" w:sz="0" w:space="0" w:color="auto"/>
            <w:bottom w:val="none" w:sz="0" w:space="0" w:color="auto"/>
            <w:right w:val="none" w:sz="0" w:space="0" w:color="auto"/>
          </w:divBdr>
          <w:divsChild>
            <w:div w:id="63892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55502">
      <w:bodyDiv w:val="1"/>
      <w:marLeft w:val="0"/>
      <w:marRight w:val="0"/>
      <w:marTop w:val="0"/>
      <w:marBottom w:val="0"/>
      <w:divBdr>
        <w:top w:val="none" w:sz="0" w:space="0" w:color="auto"/>
        <w:left w:val="none" w:sz="0" w:space="0" w:color="auto"/>
        <w:bottom w:val="none" w:sz="0" w:space="0" w:color="auto"/>
        <w:right w:val="none" w:sz="0" w:space="0" w:color="auto"/>
      </w:divBdr>
    </w:div>
    <w:div w:id="395444927">
      <w:bodyDiv w:val="1"/>
      <w:marLeft w:val="0"/>
      <w:marRight w:val="0"/>
      <w:marTop w:val="0"/>
      <w:marBottom w:val="0"/>
      <w:divBdr>
        <w:top w:val="none" w:sz="0" w:space="0" w:color="auto"/>
        <w:left w:val="none" w:sz="0" w:space="0" w:color="auto"/>
        <w:bottom w:val="none" w:sz="0" w:space="0" w:color="auto"/>
        <w:right w:val="none" w:sz="0" w:space="0" w:color="auto"/>
      </w:divBdr>
    </w:div>
    <w:div w:id="405344108">
      <w:bodyDiv w:val="1"/>
      <w:marLeft w:val="0"/>
      <w:marRight w:val="0"/>
      <w:marTop w:val="0"/>
      <w:marBottom w:val="0"/>
      <w:divBdr>
        <w:top w:val="none" w:sz="0" w:space="0" w:color="auto"/>
        <w:left w:val="none" w:sz="0" w:space="0" w:color="auto"/>
        <w:bottom w:val="none" w:sz="0" w:space="0" w:color="auto"/>
        <w:right w:val="none" w:sz="0" w:space="0" w:color="auto"/>
      </w:divBdr>
      <w:divsChild>
        <w:div w:id="1395354472">
          <w:marLeft w:val="0"/>
          <w:marRight w:val="0"/>
          <w:marTop w:val="0"/>
          <w:marBottom w:val="0"/>
          <w:divBdr>
            <w:top w:val="none" w:sz="0" w:space="0" w:color="auto"/>
            <w:left w:val="none" w:sz="0" w:space="0" w:color="auto"/>
            <w:bottom w:val="none" w:sz="0" w:space="0" w:color="auto"/>
            <w:right w:val="none" w:sz="0" w:space="0" w:color="auto"/>
          </w:divBdr>
          <w:divsChild>
            <w:div w:id="1459108416">
              <w:marLeft w:val="0"/>
              <w:marRight w:val="0"/>
              <w:marTop w:val="0"/>
              <w:marBottom w:val="0"/>
              <w:divBdr>
                <w:top w:val="none" w:sz="0" w:space="0" w:color="auto"/>
                <w:left w:val="none" w:sz="0" w:space="0" w:color="auto"/>
                <w:bottom w:val="none" w:sz="0" w:space="0" w:color="auto"/>
                <w:right w:val="none" w:sz="0" w:space="0" w:color="auto"/>
              </w:divBdr>
              <w:divsChild>
                <w:div w:id="984553489">
                  <w:marLeft w:val="0"/>
                  <w:marRight w:val="0"/>
                  <w:marTop w:val="0"/>
                  <w:marBottom w:val="0"/>
                  <w:divBdr>
                    <w:top w:val="none" w:sz="0" w:space="0" w:color="auto"/>
                    <w:left w:val="none" w:sz="0" w:space="0" w:color="auto"/>
                    <w:bottom w:val="none" w:sz="0" w:space="0" w:color="auto"/>
                    <w:right w:val="none" w:sz="0" w:space="0" w:color="auto"/>
                  </w:divBdr>
                  <w:divsChild>
                    <w:div w:id="1035621253">
                      <w:marLeft w:val="0"/>
                      <w:marRight w:val="0"/>
                      <w:marTop w:val="0"/>
                      <w:marBottom w:val="0"/>
                      <w:divBdr>
                        <w:top w:val="none" w:sz="0" w:space="0" w:color="auto"/>
                        <w:left w:val="none" w:sz="0" w:space="0" w:color="auto"/>
                        <w:bottom w:val="none" w:sz="0" w:space="0" w:color="auto"/>
                        <w:right w:val="none" w:sz="0" w:space="0" w:color="auto"/>
                      </w:divBdr>
                      <w:divsChild>
                        <w:div w:id="1696661656">
                          <w:marLeft w:val="0"/>
                          <w:marRight w:val="0"/>
                          <w:marTop w:val="0"/>
                          <w:marBottom w:val="0"/>
                          <w:divBdr>
                            <w:top w:val="none" w:sz="0" w:space="0" w:color="auto"/>
                            <w:left w:val="none" w:sz="0" w:space="0" w:color="auto"/>
                            <w:bottom w:val="none" w:sz="0" w:space="0" w:color="auto"/>
                            <w:right w:val="none" w:sz="0" w:space="0" w:color="auto"/>
                          </w:divBdr>
                          <w:divsChild>
                            <w:div w:id="441614331">
                              <w:marLeft w:val="0"/>
                              <w:marRight w:val="0"/>
                              <w:marTop w:val="0"/>
                              <w:marBottom w:val="0"/>
                              <w:divBdr>
                                <w:top w:val="none" w:sz="0" w:space="0" w:color="auto"/>
                                <w:left w:val="none" w:sz="0" w:space="0" w:color="auto"/>
                                <w:bottom w:val="none" w:sz="0" w:space="0" w:color="auto"/>
                                <w:right w:val="none" w:sz="0" w:space="0" w:color="auto"/>
                              </w:divBdr>
                              <w:divsChild>
                                <w:div w:id="459417564">
                                  <w:marLeft w:val="0"/>
                                  <w:marRight w:val="0"/>
                                  <w:marTop w:val="0"/>
                                  <w:marBottom w:val="225"/>
                                  <w:divBdr>
                                    <w:top w:val="none" w:sz="0" w:space="0" w:color="auto"/>
                                    <w:left w:val="none" w:sz="0" w:space="0" w:color="auto"/>
                                    <w:bottom w:val="none" w:sz="0" w:space="0" w:color="auto"/>
                                    <w:right w:val="none" w:sz="0" w:space="0" w:color="auto"/>
                                  </w:divBdr>
                                </w:div>
                                <w:div w:id="70834265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6730134">
      <w:bodyDiv w:val="1"/>
      <w:marLeft w:val="0"/>
      <w:marRight w:val="0"/>
      <w:marTop w:val="0"/>
      <w:marBottom w:val="0"/>
      <w:divBdr>
        <w:top w:val="none" w:sz="0" w:space="0" w:color="auto"/>
        <w:left w:val="none" w:sz="0" w:space="0" w:color="auto"/>
        <w:bottom w:val="none" w:sz="0" w:space="0" w:color="auto"/>
        <w:right w:val="none" w:sz="0" w:space="0" w:color="auto"/>
      </w:divBdr>
    </w:div>
    <w:div w:id="410588508">
      <w:bodyDiv w:val="1"/>
      <w:marLeft w:val="0"/>
      <w:marRight w:val="0"/>
      <w:marTop w:val="0"/>
      <w:marBottom w:val="0"/>
      <w:divBdr>
        <w:top w:val="none" w:sz="0" w:space="0" w:color="auto"/>
        <w:left w:val="none" w:sz="0" w:space="0" w:color="auto"/>
        <w:bottom w:val="none" w:sz="0" w:space="0" w:color="auto"/>
        <w:right w:val="none" w:sz="0" w:space="0" w:color="auto"/>
      </w:divBdr>
    </w:div>
    <w:div w:id="415054636">
      <w:bodyDiv w:val="1"/>
      <w:marLeft w:val="0"/>
      <w:marRight w:val="0"/>
      <w:marTop w:val="0"/>
      <w:marBottom w:val="0"/>
      <w:divBdr>
        <w:top w:val="none" w:sz="0" w:space="0" w:color="auto"/>
        <w:left w:val="none" w:sz="0" w:space="0" w:color="auto"/>
        <w:bottom w:val="none" w:sz="0" w:space="0" w:color="auto"/>
        <w:right w:val="none" w:sz="0" w:space="0" w:color="auto"/>
      </w:divBdr>
      <w:divsChild>
        <w:div w:id="9916692">
          <w:marLeft w:val="0"/>
          <w:marRight w:val="0"/>
          <w:marTop w:val="0"/>
          <w:marBottom w:val="0"/>
          <w:divBdr>
            <w:top w:val="none" w:sz="0" w:space="0" w:color="auto"/>
            <w:left w:val="none" w:sz="0" w:space="0" w:color="auto"/>
            <w:bottom w:val="none" w:sz="0" w:space="0" w:color="auto"/>
            <w:right w:val="none" w:sz="0" w:space="0" w:color="auto"/>
          </w:divBdr>
          <w:divsChild>
            <w:div w:id="45410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9332">
      <w:bodyDiv w:val="1"/>
      <w:marLeft w:val="0"/>
      <w:marRight w:val="0"/>
      <w:marTop w:val="0"/>
      <w:marBottom w:val="0"/>
      <w:divBdr>
        <w:top w:val="none" w:sz="0" w:space="0" w:color="auto"/>
        <w:left w:val="none" w:sz="0" w:space="0" w:color="auto"/>
        <w:bottom w:val="none" w:sz="0" w:space="0" w:color="auto"/>
        <w:right w:val="none" w:sz="0" w:space="0" w:color="auto"/>
      </w:divBdr>
    </w:div>
    <w:div w:id="432938417">
      <w:bodyDiv w:val="1"/>
      <w:marLeft w:val="0"/>
      <w:marRight w:val="0"/>
      <w:marTop w:val="0"/>
      <w:marBottom w:val="0"/>
      <w:divBdr>
        <w:top w:val="none" w:sz="0" w:space="0" w:color="auto"/>
        <w:left w:val="none" w:sz="0" w:space="0" w:color="auto"/>
        <w:bottom w:val="none" w:sz="0" w:space="0" w:color="auto"/>
        <w:right w:val="none" w:sz="0" w:space="0" w:color="auto"/>
      </w:divBdr>
    </w:div>
    <w:div w:id="435563401">
      <w:bodyDiv w:val="1"/>
      <w:marLeft w:val="0"/>
      <w:marRight w:val="0"/>
      <w:marTop w:val="0"/>
      <w:marBottom w:val="0"/>
      <w:divBdr>
        <w:top w:val="none" w:sz="0" w:space="0" w:color="auto"/>
        <w:left w:val="none" w:sz="0" w:space="0" w:color="auto"/>
        <w:bottom w:val="none" w:sz="0" w:space="0" w:color="auto"/>
        <w:right w:val="none" w:sz="0" w:space="0" w:color="auto"/>
      </w:divBdr>
    </w:div>
    <w:div w:id="436174059">
      <w:bodyDiv w:val="1"/>
      <w:marLeft w:val="0"/>
      <w:marRight w:val="0"/>
      <w:marTop w:val="0"/>
      <w:marBottom w:val="0"/>
      <w:divBdr>
        <w:top w:val="none" w:sz="0" w:space="0" w:color="auto"/>
        <w:left w:val="none" w:sz="0" w:space="0" w:color="auto"/>
        <w:bottom w:val="none" w:sz="0" w:space="0" w:color="auto"/>
        <w:right w:val="none" w:sz="0" w:space="0" w:color="auto"/>
      </w:divBdr>
    </w:div>
    <w:div w:id="437335752">
      <w:bodyDiv w:val="1"/>
      <w:marLeft w:val="0"/>
      <w:marRight w:val="0"/>
      <w:marTop w:val="0"/>
      <w:marBottom w:val="0"/>
      <w:divBdr>
        <w:top w:val="none" w:sz="0" w:space="0" w:color="auto"/>
        <w:left w:val="none" w:sz="0" w:space="0" w:color="auto"/>
        <w:bottom w:val="none" w:sz="0" w:space="0" w:color="auto"/>
        <w:right w:val="none" w:sz="0" w:space="0" w:color="auto"/>
      </w:divBdr>
      <w:divsChild>
        <w:div w:id="290285065">
          <w:marLeft w:val="0"/>
          <w:marRight w:val="0"/>
          <w:marTop w:val="0"/>
          <w:marBottom w:val="0"/>
          <w:divBdr>
            <w:top w:val="none" w:sz="0" w:space="0" w:color="auto"/>
            <w:left w:val="none" w:sz="0" w:space="0" w:color="auto"/>
            <w:bottom w:val="none" w:sz="0" w:space="0" w:color="auto"/>
            <w:right w:val="none" w:sz="0" w:space="0" w:color="auto"/>
          </w:divBdr>
        </w:div>
        <w:div w:id="1119714857">
          <w:marLeft w:val="0"/>
          <w:marRight w:val="0"/>
          <w:marTop w:val="0"/>
          <w:marBottom w:val="0"/>
          <w:divBdr>
            <w:top w:val="none" w:sz="0" w:space="0" w:color="auto"/>
            <w:left w:val="none" w:sz="0" w:space="0" w:color="auto"/>
            <w:bottom w:val="none" w:sz="0" w:space="0" w:color="auto"/>
            <w:right w:val="none" w:sz="0" w:space="0" w:color="auto"/>
          </w:divBdr>
        </w:div>
      </w:divsChild>
    </w:div>
    <w:div w:id="441730050">
      <w:bodyDiv w:val="1"/>
      <w:marLeft w:val="0"/>
      <w:marRight w:val="0"/>
      <w:marTop w:val="0"/>
      <w:marBottom w:val="0"/>
      <w:divBdr>
        <w:top w:val="none" w:sz="0" w:space="0" w:color="auto"/>
        <w:left w:val="none" w:sz="0" w:space="0" w:color="auto"/>
        <w:bottom w:val="none" w:sz="0" w:space="0" w:color="auto"/>
        <w:right w:val="none" w:sz="0" w:space="0" w:color="auto"/>
      </w:divBdr>
    </w:div>
    <w:div w:id="448745863">
      <w:bodyDiv w:val="1"/>
      <w:marLeft w:val="0"/>
      <w:marRight w:val="0"/>
      <w:marTop w:val="0"/>
      <w:marBottom w:val="0"/>
      <w:divBdr>
        <w:top w:val="none" w:sz="0" w:space="0" w:color="auto"/>
        <w:left w:val="none" w:sz="0" w:space="0" w:color="auto"/>
        <w:bottom w:val="none" w:sz="0" w:space="0" w:color="auto"/>
        <w:right w:val="none" w:sz="0" w:space="0" w:color="auto"/>
      </w:divBdr>
    </w:div>
    <w:div w:id="464154335">
      <w:bodyDiv w:val="1"/>
      <w:marLeft w:val="0"/>
      <w:marRight w:val="0"/>
      <w:marTop w:val="0"/>
      <w:marBottom w:val="0"/>
      <w:divBdr>
        <w:top w:val="none" w:sz="0" w:space="0" w:color="auto"/>
        <w:left w:val="none" w:sz="0" w:space="0" w:color="auto"/>
        <w:bottom w:val="none" w:sz="0" w:space="0" w:color="auto"/>
        <w:right w:val="none" w:sz="0" w:space="0" w:color="auto"/>
      </w:divBdr>
    </w:div>
    <w:div w:id="466436690">
      <w:bodyDiv w:val="1"/>
      <w:marLeft w:val="0"/>
      <w:marRight w:val="0"/>
      <w:marTop w:val="0"/>
      <w:marBottom w:val="0"/>
      <w:divBdr>
        <w:top w:val="none" w:sz="0" w:space="0" w:color="auto"/>
        <w:left w:val="none" w:sz="0" w:space="0" w:color="auto"/>
        <w:bottom w:val="none" w:sz="0" w:space="0" w:color="auto"/>
        <w:right w:val="none" w:sz="0" w:space="0" w:color="auto"/>
      </w:divBdr>
    </w:div>
    <w:div w:id="470252592">
      <w:bodyDiv w:val="1"/>
      <w:marLeft w:val="0"/>
      <w:marRight w:val="0"/>
      <w:marTop w:val="0"/>
      <w:marBottom w:val="0"/>
      <w:divBdr>
        <w:top w:val="none" w:sz="0" w:space="0" w:color="auto"/>
        <w:left w:val="none" w:sz="0" w:space="0" w:color="auto"/>
        <w:bottom w:val="none" w:sz="0" w:space="0" w:color="auto"/>
        <w:right w:val="none" w:sz="0" w:space="0" w:color="auto"/>
      </w:divBdr>
    </w:div>
    <w:div w:id="479930584">
      <w:bodyDiv w:val="1"/>
      <w:marLeft w:val="0"/>
      <w:marRight w:val="0"/>
      <w:marTop w:val="0"/>
      <w:marBottom w:val="0"/>
      <w:divBdr>
        <w:top w:val="none" w:sz="0" w:space="0" w:color="auto"/>
        <w:left w:val="none" w:sz="0" w:space="0" w:color="auto"/>
        <w:bottom w:val="none" w:sz="0" w:space="0" w:color="auto"/>
        <w:right w:val="none" w:sz="0" w:space="0" w:color="auto"/>
      </w:divBdr>
    </w:div>
    <w:div w:id="489371571">
      <w:bodyDiv w:val="1"/>
      <w:marLeft w:val="0"/>
      <w:marRight w:val="0"/>
      <w:marTop w:val="0"/>
      <w:marBottom w:val="0"/>
      <w:divBdr>
        <w:top w:val="none" w:sz="0" w:space="0" w:color="auto"/>
        <w:left w:val="none" w:sz="0" w:space="0" w:color="auto"/>
        <w:bottom w:val="none" w:sz="0" w:space="0" w:color="auto"/>
        <w:right w:val="none" w:sz="0" w:space="0" w:color="auto"/>
      </w:divBdr>
    </w:div>
    <w:div w:id="497690539">
      <w:bodyDiv w:val="1"/>
      <w:marLeft w:val="0"/>
      <w:marRight w:val="0"/>
      <w:marTop w:val="0"/>
      <w:marBottom w:val="0"/>
      <w:divBdr>
        <w:top w:val="none" w:sz="0" w:space="0" w:color="auto"/>
        <w:left w:val="none" w:sz="0" w:space="0" w:color="auto"/>
        <w:bottom w:val="none" w:sz="0" w:space="0" w:color="auto"/>
        <w:right w:val="none" w:sz="0" w:space="0" w:color="auto"/>
      </w:divBdr>
    </w:div>
    <w:div w:id="507404486">
      <w:bodyDiv w:val="1"/>
      <w:marLeft w:val="0"/>
      <w:marRight w:val="0"/>
      <w:marTop w:val="0"/>
      <w:marBottom w:val="0"/>
      <w:divBdr>
        <w:top w:val="none" w:sz="0" w:space="0" w:color="auto"/>
        <w:left w:val="none" w:sz="0" w:space="0" w:color="auto"/>
        <w:bottom w:val="none" w:sz="0" w:space="0" w:color="auto"/>
        <w:right w:val="none" w:sz="0" w:space="0" w:color="auto"/>
      </w:divBdr>
    </w:div>
    <w:div w:id="514612775">
      <w:bodyDiv w:val="1"/>
      <w:marLeft w:val="0"/>
      <w:marRight w:val="0"/>
      <w:marTop w:val="0"/>
      <w:marBottom w:val="0"/>
      <w:divBdr>
        <w:top w:val="none" w:sz="0" w:space="0" w:color="auto"/>
        <w:left w:val="none" w:sz="0" w:space="0" w:color="auto"/>
        <w:bottom w:val="none" w:sz="0" w:space="0" w:color="auto"/>
        <w:right w:val="none" w:sz="0" w:space="0" w:color="auto"/>
      </w:divBdr>
    </w:div>
    <w:div w:id="519396417">
      <w:bodyDiv w:val="1"/>
      <w:marLeft w:val="0"/>
      <w:marRight w:val="0"/>
      <w:marTop w:val="0"/>
      <w:marBottom w:val="0"/>
      <w:divBdr>
        <w:top w:val="none" w:sz="0" w:space="0" w:color="auto"/>
        <w:left w:val="none" w:sz="0" w:space="0" w:color="auto"/>
        <w:bottom w:val="none" w:sz="0" w:space="0" w:color="auto"/>
        <w:right w:val="none" w:sz="0" w:space="0" w:color="auto"/>
      </w:divBdr>
    </w:div>
    <w:div w:id="524172447">
      <w:bodyDiv w:val="1"/>
      <w:marLeft w:val="0"/>
      <w:marRight w:val="0"/>
      <w:marTop w:val="0"/>
      <w:marBottom w:val="0"/>
      <w:divBdr>
        <w:top w:val="none" w:sz="0" w:space="0" w:color="auto"/>
        <w:left w:val="none" w:sz="0" w:space="0" w:color="auto"/>
        <w:bottom w:val="none" w:sz="0" w:space="0" w:color="auto"/>
        <w:right w:val="none" w:sz="0" w:space="0" w:color="auto"/>
      </w:divBdr>
    </w:div>
    <w:div w:id="534584182">
      <w:bodyDiv w:val="1"/>
      <w:marLeft w:val="0"/>
      <w:marRight w:val="0"/>
      <w:marTop w:val="0"/>
      <w:marBottom w:val="0"/>
      <w:divBdr>
        <w:top w:val="none" w:sz="0" w:space="0" w:color="auto"/>
        <w:left w:val="none" w:sz="0" w:space="0" w:color="auto"/>
        <w:bottom w:val="none" w:sz="0" w:space="0" w:color="auto"/>
        <w:right w:val="none" w:sz="0" w:space="0" w:color="auto"/>
      </w:divBdr>
    </w:div>
    <w:div w:id="540019916">
      <w:bodyDiv w:val="1"/>
      <w:marLeft w:val="0"/>
      <w:marRight w:val="0"/>
      <w:marTop w:val="0"/>
      <w:marBottom w:val="0"/>
      <w:divBdr>
        <w:top w:val="none" w:sz="0" w:space="0" w:color="auto"/>
        <w:left w:val="none" w:sz="0" w:space="0" w:color="auto"/>
        <w:bottom w:val="none" w:sz="0" w:space="0" w:color="auto"/>
        <w:right w:val="none" w:sz="0" w:space="0" w:color="auto"/>
      </w:divBdr>
    </w:div>
    <w:div w:id="540678093">
      <w:bodyDiv w:val="1"/>
      <w:marLeft w:val="0"/>
      <w:marRight w:val="0"/>
      <w:marTop w:val="0"/>
      <w:marBottom w:val="0"/>
      <w:divBdr>
        <w:top w:val="none" w:sz="0" w:space="0" w:color="auto"/>
        <w:left w:val="none" w:sz="0" w:space="0" w:color="auto"/>
        <w:bottom w:val="none" w:sz="0" w:space="0" w:color="auto"/>
        <w:right w:val="none" w:sz="0" w:space="0" w:color="auto"/>
      </w:divBdr>
    </w:div>
    <w:div w:id="545142794">
      <w:bodyDiv w:val="1"/>
      <w:marLeft w:val="0"/>
      <w:marRight w:val="0"/>
      <w:marTop w:val="0"/>
      <w:marBottom w:val="0"/>
      <w:divBdr>
        <w:top w:val="none" w:sz="0" w:space="0" w:color="auto"/>
        <w:left w:val="none" w:sz="0" w:space="0" w:color="auto"/>
        <w:bottom w:val="none" w:sz="0" w:space="0" w:color="auto"/>
        <w:right w:val="none" w:sz="0" w:space="0" w:color="auto"/>
      </w:divBdr>
    </w:div>
    <w:div w:id="545607341">
      <w:bodyDiv w:val="1"/>
      <w:marLeft w:val="0"/>
      <w:marRight w:val="0"/>
      <w:marTop w:val="0"/>
      <w:marBottom w:val="0"/>
      <w:divBdr>
        <w:top w:val="none" w:sz="0" w:space="0" w:color="auto"/>
        <w:left w:val="none" w:sz="0" w:space="0" w:color="auto"/>
        <w:bottom w:val="none" w:sz="0" w:space="0" w:color="auto"/>
        <w:right w:val="none" w:sz="0" w:space="0" w:color="auto"/>
      </w:divBdr>
    </w:div>
    <w:div w:id="549805649">
      <w:bodyDiv w:val="1"/>
      <w:marLeft w:val="0"/>
      <w:marRight w:val="0"/>
      <w:marTop w:val="0"/>
      <w:marBottom w:val="0"/>
      <w:divBdr>
        <w:top w:val="none" w:sz="0" w:space="0" w:color="auto"/>
        <w:left w:val="none" w:sz="0" w:space="0" w:color="auto"/>
        <w:bottom w:val="none" w:sz="0" w:space="0" w:color="auto"/>
        <w:right w:val="none" w:sz="0" w:space="0" w:color="auto"/>
      </w:divBdr>
    </w:div>
    <w:div w:id="558170644">
      <w:bodyDiv w:val="1"/>
      <w:marLeft w:val="0"/>
      <w:marRight w:val="0"/>
      <w:marTop w:val="0"/>
      <w:marBottom w:val="0"/>
      <w:divBdr>
        <w:top w:val="none" w:sz="0" w:space="0" w:color="auto"/>
        <w:left w:val="none" w:sz="0" w:space="0" w:color="auto"/>
        <w:bottom w:val="none" w:sz="0" w:space="0" w:color="auto"/>
        <w:right w:val="none" w:sz="0" w:space="0" w:color="auto"/>
      </w:divBdr>
    </w:div>
    <w:div w:id="564024283">
      <w:bodyDiv w:val="1"/>
      <w:marLeft w:val="0"/>
      <w:marRight w:val="0"/>
      <w:marTop w:val="0"/>
      <w:marBottom w:val="0"/>
      <w:divBdr>
        <w:top w:val="none" w:sz="0" w:space="0" w:color="auto"/>
        <w:left w:val="none" w:sz="0" w:space="0" w:color="auto"/>
        <w:bottom w:val="none" w:sz="0" w:space="0" w:color="auto"/>
        <w:right w:val="none" w:sz="0" w:space="0" w:color="auto"/>
      </w:divBdr>
    </w:div>
    <w:div w:id="577327676">
      <w:bodyDiv w:val="1"/>
      <w:marLeft w:val="0"/>
      <w:marRight w:val="0"/>
      <w:marTop w:val="0"/>
      <w:marBottom w:val="0"/>
      <w:divBdr>
        <w:top w:val="none" w:sz="0" w:space="0" w:color="auto"/>
        <w:left w:val="none" w:sz="0" w:space="0" w:color="auto"/>
        <w:bottom w:val="none" w:sz="0" w:space="0" w:color="auto"/>
        <w:right w:val="none" w:sz="0" w:space="0" w:color="auto"/>
      </w:divBdr>
    </w:div>
    <w:div w:id="587466917">
      <w:bodyDiv w:val="1"/>
      <w:marLeft w:val="0"/>
      <w:marRight w:val="0"/>
      <w:marTop w:val="0"/>
      <w:marBottom w:val="0"/>
      <w:divBdr>
        <w:top w:val="none" w:sz="0" w:space="0" w:color="auto"/>
        <w:left w:val="none" w:sz="0" w:space="0" w:color="auto"/>
        <w:bottom w:val="none" w:sz="0" w:space="0" w:color="auto"/>
        <w:right w:val="none" w:sz="0" w:space="0" w:color="auto"/>
      </w:divBdr>
    </w:div>
    <w:div w:id="590240107">
      <w:bodyDiv w:val="1"/>
      <w:marLeft w:val="0"/>
      <w:marRight w:val="0"/>
      <w:marTop w:val="0"/>
      <w:marBottom w:val="0"/>
      <w:divBdr>
        <w:top w:val="none" w:sz="0" w:space="0" w:color="auto"/>
        <w:left w:val="none" w:sz="0" w:space="0" w:color="auto"/>
        <w:bottom w:val="none" w:sz="0" w:space="0" w:color="auto"/>
        <w:right w:val="none" w:sz="0" w:space="0" w:color="auto"/>
      </w:divBdr>
    </w:div>
    <w:div w:id="605382156">
      <w:bodyDiv w:val="1"/>
      <w:marLeft w:val="0"/>
      <w:marRight w:val="0"/>
      <w:marTop w:val="0"/>
      <w:marBottom w:val="0"/>
      <w:divBdr>
        <w:top w:val="none" w:sz="0" w:space="0" w:color="auto"/>
        <w:left w:val="none" w:sz="0" w:space="0" w:color="auto"/>
        <w:bottom w:val="none" w:sz="0" w:space="0" w:color="auto"/>
        <w:right w:val="none" w:sz="0" w:space="0" w:color="auto"/>
      </w:divBdr>
    </w:div>
    <w:div w:id="616328936">
      <w:bodyDiv w:val="1"/>
      <w:marLeft w:val="0"/>
      <w:marRight w:val="0"/>
      <w:marTop w:val="0"/>
      <w:marBottom w:val="0"/>
      <w:divBdr>
        <w:top w:val="none" w:sz="0" w:space="0" w:color="auto"/>
        <w:left w:val="none" w:sz="0" w:space="0" w:color="auto"/>
        <w:bottom w:val="none" w:sz="0" w:space="0" w:color="auto"/>
        <w:right w:val="none" w:sz="0" w:space="0" w:color="auto"/>
      </w:divBdr>
    </w:div>
    <w:div w:id="617218181">
      <w:bodyDiv w:val="1"/>
      <w:marLeft w:val="0"/>
      <w:marRight w:val="0"/>
      <w:marTop w:val="0"/>
      <w:marBottom w:val="0"/>
      <w:divBdr>
        <w:top w:val="none" w:sz="0" w:space="0" w:color="auto"/>
        <w:left w:val="none" w:sz="0" w:space="0" w:color="auto"/>
        <w:bottom w:val="none" w:sz="0" w:space="0" w:color="auto"/>
        <w:right w:val="none" w:sz="0" w:space="0" w:color="auto"/>
      </w:divBdr>
    </w:div>
    <w:div w:id="618949889">
      <w:bodyDiv w:val="1"/>
      <w:marLeft w:val="0"/>
      <w:marRight w:val="0"/>
      <w:marTop w:val="0"/>
      <w:marBottom w:val="0"/>
      <w:divBdr>
        <w:top w:val="none" w:sz="0" w:space="0" w:color="auto"/>
        <w:left w:val="none" w:sz="0" w:space="0" w:color="auto"/>
        <w:bottom w:val="none" w:sz="0" w:space="0" w:color="auto"/>
        <w:right w:val="none" w:sz="0" w:space="0" w:color="auto"/>
      </w:divBdr>
      <w:divsChild>
        <w:div w:id="609556986">
          <w:marLeft w:val="1924"/>
          <w:marRight w:val="0"/>
          <w:marTop w:val="0"/>
          <w:marBottom w:val="0"/>
          <w:divBdr>
            <w:top w:val="none" w:sz="0" w:space="0" w:color="auto"/>
            <w:left w:val="none" w:sz="0" w:space="0" w:color="auto"/>
            <w:bottom w:val="none" w:sz="0" w:space="0" w:color="auto"/>
            <w:right w:val="none" w:sz="0" w:space="0" w:color="auto"/>
          </w:divBdr>
        </w:div>
        <w:div w:id="1589466082">
          <w:marLeft w:val="1924"/>
          <w:marRight w:val="0"/>
          <w:marTop w:val="0"/>
          <w:marBottom w:val="0"/>
          <w:divBdr>
            <w:top w:val="none" w:sz="0" w:space="0" w:color="auto"/>
            <w:left w:val="none" w:sz="0" w:space="0" w:color="auto"/>
            <w:bottom w:val="none" w:sz="0" w:space="0" w:color="auto"/>
            <w:right w:val="none" w:sz="0" w:space="0" w:color="auto"/>
          </w:divBdr>
          <w:divsChild>
            <w:div w:id="1699551933">
              <w:marLeft w:val="0"/>
              <w:marRight w:val="0"/>
              <w:marTop w:val="0"/>
              <w:marBottom w:val="300"/>
              <w:divBdr>
                <w:top w:val="none" w:sz="0" w:space="0" w:color="auto"/>
                <w:left w:val="none" w:sz="0" w:space="0" w:color="auto"/>
                <w:bottom w:val="none" w:sz="0" w:space="0" w:color="auto"/>
                <w:right w:val="none" w:sz="0" w:space="0" w:color="auto"/>
              </w:divBdr>
              <w:divsChild>
                <w:div w:id="17391605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684744364">
          <w:marLeft w:val="0"/>
          <w:marRight w:val="0"/>
          <w:marTop w:val="0"/>
          <w:marBottom w:val="0"/>
          <w:divBdr>
            <w:top w:val="none" w:sz="0" w:space="0" w:color="auto"/>
            <w:left w:val="none" w:sz="0" w:space="0" w:color="auto"/>
            <w:bottom w:val="none" w:sz="0" w:space="0" w:color="auto"/>
            <w:right w:val="none" w:sz="0" w:space="0" w:color="auto"/>
          </w:divBdr>
          <w:divsChild>
            <w:div w:id="920722325">
              <w:marLeft w:val="0"/>
              <w:marRight w:val="0"/>
              <w:marTop w:val="0"/>
              <w:marBottom w:val="0"/>
              <w:divBdr>
                <w:top w:val="none" w:sz="0" w:space="0" w:color="auto"/>
                <w:left w:val="none" w:sz="0" w:space="0" w:color="auto"/>
                <w:bottom w:val="none" w:sz="0" w:space="0" w:color="auto"/>
                <w:right w:val="none" w:sz="0" w:space="0" w:color="auto"/>
              </w:divBdr>
              <w:divsChild>
                <w:div w:id="1154681785">
                  <w:marLeft w:val="0"/>
                  <w:marRight w:val="0"/>
                  <w:marTop w:val="0"/>
                  <w:marBottom w:val="150"/>
                  <w:divBdr>
                    <w:top w:val="none" w:sz="0" w:space="0" w:color="auto"/>
                    <w:left w:val="none" w:sz="0" w:space="0" w:color="auto"/>
                    <w:bottom w:val="none" w:sz="0" w:space="0" w:color="auto"/>
                    <w:right w:val="none" w:sz="0" w:space="0" w:color="auto"/>
                  </w:divBdr>
                  <w:divsChild>
                    <w:div w:id="1395276568">
                      <w:marLeft w:val="0"/>
                      <w:marRight w:val="0"/>
                      <w:marTop w:val="0"/>
                      <w:marBottom w:val="0"/>
                      <w:divBdr>
                        <w:top w:val="none" w:sz="0" w:space="0" w:color="auto"/>
                        <w:left w:val="none" w:sz="0" w:space="0" w:color="auto"/>
                        <w:bottom w:val="none" w:sz="0" w:space="0" w:color="auto"/>
                        <w:right w:val="none" w:sz="0" w:space="0" w:color="auto"/>
                      </w:divBdr>
                      <w:divsChild>
                        <w:div w:id="292640586">
                          <w:marLeft w:val="0"/>
                          <w:marRight w:val="0"/>
                          <w:marTop w:val="0"/>
                          <w:marBottom w:val="0"/>
                          <w:divBdr>
                            <w:top w:val="none" w:sz="0" w:space="0" w:color="auto"/>
                            <w:left w:val="none" w:sz="0" w:space="0" w:color="auto"/>
                            <w:bottom w:val="none" w:sz="0" w:space="0" w:color="auto"/>
                            <w:right w:val="none" w:sz="0" w:space="0" w:color="auto"/>
                          </w:divBdr>
                        </w:div>
                      </w:divsChild>
                    </w:div>
                    <w:div w:id="1846046866">
                      <w:marLeft w:val="0"/>
                      <w:marRight w:val="0"/>
                      <w:marTop w:val="0"/>
                      <w:marBottom w:val="0"/>
                      <w:divBdr>
                        <w:top w:val="none" w:sz="0" w:space="0" w:color="auto"/>
                        <w:left w:val="none" w:sz="0" w:space="0" w:color="auto"/>
                        <w:bottom w:val="none" w:sz="0" w:space="0" w:color="auto"/>
                        <w:right w:val="none" w:sz="0" w:space="0" w:color="auto"/>
                      </w:divBdr>
                      <w:divsChild>
                        <w:div w:id="34375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48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11068">
      <w:bodyDiv w:val="1"/>
      <w:marLeft w:val="0"/>
      <w:marRight w:val="0"/>
      <w:marTop w:val="0"/>
      <w:marBottom w:val="0"/>
      <w:divBdr>
        <w:top w:val="none" w:sz="0" w:space="0" w:color="auto"/>
        <w:left w:val="none" w:sz="0" w:space="0" w:color="auto"/>
        <w:bottom w:val="none" w:sz="0" w:space="0" w:color="auto"/>
        <w:right w:val="none" w:sz="0" w:space="0" w:color="auto"/>
      </w:divBdr>
      <w:divsChild>
        <w:div w:id="218983143">
          <w:marLeft w:val="0"/>
          <w:marRight w:val="0"/>
          <w:marTop w:val="0"/>
          <w:marBottom w:val="0"/>
          <w:divBdr>
            <w:top w:val="none" w:sz="0" w:space="0" w:color="auto"/>
            <w:left w:val="none" w:sz="0" w:space="0" w:color="auto"/>
            <w:bottom w:val="none" w:sz="0" w:space="0" w:color="auto"/>
            <w:right w:val="none" w:sz="0" w:space="0" w:color="auto"/>
          </w:divBdr>
          <w:divsChild>
            <w:div w:id="236599029">
              <w:marLeft w:val="0"/>
              <w:marRight w:val="0"/>
              <w:marTop w:val="0"/>
              <w:marBottom w:val="0"/>
              <w:divBdr>
                <w:top w:val="none" w:sz="0" w:space="0" w:color="auto"/>
                <w:left w:val="none" w:sz="0" w:space="0" w:color="auto"/>
                <w:bottom w:val="none" w:sz="0" w:space="0" w:color="auto"/>
                <w:right w:val="none" w:sz="0" w:space="0" w:color="auto"/>
              </w:divBdr>
              <w:divsChild>
                <w:div w:id="695274380">
                  <w:marLeft w:val="0"/>
                  <w:marRight w:val="0"/>
                  <w:marTop w:val="0"/>
                  <w:marBottom w:val="150"/>
                  <w:divBdr>
                    <w:top w:val="none" w:sz="0" w:space="0" w:color="auto"/>
                    <w:left w:val="none" w:sz="0" w:space="0" w:color="auto"/>
                    <w:bottom w:val="none" w:sz="0" w:space="0" w:color="auto"/>
                    <w:right w:val="none" w:sz="0" w:space="0" w:color="auto"/>
                  </w:divBdr>
                  <w:divsChild>
                    <w:div w:id="586772724">
                      <w:marLeft w:val="0"/>
                      <w:marRight w:val="0"/>
                      <w:marTop w:val="0"/>
                      <w:marBottom w:val="0"/>
                      <w:divBdr>
                        <w:top w:val="none" w:sz="0" w:space="0" w:color="auto"/>
                        <w:left w:val="none" w:sz="0" w:space="0" w:color="auto"/>
                        <w:bottom w:val="none" w:sz="0" w:space="0" w:color="auto"/>
                        <w:right w:val="none" w:sz="0" w:space="0" w:color="auto"/>
                      </w:divBdr>
                      <w:divsChild>
                        <w:div w:id="1590578039">
                          <w:marLeft w:val="0"/>
                          <w:marRight w:val="0"/>
                          <w:marTop w:val="0"/>
                          <w:marBottom w:val="0"/>
                          <w:divBdr>
                            <w:top w:val="none" w:sz="0" w:space="0" w:color="auto"/>
                            <w:left w:val="none" w:sz="0" w:space="0" w:color="auto"/>
                            <w:bottom w:val="none" w:sz="0" w:space="0" w:color="auto"/>
                            <w:right w:val="none" w:sz="0" w:space="0" w:color="auto"/>
                          </w:divBdr>
                        </w:div>
                      </w:divsChild>
                    </w:div>
                    <w:div w:id="1055082802">
                      <w:marLeft w:val="0"/>
                      <w:marRight w:val="0"/>
                      <w:marTop w:val="0"/>
                      <w:marBottom w:val="0"/>
                      <w:divBdr>
                        <w:top w:val="none" w:sz="0" w:space="0" w:color="auto"/>
                        <w:left w:val="none" w:sz="0" w:space="0" w:color="auto"/>
                        <w:bottom w:val="none" w:sz="0" w:space="0" w:color="auto"/>
                        <w:right w:val="none" w:sz="0" w:space="0" w:color="auto"/>
                      </w:divBdr>
                      <w:divsChild>
                        <w:div w:id="196766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643966">
              <w:marLeft w:val="0"/>
              <w:marRight w:val="0"/>
              <w:marTop w:val="0"/>
              <w:marBottom w:val="0"/>
              <w:divBdr>
                <w:top w:val="none" w:sz="0" w:space="0" w:color="auto"/>
                <w:left w:val="none" w:sz="0" w:space="0" w:color="auto"/>
                <w:bottom w:val="none" w:sz="0" w:space="0" w:color="auto"/>
                <w:right w:val="none" w:sz="0" w:space="0" w:color="auto"/>
              </w:divBdr>
            </w:div>
          </w:divsChild>
        </w:div>
        <w:div w:id="1596015051">
          <w:marLeft w:val="1924"/>
          <w:marRight w:val="0"/>
          <w:marTop w:val="0"/>
          <w:marBottom w:val="0"/>
          <w:divBdr>
            <w:top w:val="none" w:sz="0" w:space="0" w:color="auto"/>
            <w:left w:val="none" w:sz="0" w:space="0" w:color="auto"/>
            <w:bottom w:val="none" w:sz="0" w:space="0" w:color="auto"/>
            <w:right w:val="none" w:sz="0" w:space="0" w:color="auto"/>
          </w:divBdr>
          <w:divsChild>
            <w:div w:id="1834292631">
              <w:marLeft w:val="0"/>
              <w:marRight w:val="0"/>
              <w:marTop w:val="0"/>
              <w:marBottom w:val="450"/>
              <w:divBdr>
                <w:top w:val="none" w:sz="0" w:space="0" w:color="auto"/>
                <w:left w:val="none" w:sz="0" w:space="0" w:color="auto"/>
                <w:bottom w:val="none" w:sz="0" w:space="0" w:color="auto"/>
                <w:right w:val="none" w:sz="0" w:space="0" w:color="auto"/>
              </w:divBdr>
              <w:divsChild>
                <w:div w:id="14223397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61828485">
          <w:marLeft w:val="1924"/>
          <w:marRight w:val="0"/>
          <w:marTop w:val="0"/>
          <w:marBottom w:val="0"/>
          <w:divBdr>
            <w:top w:val="none" w:sz="0" w:space="0" w:color="auto"/>
            <w:left w:val="none" w:sz="0" w:space="0" w:color="auto"/>
            <w:bottom w:val="none" w:sz="0" w:space="0" w:color="auto"/>
            <w:right w:val="none" w:sz="0" w:space="0" w:color="auto"/>
          </w:divBdr>
        </w:div>
      </w:divsChild>
    </w:div>
    <w:div w:id="627323421">
      <w:bodyDiv w:val="1"/>
      <w:marLeft w:val="0"/>
      <w:marRight w:val="0"/>
      <w:marTop w:val="0"/>
      <w:marBottom w:val="0"/>
      <w:divBdr>
        <w:top w:val="none" w:sz="0" w:space="0" w:color="auto"/>
        <w:left w:val="none" w:sz="0" w:space="0" w:color="auto"/>
        <w:bottom w:val="none" w:sz="0" w:space="0" w:color="auto"/>
        <w:right w:val="none" w:sz="0" w:space="0" w:color="auto"/>
      </w:divBdr>
    </w:div>
    <w:div w:id="639723799">
      <w:bodyDiv w:val="1"/>
      <w:marLeft w:val="0"/>
      <w:marRight w:val="0"/>
      <w:marTop w:val="0"/>
      <w:marBottom w:val="0"/>
      <w:divBdr>
        <w:top w:val="none" w:sz="0" w:space="0" w:color="auto"/>
        <w:left w:val="none" w:sz="0" w:space="0" w:color="auto"/>
        <w:bottom w:val="none" w:sz="0" w:space="0" w:color="auto"/>
        <w:right w:val="none" w:sz="0" w:space="0" w:color="auto"/>
      </w:divBdr>
    </w:div>
    <w:div w:id="645743509">
      <w:bodyDiv w:val="1"/>
      <w:marLeft w:val="0"/>
      <w:marRight w:val="0"/>
      <w:marTop w:val="0"/>
      <w:marBottom w:val="0"/>
      <w:divBdr>
        <w:top w:val="none" w:sz="0" w:space="0" w:color="auto"/>
        <w:left w:val="none" w:sz="0" w:space="0" w:color="auto"/>
        <w:bottom w:val="none" w:sz="0" w:space="0" w:color="auto"/>
        <w:right w:val="none" w:sz="0" w:space="0" w:color="auto"/>
      </w:divBdr>
      <w:divsChild>
        <w:div w:id="52504568">
          <w:marLeft w:val="0"/>
          <w:marRight w:val="0"/>
          <w:marTop w:val="0"/>
          <w:marBottom w:val="0"/>
          <w:divBdr>
            <w:top w:val="none" w:sz="0" w:space="0" w:color="auto"/>
            <w:left w:val="none" w:sz="0" w:space="0" w:color="auto"/>
            <w:bottom w:val="none" w:sz="0" w:space="0" w:color="auto"/>
            <w:right w:val="none" w:sz="0" w:space="0" w:color="auto"/>
          </w:divBdr>
        </w:div>
        <w:div w:id="1883059201">
          <w:marLeft w:val="0"/>
          <w:marRight w:val="0"/>
          <w:marTop w:val="0"/>
          <w:marBottom w:val="0"/>
          <w:divBdr>
            <w:top w:val="none" w:sz="0" w:space="0" w:color="auto"/>
            <w:left w:val="none" w:sz="0" w:space="0" w:color="auto"/>
            <w:bottom w:val="none" w:sz="0" w:space="0" w:color="auto"/>
            <w:right w:val="none" w:sz="0" w:space="0" w:color="auto"/>
          </w:divBdr>
          <w:divsChild>
            <w:div w:id="157889991">
              <w:marLeft w:val="0"/>
              <w:marRight w:val="0"/>
              <w:marTop w:val="0"/>
              <w:marBottom w:val="0"/>
              <w:divBdr>
                <w:top w:val="none" w:sz="0" w:space="0" w:color="auto"/>
                <w:left w:val="none" w:sz="0" w:space="0" w:color="auto"/>
                <w:bottom w:val="none" w:sz="0" w:space="0" w:color="auto"/>
                <w:right w:val="none" w:sz="0" w:space="0" w:color="auto"/>
              </w:divBdr>
            </w:div>
            <w:div w:id="788940204">
              <w:marLeft w:val="0"/>
              <w:marRight w:val="0"/>
              <w:marTop w:val="0"/>
              <w:marBottom w:val="0"/>
              <w:divBdr>
                <w:top w:val="none" w:sz="0" w:space="0" w:color="auto"/>
                <w:left w:val="none" w:sz="0" w:space="0" w:color="auto"/>
                <w:bottom w:val="none" w:sz="0" w:space="0" w:color="auto"/>
                <w:right w:val="none" w:sz="0" w:space="0" w:color="auto"/>
              </w:divBdr>
            </w:div>
            <w:div w:id="178280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014859">
      <w:bodyDiv w:val="1"/>
      <w:marLeft w:val="0"/>
      <w:marRight w:val="0"/>
      <w:marTop w:val="0"/>
      <w:marBottom w:val="0"/>
      <w:divBdr>
        <w:top w:val="none" w:sz="0" w:space="0" w:color="auto"/>
        <w:left w:val="none" w:sz="0" w:space="0" w:color="auto"/>
        <w:bottom w:val="none" w:sz="0" w:space="0" w:color="auto"/>
        <w:right w:val="none" w:sz="0" w:space="0" w:color="auto"/>
      </w:divBdr>
    </w:div>
    <w:div w:id="652366821">
      <w:bodyDiv w:val="1"/>
      <w:marLeft w:val="0"/>
      <w:marRight w:val="0"/>
      <w:marTop w:val="0"/>
      <w:marBottom w:val="0"/>
      <w:divBdr>
        <w:top w:val="none" w:sz="0" w:space="0" w:color="auto"/>
        <w:left w:val="none" w:sz="0" w:space="0" w:color="auto"/>
        <w:bottom w:val="none" w:sz="0" w:space="0" w:color="auto"/>
        <w:right w:val="none" w:sz="0" w:space="0" w:color="auto"/>
      </w:divBdr>
    </w:div>
    <w:div w:id="658726138">
      <w:bodyDiv w:val="1"/>
      <w:marLeft w:val="0"/>
      <w:marRight w:val="0"/>
      <w:marTop w:val="0"/>
      <w:marBottom w:val="0"/>
      <w:divBdr>
        <w:top w:val="none" w:sz="0" w:space="0" w:color="auto"/>
        <w:left w:val="none" w:sz="0" w:space="0" w:color="auto"/>
        <w:bottom w:val="none" w:sz="0" w:space="0" w:color="auto"/>
        <w:right w:val="none" w:sz="0" w:space="0" w:color="auto"/>
      </w:divBdr>
    </w:div>
    <w:div w:id="666252331">
      <w:bodyDiv w:val="1"/>
      <w:marLeft w:val="0"/>
      <w:marRight w:val="0"/>
      <w:marTop w:val="0"/>
      <w:marBottom w:val="0"/>
      <w:divBdr>
        <w:top w:val="none" w:sz="0" w:space="0" w:color="auto"/>
        <w:left w:val="none" w:sz="0" w:space="0" w:color="auto"/>
        <w:bottom w:val="none" w:sz="0" w:space="0" w:color="auto"/>
        <w:right w:val="none" w:sz="0" w:space="0" w:color="auto"/>
      </w:divBdr>
    </w:div>
    <w:div w:id="683284878">
      <w:bodyDiv w:val="1"/>
      <w:marLeft w:val="0"/>
      <w:marRight w:val="0"/>
      <w:marTop w:val="0"/>
      <w:marBottom w:val="0"/>
      <w:divBdr>
        <w:top w:val="none" w:sz="0" w:space="0" w:color="auto"/>
        <w:left w:val="none" w:sz="0" w:space="0" w:color="auto"/>
        <w:bottom w:val="none" w:sz="0" w:space="0" w:color="auto"/>
        <w:right w:val="none" w:sz="0" w:space="0" w:color="auto"/>
      </w:divBdr>
    </w:div>
    <w:div w:id="695426816">
      <w:bodyDiv w:val="1"/>
      <w:marLeft w:val="0"/>
      <w:marRight w:val="0"/>
      <w:marTop w:val="0"/>
      <w:marBottom w:val="0"/>
      <w:divBdr>
        <w:top w:val="none" w:sz="0" w:space="0" w:color="auto"/>
        <w:left w:val="none" w:sz="0" w:space="0" w:color="auto"/>
        <w:bottom w:val="none" w:sz="0" w:space="0" w:color="auto"/>
        <w:right w:val="none" w:sz="0" w:space="0" w:color="auto"/>
      </w:divBdr>
    </w:div>
    <w:div w:id="696545697">
      <w:bodyDiv w:val="1"/>
      <w:marLeft w:val="0"/>
      <w:marRight w:val="0"/>
      <w:marTop w:val="0"/>
      <w:marBottom w:val="0"/>
      <w:divBdr>
        <w:top w:val="none" w:sz="0" w:space="0" w:color="auto"/>
        <w:left w:val="none" w:sz="0" w:space="0" w:color="auto"/>
        <w:bottom w:val="none" w:sz="0" w:space="0" w:color="auto"/>
        <w:right w:val="none" w:sz="0" w:space="0" w:color="auto"/>
      </w:divBdr>
    </w:div>
    <w:div w:id="696583629">
      <w:bodyDiv w:val="1"/>
      <w:marLeft w:val="0"/>
      <w:marRight w:val="0"/>
      <w:marTop w:val="0"/>
      <w:marBottom w:val="0"/>
      <w:divBdr>
        <w:top w:val="none" w:sz="0" w:space="0" w:color="auto"/>
        <w:left w:val="none" w:sz="0" w:space="0" w:color="auto"/>
        <w:bottom w:val="none" w:sz="0" w:space="0" w:color="auto"/>
        <w:right w:val="none" w:sz="0" w:space="0" w:color="auto"/>
      </w:divBdr>
    </w:div>
    <w:div w:id="699354942">
      <w:bodyDiv w:val="1"/>
      <w:marLeft w:val="0"/>
      <w:marRight w:val="0"/>
      <w:marTop w:val="0"/>
      <w:marBottom w:val="0"/>
      <w:divBdr>
        <w:top w:val="none" w:sz="0" w:space="0" w:color="auto"/>
        <w:left w:val="none" w:sz="0" w:space="0" w:color="auto"/>
        <w:bottom w:val="none" w:sz="0" w:space="0" w:color="auto"/>
        <w:right w:val="none" w:sz="0" w:space="0" w:color="auto"/>
      </w:divBdr>
    </w:div>
    <w:div w:id="720789428">
      <w:bodyDiv w:val="1"/>
      <w:marLeft w:val="0"/>
      <w:marRight w:val="0"/>
      <w:marTop w:val="0"/>
      <w:marBottom w:val="0"/>
      <w:divBdr>
        <w:top w:val="none" w:sz="0" w:space="0" w:color="auto"/>
        <w:left w:val="none" w:sz="0" w:space="0" w:color="auto"/>
        <w:bottom w:val="none" w:sz="0" w:space="0" w:color="auto"/>
        <w:right w:val="none" w:sz="0" w:space="0" w:color="auto"/>
      </w:divBdr>
      <w:divsChild>
        <w:div w:id="232814574">
          <w:marLeft w:val="0"/>
          <w:marRight w:val="0"/>
          <w:marTop w:val="0"/>
          <w:marBottom w:val="0"/>
          <w:divBdr>
            <w:top w:val="none" w:sz="0" w:space="0" w:color="auto"/>
            <w:left w:val="none" w:sz="0" w:space="0" w:color="auto"/>
            <w:bottom w:val="none" w:sz="0" w:space="0" w:color="auto"/>
            <w:right w:val="none" w:sz="0" w:space="0" w:color="auto"/>
          </w:divBdr>
          <w:divsChild>
            <w:div w:id="804153111">
              <w:marLeft w:val="0"/>
              <w:marRight w:val="0"/>
              <w:marTop w:val="0"/>
              <w:marBottom w:val="0"/>
              <w:divBdr>
                <w:top w:val="none" w:sz="0" w:space="0" w:color="auto"/>
                <w:left w:val="none" w:sz="0" w:space="0" w:color="auto"/>
                <w:bottom w:val="none" w:sz="0" w:space="0" w:color="auto"/>
                <w:right w:val="none" w:sz="0" w:space="0" w:color="auto"/>
              </w:divBdr>
              <w:divsChild>
                <w:div w:id="76141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05982">
          <w:marLeft w:val="0"/>
          <w:marRight w:val="0"/>
          <w:marTop w:val="0"/>
          <w:marBottom w:val="0"/>
          <w:divBdr>
            <w:top w:val="none" w:sz="0" w:space="0" w:color="auto"/>
            <w:left w:val="none" w:sz="0" w:space="0" w:color="auto"/>
            <w:bottom w:val="none" w:sz="0" w:space="0" w:color="auto"/>
            <w:right w:val="none" w:sz="0" w:space="0" w:color="auto"/>
          </w:divBdr>
          <w:divsChild>
            <w:div w:id="406853488">
              <w:marLeft w:val="0"/>
              <w:marRight w:val="0"/>
              <w:marTop w:val="0"/>
              <w:marBottom w:val="0"/>
              <w:divBdr>
                <w:top w:val="none" w:sz="0" w:space="0" w:color="auto"/>
                <w:left w:val="none" w:sz="0" w:space="0" w:color="auto"/>
                <w:bottom w:val="none" w:sz="0" w:space="0" w:color="auto"/>
                <w:right w:val="none" w:sz="0" w:space="0" w:color="auto"/>
              </w:divBdr>
              <w:divsChild>
                <w:div w:id="38510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330508">
      <w:bodyDiv w:val="1"/>
      <w:marLeft w:val="0"/>
      <w:marRight w:val="0"/>
      <w:marTop w:val="0"/>
      <w:marBottom w:val="0"/>
      <w:divBdr>
        <w:top w:val="none" w:sz="0" w:space="0" w:color="auto"/>
        <w:left w:val="none" w:sz="0" w:space="0" w:color="auto"/>
        <w:bottom w:val="none" w:sz="0" w:space="0" w:color="auto"/>
        <w:right w:val="none" w:sz="0" w:space="0" w:color="auto"/>
      </w:divBdr>
      <w:divsChild>
        <w:div w:id="1818061215">
          <w:marLeft w:val="0"/>
          <w:marRight w:val="0"/>
          <w:marTop w:val="0"/>
          <w:marBottom w:val="225"/>
          <w:divBdr>
            <w:top w:val="none" w:sz="0" w:space="0" w:color="auto"/>
            <w:left w:val="none" w:sz="0" w:space="0" w:color="auto"/>
            <w:bottom w:val="none" w:sz="0" w:space="0" w:color="auto"/>
            <w:right w:val="none" w:sz="0" w:space="0" w:color="auto"/>
          </w:divBdr>
        </w:div>
      </w:divsChild>
    </w:div>
    <w:div w:id="728377911">
      <w:bodyDiv w:val="1"/>
      <w:marLeft w:val="0"/>
      <w:marRight w:val="0"/>
      <w:marTop w:val="0"/>
      <w:marBottom w:val="0"/>
      <w:divBdr>
        <w:top w:val="none" w:sz="0" w:space="0" w:color="auto"/>
        <w:left w:val="none" w:sz="0" w:space="0" w:color="auto"/>
        <w:bottom w:val="none" w:sz="0" w:space="0" w:color="auto"/>
        <w:right w:val="none" w:sz="0" w:space="0" w:color="auto"/>
      </w:divBdr>
    </w:div>
    <w:div w:id="740445619">
      <w:bodyDiv w:val="1"/>
      <w:marLeft w:val="0"/>
      <w:marRight w:val="0"/>
      <w:marTop w:val="0"/>
      <w:marBottom w:val="0"/>
      <w:divBdr>
        <w:top w:val="none" w:sz="0" w:space="0" w:color="auto"/>
        <w:left w:val="none" w:sz="0" w:space="0" w:color="auto"/>
        <w:bottom w:val="none" w:sz="0" w:space="0" w:color="auto"/>
        <w:right w:val="none" w:sz="0" w:space="0" w:color="auto"/>
      </w:divBdr>
    </w:div>
    <w:div w:id="745306473">
      <w:bodyDiv w:val="1"/>
      <w:marLeft w:val="0"/>
      <w:marRight w:val="0"/>
      <w:marTop w:val="0"/>
      <w:marBottom w:val="0"/>
      <w:divBdr>
        <w:top w:val="none" w:sz="0" w:space="0" w:color="auto"/>
        <w:left w:val="none" w:sz="0" w:space="0" w:color="auto"/>
        <w:bottom w:val="none" w:sz="0" w:space="0" w:color="auto"/>
        <w:right w:val="none" w:sz="0" w:space="0" w:color="auto"/>
      </w:divBdr>
    </w:div>
    <w:div w:id="748576548">
      <w:bodyDiv w:val="1"/>
      <w:marLeft w:val="0"/>
      <w:marRight w:val="0"/>
      <w:marTop w:val="0"/>
      <w:marBottom w:val="0"/>
      <w:divBdr>
        <w:top w:val="none" w:sz="0" w:space="0" w:color="auto"/>
        <w:left w:val="none" w:sz="0" w:space="0" w:color="auto"/>
        <w:bottom w:val="none" w:sz="0" w:space="0" w:color="auto"/>
        <w:right w:val="none" w:sz="0" w:space="0" w:color="auto"/>
      </w:divBdr>
    </w:div>
    <w:div w:id="759133949">
      <w:bodyDiv w:val="1"/>
      <w:marLeft w:val="0"/>
      <w:marRight w:val="0"/>
      <w:marTop w:val="0"/>
      <w:marBottom w:val="0"/>
      <w:divBdr>
        <w:top w:val="none" w:sz="0" w:space="0" w:color="auto"/>
        <w:left w:val="none" w:sz="0" w:space="0" w:color="auto"/>
        <w:bottom w:val="none" w:sz="0" w:space="0" w:color="auto"/>
        <w:right w:val="none" w:sz="0" w:space="0" w:color="auto"/>
      </w:divBdr>
    </w:div>
    <w:div w:id="765885272">
      <w:bodyDiv w:val="1"/>
      <w:marLeft w:val="0"/>
      <w:marRight w:val="0"/>
      <w:marTop w:val="0"/>
      <w:marBottom w:val="0"/>
      <w:divBdr>
        <w:top w:val="none" w:sz="0" w:space="0" w:color="auto"/>
        <w:left w:val="none" w:sz="0" w:space="0" w:color="auto"/>
        <w:bottom w:val="none" w:sz="0" w:space="0" w:color="auto"/>
        <w:right w:val="none" w:sz="0" w:space="0" w:color="auto"/>
      </w:divBdr>
    </w:div>
    <w:div w:id="770786505">
      <w:bodyDiv w:val="1"/>
      <w:marLeft w:val="0"/>
      <w:marRight w:val="0"/>
      <w:marTop w:val="0"/>
      <w:marBottom w:val="0"/>
      <w:divBdr>
        <w:top w:val="none" w:sz="0" w:space="0" w:color="auto"/>
        <w:left w:val="none" w:sz="0" w:space="0" w:color="auto"/>
        <w:bottom w:val="none" w:sz="0" w:space="0" w:color="auto"/>
        <w:right w:val="none" w:sz="0" w:space="0" w:color="auto"/>
      </w:divBdr>
    </w:div>
    <w:div w:id="772818819">
      <w:bodyDiv w:val="1"/>
      <w:marLeft w:val="0"/>
      <w:marRight w:val="0"/>
      <w:marTop w:val="0"/>
      <w:marBottom w:val="0"/>
      <w:divBdr>
        <w:top w:val="none" w:sz="0" w:space="0" w:color="auto"/>
        <w:left w:val="none" w:sz="0" w:space="0" w:color="auto"/>
        <w:bottom w:val="none" w:sz="0" w:space="0" w:color="auto"/>
        <w:right w:val="none" w:sz="0" w:space="0" w:color="auto"/>
      </w:divBdr>
    </w:div>
    <w:div w:id="773748241">
      <w:bodyDiv w:val="1"/>
      <w:marLeft w:val="0"/>
      <w:marRight w:val="0"/>
      <w:marTop w:val="0"/>
      <w:marBottom w:val="0"/>
      <w:divBdr>
        <w:top w:val="none" w:sz="0" w:space="0" w:color="auto"/>
        <w:left w:val="none" w:sz="0" w:space="0" w:color="auto"/>
        <w:bottom w:val="none" w:sz="0" w:space="0" w:color="auto"/>
        <w:right w:val="none" w:sz="0" w:space="0" w:color="auto"/>
      </w:divBdr>
    </w:div>
    <w:div w:id="773748987">
      <w:bodyDiv w:val="1"/>
      <w:marLeft w:val="0"/>
      <w:marRight w:val="0"/>
      <w:marTop w:val="0"/>
      <w:marBottom w:val="0"/>
      <w:divBdr>
        <w:top w:val="none" w:sz="0" w:space="0" w:color="auto"/>
        <w:left w:val="none" w:sz="0" w:space="0" w:color="auto"/>
        <w:bottom w:val="none" w:sz="0" w:space="0" w:color="auto"/>
        <w:right w:val="none" w:sz="0" w:space="0" w:color="auto"/>
      </w:divBdr>
    </w:div>
    <w:div w:id="773939753">
      <w:bodyDiv w:val="1"/>
      <w:marLeft w:val="0"/>
      <w:marRight w:val="0"/>
      <w:marTop w:val="0"/>
      <w:marBottom w:val="0"/>
      <w:divBdr>
        <w:top w:val="none" w:sz="0" w:space="0" w:color="auto"/>
        <w:left w:val="none" w:sz="0" w:space="0" w:color="auto"/>
        <w:bottom w:val="none" w:sz="0" w:space="0" w:color="auto"/>
        <w:right w:val="none" w:sz="0" w:space="0" w:color="auto"/>
      </w:divBdr>
    </w:div>
    <w:div w:id="775297699">
      <w:bodyDiv w:val="1"/>
      <w:marLeft w:val="0"/>
      <w:marRight w:val="0"/>
      <w:marTop w:val="0"/>
      <w:marBottom w:val="0"/>
      <w:divBdr>
        <w:top w:val="none" w:sz="0" w:space="0" w:color="auto"/>
        <w:left w:val="none" w:sz="0" w:space="0" w:color="auto"/>
        <w:bottom w:val="none" w:sz="0" w:space="0" w:color="auto"/>
        <w:right w:val="none" w:sz="0" w:space="0" w:color="auto"/>
      </w:divBdr>
    </w:div>
    <w:div w:id="782726510">
      <w:bodyDiv w:val="1"/>
      <w:marLeft w:val="0"/>
      <w:marRight w:val="0"/>
      <w:marTop w:val="0"/>
      <w:marBottom w:val="0"/>
      <w:divBdr>
        <w:top w:val="none" w:sz="0" w:space="0" w:color="auto"/>
        <w:left w:val="none" w:sz="0" w:space="0" w:color="auto"/>
        <w:bottom w:val="none" w:sz="0" w:space="0" w:color="auto"/>
        <w:right w:val="none" w:sz="0" w:space="0" w:color="auto"/>
      </w:divBdr>
    </w:div>
    <w:div w:id="796800053">
      <w:bodyDiv w:val="1"/>
      <w:marLeft w:val="0"/>
      <w:marRight w:val="0"/>
      <w:marTop w:val="0"/>
      <w:marBottom w:val="0"/>
      <w:divBdr>
        <w:top w:val="none" w:sz="0" w:space="0" w:color="auto"/>
        <w:left w:val="none" w:sz="0" w:space="0" w:color="auto"/>
        <w:bottom w:val="none" w:sz="0" w:space="0" w:color="auto"/>
        <w:right w:val="none" w:sz="0" w:space="0" w:color="auto"/>
      </w:divBdr>
    </w:div>
    <w:div w:id="840850578">
      <w:bodyDiv w:val="1"/>
      <w:marLeft w:val="0"/>
      <w:marRight w:val="0"/>
      <w:marTop w:val="0"/>
      <w:marBottom w:val="0"/>
      <w:divBdr>
        <w:top w:val="none" w:sz="0" w:space="0" w:color="auto"/>
        <w:left w:val="none" w:sz="0" w:space="0" w:color="auto"/>
        <w:bottom w:val="none" w:sz="0" w:space="0" w:color="auto"/>
        <w:right w:val="none" w:sz="0" w:space="0" w:color="auto"/>
      </w:divBdr>
    </w:div>
    <w:div w:id="844629261">
      <w:bodyDiv w:val="1"/>
      <w:marLeft w:val="0"/>
      <w:marRight w:val="0"/>
      <w:marTop w:val="0"/>
      <w:marBottom w:val="0"/>
      <w:divBdr>
        <w:top w:val="none" w:sz="0" w:space="0" w:color="auto"/>
        <w:left w:val="none" w:sz="0" w:space="0" w:color="auto"/>
        <w:bottom w:val="none" w:sz="0" w:space="0" w:color="auto"/>
        <w:right w:val="none" w:sz="0" w:space="0" w:color="auto"/>
      </w:divBdr>
    </w:div>
    <w:div w:id="849874804">
      <w:bodyDiv w:val="1"/>
      <w:marLeft w:val="0"/>
      <w:marRight w:val="0"/>
      <w:marTop w:val="0"/>
      <w:marBottom w:val="0"/>
      <w:divBdr>
        <w:top w:val="none" w:sz="0" w:space="0" w:color="auto"/>
        <w:left w:val="none" w:sz="0" w:space="0" w:color="auto"/>
        <w:bottom w:val="none" w:sz="0" w:space="0" w:color="auto"/>
        <w:right w:val="none" w:sz="0" w:space="0" w:color="auto"/>
      </w:divBdr>
    </w:div>
    <w:div w:id="852258773">
      <w:bodyDiv w:val="1"/>
      <w:marLeft w:val="0"/>
      <w:marRight w:val="0"/>
      <w:marTop w:val="0"/>
      <w:marBottom w:val="0"/>
      <w:divBdr>
        <w:top w:val="none" w:sz="0" w:space="0" w:color="auto"/>
        <w:left w:val="none" w:sz="0" w:space="0" w:color="auto"/>
        <w:bottom w:val="none" w:sz="0" w:space="0" w:color="auto"/>
        <w:right w:val="none" w:sz="0" w:space="0" w:color="auto"/>
      </w:divBdr>
    </w:div>
    <w:div w:id="868031187">
      <w:bodyDiv w:val="1"/>
      <w:marLeft w:val="0"/>
      <w:marRight w:val="0"/>
      <w:marTop w:val="0"/>
      <w:marBottom w:val="0"/>
      <w:divBdr>
        <w:top w:val="none" w:sz="0" w:space="0" w:color="auto"/>
        <w:left w:val="none" w:sz="0" w:space="0" w:color="auto"/>
        <w:bottom w:val="none" w:sz="0" w:space="0" w:color="auto"/>
        <w:right w:val="none" w:sz="0" w:space="0" w:color="auto"/>
      </w:divBdr>
    </w:div>
    <w:div w:id="873269871">
      <w:bodyDiv w:val="1"/>
      <w:marLeft w:val="0"/>
      <w:marRight w:val="0"/>
      <w:marTop w:val="0"/>
      <w:marBottom w:val="0"/>
      <w:divBdr>
        <w:top w:val="none" w:sz="0" w:space="0" w:color="auto"/>
        <w:left w:val="none" w:sz="0" w:space="0" w:color="auto"/>
        <w:bottom w:val="none" w:sz="0" w:space="0" w:color="auto"/>
        <w:right w:val="none" w:sz="0" w:space="0" w:color="auto"/>
      </w:divBdr>
    </w:div>
    <w:div w:id="879828873">
      <w:bodyDiv w:val="1"/>
      <w:marLeft w:val="0"/>
      <w:marRight w:val="0"/>
      <w:marTop w:val="0"/>
      <w:marBottom w:val="0"/>
      <w:divBdr>
        <w:top w:val="none" w:sz="0" w:space="0" w:color="auto"/>
        <w:left w:val="none" w:sz="0" w:space="0" w:color="auto"/>
        <w:bottom w:val="none" w:sz="0" w:space="0" w:color="auto"/>
        <w:right w:val="none" w:sz="0" w:space="0" w:color="auto"/>
      </w:divBdr>
    </w:div>
    <w:div w:id="881937136">
      <w:bodyDiv w:val="1"/>
      <w:marLeft w:val="0"/>
      <w:marRight w:val="0"/>
      <w:marTop w:val="0"/>
      <w:marBottom w:val="0"/>
      <w:divBdr>
        <w:top w:val="none" w:sz="0" w:space="0" w:color="auto"/>
        <w:left w:val="none" w:sz="0" w:space="0" w:color="auto"/>
        <w:bottom w:val="none" w:sz="0" w:space="0" w:color="auto"/>
        <w:right w:val="none" w:sz="0" w:space="0" w:color="auto"/>
      </w:divBdr>
    </w:div>
    <w:div w:id="887835387">
      <w:bodyDiv w:val="1"/>
      <w:marLeft w:val="0"/>
      <w:marRight w:val="0"/>
      <w:marTop w:val="0"/>
      <w:marBottom w:val="0"/>
      <w:divBdr>
        <w:top w:val="none" w:sz="0" w:space="0" w:color="auto"/>
        <w:left w:val="none" w:sz="0" w:space="0" w:color="auto"/>
        <w:bottom w:val="none" w:sz="0" w:space="0" w:color="auto"/>
        <w:right w:val="none" w:sz="0" w:space="0" w:color="auto"/>
      </w:divBdr>
    </w:div>
    <w:div w:id="893197170">
      <w:bodyDiv w:val="1"/>
      <w:marLeft w:val="0"/>
      <w:marRight w:val="0"/>
      <w:marTop w:val="0"/>
      <w:marBottom w:val="0"/>
      <w:divBdr>
        <w:top w:val="none" w:sz="0" w:space="0" w:color="auto"/>
        <w:left w:val="none" w:sz="0" w:space="0" w:color="auto"/>
        <w:bottom w:val="none" w:sz="0" w:space="0" w:color="auto"/>
        <w:right w:val="none" w:sz="0" w:space="0" w:color="auto"/>
      </w:divBdr>
    </w:div>
    <w:div w:id="894774879">
      <w:bodyDiv w:val="1"/>
      <w:marLeft w:val="0"/>
      <w:marRight w:val="0"/>
      <w:marTop w:val="0"/>
      <w:marBottom w:val="0"/>
      <w:divBdr>
        <w:top w:val="none" w:sz="0" w:space="0" w:color="auto"/>
        <w:left w:val="none" w:sz="0" w:space="0" w:color="auto"/>
        <w:bottom w:val="none" w:sz="0" w:space="0" w:color="auto"/>
        <w:right w:val="none" w:sz="0" w:space="0" w:color="auto"/>
      </w:divBdr>
      <w:divsChild>
        <w:div w:id="609896371">
          <w:marLeft w:val="0"/>
          <w:marRight w:val="0"/>
          <w:marTop w:val="0"/>
          <w:marBottom w:val="0"/>
          <w:divBdr>
            <w:top w:val="single" w:sz="6" w:space="11" w:color="E2E2E2"/>
            <w:left w:val="none" w:sz="0" w:space="0" w:color="auto"/>
            <w:bottom w:val="single" w:sz="6" w:space="12" w:color="E2E2E2"/>
            <w:right w:val="none" w:sz="0" w:space="0" w:color="auto"/>
          </w:divBdr>
          <w:divsChild>
            <w:div w:id="345979465">
              <w:marLeft w:val="0"/>
              <w:marRight w:val="0"/>
              <w:marTop w:val="0"/>
              <w:marBottom w:val="0"/>
              <w:divBdr>
                <w:top w:val="none" w:sz="0" w:space="0" w:color="auto"/>
                <w:left w:val="none" w:sz="0" w:space="0" w:color="auto"/>
                <w:bottom w:val="none" w:sz="0" w:space="0" w:color="auto"/>
                <w:right w:val="none" w:sz="0" w:space="0" w:color="auto"/>
              </w:divBdr>
              <w:divsChild>
                <w:div w:id="4594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528658">
      <w:bodyDiv w:val="1"/>
      <w:marLeft w:val="0"/>
      <w:marRight w:val="0"/>
      <w:marTop w:val="0"/>
      <w:marBottom w:val="0"/>
      <w:divBdr>
        <w:top w:val="none" w:sz="0" w:space="0" w:color="auto"/>
        <w:left w:val="none" w:sz="0" w:space="0" w:color="auto"/>
        <w:bottom w:val="none" w:sz="0" w:space="0" w:color="auto"/>
        <w:right w:val="none" w:sz="0" w:space="0" w:color="auto"/>
      </w:divBdr>
    </w:div>
    <w:div w:id="906771060">
      <w:bodyDiv w:val="1"/>
      <w:marLeft w:val="0"/>
      <w:marRight w:val="0"/>
      <w:marTop w:val="0"/>
      <w:marBottom w:val="0"/>
      <w:divBdr>
        <w:top w:val="none" w:sz="0" w:space="0" w:color="auto"/>
        <w:left w:val="none" w:sz="0" w:space="0" w:color="auto"/>
        <w:bottom w:val="none" w:sz="0" w:space="0" w:color="auto"/>
        <w:right w:val="none" w:sz="0" w:space="0" w:color="auto"/>
      </w:divBdr>
    </w:div>
    <w:div w:id="928151826">
      <w:bodyDiv w:val="1"/>
      <w:marLeft w:val="0"/>
      <w:marRight w:val="0"/>
      <w:marTop w:val="0"/>
      <w:marBottom w:val="0"/>
      <w:divBdr>
        <w:top w:val="none" w:sz="0" w:space="0" w:color="auto"/>
        <w:left w:val="none" w:sz="0" w:space="0" w:color="auto"/>
        <w:bottom w:val="none" w:sz="0" w:space="0" w:color="auto"/>
        <w:right w:val="none" w:sz="0" w:space="0" w:color="auto"/>
      </w:divBdr>
    </w:div>
    <w:div w:id="938874621">
      <w:bodyDiv w:val="1"/>
      <w:marLeft w:val="0"/>
      <w:marRight w:val="0"/>
      <w:marTop w:val="0"/>
      <w:marBottom w:val="0"/>
      <w:divBdr>
        <w:top w:val="none" w:sz="0" w:space="0" w:color="auto"/>
        <w:left w:val="none" w:sz="0" w:space="0" w:color="auto"/>
        <w:bottom w:val="none" w:sz="0" w:space="0" w:color="auto"/>
        <w:right w:val="none" w:sz="0" w:space="0" w:color="auto"/>
      </w:divBdr>
    </w:div>
    <w:div w:id="942106983">
      <w:bodyDiv w:val="1"/>
      <w:marLeft w:val="0"/>
      <w:marRight w:val="0"/>
      <w:marTop w:val="0"/>
      <w:marBottom w:val="0"/>
      <w:divBdr>
        <w:top w:val="none" w:sz="0" w:space="0" w:color="auto"/>
        <w:left w:val="none" w:sz="0" w:space="0" w:color="auto"/>
        <w:bottom w:val="none" w:sz="0" w:space="0" w:color="auto"/>
        <w:right w:val="none" w:sz="0" w:space="0" w:color="auto"/>
      </w:divBdr>
    </w:div>
    <w:div w:id="953630158">
      <w:bodyDiv w:val="1"/>
      <w:marLeft w:val="0"/>
      <w:marRight w:val="0"/>
      <w:marTop w:val="0"/>
      <w:marBottom w:val="0"/>
      <w:divBdr>
        <w:top w:val="none" w:sz="0" w:space="0" w:color="auto"/>
        <w:left w:val="none" w:sz="0" w:space="0" w:color="auto"/>
        <w:bottom w:val="none" w:sz="0" w:space="0" w:color="auto"/>
        <w:right w:val="none" w:sz="0" w:space="0" w:color="auto"/>
      </w:divBdr>
    </w:div>
    <w:div w:id="957180862">
      <w:bodyDiv w:val="1"/>
      <w:marLeft w:val="0"/>
      <w:marRight w:val="0"/>
      <w:marTop w:val="0"/>
      <w:marBottom w:val="0"/>
      <w:divBdr>
        <w:top w:val="none" w:sz="0" w:space="0" w:color="auto"/>
        <w:left w:val="none" w:sz="0" w:space="0" w:color="auto"/>
        <w:bottom w:val="none" w:sz="0" w:space="0" w:color="auto"/>
        <w:right w:val="none" w:sz="0" w:space="0" w:color="auto"/>
      </w:divBdr>
    </w:div>
    <w:div w:id="958029460">
      <w:bodyDiv w:val="1"/>
      <w:marLeft w:val="0"/>
      <w:marRight w:val="0"/>
      <w:marTop w:val="0"/>
      <w:marBottom w:val="0"/>
      <w:divBdr>
        <w:top w:val="none" w:sz="0" w:space="0" w:color="auto"/>
        <w:left w:val="none" w:sz="0" w:space="0" w:color="auto"/>
        <w:bottom w:val="none" w:sz="0" w:space="0" w:color="auto"/>
        <w:right w:val="none" w:sz="0" w:space="0" w:color="auto"/>
      </w:divBdr>
    </w:div>
    <w:div w:id="967778852">
      <w:bodyDiv w:val="1"/>
      <w:marLeft w:val="0"/>
      <w:marRight w:val="0"/>
      <w:marTop w:val="0"/>
      <w:marBottom w:val="0"/>
      <w:divBdr>
        <w:top w:val="none" w:sz="0" w:space="0" w:color="auto"/>
        <w:left w:val="none" w:sz="0" w:space="0" w:color="auto"/>
        <w:bottom w:val="none" w:sz="0" w:space="0" w:color="auto"/>
        <w:right w:val="none" w:sz="0" w:space="0" w:color="auto"/>
      </w:divBdr>
    </w:div>
    <w:div w:id="975372302">
      <w:bodyDiv w:val="1"/>
      <w:marLeft w:val="0"/>
      <w:marRight w:val="0"/>
      <w:marTop w:val="0"/>
      <w:marBottom w:val="0"/>
      <w:divBdr>
        <w:top w:val="none" w:sz="0" w:space="0" w:color="auto"/>
        <w:left w:val="none" w:sz="0" w:space="0" w:color="auto"/>
        <w:bottom w:val="none" w:sz="0" w:space="0" w:color="auto"/>
        <w:right w:val="none" w:sz="0" w:space="0" w:color="auto"/>
      </w:divBdr>
    </w:div>
    <w:div w:id="979922140">
      <w:bodyDiv w:val="1"/>
      <w:marLeft w:val="0"/>
      <w:marRight w:val="0"/>
      <w:marTop w:val="0"/>
      <w:marBottom w:val="0"/>
      <w:divBdr>
        <w:top w:val="none" w:sz="0" w:space="0" w:color="auto"/>
        <w:left w:val="none" w:sz="0" w:space="0" w:color="auto"/>
        <w:bottom w:val="none" w:sz="0" w:space="0" w:color="auto"/>
        <w:right w:val="none" w:sz="0" w:space="0" w:color="auto"/>
      </w:divBdr>
    </w:div>
    <w:div w:id="998311641">
      <w:bodyDiv w:val="1"/>
      <w:marLeft w:val="0"/>
      <w:marRight w:val="0"/>
      <w:marTop w:val="0"/>
      <w:marBottom w:val="0"/>
      <w:divBdr>
        <w:top w:val="none" w:sz="0" w:space="0" w:color="auto"/>
        <w:left w:val="none" w:sz="0" w:space="0" w:color="auto"/>
        <w:bottom w:val="none" w:sz="0" w:space="0" w:color="auto"/>
        <w:right w:val="none" w:sz="0" w:space="0" w:color="auto"/>
      </w:divBdr>
    </w:div>
    <w:div w:id="1001155523">
      <w:bodyDiv w:val="1"/>
      <w:marLeft w:val="0"/>
      <w:marRight w:val="0"/>
      <w:marTop w:val="0"/>
      <w:marBottom w:val="0"/>
      <w:divBdr>
        <w:top w:val="none" w:sz="0" w:space="0" w:color="auto"/>
        <w:left w:val="none" w:sz="0" w:space="0" w:color="auto"/>
        <w:bottom w:val="none" w:sz="0" w:space="0" w:color="auto"/>
        <w:right w:val="none" w:sz="0" w:space="0" w:color="auto"/>
      </w:divBdr>
    </w:div>
    <w:div w:id="1012878728">
      <w:bodyDiv w:val="1"/>
      <w:marLeft w:val="0"/>
      <w:marRight w:val="0"/>
      <w:marTop w:val="0"/>
      <w:marBottom w:val="0"/>
      <w:divBdr>
        <w:top w:val="none" w:sz="0" w:space="0" w:color="auto"/>
        <w:left w:val="none" w:sz="0" w:space="0" w:color="auto"/>
        <w:bottom w:val="none" w:sz="0" w:space="0" w:color="auto"/>
        <w:right w:val="none" w:sz="0" w:space="0" w:color="auto"/>
      </w:divBdr>
    </w:div>
    <w:div w:id="1021319562">
      <w:bodyDiv w:val="1"/>
      <w:marLeft w:val="0"/>
      <w:marRight w:val="0"/>
      <w:marTop w:val="0"/>
      <w:marBottom w:val="0"/>
      <w:divBdr>
        <w:top w:val="none" w:sz="0" w:space="0" w:color="auto"/>
        <w:left w:val="none" w:sz="0" w:space="0" w:color="auto"/>
        <w:bottom w:val="none" w:sz="0" w:space="0" w:color="auto"/>
        <w:right w:val="none" w:sz="0" w:space="0" w:color="auto"/>
      </w:divBdr>
    </w:div>
    <w:div w:id="1049918416">
      <w:bodyDiv w:val="1"/>
      <w:marLeft w:val="0"/>
      <w:marRight w:val="0"/>
      <w:marTop w:val="0"/>
      <w:marBottom w:val="0"/>
      <w:divBdr>
        <w:top w:val="none" w:sz="0" w:space="0" w:color="auto"/>
        <w:left w:val="none" w:sz="0" w:space="0" w:color="auto"/>
        <w:bottom w:val="none" w:sz="0" w:space="0" w:color="auto"/>
        <w:right w:val="none" w:sz="0" w:space="0" w:color="auto"/>
      </w:divBdr>
    </w:div>
    <w:div w:id="1061515876">
      <w:bodyDiv w:val="1"/>
      <w:marLeft w:val="0"/>
      <w:marRight w:val="0"/>
      <w:marTop w:val="0"/>
      <w:marBottom w:val="0"/>
      <w:divBdr>
        <w:top w:val="none" w:sz="0" w:space="0" w:color="auto"/>
        <w:left w:val="none" w:sz="0" w:space="0" w:color="auto"/>
        <w:bottom w:val="none" w:sz="0" w:space="0" w:color="auto"/>
        <w:right w:val="none" w:sz="0" w:space="0" w:color="auto"/>
      </w:divBdr>
    </w:div>
    <w:div w:id="1066147958">
      <w:bodyDiv w:val="1"/>
      <w:marLeft w:val="0"/>
      <w:marRight w:val="0"/>
      <w:marTop w:val="0"/>
      <w:marBottom w:val="0"/>
      <w:divBdr>
        <w:top w:val="none" w:sz="0" w:space="0" w:color="auto"/>
        <w:left w:val="none" w:sz="0" w:space="0" w:color="auto"/>
        <w:bottom w:val="none" w:sz="0" w:space="0" w:color="auto"/>
        <w:right w:val="none" w:sz="0" w:space="0" w:color="auto"/>
      </w:divBdr>
    </w:div>
    <w:div w:id="1068385168">
      <w:bodyDiv w:val="1"/>
      <w:marLeft w:val="0"/>
      <w:marRight w:val="0"/>
      <w:marTop w:val="0"/>
      <w:marBottom w:val="0"/>
      <w:divBdr>
        <w:top w:val="none" w:sz="0" w:space="0" w:color="auto"/>
        <w:left w:val="none" w:sz="0" w:space="0" w:color="auto"/>
        <w:bottom w:val="none" w:sz="0" w:space="0" w:color="auto"/>
        <w:right w:val="none" w:sz="0" w:space="0" w:color="auto"/>
      </w:divBdr>
    </w:div>
    <w:div w:id="1077484431">
      <w:bodyDiv w:val="1"/>
      <w:marLeft w:val="0"/>
      <w:marRight w:val="0"/>
      <w:marTop w:val="0"/>
      <w:marBottom w:val="0"/>
      <w:divBdr>
        <w:top w:val="none" w:sz="0" w:space="0" w:color="auto"/>
        <w:left w:val="none" w:sz="0" w:space="0" w:color="auto"/>
        <w:bottom w:val="none" w:sz="0" w:space="0" w:color="auto"/>
        <w:right w:val="none" w:sz="0" w:space="0" w:color="auto"/>
      </w:divBdr>
    </w:div>
    <w:div w:id="1080713651">
      <w:bodyDiv w:val="1"/>
      <w:marLeft w:val="0"/>
      <w:marRight w:val="0"/>
      <w:marTop w:val="0"/>
      <w:marBottom w:val="0"/>
      <w:divBdr>
        <w:top w:val="none" w:sz="0" w:space="0" w:color="auto"/>
        <w:left w:val="none" w:sz="0" w:space="0" w:color="auto"/>
        <w:bottom w:val="none" w:sz="0" w:space="0" w:color="auto"/>
        <w:right w:val="none" w:sz="0" w:space="0" w:color="auto"/>
      </w:divBdr>
    </w:div>
    <w:div w:id="1089540600">
      <w:bodyDiv w:val="1"/>
      <w:marLeft w:val="0"/>
      <w:marRight w:val="0"/>
      <w:marTop w:val="0"/>
      <w:marBottom w:val="0"/>
      <w:divBdr>
        <w:top w:val="none" w:sz="0" w:space="0" w:color="auto"/>
        <w:left w:val="none" w:sz="0" w:space="0" w:color="auto"/>
        <w:bottom w:val="none" w:sz="0" w:space="0" w:color="auto"/>
        <w:right w:val="none" w:sz="0" w:space="0" w:color="auto"/>
      </w:divBdr>
    </w:div>
    <w:div w:id="1102915695">
      <w:bodyDiv w:val="1"/>
      <w:marLeft w:val="0"/>
      <w:marRight w:val="0"/>
      <w:marTop w:val="0"/>
      <w:marBottom w:val="0"/>
      <w:divBdr>
        <w:top w:val="none" w:sz="0" w:space="0" w:color="auto"/>
        <w:left w:val="none" w:sz="0" w:space="0" w:color="auto"/>
        <w:bottom w:val="none" w:sz="0" w:space="0" w:color="auto"/>
        <w:right w:val="none" w:sz="0" w:space="0" w:color="auto"/>
      </w:divBdr>
    </w:div>
    <w:div w:id="1105347113">
      <w:bodyDiv w:val="1"/>
      <w:marLeft w:val="0"/>
      <w:marRight w:val="0"/>
      <w:marTop w:val="0"/>
      <w:marBottom w:val="0"/>
      <w:divBdr>
        <w:top w:val="none" w:sz="0" w:space="0" w:color="auto"/>
        <w:left w:val="none" w:sz="0" w:space="0" w:color="auto"/>
        <w:bottom w:val="none" w:sz="0" w:space="0" w:color="auto"/>
        <w:right w:val="none" w:sz="0" w:space="0" w:color="auto"/>
      </w:divBdr>
    </w:div>
    <w:div w:id="1122967167">
      <w:bodyDiv w:val="1"/>
      <w:marLeft w:val="0"/>
      <w:marRight w:val="0"/>
      <w:marTop w:val="0"/>
      <w:marBottom w:val="0"/>
      <w:divBdr>
        <w:top w:val="none" w:sz="0" w:space="0" w:color="auto"/>
        <w:left w:val="none" w:sz="0" w:space="0" w:color="auto"/>
        <w:bottom w:val="none" w:sz="0" w:space="0" w:color="auto"/>
        <w:right w:val="none" w:sz="0" w:space="0" w:color="auto"/>
      </w:divBdr>
      <w:divsChild>
        <w:div w:id="872232020">
          <w:marLeft w:val="1924"/>
          <w:marRight w:val="0"/>
          <w:marTop w:val="0"/>
          <w:marBottom w:val="0"/>
          <w:divBdr>
            <w:top w:val="none" w:sz="0" w:space="0" w:color="auto"/>
            <w:left w:val="none" w:sz="0" w:space="0" w:color="auto"/>
            <w:bottom w:val="none" w:sz="0" w:space="0" w:color="auto"/>
            <w:right w:val="none" w:sz="0" w:space="0" w:color="auto"/>
          </w:divBdr>
        </w:div>
        <w:div w:id="1581253362">
          <w:marLeft w:val="0"/>
          <w:marRight w:val="0"/>
          <w:marTop w:val="0"/>
          <w:marBottom w:val="0"/>
          <w:divBdr>
            <w:top w:val="none" w:sz="0" w:space="0" w:color="auto"/>
            <w:left w:val="none" w:sz="0" w:space="0" w:color="auto"/>
            <w:bottom w:val="none" w:sz="0" w:space="0" w:color="auto"/>
            <w:right w:val="none" w:sz="0" w:space="0" w:color="auto"/>
          </w:divBdr>
          <w:divsChild>
            <w:div w:id="2144619211">
              <w:marLeft w:val="0"/>
              <w:marRight w:val="0"/>
              <w:marTop w:val="0"/>
              <w:marBottom w:val="0"/>
              <w:divBdr>
                <w:top w:val="none" w:sz="0" w:space="0" w:color="auto"/>
                <w:left w:val="none" w:sz="0" w:space="0" w:color="auto"/>
                <w:bottom w:val="none" w:sz="0" w:space="0" w:color="auto"/>
                <w:right w:val="none" w:sz="0" w:space="0" w:color="auto"/>
              </w:divBdr>
            </w:div>
          </w:divsChild>
        </w:div>
        <w:div w:id="1686521212">
          <w:marLeft w:val="1924"/>
          <w:marRight w:val="0"/>
          <w:marTop w:val="0"/>
          <w:marBottom w:val="0"/>
          <w:divBdr>
            <w:top w:val="none" w:sz="0" w:space="0" w:color="auto"/>
            <w:left w:val="none" w:sz="0" w:space="0" w:color="auto"/>
            <w:bottom w:val="none" w:sz="0" w:space="0" w:color="auto"/>
            <w:right w:val="none" w:sz="0" w:space="0" w:color="auto"/>
          </w:divBdr>
          <w:divsChild>
            <w:div w:id="1399596230">
              <w:marLeft w:val="0"/>
              <w:marRight w:val="0"/>
              <w:marTop w:val="0"/>
              <w:marBottom w:val="300"/>
              <w:divBdr>
                <w:top w:val="none" w:sz="0" w:space="0" w:color="auto"/>
                <w:left w:val="none" w:sz="0" w:space="0" w:color="auto"/>
                <w:bottom w:val="none" w:sz="0" w:space="0" w:color="auto"/>
                <w:right w:val="none" w:sz="0" w:space="0" w:color="auto"/>
              </w:divBdr>
              <w:divsChild>
                <w:div w:id="200743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152068">
      <w:bodyDiv w:val="1"/>
      <w:marLeft w:val="0"/>
      <w:marRight w:val="0"/>
      <w:marTop w:val="0"/>
      <w:marBottom w:val="0"/>
      <w:divBdr>
        <w:top w:val="none" w:sz="0" w:space="0" w:color="auto"/>
        <w:left w:val="none" w:sz="0" w:space="0" w:color="auto"/>
        <w:bottom w:val="none" w:sz="0" w:space="0" w:color="auto"/>
        <w:right w:val="none" w:sz="0" w:space="0" w:color="auto"/>
      </w:divBdr>
    </w:div>
    <w:div w:id="1124619306">
      <w:bodyDiv w:val="1"/>
      <w:marLeft w:val="0"/>
      <w:marRight w:val="0"/>
      <w:marTop w:val="0"/>
      <w:marBottom w:val="0"/>
      <w:divBdr>
        <w:top w:val="none" w:sz="0" w:space="0" w:color="auto"/>
        <w:left w:val="none" w:sz="0" w:space="0" w:color="auto"/>
        <w:bottom w:val="none" w:sz="0" w:space="0" w:color="auto"/>
        <w:right w:val="none" w:sz="0" w:space="0" w:color="auto"/>
      </w:divBdr>
    </w:div>
    <w:div w:id="1149635142">
      <w:bodyDiv w:val="1"/>
      <w:marLeft w:val="0"/>
      <w:marRight w:val="0"/>
      <w:marTop w:val="0"/>
      <w:marBottom w:val="0"/>
      <w:divBdr>
        <w:top w:val="none" w:sz="0" w:space="0" w:color="auto"/>
        <w:left w:val="none" w:sz="0" w:space="0" w:color="auto"/>
        <w:bottom w:val="none" w:sz="0" w:space="0" w:color="auto"/>
        <w:right w:val="none" w:sz="0" w:space="0" w:color="auto"/>
      </w:divBdr>
      <w:divsChild>
        <w:div w:id="390033301">
          <w:marLeft w:val="0"/>
          <w:marRight w:val="0"/>
          <w:marTop w:val="0"/>
          <w:marBottom w:val="0"/>
          <w:divBdr>
            <w:top w:val="single" w:sz="6" w:space="11" w:color="E2E2E2"/>
            <w:left w:val="none" w:sz="0" w:space="0" w:color="auto"/>
            <w:bottom w:val="single" w:sz="6" w:space="12" w:color="E2E2E2"/>
            <w:right w:val="none" w:sz="0" w:space="0" w:color="auto"/>
          </w:divBdr>
          <w:divsChild>
            <w:div w:id="1940797301">
              <w:marLeft w:val="0"/>
              <w:marRight w:val="0"/>
              <w:marTop w:val="0"/>
              <w:marBottom w:val="0"/>
              <w:divBdr>
                <w:top w:val="none" w:sz="0" w:space="0" w:color="auto"/>
                <w:left w:val="none" w:sz="0" w:space="0" w:color="auto"/>
                <w:bottom w:val="none" w:sz="0" w:space="0" w:color="auto"/>
                <w:right w:val="none" w:sz="0" w:space="0" w:color="auto"/>
              </w:divBdr>
              <w:divsChild>
                <w:div w:id="135195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488306">
      <w:bodyDiv w:val="1"/>
      <w:marLeft w:val="0"/>
      <w:marRight w:val="0"/>
      <w:marTop w:val="0"/>
      <w:marBottom w:val="0"/>
      <w:divBdr>
        <w:top w:val="none" w:sz="0" w:space="0" w:color="auto"/>
        <w:left w:val="none" w:sz="0" w:space="0" w:color="auto"/>
        <w:bottom w:val="none" w:sz="0" w:space="0" w:color="auto"/>
        <w:right w:val="none" w:sz="0" w:space="0" w:color="auto"/>
      </w:divBdr>
      <w:divsChild>
        <w:div w:id="1375230914">
          <w:marLeft w:val="0"/>
          <w:marRight w:val="0"/>
          <w:marTop w:val="0"/>
          <w:marBottom w:val="0"/>
          <w:divBdr>
            <w:top w:val="none" w:sz="0" w:space="0" w:color="auto"/>
            <w:left w:val="none" w:sz="0" w:space="0" w:color="auto"/>
            <w:bottom w:val="none" w:sz="0" w:space="0" w:color="auto"/>
            <w:right w:val="none" w:sz="0" w:space="0" w:color="auto"/>
          </w:divBdr>
          <w:divsChild>
            <w:div w:id="1558392377">
              <w:marLeft w:val="0"/>
              <w:marRight w:val="0"/>
              <w:marTop w:val="0"/>
              <w:marBottom w:val="0"/>
              <w:divBdr>
                <w:top w:val="none" w:sz="0" w:space="0" w:color="auto"/>
                <w:left w:val="none" w:sz="0" w:space="0" w:color="auto"/>
                <w:bottom w:val="none" w:sz="0" w:space="0" w:color="auto"/>
                <w:right w:val="none" w:sz="0" w:space="0" w:color="auto"/>
              </w:divBdr>
              <w:divsChild>
                <w:div w:id="1740252909">
                  <w:marLeft w:val="0"/>
                  <w:marRight w:val="0"/>
                  <w:marTop w:val="0"/>
                  <w:marBottom w:val="0"/>
                  <w:divBdr>
                    <w:top w:val="none" w:sz="0" w:space="0" w:color="auto"/>
                    <w:left w:val="none" w:sz="0" w:space="0" w:color="auto"/>
                    <w:bottom w:val="none" w:sz="0" w:space="0" w:color="auto"/>
                    <w:right w:val="none" w:sz="0" w:space="0" w:color="auto"/>
                  </w:divBdr>
                  <w:divsChild>
                    <w:div w:id="582955811">
                      <w:marLeft w:val="0"/>
                      <w:marRight w:val="0"/>
                      <w:marTop w:val="0"/>
                      <w:marBottom w:val="0"/>
                      <w:divBdr>
                        <w:top w:val="none" w:sz="0" w:space="0" w:color="auto"/>
                        <w:left w:val="none" w:sz="0" w:space="0" w:color="auto"/>
                        <w:bottom w:val="none" w:sz="0" w:space="0" w:color="auto"/>
                        <w:right w:val="none" w:sz="0" w:space="0" w:color="auto"/>
                      </w:divBdr>
                      <w:divsChild>
                        <w:div w:id="839464668">
                          <w:marLeft w:val="0"/>
                          <w:marRight w:val="0"/>
                          <w:marTop w:val="0"/>
                          <w:marBottom w:val="0"/>
                          <w:divBdr>
                            <w:top w:val="none" w:sz="0" w:space="0" w:color="auto"/>
                            <w:left w:val="none" w:sz="0" w:space="0" w:color="auto"/>
                            <w:bottom w:val="none" w:sz="0" w:space="0" w:color="auto"/>
                            <w:right w:val="none" w:sz="0" w:space="0" w:color="auto"/>
                          </w:divBdr>
                          <w:divsChild>
                            <w:div w:id="2080210364">
                              <w:marLeft w:val="0"/>
                              <w:marRight w:val="0"/>
                              <w:marTop w:val="0"/>
                              <w:marBottom w:val="0"/>
                              <w:divBdr>
                                <w:top w:val="none" w:sz="0" w:space="0" w:color="auto"/>
                                <w:left w:val="none" w:sz="0" w:space="0" w:color="auto"/>
                                <w:bottom w:val="none" w:sz="0" w:space="0" w:color="auto"/>
                                <w:right w:val="none" w:sz="0" w:space="0" w:color="auto"/>
                              </w:divBdr>
                              <w:divsChild>
                                <w:div w:id="392654879">
                                  <w:marLeft w:val="0"/>
                                  <w:marRight w:val="0"/>
                                  <w:marTop w:val="0"/>
                                  <w:marBottom w:val="225"/>
                                  <w:divBdr>
                                    <w:top w:val="none" w:sz="0" w:space="0" w:color="auto"/>
                                    <w:left w:val="none" w:sz="0" w:space="0" w:color="auto"/>
                                    <w:bottom w:val="none" w:sz="0" w:space="0" w:color="auto"/>
                                    <w:right w:val="none" w:sz="0" w:space="0" w:color="auto"/>
                                  </w:divBdr>
                                </w:div>
                                <w:div w:id="136027999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1412846">
      <w:bodyDiv w:val="1"/>
      <w:marLeft w:val="0"/>
      <w:marRight w:val="0"/>
      <w:marTop w:val="0"/>
      <w:marBottom w:val="0"/>
      <w:divBdr>
        <w:top w:val="none" w:sz="0" w:space="0" w:color="auto"/>
        <w:left w:val="none" w:sz="0" w:space="0" w:color="auto"/>
        <w:bottom w:val="none" w:sz="0" w:space="0" w:color="auto"/>
        <w:right w:val="none" w:sz="0" w:space="0" w:color="auto"/>
      </w:divBdr>
    </w:div>
    <w:div w:id="1160119791">
      <w:bodyDiv w:val="1"/>
      <w:marLeft w:val="0"/>
      <w:marRight w:val="0"/>
      <w:marTop w:val="0"/>
      <w:marBottom w:val="0"/>
      <w:divBdr>
        <w:top w:val="none" w:sz="0" w:space="0" w:color="auto"/>
        <w:left w:val="none" w:sz="0" w:space="0" w:color="auto"/>
        <w:bottom w:val="none" w:sz="0" w:space="0" w:color="auto"/>
        <w:right w:val="none" w:sz="0" w:space="0" w:color="auto"/>
      </w:divBdr>
    </w:div>
    <w:div w:id="1160654217">
      <w:bodyDiv w:val="1"/>
      <w:marLeft w:val="0"/>
      <w:marRight w:val="0"/>
      <w:marTop w:val="0"/>
      <w:marBottom w:val="0"/>
      <w:divBdr>
        <w:top w:val="none" w:sz="0" w:space="0" w:color="auto"/>
        <w:left w:val="none" w:sz="0" w:space="0" w:color="auto"/>
        <w:bottom w:val="none" w:sz="0" w:space="0" w:color="auto"/>
        <w:right w:val="none" w:sz="0" w:space="0" w:color="auto"/>
      </w:divBdr>
    </w:div>
    <w:div w:id="1176461345">
      <w:bodyDiv w:val="1"/>
      <w:marLeft w:val="0"/>
      <w:marRight w:val="0"/>
      <w:marTop w:val="0"/>
      <w:marBottom w:val="0"/>
      <w:divBdr>
        <w:top w:val="none" w:sz="0" w:space="0" w:color="auto"/>
        <w:left w:val="none" w:sz="0" w:space="0" w:color="auto"/>
        <w:bottom w:val="none" w:sz="0" w:space="0" w:color="auto"/>
        <w:right w:val="none" w:sz="0" w:space="0" w:color="auto"/>
      </w:divBdr>
    </w:div>
    <w:div w:id="1178807421">
      <w:bodyDiv w:val="1"/>
      <w:marLeft w:val="0"/>
      <w:marRight w:val="0"/>
      <w:marTop w:val="0"/>
      <w:marBottom w:val="0"/>
      <w:divBdr>
        <w:top w:val="none" w:sz="0" w:space="0" w:color="auto"/>
        <w:left w:val="none" w:sz="0" w:space="0" w:color="auto"/>
        <w:bottom w:val="none" w:sz="0" w:space="0" w:color="auto"/>
        <w:right w:val="none" w:sz="0" w:space="0" w:color="auto"/>
      </w:divBdr>
    </w:div>
    <w:div w:id="1179808828">
      <w:bodyDiv w:val="1"/>
      <w:marLeft w:val="0"/>
      <w:marRight w:val="0"/>
      <w:marTop w:val="0"/>
      <w:marBottom w:val="0"/>
      <w:divBdr>
        <w:top w:val="none" w:sz="0" w:space="0" w:color="auto"/>
        <w:left w:val="none" w:sz="0" w:space="0" w:color="auto"/>
        <w:bottom w:val="none" w:sz="0" w:space="0" w:color="auto"/>
        <w:right w:val="none" w:sz="0" w:space="0" w:color="auto"/>
      </w:divBdr>
    </w:div>
    <w:div w:id="1193568420">
      <w:bodyDiv w:val="1"/>
      <w:marLeft w:val="0"/>
      <w:marRight w:val="0"/>
      <w:marTop w:val="0"/>
      <w:marBottom w:val="0"/>
      <w:divBdr>
        <w:top w:val="none" w:sz="0" w:space="0" w:color="auto"/>
        <w:left w:val="none" w:sz="0" w:space="0" w:color="auto"/>
        <w:bottom w:val="none" w:sz="0" w:space="0" w:color="auto"/>
        <w:right w:val="none" w:sz="0" w:space="0" w:color="auto"/>
      </w:divBdr>
    </w:div>
    <w:div w:id="1207402392">
      <w:bodyDiv w:val="1"/>
      <w:marLeft w:val="0"/>
      <w:marRight w:val="0"/>
      <w:marTop w:val="0"/>
      <w:marBottom w:val="0"/>
      <w:divBdr>
        <w:top w:val="none" w:sz="0" w:space="0" w:color="auto"/>
        <w:left w:val="none" w:sz="0" w:space="0" w:color="auto"/>
        <w:bottom w:val="none" w:sz="0" w:space="0" w:color="auto"/>
        <w:right w:val="none" w:sz="0" w:space="0" w:color="auto"/>
      </w:divBdr>
    </w:div>
    <w:div w:id="1208302243">
      <w:bodyDiv w:val="1"/>
      <w:marLeft w:val="0"/>
      <w:marRight w:val="0"/>
      <w:marTop w:val="0"/>
      <w:marBottom w:val="0"/>
      <w:divBdr>
        <w:top w:val="none" w:sz="0" w:space="0" w:color="auto"/>
        <w:left w:val="none" w:sz="0" w:space="0" w:color="auto"/>
        <w:bottom w:val="none" w:sz="0" w:space="0" w:color="auto"/>
        <w:right w:val="none" w:sz="0" w:space="0" w:color="auto"/>
      </w:divBdr>
    </w:div>
    <w:div w:id="1210996494">
      <w:bodyDiv w:val="1"/>
      <w:marLeft w:val="0"/>
      <w:marRight w:val="0"/>
      <w:marTop w:val="0"/>
      <w:marBottom w:val="0"/>
      <w:divBdr>
        <w:top w:val="none" w:sz="0" w:space="0" w:color="auto"/>
        <w:left w:val="none" w:sz="0" w:space="0" w:color="auto"/>
        <w:bottom w:val="none" w:sz="0" w:space="0" w:color="auto"/>
        <w:right w:val="none" w:sz="0" w:space="0" w:color="auto"/>
      </w:divBdr>
    </w:div>
    <w:div w:id="1216087116">
      <w:bodyDiv w:val="1"/>
      <w:marLeft w:val="0"/>
      <w:marRight w:val="0"/>
      <w:marTop w:val="0"/>
      <w:marBottom w:val="0"/>
      <w:divBdr>
        <w:top w:val="none" w:sz="0" w:space="0" w:color="auto"/>
        <w:left w:val="none" w:sz="0" w:space="0" w:color="auto"/>
        <w:bottom w:val="none" w:sz="0" w:space="0" w:color="auto"/>
        <w:right w:val="none" w:sz="0" w:space="0" w:color="auto"/>
      </w:divBdr>
    </w:div>
    <w:div w:id="1225682603">
      <w:bodyDiv w:val="1"/>
      <w:marLeft w:val="0"/>
      <w:marRight w:val="0"/>
      <w:marTop w:val="0"/>
      <w:marBottom w:val="0"/>
      <w:divBdr>
        <w:top w:val="none" w:sz="0" w:space="0" w:color="auto"/>
        <w:left w:val="none" w:sz="0" w:space="0" w:color="auto"/>
        <w:bottom w:val="none" w:sz="0" w:space="0" w:color="auto"/>
        <w:right w:val="none" w:sz="0" w:space="0" w:color="auto"/>
      </w:divBdr>
    </w:div>
    <w:div w:id="1227913105">
      <w:bodyDiv w:val="1"/>
      <w:marLeft w:val="0"/>
      <w:marRight w:val="0"/>
      <w:marTop w:val="0"/>
      <w:marBottom w:val="0"/>
      <w:divBdr>
        <w:top w:val="none" w:sz="0" w:space="0" w:color="auto"/>
        <w:left w:val="none" w:sz="0" w:space="0" w:color="auto"/>
        <w:bottom w:val="none" w:sz="0" w:space="0" w:color="auto"/>
        <w:right w:val="none" w:sz="0" w:space="0" w:color="auto"/>
      </w:divBdr>
    </w:div>
    <w:div w:id="1234046038">
      <w:bodyDiv w:val="1"/>
      <w:marLeft w:val="0"/>
      <w:marRight w:val="0"/>
      <w:marTop w:val="0"/>
      <w:marBottom w:val="0"/>
      <w:divBdr>
        <w:top w:val="none" w:sz="0" w:space="0" w:color="auto"/>
        <w:left w:val="none" w:sz="0" w:space="0" w:color="auto"/>
        <w:bottom w:val="none" w:sz="0" w:space="0" w:color="auto"/>
        <w:right w:val="none" w:sz="0" w:space="0" w:color="auto"/>
      </w:divBdr>
      <w:divsChild>
        <w:div w:id="1137142957">
          <w:marLeft w:val="0"/>
          <w:marRight w:val="0"/>
          <w:marTop w:val="0"/>
          <w:marBottom w:val="0"/>
          <w:divBdr>
            <w:top w:val="none" w:sz="0" w:space="0" w:color="auto"/>
            <w:left w:val="none" w:sz="0" w:space="0" w:color="auto"/>
            <w:bottom w:val="none" w:sz="0" w:space="0" w:color="auto"/>
            <w:right w:val="none" w:sz="0" w:space="0" w:color="auto"/>
          </w:divBdr>
          <w:divsChild>
            <w:div w:id="1736584510">
              <w:marLeft w:val="0"/>
              <w:marRight w:val="0"/>
              <w:marTop w:val="0"/>
              <w:marBottom w:val="0"/>
              <w:divBdr>
                <w:top w:val="none" w:sz="0" w:space="0" w:color="auto"/>
                <w:left w:val="none" w:sz="0" w:space="0" w:color="auto"/>
                <w:bottom w:val="none" w:sz="0" w:space="0" w:color="auto"/>
                <w:right w:val="none" w:sz="0" w:space="0" w:color="auto"/>
              </w:divBdr>
              <w:divsChild>
                <w:div w:id="1624187288">
                  <w:marLeft w:val="0"/>
                  <w:marRight w:val="0"/>
                  <w:marTop w:val="0"/>
                  <w:marBottom w:val="0"/>
                  <w:divBdr>
                    <w:top w:val="none" w:sz="0" w:space="0" w:color="auto"/>
                    <w:left w:val="none" w:sz="0" w:space="0" w:color="auto"/>
                    <w:bottom w:val="none" w:sz="0" w:space="0" w:color="auto"/>
                    <w:right w:val="none" w:sz="0" w:space="0" w:color="auto"/>
                  </w:divBdr>
                  <w:divsChild>
                    <w:div w:id="33338313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235311049">
      <w:bodyDiv w:val="1"/>
      <w:marLeft w:val="0"/>
      <w:marRight w:val="0"/>
      <w:marTop w:val="0"/>
      <w:marBottom w:val="0"/>
      <w:divBdr>
        <w:top w:val="none" w:sz="0" w:space="0" w:color="auto"/>
        <w:left w:val="none" w:sz="0" w:space="0" w:color="auto"/>
        <w:bottom w:val="none" w:sz="0" w:space="0" w:color="auto"/>
        <w:right w:val="none" w:sz="0" w:space="0" w:color="auto"/>
      </w:divBdr>
    </w:div>
    <w:div w:id="1241984750">
      <w:bodyDiv w:val="1"/>
      <w:marLeft w:val="0"/>
      <w:marRight w:val="0"/>
      <w:marTop w:val="0"/>
      <w:marBottom w:val="0"/>
      <w:divBdr>
        <w:top w:val="none" w:sz="0" w:space="0" w:color="auto"/>
        <w:left w:val="none" w:sz="0" w:space="0" w:color="auto"/>
        <w:bottom w:val="none" w:sz="0" w:space="0" w:color="auto"/>
        <w:right w:val="none" w:sz="0" w:space="0" w:color="auto"/>
      </w:divBdr>
    </w:div>
    <w:div w:id="1242179811">
      <w:bodyDiv w:val="1"/>
      <w:marLeft w:val="0"/>
      <w:marRight w:val="0"/>
      <w:marTop w:val="0"/>
      <w:marBottom w:val="0"/>
      <w:divBdr>
        <w:top w:val="none" w:sz="0" w:space="0" w:color="auto"/>
        <w:left w:val="none" w:sz="0" w:space="0" w:color="auto"/>
        <w:bottom w:val="none" w:sz="0" w:space="0" w:color="auto"/>
        <w:right w:val="none" w:sz="0" w:space="0" w:color="auto"/>
      </w:divBdr>
    </w:div>
    <w:div w:id="1275208599">
      <w:bodyDiv w:val="1"/>
      <w:marLeft w:val="0"/>
      <w:marRight w:val="0"/>
      <w:marTop w:val="0"/>
      <w:marBottom w:val="0"/>
      <w:divBdr>
        <w:top w:val="none" w:sz="0" w:space="0" w:color="auto"/>
        <w:left w:val="none" w:sz="0" w:space="0" w:color="auto"/>
        <w:bottom w:val="none" w:sz="0" w:space="0" w:color="auto"/>
        <w:right w:val="none" w:sz="0" w:space="0" w:color="auto"/>
      </w:divBdr>
    </w:div>
    <w:div w:id="1277298996">
      <w:bodyDiv w:val="1"/>
      <w:marLeft w:val="0"/>
      <w:marRight w:val="0"/>
      <w:marTop w:val="0"/>
      <w:marBottom w:val="0"/>
      <w:divBdr>
        <w:top w:val="none" w:sz="0" w:space="0" w:color="auto"/>
        <w:left w:val="none" w:sz="0" w:space="0" w:color="auto"/>
        <w:bottom w:val="none" w:sz="0" w:space="0" w:color="auto"/>
        <w:right w:val="none" w:sz="0" w:space="0" w:color="auto"/>
      </w:divBdr>
    </w:div>
    <w:div w:id="1285304771">
      <w:bodyDiv w:val="1"/>
      <w:marLeft w:val="0"/>
      <w:marRight w:val="0"/>
      <w:marTop w:val="0"/>
      <w:marBottom w:val="0"/>
      <w:divBdr>
        <w:top w:val="none" w:sz="0" w:space="0" w:color="auto"/>
        <w:left w:val="none" w:sz="0" w:space="0" w:color="auto"/>
        <w:bottom w:val="none" w:sz="0" w:space="0" w:color="auto"/>
        <w:right w:val="none" w:sz="0" w:space="0" w:color="auto"/>
      </w:divBdr>
    </w:div>
    <w:div w:id="1288241689">
      <w:bodyDiv w:val="1"/>
      <w:marLeft w:val="0"/>
      <w:marRight w:val="0"/>
      <w:marTop w:val="0"/>
      <w:marBottom w:val="0"/>
      <w:divBdr>
        <w:top w:val="none" w:sz="0" w:space="0" w:color="auto"/>
        <w:left w:val="none" w:sz="0" w:space="0" w:color="auto"/>
        <w:bottom w:val="none" w:sz="0" w:space="0" w:color="auto"/>
        <w:right w:val="none" w:sz="0" w:space="0" w:color="auto"/>
      </w:divBdr>
    </w:div>
    <w:div w:id="1293440045">
      <w:bodyDiv w:val="1"/>
      <w:marLeft w:val="0"/>
      <w:marRight w:val="0"/>
      <w:marTop w:val="0"/>
      <w:marBottom w:val="0"/>
      <w:divBdr>
        <w:top w:val="none" w:sz="0" w:space="0" w:color="auto"/>
        <w:left w:val="none" w:sz="0" w:space="0" w:color="auto"/>
        <w:bottom w:val="none" w:sz="0" w:space="0" w:color="auto"/>
        <w:right w:val="none" w:sz="0" w:space="0" w:color="auto"/>
      </w:divBdr>
    </w:div>
    <w:div w:id="1311792255">
      <w:bodyDiv w:val="1"/>
      <w:marLeft w:val="0"/>
      <w:marRight w:val="0"/>
      <w:marTop w:val="0"/>
      <w:marBottom w:val="0"/>
      <w:divBdr>
        <w:top w:val="none" w:sz="0" w:space="0" w:color="auto"/>
        <w:left w:val="none" w:sz="0" w:space="0" w:color="auto"/>
        <w:bottom w:val="none" w:sz="0" w:space="0" w:color="auto"/>
        <w:right w:val="none" w:sz="0" w:space="0" w:color="auto"/>
      </w:divBdr>
    </w:div>
    <w:div w:id="1313751832">
      <w:bodyDiv w:val="1"/>
      <w:marLeft w:val="0"/>
      <w:marRight w:val="0"/>
      <w:marTop w:val="0"/>
      <w:marBottom w:val="0"/>
      <w:divBdr>
        <w:top w:val="none" w:sz="0" w:space="0" w:color="auto"/>
        <w:left w:val="none" w:sz="0" w:space="0" w:color="auto"/>
        <w:bottom w:val="none" w:sz="0" w:space="0" w:color="auto"/>
        <w:right w:val="none" w:sz="0" w:space="0" w:color="auto"/>
      </w:divBdr>
    </w:div>
    <w:div w:id="1318993641">
      <w:bodyDiv w:val="1"/>
      <w:marLeft w:val="0"/>
      <w:marRight w:val="0"/>
      <w:marTop w:val="0"/>
      <w:marBottom w:val="0"/>
      <w:divBdr>
        <w:top w:val="none" w:sz="0" w:space="0" w:color="auto"/>
        <w:left w:val="none" w:sz="0" w:space="0" w:color="auto"/>
        <w:bottom w:val="none" w:sz="0" w:space="0" w:color="auto"/>
        <w:right w:val="none" w:sz="0" w:space="0" w:color="auto"/>
      </w:divBdr>
    </w:div>
    <w:div w:id="1321276783">
      <w:bodyDiv w:val="1"/>
      <w:marLeft w:val="0"/>
      <w:marRight w:val="0"/>
      <w:marTop w:val="0"/>
      <w:marBottom w:val="0"/>
      <w:divBdr>
        <w:top w:val="none" w:sz="0" w:space="0" w:color="auto"/>
        <w:left w:val="none" w:sz="0" w:space="0" w:color="auto"/>
        <w:bottom w:val="none" w:sz="0" w:space="0" w:color="auto"/>
        <w:right w:val="none" w:sz="0" w:space="0" w:color="auto"/>
      </w:divBdr>
    </w:div>
    <w:div w:id="1324771156">
      <w:bodyDiv w:val="1"/>
      <w:marLeft w:val="0"/>
      <w:marRight w:val="0"/>
      <w:marTop w:val="0"/>
      <w:marBottom w:val="0"/>
      <w:divBdr>
        <w:top w:val="none" w:sz="0" w:space="0" w:color="auto"/>
        <w:left w:val="none" w:sz="0" w:space="0" w:color="auto"/>
        <w:bottom w:val="none" w:sz="0" w:space="0" w:color="auto"/>
        <w:right w:val="none" w:sz="0" w:space="0" w:color="auto"/>
      </w:divBdr>
    </w:div>
    <w:div w:id="1325360109">
      <w:bodyDiv w:val="1"/>
      <w:marLeft w:val="0"/>
      <w:marRight w:val="0"/>
      <w:marTop w:val="0"/>
      <w:marBottom w:val="0"/>
      <w:divBdr>
        <w:top w:val="none" w:sz="0" w:space="0" w:color="auto"/>
        <w:left w:val="none" w:sz="0" w:space="0" w:color="auto"/>
        <w:bottom w:val="none" w:sz="0" w:space="0" w:color="auto"/>
        <w:right w:val="none" w:sz="0" w:space="0" w:color="auto"/>
      </w:divBdr>
    </w:div>
    <w:div w:id="1330140323">
      <w:bodyDiv w:val="1"/>
      <w:marLeft w:val="0"/>
      <w:marRight w:val="0"/>
      <w:marTop w:val="0"/>
      <w:marBottom w:val="0"/>
      <w:divBdr>
        <w:top w:val="none" w:sz="0" w:space="0" w:color="auto"/>
        <w:left w:val="none" w:sz="0" w:space="0" w:color="auto"/>
        <w:bottom w:val="none" w:sz="0" w:space="0" w:color="auto"/>
        <w:right w:val="none" w:sz="0" w:space="0" w:color="auto"/>
      </w:divBdr>
    </w:div>
    <w:div w:id="1331450576">
      <w:bodyDiv w:val="1"/>
      <w:marLeft w:val="0"/>
      <w:marRight w:val="0"/>
      <w:marTop w:val="0"/>
      <w:marBottom w:val="0"/>
      <w:divBdr>
        <w:top w:val="none" w:sz="0" w:space="0" w:color="auto"/>
        <w:left w:val="none" w:sz="0" w:space="0" w:color="auto"/>
        <w:bottom w:val="none" w:sz="0" w:space="0" w:color="auto"/>
        <w:right w:val="none" w:sz="0" w:space="0" w:color="auto"/>
      </w:divBdr>
    </w:div>
    <w:div w:id="1351566213">
      <w:bodyDiv w:val="1"/>
      <w:marLeft w:val="0"/>
      <w:marRight w:val="0"/>
      <w:marTop w:val="0"/>
      <w:marBottom w:val="0"/>
      <w:divBdr>
        <w:top w:val="none" w:sz="0" w:space="0" w:color="auto"/>
        <w:left w:val="none" w:sz="0" w:space="0" w:color="auto"/>
        <w:bottom w:val="none" w:sz="0" w:space="0" w:color="auto"/>
        <w:right w:val="none" w:sz="0" w:space="0" w:color="auto"/>
      </w:divBdr>
    </w:div>
    <w:div w:id="1356270487">
      <w:bodyDiv w:val="1"/>
      <w:marLeft w:val="0"/>
      <w:marRight w:val="0"/>
      <w:marTop w:val="0"/>
      <w:marBottom w:val="0"/>
      <w:divBdr>
        <w:top w:val="none" w:sz="0" w:space="0" w:color="auto"/>
        <w:left w:val="none" w:sz="0" w:space="0" w:color="auto"/>
        <w:bottom w:val="none" w:sz="0" w:space="0" w:color="auto"/>
        <w:right w:val="none" w:sz="0" w:space="0" w:color="auto"/>
      </w:divBdr>
    </w:div>
    <w:div w:id="1358196310">
      <w:bodyDiv w:val="1"/>
      <w:marLeft w:val="0"/>
      <w:marRight w:val="0"/>
      <w:marTop w:val="0"/>
      <w:marBottom w:val="0"/>
      <w:divBdr>
        <w:top w:val="none" w:sz="0" w:space="0" w:color="auto"/>
        <w:left w:val="none" w:sz="0" w:space="0" w:color="auto"/>
        <w:bottom w:val="none" w:sz="0" w:space="0" w:color="auto"/>
        <w:right w:val="none" w:sz="0" w:space="0" w:color="auto"/>
      </w:divBdr>
    </w:div>
    <w:div w:id="1364475430">
      <w:bodyDiv w:val="1"/>
      <w:marLeft w:val="0"/>
      <w:marRight w:val="0"/>
      <w:marTop w:val="0"/>
      <w:marBottom w:val="0"/>
      <w:divBdr>
        <w:top w:val="none" w:sz="0" w:space="0" w:color="auto"/>
        <w:left w:val="none" w:sz="0" w:space="0" w:color="auto"/>
        <w:bottom w:val="none" w:sz="0" w:space="0" w:color="auto"/>
        <w:right w:val="none" w:sz="0" w:space="0" w:color="auto"/>
      </w:divBdr>
    </w:div>
    <w:div w:id="1365130440">
      <w:bodyDiv w:val="1"/>
      <w:marLeft w:val="0"/>
      <w:marRight w:val="0"/>
      <w:marTop w:val="0"/>
      <w:marBottom w:val="0"/>
      <w:divBdr>
        <w:top w:val="none" w:sz="0" w:space="0" w:color="auto"/>
        <w:left w:val="none" w:sz="0" w:space="0" w:color="auto"/>
        <w:bottom w:val="none" w:sz="0" w:space="0" w:color="auto"/>
        <w:right w:val="none" w:sz="0" w:space="0" w:color="auto"/>
      </w:divBdr>
    </w:div>
    <w:div w:id="1370102911">
      <w:bodyDiv w:val="1"/>
      <w:marLeft w:val="0"/>
      <w:marRight w:val="0"/>
      <w:marTop w:val="0"/>
      <w:marBottom w:val="0"/>
      <w:divBdr>
        <w:top w:val="none" w:sz="0" w:space="0" w:color="auto"/>
        <w:left w:val="none" w:sz="0" w:space="0" w:color="auto"/>
        <w:bottom w:val="none" w:sz="0" w:space="0" w:color="auto"/>
        <w:right w:val="none" w:sz="0" w:space="0" w:color="auto"/>
      </w:divBdr>
    </w:div>
    <w:div w:id="1374578127">
      <w:bodyDiv w:val="1"/>
      <w:marLeft w:val="0"/>
      <w:marRight w:val="0"/>
      <w:marTop w:val="0"/>
      <w:marBottom w:val="0"/>
      <w:divBdr>
        <w:top w:val="none" w:sz="0" w:space="0" w:color="auto"/>
        <w:left w:val="none" w:sz="0" w:space="0" w:color="auto"/>
        <w:bottom w:val="none" w:sz="0" w:space="0" w:color="auto"/>
        <w:right w:val="none" w:sz="0" w:space="0" w:color="auto"/>
      </w:divBdr>
    </w:div>
    <w:div w:id="1375808584">
      <w:bodyDiv w:val="1"/>
      <w:marLeft w:val="0"/>
      <w:marRight w:val="0"/>
      <w:marTop w:val="0"/>
      <w:marBottom w:val="0"/>
      <w:divBdr>
        <w:top w:val="none" w:sz="0" w:space="0" w:color="auto"/>
        <w:left w:val="none" w:sz="0" w:space="0" w:color="auto"/>
        <w:bottom w:val="none" w:sz="0" w:space="0" w:color="auto"/>
        <w:right w:val="none" w:sz="0" w:space="0" w:color="auto"/>
      </w:divBdr>
    </w:div>
    <w:div w:id="1387101793">
      <w:bodyDiv w:val="1"/>
      <w:marLeft w:val="0"/>
      <w:marRight w:val="0"/>
      <w:marTop w:val="0"/>
      <w:marBottom w:val="0"/>
      <w:divBdr>
        <w:top w:val="none" w:sz="0" w:space="0" w:color="auto"/>
        <w:left w:val="none" w:sz="0" w:space="0" w:color="auto"/>
        <w:bottom w:val="none" w:sz="0" w:space="0" w:color="auto"/>
        <w:right w:val="none" w:sz="0" w:space="0" w:color="auto"/>
      </w:divBdr>
    </w:div>
    <w:div w:id="1389691563">
      <w:bodyDiv w:val="1"/>
      <w:marLeft w:val="0"/>
      <w:marRight w:val="0"/>
      <w:marTop w:val="0"/>
      <w:marBottom w:val="0"/>
      <w:divBdr>
        <w:top w:val="none" w:sz="0" w:space="0" w:color="auto"/>
        <w:left w:val="none" w:sz="0" w:space="0" w:color="auto"/>
        <w:bottom w:val="none" w:sz="0" w:space="0" w:color="auto"/>
        <w:right w:val="none" w:sz="0" w:space="0" w:color="auto"/>
      </w:divBdr>
    </w:div>
    <w:div w:id="1398435685">
      <w:bodyDiv w:val="1"/>
      <w:marLeft w:val="0"/>
      <w:marRight w:val="0"/>
      <w:marTop w:val="0"/>
      <w:marBottom w:val="0"/>
      <w:divBdr>
        <w:top w:val="none" w:sz="0" w:space="0" w:color="auto"/>
        <w:left w:val="none" w:sz="0" w:space="0" w:color="auto"/>
        <w:bottom w:val="none" w:sz="0" w:space="0" w:color="auto"/>
        <w:right w:val="none" w:sz="0" w:space="0" w:color="auto"/>
      </w:divBdr>
    </w:div>
    <w:div w:id="1432319731">
      <w:bodyDiv w:val="1"/>
      <w:marLeft w:val="0"/>
      <w:marRight w:val="0"/>
      <w:marTop w:val="0"/>
      <w:marBottom w:val="0"/>
      <w:divBdr>
        <w:top w:val="none" w:sz="0" w:space="0" w:color="auto"/>
        <w:left w:val="none" w:sz="0" w:space="0" w:color="auto"/>
        <w:bottom w:val="none" w:sz="0" w:space="0" w:color="auto"/>
        <w:right w:val="none" w:sz="0" w:space="0" w:color="auto"/>
      </w:divBdr>
      <w:divsChild>
        <w:div w:id="720328609">
          <w:marLeft w:val="0"/>
          <w:marRight w:val="0"/>
          <w:marTop w:val="0"/>
          <w:marBottom w:val="0"/>
          <w:divBdr>
            <w:top w:val="single" w:sz="6" w:space="11" w:color="E2E2E2"/>
            <w:left w:val="none" w:sz="0" w:space="0" w:color="auto"/>
            <w:bottom w:val="single" w:sz="6" w:space="12" w:color="E2E2E2"/>
            <w:right w:val="none" w:sz="0" w:space="0" w:color="auto"/>
          </w:divBdr>
          <w:divsChild>
            <w:div w:id="1300111663">
              <w:marLeft w:val="0"/>
              <w:marRight w:val="0"/>
              <w:marTop w:val="0"/>
              <w:marBottom w:val="0"/>
              <w:divBdr>
                <w:top w:val="none" w:sz="0" w:space="0" w:color="auto"/>
                <w:left w:val="none" w:sz="0" w:space="0" w:color="auto"/>
                <w:bottom w:val="none" w:sz="0" w:space="0" w:color="auto"/>
                <w:right w:val="none" w:sz="0" w:space="0" w:color="auto"/>
              </w:divBdr>
              <w:divsChild>
                <w:div w:id="189682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948515">
      <w:bodyDiv w:val="1"/>
      <w:marLeft w:val="0"/>
      <w:marRight w:val="0"/>
      <w:marTop w:val="0"/>
      <w:marBottom w:val="0"/>
      <w:divBdr>
        <w:top w:val="none" w:sz="0" w:space="0" w:color="auto"/>
        <w:left w:val="none" w:sz="0" w:space="0" w:color="auto"/>
        <w:bottom w:val="none" w:sz="0" w:space="0" w:color="auto"/>
        <w:right w:val="none" w:sz="0" w:space="0" w:color="auto"/>
      </w:divBdr>
    </w:div>
    <w:div w:id="1451557266">
      <w:bodyDiv w:val="1"/>
      <w:marLeft w:val="0"/>
      <w:marRight w:val="0"/>
      <w:marTop w:val="0"/>
      <w:marBottom w:val="0"/>
      <w:divBdr>
        <w:top w:val="none" w:sz="0" w:space="0" w:color="auto"/>
        <w:left w:val="none" w:sz="0" w:space="0" w:color="auto"/>
        <w:bottom w:val="none" w:sz="0" w:space="0" w:color="auto"/>
        <w:right w:val="none" w:sz="0" w:space="0" w:color="auto"/>
      </w:divBdr>
    </w:div>
    <w:div w:id="1463841434">
      <w:bodyDiv w:val="1"/>
      <w:marLeft w:val="0"/>
      <w:marRight w:val="0"/>
      <w:marTop w:val="0"/>
      <w:marBottom w:val="0"/>
      <w:divBdr>
        <w:top w:val="none" w:sz="0" w:space="0" w:color="auto"/>
        <w:left w:val="none" w:sz="0" w:space="0" w:color="auto"/>
        <w:bottom w:val="none" w:sz="0" w:space="0" w:color="auto"/>
        <w:right w:val="none" w:sz="0" w:space="0" w:color="auto"/>
      </w:divBdr>
    </w:div>
    <w:div w:id="1484933864">
      <w:bodyDiv w:val="1"/>
      <w:marLeft w:val="0"/>
      <w:marRight w:val="0"/>
      <w:marTop w:val="0"/>
      <w:marBottom w:val="0"/>
      <w:divBdr>
        <w:top w:val="none" w:sz="0" w:space="0" w:color="auto"/>
        <w:left w:val="none" w:sz="0" w:space="0" w:color="auto"/>
        <w:bottom w:val="none" w:sz="0" w:space="0" w:color="auto"/>
        <w:right w:val="none" w:sz="0" w:space="0" w:color="auto"/>
      </w:divBdr>
    </w:div>
    <w:div w:id="1489907328">
      <w:bodyDiv w:val="1"/>
      <w:marLeft w:val="0"/>
      <w:marRight w:val="0"/>
      <w:marTop w:val="0"/>
      <w:marBottom w:val="0"/>
      <w:divBdr>
        <w:top w:val="none" w:sz="0" w:space="0" w:color="auto"/>
        <w:left w:val="none" w:sz="0" w:space="0" w:color="auto"/>
        <w:bottom w:val="none" w:sz="0" w:space="0" w:color="auto"/>
        <w:right w:val="none" w:sz="0" w:space="0" w:color="auto"/>
      </w:divBdr>
    </w:div>
    <w:div w:id="1491365699">
      <w:bodyDiv w:val="1"/>
      <w:marLeft w:val="0"/>
      <w:marRight w:val="0"/>
      <w:marTop w:val="0"/>
      <w:marBottom w:val="0"/>
      <w:divBdr>
        <w:top w:val="none" w:sz="0" w:space="0" w:color="auto"/>
        <w:left w:val="none" w:sz="0" w:space="0" w:color="auto"/>
        <w:bottom w:val="none" w:sz="0" w:space="0" w:color="auto"/>
        <w:right w:val="none" w:sz="0" w:space="0" w:color="auto"/>
      </w:divBdr>
    </w:div>
    <w:div w:id="1493329953">
      <w:bodyDiv w:val="1"/>
      <w:marLeft w:val="0"/>
      <w:marRight w:val="0"/>
      <w:marTop w:val="0"/>
      <w:marBottom w:val="0"/>
      <w:divBdr>
        <w:top w:val="none" w:sz="0" w:space="0" w:color="auto"/>
        <w:left w:val="none" w:sz="0" w:space="0" w:color="auto"/>
        <w:bottom w:val="none" w:sz="0" w:space="0" w:color="auto"/>
        <w:right w:val="none" w:sz="0" w:space="0" w:color="auto"/>
      </w:divBdr>
    </w:div>
    <w:div w:id="1496263729">
      <w:bodyDiv w:val="1"/>
      <w:marLeft w:val="0"/>
      <w:marRight w:val="0"/>
      <w:marTop w:val="0"/>
      <w:marBottom w:val="0"/>
      <w:divBdr>
        <w:top w:val="none" w:sz="0" w:space="0" w:color="auto"/>
        <w:left w:val="none" w:sz="0" w:space="0" w:color="auto"/>
        <w:bottom w:val="none" w:sz="0" w:space="0" w:color="auto"/>
        <w:right w:val="none" w:sz="0" w:space="0" w:color="auto"/>
      </w:divBdr>
    </w:div>
    <w:div w:id="1500273874">
      <w:bodyDiv w:val="1"/>
      <w:marLeft w:val="0"/>
      <w:marRight w:val="0"/>
      <w:marTop w:val="0"/>
      <w:marBottom w:val="0"/>
      <w:divBdr>
        <w:top w:val="none" w:sz="0" w:space="0" w:color="auto"/>
        <w:left w:val="none" w:sz="0" w:space="0" w:color="auto"/>
        <w:bottom w:val="none" w:sz="0" w:space="0" w:color="auto"/>
        <w:right w:val="none" w:sz="0" w:space="0" w:color="auto"/>
      </w:divBdr>
    </w:div>
    <w:div w:id="1511140330">
      <w:bodyDiv w:val="1"/>
      <w:marLeft w:val="0"/>
      <w:marRight w:val="0"/>
      <w:marTop w:val="0"/>
      <w:marBottom w:val="0"/>
      <w:divBdr>
        <w:top w:val="none" w:sz="0" w:space="0" w:color="auto"/>
        <w:left w:val="none" w:sz="0" w:space="0" w:color="auto"/>
        <w:bottom w:val="none" w:sz="0" w:space="0" w:color="auto"/>
        <w:right w:val="none" w:sz="0" w:space="0" w:color="auto"/>
      </w:divBdr>
    </w:div>
    <w:div w:id="1536235713">
      <w:bodyDiv w:val="1"/>
      <w:marLeft w:val="0"/>
      <w:marRight w:val="0"/>
      <w:marTop w:val="0"/>
      <w:marBottom w:val="0"/>
      <w:divBdr>
        <w:top w:val="none" w:sz="0" w:space="0" w:color="auto"/>
        <w:left w:val="none" w:sz="0" w:space="0" w:color="auto"/>
        <w:bottom w:val="none" w:sz="0" w:space="0" w:color="auto"/>
        <w:right w:val="none" w:sz="0" w:space="0" w:color="auto"/>
      </w:divBdr>
      <w:divsChild>
        <w:div w:id="260918233">
          <w:marLeft w:val="0"/>
          <w:marRight w:val="0"/>
          <w:marTop w:val="0"/>
          <w:marBottom w:val="0"/>
          <w:divBdr>
            <w:top w:val="none" w:sz="0" w:space="0" w:color="auto"/>
            <w:left w:val="none" w:sz="0" w:space="0" w:color="auto"/>
            <w:bottom w:val="none" w:sz="0" w:space="0" w:color="auto"/>
            <w:right w:val="none" w:sz="0" w:space="0" w:color="auto"/>
          </w:divBdr>
        </w:div>
      </w:divsChild>
    </w:div>
    <w:div w:id="1546789557">
      <w:bodyDiv w:val="1"/>
      <w:marLeft w:val="0"/>
      <w:marRight w:val="0"/>
      <w:marTop w:val="0"/>
      <w:marBottom w:val="0"/>
      <w:divBdr>
        <w:top w:val="none" w:sz="0" w:space="0" w:color="auto"/>
        <w:left w:val="none" w:sz="0" w:space="0" w:color="auto"/>
        <w:bottom w:val="none" w:sz="0" w:space="0" w:color="auto"/>
        <w:right w:val="none" w:sz="0" w:space="0" w:color="auto"/>
      </w:divBdr>
    </w:div>
    <w:div w:id="1556090309">
      <w:bodyDiv w:val="1"/>
      <w:marLeft w:val="0"/>
      <w:marRight w:val="0"/>
      <w:marTop w:val="0"/>
      <w:marBottom w:val="0"/>
      <w:divBdr>
        <w:top w:val="none" w:sz="0" w:space="0" w:color="auto"/>
        <w:left w:val="none" w:sz="0" w:space="0" w:color="auto"/>
        <w:bottom w:val="none" w:sz="0" w:space="0" w:color="auto"/>
        <w:right w:val="none" w:sz="0" w:space="0" w:color="auto"/>
      </w:divBdr>
    </w:div>
    <w:div w:id="1561163077">
      <w:bodyDiv w:val="1"/>
      <w:marLeft w:val="0"/>
      <w:marRight w:val="0"/>
      <w:marTop w:val="0"/>
      <w:marBottom w:val="0"/>
      <w:divBdr>
        <w:top w:val="none" w:sz="0" w:space="0" w:color="auto"/>
        <w:left w:val="none" w:sz="0" w:space="0" w:color="auto"/>
        <w:bottom w:val="none" w:sz="0" w:space="0" w:color="auto"/>
        <w:right w:val="none" w:sz="0" w:space="0" w:color="auto"/>
      </w:divBdr>
    </w:div>
    <w:div w:id="1567642484">
      <w:bodyDiv w:val="1"/>
      <w:marLeft w:val="0"/>
      <w:marRight w:val="0"/>
      <w:marTop w:val="0"/>
      <w:marBottom w:val="0"/>
      <w:divBdr>
        <w:top w:val="none" w:sz="0" w:space="0" w:color="auto"/>
        <w:left w:val="none" w:sz="0" w:space="0" w:color="auto"/>
        <w:bottom w:val="none" w:sz="0" w:space="0" w:color="auto"/>
        <w:right w:val="none" w:sz="0" w:space="0" w:color="auto"/>
      </w:divBdr>
    </w:div>
    <w:div w:id="1572278850">
      <w:bodyDiv w:val="1"/>
      <w:marLeft w:val="0"/>
      <w:marRight w:val="0"/>
      <w:marTop w:val="0"/>
      <w:marBottom w:val="0"/>
      <w:divBdr>
        <w:top w:val="none" w:sz="0" w:space="0" w:color="auto"/>
        <w:left w:val="none" w:sz="0" w:space="0" w:color="auto"/>
        <w:bottom w:val="none" w:sz="0" w:space="0" w:color="auto"/>
        <w:right w:val="none" w:sz="0" w:space="0" w:color="auto"/>
      </w:divBdr>
    </w:div>
    <w:div w:id="1577087772">
      <w:bodyDiv w:val="1"/>
      <w:marLeft w:val="0"/>
      <w:marRight w:val="0"/>
      <w:marTop w:val="0"/>
      <w:marBottom w:val="0"/>
      <w:divBdr>
        <w:top w:val="none" w:sz="0" w:space="0" w:color="auto"/>
        <w:left w:val="none" w:sz="0" w:space="0" w:color="auto"/>
        <w:bottom w:val="none" w:sz="0" w:space="0" w:color="auto"/>
        <w:right w:val="none" w:sz="0" w:space="0" w:color="auto"/>
      </w:divBdr>
      <w:divsChild>
        <w:div w:id="1795561805">
          <w:marLeft w:val="0"/>
          <w:marRight w:val="0"/>
          <w:marTop w:val="0"/>
          <w:marBottom w:val="0"/>
          <w:divBdr>
            <w:top w:val="none" w:sz="0" w:space="0" w:color="auto"/>
            <w:left w:val="none" w:sz="0" w:space="0" w:color="auto"/>
            <w:bottom w:val="none" w:sz="0" w:space="0" w:color="auto"/>
            <w:right w:val="none" w:sz="0" w:space="0" w:color="auto"/>
          </w:divBdr>
          <w:divsChild>
            <w:div w:id="61972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246235">
      <w:bodyDiv w:val="1"/>
      <w:marLeft w:val="0"/>
      <w:marRight w:val="0"/>
      <w:marTop w:val="0"/>
      <w:marBottom w:val="0"/>
      <w:divBdr>
        <w:top w:val="none" w:sz="0" w:space="0" w:color="auto"/>
        <w:left w:val="none" w:sz="0" w:space="0" w:color="auto"/>
        <w:bottom w:val="none" w:sz="0" w:space="0" w:color="auto"/>
        <w:right w:val="none" w:sz="0" w:space="0" w:color="auto"/>
      </w:divBdr>
    </w:div>
    <w:div w:id="1578972702">
      <w:bodyDiv w:val="1"/>
      <w:marLeft w:val="0"/>
      <w:marRight w:val="0"/>
      <w:marTop w:val="0"/>
      <w:marBottom w:val="0"/>
      <w:divBdr>
        <w:top w:val="none" w:sz="0" w:space="0" w:color="auto"/>
        <w:left w:val="none" w:sz="0" w:space="0" w:color="auto"/>
        <w:bottom w:val="none" w:sz="0" w:space="0" w:color="auto"/>
        <w:right w:val="none" w:sz="0" w:space="0" w:color="auto"/>
      </w:divBdr>
      <w:divsChild>
        <w:div w:id="2091000386">
          <w:marLeft w:val="0"/>
          <w:marRight w:val="0"/>
          <w:marTop w:val="0"/>
          <w:marBottom w:val="0"/>
          <w:divBdr>
            <w:top w:val="none" w:sz="0" w:space="0" w:color="auto"/>
            <w:left w:val="none" w:sz="0" w:space="0" w:color="auto"/>
            <w:bottom w:val="none" w:sz="0" w:space="0" w:color="auto"/>
            <w:right w:val="none" w:sz="0" w:space="0" w:color="auto"/>
          </w:divBdr>
          <w:divsChild>
            <w:div w:id="1540824226">
              <w:marLeft w:val="0"/>
              <w:marRight w:val="0"/>
              <w:marTop w:val="0"/>
              <w:marBottom w:val="0"/>
              <w:divBdr>
                <w:top w:val="none" w:sz="0" w:space="0" w:color="auto"/>
                <w:left w:val="none" w:sz="0" w:space="0" w:color="auto"/>
                <w:bottom w:val="none" w:sz="0" w:space="0" w:color="auto"/>
                <w:right w:val="none" w:sz="0" w:space="0" w:color="auto"/>
              </w:divBdr>
              <w:divsChild>
                <w:div w:id="971597897">
                  <w:marLeft w:val="0"/>
                  <w:marRight w:val="0"/>
                  <w:marTop w:val="0"/>
                  <w:marBottom w:val="0"/>
                  <w:divBdr>
                    <w:top w:val="none" w:sz="0" w:space="0" w:color="auto"/>
                    <w:left w:val="none" w:sz="0" w:space="0" w:color="auto"/>
                    <w:bottom w:val="none" w:sz="0" w:space="0" w:color="auto"/>
                    <w:right w:val="none" w:sz="0" w:space="0" w:color="auto"/>
                  </w:divBdr>
                  <w:divsChild>
                    <w:div w:id="1128738600">
                      <w:marLeft w:val="0"/>
                      <w:marRight w:val="0"/>
                      <w:marTop w:val="0"/>
                      <w:marBottom w:val="0"/>
                      <w:divBdr>
                        <w:top w:val="none" w:sz="0" w:space="0" w:color="auto"/>
                        <w:left w:val="none" w:sz="0" w:space="0" w:color="auto"/>
                        <w:bottom w:val="none" w:sz="0" w:space="0" w:color="auto"/>
                        <w:right w:val="none" w:sz="0" w:space="0" w:color="auto"/>
                      </w:divBdr>
                      <w:divsChild>
                        <w:div w:id="378937064">
                          <w:marLeft w:val="0"/>
                          <w:marRight w:val="0"/>
                          <w:marTop w:val="0"/>
                          <w:marBottom w:val="0"/>
                          <w:divBdr>
                            <w:top w:val="none" w:sz="0" w:space="0" w:color="auto"/>
                            <w:left w:val="none" w:sz="0" w:space="0" w:color="auto"/>
                            <w:bottom w:val="none" w:sz="0" w:space="0" w:color="auto"/>
                            <w:right w:val="none" w:sz="0" w:space="0" w:color="auto"/>
                          </w:divBdr>
                          <w:divsChild>
                            <w:div w:id="248778980">
                              <w:marLeft w:val="0"/>
                              <w:marRight w:val="0"/>
                              <w:marTop w:val="0"/>
                              <w:marBottom w:val="0"/>
                              <w:divBdr>
                                <w:top w:val="none" w:sz="0" w:space="0" w:color="auto"/>
                                <w:left w:val="none" w:sz="0" w:space="0" w:color="auto"/>
                                <w:bottom w:val="none" w:sz="0" w:space="0" w:color="auto"/>
                                <w:right w:val="none" w:sz="0" w:space="0" w:color="auto"/>
                              </w:divBdr>
                              <w:divsChild>
                                <w:div w:id="973291802">
                                  <w:marLeft w:val="0"/>
                                  <w:marRight w:val="0"/>
                                  <w:marTop w:val="0"/>
                                  <w:marBottom w:val="0"/>
                                  <w:divBdr>
                                    <w:top w:val="none" w:sz="0" w:space="0" w:color="auto"/>
                                    <w:left w:val="none" w:sz="0" w:space="0" w:color="auto"/>
                                    <w:bottom w:val="none" w:sz="0" w:space="0" w:color="auto"/>
                                    <w:right w:val="none" w:sz="0" w:space="0" w:color="auto"/>
                                  </w:divBdr>
                                  <w:divsChild>
                                    <w:div w:id="763767259">
                                      <w:marLeft w:val="0"/>
                                      <w:marRight w:val="0"/>
                                      <w:marTop w:val="0"/>
                                      <w:marBottom w:val="0"/>
                                      <w:divBdr>
                                        <w:top w:val="none" w:sz="0" w:space="0" w:color="auto"/>
                                        <w:left w:val="none" w:sz="0" w:space="0" w:color="auto"/>
                                        <w:bottom w:val="none" w:sz="0" w:space="0" w:color="auto"/>
                                        <w:right w:val="none" w:sz="0" w:space="0" w:color="auto"/>
                                      </w:divBdr>
                                      <w:divsChild>
                                        <w:div w:id="209447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9554159">
      <w:bodyDiv w:val="1"/>
      <w:marLeft w:val="0"/>
      <w:marRight w:val="0"/>
      <w:marTop w:val="0"/>
      <w:marBottom w:val="0"/>
      <w:divBdr>
        <w:top w:val="none" w:sz="0" w:space="0" w:color="auto"/>
        <w:left w:val="none" w:sz="0" w:space="0" w:color="auto"/>
        <w:bottom w:val="none" w:sz="0" w:space="0" w:color="auto"/>
        <w:right w:val="none" w:sz="0" w:space="0" w:color="auto"/>
      </w:divBdr>
    </w:div>
    <w:div w:id="1580093013">
      <w:bodyDiv w:val="1"/>
      <w:marLeft w:val="0"/>
      <w:marRight w:val="0"/>
      <w:marTop w:val="0"/>
      <w:marBottom w:val="0"/>
      <w:divBdr>
        <w:top w:val="none" w:sz="0" w:space="0" w:color="auto"/>
        <w:left w:val="none" w:sz="0" w:space="0" w:color="auto"/>
        <w:bottom w:val="none" w:sz="0" w:space="0" w:color="auto"/>
        <w:right w:val="none" w:sz="0" w:space="0" w:color="auto"/>
      </w:divBdr>
      <w:divsChild>
        <w:div w:id="1361929272">
          <w:marLeft w:val="0"/>
          <w:marRight w:val="0"/>
          <w:marTop w:val="0"/>
          <w:marBottom w:val="0"/>
          <w:divBdr>
            <w:top w:val="none" w:sz="0" w:space="0" w:color="auto"/>
            <w:left w:val="none" w:sz="0" w:space="0" w:color="auto"/>
            <w:bottom w:val="none" w:sz="0" w:space="0" w:color="auto"/>
            <w:right w:val="none" w:sz="0" w:space="0" w:color="auto"/>
          </w:divBdr>
        </w:div>
        <w:div w:id="1568757508">
          <w:marLeft w:val="0"/>
          <w:marRight w:val="0"/>
          <w:marTop w:val="0"/>
          <w:marBottom w:val="0"/>
          <w:divBdr>
            <w:top w:val="none" w:sz="0" w:space="0" w:color="auto"/>
            <w:left w:val="none" w:sz="0" w:space="0" w:color="auto"/>
            <w:bottom w:val="none" w:sz="0" w:space="0" w:color="auto"/>
            <w:right w:val="none" w:sz="0" w:space="0" w:color="auto"/>
          </w:divBdr>
        </w:div>
        <w:div w:id="1639799290">
          <w:marLeft w:val="0"/>
          <w:marRight w:val="0"/>
          <w:marTop w:val="0"/>
          <w:marBottom w:val="0"/>
          <w:divBdr>
            <w:top w:val="none" w:sz="0" w:space="0" w:color="auto"/>
            <w:left w:val="none" w:sz="0" w:space="0" w:color="auto"/>
            <w:bottom w:val="none" w:sz="0" w:space="0" w:color="auto"/>
            <w:right w:val="none" w:sz="0" w:space="0" w:color="auto"/>
          </w:divBdr>
        </w:div>
      </w:divsChild>
    </w:div>
    <w:div w:id="1580677756">
      <w:bodyDiv w:val="1"/>
      <w:marLeft w:val="0"/>
      <w:marRight w:val="0"/>
      <w:marTop w:val="0"/>
      <w:marBottom w:val="0"/>
      <w:divBdr>
        <w:top w:val="none" w:sz="0" w:space="0" w:color="auto"/>
        <w:left w:val="none" w:sz="0" w:space="0" w:color="auto"/>
        <w:bottom w:val="none" w:sz="0" w:space="0" w:color="auto"/>
        <w:right w:val="none" w:sz="0" w:space="0" w:color="auto"/>
      </w:divBdr>
    </w:div>
    <w:div w:id="1583296184">
      <w:bodyDiv w:val="1"/>
      <w:marLeft w:val="0"/>
      <w:marRight w:val="0"/>
      <w:marTop w:val="0"/>
      <w:marBottom w:val="0"/>
      <w:divBdr>
        <w:top w:val="none" w:sz="0" w:space="0" w:color="auto"/>
        <w:left w:val="none" w:sz="0" w:space="0" w:color="auto"/>
        <w:bottom w:val="none" w:sz="0" w:space="0" w:color="auto"/>
        <w:right w:val="none" w:sz="0" w:space="0" w:color="auto"/>
      </w:divBdr>
    </w:div>
    <w:div w:id="1583643406">
      <w:bodyDiv w:val="1"/>
      <w:marLeft w:val="0"/>
      <w:marRight w:val="0"/>
      <w:marTop w:val="0"/>
      <w:marBottom w:val="0"/>
      <w:divBdr>
        <w:top w:val="none" w:sz="0" w:space="0" w:color="auto"/>
        <w:left w:val="none" w:sz="0" w:space="0" w:color="auto"/>
        <w:bottom w:val="none" w:sz="0" w:space="0" w:color="auto"/>
        <w:right w:val="none" w:sz="0" w:space="0" w:color="auto"/>
      </w:divBdr>
    </w:div>
    <w:div w:id="1589273418">
      <w:bodyDiv w:val="1"/>
      <w:marLeft w:val="0"/>
      <w:marRight w:val="0"/>
      <w:marTop w:val="0"/>
      <w:marBottom w:val="0"/>
      <w:divBdr>
        <w:top w:val="none" w:sz="0" w:space="0" w:color="auto"/>
        <w:left w:val="none" w:sz="0" w:space="0" w:color="auto"/>
        <w:bottom w:val="none" w:sz="0" w:space="0" w:color="auto"/>
        <w:right w:val="none" w:sz="0" w:space="0" w:color="auto"/>
      </w:divBdr>
    </w:div>
    <w:div w:id="1605915235">
      <w:bodyDiv w:val="1"/>
      <w:marLeft w:val="0"/>
      <w:marRight w:val="0"/>
      <w:marTop w:val="0"/>
      <w:marBottom w:val="0"/>
      <w:divBdr>
        <w:top w:val="none" w:sz="0" w:space="0" w:color="auto"/>
        <w:left w:val="none" w:sz="0" w:space="0" w:color="auto"/>
        <w:bottom w:val="none" w:sz="0" w:space="0" w:color="auto"/>
        <w:right w:val="none" w:sz="0" w:space="0" w:color="auto"/>
      </w:divBdr>
    </w:div>
    <w:div w:id="1605917375">
      <w:bodyDiv w:val="1"/>
      <w:marLeft w:val="0"/>
      <w:marRight w:val="0"/>
      <w:marTop w:val="0"/>
      <w:marBottom w:val="0"/>
      <w:divBdr>
        <w:top w:val="none" w:sz="0" w:space="0" w:color="auto"/>
        <w:left w:val="none" w:sz="0" w:space="0" w:color="auto"/>
        <w:bottom w:val="none" w:sz="0" w:space="0" w:color="auto"/>
        <w:right w:val="none" w:sz="0" w:space="0" w:color="auto"/>
      </w:divBdr>
    </w:div>
    <w:div w:id="1608659282">
      <w:bodyDiv w:val="1"/>
      <w:marLeft w:val="0"/>
      <w:marRight w:val="0"/>
      <w:marTop w:val="0"/>
      <w:marBottom w:val="0"/>
      <w:divBdr>
        <w:top w:val="none" w:sz="0" w:space="0" w:color="auto"/>
        <w:left w:val="none" w:sz="0" w:space="0" w:color="auto"/>
        <w:bottom w:val="none" w:sz="0" w:space="0" w:color="auto"/>
        <w:right w:val="none" w:sz="0" w:space="0" w:color="auto"/>
      </w:divBdr>
    </w:div>
    <w:div w:id="1610776351">
      <w:bodyDiv w:val="1"/>
      <w:marLeft w:val="0"/>
      <w:marRight w:val="0"/>
      <w:marTop w:val="0"/>
      <w:marBottom w:val="0"/>
      <w:divBdr>
        <w:top w:val="none" w:sz="0" w:space="0" w:color="auto"/>
        <w:left w:val="none" w:sz="0" w:space="0" w:color="auto"/>
        <w:bottom w:val="none" w:sz="0" w:space="0" w:color="auto"/>
        <w:right w:val="none" w:sz="0" w:space="0" w:color="auto"/>
      </w:divBdr>
    </w:div>
    <w:div w:id="1615861610">
      <w:bodyDiv w:val="1"/>
      <w:marLeft w:val="0"/>
      <w:marRight w:val="0"/>
      <w:marTop w:val="0"/>
      <w:marBottom w:val="0"/>
      <w:divBdr>
        <w:top w:val="none" w:sz="0" w:space="0" w:color="auto"/>
        <w:left w:val="none" w:sz="0" w:space="0" w:color="auto"/>
        <w:bottom w:val="none" w:sz="0" w:space="0" w:color="auto"/>
        <w:right w:val="none" w:sz="0" w:space="0" w:color="auto"/>
      </w:divBdr>
    </w:div>
    <w:div w:id="1617443634">
      <w:bodyDiv w:val="1"/>
      <w:marLeft w:val="0"/>
      <w:marRight w:val="0"/>
      <w:marTop w:val="0"/>
      <w:marBottom w:val="0"/>
      <w:divBdr>
        <w:top w:val="none" w:sz="0" w:space="0" w:color="auto"/>
        <w:left w:val="none" w:sz="0" w:space="0" w:color="auto"/>
        <w:bottom w:val="none" w:sz="0" w:space="0" w:color="auto"/>
        <w:right w:val="none" w:sz="0" w:space="0" w:color="auto"/>
      </w:divBdr>
    </w:div>
    <w:div w:id="1618828211">
      <w:bodyDiv w:val="1"/>
      <w:marLeft w:val="0"/>
      <w:marRight w:val="0"/>
      <w:marTop w:val="0"/>
      <w:marBottom w:val="0"/>
      <w:divBdr>
        <w:top w:val="none" w:sz="0" w:space="0" w:color="auto"/>
        <w:left w:val="none" w:sz="0" w:space="0" w:color="auto"/>
        <w:bottom w:val="none" w:sz="0" w:space="0" w:color="auto"/>
        <w:right w:val="none" w:sz="0" w:space="0" w:color="auto"/>
      </w:divBdr>
    </w:div>
    <w:div w:id="1628077804">
      <w:bodyDiv w:val="1"/>
      <w:marLeft w:val="0"/>
      <w:marRight w:val="0"/>
      <w:marTop w:val="0"/>
      <w:marBottom w:val="0"/>
      <w:divBdr>
        <w:top w:val="none" w:sz="0" w:space="0" w:color="auto"/>
        <w:left w:val="none" w:sz="0" w:space="0" w:color="auto"/>
        <w:bottom w:val="none" w:sz="0" w:space="0" w:color="auto"/>
        <w:right w:val="none" w:sz="0" w:space="0" w:color="auto"/>
      </w:divBdr>
      <w:divsChild>
        <w:div w:id="725178292">
          <w:marLeft w:val="0"/>
          <w:marRight w:val="0"/>
          <w:marTop w:val="0"/>
          <w:marBottom w:val="0"/>
          <w:divBdr>
            <w:top w:val="none" w:sz="0" w:space="0" w:color="auto"/>
            <w:left w:val="none" w:sz="0" w:space="0" w:color="auto"/>
            <w:bottom w:val="none" w:sz="0" w:space="0" w:color="auto"/>
            <w:right w:val="none" w:sz="0" w:space="0" w:color="auto"/>
          </w:divBdr>
        </w:div>
        <w:div w:id="1632976235">
          <w:marLeft w:val="0"/>
          <w:marRight w:val="0"/>
          <w:marTop w:val="0"/>
          <w:marBottom w:val="0"/>
          <w:divBdr>
            <w:top w:val="none" w:sz="0" w:space="0" w:color="auto"/>
            <w:left w:val="none" w:sz="0" w:space="0" w:color="auto"/>
            <w:bottom w:val="none" w:sz="0" w:space="0" w:color="auto"/>
            <w:right w:val="none" w:sz="0" w:space="0" w:color="auto"/>
          </w:divBdr>
          <w:divsChild>
            <w:div w:id="599148311">
              <w:marLeft w:val="0"/>
              <w:marRight w:val="0"/>
              <w:marTop w:val="0"/>
              <w:marBottom w:val="0"/>
              <w:divBdr>
                <w:top w:val="none" w:sz="0" w:space="0" w:color="auto"/>
                <w:left w:val="none" w:sz="0" w:space="0" w:color="auto"/>
                <w:bottom w:val="none" w:sz="0" w:space="0" w:color="auto"/>
                <w:right w:val="none" w:sz="0" w:space="0" w:color="auto"/>
              </w:divBdr>
              <w:divsChild>
                <w:div w:id="159197908">
                  <w:marLeft w:val="0"/>
                  <w:marRight w:val="0"/>
                  <w:marTop w:val="0"/>
                  <w:marBottom w:val="0"/>
                  <w:divBdr>
                    <w:top w:val="none" w:sz="0" w:space="0" w:color="auto"/>
                    <w:left w:val="none" w:sz="0" w:space="0" w:color="auto"/>
                    <w:bottom w:val="none" w:sz="0" w:space="0" w:color="auto"/>
                    <w:right w:val="none" w:sz="0" w:space="0" w:color="auto"/>
                  </w:divBdr>
                </w:div>
                <w:div w:id="175204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84172">
      <w:bodyDiv w:val="1"/>
      <w:marLeft w:val="0"/>
      <w:marRight w:val="0"/>
      <w:marTop w:val="0"/>
      <w:marBottom w:val="0"/>
      <w:divBdr>
        <w:top w:val="none" w:sz="0" w:space="0" w:color="auto"/>
        <w:left w:val="none" w:sz="0" w:space="0" w:color="auto"/>
        <w:bottom w:val="none" w:sz="0" w:space="0" w:color="auto"/>
        <w:right w:val="none" w:sz="0" w:space="0" w:color="auto"/>
      </w:divBdr>
    </w:div>
    <w:div w:id="1631204496">
      <w:bodyDiv w:val="1"/>
      <w:marLeft w:val="0"/>
      <w:marRight w:val="0"/>
      <w:marTop w:val="0"/>
      <w:marBottom w:val="0"/>
      <w:divBdr>
        <w:top w:val="none" w:sz="0" w:space="0" w:color="auto"/>
        <w:left w:val="none" w:sz="0" w:space="0" w:color="auto"/>
        <w:bottom w:val="none" w:sz="0" w:space="0" w:color="auto"/>
        <w:right w:val="none" w:sz="0" w:space="0" w:color="auto"/>
      </w:divBdr>
    </w:div>
    <w:div w:id="1640259000">
      <w:bodyDiv w:val="1"/>
      <w:marLeft w:val="0"/>
      <w:marRight w:val="0"/>
      <w:marTop w:val="0"/>
      <w:marBottom w:val="0"/>
      <w:divBdr>
        <w:top w:val="none" w:sz="0" w:space="0" w:color="auto"/>
        <w:left w:val="none" w:sz="0" w:space="0" w:color="auto"/>
        <w:bottom w:val="none" w:sz="0" w:space="0" w:color="auto"/>
        <w:right w:val="none" w:sz="0" w:space="0" w:color="auto"/>
      </w:divBdr>
    </w:div>
    <w:div w:id="1641228714">
      <w:bodyDiv w:val="1"/>
      <w:marLeft w:val="0"/>
      <w:marRight w:val="0"/>
      <w:marTop w:val="0"/>
      <w:marBottom w:val="0"/>
      <w:divBdr>
        <w:top w:val="none" w:sz="0" w:space="0" w:color="auto"/>
        <w:left w:val="none" w:sz="0" w:space="0" w:color="auto"/>
        <w:bottom w:val="none" w:sz="0" w:space="0" w:color="auto"/>
        <w:right w:val="none" w:sz="0" w:space="0" w:color="auto"/>
      </w:divBdr>
    </w:div>
    <w:div w:id="1648320456">
      <w:bodyDiv w:val="1"/>
      <w:marLeft w:val="0"/>
      <w:marRight w:val="0"/>
      <w:marTop w:val="0"/>
      <w:marBottom w:val="0"/>
      <w:divBdr>
        <w:top w:val="none" w:sz="0" w:space="0" w:color="auto"/>
        <w:left w:val="none" w:sz="0" w:space="0" w:color="auto"/>
        <w:bottom w:val="none" w:sz="0" w:space="0" w:color="auto"/>
        <w:right w:val="none" w:sz="0" w:space="0" w:color="auto"/>
      </w:divBdr>
    </w:div>
    <w:div w:id="1649283092">
      <w:bodyDiv w:val="1"/>
      <w:marLeft w:val="0"/>
      <w:marRight w:val="0"/>
      <w:marTop w:val="0"/>
      <w:marBottom w:val="0"/>
      <w:divBdr>
        <w:top w:val="none" w:sz="0" w:space="0" w:color="auto"/>
        <w:left w:val="none" w:sz="0" w:space="0" w:color="auto"/>
        <w:bottom w:val="none" w:sz="0" w:space="0" w:color="auto"/>
        <w:right w:val="none" w:sz="0" w:space="0" w:color="auto"/>
      </w:divBdr>
    </w:div>
    <w:div w:id="1654677881">
      <w:bodyDiv w:val="1"/>
      <w:marLeft w:val="0"/>
      <w:marRight w:val="0"/>
      <w:marTop w:val="0"/>
      <w:marBottom w:val="0"/>
      <w:divBdr>
        <w:top w:val="none" w:sz="0" w:space="0" w:color="auto"/>
        <w:left w:val="none" w:sz="0" w:space="0" w:color="auto"/>
        <w:bottom w:val="none" w:sz="0" w:space="0" w:color="auto"/>
        <w:right w:val="none" w:sz="0" w:space="0" w:color="auto"/>
      </w:divBdr>
    </w:div>
    <w:div w:id="1657803775">
      <w:bodyDiv w:val="1"/>
      <w:marLeft w:val="0"/>
      <w:marRight w:val="0"/>
      <w:marTop w:val="0"/>
      <w:marBottom w:val="0"/>
      <w:divBdr>
        <w:top w:val="none" w:sz="0" w:space="0" w:color="auto"/>
        <w:left w:val="none" w:sz="0" w:space="0" w:color="auto"/>
        <w:bottom w:val="none" w:sz="0" w:space="0" w:color="auto"/>
        <w:right w:val="none" w:sz="0" w:space="0" w:color="auto"/>
      </w:divBdr>
    </w:div>
    <w:div w:id="1665933772">
      <w:bodyDiv w:val="1"/>
      <w:marLeft w:val="0"/>
      <w:marRight w:val="0"/>
      <w:marTop w:val="0"/>
      <w:marBottom w:val="0"/>
      <w:divBdr>
        <w:top w:val="none" w:sz="0" w:space="0" w:color="auto"/>
        <w:left w:val="none" w:sz="0" w:space="0" w:color="auto"/>
        <w:bottom w:val="none" w:sz="0" w:space="0" w:color="auto"/>
        <w:right w:val="none" w:sz="0" w:space="0" w:color="auto"/>
      </w:divBdr>
    </w:div>
    <w:div w:id="1679431529">
      <w:bodyDiv w:val="1"/>
      <w:marLeft w:val="0"/>
      <w:marRight w:val="0"/>
      <w:marTop w:val="0"/>
      <w:marBottom w:val="0"/>
      <w:divBdr>
        <w:top w:val="none" w:sz="0" w:space="0" w:color="auto"/>
        <w:left w:val="none" w:sz="0" w:space="0" w:color="auto"/>
        <w:bottom w:val="none" w:sz="0" w:space="0" w:color="auto"/>
        <w:right w:val="none" w:sz="0" w:space="0" w:color="auto"/>
      </w:divBdr>
    </w:div>
    <w:div w:id="1684503702">
      <w:bodyDiv w:val="1"/>
      <w:marLeft w:val="0"/>
      <w:marRight w:val="0"/>
      <w:marTop w:val="0"/>
      <w:marBottom w:val="0"/>
      <w:divBdr>
        <w:top w:val="none" w:sz="0" w:space="0" w:color="auto"/>
        <w:left w:val="none" w:sz="0" w:space="0" w:color="auto"/>
        <w:bottom w:val="none" w:sz="0" w:space="0" w:color="auto"/>
        <w:right w:val="none" w:sz="0" w:space="0" w:color="auto"/>
      </w:divBdr>
    </w:div>
    <w:div w:id="1693871445">
      <w:bodyDiv w:val="1"/>
      <w:marLeft w:val="0"/>
      <w:marRight w:val="0"/>
      <w:marTop w:val="0"/>
      <w:marBottom w:val="0"/>
      <w:divBdr>
        <w:top w:val="none" w:sz="0" w:space="0" w:color="auto"/>
        <w:left w:val="none" w:sz="0" w:space="0" w:color="auto"/>
        <w:bottom w:val="none" w:sz="0" w:space="0" w:color="auto"/>
        <w:right w:val="none" w:sz="0" w:space="0" w:color="auto"/>
      </w:divBdr>
    </w:div>
    <w:div w:id="1699508665">
      <w:bodyDiv w:val="1"/>
      <w:marLeft w:val="0"/>
      <w:marRight w:val="0"/>
      <w:marTop w:val="0"/>
      <w:marBottom w:val="0"/>
      <w:divBdr>
        <w:top w:val="none" w:sz="0" w:space="0" w:color="auto"/>
        <w:left w:val="none" w:sz="0" w:space="0" w:color="auto"/>
        <w:bottom w:val="none" w:sz="0" w:space="0" w:color="auto"/>
        <w:right w:val="none" w:sz="0" w:space="0" w:color="auto"/>
      </w:divBdr>
    </w:div>
    <w:div w:id="1701012044">
      <w:bodyDiv w:val="1"/>
      <w:marLeft w:val="0"/>
      <w:marRight w:val="0"/>
      <w:marTop w:val="0"/>
      <w:marBottom w:val="0"/>
      <w:divBdr>
        <w:top w:val="none" w:sz="0" w:space="0" w:color="auto"/>
        <w:left w:val="none" w:sz="0" w:space="0" w:color="auto"/>
        <w:bottom w:val="none" w:sz="0" w:space="0" w:color="auto"/>
        <w:right w:val="none" w:sz="0" w:space="0" w:color="auto"/>
      </w:divBdr>
      <w:divsChild>
        <w:div w:id="1630015171">
          <w:marLeft w:val="0"/>
          <w:marRight w:val="0"/>
          <w:marTop w:val="0"/>
          <w:marBottom w:val="300"/>
          <w:divBdr>
            <w:top w:val="none" w:sz="0" w:space="0" w:color="auto"/>
            <w:left w:val="none" w:sz="0" w:space="0" w:color="auto"/>
            <w:bottom w:val="none" w:sz="0" w:space="0" w:color="auto"/>
            <w:right w:val="none" w:sz="0" w:space="0" w:color="auto"/>
          </w:divBdr>
          <w:divsChild>
            <w:div w:id="1812744390">
              <w:marLeft w:val="0"/>
              <w:marRight w:val="0"/>
              <w:marTop w:val="0"/>
              <w:marBottom w:val="300"/>
              <w:divBdr>
                <w:top w:val="none" w:sz="0" w:space="0" w:color="auto"/>
                <w:left w:val="none" w:sz="0" w:space="0" w:color="auto"/>
                <w:bottom w:val="none" w:sz="0" w:space="0" w:color="auto"/>
                <w:right w:val="none" w:sz="0" w:space="0" w:color="auto"/>
              </w:divBdr>
              <w:divsChild>
                <w:div w:id="4771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25565">
          <w:marLeft w:val="0"/>
          <w:marRight w:val="0"/>
          <w:marTop w:val="0"/>
          <w:marBottom w:val="0"/>
          <w:divBdr>
            <w:top w:val="none" w:sz="0" w:space="0" w:color="auto"/>
            <w:left w:val="none" w:sz="0" w:space="0" w:color="auto"/>
            <w:bottom w:val="none" w:sz="0" w:space="0" w:color="auto"/>
            <w:right w:val="none" w:sz="0" w:space="0" w:color="auto"/>
          </w:divBdr>
        </w:div>
      </w:divsChild>
    </w:div>
    <w:div w:id="1710952045">
      <w:bodyDiv w:val="1"/>
      <w:marLeft w:val="0"/>
      <w:marRight w:val="0"/>
      <w:marTop w:val="0"/>
      <w:marBottom w:val="0"/>
      <w:divBdr>
        <w:top w:val="none" w:sz="0" w:space="0" w:color="auto"/>
        <w:left w:val="none" w:sz="0" w:space="0" w:color="auto"/>
        <w:bottom w:val="none" w:sz="0" w:space="0" w:color="auto"/>
        <w:right w:val="none" w:sz="0" w:space="0" w:color="auto"/>
      </w:divBdr>
    </w:div>
    <w:div w:id="1717966628">
      <w:bodyDiv w:val="1"/>
      <w:marLeft w:val="0"/>
      <w:marRight w:val="0"/>
      <w:marTop w:val="0"/>
      <w:marBottom w:val="0"/>
      <w:divBdr>
        <w:top w:val="none" w:sz="0" w:space="0" w:color="auto"/>
        <w:left w:val="none" w:sz="0" w:space="0" w:color="auto"/>
        <w:bottom w:val="none" w:sz="0" w:space="0" w:color="auto"/>
        <w:right w:val="none" w:sz="0" w:space="0" w:color="auto"/>
      </w:divBdr>
      <w:divsChild>
        <w:div w:id="1218854832">
          <w:marLeft w:val="0"/>
          <w:marRight w:val="0"/>
          <w:marTop w:val="0"/>
          <w:marBottom w:val="225"/>
          <w:divBdr>
            <w:top w:val="none" w:sz="0" w:space="0" w:color="auto"/>
            <w:left w:val="none" w:sz="0" w:space="0" w:color="auto"/>
            <w:bottom w:val="none" w:sz="0" w:space="0" w:color="auto"/>
            <w:right w:val="none" w:sz="0" w:space="0" w:color="auto"/>
          </w:divBdr>
        </w:div>
      </w:divsChild>
    </w:div>
    <w:div w:id="1726024063">
      <w:bodyDiv w:val="1"/>
      <w:marLeft w:val="0"/>
      <w:marRight w:val="0"/>
      <w:marTop w:val="0"/>
      <w:marBottom w:val="0"/>
      <w:divBdr>
        <w:top w:val="none" w:sz="0" w:space="0" w:color="auto"/>
        <w:left w:val="none" w:sz="0" w:space="0" w:color="auto"/>
        <w:bottom w:val="none" w:sz="0" w:space="0" w:color="auto"/>
        <w:right w:val="none" w:sz="0" w:space="0" w:color="auto"/>
      </w:divBdr>
    </w:div>
    <w:div w:id="1726636966">
      <w:bodyDiv w:val="1"/>
      <w:marLeft w:val="0"/>
      <w:marRight w:val="0"/>
      <w:marTop w:val="0"/>
      <w:marBottom w:val="0"/>
      <w:divBdr>
        <w:top w:val="none" w:sz="0" w:space="0" w:color="auto"/>
        <w:left w:val="none" w:sz="0" w:space="0" w:color="auto"/>
        <w:bottom w:val="none" w:sz="0" w:space="0" w:color="auto"/>
        <w:right w:val="none" w:sz="0" w:space="0" w:color="auto"/>
      </w:divBdr>
    </w:div>
    <w:div w:id="1731882249">
      <w:bodyDiv w:val="1"/>
      <w:marLeft w:val="0"/>
      <w:marRight w:val="0"/>
      <w:marTop w:val="0"/>
      <w:marBottom w:val="0"/>
      <w:divBdr>
        <w:top w:val="none" w:sz="0" w:space="0" w:color="auto"/>
        <w:left w:val="none" w:sz="0" w:space="0" w:color="auto"/>
        <w:bottom w:val="none" w:sz="0" w:space="0" w:color="auto"/>
        <w:right w:val="none" w:sz="0" w:space="0" w:color="auto"/>
      </w:divBdr>
      <w:divsChild>
        <w:div w:id="82192710">
          <w:marLeft w:val="0"/>
          <w:marRight w:val="0"/>
          <w:marTop w:val="300"/>
          <w:marBottom w:val="300"/>
          <w:divBdr>
            <w:top w:val="none" w:sz="0" w:space="0" w:color="auto"/>
            <w:left w:val="none" w:sz="0" w:space="0" w:color="auto"/>
            <w:bottom w:val="none" w:sz="0" w:space="0" w:color="auto"/>
            <w:right w:val="none" w:sz="0" w:space="0" w:color="auto"/>
          </w:divBdr>
        </w:div>
      </w:divsChild>
    </w:div>
    <w:div w:id="1734811775">
      <w:bodyDiv w:val="1"/>
      <w:marLeft w:val="0"/>
      <w:marRight w:val="0"/>
      <w:marTop w:val="0"/>
      <w:marBottom w:val="0"/>
      <w:divBdr>
        <w:top w:val="none" w:sz="0" w:space="0" w:color="auto"/>
        <w:left w:val="none" w:sz="0" w:space="0" w:color="auto"/>
        <w:bottom w:val="none" w:sz="0" w:space="0" w:color="auto"/>
        <w:right w:val="none" w:sz="0" w:space="0" w:color="auto"/>
      </w:divBdr>
    </w:div>
    <w:div w:id="1735008418">
      <w:bodyDiv w:val="1"/>
      <w:marLeft w:val="0"/>
      <w:marRight w:val="0"/>
      <w:marTop w:val="0"/>
      <w:marBottom w:val="0"/>
      <w:divBdr>
        <w:top w:val="none" w:sz="0" w:space="0" w:color="auto"/>
        <w:left w:val="none" w:sz="0" w:space="0" w:color="auto"/>
        <w:bottom w:val="none" w:sz="0" w:space="0" w:color="auto"/>
        <w:right w:val="none" w:sz="0" w:space="0" w:color="auto"/>
      </w:divBdr>
      <w:divsChild>
        <w:div w:id="521672825">
          <w:marLeft w:val="0"/>
          <w:marRight w:val="0"/>
          <w:marTop w:val="277"/>
          <w:marBottom w:val="277"/>
          <w:divBdr>
            <w:top w:val="none" w:sz="0" w:space="0" w:color="auto"/>
            <w:left w:val="none" w:sz="0" w:space="0" w:color="auto"/>
            <w:bottom w:val="none" w:sz="0" w:space="0" w:color="auto"/>
            <w:right w:val="none" w:sz="0" w:space="0" w:color="auto"/>
          </w:divBdr>
        </w:div>
      </w:divsChild>
    </w:div>
    <w:div w:id="1737506466">
      <w:bodyDiv w:val="1"/>
      <w:marLeft w:val="0"/>
      <w:marRight w:val="0"/>
      <w:marTop w:val="0"/>
      <w:marBottom w:val="0"/>
      <w:divBdr>
        <w:top w:val="none" w:sz="0" w:space="0" w:color="auto"/>
        <w:left w:val="none" w:sz="0" w:space="0" w:color="auto"/>
        <w:bottom w:val="none" w:sz="0" w:space="0" w:color="auto"/>
        <w:right w:val="none" w:sz="0" w:space="0" w:color="auto"/>
      </w:divBdr>
      <w:divsChild>
        <w:div w:id="1897887652">
          <w:marLeft w:val="0"/>
          <w:marRight w:val="0"/>
          <w:marTop w:val="0"/>
          <w:marBottom w:val="0"/>
          <w:divBdr>
            <w:top w:val="none" w:sz="0" w:space="0" w:color="auto"/>
            <w:left w:val="none" w:sz="0" w:space="0" w:color="auto"/>
            <w:bottom w:val="none" w:sz="0" w:space="0" w:color="auto"/>
            <w:right w:val="none" w:sz="0" w:space="0" w:color="auto"/>
          </w:divBdr>
          <w:divsChild>
            <w:div w:id="147671885">
              <w:marLeft w:val="0"/>
              <w:marRight w:val="0"/>
              <w:marTop w:val="0"/>
              <w:marBottom w:val="0"/>
              <w:divBdr>
                <w:top w:val="none" w:sz="0" w:space="0" w:color="auto"/>
                <w:left w:val="none" w:sz="0" w:space="0" w:color="auto"/>
                <w:bottom w:val="none" w:sz="0" w:space="0" w:color="auto"/>
                <w:right w:val="none" w:sz="0" w:space="0" w:color="auto"/>
              </w:divBdr>
              <w:divsChild>
                <w:div w:id="48490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76116">
      <w:bodyDiv w:val="1"/>
      <w:marLeft w:val="0"/>
      <w:marRight w:val="0"/>
      <w:marTop w:val="0"/>
      <w:marBottom w:val="0"/>
      <w:divBdr>
        <w:top w:val="none" w:sz="0" w:space="0" w:color="auto"/>
        <w:left w:val="none" w:sz="0" w:space="0" w:color="auto"/>
        <w:bottom w:val="none" w:sz="0" w:space="0" w:color="auto"/>
        <w:right w:val="none" w:sz="0" w:space="0" w:color="auto"/>
      </w:divBdr>
    </w:div>
    <w:div w:id="1744571374">
      <w:bodyDiv w:val="1"/>
      <w:marLeft w:val="0"/>
      <w:marRight w:val="0"/>
      <w:marTop w:val="0"/>
      <w:marBottom w:val="0"/>
      <w:divBdr>
        <w:top w:val="none" w:sz="0" w:space="0" w:color="auto"/>
        <w:left w:val="none" w:sz="0" w:space="0" w:color="auto"/>
        <w:bottom w:val="none" w:sz="0" w:space="0" w:color="auto"/>
        <w:right w:val="none" w:sz="0" w:space="0" w:color="auto"/>
      </w:divBdr>
    </w:div>
    <w:div w:id="1747798044">
      <w:bodyDiv w:val="1"/>
      <w:marLeft w:val="0"/>
      <w:marRight w:val="0"/>
      <w:marTop w:val="0"/>
      <w:marBottom w:val="0"/>
      <w:divBdr>
        <w:top w:val="none" w:sz="0" w:space="0" w:color="auto"/>
        <w:left w:val="none" w:sz="0" w:space="0" w:color="auto"/>
        <w:bottom w:val="none" w:sz="0" w:space="0" w:color="auto"/>
        <w:right w:val="none" w:sz="0" w:space="0" w:color="auto"/>
      </w:divBdr>
    </w:div>
    <w:div w:id="1763839700">
      <w:bodyDiv w:val="1"/>
      <w:marLeft w:val="0"/>
      <w:marRight w:val="0"/>
      <w:marTop w:val="0"/>
      <w:marBottom w:val="0"/>
      <w:divBdr>
        <w:top w:val="none" w:sz="0" w:space="0" w:color="auto"/>
        <w:left w:val="none" w:sz="0" w:space="0" w:color="auto"/>
        <w:bottom w:val="none" w:sz="0" w:space="0" w:color="auto"/>
        <w:right w:val="none" w:sz="0" w:space="0" w:color="auto"/>
      </w:divBdr>
    </w:div>
    <w:div w:id="1764107754">
      <w:bodyDiv w:val="1"/>
      <w:marLeft w:val="0"/>
      <w:marRight w:val="0"/>
      <w:marTop w:val="0"/>
      <w:marBottom w:val="0"/>
      <w:divBdr>
        <w:top w:val="none" w:sz="0" w:space="0" w:color="auto"/>
        <w:left w:val="none" w:sz="0" w:space="0" w:color="auto"/>
        <w:bottom w:val="none" w:sz="0" w:space="0" w:color="auto"/>
        <w:right w:val="none" w:sz="0" w:space="0" w:color="auto"/>
      </w:divBdr>
    </w:div>
    <w:div w:id="1768841128">
      <w:bodyDiv w:val="1"/>
      <w:marLeft w:val="0"/>
      <w:marRight w:val="0"/>
      <w:marTop w:val="0"/>
      <w:marBottom w:val="0"/>
      <w:divBdr>
        <w:top w:val="none" w:sz="0" w:space="0" w:color="auto"/>
        <w:left w:val="none" w:sz="0" w:space="0" w:color="auto"/>
        <w:bottom w:val="none" w:sz="0" w:space="0" w:color="auto"/>
        <w:right w:val="none" w:sz="0" w:space="0" w:color="auto"/>
      </w:divBdr>
    </w:div>
    <w:div w:id="1771584963">
      <w:bodyDiv w:val="1"/>
      <w:marLeft w:val="0"/>
      <w:marRight w:val="0"/>
      <w:marTop w:val="0"/>
      <w:marBottom w:val="0"/>
      <w:divBdr>
        <w:top w:val="none" w:sz="0" w:space="0" w:color="auto"/>
        <w:left w:val="none" w:sz="0" w:space="0" w:color="auto"/>
        <w:bottom w:val="none" w:sz="0" w:space="0" w:color="auto"/>
        <w:right w:val="none" w:sz="0" w:space="0" w:color="auto"/>
      </w:divBdr>
    </w:div>
    <w:div w:id="1791706630">
      <w:bodyDiv w:val="1"/>
      <w:marLeft w:val="0"/>
      <w:marRight w:val="0"/>
      <w:marTop w:val="0"/>
      <w:marBottom w:val="0"/>
      <w:divBdr>
        <w:top w:val="none" w:sz="0" w:space="0" w:color="auto"/>
        <w:left w:val="none" w:sz="0" w:space="0" w:color="auto"/>
        <w:bottom w:val="none" w:sz="0" w:space="0" w:color="auto"/>
        <w:right w:val="none" w:sz="0" w:space="0" w:color="auto"/>
      </w:divBdr>
    </w:div>
    <w:div w:id="1794472524">
      <w:bodyDiv w:val="1"/>
      <w:marLeft w:val="0"/>
      <w:marRight w:val="0"/>
      <w:marTop w:val="0"/>
      <w:marBottom w:val="0"/>
      <w:divBdr>
        <w:top w:val="none" w:sz="0" w:space="0" w:color="auto"/>
        <w:left w:val="none" w:sz="0" w:space="0" w:color="auto"/>
        <w:bottom w:val="none" w:sz="0" w:space="0" w:color="auto"/>
        <w:right w:val="none" w:sz="0" w:space="0" w:color="auto"/>
      </w:divBdr>
    </w:div>
    <w:div w:id="1797216099">
      <w:bodyDiv w:val="1"/>
      <w:marLeft w:val="0"/>
      <w:marRight w:val="0"/>
      <w:marTop w:val="0"/>
      <w:marBottom w:val="0"/>
      <w:divBdr>
        <w:top w:val="none" w:sz="0" w:space="0" w:color="auto"/>
        <w:left w:val="none" w:sz="0" w:space="0" w:color="auto"/>
        <w:bottom w:val="none" w:sz="0" w:space="0" w:color="auto"/>
        <w:right w:val="none" w:sz="0" w:space="0" w:color="auto"/>
      </w:divBdr>
      <w:divsChild>
        <w:div w:id="22100975">
          <w:marLeft w:val="0"/>
          <w:marRight w:val="0"/>
          <w:marTop w:val="0"/>
          <w:marBottom w:val="0"/>
          <w:divBdr>
            <w:top w:val="none" w:sz="0" w:space="0" w:color="auto"/>
            <w:left w:val="none" w:sz="0" w:space="0" w:color="auto"/>
            <w:bottom w:val="none" w:sz="0" w:space="0" w:color="auto"/>
            <w:right w:val="none" w:sz="0" w:space="0" w:color="auto"/>
          </w:divBdr>
          <w:divsChild>
            <w:div w:id="365839561">
              <w:marLeft w:val="0"/>
              <w:marRight w:val="0"/>
              <w:marTop w:val="0"/>
              <w:marBottom w:val="0"/>
              <w:divBdr>
                <w:top w:val="none" w:sz="0" w:space="0" w:color="auto"/>
                <w:left w:val="none" w:sz="0" w:space="0" w:color="auto"/>
                <w:bottom w:val="none" w:sz="0" w:space="0" w:color="auto"/>
                <w:right w:val="none" w:sz="0" w:space="0" w:color="auto"/>
              </w:divBdr>
            </w:div>
          </w:divsChild>
        </w:div>
        <w:div w:id="1869100079">
          <w:marLeft w:val="0"/>
          <w:marRight w:val="0"/>
          <w:marTop w:val="0"/>
          <w:marBottom w:val="45"/>
          <w:divBdr>
            <w:top w:val="none" w:sz="0" w:space="0" w:color="auto"/>
            <w:left w:val="none" w:sz="0" w:space="0" w:color="auto"/>
            <w:bottom w:val="none" w:sz="0" w:space="0" w:color="auto"/>
            <w:right w:val="none" w:sz="0" w:space="0" w:color="auto"/>
          </w:divBdr>
        </w:div>
      </w:divsChild>
    </w:div>
    <w:div w:id="1797724058">
      <w:bodyDiv w:val="1"/>
      <w:marLeft w:val="0"/>
      <w:marRight w:val="0"/>
      <w:marTop w:val="0"/>
      <w:marBottom w:val="0"/>
      <w:divBdr>
        <w:top w:val="none" w:sz="0" w:space="0" w:color="auto"/>
        <w:left w:val="none" w:sz="0" w:space="0" w:color="auto"/>
        <w:bottom w:val="none" w:sz="0" w:space="0" w:color="auto"/>
        <w:right w:val="none" w:sz="0" w:space="0" w:color="auto"/>
      </w:divBdr>
    </w:div>
    <w:div w:id="1804615067">
      <w:bodyDiv w:val="1"/>
      <w:marLeft w:val="0"/>
      <w:marRight w:val="0"/>
      <w:marTop w:val="0"/>
      <w:marBottom w:val="0"/>
      <w:divBdr>
        <w:top w:val="none" w:sz="0" w:space="0" w:color="auto"/>
        <w:left w:val="none" w:sz="0" w:space="0" w:color="auto"/>
        <w:bottom w:val="none" w:sz="0" w:space="0" w:color="auto"/>
        <w:right w:val="none" w:sz="0" w:space="0" w:color="auto"/>
      </w:divBdr>
    </w:div>
    <w:div w:id="1808739585">
      <w:bodyDiv w:val="1"/>
      <w:marLeft w:val="0"/>
      <w:marRight w:val="0"/>
      <w:marTop w:val="0"/>
      <w:marBottom w:val="0"/>
      <w:divBdr>
        <w:top w:val="none" w:sz="0" w:space="0" w:color="auto"/>
        <w:left w:val="none" w:sz="0" w:space="0" w:color="auto"/>
        <w:bottom w:val="none" w:sz="0" w:space="0" w:color="auto"/>
        <w:right w:val="none" w:sz="0" w:space="0" w:color="auto"/>
      </w:divBdr>
    </w:div>
    <w:div w:id="1818910463">
      <w:bodyDiv w:val="1"/>
      <w:marLeft w:val="0"/>
      <w:marRight w:val="0"/>
      <w:marTop w:val="0"/>
      <w:marBottom w:val="0"/>
      <w:divBdr>
        <w:top w:val="none" w:sz="0" w:space="0" w:color="auto"/>
        <w:left w:val="none" w:sz="0" w:space="0" w:color="auto"/>
        <w:bottom w:val="none" w:sz="0" w:space="0" w:color="auto"/>
        <w:right w:val="none" w:sz="0" w:space="0" w:color="auto"/>
      </w:divBdr>
    </w:div>
    <w:div w:id="1821383167">
      <w:bodyDiv w:val="1"/>
      <w:marLeft w:val="0"/>
      <w:marRight w:val="0"/>
      <w:marTop w:val="0"/>
      <w:marBottom w:val="0"/>
      <w:divBdr>
        <w:top w:val="none" w:sz="0" w:space="0" w:color="auto"/>
        <w:left w:val="none" w:sz="0" w:space="0" w:color="auto"/>
        <w:bottom w:val="none" w:sz="0" w:space="0" w:color="auto"/>
        <w:right w:val="none" w:sz="0" w:space="0" w:color="auto"/>
      </w:divBdr>
    </w:div>
    <w:div w:id="1826241377">
      <w:bodyDiv w:val="1"/>
      <w:marLeft w:val="0"/>
      <w:marRight w:val="0"/>
      <w:marTop w:val="0"/>
      <w:marBottom w:val="0"/>
      <w:divBdr>
        <w:top w:val="none" w:sz="0" w:space="0" w:color="auto"/>
        <w:left w:val="none" w:sz="0" w:space="0" w:color="auto"/>
        <w:bottom w:val="none" w:sz="0" w:space="0" w:color="auto"/>
        <w:right w:val="none" w:sz="0" w:space="0" w:color="auto"/>
      </w:divBdr>
    </w:div>
    <w:div w:id="1827286509">
      <w:bodyDiv w:val="1"/>
      <w:marLeft w:val="0"/>
      <w:marRight w:val="0"/>
      <w:marTop w:val="0"/>
      <w:marBottom w:val="0"/>
      <w:divBdr>
        <w:top w:val="none" w:sz="0" w:space="0" w:color="auto"/>
        <w:left w:val="none" w:sz="0" w:space="0" w:color="auto"/>
        <w:bottom w:val="none" w:sz="0" w:space="0" w:color="auto"/>
        <w:right w:val="none" w:sz="0" w:space="0" w:color="auto"/>
      </w:divBdr>
    </w:div>
    <w:div w:id="1831099221">
      <w:bodyDiv w:val="1"/>
      <w:marLeft w:val="0"/>
      <w:marRight w:val="0"/>
      <w:marTop w:val="0"/>
      <w:marBottom w:val="0"/>
      <w:divBdr>
        <w:top w:val="none" w:sz="0" w:space="0" w:color="auto"/>
        <w:left w:val="none" w:sz="0" w:space="0" w:color="auto"/>
        <w:bottom w:val="none" w:sz="0" w:space="0" w:color="auto"/>
        <w:right w:val="none" w:sz="0" w:space="0" w:color="auto"/>
      </w:divBdr>
    </w:div>
    <w:div w:id="1841892164">
      <w:bodyDiv w:val="1"/>
      <w:marLeft w:val="0"/>
      <w:marRight w:val="0"/>
      <w:marTop w:val="0"/>
      <w:marBottom w:val="0"/>
      <w:divBdr>
        <w:top w:val="none" w:sz="0" w:space="0" w:color="auto"/>
        <w:left w:val="none" w:sz="0" w:space="0" w:color="auto"/>
        <w:bottom w:val="none" w:sz="0" w:space="0" w:color="auto"/>
        <w:right w:val="none" w:sz="0" w:space="0" w:color="auto"/>
      </w:divBdr>
    </w:div>
    <w:div w:id="1845169709">
      <w:bodyDiv w:val="1"/>
      <w:marLeft w:val="0"/>
      <w:marRight w:val="0"/>
      <w:marTop w:val="0"/>
      <w:marBottom w:val="0"/>
      <w:divBdr>
        <w:top w:val="none" w:sz="0" w:space="0" w:color="auto"/>
        <w:left w:val="none" w:sz="0" w:space="0" w:color="auto"/>
        <w:bottom w:val="none" w:sz="0" w:space="0" w:color="auto"/>
        <w:right w:val="none" w:sz="0" w:space="0" w:color="auto"/>
      </w:divBdr>
      <w:divsChild>
        <w:div w:id="28996012">
          <w:marLeft w:val="0"/>
          <w:marRight w:val="0"/>
          <w:marTop w:val="0"/>
          <w:marBottom w:val="0"/>
          <w:divBdr>
            <w:top w:val="none" w:sz="0" w:space="0" w:color="auto"/>
            <w:left w:val="none" w:sz="0" w:space="0" w:color="auto"/>
            <w:bottom w:val="none" w:sz="0" w:space="0" w:color="auto"/>
            <w:right w:val="none" w:sz="0" w:space="0" w:color="auto"/>
          </w:divBdr>
          <w:divsChild>
            <w:div w:id="963542538">
              <w:marLeft w:val="0"/>
              <w:marRight w:val="0"/>
              <w:marTop w:val="0"/>
              <w:marBottom w:val="0"/>
              <w:divBdr>
                <w:top w:val="none" w:sz="0" w:space="0" w:color="auto"/>
                <w:left w:val="none" w:sz="0" w:space="0" w:color="auto"/>
                <w:bottom w:val="none" w:sz="0" w:space="0" w:color="auto"/>
                <w:right w:val="none" w:sz="0" w:space="0" w:color="auto"/>
              </w:divBdr>
            </w:div>
          </w:divsChild>
        </w:div>
        <w:div w:id="1604217676">
          <w:marLeft w:val="1924"/>
          <w:marRight w:val="0"/>
          <w:marTop w:val="0"/>
          <w:marBottom w:val="0"/>
          <w:divBdr>
            <w:top w:val="none" w:sz="0" w:space="0" w:color="auto"/>
            <w:left w:val="none" w:sz="0" w:space="0" w:color="auto"/>
            <w:bottom w:val="none" w:sz="0" w:space="0" w:color="auto"/>
            <w:right w:val="none" w:sz="0" w:space="0" w:color="auto"/>
          </w:divBdr>
          <w:divsChild>
            <w:div w:id="1530339453">
              <w:marLeft w:val="0"/>
              <w:marRight w:val="0"/>
              <w:marTop w:val="0"/>
              <w:marBottom w:val="300"/>
              <w:divBdr>
                <w:top w:val="none" w:sz="0" w:space="0" w:color="auto"/>
                <w:left w:val="none" w:sz="0" w:space="0" w:color="auto"/>
                <w:bottom w:val="none" w:sz="0" w:space="0" w:color="auto"/>
                <w:right w:val="none" w:sz="0" w:space="0" w:color="auto"/>
              </w:divBdr>
              <w:divsChild>
                <w:div w:id="18752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18609">
          <w:marLeft w:val="1924"/>
          <w:marRight w:val="0"/>
          <w:marTop w:val="0"/>
          <w:marBottom w:val="0"/>
          <w:divBdr>
            <w:top w:val="none" w:sz="0" w:space="0" w:color="auto"/>
            <w:left w:val="none" w:sz="0" w:space="0" w:color="auto"/>
            <w:bottom w:val="none" w:sz="0" w:space="0" w:color="auto"/>
            <w:right w:val="none" w:sz="0" w:space="0" w:color="auto"/>
          </w:divBdr>
        </w:div>
      </w:divsChild>
    </w:div>
    <w:div w:id="1845240956">
      <w:bodyDiv w:val="1"/>
      <w:marLeft w:val="0"/>
      <w:marRight w:val="0"/>
      <w:marTop w:val="0"/>
      <w:marBottom w:val="0"/>
      <w:divBdr>
        <w:top w:val="none" w:sz="0" w:space="0" w:color="auto"/>
        <w:left w:val="none" w:sz="0" w:space="0" w:color="auto"/>
        <w:bottom w:val="none" w:sz="0" w:space="0" w:color="auto"/>
        <w:right w:val="none" w:sz="0" w:space="0" w:color="auto"/>
      </w:divBdr>
    </w:div>
    <w:div w:id="1846095948">
      <w:bodyDiv w:val="1"/>
      <w:marLeft w:val="0"/>
      <w:marRight w:val="0"/>
      <w:marTop w:val="0"/>
      <w:marBottom w:val="0"/>
      <w:divBdr>
        <w:top w:val="none" w:sz="0" w:space="0" w:color="auto"/>
        <w:left w:val="none" w:sz="0" w:space="0" w:color="auto"/>
        <w:bottom w:val="none" w:sz="0" w:space="0" w:color="auto"/>
        <w:right w:val="none" w:sz="0" w:space="0" w:color="auto"/>
      </w:divBdr>
    </w:div>
    <w:div w:id="1853571518">
      <w:bodyDiv w:val="1"/>
      <w:marLeft w:val="0"/>
      <w:marRight w:val="0"/>
      <w:marTop w:val="0"/>
      <w:marBottom w:val="0"/>
      <w:divBdr>
        <w:top w:val="none" w:sz="0" w:space="0" w:color="auto"/>
        <w:left w:val="none" w:sz="0" w:space="0" w:color="auto"/>
        <w:bottom w:val="none" w:sz="0" w:space="0" w:color="auto"/>
        <w:right w:val="none" w:sz="0" w:space="0" w:color="auto"/>
      </w:divBdr>
    </w:div>
    <w:div w:id="1860509519">
      <w:bodyDiv w:val="1"/>
      <w:marLeft w:val="0"/>
      <w:marRight w:val="0"/>
      <w:marTop w:val="0"/>
      <w:marBottom w:val="0"/>
      <w:divBdr>
        <w:top w:val="none" w:sz="0" w:space="0" w:color="auto"/>
        <w:left w:val="none" w:sz="0" w:space="0" w:color="auto"/>
        <w:bottom w:val="none" w:sz="0" w:space="0" w:color="auto"/>
        <w:right w:val="none" w:sz="0" w:space="0" w:color="auto"/>
      </w:divBdr>
      <w:divsChild>
        <w:div w:id="1046179273">
          <w:marLeft w:val="0"/>
          <w:marRight w:val="0"/>
          <w:marTop w:val="0"/>
          <w:marBottom w:val="0"/>
          <w:divBdr>
            <w:top w:val="none" w:sz="0" w:space="0" w:color="auto"/>
            <w:left w:val="none" w:sz="0" w:space="0" w:color="auto"/>
            <w:bottom w:val="none" w:sz="0" w:space="0" w:color="auto"/>
            <w:right w:val="none" w:sz="0" w:space="0" w:color="auto"/>
          </w:divBdr>
          <w:divsChild>
            <w:div w:id="450633101">
              <w:marLeft w:val="0"/>
              <w:marRight w:val="0"/>
              <w:marTop w:val="0"/>
              <w:marBottom w:val="0"/>
              <w:divBdr>
                <w:top w:val="none" w:sz="0" w:space="0" w:color="auto"/>
                <w:left w:val="none" w:sz="0" w:space="0" w:color="auto"/>
                <w:bottom w:val="none" w:sz="0" w:space="0" w:color="auto"/>
                <w:right w:val="none" w:sz="0" w:space="0" w:color="auto"/>
              </w:divBdr>
              <w:divsChild>
                <w:div w:id="1120994558">
                  <w:marLeft w:val="0"/>
                  <w:marRight w:val="0"/>
                  <w:marTop w:val="0"/>
                  <w:marBottom w:val="0"/>
                  <w:divBdr>
                    <w:top w:val="none" w:sz="0" w:space="0" w:color="auto"/>
                    <w:left w:val="none" w:sz="0" w:space="0" w:color="auto"/>
                    <w:bottom w:val="none" w:sz="0" w:space="0" w:color="auto"/>
                    <w:right w:val="none" w:sz="0" w:space="0" w:color="auto"/>
                  </w:divBdr>
                  <w:divsChild>
                    <w:div w:id="2077435385">
                      <w:marLeft w:val="0"/>
                      <w:marRight w:val="0"/>
                      <w:marTop w:val="0"/>
                      <w:marBottom w:val="0"/>
                      <w:divBdr>
                        <w:top w:val="none" w:sz="0" w:space="0" w:color="auto"/>
                        <w:left w:val="none" w:sz="0" w:space="0" w:color="auto"/>
                        <w:bottom w:val="none" w:sz="0" w:space="0" w:color="auto"/>
                        <w:right w:val="none" w:sz="0" w:space="0" w:color="auto"/>
                      </w:divBdr>
                      <w:divsChild>
                        <w:div w:id="77752364">
                          <w:marLeft w:val="0"/>
                          <w:marRight w:val="0"/>
                          <w:marTop w:val="0"/>
                          <w:marBottom w:val="0"/>
                          <w:divBdr>
                            <w:top w:val="none" w:sz="0" w:space="0" w:color="auto"/>
                            <w:left w:val="none" w:sz="0" w:space="0" w:color="auto"/>
                            <w:bottom w:val="none" w:sz="0" w:space="0" w:color="auto"/>
                            <w:right w:val="none" w:sz="0" w:space="0" w:color="auto"/>
                          </w:divBdr>
                          <w:divsChild>
                            <w:div w:id="8063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1234088">
      <w:bodyDiv w:val="1"/>
      <w:marLeft w:val="0"/>
      <w:marRight w:val="0"/>
      <w:marTop w:val="0"/>
      <w:marBottom w:val="0"/>
      <w:divBdr>
        <w:top w:val="none" w:sz="0" w:space="0" w:color="auto"/>
        <w:left w:val="none" w:sz="0" w:space="0" w:color="auto"/>
        <w:bottom w:val="none" w:sz="0" w:space="0" w:color="auto"/>
        <w:right w:val="none" w:sz="0" w:space="0" w:color="auto"/>
      </w:divBdr>
      <w:divsChild>
        <w:div w:id="813327994">
          <w:marLeft w:val="0"/>
          <w:marRight w:val="0"/>
          <w:marTop w:val="0"/>
          <w:marBottom w:val="0"/>
          <w:divBdr>
            <w:top w:val="none" w:sz="0" w:space="0" w:color="auto"/>
            <w:left w:val="none" w:sz="0" w:space="0" w:color="auto"/>
            <w:bottom w:val="none" w:sz="0" w:space="0" w:color="auto"/>
            <w:right w:val="none" w:sz="0" w:space="0" w:color="auto"/>
          </w:divBdr>
          <w:divsChild>
            <w:div w:id="1370182860">
              <w:marLeft w:val="0"/>
              <w:marRight w:val="0"/>
              <w:marTop w:val="0"/>
              <w:marBottom w:val="0"/>
              <w:divBdr>
                <w:top w:val="none" w:sz="0" w:space="0" w:color="auto"/>
                <w:left w:val="none" w:sz="0" w:space="0" w:color="auto"/>
                <w:bottom w:val="none" w:sz="0" w:space="0" w:color="auto"/>
                <w:right w:val="none" w:sz="0" w:space="0" w:color="auto"/>
              </w:divBdr>
              <w:divsChild>
                <w:div w:id="2076656320">
                  <w:marLeft w:val="0"/>
                  <w:marRight w:val="0"/>
                  <w:marTop w:val="0"/>
                  <w:marBottom w:val="0"/>
                  <w:divBdr>
                    <w:top w:val="none" w:sz="0" w:space="0" w:color="auto"/>
                    <w:left w:val="none" w:sz="0" w:space="0" w:color="auto"/>
                    <w:bottom w:val="none" w:sz="0" w:space="0" w:color="auto"/>
                    <w:right w:val="none" w:sz="0" w:space="0" w:color="auto"/>
                  </w:divBdr>
                  <w:divsChild>
                    <w:div w:id="10179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476359">
      <w:bodyDiv w:val="1"/>
      <w:marLeft w:val="0"/>
      <w:marRight w:val="0"/>
      <w:marTop w:val="0"/>
      <w:marBottom w:val="0"/>
      <w:divBdr>
        <w:top w:val="none" w:sz="0" w:space="0" w:color="auto"/>
        <w:left w:val="none" w:sz="0" w:space="0" w:color="auto"/>
        <w:bottom w:val="none" w:sz="0" w:space="0" w:color="auto"/>
        <w:right w:val="none" w:sz="0" w:space="0" w:color="auto"/>
      </w:divBdr>
    </w:div>
    <w:div w:id="1866091179">
      <w:bodyDiv w:val="1"/>
      <w:marLeft w:val="0"/>
      <w:marRight w:val="0"/>
      <w:marTop w:val="0"/>
      <w:marBottom w:val="0"/>
      <w:divBdr>
        <w:top w:val="none" w:sz="0" w:space="0" w:color="auto"/>
        <w:left w:val="none" w:sz="0" w:space="0" w:color="auto"/>
        <w:bottom w:val="none" w:sz="0" w:space="0" w:color="auto"/>
        <w:right w:val="none" w:sz="0" w:space="0" w:color="auto"/>
      </w:divBdr>
    </w:div>
    <w:div w:id="1870096361">
      <w:bodyDiv w:val="1"/>
      <w:marLeft w:val="0"/>
      <w:marRight w:val="0"/>
      <w:marTop w:val="0"/>
      <w:marBottom w:val="0"/>
      <w:divBdr>
        <w:top w:val="none" w:sz="0" w:space="0" w:color="auto"/>
        <w:left w:val="none" w:sz="0" w:space="0" w:color="auto"/>
        <w:bottom w:val="none" w:sz="0" w:space="0" w:color="auto"/>
        <w:right w:val="none" w:sz="0" w:space="0" w:color="auto"/>
      </w:divBdr>
    </w:div>
    <w:div w:id="1873030971">
      <w:bodyDiv w:val="1"/>
      <w:marLeft w:val="0"/>
      <w:marRight w:val="0"/>
      <w:marTop w:val="0"/>
      <w:marBottom w:val="0"/>
      <w:divBdr>
        <w:top w:val="none" w:sz="0" w:space="0" w:color="auto"/>
        <w:left w:val="none" w:sz="0" w:space="0" w:color="auto"/>
        <w:bottom w:val="none" w:sz="0" w:space="0" w:color="auto"/>
        <w:right w:val="none" w:sz="0" w:space="0" w:color="auto"/>
      </w:divBdr>
      <w:divsChild>
        <w:div w:id="818886007">
          <w:marLeft w:val="0"/>
          <w:marRight w:val="0"/>
          <w:marTop w:val="0"/>
          <w:marBottom w:val="0"/>
          <w:divBdr>
            <w:top w:val="none" w:sz="0" w:space="0" w:color="auto"/>
            <w:left w:val="none" w:sz="0" w:space="0" w:color="auto"/>
            <w:bottom w:val="none" w:sz="0" w:space="0" w:color="auto"/>
            <w:right w:val="none" w:sz="0" w:space="0" w:color="auto"/>
          </w:divBdr>
        </w:div>
      </w:divsChild>
    </w:div>
    <w:div w:id="1873229034">
      <w:bodyDiv w:val="1"/>
      <w:marLeft w:val="0"/>
      <w:marRight w:val="0"/>
      <w:marTop w:val="0"/>
      <w:marBottom w:val="0"/>
      <w:divBdr>
        <w:top w:val="none" w:sz="0" w:space="0" w:color="auto"/>
        <w:left w:val="none" w:sz="0" w:space="0" w:color="auto"/>
        <w:bottom w:val="none" w:sz="0" w:space="0" w:color="auto"/>
        <w:right w:val="none" w:sz="0" w:space="0" w:color="auto"/>
      </w:divBdr>
    </w:div>
    <w:div w:id="1878933713">
      <w:bodyDiv w:val="1"/>
      <w:marLeft w:val="0"/>
      <w:marRight w:val="0"/>
      <w:marTop w:val="0"/>
      <w:marBottom w:val="0"/>
      <w:divBdr>
        <w:top w:val="none" w:sz="0" w:space="0" w:color="auto"/>
        <w:left w:val="none" w:sz="0" w:space="0" w:color="auto"/>
        <w:bottom w:val="none" w:sz="0" w:space="0" w:color="auto"/>
        <w:right w:val="none" w:sz="0" w:space="0" w:color="auto"/>
      </w:divBdr>
    </w:div>
    <w:div w:id="1884707845">
      <w:bodyDiv w:val="1"/>
      <w:marLeft w:val="0"/>
      <w:marRight w:val="0"/>
      <w:marTop w:val="0"/>
      <w:marBottom w:val="0"/>
      <w:divBdr>
        <w:top w:val="none" w:sz="0" w:space="0" w:color="auto"/>
        <w:left w:val="none" w:sz="0" w:space="0" w:color="auto"/>
        <w:bottom w:val="none" w:sz="0" w:space="0" w:color="auto"/>
        <w:right w:val="none" w:sz="0" w:space="0" w:color="auto"/>
      </w:divBdr>
    </w:div>
    <w:div w:id="1888567403">
      <w:bodyDiv w:val="1"/>
      <w:marLeft w:val="0"/>
      <w:marRight w:val="0"/>
      <w:marTop w:val="0"/>
      <w:marBottom w:val="0"/>
      <w:divBdr>
        <w:top w:val="none" w:sz="0" w:space="0" w:color="auto"/>
        <w:left w:val="none" w:sz="0" w:space="0" w:color="auto"/>
        <w:bottom w:val="none" w:sz="0" w:space="0" w:color="auto"/>
        <w:right w:val="none" w:sz="0" w:space="0" w:color="auto"/>
      </w:divBdr>
    </w:div>
    <w:div w:id="1892032711">
      <w:bodyDiv w:val="1"/>
      <w:marLeft w:val="0"/>
      <w:marRight w:val="0"/>
      <w:marTop w:val="0"/>
      <w:marBottom w:val="0"/>
      <w:divBdr>
        <w:top w:val="none" w:sz="0" w:space="0" w:color="auto"/>
        <w:left w:val="none" w:sz="0" w:space="0" w:color="auto"/>
        <w:bottom w:val="none" w:sz="0" w:space="0" w:color="auto"/>
        <w:right w:val="none" w:sz="0" w:space="0" w:color="auto"/>
      </w:divBdr>
    </w:div>
    <w:div w:id="1904169927">
      <w:bodyDiv w:val="1"/>
      <w:marLeft w:val="0"/>
      <w:marRight w:val="0"/>
      <w:marTop w:val="0"/>
      <w:marBottom w:val="0"/>
      <w:divBdr>
        <w:top w:val="none" w:sz="0" w:space="0" w:color="auto"/>
        <w:left w:val="none" w:sz="0" w:space="0" w:color="auto"/>
        <w:bottom w:val="none" w:sz="0" w:space="0" w:color="auto"/>
        <w:right w:val="none" w:sz="0" w:space="0" w:color="auto"/>
      </w:divBdr>
    </w:div>
    <w:div w:id="1909729169">
      <w:bodyDiv w:val="1"/>
      <w:marLeft w:val="0"/>
      <w:marRight w:val="0"/>
      <w:marTop w:val="0"/>
      <w:marBottom w:val="0"/>
      <w:divBdr>
        <w:top w:val="none" w:sz="0" w:space="0" w:color="auto"/>
        <w:left w:val="none" w:sz="0" w:space="0" w:color="auto"/>
        <w:bottom w:val="none" w:sz="0" w:space="0" w:color="auto"/>
        <w:right w:val="none" w:sz="0" w:space="0" w:color="auto"/>
      </w:divBdr>
    </w:div>
    <w:div w:id="1930190686">
      <w:bodyDiv w:val="1"/>
      <w:marLeft w:val="0"/>
      <w:marRight w:val="0"/>
      <w:marTop w:val="0"/>
      <w:marBottom w:val="0"/>
      <w:divBdr>
        <w:top w:val="none" w:sz="0" w:space="0" w:color="auto"/>
        <w:left w:val="none" w:sz="0" w:space="0" w:color="auto"/>
        <w:bottom w:val="none" w:sz="0" w:space="0" w:color="auto"/>
        <w:right w:val="none" w:sz="0" w:space="0" w:color="auto"/>
      </w:divBdr>
    </w:div>
    <w:div w:id="1933975240">
      <w:bodyDiv w:val="1"/>
      <w:marLeft w:val="0"/>
      <w:marRight w:val="0"/>
      <w:marTop w:val="0"/>
      <w:marBottom w:val="0"/>
      <w:divBdr>
        <w:top w:val="none" w:sz="0" w:space="0" w:color="auto"/>
        <w:left w:val="none" w:sz="0" w:space="0" w:color="auto"/>
        <w:bottom w:val="none" w:sz="0" w:space="0" w:color="auto"/>
        <w:right w:val="none" w:sz="0" w:space="0" w:color="auto"/>
      </w:divBdr>
    </w:div>
    <w:div w:id="1938513462">
      <w:bodyDiv w:val="1"/>
      <w:marLeft w:val="0"/>
      <w:marRight w:val="0"/>
      <w:marTop w:val="0"/>
      <w:marBottom w:val="0"/>
      <w:divBdr>
        <w:top w:val="none" w:sz="0" w:space="0" w:color="auto"/>
        <w:left w:val="none" w:sz="0" w:space="0" w:color="auto"/>
        <w:bottom w:val="none" w:sz="0" w:space="0" w:color="auto"/>
        <w:right w:val="none" w:sz="0" w:space="0" w:color="auto"/>
      </w:divBdr>
    </w:div>
    <w:div w:id="1941138167">
      <w:bodyDiv w:val="1"/>
      <w:marLeft w:val="0"/>
      <w:marRight w:val="0"/>
      <w:marTop w:val="0"/>
      <w:marBottom w:val="0"/>
      <w:divBdr>
        <w:top w:val="none" w:sz="0" w:space="0" w:color="auto"/>
        <w:left w:val="none" w:sz="0" w:space="0" w:color="auto"/>
        <w:bottom w:val="none" w:sz="0" w:space="0" w:color="auto"/>
        <w:right w:val="none" w:sz="0" w:space="0" w:color="auto"/>
      </w:divBdr>
    </w:div>
    <w:div w:id="1944268550">
      <w:bodyDiv w:val="1"/>
      <w:marLeft w:val="0"/>
      <w:marRight w:val="0"/>
      <w:marTop w:val="0"/>
      <w:marBottom w:val="0"/>
      <w:divBdr>
        <w:top w:val="none" w:sz="0" w:space="0" w:color="auto"/>
        <w:left w:val="none" w:sz="0" w:space="0" w:color="auto"/>
        <w:bottom w:val="none" w:sz="0" w:space="0" w:color="auto"/>
        <w:right w:val="none" w:sz="0" w:space="0" w:color="auto"/>
      </w:divBdr>
    </w:div>
    <w:div w:id="1950237370">
      <w:bodyDiv w:val="1"/>
      <w:marLeft w:val="0"/>
      <w:marRight w:val="0"/>
      <w:marTop w:val="0"/>
      <w:marBottom w:val="0"/>
      <w:divBdr>
        <w:top w:val="none" w:sz="0" w:space="0" w:color="auto"/>
        <w:left w:val="none" w:sz="0" w:space="0" w:color="auto"/>
        <w:bottom w:val="none" w:sz="0" w:space="0" w:color="auto"/>
        <w:right w:val="none" w:sz="0" w:space="0" w:color="auto"/>
      </w:divBdr>
    </w:div>
    <w:div w:id="1952514401">
      <w:bodyDiv w:val="1"/>
      <w:marLeft w:val="0"/>
      <w:marRight w:val="0"/>
      <w:marTop w:val="0"/>
      <w:marBottom w:val="0"/>
      <w:divBdr>
        <w:top w:val="none" w:sz="0" w:space="0" w:color="auto"/>
        <w:left w:val="none" w:sz="0" w:space="0" w:color="auto"/>
        <w:bottom w:val="none" w:sz="0" w:space="0" w:color="auto"/>
        <w:right w:val="none" w:sz="0" w:space="0" w:color="auto"/>
      </w:divBdr>
    </w:div>
    <w:div w:id="1960792550">
      <w:bodyDiv w:val="1"/>
      <w:marLeft w:val="0"/>
      <w:marRight w:val="0"/>
      <w:marTop w:val="0"/>
      <w:marBottom w:val="0"/>
      <w:divBdr>
        <w:top w:val="none" w:sz="0" w:space="0" w:color="auto"/>
        <w:left w:val="none" w:sz="0" w:space="0" w:color="auto"/>
        <w:bottom w:val="none" w:sz="0" w:space="0" w:color="auto"/>
        <w:right w:val="none" w:sz="0" w:space="0" w:color="auto"/>
      </w:divBdr>
    </w:div>
    <w:div w:id="1963269804">
      <w:bodyDiv w:val="1"/>
      <w:marLeft w:val="0"/>
      <w:marRight w:val="0"/>
      <w:marTop w:val="0"/>
      <w:marBottom w:val="0"/>
      <w:divBdr>
        <w:top w:val="none" w:sz="0" w:space="0" w:color="auto"/>
        <w:left w:val="none" w:sz="0" w:space="0" w:color="auto"/>
        <w:bottom w:val="none" w:sz="0" w:space="0" w:color="auto"/>
        <w:right w:val="none" w:sz="0" w:space="0" w:color="auto"/>
      </w:divBdr>
    </w:div>
    <w:div w:id="1967467882">
      <w:bodyDiv w:val="1"/>
      <w:marLeft w:val="0"/>
      <w:marRight w:val="0"/>
      <w:marTop w:val="0"/>
      <w:marBottom w:val="0"/>
      <w:divBdr>
        <w:top w:val="none" w:sz="0" w:space="0" w:color="auto"/>
        <w:left w:val="none" w:sz="0" w:space="0" w:color="auto"/>
        <w:bottom w:val="none" w:sz="0" w:space="0" w:color="auto"/>
        <w:right w:val="none" w:sz="0" w:space="0" w:color="auto"/>
      </w:divBdr>
    </w:div>
    <w:div w:id="1974745763">
      <w:bodyDiv w:val="1"/>
      <w:marLeft w:val="0"/>
      <w:marRight w:val="0"/>
      <w:marTop w:val="0"/>
      <w:marBottom w:val="0"/>
      <w:divBdr>
        <w:top w:val="none" w:sz="0" w:space="0" w:color="auto"/>
        <w:left w:val="none" w:sz="0" w:space="0" w:color="auto"/>
        <w:bottom w:val="none" w:sz="0" w:space="0" w:color="auto"/>
        <w:right w:val="none" w:sz="0" w:space="0" w:color="auto"/>
      </w:divBdr>
    </w:div>
    <w:div w:id="1977493488">
      <w:bodyDiv w:val="1"/>
      <w:marLeft w:val="0"/>
      <w:marRight w:val="0"/>
      <w:marTop w:val="0"/>
      <w:marBottom w:val="0"/>
      <w:divBdr>
        <w:top w:val="none" w:sz="0" w:space="0" w:color="auto"/>
        <w:left w:val="none" w:sz="0" w:space="0" w:color="auto"/>
        <w:bottom w:val="none" w:sz="0" w:space="0" w:color="auto"/>
        <w:right w:val="none" w:sz="0" w:space="0" w:color="auto"/>
      </w:divBdr>
    </w:div>
    <w:div w:id="1980380917">
      <w:bodyDiv w:val="1"/>
      <w:marLeft w:val="0"/>
      <w:marRight w:val="0"/>
      <w:marTop w:val="0"/>
      <w:marBottom w:val="0"/>
      <w:divBdr>
        <w:top w:val="none" w:sz="0" w:space="0" w:color="auto"/>
        <w:left w:val="none" w:sz="0" w:space="0" w:color="auto"/>
        <w:bottom w:val="none" w:sz="0" w:space="0" w:color="auto"/>
        <w:right w:val="none" w:sz="0" w:space="0" w:color="auto"/>
      </w:divBdr>
    </w:div>
    <w:div w:id="1982299808">
      <w:bodyDiv w:val="1"/>
      <w:marLeft w:val="0"/>
      <w:marRight w:val="0"/>
      <w:marTop w:val="0"/>
      <w:marBottom w:val="0"/>
      <w:divBdr>
        <w:top w:val="none" w:sz="0" w:space="0" w:color="auto"/>
        <w:left w:val="none" w:sz="0" w:space="0" w:color="auto"/>
        <w:bottom w:val="none" w:sz="0" w:space="0" w:color="auto"/>
        <w:right w:val="none" w:sz="0" w:space="0" w:color="auto"/>
      </w:divBdr>
    </w:div>
    <w:div w:id="1983535184">
      <w:bodyDiv w:val="1"/>
      <w:marLeft w:val="0"/>
      <w:marRight w:val="0"/>
      <w:marTop w:val="0"/>
      <w:marBottom w:val="0"/>
      <w:divBdr>
        <w:top w:val="none" w:sz="0" w:space="0" w:color="auto"/>
        <w:left w:val="none" w:sz="0" w:space="0" w:color="auto"/>
        <w:bottom w:val="none" w:sz="0" w:space="0" w:color="auto"/>
        <w:right w:val="none" w:sz="0" w:space="0" w:color="auto"/>
      </w:divBdr>
    </w:div>
    <w:div w:id="1984390011">
      <w:bodyDiv w:val="1"/>
      <w:marLeft w:val="0"/>
      <w:marRight w:val="0"/>
      <w:marTop w:val="0"/>
      <w:marBottom w:val="0"/>
      <w:divBdr>
        <w:top w:val="none" w:sz="0" w:space="0" w:color="auto"/>
        <w:left w:val="none" w:sz="0" w:space="0" w:color="auto"/>
        <w:bottom w:val="none" w:sz="0" w:space="0" w:color="auto"/>
        <w:right w:val="none" w:sz="0" w:space="0" w:color="auto"/>
      </w:divBdr>
    </w:div>
    <w:div w:id="1984768831">
      <w:bodyDiv w:val="1"/>
      <w:marLeft w:val="0"/>
      <w:marRight w:val="0"/>
      <w:marTop w:val="0"/>
      <w:marBottom w:val="0"/>
      <w:divBdr>
        <w:top w:val="none" w:sz="0" w:space="0" w:color="auto"/>
        <w:left w:val="none" w:sz="0" w:space="0" w:color="auto"/>
        <w:bottom w:val="none" w:sz="0" w:space="0" w:color="auto"/>
        <w:right w:val="none" w:sz="0" w:space="0" w:color="auto"/>
      </w:divBdr>
    </w:div>
    <w:div w:id="1986620812">
      <w:bodyDiv w:val="1"/>
      <w:marLeft w:val="0"/>
      <w:marRight w:val="0"/>
      <w:marTop w:val="0"/>
      <w:marBottom w:val="0"/>
      <w:divBdr>
        <w:top w:val="none" w:sz="0" w:space="0" w:color="auto"/>
        <w:left w:val="none" w:sz="0" w:space="0" w:color="auto"/>
        <w:bottom w:val="none" w:sz="0" w:space="0" w:color="auto"/>
        <w:right w:val="none" w:sz="0" w:space="0" w:color="auto"/>
      </w:divBdr>
    </w:div>
    <w:div w:id="1993828308">
      <w:bodyDiv w:val="1"/>
      <w:marLeft w:val="0"/>
      <w:marRight w:val="0"/>
      <w:marTop w:val="0"/>
      <w:marBottom w:val="0"/>
      <w:divBdr>
        <w:top w:val="none" w:sz="0" w:space="0" w:color="auto"/>
        <w:left w:val="none" w:sz="0" w:space="0" w:color="auto"/>
        <w:bottom w:val="none" w:sz="0" w:space="0" w:color="auto"/>
        <w:right w:val="none" w:sz="0" w:space="0" w:color="auto"/>
      </w:divBdr>
    </w:div>
    <w:div w:id="1997225384">
      <w:bodyDiv w:val="1"/>
      <w:marLeft w:val="0"/>
      <w:marRight w:val="0"/>
      <w:marTop w:val="0"/>
      <w:marBottom w:val="0"/>
      <w:divBdr>
        <w:top w:val="none" w:sz="0" w:space="0" w:color="auto"/>
        <w:left w:val="none" w:sz="0" w:space="0" w:color="auto"/>
        <w:bottom w:val="none" w:sz="0" w:space="0" w:color="auto"/>
        <w:right w:val="none" w:sz="0" w:space="0" w:color="auto"/>
      </w:divBdr>
    </w:div>
    <w:div w:id="1997688834">
      <w:bodyDiv w:val="1"/>
      <w:marLeft w:val="0"/>
      <w:marRight w:val="0"/>
      <w:marTop w:val="0"/>
      <w:marBottom w:val="0"/>
      <w:divBdr>
        <w:top w:val="none" w:sz="0" w:space="0" w:color="auto"/>
        <w:left w:val="none" w:sz="0" w:space="0" w:color="auto"/>
        <w:bottom w:val="none" w:sz="0" w:space="0" w:color="auto"/>
        <w:right w:val="none" w:sz="0" w:space="0" w:color="auto"/>
      </w:divBdr>
    </w:div>
    <w:div w:id="2002342885">
      <w:bodyDiv w:val="1"/>
      <w:marLeft w:val="0"/>
      <w:marRight w:val="0"/>
      <w:marTop w:val="0"/>
      <w:marBottom w:val="0"/>
      <w:divBdr>
        <w:top w:val="none" w:sz="0" w:space="0" w:color="auto"/>
        <w:left w:val="none" w:sz="0" w:space="0" w:color="auto"/>
        <w:bottom w:val="none" w:sz="0" w:space="0" w:color="auto"/>
        <w:right w:val="none" w:sz="0" w:space="0" w:color="auto"/>
      </w:divBdr>
    </w:div>
    <w:div w:id="2007053677">
      <w:bodyDiv w:val="1"/>
      <w:marLeft w:val="0"/>
      <w:marRight w:val="0"/>
      <w:marTop w:val="0"/>
      <w:marBottom w:val="0"/>
      <w:divBdr>
        <w:top w:val="none" w:sz="0" w:space="0" w:color="auto"/>
        <w:left w:val="none" w:sz="0" w:space="0" w:color="auto"/>
        <w:bottom w:val="none" w:sz="0" w:space="0" w:color="auto"/>
        <w:right w:val="none" w:sz="0" w:space="0" w:color="auto"/>
      </w:divBdr>
    </w:div>
    <w:div w:id="2013949468">
      <w:bodyDiv w:val="1"/>
      <w:marLeft w:val="0"/>
      <w:marRight w:val="0"/>
      <w:marTop w:val="0"/>
      <w:marBottom w:val="0"/>
      <w:divBdr>
        <w:top w:val="none" w:sz="0" w:space="0" w:color="auto"/>
        <w:left w:val="none" w:sz="0" w:space="0" w:color="auto"/>
        <w:bottom w:val="none" w:sz="0" w:space="0" w:color="auto"/>
        <w:right w:val="none" w:sz="0" w:space="0" w:color="auto"/>
      </w:divBdr>
    </w:div>
    <w:div w:id="2017950712">
      <w:bodyDiv w:val="1"/>
      <w:marLeft w:val="0"/>
      <w:marRight w:val="0"/>
      <w:marTop w:val="0"/>
      <w:marBottom w:val="0"/>
      <w:divBdr>
        <w:top w:val="none" w:sz="0" w:space="0" w:color="auto"/>
        <w:left w:val="none" w:sz="0" w:space="0" w:color="auto"/>
        <w:bottom w:val="none" w:sz="0" w:space="0" w:color="auto"/>
        <w:right w:val="none" w:sz="0" w:space="0" w:color="auto"/>
      </w:divBdr>
    </w:div>
    <w:div w:id="2020621075">
      <w:bodyDiv w:val="1"/>
      <w:marLeft w:val="0"/>
      <w:marRight w:val="0"/>
      <w:marTop w:val="0"/>
      <w:marBottom w:val="0"/>
      <w:divBdr>
        <w:top w:val="none" w:sz="0" w:space="0" w:color="auto"/>
        <w:left w:val="none" w:sz="0" w:space="0" w:color="auto"/>
        <w:bottom w:val="none" w:sz="0" w:space="0" w:color="auto"/>
        <w:right w:val="none" w:sz="0" w:space="0" w:color="auto"/>
      </w:divBdr>
    </w:div>
    <w:div w:id="2022928330">
      <w:bodyDiv w:val="1"/>
      <w:marLeft w:val="0"/>
      <w:marRight w:val="0"/>
      <w:marTop w:val="0"/>
      <w:marBottom w:val="0"/>
      <w:divBdr>
        <w:top w:val="none" w:sz="0" w:space="0" w:color="auto"/>
        <w:left w:val="none" w:sz="0" w:space="0" w:color="auto"/>
        <w:bottom w:val="none" w:sz="0" w:space="0" w:color="auto"/>
        <w:right w:val="none" w:sz="0" w:space="0" w:color="auto"/>
      </w:divBdr>
      <w:divsChild>
        <w:div w:id="363214043">
          <w:marLeft w:val="1924"/>
          <w:marRight w:val="0"/>
          <w:marTop w:val="0"/>
          <w:marBottom w:val="0"/>
          <w:divBdr>
            <w:top w:val="none" w:sz="0" w:space="0" w:color="auto"/>
            <w:left w:val="none" w:sz="0" w:space="0" w:color="auto"/>
            <w:bottom w:val="none" w:sz="0" w:space="0" w:color="auto"/>
            <w:right w:val="none" w:sz="0" w:space="0" w:color="auto"/>
          </w:divBdr>
        </w:div>
        <w:div w:id="1110273496">
          <w:marLeft w:val="0"/>
          <w:marRight w:val="0"/>
          <w:marTop w:val="0"/>
          <w:marBottom w:val="0"/>
          <w:divBdr>
            <w:top w:val="none" w:sz="0" w:space="0" w:color="auto"/>
            <w:left w:val="none" w:sz="0" w:space="0" w:color="auto"/>
            <w:bottom w:val="none" w:sz="0" w:space="0" w:color="auto"/>
            <w:right w:val="none" w:sz="0" w:space="0" w:color="auto"/>
          </w:divBdr>
          <w:divsChild>
            <w:div w:id="1886678189">
              <w:marLeft w:val="0"/>
              <w:marRight w:val="0"/>
              <w:marTop w:val="0"/>
              <w:marBottom w:val="0"/>
              <w:divBdr>
                <w:top w:val="none" w:sz="0" w:space="0" w:color="auto"/>
                <w:left w:val="none" w:sz="0" w:space="0" w:color="auto"/>
                <w:bottom w:val="none" w:sz="0" w:space="0" w:color="auto"/>
                <w:right w:val="none" w:sz="0" w:space="0" w:color="auto"/>
              </w:divBdr>
            </w:div>
          </w:divsChild>
        </w:div>
        <w:div w:id="1674917945">
          <w:marLeft w:val="1924"/>
          <w:marRight w:val="0"/>
          <w:marTop w:val="0"/>
          <w:marBottom w:val="0"/>
          <w:divBdr>
            <w:top w:val="none" w:sz="0" w:space="0" w:color="auto"/>
            <w:left w:val="none" w:sz="0" w:space="0" w:color="auto"/>
            <w:bottom w:val="none" w:sz="0" w:space="0" w:color="auto"/>
            <w:right w:val="none" w:sz="0" w:space="0" w:color="auto"/>
          </w:divBdr>
          <w:divsChild>
            <w:div w:id="1732147074">
              <w:marLeft w:val="0"/>
              <w:marRight w:val="0"/>
              <w:marTop w:val="0"/>
              <w:marBottom w:val="300"/>
              <w:divBdr>
                <w:top w:val="none" w:sz="0" w:space="0" w:color="auto"/>
                <w:left w:val="none" w:sz="0" w:space="0" w:color="auto"/>
                <w:bottom w:val="none" w:sz="0" w:space="0" w:color="auto"/>
                <w:right w:val="none" w:sz="0" w:space="0" w:color="auto"/>
              </w:divBdr>
              <w:divsChild>
                <w:div w:id="68860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044419">
      <w:bodyDiv w:val="1"/>
      <w:marLeft w:val="0"/>
      <w:marRight w:val="0"/>
      <w:marTop w:val="0"/>
      <w:marBottom w:val="0"/>
      <w:divBdr>
        <w:top w:val="none" w:sz="0" w:space="0" w:color="auto"/>
        <w:left w:val="none" w:sz="0" w:space="0" w:color="auto"/>
        <w:bottom w:val="none" w:sz="0" w:space="0" w:color="auto"/>
        <w:right w:val="none" w:sz="0" w:space="0" w:color="auto"/>
      </w:divBdr>
    </w:div>
    <w:div w:id="2033264418">
      <w:bodyDiv w:val="1"/>
      <w:marLeft w:val="0"/>
      <w:marRight w:val="0"/>
      <w:marTop w:val="0"/>
      <w:marBottom w:val="0"/>
      <w:divBdr>
        <w:top w:val="none" w:sz="0" w:space="0" w:color="auto"/>
        <w:left w:val="none" w:sz="0" w:space="0" w:color="auto"/>
        <w:bottom w:val="none" w:sz="0" w:space="0" w:color="auto"/>
        <w:right w:val="none" w:sz="0" w:space="0" w:color="auto"/>
      </w:divBdr>
    </w:div>
    <w:div w:id="2050496837">
      <w:bodyDiv w:val="1"/>
      <w:marLeft w:val="0"/>
      <w:marRight w:val="0"/>
      <w:marTop w:val="0"/>
      <w:marBottom w:val="0"/>
      <w:divBdr>
        <w:top w:val="none" w:sz="0" w:space="0" w:color="auto"/>
        <w:left w:val="none" w:sz="0" w:space="0" w:color="auto"/>
        <w:bottom w:val="none" w:sz="0" w:space="0" w:color="auto"/>
        <w:right w:val="none" w:sz="0" w:space="0" w:color="auto"/>
      </w:divBdr>
    </w:div>
    <w:div w:id="2053187058">
      <w:bodyDiv w:val="1"/>
      <w:marLeft w:val="0"/>
      <w:marRight w:val="0"/>
      <w:marTop w:val="0"/>
      <w:marBottom w:val="0"/>
      <w:divBdr>
        <w:top w:val="none" w:sz="0" w:space="0" w:color="auto"/>
        <w:left w:val="none" w:sz="0" w:space="0" w:color="auto"/>
        <w:bottom w:val="none" w:sz="0" w:space="0" w:color="auto"/>
        <w:right w:val="none" w:sz="0" w:space="0" w:color="auto"/>
      </w:divBdr>
    </w:div>
    <w:div w:id="2057853871">
      <w:bodyDiv w:val="1"/>
      <w:marLeft w:val="0"/>
      <w:marRight w:val="0"/>
      <w:marTop w:val="0"/>
      <w:marBottom w:val="0"/>
      <w:divBdr>
        <w:top w:val="none" w:sz="0" w:space="0" w:color="auto"/>
        <w:left w:val="none" w:sz="0" w:space="0" w:color="auto"/>
        <w:bottom w:val="none" w:sz="0" w:space="0" w:color="auto"/>
        <w:right w:val="none" w:sz="0" w:space="0" w:color="auto"/>
      </w:divBdr>
    </w:div>
    <w:div w:id="2061392133">
      <w:bodyDiv w:val="1"/>
      <w:marLeft w:val="0"/>
      <w:marRight w:val="0"/>
      <w:marTop w:val="0"/>
      <w:marBottom w:val="0"/>
      <w:divBdr>
        <w:top w:val="none" w:sz="0" w:space="0" w:color="auto"/>
        <w:left w:val="none" w:sz="0" w:space="0" w:color="auto"/>
        <w:bottom w:val="none" w:sz="0" w:space="0" w:color="auto"/>
        <w:right w:val="none" w:sz="0" w:space="0" w:color="auto"/>
      </w:divBdr>
    </w:div>
    <w:div w:id="2065829750">
      <w:bodyDiv w:val="1"/>
      <w:marLeft w:val="0"/>
      <w:marRight w:val="0"/>
      <w:marTop w:val="0"/>
      <w:marBottom w:val="0"/>
      <w:divBdr>
        <w:top w:val="none" w:sz="0" w:space="0" w:color="auto"/>
        <w:left w:val="none" w:sz="0" w:space="0" w:color="auto"/>
        <w:bottom w:val="none" w:sz="0" w:space="0" w:color="auto"/>
        <w:right w:val="none" w:sz="0" w:space="0" w:color="auto"/>
      </w:divBdr>
    </w:div>
    <w:div w:id="2078898531">
      <w:bodyDiv w:val="1"/>
      <w:marLeft w:val="0"/>
      <w:marRight w:val="0"/>
      <w:marTop w:val="0"/>
      <w:marBottom w:val="0"/>
      <w:divBdr>
        <w:top w:val="none" w:sz="0" w:space="0" w:color="auto"/>
        <w:left w:val="none" w:sz="0" w:space="0" w:color="auto"/>
        <w:bottom w:val="none" w:sz="0" w:space="0" w:color="auto"/>
        <w:right w:val="none" w:sz="0" w:space="0" w:color="auto"/>
      </w:divBdr>
      <w:divsChild>
        <w:div w:id="510727690">
          <w:marLeft w:val="0"/>
          <w:marRight w:val="0"/>
          <w:marTop w:val="0"/>
          <w:marBottom w:val="0"/>
          <w:divBdr>
            <w:top w:val="none" w:sz="0" w:space="0" w:color="auto"/>
            <w:left w:val="none" w:sz="0" w:space="0" w:color="auto"/>
            <w:bottom w:val="none" w:sz="0" w:space="0" w:color="auto"/>
            <w:right w:val="none" w:sz="0" w:space="0" w:color="auto"/>
          </w:divBdr>
          <w:divsChild>
            <w:div w:id="709836942">
              <w:marLeft w:val="0"/>
              <w:marRight w:val="0"/>
              <w:marTop w:val="0"/>
              <w:marBottom w:val="0"/>
              <w:divBdr>
                <w:top w:val="none" w:sz="0" w:space="0" w:color="auto"/>
                <w:left w:val="none" w:sz="0" w:space="0" w:color="auto"/>
                <w:bottom w:val="none" w:sz="0" w:space="0" w:color="auto"/>
                <w:right w:val="none" w:sz="0" w:space="0" w:color="auto"/>
              </w:divBdr>
              <w:divsChild>
                <w:div w:id="1313832066">
                  <w:marLeft w:val="0"/>
                  <w:marRight w:val="300"/>
                  <w:marTop w:val="0"/>
                  <w:marBottom w:val="0"/>
                  <w:divBdr>
                    <w:top w:val="none" w:sz="0" w:space="0" w:color="auto"/>
                    <w:left w:val="none" w:sz="0" w:space="0" w:color="auto"/>
                    <w:bottom w:val="none" w:sz="0" w:space="0" w:color="auto"/>
                    <w:right w:val="none" w:sz="0" w:space="0" w:color="auto"/>
                  </w:divBdr>
                  <w:divsChild>
                    <w:div w:id="172885364">
                      <w:marLeft w:val="0"/>
                      <w:marRight w:val="0"/>
                      <w:marTop w:val="0"/>
                      <w:marBottom w:val="0"/>
                      <w:divBdr>
                        <w:top w:val="none" w:sz="0" w:space="0" w:color="auto"/>
                        <w:left w:val="none" w:sz="0" w:space="0" w:color="auto"/>
                        <w:bottom w:val="none" w:sz="0" w:space="0" w:color="auto"/>
                        <w:right w:val="none" w:sz="0" w:space="0" w:color="auto"/>
                      </w:divBdr>
                      <w:divsChild>
                        <w:div w:id="1903321712">
                          <w:marLeft w:val="0"/>
                          <w:marRight w:val="0"/>
                          <w:marTop w:val="0"/>
                          <w:marBottom w:val="0"/>
                          <w:divBdr>
                            <w:top w:val="none" w:sz="0" w:space="0" w:color="auto"/>
                            <w:left w:val="none" w:sz="0" w:space="0" w:color="auto"/>
                            <w:bottom w:val="none" w:sz="0" w:space="0" w:color="auto"/>
                            <w:right w:val="none" w:sz="0" w:space="0" w:color="auto"/>
                          </w:divBdr>
                        </w:div>
                      </w:divsChild>
                    </w:div>
                    <w:div w:id="194098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678213">
          <w:marLeft w:val="0"/>
          <w:marRight w:val="0"/>
          <w:marTop w:val="0"/>
          <w:marBottom w:val="0"/>
          <w:divBdr>
            <w:top w:val="none" w:sz="0" w:space="0" w:color="auto"/>
            <w:left w:val="none" w:sz="0" w:space="0" w:color="auto"/>
            <w:bottom w:val="none" w:sz="0" w:space="0" w:color="auto"/>
            <w:right w:val="none" w:sz="0" w:space="0" w:color="auto"/>
          </w:divBdr>
          <w:divsChild>
            <w:div w:id="1848203218">
              <w:marLeft w:val="0"/>
              <w:marRight w:val="0"/>
              <w:marTop w:val="0"/>
              <w:marBottom w:val="0"/>
              <w:divBdr>
                <w:top w:val="none" w:sz="0" w:space="0" w:color="auto"/>
                <w:left w:val="none" w:sz="0" w:space="0" w:color="auto"/>
                <w:bottom w:val="none" w:sz="0" w:space="0" w:color="auto"/>
                <w:right w:val="none" w:sz="0" w:space="0" w:color="auto"/>
              </w:divBdr>
              <w:divsChild>
                <w:div w:id="100250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316">
          <w:marLeft w:val="0"/>
          <w:marRight w:val="0"/>
          <w:marTop w:val="0"/>
          <w:marBottom w:val="0"/>
          <w:divBdr>
            <w:top w:val="none" w:sz="0" w:space="0" w:color="auto"/>
            <w:left w:val="none" w:sz="0" w:space="0" w:color="auto"/>
            <w:bottom w:val="none" w:sz="0" w:space="0" w:color="auto"/>
            <w:right w:val="none" w:sz="0" w:space="0" w:color="auto"/>
          </w:divBdr>
          <w:divsChild>
            <w:div w:id="1893494103">
              <w:marLeft w:val="0"/>
              <w:marRight w:val="0"/>
              <w:marTop w:val="0"/>
              <w:marBottom w:val="0"/>
              <w:divBdr>
                <w:top w:val="none" w:sz="0" w:space="0" w:color="auto"/>
                <w:left w:val="none" w:sz="0" w:space="0" w:color="auto"/>
                <w:bottom w:val="none" w:sz="0" w:space="0" w:color="auto"/>
                <w:right w:val="none" w:sz="0" w:space="0" w:color="auto"/>
              </w:divBdr>
              <w:divsChild>
                <w:div w:id="126834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406265">
      <w:bodyDiv w:val="1"/>
      <w:marLeft w:val="0"/>
      <w:marRight w:val="0"/>
      <w:marTop w:val="0"/>
      <w:marBottom w:val="0"/>
      <w:divBdr>
        <w:top w:val="none" w:sz="0" w:space="0" w:color="auto"/>
        <w:left w:val="none" w:sz="0" w:space="0" w:color="auto"/>
        <w:bottom w:val="none" w:sz="0" w:space="0" w:color="auto"/>
        <w:right w:val="none" w:sz="0" w:space="0" w:color="auto"/>
      </w:divBdr>
    </w:div>
    <w:div w:id="2102724784">
      <w:bodyDiv w:val="1"/>
      <w:marLeft w:val="0"/>
      <w:marRight w:val="0"/>
      <w:marTop w:val="0"/>
      <w:marBottom w:val="0"/>
      <w:divBdr>
        <w:top w:val="none" w:sz="0" w:space="0" w:color="auto"/>
        <w:left w:val="none" w:sz="0" w:space="0" w:color="auto"/>
        <w:bottom w:val="none" w:sz="0" w:space="0" w:color="auto"/>
        <w:right w:val="none" w:sz="0" w:space="0" w:color="auto"/>
      </w:divBdr>
    </w:div>
    <w:div w:id="2113478533">
      <w:bodyDiv w:val="1"/>
      <w:marLeft w:val="0"/>
      <w:marRight w:val="0"/>
      <w:marTop w:val="0"/>
      <w:marBottom w:val="0"/>
      <w:divBdr>
        <w:top w:val="none" w:sz="0" w:space="0" w:color="auto"/>
        <w:left w:val="none" w:sz="0" w:space="0" w:color="auto"/>
        <w:bottom w:val="none" w:sz="0" w:space="0" w:color="auto"/>
        <w:right w:val="none" w:sz="0" w:space="0" w:color="auto"/>
      </w:divBdr>
    </w:div>
    <w:div w:id="2120177152">
      <w:bodyDiv w:val="1"/>
      <w:marLeft w:val="0"/>
      <w:marRight w:val="0"/>
      <w:marTop w:val="0"/>
      <w:marBottom w:val="0"/>
      <w:divBdr>
        <w:top w:val="none" w:sz="0" w:space="0" w:color="auto"/>
        <w:left w:val="none" w:sz="0" w:space="0" w:color="auto"/>
        <w:bottom w:val="none" w:sz="0" w:space="0" w:color="auto"/>
        <w:right w:val="none" w:sz="0" w:space="0" w:color="auto"/>
      </w:divBdr>
    </w:div>
    <w:div w:id="2132820323">
      <w:bodyDiv w:val="1"/>
      <w:marLeft w:val="0"/>
      <w:marRight w:val="0"/>
      <w:marTop w:val="0"/>
      <w:marBottom w:val="0"/>
      <w:divBdr>
        <w:top w:val="none" w:sz="0" w:space="0" w:color="auto"/>
        <w:left w:val="none" w:sz="0" w:space="0" w:color="auto"/>
        <w:bottom w:val="none" w:sz="0" w:space="0" w:color="auto"/>
        <w:right w:val="none" w:sz="0" w:space="0" w:color="auto"/>
      </w:divBdr>
    </w:div>
    <w:div w:id="2135440551">
      <w:bodyDiv w:val="1"/>
      <w:marLeft w:val="0"/>
      <w:marRight w:val="0"/>
      <w:marTop w:val="0"/>
      <w:marBottom w:val="0"/>
      <w:divBdr>
        <w:top w:val="none" w:sz="0" w:space="0" w:color="auto"/>
        <w:left w:val="none" w:sz="0" w:space="0" w:color="auto"/>
        <w:bottom w:val="none" w:sz="0" w:space="0" w:color="auto"/>
        <w:right w:val="none" w:sz="0" w:space="0" w:color="auto"/>
      </w:divBdr>
    </w:div>
    <w:div w:id="2140299318">
      <w:bodyDiv w:val="1"/>
      <w:marLeft w:val="0"/>
      <w:marRight w:val="0"/>
      <w:marTop w:val="0"/>
      <w:marBottom w:val="0"/>
      <w:divBdr>
        <w:top w:val="none" w:sz="0" w:space="0" w:color="auto"/>
        <w:left w:val="none" w:sz="0" w:space="0" w:color="auto"/>
        <w:bottom w:val="none" w:sz="0" w:space="0" w:color="auto"/>
        <w:right w:val="none" w:sz="0" w:space="0" w:color="auto"/>
      </w:divBdr>
    </w:div>
    <w:div w:id="2140754492">
      <w:bodyDiv w:val="1"/>
      <w:marLeft w:val="0"/>
      <w:marRight w:val="0"/>
      <w:marTop w:val="0"/>
      <w:marBottom w:val="0"/>
      <w:divBdr>
        <w:top w:val="none" w:sz="0" w:space="0" w:color="auto"/>
        <w:left w:val="none" w:sz="0" w:space="0" w:color="auto"/>
        <w:bottom w:val="none" w:sz="0" w:space="0" w:color="auto"/>
        <w:right w:val="none" w:sz="0" w:space="0" w:color="auto"/>
      </w:divBdr>
    </w:div>
    <w:div w:id="2143383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oter" Target="footer13.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4.xml"/><Relationship Id="rId38"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3.xml"/><Relationship Id="rId37" Type="http://schemas.openxmlformats.org/officeDocument/2006/relationships/header" Target="header16.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footer" Target="footer12.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5.xml"/></Relationships>
</file>

<file path=word/_rels/footnotes.xml.rels><?xml version="1.0" encoding="UTF-8" standalone="yes"?>
<Relationships xmlns="http://schemas.openxmlformats.org/package/2006/relationships"><Relationship Id="rId117" Type="http://schemas.openxmlformats.org/officeDocument/2006/relationships/hyperlink" Target="https://lynchinginamerica.eji.org/report/" TargetMode="External"/><Relationship Id="rId299" Type="http://schemas.openxmlformats.org/officeDocument/2006/relationships/hyperlink" Target="https://www.policemisconduct.net/the-truth-about-police-misconduct-litigation/" TargetMode="External"/><Relationship Id="rId671" Type="http://schemas.openxmlformats.org/officeDocument/2006/relationships/hyperlink" Target="http://www.oas.org/en/iachr/decisions/2011/uspu12626en.doc" TargetMode="External"/><Relationship Id="rId21" Type="http://schemas.openxmlformats.org/officeDocument/2006/relationships/hyperlink" Target="http://www.cidh.org/annualrep/86.87eng/EUU9647.htm" TargetMode="External"/><Relationship Id="rId63" Type="http://schemas.openxmlformats.org/officeDocument/2006/relationships/hyperlink" Target="http://www.nationalpartnership.org/research-library/workplace-fairness/fair-pay/african-american-women-wage-gap.pdf" TargetMode="External"/><Relationship Id="rId159" Type="http://schemas.openxmlformats.org/officeDocument/2006/relationships/hyperlink" Target="http://www.oas.org/en/iachr/reports/pdfs/violencechildren2016.pdf" TargetMode="External"/><Relationship Id="rId324" Type="http://schemas.openxmlformats.org/officeDocument/2006/relationships/hyperlink" Target="https://www.washingtonpost.com/news/wonk/wp/2014/08/14/the-pentagon-gave-nearly-half-a-billion-dollars-of-military-gear-to-local-law-enforcement-last-year/" TargetMode="External"/><Relationship Id="rId366" Type="http://schemas.openxmlformats.org/officeDocument/2006/relationships/hyperlink" Target="https://www.themarshallproject.org/2014/12/26/plea-bargaining-and-the-innocent" TargetMode="External"/><Relationship Id="rId531" Type="http://schemas.openxmlformats.org/officeDocument/2006/relationships/hyperlink" Target="https://www.cnn.com/2013/06/20/justice/north-carolina-death-penalty/index.html" TargetMode="External"/><Relationship Id="rId573" Type="http://schemas.openxmlformats.org/officeDocument/2006/relationships/hyperlink" Target="https://www.state.gov/documents/organization/235641.pdf" TargetMode="External"/><Relationship Id="rId629" Type="http://schemas.openxmlformats.org/officeDocument/2006/relationships/hyperlink" Target="http://www.oas.org/en/iachr/media_center/PReleases/2017/124.asp" TargetMode="External"/><Relationship Id="rId170" Type="http://schemas.openxmlformats.org/officeDocument/2006/relationships/hyperlink" Target="http://archives.civilrights.org/publications/reports/racial-profiling2011/racial_profiling2011.pdf" TargetMode="External"/><Relationship Id="rId226" Type="http://schemas.openxmlformats.org/officeDocument/2006/relationships/hyperlink" Target="http://www.fatalencounters.org/" TargetMode="External"/><Relationship Id="rId433" Type="http://schemas.openxmlformats.org/officeDocument/2006/relationships/hyperlink" Target="https://www.americanbar.org/content/dam/aba/images/diversity/SYG_Report_Book.pdf" TargetMode="External"/><Relationship Id="rId268" Type="http://schemas.openxmlformats.org/officeDocument/2006/relationships/hyperlink" Target="https://www.nytimes.com/interactive/2016/07/12/us/looking-for-accountability-in-police-involved-deaths-of-blacks.html" TargetMode="External"/><Relationship Id="rId475" Type="http://schemas.openxmlformats.org/officeDocument/2006/relationships/hyperlink" Target="https://le.utah.gov/~2016/bills/static/HB0355.html" TargetMode="External"/><Relationship Id="rId640" Type="http://schemas.openxmlformats.org/officeDocument/2006/relationships/hyperlink" Target="http://www.oas.org/en/iachr/docs/pdf/citizensec.pdf" TargetMode="External"/><Relationship Id="rId682" Type="http://schemas.openxmlformats.org/officeDocument/2006/relationships/hyperlink" Target="http://www.ohchr.org/EN/ProfessionalInterest/Pages/RemedyAndReparation.aspx" TargetMode="External"/><Relationship Id="rId32" Type="http://schemas.openxmlformats.org/officeDocument/2006/relationships/hyperlink" Target="http://www.oas.org/en/iachr/media_center/preleases/2016/117.asp" TargetMode="External"/><Relationship Id="rId74" Type="http://schemas.openxmlformats.org/officeDocument/2006/relationships/hyperlink" Target="http://www.oas.org/en/iachr/reports/pdfs/extractiveindustries2016.pdf" TargetMode="External"/><Relationship Id="rId128" Type="http://schemas.openxmlformats.org/officeDocument/2006/relationships/hyperlink" Target="https://documents-dds-ny.un.org/doc/UNDOC/GEN/G16/183/30/PDF/G1618330.pdf?OpenElement" TargetMode="External"/><Relationship Id="rId335" Type="http://schemas.openxmlformats.org/officeDocument/2006/relationships/hyperlink" Target="http://foreignpolicy.com/2017/10/06/the-fbi-has-identified-a-new-domestic-terrorist-threat-and-its-black-identity-extremists/" TargetMode="External"/><Relationship Id="rId377" Type="http://schemas.openxmlformats.org/officeDocument/2006/relationships/hyperlink" Target="https://deathpenaltyinfo.org/race-death-row-inmates-executed-1976" TargetMode="External"/><Relationship Id="rId500" Type="http://schemas.openxmlformats.org/officeDocument/2006/relationships/hyperlink" Target="https://www.whitehouse.gov/the-press-office/2017/08/28/presidential-executive-order-restoring-state-tribal-and-local-law" TargetMode="External"/><Relationship Id="rId542" Type="http://schemas.openxmlformats.org/officeDocument/2006/relationships/hyperlink" Target="http://www.cidh.oas.org/annualrep/2008eng/Colombia12.009eng.htm" TargetMode="External"/><Relationship Id="rId584" Type="http://schemas.openxmlformats.org/officeDocument/2006/relationships/hyperlink" Target="http://www.oas.org/en/iachr/docs/pdf/citizensec.pdf" TargetMode="External"/><Relationship Id="rId5" Type="http://schemas.openxmlformats.org/officeDocument/2006/relationships/hyperlink" Target="https://www.youtube.com/watch?v=c_ZLnaWeXCk" TargetMode="External"/><Relationship Id="rId181" Type="http://schemas.openxmlformats.org/officeDocument/2006/relationships/hyperlink" Target="http://www.nyclu.org/files/publications/NYCLU_2011_Stop-and-Frisk_Report.pdf" TargetMode="External"/><Relationship Id="rId237" Type="http://schemas.openxmlformats.org/officeDocument/2006/relationships/hyperlink" Target="https://www.youtube.com/watch?v=c_ZLnaWeXCk" TargetMode="External"/><Relationship Id="rId402" Type="http://schemas.openxmlformats.org/officeDocument/2006/relationships/hyperlink" Target="https://www.npr.org/sections/thetwo-way/2016/04/04/472878724/denying-housing-over-criminal-record-may-be-discrimination-feds-say" TargetMode="External"/><Relationship Id="rId279" Type="http://schemas.openxmlformats.org/officeDocument/2006/relationships/hyperlink" Target="https://www.theguardian.com/us-news/video/2015/jan/08/new-video-tamir-rice-shooting-sister-video" TargetMode="External"/><Relationship Id="rId444" Type="http://schemas.openxmlformats.org/officeDocument/2006/relationships/hyperlink" Target="http://www.oas.org/en/iachr/media_center/preleases/2015/118.asp" TargetMode="External"/><Relationship Id="rId486" Type="http://schemas.openxmlformats.org/officeDocument/2006/relationships/hyperlink" Target="https://www.vox.com/policy-and-politics/2017/5/4/15537952/jeff-sessions-police-justice-department-trump" TargetMode="External"/><Relationship Id="rId651" Type="http://schemas.openxmlformats.org/officeDocument/2006/relationships/hyperlink" Target="https://fivethirtyeight.com/features/allegations-of-police-misconduct-rarely-result-in-charges/" TargetMode="External"/><Relationship Id="rId693" Type="http://schemas.openxmlformats.org/officeDocument/2006/relationships/hyperlink" Target="http://www.ohchr.org/EN/ProfessionalInterest/Pages/RemedyAndReparation.aspx" TargetMode="External"/><Relationship Id="rId707" Type="http://schemas.openxmlformats.org/officeDocument/2006/relationships/hyperlink" Target="http://www.oas.org/en/iachr/afro-descendants/docs/pdf/AFROS_2011_ENG.pdf" TargetMode="External"/><Relationship Id="rId43" Type="http://schemas.openxmlformats.org/officeDocument/2006/relationships/hyperlink" Target="file:///C:\Users\cidhbec10\Downloads\,%20Report%20N&#186;%2081\10,%20Case%2012.562,%20Wayne%20Smith,%20Hugo%20Armendariz,%20et%20al" TargetMode="External"/><Relationship Id="rId139" Type="http://schemas.openxmlformats.org/officeDocument/2006/relationships/hyperlink" Target="https://lynchinginamerica.eji.org/report/" TargetMode="External"/><Relationship Id="rId290" Type="http://schemas.openxmlformats.org/officeDocument/2006/relationships/hyperlink" Target="https://www.aclu-nj.org/files/3413/6059/3876/ACLU_NJ_Internal_Affairs.pdf" TargetMode="External"/><Relationship Id="rId304" Type="http://schemas.openxmlformats.org/officeDocument/2006/relationships/hyperlink" Target="http://www.slate.com/articles/news_and_politics/jurisprudence/2014/11/will_justice_department_charge_darren_wilson_supreme%20_court_gutted_civil.html" TargetMode="External"/><Relationship Id="rId346" Type="http://schemas.openxmlformats.org/officeDocument/2006/relationships/hyperlink" Target="http://www.oas.org/en/iachr/reports/pdfs/PretrialDetention.pdf" TargetMode="External"/><Relationship Id="rId388" Type="http://schemas.openxmlformats.org/officeDocument/2006/relationships/hyperlink" Target="https://www.nytimes.com/2017/11/17/opinion/jay-z-meek-mill-probation.html?_r=0" TargetMode="External"/><Relationship Id="rId511" Type="http://schemas.openxmlformats.org/officeDocument/2006/relationships/hyperlink" Target="http://www.oas.org/en/iachr/decisions/2011/uspu12626en.doc" TargetMode="External"/><Relationship Id="rId553" Type="http://schemas.openxmlformats.org/officeDocument/2006/relationships/hyperlink" Target="http://www.oas.org/en/iachr/docs/annual/2015/doc-en/informeanual2015-cap4a-fuerza-en.pdf" TargetMode="External"/><Relationship Id="rId609" Type="http://schemas.openxmlformats.org/officeDocument/2006/relationships/hyperlink" Target="http://www.amnesty.nl/sites/default/files/public/amnesty_use_of_force_final_web_0.pdf" TargetMode="External"/><Relationship Id="rId85" Type="http://schemas.openxmlformats.org/officeDocument/2006/relationships/hyperlink" Target="https://www.brookings.edu/blog/brown-center-chalkboard/2016/06/06/7-findings-that-illustrate-racial-disparities-in-education/" TargetMode="External"/><Relationship Id="rId150" Type="http://schemas.openxmlformats.org/officeDocument/2006/relationships/hyperlink" Target="https://www.google.com/url?sa=t&amp;rct=j&amp;q=&amp;esrc=s&amp;source=web&amp;cd=3&amp;cad=rja&amp;uact=8&amp;ved=0ahUKEwjDq6-ms8nXAhVX1WMKHSWvCCYQFggyMAI&amp;url=https%3A%2F%2Fwww.aclu.org%2Fsites%2Fdefault%2Ffiles%2Fassets%2Fjus14-warcomeshome-report-web-rel1.pdf&amp;usg=AOvVaw3fhNaAmqvLJFi7p5LwHkuv" TargetMode="External"/><Relationship Id="rId192" Type="http://schemas.openxmlformats.org/officeDocument/2006/relationships/hyperlink" Target="https://www.justice.gov/sites/default/files/opa/press-releases/attachments/2015/03/04/ferguson_police_department_report_1.pdf" TargetMode="External"/><Relationship Id="rId206" Type="http://schemas.openxmlformats.org/officeDocument/2006/relationships/hyperlink" Target="https://www.aclu.org/report/war-comes-home-excessive-militarization-american-police" TargetMode="External"/><Relationship Id="rId413" Type="http://schemas.openxmlformats.org/officeDocument/2006/relationships/hyperlink" Target="http://www.cnn.com/2017/01/10/us/dylann-roof-trial/index.html" TargetMode="External"/><Relationship Id="rId595" Type="http://schemas.openxmlformats.org/officeDocument/2006/relationships/hyperlink" Target="https://www.aclu.org/sites/default/files/field_document/lethal_in_disguise_inclo_single_page.pdf" TargetMode="External"/><Relationship Id="rId248" Type="http://schemas.openxmlformats.org/officeDocument/2006/relationships/hyperlink" Target="https://storage.googleapis.com/vera-web-assets/downloads/Publications/protect-and-serve-policing-trends-2015-2016/legacy_downloads/041417-PolicingTrendsReport-web.pdf" TargetMode="External"/><Relationship Id="rId455" Type="http://schemas.openxmlformats.org/officeDocument/2006/relationships/hyperlink" Target="http://www.miamiherald.com/news/local/crime/article17882108.html" TargetMode="External"/><Relationship Id="rId497" Type="http://schemas.openxmlformats.org/officeDocument/2006/relationships/hyperlink" Target="http://www.chicagotribune.com/news/local/breaking/ct-chicago-police-independent-monitor-met-20170602-story.html" TargetMode="External"/><Relationship Id="rId620" Type="http://schemas.openxmlformats.org/officeDocument/2006/relationships/hyperlink" Target="http://cidh.org/annualrep/2004eng/Belize.12053eng.htm" TargetMode="External"/><Relationship Id="rId662" Type="http://schemas.openxmlformats.org/officeDocument/2006/relationships/hyperlink" Target="http://www.oas.org/en/iachr/media_center/PReleases/2016/120.asp" TargetMode="External"/><Relationship Id="rId12" Type="http://schemas.openxmlformats.org/officeDocument/2006/relationships/hyperlink" Target="http://www.oas.org/en/iachr/media_center/PReleases/2015/037.asp" TargetMode="External"/><Relationship Id="rId108" Type="http://schemas.openxmlformats.org/officeDocument/2006/relationships/hyperlink" Target="https://www.splcenter.org/sites/default/files/Ku-Klux-Klan-A-History-of-Racism.pdf" TargetMode="External"/><Relationship Id="rId315" Type="http://schemas.openxmlformats.org/officeDocument/2006/relationships/hyperlink" Target="http://www.oas.org/en/iachr/media_center/preleases/2015/118.asp" TargetMode="External"/><Relationship Id="rId357" Type="http://schemas.openxmlformats.org/officeDocument/2006/relationships/hyperlink" Target="http://www.oas.org/en/iachr/media_center/PReleases/2014/104.asp" TargetMode="External"/><Relationship Id="rId522" Type="http://schemas.openxmlformats.org/officeDocument/2006/relationships/hyperlink" Target="http://www.oas.org/en/iachr/decisions/2011/uspu12626en.doc" TargetMode="External"/><Relationship Id="rId54" Type="http://schemas.openxmlformats.org/officeDocument/2006/relationships/hyperlink" Target="http://www.oas.org/en/iachr/afro-descendants/docs/pdf/AFROS_2011_ENG.pdf" TargetMode="External"/><Relationship Id="rId96" Type="http://schemas.openxmlformats.org/officeDocument/2006/relationships/hyperlink" Target="https://www.seattletimes.com/opinion/segregation-worse-in-schools-60-years-after-brown-v-board-of-education/" TargetMode="External"/><Relationship Id="rId161" Type="http://schemas.openxmlformats.org/officeDocument/2006/relationships/hyperlink" Target="http://www.oas.org/en/iachr/afro-descendants/docs/pdf/AFROS_2011_ENG.pdf" TargetMode="External"/><Relationship Id="rId217" Type="http://schemas.openxmlformats.org/officeDocument/2006/relationships/hyperlink" Target="http://www.oas.org/en/iachr/media_center/preleases/2015/040.asp" TargetMode="External"/><Relationship Id="rId399" Type="http://schemas.openxmlformats.org/officeDocument/2006/relationships/hyperlink" Target="https://www.youtube.com/watch?v=j_OIkzDAaxA" TargetMode="External"/><Relationship Id="rId564" Type="http://schemas.openxmlformats.org/officeDocument/2006/relationships/hyperlink" Target="http://www.ohchr.org/EN/ProfessionalInterest/Pages/UseOfForceAndFirearms.aspx" TargetMode="External"/><Relationship Id="rId259" Type="http://schemas.openxmlformats.org/officeDocument/2006/relationships/hyperlink" Target="https://www.youtube.com/watch?v=c_ZLnaWeXCk" TargetMode="External"/><Relationship Id="rId424" Type="http://schemas.openxmlformats.org/officeDocument/2006/relationships/hyperlink" Target="http://www.cnn.com/2017/10/12/us/charlottesville-deandre-harris-arrest/index.html" TargetMode="External"/><Relationship Id="rId466" Type="http://schemas.openxmlformats.org/officeDocument/2006/relationships/hyperlink" Target="http://www.transequality.org/sites/default/files/docs/resources/NCTE%20Federal%20Blueprint%20Chapter%206%20Police%20and%20Ending%20Violence.pdf" TargetMode="External"/><Relationship Id="rId631" Type="http://schemas.openxmlformats.org/officeDocument/2006/relationships/hyperlink" Target="http://www.oas.org/en/iachr/media_center/preleases/2015/118.asp" TargetMode="External"/><Relationship Id="rId673" Type="http://schemas.openxmlformats.org/officeDocument/2006/relationships/hyperlink" Target="http://www.oas.org/en/iachr/decisions/2011/uspu12626en.doc" TargetMode="External"/><Relationship Id="rId23" Type="http://schemas.openxmlformats.org/officeDocument/2006/relationships/hyperlink" Target="http://www.oas.org/en/iachr/decisions/2016/USAD419-08EN.pdf" TargetMode="External"/><Relationship Id="rId119" Type="http://schemas.openxmlformats.org/officeDocument/2006/relationships/hyperlink" Target="http://www.history.com/topics/american-civil-war/black-leaders-during-reconstruction" TargetMode="External"/><Relationship Id="rId270" Type="http://schemas.openxmlformats.org/officeDocument/2006/relationships/hyperlink" Target="http://www.oas.org/en/iachr/media_center/PReleases/2016/120.asp" TargetMode="External"/><Relationship Id="rId326" Type="http://schemas.openxmlformats.org/officeDocument/2006/relationships/hyperlink" Target="https://www.amnestyusa.org/files/onthestreetsofamericaamnestyinternational.pdf" TargetMode="External"/><Relationship Id="rId533" Type="http://schemas.openxmlformats.org/officeDocument/2006/relationships/hyperlink" Target="https://www.oas.org/en/iachr/decisions/2016/USPU12834EN.pdf" TargetMode="External"/><Relationship Id="rId65" Type="http://schemas.openxmlformats.org/officeDocument/2006/relationships/hyperlink" Target="http://tbinternet.ohchr.org/_layouts/treatybodyexternal/Download.aspx?symbolno=CERD%2fC%2fUSA%2fCO%2f7-9&amp;Lang=en" TargetMode="External"/><Relationship Id="rId130" Type="http://schemas.openxmlformats.org/officeDocument/2006/relationships/hyperlink" Target="https://www.splcenter.org/sites/default/files/Ku-Klux-Klan-A-History-of-Racism.pdf" TargetMode="External"/><Relationship Id="rId368" Type="http://schemas.openxmlformats.org/officeDocument/2006/relationships/hyperlink" Target="http://www.sentencingproject.org/doc/publications/rd_sentencing_review.pdf" TargetMode="External"/><Relationship Id="rId575" Type="http://schemas.openxmlformats.org/officeDocument/2006/relationships/hyperlink" Target="https://www.thenation.com/article/why-its-impossible-indictcop/" TargetMode="External"/><Relationship Id="rId172" Type="http://schemas.openxmlformats.org/officeDocument/2006/relationships/hyperlink" Target="https://www.nytimes.com/2018/01/07/opinion/stop-and-frisk-celebrate.html" TargetMode="External"/><Relationship Id="rId228" Type="http://schemas.openxmlformats.org/officeDocument/2006/relationships/hyperlink" Target="https://www.nytimes.com/2017/08/11/opinion/sunday/traffic-stop-police-accident.html" TargetMode="External"/><Relationship Id="rId435" Type="http://schemas.openxmlformats.org/officeDocument/2006/relationships/hyperlink" Target="http://www.usccr.gov/calendar/trnscrpt/CommissionBriefingTranscript_Part1_10-17-2014_Final.pdf" TargetMode="External"/><Relationship Id="rId477" Type="http://schemas.openxmlformats.org/officeDocument/2006/relationships/hyperlink" Target="https://www.cga.ct.gov/2015/TOB/H/2015HB-07103-R00-HB.htm" TargetMode="External"/><Relationship Id="rId600" Type="http://schemas.openxmlformats.org/officeDocument/2006/relationships/hyperlink" Target="http://www.oas.org/en/iachr/docs/annual/2015/doc-en/informeanual2015-cap4a-fuerza-en.pdf" TargetMode="External"/><Relationship Id="rId642" Type="http://schemas.openxmlformats.org/officeDocument/2006/relationships/hyperlink" Target="http://www.oas.org/en/iachr/docs/pdf/citizensec.pdf" TargetMode="External"/><Relationship Id="rId684" Type="http://schemas.openxmlformats.org/officeDocument/2006/relationships/hyperlink" Target="http://www.ohchr.org/EN/ProfessionalInterest/Pages/RemedyAndReparation.aspx" TargetMode="External"/><Relationship Id="rId281" Type="http://schemas.openxmlformats.org/officeDocument/2006/relationships/hyperlink" Target="https://www.nytimes.com/2017/12/30/nyregion/erica-garner-dead.html" TargetMode="External"/><Relationship Id="rId337" Type="http://schemas.openxmlformats.org/officeDocument/2006/relationships/hyperlink" Target="https://www.nytimes.com/2017/11/15/opinion/black-identity-extremism-fbi-trump.html" TargetMode="External"/><Relationship Id="rId502" Type="http://schemas.openxmlformats.org/officeDocument/2006/relationships/hyperlink" Target="https://www.justice.gov/sites/default/files/ag/pages/attachments/2014/12/08/use-of-race-policy.pdf" TargetMode="External"/><Relationship Id="rId34" Type="http://schemas.openxmlformats.org/officeDocument/2006/relationships/hyperlink" Target="http://www.oas.org/en/iachr/media_center/preleases/2016/187.asp" TargetMode="External"/><Relationship Id="rId76" Type="http://schemas.openxmlformats.org/officeDocument/2006/relationships/hyperlink" Target="http://www.oas.org/en/iachr/afro-descendants/docs/pdf/AFROS_2011_ENG.pdf" TargetMode="External"/><Relationship Id="rId141" Type="http://schemas.openxmlformats.org/officeDocument/2006/relationships/hyperlink" Target="http://www.oas.org/en/iachr/reports/pdfs/PretrialDetention.pdf" TargetMode="External"/><Relationship Id="rId379" Type="http://schemas.openxmlformats.org/officeDocument/2006/relationships/hyperlink" Target="http://www.sentencingproject.org/publications/color-of-justice-racial-and-ethnic-disparity-in-state-prisons/" TargetMode="External"/><Relationship Id="rId544" Type="http://schemas.openxmlformats.org/officeDocument/2006/relationships/hyperlink" Target="http://www.oas.org/en/iachr/docs/annual/2015/doc-en/informeanual2015-cap4a-fuerza-en.pdf" TargetMode="External"/><Relationship Id="rId586" Type="http://schemas.openxmlformats.org/officeDocument/2006/relationships/hyperlink" Target="http://www.ohchr.org/EN/ProfessionalInterest/Pages/UseOfForceAndFirearms.aspx" TargetMode="External"/><Relationship Id="rId7" Type="http://schemas.openxmlformats.org/officeDocument/2006/relationships/hyperlink" Target="https://www.youtube.com/watch?v=U5SvLoYX71M" TargetMode="External"/><Relationship Id="rId183" Type="http://schemas.openxmlformats.org/officeDocument/2006/relationships/hyperlink" Target="https://www.nyclu.org/en/stop-and-frisk-data" TargetMode="External"/><Relationship Id="rId239" Type="http://schemas.openxmlformats.org/officeDocument/2006/relationships/hyperlink" Target="http://www.latimes.com/opinion/op-ed/la-oe-stinson-cop-shootings-20161215-story.html" TargetMode="External"/><Relationship Id="rId390" Type="http://schemas.openxmlformats.org/officeDocument/2006/relationships/hyperlink" Target="http://www.oas.org/en/iachr/media_center/PReleases/2015/037.asp" TargetMode="External"/><Relationship Id="rId404" Type="http://schemas.openxmlformats.org/officeDocument/2006/relationships/hyperlink" Target="https://ucr.fbi.gov/hate-crime/2016/topic-pages/incidentsandoffenses.pdf" TargetMode="External"/><Relationship Id="rId446" Type="http://schemas.openxmlformats.org/officeDocument/2006/relationships/hyperlink" Target="http://tbinternet.ohchr.org/_layouts/treatybodyexternal/Download.aspx?symbolno=CERD%2fC%2fUSA%2fCO%2f7-9&amp;Lang=en" TargetMode="External"/><Relationship Id="rId611" Type="http://schemas.openxmlformats.org/officeDocument/2006/relationships/hyperlink" Target="http://www.oas.org/en/iachr/docs/annual/2015/doc-en/InformeAnual2015-cap4A-fuerza-EN.pdf" TargetMode="External"/><Relationship Id="rId653" Type="http://schemas.openxmlformats.org/officeDocument/2006/relationships/hyperlink" Target="https://www.houstonchronicle.com/local/item/Bulletproof-Part-3-Hard-to-charge-24421.php" TargetMode="External"/><Relationship Id="rId250" Type="http://schemas.openxmlformats.org/officeDocument/2006/relationships/hyperlink" Target="http://www.oas.org/en/iachr/media_center/preleases/2014/090.asp" TargetMode="External"/><Relationship Id="rId292" Type="http://schemas.openxmlformats.org/officeDocument/2006/relationships/hyperlink" Target="http://www.newyorker.com/magazine/2015/12/21/badcops-good-cops" TargetMode="External"/><Relationship Id="rId306" Type="http://schemas.openxmlformats.org/officeDocument/2006/relationships/hyperlink" Target="http://rfkhumanrights.org/media/filer_public/7d/84/7d8409c1-588f-4163-b552-1f6428e685db/iachr_thematic_hearing_submission_-_excessive_use_of_force_by_police_against_black_americans.pdf" TargetMode="External"/><Relationship Id="rId488" Type="http://schemas.openxmlformats.org/officeDocument/2006/relationships/hyperlink" Target="https://www.nytimes.com/2017/02/12/us/police-chiefs-trump-law-enforcement-priorities.html?mcubz=1" TargetMode="External"/><Relationship Id="rId695" Type="http://schemas.openxmlformats.org/officeDocument/2006/relationships/hyperlink" Target="http://www.oas.org/en/iachr/reports/pdfs/right-to-truth-en.pdf" TargetMode="External"/><Relationship Id="rId45" Type="http://schemas.openxmlformats.org/officeDocument/2006/relationships/hyperlink" Target="http://cidh.org/annualrep/2002eng/USA.11140.htm" TargetMode="External"/><Relationship Id="rId87" Type="http://schemas.openxmlformats.org/officeDocument/2006/relationships/hyperlink" Target="http://tbinternet.ohchr.org/_layouts/treatybodyexternal/Download.aspx?symbolno=CERD%2fC%2fUSA%2fCO%2f7-9&amp;Lang=en" TargetMode="External"/><Relationship Id="rId110" Type="http://schemas.openxmlformats.org/officeDocument/2006/relationships/hyperlink" Target="https://www.bostonglobe.com/arts/2016/06/22/slave-trade-helped-build-early-new-england-economy/GqMvV4Al8Yjmf8YjP6Ot4N/story.html" TargetMode="External"/><Relationship Id="rId348" Type="http://schemas.openxmlformats.org/officeDocument/2006/relationships/hyperlink" Target="https://eji.org/news/people-of-color-disproportionately-detained-pretrial" TargetMode="External"/><Relationship Id="rId513" Type="http://schemas.openxmlformats.org/officeDocument/2006/relationships/hyperlink" Target="http://cidh.org/annualrep/2004eng/Belize.12053eng.htm" TargetMode="External"/><Relationship Id="rId555" Type="http://schemas.openxmlformats.org/officeDocument/2006/relationships/hyperlink" Target="http://www.oas.org/en/iachr/docs/annual/2015/doc-en/informeanual2015-cap4a-fuerza-en.pdf" TargetMode="External"/><Relationship Id="rId597" Type="http://schemas.openxmlformats.org/officeDocument/2006/relationships/hyperlink" Target="http://www.oas.org/en/iachr/docs/annual/2015/doc-en/informeanual2015-cap4a-fuerza-en.pdf" TargetMode="External"/><Relationship Id="rId152" Type="http://schemas.openxmlformats.org/officeDocument/2006/relationships/hyperlink" Target="https://www.youtube.com/watch?v=c_ZLnaWeXCk" TargetMode="External"/><Relationship Id="rId194" Type="http://schemas.openxmlformats.org/officeDocument/2006/relationships/hyperlink" Target="https://harvardlawreview.org/2015/04/policing-and-profit/" TargetMode="External"/><Relationship Id="rId208" Type="http://schemas.openxmlformats.org/officeDocument/2006/relationships/hyperlink" Target="https://www.reuters.com/article/us-usa-race-obama/obama-sets-new-limits-on-police-use-of-military-equipment-idUSKBN0O30UQ20150518" TargetMode="External"/><Relationship Id="rId415" Type="http://schemas.openxmlformats.org/officeDocument/2006/relationships/hyperlink" Target="https://www.nbcnews.com/storyline/charleston-church-shooting/charlotte-church-shooting-renews-debate-over-removing-confederate-flag-n378651" TargetMode="External"/><Relationship Id="rId457" Type="http://schemas.openxmlformats.org/officeDocument/2006/relationships/hyperlink" Target="https://www.youtube.com/watch?v=U5SvLoYX71M" TargetMode="External"/><Relationship Id="rId622" Type="http://schemas.openxmlformats.org/officeDocument/2006/relationships/hyperlink" Target="https://www.oas.org/en/iachr/decisions/2016/USPU12834EN.pdf" TargetMode="External"/><Relationship Id="rId261" Type="http://schemas.openxmlformats.org/officeDocument/2006/relationships/hyperlink" Target="http://www.oas.org/en/iachr/media_center/preleases/2015/040.asp" TargetMode="External"/><Relationship Id="rId499" Type="http://schemas.openxmlformats.org/officeDocument/2006/relationships/hyperlink" Target="https://www.justice.gov/crt/file/883296/download" TargetMode="External"/><Relationship Id="rId664" Type="http://schemas.openxmlformats.org/officeDocument/2006/relationships/hyperlink" Target="http://www.oas.org/en/iachr/media_center/preleases/2014/090.asp" TargetMode="External"/><Relationship Id="rId14" Type="http://schemas.openxmlformats.org/officeDocument/2006/relationships/hyperlink" Target="http://www.oas.org/en/iachr/media_center/PReleases/2016/120.asp" TargetMode="External"/><Relationship Id="rId56" Type="http://schemas.openxmlformats.org/officeDocument/2006/relationships/hyperlink" Target="http://www.oas.org/en/iachr/afro-descendants/docs/pdf/AFROS_2011_ENG.pdf" TargetMode="External"/><Relationship Id="rId317" Type="http://schemas.openxmlformats.org/officeDocument/2006/relationships/hyperlink" Target="https://s3.amazonaws.com/s3.document%20cloud.org/documents/1310115/5-second-rule-injunction.pdf" TargetMode="External"/><Relationship Id="rId359" Type="http://schemas.openxmlformats.org/officeDocument/2006/relationships/hyperlink" Target="https://www.state.gov/documents/organization/235641.pdf" TargetMode="External"/><Relationship Id="rId524" Type="http://schemas.openxmlformats.org/officeDocument/2006/relationships/hyperlink" Target="https://www.oas.org/en/iachr/decisions/2016/USPU12834EN.pdf" TargetMode="External"/><Relationship Id="rId566" Type="http://schemas.openxmlformats.org/officeDocument/2006/relationships/hyperlink" Target="https://www.youtube.com/watch?v=_NF0K33bkLI" TargetMode="External"/><Relationship Id="rId98" Type="http://schemas.openxmlformats.org/officeDocument/2006/relationships/hyperlink" Target="https://www.propublica.org/article/segregation-now-the-resegregation-of-americas-schools/" TargetMode="External"/><Relationship Id="rId121" Type="http://schemas.openxmlformats.org/officeDocument/2006/relationships/hyperlink" Target="https://www.smithsonianmag.com/smart-news/1873-colfax-massacre-crippled-reconstruction-180958746/" TargetMode="External"/><Relationship Id="rId163" Type="http://schemas.openxmlformats.org/officeDocument/2006/relationships/hyperlink" Target="https://www.aclu.org/report/war-comes-home-excessive-militarization-american-police" TargetMode="External"/><Relationship Id="rId219" Type="http://schemas.openxmlformats.org/officeDocument/2006/relationships/hyperlink" Target="https://documents-dds-ny.un.org/doc/UNDOC/GEN/G16/183/30/PDF/G1618330.pdf?OpenElement" TargetMode="External"/><Relationship Id="rId370" Type="http://schemas.openxmlformats.org/officeDocument/2006/relationships/hyperlink" Target="http://www.justicestudies.com/pubs/livelink3-1.pdf" TargetMode="External"/><Relationship Id="rId426" Type="http://schemas.openxmlformats.org/officeDocument/2006/relationships/hyperlink" Target="http://www.baltimoresun.com/news/maryland/crime/bs-md-charlottesville-arrest-0827-story.html" TargetMode="External"/><Relationship Id="rId633" Type="http://schemas.openxmlformats.org/officeDocument/2006/relationships/hyperlink" Target="http://www.oas.org/en/iachr/decisions/2011/uspu12626en.doc" TargetMode="External"/><Relationship Id="rId230" Type="http://schemas.openxmlformats.org/officeDocument/2006/relationships/hyperlink" Target="https://www.washingtonpost.com/investigations/nationwide-police-shot-and-killed-nearly-1000-people-in-2017/2018/01/04/4eed5f34-e4e9-11e7-ab50-621fe0588340_story.html?utm_term=.3161bdeaacce" TargetMode="External"/><Relationship Id="rId468" Type="http://schemas.openxmlformats.org/officeDocument/2006/relationships/hyperlink" Target="http://www.washingtonpost.com/wp-dyn/content/article/2010/06/30/AR2010063001356.html" TargetMode="External"/><Relationship Id="rId675" Type="http://schemas.openxmlformats.org/officeDocument/2006/relationships/hyperlink" Target="http://www.cidh.oas.org/annualrep/2006eng/CUBA.12476eng.htm" TargetMode="External"/><Relationship Id="rId25" Type="http://schemas.openxmlformats.org/officeDocument/2006/relationships/hyperlink" Target="http://www.oas.org/en/iachr/decisions/2015/USAD1752-09EN.pdf" TargetMode="External"/><Relationship Id="rId67" Type="http://schemas.openxmlformats.org/officeDocument/2006/relationships/hyperlink" Target="http://www.feedingamerica.org/assets/pdfs/fact-sheets/african-american-hunger-fact-sheet.pdf" TargetMode="External"/><Relationship Id="rId272" Type="http://schemas.openxmlformats.org/officeDocument/2006/relationships/hyperlink" Target="https://www.nytimes.com/interactive/2017/05/17/us/nfl-kneeling-national-anthem.html" TargetMode="External"/><Relationship Id="rId328" Type="http://schemas.openxmlformats.org/officeDocument/2006/relationships/hyperlink" Target="https://www.nbcnews.com/storyline/baltimore-unrest/baltimore-protests-100-arrested-new-york-rally-over-freddie-gray-n350951" TargetMode="External"/><Relationship Id="rId535" Type="http://schemas.openxmlformats.org/officeDocument/2006/relationships/hyperlink" Target="http://cidh.org/annualrep/2004eng/Belize.12053eng.htm" TargetMode="External"/><Relationship Id="rId577" Type="http://schemas.openxmlformats.org/officeDocument/2006/relationships/hyperlink" Target="http://www.ohchr.org/EN/ProfessionalInterest/Pages/UseOfForceAndFirearms.aspx" TargetMode="External"/><Relationship Id="rId700" Type="http://schemas.openxmlformats.org/officeDocument/2006/relationships/hyperlink" Target="http://www.ohchr.org/EN/ProfessionalInterest/Pages/RemedyAndReparation.aspx" TargetMode="External"/><Relationship Id="rId132" Type="http://schemas.openxmlformats.org/officeDocument/2006/relationships/hyperlink" Target="https://documents-dds-ny.un.org/doc/UNDOC/GEN/G16/183/30/PDF/G1618330.pdf?OpenElement" TargetMode="External"/><Relationship Id="rId174" Type="http://schemas.openxmlformats.org/officeDocument/2006/relationships/hyperlink" Target="https://www.youtube.com/watch?v=j_OIkzDAaxA" TargetMode="External"/><Relationship Id="rId381" Type="http://schemas.openxmlformats.org/officeDocument/2006/relationships/hyperlink" Target="http://www.oas.org/en/iachr/media_center/preleases/2012/120.asp" TargetMode="External"/><Relationship Id="rId602" Type="http://schemas.openxmlformats.org/officeDocument/2006/relationships/hyperlink" Target="https://www.aclu.org/report/war-comes-home-excessive-militarization-american-police" TargetMode="External"/><Relationship Id="rId241" Type="http://schemas.openxmlformats.org/officeDocument/2006/relationships/hyperlink" Target="http://www.oas.org/en/iachr/docs/pdf/citizensec.pdf" TargetMode="External"/><Relationship Id="rId437" Type="http://schemas.openxmlformats.org/officeDocument/2006/relationships/hyperlink" Target="http://www.orlandosentinel.com/news/breaking-news/os-florida-stand-your-ground-civil-rights-20141017-story.html" TargetMode="External"/><Relationship Id="rId479" Type="http://schemas.openxmlformats.org/officeDocument/2006/relationships/hyperlink" Target="https://www.youtube.com/watch?v=j_OIkzDAaxA" TargetMode="External"/><Relationship Id="rId644" Type="http://schemas.openxmlformats.org/officeDocument/2006/relationships/hyperlink" Target="http://www.ohchr.org/Documents/Publications/training8Rev1en.pdf" TargetMode="External"/><Relationship Id="rId686" Type="http://schemas.openxmlformats.org/officeDocument/2006/relationships/hyperlink" Target="http://www.oas.org/en/iachr/reports/pdfs/right-to-truth-en.pdf" TargetMode="External"/><Relationship Id="rId36" Type="http://schemas.openxmlformats.org/officeDocument/2006/relationships/hyperlink" Target="http://www.oas.org/en/iachr/media_center/PReleases/2015/031.asp" TargetMode="External"/><Relationship Id="rId283" Type="http://schemas.openxmlformats.org/officeDocument/2006/relationships/hyperlink" Target="https://www.nytimes.com/2014/12/08/nyregion/grand-juries-seldom-charge-police-officers-in-fatal-actions.html?_r=0" TargetMode="External"/><Relationship Id="rId339" Type="http://schemas.openxmlformats.org/officeDocument/2006/relationships/hyperlink" Target="http://www.oas.org/en/iachr/media_center/preleases/2015/118.asp" TargetMode="External"/><Relationship Id="rId490" Type="http://schemas.openxmlformats.org/officeDocument/2006/relationships/hyperlink" Target="http://www.slate.com/blogs/the_slatest/2017/04/06/trump_and_sessions_are_undermining_the_baltimore_consent_decree.html" TargetMode="External"/><Relationship Id="rId504" Type="http://schemas.openxmlformats.org/officeDocument/2006/relationships/hyperlink" Target="https://www.youtube.com/watch?v=ieGOtPqlHLM&amp;feature=youtu.be" TargetMode="External"/><Relationship Id="rId546" Type="http://schemas.openxmlformats.org/officeDocument/2006/relationships/hyperlink" Target="http://www.oas.org/en/iachr/docs/pdf/citizensec.pdf" TargetMode="External"/><Relationship Id="rId78" Type="http://schemas.openxmlformats.org/officeDocument/2006/relationships/hyperlink" Target="http://www.latimes.com/world/global-development/la-na-texas-black-maternal-mortality-2017-htmlstory.html" TargetMode="External"/><Relationship Id="rId101" Type="http://schemas.openxmlformats.org/officeDocument/2006/relationships/hyperlink" Target="http://www.law.columbia.edu/news/2017/06/kimberle-crenshaw-intersectionality" TargetMode="External"/><Relationship Id="rId143" Type="http://schemas.openxmlformats.org/officeDocument/2006/relationships/hyperlink" Target="http://www.ohchr.org/EN/HRBodies/HRC/RegularSessions/Session35/Documents/A_HRC_35_28_Add.2_AEV.docx" TargetMode="External"/><Relationship Id="rId185" Type="http://schemas.openxmlformats.org/officeDocument/2006/relationships/hyperlink" Target="https://www.aclu-il.org/en/campaigns/stop-and-frisk" TargetMode="External"/><Relationship Id="rId350" Type="http://schemas.openxmlformats.org/officeDocument/2006/relationships/hyperlink" Target="http://www.pretrial.org/download/research/Give%20Us%20Free-Addressing%20Racial%20Disparities%20in%20bail%20Determinations%20-%20Jones%202014.pdf" TargetMode="External"/><Relationship Id="rId406" Type="http://schemas.openxmlformats.org/officeDocument/2006/relationships/hyperlink" Target="https://www.splcenter.org/hatewatch/2017/11/13/fbi-hate-crimes-reach-5-year-high-2016-jumped-trump-rolled-toward-presidency-0" TargetMode="External"/><Relationship Id="rId588" Type="http://schemas.openxmlformats.org/officeDocument/2006/relationships/hyperlink" Target="http://www.ohchr.org/EN/ProfessionalInterest/Pages/UseOfForceAndFirearms.aspx" TargetMode="External"/><Relationship Id="rId9" Type="http://schemas.openxmlformats.org/officeDocument/2006/relationships/hyperlink" Target="http://www.oas.org/es/cidh/desc/docs/Pobreza-DDHH-InformePreliminar-2016-en.pdf" TargetMode="External"/><Relationship Id="rId210" Type="http://schemas.openxmlformats.org/officeDocument/2006/relationships/hyperlink" Target="https://www.washingtonpost.com/news/the-watch/wp/2015/05/18/obama-moves-to-demilitarize-americas-police/?utm_term=.b659b1e140ec" TargetMode="External"/><Relationship Id="rId392" Type="http://schemas.openxmlformats.org/officeDocument/2006/relationships/hyperlink" Target="http://www.oas.org/en/iachr/media_center/preleases/2015/118.asp" TargetMode="External"/><Relationship Id="rId448" Type="http://schemas.openxmlformats.org/officeDocument/2006/relationships/hyperlink" Target="https://www.washingtonpost.com/news/post-nation/wp/2016/01/21/disgraced-ex-officer-daniel-holtzclaw-to-be-sentenced-after-sex-crimes-conviction/?utm_term=.d690235e4eb3" TargetMode="External"/><Relationship Id="rId613" Type="http://schemas.openxmlformats.org/officeDocument/2006/relationships/hyperlink" Target="http://www.oas.org/en/iachr/docs/pdf/citizensec.pdf" TargetMode="External"/><Relationship Id="rId655" Type="http://schemas.openxmlformats.org/officeDocument/2006/relationships/hyperlink" Target="https://www.phillypolice.com/assets/forms-reports/TaskForce_FinalReport.pdf" TargetMode="External"/><Relationship Id="rId697" Type="http://schemas.openxmlformats.org/officeDocument/2006/relationships/hyperlink" Target="http://www.oas.org/en/iachr/media_center/PReleases/2016/120.asp" TargetMode="External"/><Relationship Id="rId252" Type="http://schemas.openxmlformats.org/officeDocument/2006/relationships/hyperlink" Target="http://www.oas.org/en/iachr/media_center/PReleases/2016/120.asp" TargetMode="External"/><Relationship Id="rId294" Type="http://schemas.openxmlformats.org/officeDocument/2006/relationships/hyperlink" Target="https://www.nytimes.com/roomfordebate/2015/04/29/baltimore-and-bolstering-a-police-officers-right-to-remain-silent/the-police-officers-bill-of-rights-creates-a-double-standard" TargetMode="External"/><Relationship Id="rId308" Type="http://schemas.openxmlformats.org/officeDocument/2006/relationships/hyperlink" Target="http://www.oas.org/en/iachr/media_center/preleases/2015/118.asp" TargetMode="External"/><Relationship Id="rId515" Type="http://schemas.openxmlformats.org/officeDocument/2006/relationships/hyperlink" Target="http://www.cidh.org/terrorism/eng/toc.htm" TargetMode="External"/><Relationship Id="rId47" Type="http://schemas.openxmlformats.org/officeDocument/2006/relationships/hyperlink" Target="http://www.refworld.org/cases,IACHR,502ccca62.html" TargetMode="External"/><Relationship Id="rId89" Type="http://schemas.openxmlformats.org/officeDocument/2006/relationships/hyperlink" Target="https://www.chronicle.com/article/Racial-Disparities-in-Higher/234129" TargetMode="External"/><Relationship Id="rId112" Type="http://schemas.openxmlformats.org/officeDocument/2006/relationships/hyperlink" Target="https://www.theatlantic.com/politics/archive/2014/10/the-old-jim-crow/381473/" TargetMode="External"/><Relationship Id="rId154" Type="http://schemas.openxmlformats.org/officeDocument/2006/relationships/hyperlink" Target="http://www.nytimes.com/1999/02/05/nyregion/officers-in-bronx-fire-41-shots-and-an-unarmed-man-is-killed.html" TargetMode="External"/><Relationship Id="rId361" Type="http://schemas.openxmlformats.org/officeDocument/2006/relationships/hyperlink" Target="https://documents-dds-ny.un.org/doc/UNDOC/GEN/G16/183/30/PDF/G1618330.pdf?OpenElement" TargetMode="External"/><Relationship Id="rId557" Type="http://schemas.openxmlformats.org/officeDocument/2006/relationships/hyperlink" Target="http://www.ohchr.org/EN/ProfessionalInterest/Pages/UseOfForceAndFirearms.aspx" TargetMode="External"/><Relationship Id="rId599" Type="http://schemas.openxmlformats.org/officeDocument/2006/relationships/hyperlink" Target="http://www.ohchr.org/EN/ProfessionalInterest/Pages/UseOfForceAndFirearms.aspx" TargetMode="External"/><Relationship Id="rId196" Type="http://schemas.openxmlformats.org/officeDocument/2006/relationships/hyperlink" Target="https://www.justice.gov/sites/default/files/opa/press-releases/attachments/2015/03/04/ferguson_police_department_report_1.pdf" TargetMode="External"/><Relationship Id="rId417" Type="http://schemas.openxmlformats.org/officeDocument/2006/relationships/hyperlink" Target="https://www.nytimes.com/2017/08/12/us/charlottesville-protest-white-nationalist.html?mcubz=1" TargetMode="External"/><Relationship Id="rId459" Type="http://schemas.openxmlformats.org/officeDocument/2006/relationships/hyperlink" Target="https://www.nbcnews.com/news/us-news/newly-released-interview-footage-reveal-shifting-stories-officers-who-shot-n751401" TargetMode="External"/><Relationship Id="rId624" Type="http://schemas.openxmlformats.org/officeDocument/2006/relationships/hyperlink" Target="http://www.oas.org/en/iachr/reports/pdfs/Refugees-Migrants-US.pdf" TargetMode="External"/><Relationship Id="rId666" Type="http://schemas.openxmlformats.org/officeDocument/2006/relationships/hyperlink" Target="http://www.oas.org/en/iachr/media_center/PReleases/2016/120.asp" TargetMode="External"/><Relationship Id="rId16" Type="http://schemas.openxmlformats.org/officeDocument/2006/relationships/hyperlink" Target="http://scm.oas.org/pdfs/agres/ag03791E01.PDF" TargetMode="External"/><Relationship Id="rId221" Type="http://schemas.openxmlformats.org/officeDocument/2006/relationships/hyperlink" Target="http://www.oas.org/en/iachr/media_center/preleases/2015/040.asp" TargetMode="External"/><Relationship Id="rId263" Type="http://schemas.openxmlformats.org/officeDocument/2006/relationships/hyperlink" Target="http://www.washingtonpost.com/sf/investigative/2015/04/11/thousands-dead-few-prosecuted/?utm_term=.43b0b694a26e" TargetMode="External"/><Relationship Id="rId319" Type="http://schemas.openxmlformats.org/officeDocument/2006/relationships/hyperlink" Target="http://www.oas.org/en/iachr/docs/annual/2015/doc-en/InformeAnual2015-cap4A-fuerza-EN.pdf" TargetMode="External"/><Relationship Id="rId470" Type="http://schemas.openxmlformats.org/officeDocument/2006/relationships/hyperlink" Target="http://www.oas.org/en/iachr/reports/pdfs/PretrialDetention.pdf" TargetMode="External"/><Relationship Id="rId526" Type="http://schemas.openxmlformats.org/officeDocument/2006/relationships/hyperlink" Target="https://www.oas.org/en/iachr/decisions/2017/USAD1105-06EN.pdf" TargetMode="External"/><Relationship Id="rId58" Type="http://schemas.openxmlformats.org/officeDocument/2006/relationships/hyperlink" Target="http://tbinternet.ohchr.org/_layouts/treatybodyexternal/Download.aspx?symbolno=CERD%2fC%2fUSA%2fCO%2f7-9&amp;Lang=en" TargetMode="External"/><Relationship Id="rId123" Type="http://schemas.openxmlformats.org/officeDocument/2006/relationships/hyperlink" Target="https://lynchinginamerica.eji.org/report/" TargetMode="External"/><Relationship Id="rId330" Type="http://schemas.openxmlformats.org/officeDocument/2006/relationships/hyperlink" Target="http://www.oas.org/en/iachr/docs/annual/2015/doc-en/InformeAnual2015-cap4A-fuerza-EN.pdf" TargetMode="External"/><Relationship Id="rId568" Type="http://schemas.openxmlformats.org/officeDocument/2006/relationships/hyperlink" Target="http://www.oas.org/en/iachr/migrants/docs/pdf/Report-Migrants-Mexico-2013.pdf" TargetMode="External"/><Relationship Id="rId165" Type="http://schemas.openxmlformats.org/officeDocument/2006/relationships/hyperlink" Target="https://www.youtube.com/watch?v=j_OIkzDAaxA" TargetMode="External"/><Relationship Id="rId372" Type="http://schemas.openxmlformats.org/officeDocument/2006/relationships/hyperlink" Target="https://www.prisonpolicy.org/global/" TargetMode="External"/><Relationship Id="rId428" Type="http://schemas.openxmlformats.org/officeDocument/2006/relationships/hyperlink" Target="https://www.npr.org/sections/thetwo-way/2018/02/28/589451855/shrouds-pulled-from-charlottesville-confederate-statues-following-ruling" TargetMode="External"/><Relationship Id="rId635" Type="http://schemas.openxmlformats.org/officeDocument/2006/relationships/hyperlink" Target="http://www.oas.org/en/iachr/docs/annual/2015/doc-en/InformeAnual2015-cap4A-fuerza-EN.pdf" TargetMode="External"/><Relationship Id="rId677" Type="http://schemas.openxmlformats.org/officeDocument/2006/relationships/hyperlink" Target="https://www.oas.org/en/iachr/decisions/2016/USPU12834EN.pdf" TargetMode="External"/><Relationship Id="rId232" Type="http://schemas.openxmlformats.org/officeDocument/2006/relationships/hyperlink" Target="https://www.washingtonpost.com/graphics/national/police-shootings-2017/" TargetMode="External"/><Relationship Id="rId274" Type="http://schemas.openxmlformats.org/officeDocument/2006/relationships/hyperlink" Target="http://abcnews.go.com/US/tulsa-police-officer-acquitted-death-unarmed-african-american/story?id=47480144" TargetMode="External"/><Relationship Id="rId481" Type="http://schemas.openxmlformats.org/officeDocument/2006/relationships/hyperlink" Target="https://www.phillypolice.com/assets/forms-reports/TaskForce_FinalReport.pdf" TargetMode="External"/><Relationship Id="rId702" Type="http://schemas.openxmlformats.org/officeDocument/2006/relationships/hyperlink" Target="http://www.ohchr.org/EN/ProfessionalInterest/Pages/RemedyAndReparation.aspx" TargetMode="External"/><Relationship Id="rId27" Type="http://schemas.openxmlformats.org/officeDocument/2006/relationships/hyperlink" Target="http://www.oas.org/en/sla/dil/docs/inter_american_treaties_A-41_charter_OAS.pdf" TargetMode="External"/><Relationship Id="rId69" Type="http://schemas.openxmlformats.org/officeDocument/2006/relationships/hyperlink" Target="http://www.detroitnews.com/story/news/michigan/flint-water-crisis/2017/03/07/flint-water-conference/98862674/" TargetMode="External"/><Relationship Id="rId134" Type="http://schemas.openxmlformats.org/officeDocument/2006/relationships/hyperlink" Target="https://www.theatlantic.com/magazine/archive/2014/06/the-case-for-reparations/361631/" TargetMode="External"/><Relationship Id="rId537" Type="http://schemas.openxmlformats.org/officeDocument/2006/relationships/hyperlink" Target="http://www.oas.org/en/iachr/afro-descendants/docs/pdf/AFROS_2011_ENG.pdf" TargetMode="External"/><Relationship Id="rId579" Type="http://schemas.openxmlformats.org/officeDocument/2006/relationships/hyperlink" Target="https://storage.googleapis.com/vera-web-assets/downloads/Publications/protect-and-serve-policing-trends-2015-2016/legacy_downloads/041417-PolicingTrendsReport-web.pdf" TargetMode="External"/><Relationship Id="rId80" Type="http://schemas.openxmlformats.org/officeDocument/2006/relationships/hyperlink" Target="http://tbinternet.ohchr.org/_layouts/treatybodyexternal/Download.aspx?symbolno=CERD%2fC%2fUSA%2fCO%2f7-9&amp;Lang=en" TargetMode="External"/><Relationship Id="rId176" Type="http://schemas.openxmlformats.org/officeDocument/2006/relationships/hyperlink" Target="http://www1.nyc.gov/assets/oignypd/downloads/pdf/Quality-of-Life-Report-2010-2015.pdf" TargetMode="External"/><Relationship Id="rId341" Type="http://schemas.openxmlformats.org/officeDocument/2006/relationships/hyperlink" Target="https://www.usatoday.com/story/news/nation/2014/11/18/ferguson-black-arrest-rates/19043207/" TargetMode="External"/><Relationship Id="rId383" Type="http://schemas.openxmlformats.org/officeDocument/2006/relationships/hyperlink" Target="http://www.oas.org/en/iachr/media_center/preleases/2015/118.asp" TargetMode="External"/><Relationship Id="rId439" Type="http://schemas.openxmlformats.org/officeDocument/2006/relationships/hyperlink" Target="https://www.theguardian.com/us-news/2014/oct/17/michael-dunn-sentenced-life-without-parole-florida" TargetMode="External"/><Relationship Id="rId590" Type="http://schemas.openxmlformats.org/officeDocument/2006/relationships/hyperlink" Target="https://www.phillypolice.com/assets/forms-reports/TaskForce_FinalReport.pdf" TargetMode="External"/><Relationship Id="rId604" Type="http://schemas.openxmlformats.org/officeDocument/2006/relationships/hyperlink" Target="http://www.oas.org/en/iachr/docs/annual/2015/doc-en/InformeAnual2015-cap4A-fuerza-EN.pdf" TargetMode="External"/><Relationship Id="rId646" Type="http://schemas.openxmlformats.org/officeDocument/2006/relationships/hyperlink" Target="http://www.oas.org/en/iachr/docs/annual/2015/doc-en/InformeAnual2015-cap4A-fuerza-EN.pdf" TargetMode="External"/><Relationship Id="rId201" Type="http://schemas.openxmlformats.org/officeDocument/2006/relationships/hyperlink" Target="https://harvardlawreview.org/2015/04/policing-and-profit/" TargetMode="External"/><Relationship Id="rId243" Type="http://schemas.openxmlformats.org/officeDocument/2006/relationships/hyperlink" Target="http://tbinternet.ohchr.org/_layouts/treatybodyexternal/Download.aspx?symbolno=CERD%2fC%2fUSA%2fCO%2f7-9&amp;Lang=en" TargetMode="External"/><Relationship Id="rId285" Type="http://schemas.openxmlformats.org/officeDocument/2006/relationships/hyperlink" Target="https://fivethirtyeight.com/features/allegations-of-police-misconduct-rarely-result-in-charges/" TargetMode="External"/><Relationship Id="rId450" Type="http://schemas.openxmlformats.org/officeDocument/2006/relationships/hyperlink" Target="http://rudermanfoundation.org/wp-content/uploads/2017/08/MediaStudy-PoliceDisability_final-final.pdf" TargetMode="External"/><Relationship Id="rId506" Type="http://schemas.openxmlformats.org/officeDocument/2006/relationships/hyperlink" Target="https://www.state.gov/documents/organization/235641.pdf" TargetMode="External"/><Relationship Id="rId688" Type="http://schemas.openxmlformats.org/officeDocument/2006/relationships/hyperlink" Target="http://www.ohchr.org/EN/ProfessionalInterest/Pages/RemedyAndReparation.aspx" TargetMode="External"/><Relationship Id="rId38" Type="http://schemas.openxmlformats.org/officeDocument/2006/relationships/hyperlink" Target="http://cidh.org/annualrep/2004eng/Belize.12053eng.htm" TargetMode="External"/><Relationship Id="rId103" Type="http://schemas.openxmlformats.org/officeDocument/2006/relationships/hyperlink" Target="http://www.oas.org/en/iachr/reports/pdfs/IndigenousWomen.pdf" TargetMode="External"/><Relationship Id="rId310" Type="http://schemas.openxmlformats.org/officeDocument/2006/relationships/hyperlink" Target="https://www.youtube.com/watch?v=yft7VCzxXUg" TargetMode="External"/><Relationship Id="rId492" Type="http://schemas.openxmlformats.org/officeDocument/2006/relationships/hyperlink" Target="https://www.youtube.com/watch?v=U5SvLoYX71M" TargetMode="External"/><Relationship Id="rId548" Type="http://schemas.openxmlformats.org/officeDocument/2006/relationships/hyperlink" Target="http://www.oas.org/en/iachr/afro-descendants/docs/pdf/AFROS_2011_ENG.pdf" TargetMode="External"/><Relationship Id="rId91" Type="http://schemas.openxmlformats.org/officeDocument/2006/relationships/hyperlink" Target="https://www.politico.com/magazine/story/2016/10/the-real-voting-problem-in-the-2016-election-214386" TargetMode="External"/><Relationship Id="rId145" Type="http://schemas.openxmlformats.org/officeDocument/2006/relationships/hyperlink" Target="https://www.bjs.gov/content/pub/pdf/p2581.pdf" TargetMode="External"/><Relationship Id="rId187" Type="http://schemas.openxmlformats.org/officeDocument/2006/relationships/hyperlink" Target="http://www.washlaw.org/pdf/wlc_report_racial_disparities.PDF" TargetMode="External"/><Relationship Id="rId352" Type="http://schemas.openxmlformats.org/officeDocument/2006/relationships/hyperlink" Target="https://www.huffingtonpost.com/cynthia-jones/pretrial-detention-blacks-and-latinos_b_8537602.html" TargetMode="External"/><Relationship Id="rId394" Type="http://schemas.openxmlformats.org/officeDocument/2006/relationships/hyperlink" Target="https://www.youtube.com/watch?v=ieGOtPqlHLM&amp;feature=youtu.be" TargetMode="External"/><Relationship Id="rId408" Type="http://schemas.openxmlformats.org/officeDocument/2006/relationships/hyperlink" Target="https://ucr.fbi.gov/hate-crime/2016/topic-pages/incidentsandoffenses.pdf" TargetMode="External"/><Relationship Id="rId615" Type="http://schemas.openxmlformats.org/officeDocument/2006/relationships/hyperlink" Target="http://www.oas.org/en/iachr/decisions/2011/uspu12626en.doc" TargetMode="External"/><Relationship Id="rId212" Type="http://schemas.openxmlformats.org/officeDocument/2006/relationships/hyperlink" Target="http://www.oas.org/en/iachr/expression/docs/reports/annual/AnnualReport2016RELE.pdf" TargetMode="External"/><Relationship Id="rId254" Type="http://schemas.openxmlformats.org/officeDocument/2006/relationships/hyperlink" Target="https://www.youtube.com/watch?v=U5SvLoYX71M" TargetMode="External"/><Relationship Id="rId657" Type="http://schemas.openxmlformats.org/officeDocument/2006/relationships/hyperlink" Target="http://www.ohchr.org/EN/ProfessionalInterest/Pages/UseOfForceAndFirearms.aspx" TargetMode="External"/><Relationship Id="rId699" Type="http://schemas.openxmlformats.org/officeDocument/2006/relationships/hyperlink" Target="http://www.ohchr.org/EN/ProfessionalInterest/Pages/RemedyAndReparation.aspx" TargetMode="External"/><Relationship Id="rId49" Type="http://schemas.openxmlformats.org/officeDocument/2006/relationships/hyperlink" Target="http://cidh.org/annualrep/2004eng/Belize.12053eng.htm" TargetMode="External"/><Relationship Id="rId114" Type="http://schemas.openxmlformats.org/officeDocument/2006/relationships/hyperlink" Target="https://www.theatlantic.com/business/archive/2014/06/slavery-made-america/373288/" TargetMode="External"/><Relationship Id="rId296" Type="http://schemas.openxmlformats.org/officeDocument/2006/relationships/hyperlink" Target="http://rfkhumanrights.org/media/filer_public/7d/84/7d8409c1-588f-4163-b552-1f6428e685db/iachr_thematic_%20hearing_submission_-_excessive_use_of_force_by_police_against_black_americans.pdf" TargetMode="External"/><Relationship Id="rId461" Type="http://schemas.openxmlformats.org/officeDocument/2006/relationships/hyperlink" Target="http://www.oas.org/en/iachr/media_center/preleases/2015/118.asp" TargetMode="External"/><Relationship Id="rId517" Type="http://schemas.openxmlformats.org/officeDocument/2006/relationships/hyperlink" Target="http://www.corteidh.or.cr/docs/opiniones/seriea_18_ing.pdf" TargetMode="External"/><Relationship Id="rId559" Type="http://schemas.openxmlformats.org/officeDocument/2006/relationships/hyperlink" Target="http://www.ohchr.org/EN/ProfessionalInterest/Pages/UseOfForceAndFirearms.aspx" TargetMode="External"/><Relationship Id="rId60" Type="http://schemas.openxmlformats.org/officeDocument/2006/relationships/hyperlink" Target="https://www.theatlantic.com/business/archive/2015/12/black-white-unemployment-gap/421497/" TargetMode="External"/><Relationship Id="rId156" Type="http://schemas.openxmlformats.org/officeDocument/2006/relationships/hyperlink" Target="http://blacklivesmatter.com/" TargetMode="External"/><Relationship Id="rId198" Type="http://schemas.openxmlformats.org/officeDocument/2006/relationships/hyperlink" Target="https://www.justice.gov/sites/default/files/opa/press-releases/attachments/2015/03/04/ferguson_police_department_report_1.pdf" TargetMode="External"/><Relationship Id="rId321" Type="http://schemas.openxmlformats.org/officeDocument/2006/relationships/hyperlink" Target="http://www.latimes.com/local/lanow/la-me-ln-arrests-oakland-los-angeles-michael-brown-protests-20141125-story.html" TargetMode="External"/><Relationship Id="rId363" Type="http://schemas.openxmlformats.org/officeDocument/2006/relationships/hyperlink" Target="http://www.oas.org/en/iachr/media_center/preleases/2015/118.asp" TargetMode="External"/><Relationship Id="rId419" Type="http://schemas.openxmlformats.org/officeDocument/2006/relationships/hyperlink" Target="https://www.washingtonpost.com/local/black-man-beaten-in-charlottesville-found-not-guilty-of-assaulting-white-supremacist/2018/03/16/92160a88-288f-11e8-b79d-f3d931db7f68_story.html?utm_term=.dc3f4332f340" TargetMode="External"/><Relationship Id="rId570" Type="http://schemas.openxmlformats.org/officeDocument/2006/relationships/hyperlink" Target="http://www.oas.org/en/iachr/decisions/2011/uspu12626en.doc" TargetMode="External"/><Relationship Id="rId626" Type="http://schemas.openxmlformats.org/officeDocument/2006/relationships/hyperlink" Target="http://www.oas.org/en/iachr/media_center/preleases/2014/090.asp" TargetMode="External"/><Relationship Id="rId223" Type="http://schemas.openxmlformats.org/officeDocument/2006/relationships/hyperlink" Target="https://www.washingtonpost.com/national/fbi-director-calls-lack-of-data-on-police-shootings-ridiculous-embarrassing/2015/10/07/c0ebaf7a-6d16-11e5-b31c-d80d62b53e28_story.html?utm_term=.49ff17ab78d0" TargetMode="External"/><Relationship Id="rId430" Type="http://schemas.openxmlformats.org/officeDocument/2006/relationships/hyperlink" Target="https://www.theatlantic.com/politics/archive/2017/08/take-the-statues-down/536727/" TargetMode="External"/><Relationship Id="rId668" Type="http://schemas.openxmlformats.org/officeDocument/2006/relationships/hyperlink" Target="http://www.oas.org/en/iachr/decisions/2011/uspu12626en.doc" TargetMode="External"/><Relationship Id="rId18" Type="http://schemas.openxmlformats.org/officeDocument/2006/relationships/hyperlink" Target="http://www.oas.org/en/sla/docs/ag03792E01.pdf" TargetMode="External"/><Relationship Id="rId265" Type="http://schemas.openxmlformats.org/officeDocument/2006/relationships/hyperlink" Target="https://www.wsj.com/articles/more-police-go-to-trial-in-killings-but-convictions-remain-rare-1443044871?cb=logged0.7918145186267793&amp;cb=logged0.3802703696374774" TargetMode="External"/><Relationship Id="rId472" Type="http://schemas.openxmlformats.org/officeDocument/2006/relationships/hyperlink" Target="https://www.dhs.gov/sites/default/files/publications/use-of-race-policy_0.pdf" TargetMode="External"/><Relationship Id="rId528" Type="http://schemas.openxmlformats.org/officeDocument/2006/relationships/hyperlink" Target="http://www.oas.org/en/iachr/decisions/2011/uspu12626en.doc" TargetMode="External"/><Relationship Id="rId125" Type="http://schemas.openxmlformats.org/officeDocument/2006/relationships/hyperlink" Target="https://lynchinginamerica.eji.org/report/" TargetMode="External"/><Relationship Id="rId167" Type="http://schemas.openxmlformats.org/officeDocument/2006/relationships/hyperlink" Target="https://www.youtube.com/watch?v=ieGOtPqlHLM&amp;feature=youtu.be" TargetMode="External"/><Relationship Id="rId332" Type="http://schemas.openxmlformats.org/officeDocument/2006/relationships/hyperlink" Target="https://www.theguardian.com/us-news/2017/sep/22/st-louis-missouri-ferguson-protests-black-lives-matter" TargetMode="External"/><Relationship Id="rId374" Type="http://schemas.openxmlformats.org/officeDocument/2006/relationships/hyperlink" Target="https://www.prisonpolicy.org/reports/pie2017.html" TargetMode="External"/><Relationship Id="rId581" Type="http://schemas.openxmlformats.org/officeDocument/2006/relationships/hyperlink" Target="http://www.corteidh.or.cr/docs/opiniones/seriea_14_ing.pdf" TargetMode="External"/><Relationship Id="rId71" Type="http://schemas.openxmlformats.org/officeDocument/2006/relationships/hyperlink" Target="https://www.nrdc.org/media/2017/170502" TargetMode="External"/><Relationship Id="rId234" Type="http://schemas.openxmlformats.org/officeDocument/2006/relationships/hyperlink" Target="https://www.washingtonpost.com/graphics/national/police-shootings/" TargetMode="External"/><Relationship Id="rId637" Type="http://schemas.openxmlformats.org/officeDocument/2006/relationships/hyperlink" Target="http://www.oas.org/en/iachr/docs/annual/2015/doc-en/InformeAnual2015-cap4A-fuerza-EN.pdf" TargetMode="External"/><Relationship Id="rId679" Type="http://schemas.openxmlformats.org/officeDocument/2006/relationships/hyperlink" Target="http://www.oas.org/en/iachr/afro-descendants/docs/pdf/AFROS_2011_ENG.pdf" TargetMode="External"/><Relationship Id="rId2" Type="http://schemas.openxmlformats.org/officeDocument/2006/relationships/hyperlink" Target="https://www.youtube.com/watch?v=ieGOtPqlHLM&amp;feature=youtu.be" TargetMode="External"/><Relationship Id="rId29" Type="http://schemas.openxmlformats.org/officeDocument/2006/relationships/hyperlink" Target="http://www.oas.org/en/iachr/reports/pdfs/Refugees-Migrants-US.pdf" TargetMode="External"/><Relationship Id="rId276" Type="http://schemas.openxmlformats.org/officeDocument/2006/relationships/hyperlink" Target="http://www.cnn.com/2017/09/15/us/jason-stockley-officer-shooting-verdict/index.html" TargetMode="External"/><Relationship Id="rId441" Type="http://schemas.openxmlformats.org/officeDocument/2006/relationships/hyperlink" Target="https://www.washingtonpost.com/news/morning-mix/wp/2016/05/12/george-zimmermans-many-many-controversies-since-the-trayvon-martin-case/?utm_term=.f4c045ad78e1" TargetMode="External"/><Relationship Id="rId483" Type="http://schemas.openxmlformats.org/officeDocument/2006/relationships/hyperlink" Target="https://www.justice.gov/opa/pr/department-justice-announces-changes-collaborative-reform-initiative" TargetMode="External"/><Relationship Id="rId539" Type="http://schemas.openxmlformats.org/officeDocument/2006/relationships/hyperlink" Target="http://www.oas.org/en/iachr/docs/annual/2015/doc-en/informeanual2015-cap4a-fuerza-en.pdf" TargetMode="External"/><Relationship Id="rId690" Type="http://schemas.openxmlformats.org/officeDocument/2006/relationships/hyperlink" Target="http://www.ohchr.org/EN/ProfessionalInterest/Pages/RemedyAndReparation.aspx" TargetMode="External"/><Relationship Id="rId704" Type="http://schemas.openxmlformats.org/officeDocument/2006/relationships/hyperlink" Target="http://www.oas.org/en/iachr/reports/pdfs/right-to-truth-en.pdf" TargetMode="External"/><Relationship Id="rId40" Type="http://schemas.openxmlformats.org/officeDocument/2006/relationships/hyperlink" Target="http://www.cidh.oas.org/annualrep/2006eng/CUBA.12476eng.htm" TargetMode="External"/><Relationship Id="rId136" Type="http://schemas.openxmlformats.org/officeDocument/2006/relationships/hyperlink" Target="https://www.forbes.com/sites/laurashin/2015/03/26/the-racial-wealth-gap-why-a-typical-white-household-has-16-times-the-wealth-of-a-black-one/" TargetMode="External"/><Relationship Id="rId178" Type="http://schemas.openxmlformats.org/officeDocument/2006/relationships/hyperlink" Target="http://chicagounbound.uchicago.edu/cgi/viewcontent.cgi?article=1250&amp;context=public_law_and_legal_theory" TargetMode="External"/><Relationship Id="rId301" Type="http://schemas.openxmlformats.org/officeDocument/2006/relationships/hyperlink" Target="http://fsrn.org/2015/06/civil-suits-against-police-cost-taxpayers-millions-but-rarely-result-in-reforms" TargetMode="External"/><Relationship Id="rId343" Type="http://schemas.openxmlformats.org/officeDocument/2006/relationships/hyperlink" Target="http://archives.civilrights.org/publications/reports/racial-profiling2011/racial_profiling2011.pdf" TargetMode="External"/><Relationship Id="rId550" Type="http://schemas.openxmlformats.org/officeDocument/2006/relationships/hyperlink" Target="http://www.ohchr.org/EN/ProfessionalInterest/Pages/UseOfForceAndFirearms.aspx" TargetMode="External"/><Relationship Id="rId82" Type="http://schemas.openxmlformats.org/officeDocument/2006/relationships/hyperlink" Target="http://www.cnn.com/2016/10/26/health/doctors-discrimination-racism/index.html" TargetMode="External"/><Relationship Id="rId203" Type="http://schemas.openxmlformats.org/officeDocument/2006/relationships/hyperlink" Target="http://www.oas.org/en/iachr/docs/pdf/citizensec.pdf" TargetMode="External"/><Relationship Id="rId385" Type="http://schemas.openxmlformats.org/officeDocument/2006/relationships/hyperlink" Target="http://solitarywatch.com/2013/11/02/prison-segregation-racial-disparities/" TargetMode="External"/><Relationship Id="rId592" Type="http://schemas.openxmlformats.org/officeDocument/2006/relationships/hyperlink" Target="http://rfkhumanrights.org/media/filer_public/7d/84/7d8409c1-588f-4163-b552-1f6428e685db/iachr_thematic_hearing_submission_-_excessive_use_of_force_by_police_against_black_americans.pdf" TargetMode="External"/><Relationship Id="rId606" Type="http://schemas.openxmlformats.org/officeDocument/2006/relationships/hyperlink" Target="http://www.oas.org/en/iachr/docs/pdf/citizensec.pdf" TargetMode="External"/><Relationship Id="rId648" Type="http://schemas.openxmlformats.org/officeDocument/2006/relationships/hyperlink" Target="http://www.ohchr.org/EN/ProfessionalInterest/Pages/UseOfForceAndFirearms.aspx" TargetMode="External"/><Relationship Id="rId19" Type="http://schemas.openxmlformats.org/officeDocument/2006/relationships/hyperlink" Target="http://www.oas.org/en/sla/docs/ag03796E01.pdf" TargetMode="External"/><Relationship Id="rId224" Type="http://schemas.openxmlformats.org/officeDocument/2006/relationships/hyperlink" Target="https://www.theguardian.com/us-news/ng-interactive/2015/jun/01/the-counted-police-killings-us-database" TargetMode="External"/><Relationship Id="rId245" Type="http://schemas.openxmlformats.org/officeDocument/2006/relationships/hyperlink" Target="https://www.npr.org/sections/thetwo-way/2017/06/26/533968647/supreme-court-sends-cross-border-shooting-case-back-to-lower-court" TargetMode="External"/><Relationship Id="rId266" Type="http://schemas.openxmlformats.org/officeDocument/2006/relationships/hyperlink" Target="https://mappingpoliceviolence.org" TargetMode="External"/><Relationship Id="rId287" Type="http://schemas.openxmlformats.org/officeDocument/2006/relationships/hyperlink" Target="http://www.houstonchronicle.com/local/investigations/item/Bulletproof-Part-3-Hard-to-charge-24421.php" TargetMode="External"/><Relationship Id="rId410" Type="http://schemas.openxmlformats.org/officeDocument/2006/relationships/hyperlink" Target="http://www.bbc.com/news/world-us-canada-33179019" TargetMode="External"/><Relationship Id="rId431" Type="http://schemas.openxmlformats.org/officeDocument/2006/relationships/hyperlink" Target="http://www.oas.org/en/iachr/reports/pdfs/right-to-truth-en.pdf" TargetMode="External"/><Relationship Id="rId452" Type="http://schemas.openxmlformats.org/officeDocument/2006/relationships/hyperlink" Target="https://www.washingtonpost.com/graphics/national/police-shootings-2017/" TargetMode="External"/><Relationship Id="rId473" Type="http://schemas.openxmlformats.org/officeDocument/2006/relationships/hyperlink" Target="https://www.phillypolice.com/assets/forms-reports/TaskForce_FinalReport.pdf" TargetMode="External"/><Relationship Id="rId494" Type="http://schemas.openxmlformats.org/officeDocument/2006/relationships/hyperlink" Target="https://www.documentcloud.org/documents/3535148-Consentdecreebaltimore.html" TargetMode="External"/><Relationship Id="rId508" Type="http://schemas.openxmlformats.org/officeDocument/2006/relationships/hyperlink" Target="http://www.oas.org/en/iachr/docs/pdf/citizensec.pdf" TargetMode="External"/><Relationship Id="rId529" Type="http://schemas.openxmlformats.org/officeDocument/2006/relationships/hyperlink" Target="http://cidh.org/annualrep/2004eng/Belize.12053eng.htm" TargetMode="External"/><Relationship Id="rId680" Type="http://schemas.openxmlformats.org/officeDocument/2006/relationships/hyperlink" Target="http://www.oas.org/en/iachr/reports/pdfs/right-to-truth-en.pdf" TargetMode="External"/><Relationship Id="rId30" Type="http://schemas.openxmlformats.org/officeDocument/2006/relationships/hyperlink" Target="http://www.oas.org/en/iachr/migrants/docs/pdf/Migrants2011.pdf" TargetMode="External"/><Relationship Id="rId105" Type="http://schemas.openxmlformats.org/officeDocument/2006/relationships/hyperlink" Target="http://www.oas.org/en/iachr/reports/pdfs/DominicanRepublic-2015.pdf" TargetMode="External"/><Relationship Id="rId126" Type="http://schemas.openxmlformats.org/officeDocument/2006/relationships/hyperlink" Target="https://www.wsj.com/articles/SB120674340028272915" TargetMode="External"/><Relationship Id="rId147" Type="http://schemas.openxmlformats.org/officeDocument/2006/relationships/hyperlink" Target="https://www.theatlantic.com/magazine/archive/1982/03/broken-windows/304465/" TargetMode="External"/><Relationship Id="rId168" Type="http://schemas.openxmlformats.org/officeDocument/2006/relationships/hyperlink" Target="http://www.nyclu.org/content/testimony-city-council-public-safety-courts-and-legal-services-committees-summons-court-oper" TargetMode="External"/><Relationship Id="rId312" Type="http://schemas.openxmlformats.org/officeDocument/2006/relationships/hyperlink" Target="http://www.oas.org/en/iachr/media_center/preleases/2015/118.asp" TargetMode="External"/><Relationship Id="rId333" Type="http://schemas.openxmlformats.org/officeDocument/2006/relationships/hyperlink" Target="http://www.chicagotribune.com/news/nationworld/sns-tns-bc-stlouis-police-20171120-story.html" TargetMode="External"/><Relationship Id="rId354" Type="http://schemas.openxmlformats.org/officeDocument/2006/relationships/hyperlink" Target="https://www.newyorker.com/magazine/2014/10/06/before-the-law" TargetMode="External"/><Relationship Id="rId540" Type="http://schemas.openxmlformats.org/officeDocument/2006/relationships/hyperlink" Target="http://www.oas.org/en/iachr/docs/annual/2015/doc-en/informeanual2015-cap4a-fuerza-en.pdf" TargetMode="External"/><Relationship Id="rId51" Type="http://schemas.openxmlformats.org/officeDocument/2006/relationships/hyperlink" Target="http://cidh.org/annualrep/2002eng/USA.12285.htm" TargetMode="External"/><Relationship Id="rId72" Type="http://schemas.openxmlformats.org/officeDocument/2006/relationships/hyperlink" Target="http://tbinternet.ohchr.org/_layouts/treatybodyexternal/Download.aspx?symbolno=CERD%2fC%2fUSA%2fCO%2f7-9&amp;Lang=en" TargetMode="External"/><Relationship Id="rId93" Type="http://schemas.openxmlformats.org/officeDocument/2006/relationships/hyperlink" Target="http://www.oas.org/en/iachr/afro-descendants/docs/pdf/AFROS_2011_ENG.pdf" TargetMode="External"/><Relationship Id="rId189" Type="http://schemas.openxmlformats.org/officeDocument/2006/relationships/hyperlink" Target="https://features.propublica.org/walking-while-black/jacksonville-pedestrian-violations-racial-profiling/" TargetMode="External"/><Relationship Id="rId375" Type="http://schemas.openxmlformats.org/officeDocument/2006/relationships/hyperlink" Target="http://www.pewtrusts.org/en/research-and-analysis/issue-briefs/2017/03/state-reforms-reverse-decades-of-incarceration-growth" TargetMode="External"/><Relationship Id="rId396" Type="http://schemas.openxmlformats.org/officeDocument/2006/relationships/hyperlink" Target="https://www.state.gov/documents/organization/235641.pdf" TargetMode="External"/><Relationship Id="rId561" Type="http://schemas.openxmlformats.org/officeDocument/2006/relationships/hyperlink" Target="http://www.oas.org/en/iachr/docs/annual/2015/doc-en/informeanual2015-cap4a-fuerza-en.pdf" TargetMode="External"/><Relationship Id="rId582" Type="http://schemas.openxmlformats.org/officeDocument/2006/relationships/hyperlink" Target="https://documents-dds-ny.un.org/doc/UNDOC/GEN/G10/179/54/PDF/G1017954.pdf?OpenElement" TargetMode="External"/><Relationship Id="rId617" Type="http://schemas.openxmlformats.org/officeDocument/2006/relationships/hyperlink" Target="http://www.oas.org/en/iachr/decisions/2011/uspu12626en.doc" TargetMode="External"/><Relationship Id="rId638" Type="http://schemas.openxmlformats.org/officeDocument/2006/relationships/hyperlink" Target="http://www.oas.org/en/iachr/docs/annual/2015/doc-en/InformeAnual2015-cap4A-fuerza-EN.pdf" TargetMode="External"/><Relationship Id="rId659" Type="http://schemas.openxmlformats.org/officeDocument/2006/relationships/hyperlink" Target="http://www.oas.org/en/iachr/docs/annual/2015/doc-en/InformeAnual2015-cap4A-fuerza-EN.pdf" TargetMode="External"/><Relationship Id="rId3" Type="http://schemas.openxmlformats.org/officeDocument/2006/relationships/hyperlink" Target="https://www.youtube.com/watch?v=j_OIkzDAaxA" TargetMode="External"/><Relationship Id="rId214" Type="http://schemas.openxmlformats.org/officeDocument/2006/relationships/hyperlink" Target="https://www.gao.gov/assets/690/685915.pdf" TargetMode="External"/><Relationship Id="rId235" Type="http://schemas.openxmlformats.org/officeDocument/2006/relationships/hyperlink" Target="https://www.youtube.com/watch?v=c_ZLnaWeXCk" TargetMode="External"/><Relationship Id="rId256" Type="http://schemas.openxmlformats.org/officeDocument/2006/relationships/hyperlink" Target="http://www.oas.org/en/iachr/media_center/preleases/2015/118.asp" TargetMode="External"/><Relationship Id="rId277" Type="http://schemas.openxmlformats.org/officeDocument/2006/relationships/hyperlink" Target="https://www.cbsnews.com/news/terence-crutcher-shooting-ignites-debate/" TargetMode="External"/><Relationship Id="rId298" Type="http://schemas.openxmlformats.org/officeDocument/2006/relationships/hyperlink" Target="http://rfkhumanrights.org/media/filer_public/7d/84/7d8409c1-588f-4163-b552-1f6428e685db/iachr_thematic_hearing_submission_-_excessive_use_of_force_by_police_against_black_americans.pdf" TargetMode="External"/><Relationship Id="rId400" Type="http://schemas.openxmlformats.org/officeDocument/2006/relationships/hyperlink" Target="https://lawyerscommittee.org/publication/best-practice-standards-the-proper-use-of-criminal-records-in-hiring/" TargetMode="External"/><Relationship Id="rId421" Type="http://schemas.openxmlformats.org/officeDocument/2006/relationships/hyperlink" Target="http://time.com/5009452/charlottesville-white-supremacy-dennis-mothersbaugh/" TargetMode="External"/><Relationship Id="rId442" Type="http://schemas.openxmlformats.org/officeDocument/2006/relationships/hyperlink" Target="https://www.youtube.com/watch?v=X0EV8Rbpg2s" TargetMode="External"/><Relationship Id="rId463" Type="http://schemas.openxmlformats.org/officeDocument/2006/relationships/hyperlink" Target="http://www.oas.org/en/iachr/media_center/PReleases/2014/044.asp" TargetMode="External"/><Relationship Id="rId484" Type="http://schemas.openxmlformats.org/officeDocument/2006/relationships/hyperlink" Target="http://www.stltoday.com/news/local/govt-and-politics/doj-shifts-from-collaborative-reform-doctrine-toward-trump-s-law/article_c3b1daa7-7dbb-5607-82d8-55ff0660460d.html" TargetMode="External"/><Relationship Id="rId519" Type="http://schemas.openxmlformats.org/officeDocument/2006/relationships/hyperlink" Target="http://www.oas.org/en/iachr/decisions/2011/uspu12626en.doc" TargetMode="External"/><Relationship Id="rId670" Type="http://schemas.openxmlformats.org/officeDocument/2006/relationships/hyperlink" Target="https://www.oas.org/en/iachr/decisions/2016/USPU12834EN.pdf" TargetMode="External"/><Relationship Id="rId705" Type="http://schemas.openxmlformats.org/officeDocument/2006/relationships/hyperlink" Target="http://www.oas.org/en/iachr/media_center/preleases/2015/118.asp" TargetMode="External"/><Relationship Id="rId116" Type="http://schemas.openxmlformats.org/officeDocument/2006/relationships/hyperlink" Target="https://eh.net/encyclopedia/the-economics-of-the-civil-war/" TargetMode="External"/><Relationship Id="rId137" Type="http://schemas.openxmlformats.org/officeDocument/2006/relationships/hyperlink" Target="http://www.chicagotribune.com/business/ct-black-homeownership-plunges-0723-biz-20170720-story.html" TargetMode="External"/><Relationship Id="rId158" Type="http://schemas.openxmlformats.org/officeDocument/2006/relationships/hyperlink" Target="http://www.oas.org/en/iachr/media_center/preleases/2015/040.asp" TargetMode="External"/><Relationship Id="rId302" Type="http://schemas.openxmlformats.org/officeDocument/2006/relationships/hyperlink" Target="http://www.wsj.com/articles/cost-of-police-misconduct-cases-soars-in-big-u-s-cities-1437013834" TargetMode="External"/><Relationship Id="rId323" Type="http://schemas.openxmlformats.org/officeDocument/2006/relationships/hyperlink" Target="https://www.washingtonpost.com/politics/obama-orders-review-of-military-equipment-supplied-to-police/2014/08/23/6316b8aa-2b03-11e4-8593-da634b334390_story.html" TargetMode="External"/><Relationship Id="rId344" Type="http://schemas.openxmlformats.org/officeDocument/2006/relationships/hyperlink" Target="https://www.hrw.org/report/2009/03/02/decades-disparity/drug-arrests-and-race-united-states" TargetMode="External"/><Relationship Id="rId530" Type="http://schemas.openxmlformats.org/officeDocument/2006/relationships/hyperlink" Target="https://www.aclu.org/north-carolina-racial-justice-act" TargetMode="External"/><Relationship Id="rId691" Type="http://schemas.openxmlformats.org/officeDocument/2006/relationships/hyperlink" Target="http://www.ohchr.org/EN/ProfessionalInterest/Pages/RemedyAndReparation.aspx" TargetMode="External"/><Relationship Id="rId20" Type="http://schemas.openxmlformats.org/officeDocument/2006/relationships/hyperlink" Target="http://www.corteidh.or.cr/docs/opiniones/seriea_10_ing1.pdf" TargetMode="External"/><Relationship Id="rId41" Type="http://schemas.openxmlformats.org/officeDocument/2006/relationships/hyperlink" Target="http://www.cidh.oas.org/annualrep/2008eng/USA12534eng.htm" TargetMode="External"/><Relationship Id="rId62" Type="http://schemas.openxmlformats.org/officeDocument/2006/relationships/hyperlink" Target="http://money.cnn.com/2016/09/20/news/economy/black-white-wage-gap/index.html" TargetMode="External"/><Relationship Id="rId83" Type="http://schemas.openxmlformats.org/officeDocument/2006/relationships/hyperlink" Target="https://health.usnews.com/health-news/patient-advice/articles/2016-02-11/racial-bias-in-medicine-leads-to-worse-care-for-minorities" TargetMode="External"/><Relationship Id="rId179" Type="http://schemas.openxmlformats.org/officeDocument/2006/relationships/hyperlink" Target="https://www.nyclu.org/en/press-releases/nyc-must-reform-aggressive-policing-low-level-offenses-and-summons-court-operations" TargetMode="External"/><Relationship Id="rId365" Type="http://schemas.openxmlformats.org/officeDocument/2006/relationships/hyperlink" Target="https://www.yalelawjournal.org/pdf/1181_phnpdw1u.pdf" TargetMode="External"/><Relationship Id="rId386" Type="http://schemas.openxmlformats.org/officeDocument/2006/relationships/hyperlink" Target="https://documents-dds-ny.un.org/doc/UNDOC/GEN/G16/183/30/PDF/G1618330.pdf?OpenElement" TargetMode="External"/><Relationship Id="rId551" Type="http://schemas.openxmlformats.org/officeDocument/2006/relationships/hyperlink" Target="http://www.ohchr.org/EN/ProfessionalInterest/Pages/UseOfForceAndFirearms.aspx" TargetMode="External"/><Relationship Id="rId572" Type="http://schemas.openxmlformats.org/officeDocument/2006/relationships/hyperlink" Target="http://www.refworld.org/docid/5374afcd4.html" TargetMode="External"/><Relationship Id="rId593" Type="http://schemas.openxmlformats.org/officeDocument/2006/relationships/hyperlink" Target="http://www.oas.org/en/iachr/docs/annual/2015/doc-en/informeanual2015-cap4a-fuerza-en.pdf" TargetMode="External"/><Relationship Id="rId607" Type="http://schemas.openxmlformats.org/officeDocument/2006/relationships/hyperlink" Target="http://www.oas.org/en/iachr/docs/annual/2015/doc-en/InformeAnual2015-cap4A-fuerza-EN.pdf" TargetMode="External"/><Relationship Id="rId628" Type="http://schemas.openxmlformats.org/officeDocument/2006/relationships/hyperlink" Target="http://www.oas.org/en/iachr/media_center/PReleases/2016/120.asp" TargetMode="External"/><Relationship Id="rId649" Type="http://schemas.openxmlformats.org/officeDocument/2006/relationships/hyperlink" Target="http://www.ohchr.org/EN/ProfessionalInterest/Pages/UseOfForceAndFirearms.aspx" TargetMode="External"/><Relationship Id="rId190" Type="http://schemas.openxmlformats.org/officeDocument/2006/relationships/hyperlink" Target="https://www.vox.com/cards/police-brutality-shootings-us/police-abuse-cases" TargetMode="External"/><Relationship Id="rId204" Type="http://schemas.openxmlformats.org/officeDocument/2006/relationships/hyperlink" Target="https://www.state.gov/documents/organization/235641.pdf" TargetMode="External"/><Relationship Id="rId225" Type="http://schemas.openxmlformats.org/officeDocument/2006/relationships/hyperlink" Target="https://www.washingtonpost.com/graphics/national/police-shootings-2017/" TargetMode="External"/><Relationship Id="rId246" Type="http://schemas.openxmlformats.org/officeDocument/2006/relationships/hyperlink" Target="https://documents-dds-ny.un.org/doc/UNDOC/GEN/G16/183/30/PDF/G1618330.pdf?OpenElement" TargetMode="External"/><Relationship Id="rId267" Type="http://schemas.openxmlformats.org/officeDocument/2006/relationships/hyperlink" Target="http://www.latimes.com/opinion/op-ed/la-oe-stinson-cop-shootings-20161215-story.html" TargetMode="External"/><Relationship Id="rId288" Type="http://schemas.openxmlformats.org/officeDocument/2006/relationships/hyperlink" Target="http://www.bjs.gov/content/pub/pdf/fjs10st.pdf" TargetMode="External"/><Relationship Id="rId411" Type="http://schemas.openxmlformats.org/officeDocument/2006/relationships/hyperlink" Target="http://www.chicagotribune.com/news/nationworld/ct-fbi-dylann-roof-sentencing-trial-20170106-story.html" TargetMode="External"/><Relationship Id="rId432" Type="http://schemas.openxmlformats.org/officeDocument/2006/relationships/hyperlink" Target="https://static1.squarespace.com/static/54179ca4e4b0b0c7bc710d3d/t/54223af0e4b07fc30d1ea182/1411529456971/SYG_Shadow_Report_ICCPR.pdf" TargetMode="External"/><Relationship Id="rId453" Type="http://schemas.openxmlformats.org/officeDocument/2006/relationships/hyperlink" Target="https://www.washingtonpost.com/graphics/national/police-shootings-2016/" TargetMode="External"/><Relationship Id="rId474" Type="http://schemas.openxmlformats.org/officeDocument/2006/relationships/hyperlink" Target="http://lawfilesext.leg.wa.gov/biennium/2015-16/Pdf/Bills/House%20Passed%20Legislature/2908-S.PL.pdf" TargetMode="External"/><Relationship Id="rId509" Type="http://schemas.openxmlformats.org/officeDocument/2006/relationships/hyperlink" Target="https://www.oas.org/en/iachr/decisions/2016/USPU12834EN.pdf" TargetMode="External"/><Relationship Id="rId660" Type="http://schemas.openxmlformats.org/officeDocument/2006/relationships/hyperlink" Target="http://www.ohchr.org/EN/ProfessionalInterest/Pages/UseOfForceAndFirearms.aspx" TargetMode="External"/><Relationship Id="rId106" Type="http://schemas.openxmlformats.org/officeDocument/2006/relationships/hyperlink" Target="http://www.slate.com/articles/life/reconstruction/2017/11/how_freed_people_in_alabama_took_over_the_plantation_they_were_formerly.html" TargetMode="External"/><Relationship Id="rId127" Type="http://schemas.openxmlformats.org/officeDocument/2006/relationships/hyperlink" Target="https://www.wsj.com/articles/SB995228253461746936" TargetMode="External"/><Relationship Id="rId313" Type="http://schemas.openxmlformats.org/officeDocument/2006/relationships/hyperlink" Target="http://www.cnn.com/2014/08/22/us/ferguson-arrests/" TargetMode="External"/><Relationship Id="rId495" Type="http://schemas.openxmlformats.org/officeDocument/2006/relationships/hyperlink" Target="https://www.theguardian.com/us-news/2017/apr/04/jeff-sessions-review-police-reforms-high-profile-shootings" TargetMode="External"/><Relationship Id="rId681" Type="http://schemas.openxmlformats.org/officeDocument/2006/relationships/hyperlink" Target="http://www.oas.org/en/iachr/reports/pdfs/right-to-truth-en.pdf" TargetMode="External"/><Relationship Id="rId10" Type="http://schemas.openxmlformats.org/officeDocument/2006/relationships/hyperlink" Target="http://www.oas.org/en/iachr/media_center/preleases/2014/090.asp" TargetMode="External"/><Relationship Id="rId31" Type="http://schemas.openxmlformats.org/officeDocument/2006/relationships/hyperlink" Target="https://www.oas.org/en/iachr/reports/pdfs/Universalization-InterAmerican-System.docx" TargetMode="External"/><Relationship Id="rId52" Type="http://schemas.openxmlformats.org/officeDocument/2006/relationships/hyperlink" Target="http://www.oas.org/en/iachr/reports/pdfs/DominicanRepublic-2015.pdf" TargetMode="External"/><Relationship Id="rId73" Type="http://schemas.openxmlformats.org/officeDocument/2006/relationships/hyperlink" Target="https://www.washingtonpost.com/local/freddie-grays-life-a-study-in-the-sad-effects-of-lead-paint-on-poor-blacks/2015/04/29/0be898e6-eea8-11e4-8abc-d6aa3bad79dd_story.html?utm_term=.55c13c731e4f" TargetMode="External"/><Relationship Id="rId94" Type="http://schemas.openxmlformats.org/officeDocument/2006/relationships/hyperlink" Target="http://www.slate.com/articles/business/metropolis/2017/07/why_even_diverse_neighborhoods_remain_segregated_by_race.html" TargetMode="External"/><Relationship Id="rId148" Type="http://schemas.openxmlformats.org/officeDocument/2006/relationships/hyperlink" Target="https://www.theatlantic.com/magazine/archive/1982/03/broken-windows/304465/" TargetMode="External"/><Relationship Id="rId169" Type="http://schemas.openxmlformats.org/officeDocument/2006/relationships/hyperlink" Target="https://www.pbs.org/wgbh/frontline/article/the-problem-with-broken-windows-policing/" TargetMode="External"/><Relationship Id="rId334" Type="http://schemas.openxmlformats.org/officeDocument/2006/relationships/hyperlink" Target="https://theintercept.com/2015/07/24/documents-show-department-homeland-security-monitoring-black-lives-matter-since-ferguson/" TargetMode="External"/><Relationship Id="rId355" Type="http://schemas.openxmlformats.org/officeDocument/2006/relationships/hyperlink" Target="https://www.newyorker.com/news/news-desk/kalief-browder-1993-2015" TargetMode="External"/><Relationship Id="rId376" Type="http://schemas.openxmlformats.org/officeDocument/2006/relationships/hyperlink" Target="http://www.sentencingproject.org/publications/color-of-justice-racial-and-ethnic-disparity-in-state-prisons/" TargetMode="External"/><Relationship Id="rId397" Type="http://schemas.openxmlformats.org/officeDocument/2006/relationships/hyperlink" Target="http://tbinternet.ohchr.org/_layouts/treatybodyexternal/Download.aspx?symbolno=CERD%2fC%2fUSA%2fCO%2f7-9&amp;Lang=en" TargetMode="External"/><Relationship Id="rId520" Type="http://schemas.openxmlformats.org/officeDocument/2006/relationships/hyperlink" Target="http://www.cidh.oas.org/annualrep/2006eng/CUBA.12476eng.htm" TargetMode="External"/><Relationship Id="rId541" Type="http://schemas.openxmlformats.org/officeDocument/2006/relationships/hyperlink" Target="http://www.cidh.org/annualrep/2009eng/Brazil12440eng.htm" TargetMode="External"/><Relationship Id="rId562" Type="http://schemas.openxmlformats.org/officeDocument/2006/relationships/hyperlink" Target="http://www.oas.org/en/iachr/docs/pdf/citizensec.pdf" TargetMode="External"/><Relationship Id="rId583" Type="http://schemas.openxmlformats.org/officeDocument/2006/relationships/hyperlink" Target="http://www.oas.org/en/iachr/docs/annual/2015/doc-en/informeanual2015-cap4a-fuerza-en.pdf" TargetMode="External"/><Relationship Id="rId618" Type="http://schemas.openxmlformats.org/officeDocument/2006/relationships/hyperlink" Target="https://www.oas.org/en/iachr/decisions/2016/USPU12834EN.pdf" TargetMode="External"/><Relationship Id="rId639" Type="http://schemas.openxmlformats.org/officeDocument/2006/relationships/hyperlink" Target="https://www.phillypolice.com/assets/forms-reports/TaskForce_FinalReport.pdf" TargetMode="External"/><Relationship Id="rId4" Type="http://schemas.openxmlformats.org/officeDocument/2006/relationships/hyperlink" Target="http://www.oas.org/en/iachr/media_center/PReleases/2015/037.asp" TargetMode="External"/><Relationship Id="rId180" Type="http://schemas.openxmlformats.org/officeDocument/2006/relationships/hyperlink" Target="https://www.nyclu.org/en/stop-and-frisk-data" TargetMode="External"/><Relationship Id="rId215" Type="http://schemas.openxmlformats.org/officeDocument/2006/relationships/hyperlink" Target="https://www.youtube.com/watch?v=c_ZLnaWeXCk" TargetMode="External"/><Relationship Id="rId236" Type="http://schemas.openxmlformats.org/officeDocument/2006/relationships/hyperlink" Target="http://ajph.aphapublications.org/doi/abs/10.2105/AJPH.2016.303575" TargetMode="External"/><Relationship Id="rId257" Type="http://schemas.openxmlformats.org/officeDocument/2006/relationships/hyperlink" Target="https://www.youtube.com/watch?v=c_ZLnaWeXCk" TargetMode="External"/><Relationship Id="rId278" Type="http://schemas.openxmlformats.org/officeDocument/2006/relationships/hyperlink" Target="https://www.nytimes.com/interactive/2016/07/12/us/looking-for-accountability-in-police-involved-deaths-of-blacks.html?_r=0" TargetMode="External"/><Relationship Id="rId401" Type="http://schemas.openxmlformats.org/officeDocument/2006/relationships/hyperlink" Target="https://csgjusticecenter.org/reentry/posts/researchers-examine-effects-of-a-criminal-record-on-prospects-for-employment/" TargetMode="External"/><Relationship Id="rId422" Type="http://schemas.openxmlformats.org/officeDocument/2006/relationships/hyperlink" Target="http://wric.com/2017/08/14/court-documents-6-out-of-8-arrested-in-charlottesville-protests-from-out-of-state/" TargetMode="External"/><Relationship Id="rId443" Type="http://schemas.openxmlformats.org/officeDocument/2006/relationships/hyperlink" Target="https://www.nytimes.com/2017/02/07/us/marissa-alexander-released-stand-your-ground.html" TargetMode="External"/><Relationship Id="rId464" Type="http://schemas.openxmlformats.org/officeDocument/2006/relationships/hyperlink" Target="http://www.oas.org/en/iachr/reports/pdfs/violencechildren2016.pdf" TargetMode="External"/><Relationship Id="rId650" Type="http://schemas.openxmlformats.org/officeDocument/2006/relationships/hyperlink" Target="http://www.msnbc.com/msnbc/prosecutors-police-inherent-conflict-our-courts" TargetMode="External"/><Relationship Id="rId303" Type="http://schemas.openxmlformats.org/officeDocument/2006/relationships/hyperlink" Target="https://www.law.cornell.edu/uscode/text/18/242" TargetMode="External"/><Relationship Id="rId485" Type="http://schemas.openxmlformats.org/officeDocument/2006/relationships/hyperlink" Target="https://www.justice.gov/opa/pr/department-justice-announces-changes-collaborative-reform-initiative" TargetMode="External"/><Relationship Id="rId692" Type="http://schemas.openxmlformats.org/officeDocument/2006/relationships/hyperlink" Target="http://www.ohchr.org/EN/ProfessionalInterest/Pages/RemedyAndReparation.aspx" TargetMode="External"/><Relationship Id="rId706" Type="http://schemas.openxmlformats.org/officeDocument/2006/relationships/hyperlink" Target="http://www.oas.org/en/iachr/media_center/preleases/2015/118.asp" TargetMode="External"/><Relationship Id="rId42" Type="http://schemas.openxmlformats.org/officeDocument/2006/relationships/hyperlink" Target="http://cidh.org/annualrep/2002eng/USA.12285.htm" TargetMode="External"/><Relationship Id="rId84" Type="http://schemas.openxmlformats.org/officeDocument/2006/relationships/hyperlink" Target="http://cepa.stanford.edu/sites/default/files/reardon%20robinson-cimpian%20weathers%20HREFP%20chapter%20april2014.pdf" TargetMode="External"/><Relationship Id="rId138" Type="http://schemas.openxmlformats.org/officeDocument/2006/relationships/hyperlink" Target="https://www.nytimes.com/2017/05/09/magazine/how-homeownership-became-the-engine-of-american-inequality.html?_r=0" TargetMode="External"/><Relationship Id="rId345" Type="http://schemas.openxmlformats.org/officeDocument/2006/relationships/hyperlink" Target="http://projects.heraldtribune.com/bias/sentencing/" TargetMode="External"/><Relationship Id="rId387" Type="http://schemas.openxmlformats.org/officeDocument/2006/relationships/hyperlink" Target="https://www.oas.org/en/iachr/media_center/preleases/2013/051.asp" TargetMode="External"/><Relationship Id="rId510" Type="http://schemas.openxmlformats.org/officeDocument/2006/relationships/hyperlink" Target="https://www.oas.org/en/iachr/decisions/2016/USPU12834EN.pdf" TargetMode="External"/><Relationship Id="rId552" Type="http://schemas.openxmlformats.org/officeDocument/2006/relationships/hyperlink" Target="http://www.oas.org/en/iachr/docs/annual/2015/doc-en/informeanual2015-cap4a-fuerza-en.pdf" TargetMode="External"/><Relationship Id="rId594" Type="http://schemas.openxmlformats.org/officeDocument/2006/relationships/hyperlink" Target="http://www.oas.org/en/iachr/docs/annual/2015/doc-en/informeanual2015-cap4a-fuerza-en.pdf" TargetMode="External"/><Relationship Id="rId608" Type="http://schemas.openxmlformats.org/officeDocument/2006/relationships/hyperlink" Target="http://www.oas.org/en/iachr/docs/annual/2015/doc-en/informeanual2015-cap4a-fuerza-en.pdf" TargetMode="External"/><Relationship Id="rId191" Type="http://schemas.openxmlformats.org/officeDocument/2006/relationships/hyperlink" Target="https://www.justice.gov/opa/pr/justice-department-announces-findings-two-civil-rights-investigations-ferguson-missouri" TargetMode="External"/><Relationship Id="rId205" Type="http://schemas.openxmlformats.org/officeDocument/2006/relationships/hyperlink" Target="http://tbinternet.ohchr.org/_layouts/treatybodyexternal/Download.aspx?symbolno=CERD%2fC%2fUSA%2fCO%2f7-9&amp;Lang=en" TargetMode="External"/><Relationship Id="rId247" Type="http://schemas.openxmlformats.org/officeDocument/2006/relationships/hyperlink" Target="http://www.amnestyusa.org/research/reports/deadly-force-police-use-of-lethal-force-in-the-united-states" TargetMode="External"/><Relationship Id="rId412" Type="http://schemas.openxmlformats.org/officeDocument/2006/relationships/hyperlink" Target="https://www.washingtonpost.com/world/national-security/charleston-church-shooter-i-would-like-to-make-it-crystal-clear-i-do-not-regret-what-i-did/2017/01/04/05b0061e-d1da-11e6-a783-cd3fa950f2fd_story.html?utm_term=.038494112939" TargetMode="External"/><Relationship Id="rId107" Type="http://schemas.openxmlformats.org/officeDocument/2006/relationships/hyperlink" Target="http://plsonline.eku.edu/insidelook/brief-history-slavery-and-origins-american-policing" TargetMode="External"/><Relationship Id="rId289" Type="http://schemas.openxmlformats.org/officeDocument/2006/relationships/hyperlink" Target="https://www.bjs.gov/content/pub/pdf/ccpuf.pdf" TargetMode="External"/><Relationship Id="rId454" Type="http://schemas.openxmlformats.org/officeDocument/2006/relationships/hyperlink" Target="https://www.washingtonpost.com/graphics/national/police-shootings/" TargetMode="External"/><Relationship Id="rId496" Type="http://schemas.openxmlformats.org/officeDocument/2006/relationships/hyperlink" Target="https://www.usnews.com/news/national-news/articles/2017-04-07/attorney-general-jeff-sessions-slams-baltimore-consent-decree" TargetMode="External"/><Relationship Id="rId661" Type="http://schemas.openxmlformats.org/officeDocument/2006/relationships/hyperlink" Target="http://www.ohchr.org/EN/ProfessionalInterest/Pages/UseOfForceAndFirearms.aspx" TargetMode="External"/><Relationship Id="rId11" Type="http://schemas.openxmlformats.org/officeDocument/2006/relationships/hyperlink" Target="http://www.oas.org/en/iachr/media_center/PReleases/2015/031.asp" TargetMode="External"/><Relationship Id="rId53" Type="http://schemas.openxmlformats.org/officeDocument/2006/relationships/hyperlink" Target="https://www.yalelawjournal.org/forum/the-first-amendment-freedom-of-assembly-as-a-racial-project" TargetMode="External"/><Relationship Id="rId149" Type="http://schemas.openxmlformats.org/officeDocument/2006/relationships/hyperlink" Target="http://articles.latimes.com/2006/apr/20/opinion/oe-harcourt20" TargetMode="External"/><Relationship Id="rId314" Type="http://schemas.openxmlformats.org/officeDocument/2006/relationships/hyperlink" Target="http://i2.cdn.turner.com/cnn/2014/images/08/22/arrest.data.from.8-10.to.8-22.pdf" TargetMode="External"/><Relationship Id="rId356" Type="http://schemas.openxmlformats.org/officeDocument/2006/relationships/hyperlink" Target="https://www.citylab.com/equity/2017/03/browder-family-keeps-fighting/518520/" TargetMode="External"/><Relationship Id="rId398" Type="http://schemas.openxmlformats.org/officeDocument/2006/relationships/hyperlink" Target="https://www.brennancenter.org/blog/judge-sotomayor-good-company-restoring-voting-rights" TargetMode="External"/><Relationship Id="rId521" Type="http://schemas.openxmlformats.org/officeDocument/2006/relationships/hyperlink" Target="http://cidh.org/annualrep/2004eng/Belize.12053eng.htm" TargetMode="External"/><Relationship Id="rId563" Type="http://schemas.openxmlformats.org/officeDocument/2006/relationships/hyperlink" Target="http://www.ohchr.org/EN/ProfessionalInterest/Pages/UseOfForceAndFirearms.aspx" TargetMode="External"/><Relationship Id="rId619" Type="http://schemas.openxmlformats.org/officeDocument/2006/relationships/hyperlink" Target="http://www.oas.org/en/iachr/decisions/2011/uspu12626en.doc" TargetMode="External"/><Relationship Id="rId95" Type="http://schemas.openxmlformats.org/officeDocument/2006/relationships/hyperlink" Target="https://www.nytimes.com/2016/08/21/us/milwaukee-segregation-wealthy-black-families.html" TargetMode="External"/><Relationship Id="rId160" Type="http://schemas.openxmlformats.org/officeDocument/2006/relationships/hyperlink" Target="http://www.oas.org/en/iachr/afro-descendants/docs/pdf/AFROS_2011_ENG.pdf" TargetMode="External"/><Relationship Id="rId216" Type="http://schemas.openxmlformats.org/officeDocument/2006/relationships/hyperlink" Target="http://www.oas.org/en/iachr/media_center/PReleases/2015/120.asp" TargetMode="External"/><Relationship Id="rId423" Type="http://schemas.openxmlformats.org/officeDocument/2006/relationships/hyperlink" Target="https://thinkprogress.org/charlottesville-protest-arrests-9484856f4489/" TargetMode="External"/><Relationship Id="rId258" Type="http://schemas.openxmlformats.org/officeDocument/2006/relationships/hyperlink" Target="http://www.oas.org/en/iachr/docs/annual/2015/doc-en/informeanual2015-cap4a-fuerza-en.pdf" TargetMode="External"/><Relationship Id="rId465" Type="http://schemas.openxmlformats.org/officeDocument/2006/relationships/hyperlink" Target="http://endtransdiscrimination.org/PDDs/NTDS_Exec_Summary.pdf" TargetMode="External"/><Relationship Id="rId630" Type="http://schemas.openxmlformats.org/officeDocument/2006/relationships/hyperlink" Target="http://www.oas.org/en/iachr/decisions/2011/uspu12626en.doc" TargetMode="External"/><Relationship Id="rId672" Type="http://schemas.openxmlformats.org/officeDocument/2006/relationships/hyperlink" Target="https://www.oas.org/en/iachr/decisions/2016/USPU12834EN.pdf" TargetMode="External"/><Relationship Id="rId22" Type="http://schemas.openxmlformats.org/officeDocument/2006/relationships/hyperlink" Target="http://cidh.org/annualrep/86.87eng/toc.htm" TargetMode="External"/><Relationship Id="rId64" Type="http://schemas.openxmlformats.org/officeDocument/2006/relationships/hyperlink" Target="http://tbinternet.ohchr.org/_layouts/treatybodyexternal/Download.aspx?symbolno=CERD%2fC%2fUSA%2fCO%2f7-9&amp;Lang=en" TargetMode="External"/><Relationship Id="rId118" Type="http://schemas.openxmlformats.org/officeDocument/2006/relationships/hyperlink" Target="https://documents-dds-ny.un.org/doc/UNDOC/GEN/G16/183/30/PDF/G1618330.pdf?OpenElement" TargetMode="External"/><Relationship Id="rId325" Type="http://schemas.openxmlformats.org/officeDocument/2006/relationships/hyperlink" Target="https://www.aclu.org/blog/speak-freely/365-days-and-605-armored-military-vehicles-later-police-militarization-year-after" TargetMode="External"/><Relationship Id="rId367" Type="http://schemas.openxmlformats.org/officeDocument/2006/relationships/hyperlink" Target="http://www.nybooks.com/articles/2014/11/20/why-innocent-people-plead-guilty/?insrc=whc" TargetMode="External"/><Relationship Id="rId532" Type="http://schemas.openxmlformats.org/officeDocument/2006/relationships/hyperlink" Target="http://tbinternet.ohchr.org/_layouts/treatybodyexternal/Download.aspx?symbolno=CERD%2fC%2fUSA%2fCO%2f7-9&amp;Lang=en" TargetMode="External"/><Relationship Id="rId574" Type="http://schemas.openxmlformats.org/officeDocument/2006/relationships/hyperlink" Target="http://tbinternet.ohchr.org/_layouts/treatybodyexternal/Download.aspx?symbolno=CERD%2fC%2fUSA%2fCO%2f7-9&amp;Lang=en" TargetMode="External"/><Relationship Id="rId171" Type="http://schemas.openxmlformats.org/officeDocument/2006/relationships/hyperlink" Target="http://www.oas.org/en/iachr/media_center/preleases/2015/118.asp" TargetMode="External"/><Relationship Id="rId227" Type="http://schemas.openxmlformats.org/officeDocument/2006/relationships/hyperlink" Target="http://killedbypolice.net/" TargetMode="External"/><Relationship Id="rId269" Type="http://schemas.openxmlformats.org/officeDocument/2006/relationships/hyperlink" Target="http://www.oas.org/en/iachr/media_center/preleases/2014/090.asp" TargetMode="External"/><Relationship Id="rId434" Type="http://schemas.openxmlformats.org/officeDocument/2006/relationships/hyperlink" Target="https://www.npr.org/2013/01/02/167984117/-stand-your-ground-linked-to-increase-in-homicide" TargetMode="External"/><Relationship Id="rId476" Type="http://schemas.openxmlformats.org/officeDocument/2006/relationships/hyperlink" Target="https://leg.colorado.gov/sites/default/files/documents/2016a/bills/2016A_1264_signed.pdf" TargetMode="External"/><Relationship Id="rId641" Type="http://schemas.openxmlformats.org/officeDocument/2006/relationships/hyperlink" Target="http://www.oas.org/en/iachr/docs/annual/2015/doc-en/InformeAnual2015-cap4A-fuerza-EN.pdf" TargetMode="External"/><Relationship Id="rId683" Type="http://schemas.openxmlformats.org/officeDocument/2006/relationships/hyperlink" Target="http://www.ohchr.org/EN/ProfessionalInterest/Pages/RemedyAndReparation.aspx" TargetMode="External"/><Relationship Id="rId33" Type="http://schemas.openxmlformats.org/officeDocument/2006/relationships/hyperlink" Target="http://www.oas.org/en/iachr/media_center/preleases/2016/082.asp" TargetMode="External"/><Relationship Id="rId129" Type="http://schemas.openxmlformats.org/officeDocument/2006/relationships/hyperlink" Target="https://lynchinginamerica.eji.org/report/" TargetMode="External"/><Relationship Id="rId280" Type="http://schemas.openxmlformats.org/officeDocument/2006/relationships/hyperlink" Target="https://www.youtube.com/watch?v=c_ZLnaWeXCk" TargetMode="External"/><Relationship Id="rId336" Type="http://schemas.openxmlformats.org/officeDocument/2006/relationships/hyperlink" Target="https://www.nytimes.com/2017/10/19/opinion/columnists/fbi-blacks-civil-rights.html" TargetMode="External"/><Relationship Id="rId501" Type="http://schemas.openxmlformats.org/officeDocument/2006/relationships/hyperlink" Target="https://www.nytimes.com/2017/08/28/us/politics/trump-police-military-surplus-equipment.html?mcubz=1" TargetMode="External"/><Relationship Id="rId543" Type="http://schemas.openxmlformats.org/officeDocument/2006/relationships/hyperlink" Target="http://cidh.org/annualrep/2005eng/Jamaica.12418eng.htm" TargetMode="External"/><Relationship Id="rId75" Type="http://schemas.openxmlformats.org/officeDocument/2006/relationships/hyperlink" Target="https://publichealthreviews.biomedcentral.com/articles/10.1186/s40985-016-0025-4" TargetMode="External"/><Relationship Id="rId140" Type="http://schemas.openxmlformats.org/officeDocument/2006/relationships/hyperlink" Target="https://harpers.org/archive/2016/04/legalize-it-all/" TargetMode="External"/><Relationship Id="rId182" Type="http://schemas.openxmlformats.org/officeDocument/2006/relationships/hyperlink" Target="https://www.census.gov/quickfacts/fact/table/US/RHI725216" TargetMode="External"/><Relationship Id="rId378" Type="http://schemas.openxmlformats.org/officeDocument/2006/relationships/hyperlink" Target="https://www.prisonpolicy.org/reports/rates.html" TargetMode="External"/><Relationship Id="rId403" Type="http://schemas.openxmlformats.org/officeDocument/2006/relationships/hyperlink" Target="https://www.sentencingproject.org/news/state-advocacy-update-ban-ban-efforts-address-federal-drug-felony-ban-public-benefits/" TargetMode="External"/><Relationship Id="rId585" Type="http://schemas.openxmlformats.org/officeDocument/2006/relationships/hyperlink" Target="http://www.ohchr.org/EN/ProfessionalInterest/Pages/UseOfForceAndFirearms.aspx" TargetMode="External"/><Relationship Id="rId6" Type="http://schemas.openxmlformats.org/officeDocument/2006/relationships/hyperlink" Target="http://www.oas.org/en/iachr/media_center/PReleases/2015/120.asp" TargetMode="External"/><Relationship Id="rId238" Type="http://schemas.openxmlformats.org/officeDocument/2006/relationships/hyperlink" Target="http://www.nytimes.com/1999/02/05/nyregion/officers-in-bronx-fire-41-shots-and-an-unarmed-man-is-killed.html" TargetMode="External"/><Relationship Id="rId445" Type="http://schemas.openxmlformats.org/officeDocument/2006/relationships/hyperlink" Target="https://www.state.gov/documents/organization/235641.pdf" TargetMode="External"/><Relationship Id="rId487" Type="http://schemas.openxmlformats.org/officeDocument/2006/relationships/hyperlink" Target="http://www.npr.org/sections/thetwo-way/2017/04/03/522309537/justice-department-to-review-all-civil-rights-agreements-on-police-conduct" TargetMode="External"/><Relationship Id="rId610" Type="http://schemas.openxmlformats.org/officeDocument/2006/relationships/hyperlink" Target="http://www.oas.org/en/iachr/expression/showarticle.asp?artID=931&amp;lID=1" TargetMode="External"/><Relationship Id="rId652" Type="http://schemas.openxmlformats.org/officeDocument/2006/relationships/hyperlink" Target="http://www.washingtonpost.com/sf/investigative/2015/04/11/thousands-dead-few-prosecuted/?utm_term=.05d5e58e187d" TargetMode="External"/><Relationship Id="rId694" Type="http://schemas.openxmlformats.org/officeDocument/2006/relationships/hyperlink" Target="http://www.ohchr.org/EN/ProfessionalInterest/Pages/RemedyAndReparation.aspx" TargetMode="External"/><Relationship Id="rId291" Type="http://schemas.openxmlformats.org/officeDocument/2006/relationships/hyperlink" Target="http://www.latimes.com/local/lanow/la-me-ln-lapd-biased-policing-report-20151215-story.html" TargetMode="External"/><Relationship Id="rId305" Type="http://schemas.openxmlformats.org/officeDocument/2006/relationships/hyperlink" Target="https://www.politico.com/story/2015/02/eric-holder-civil-rights-interview-mike-allen-115575" TargetMode="External"/><Relationship Id="rId347" Type="http://schemas.openxmlformats.org/officeDocument/2006/relationships/hyperlink" Target="https://www.huffingtonpost.com/cynthia-jones/pretrial-detention-blacks-and-latinos_b_8537602.html" TargetMode="External"/><Relationship Id="rId512" Type="http://schemas.openxmlformats.org/officeDocument/2006/relationships/hyperlink" Target="http://www.oas.org/en/iachr/decisions/2011/uspu12626en.doc" TargetMode="External"/><Relationship Id="rId44" Type="http://schemas.openxmlformats.org/officeDocument/2006/relationships/hyperlink" Target="http://cidh.org/annualrep/2004eng/Belize.12053eng.htm" TargetMode="External"/><Relationship Id="rId86" Type="http://schemas.openxmlformats.org/officeDocument/2006/relationships/hyperlink" Target="http://www.oas.org/en/iachr/afro-descendants/docs/pdf/AFROS_2011_ENG.pdf" TargetMode="External"/><Relationship Id="rId151" Type="http://schemas.openxmlformats.org/officeDocument/2006/relationships/hyperlink" Target="http://www.oas.org/en/iachr/media_center/preleases/2015/040.asp" TargetMode="External"/><Relationship Id="rId389" Type="http://schemas.openxmlformats.org/officeDocument/2006/relationships/hyperlink" Target="https://www.youtube.com/watch?v=j_OIkzDAaxA" TargetMode="External"/><Relationship Id="rId554" Type="http://schemas.openxmlformats.org/officeDocument/2006/relationships/hyperlink" Target="http://www.oas.org/en/iachr/afro-descendants/docs/pdf/AFROS_2011_ENG.pdf" TargetMode="External"/><Relationship Id="rId596" Type="http://schemas.openxmlformats.org/officeDocument/2006/relationships/hyperlink" Target="http://www.oas.org/en/iachr/docs/annual/2015/doc-en/informeanual2015-cap4a-fuerza-en.pdf" TargetMode="External"/><Relationship Id="rId193" Type="http://schemas.openxmlformats.org/officeDocument/2006/relationships/hyperlink" Target="https://www.youtube.com/watch?v=j_OIkzDAaxA" TargetMode="External"/><Relationship Id="rId207" Type="http://schemas.openxmlformats.org/officeDocument/2006/relationships/hyperlink" Target="https://www.aclu.org/report/war-comes-home-excessive-militarization-american-police" TargetMode="External"/><Relationship Id="rId249" Type="http://schemas.openxmlformats.org/officeDocument/2006/relationships/hyperlink" Target="https://www.washingtonpost.com/news/post-nation/wp/2018/02/12/an-officer-who-was-fired-after-refusing-to-shoot-an-armed-man-just-won-175000-in-a-settlement/?utm_term=.6ac635a671cf" TargetMode="External"/><Relationship Id="rId414" Type="http://schemas.openxmlformats.org/officeDocument/2006/relationships/hyperlink" Target="https://www.nbcnews.com/news/us-news/dylann-roof-charleston-church-shooter-pleads-guilty-state-charges-n744746" TargetMode="External"/><Relationship Id="rId456" Type="http://schemas.openxmlformats.org/officeDocument/2006/relationships/hyperlink" Target="https://www.npr.org/2015/07/04/420019849/paper-finds-one-quarter-of-those-killed-by-police-are-mentally-ill" TargetMode="External"/><Relationship Id="rId498" Type="http://schemas.openxmlformats.org/officeDocument/2006/relationships/hyperlink" Target="https://www.justice.gov/crt/case-document/file/925771/download" TargetMode="External"/><Relationship Id="rId621" Type="http://schemas.openxmlformats.org/officeDocument/2006/relationships/hyperlink" Target="http://www.cidh.oas.org/annualrep/2006eng/CUBA.12476eng.htm" TargetMode="External"/><Relationship Id="rId663" Type="http://schemas.openxmlformats.org/officeDocument/2006/relationships/hyperlink" Target="http://www.oas.org/en/iachr/afro-descendants/docs/pdf/AFROS_2011_ENG.pdf" TargetMode="External"/><Relationship Id="rId13" Type="http://schemas.openxmlformats.org/officeDocument/2006/relationships/hyperlink" Target="http://www.oas.org/en/iachr/media_center/preleases/2015/040.asp" TargetMode="External"/><Relationship Id="rId109" Type="http://schemas.openxmlformats.org/officeDocument/2006/relationships/hyperlink" Target="https://opinionator.blogs.nytimes.com/2015/04/03/how-the-slave-trade-built-america/" TargetMode="External"/><Relationship Id="rId260" Type="http://schemas.openxmlformats.org/officeDocument/2006/relationships/hyperlink" Target="http://www.oas.org/en/iachr/media_center/preleases/2014/090.asp" TargetMode="External"/><Relationship Id="rId316" Type="http://schemas.openxmlformats.org/officeDocument/2006/relationships/hyperlink" Target="https://www.amnestyusa.org/files/onthestreetsofamericaamnestyinternational.pdf" TargetMode="External"/><Relationship Id="rId523" Type="http://schemas.openxmlformats.org/officeDocument/2006/relationships/hyperlink" Target="http://www.oas.org/en/iachr/afro-descendants/docs/pdf/AFROS_2011_ENG.pdf" TargetMode="External"/><Relationship Id="rId55" Type="http://schemas.openxmlformats.org/officeDocument/2006/relationships/hyperlink" Target="http://www.oas.org/en/iachr/reports/pdfs/DominicanRepublic-2015.pdf" TargetMode="External"/><Relationship Id="rId97" Type="http://schemas.openxmlformats.org/officeDocument/2006/relationships/hyperlink" Target="https://www.theatlantic.com/magazine/archive/2014/05/segregation-now/359813/" TargetMode="External"/><Relationship Id="rId120" Type="http://schemas.openxmlformats.org/officeDocument/2006/relationships/hyperlink" Target="https://lynchinginamerica.eji.org/report/" TargetMode="External"/><Relationship Id="rId358" Type="http://schemas.openxmlformats.org/officeDocument/2006/relationships/hyperlink" Target="https://www.oas.org/en/iachr/media_center/preleases/2013/051.asp" TargetMode="External"/><Relationship Id="rId565" Type="http://schemas.openxmlformats.org/officeDocument/2006/relationships/hyperlink" Target="http://www2.ohchr.org/english/bodies/hrcouncil/docs/14session/A.HRC.14.24.Add6.pdf" TargetMode="External"/><Relationship Id="rId162" Type="http://schemas.openxmlformats.org/officeDocument/2006/relationships/hyperlink" Target="https://www.smithsonianmag.com/smart-news/study-shows-little-change-segregation-and-poverty-over-last-fifty-years-180968317/" TargetMode="External"/><Relationship Id="rId218" Type="http://schemas.openxmlformats.org/officeDocument/2006/relationships/hyperlink" Target="http://tbinternet.ohchr.org/_layouts/treatybodyexternal/Download.aspx?symbolno=CERD%2fC%2fUSA%2fCO%2f7-9&amp;Lang=en" TargetMode="External"/><Relationship Id="rId425" Type="http://schemas.openxmlformats.org/officeDocument/2006/relationships/hyperlink" Target="http://www.cnn.com/2017/08/18/us/charlottesville-james-alex-fields-charges/index.html" TargetMode="External"/><Relationship Id="rId467" Type="http://schemas.openxmlformats.org/officeDocument/2006/relationships/hyperlink" Target="http://www.oas.org/en/iachr/media_center/preleases/2015/118.asp" TargetMode="External"/><Relationship Id="rId632" Type="http://schemas.openxmlformats.org/officeDocument/2006/relationships/hyperlink" Target="http://www.oas.org/en/iachr/afro-descendants/docs/pdf/AFROS_2011_ENG.pdf" TargetMode="External"/><Relationship Id="rId271" Type="http://schemas.openxmlformats.org/officeDocument/2006/relationships/hyperlink" Target="http://www.oas.org/en/iachr/media_center/PReleases/2016/120.asp" TargetMode="External"/><Relationship Id="rId674" Type="http://schemas.openxmlformats.org/officeDocument/2006/relationships/hyperlink" Target="http://cidh.org/annualrep/2004eng/Belize.12053eng.htm" TargetMode="External"/><Relationship Id="rId24" Type="http://schemas.openxmlformats.org/officeDocument/2006/relationships/hyperlink" Target="http://www.oas.org/en/iachr/decisions/2017/USAD1105-06EN.pdf" TargetMode="External"/><Relationship Id="rId66" Type="http://schemas.openxmlformats.org/officeDocument/2006/relationships/hyperlink" Target="https://www.propublica.org/article/living-apart-how-the-government-betrayed-a-landmark-civil-rights-law" TargetMode="External"/><Relationship Id="rId131" Type="http://schemas.openxmlformats.org/officeDocument/2006/relationships/hyperlink" Target="https://lynchinginamerica.eji.org/report/" TargetMode="External"/><Relationship Id="rId327" Type="http://schemas.openxmlformats.org/officeDocument/2006/relationships/hyperlink" Target="https://www.washingtonpost.com/local/crime/high-number-of-arrests-in-baltimore-leads-to-confusion-in-charging/2015/05/04/d71ad79c-f28e-11e4-bcc4-e8141e5eb0c9_story.html?utm_term=.9b3ecd9b3dc7" TargetMode="External"/><Relationship Id="rId369" Type="http://schemas.openxmlformats.org/officeDocument/2006/relationships/hyperlink" Target="http://www.ussc.gov/news/congressional-testimony-and-reports/booker-reports/report-continuing-impact-united-states-v-bookerfederal-sentencing" TargetMode="External"/><Relationship Id="rId534" Type="http://schemas.openxmlformats.org/officeDocument/2006/relationships/hyperlink" Target="http://www.cidh.oas.org/annualrep/2006eng/CUBA.12476eng.htm" TargetMode="External"/><Relationship Id="rId576" Type="http://schemas.openxmlformats.org/officeDocument/2006/relationships/hyperlink" Target="http://www.ohchr.org/EN/ProfessionalInterest/Pages/UseOfForceAndFirearms.aspx" TargetMode="External"/><Relationship Id="rId173" Type="http://schemas.openxmlformats.org/officeDocument/2006/relationships/hyperlink" Target="https://convention2.allacademic.com/one/asc/asc17/index.php?program_focus=view_paper&amp;selected_paper_id=1276548&amp;cmd=online_program_direct_link&amp;sub_action=online_program" TargetMode="External"/><Relationship Id="rId229" Type="http://schemas.openxmlformats.org/officeDocument/2006/relationships/hyperlink" Target="https://www.washingtonpost.com/graphics/national/police-shootings-2017/" TargetMode="External"/><Relationship Id="rId380" Type="http://schemas.openxmlformats.org/officeDocument/2006/relationships/hyperlink" Target="http://www.oas.org/en/iachr/reports/pdfs/PretrialDetention.pdf" TargetMode="External"/><Relationship Id="rId436" Type="http://schemas.openxmlformats.org/officeDocument/2006/relationships/hyperlink" Target="http://www.foxnews.com/world/2014/10/18/experts-tell-us-commission-stand-your-ground-law-is-discriminatory.html" TargetMode="External"/><Relationship Id="rId601" Type="http://schemas.openxmlformats.org/officeDocument/2006/relationships/hyperlink" Target="file:///C:\Users\AAlmeida\AppData\Local\Microsoft\Windows\INetCache\Content.Outlook\EYNCVJAP\The%20War%20on%20Marijuana%20in%20Black%20and%20White" TargetMode="External"/><Relationship Id="rId643" Type="http://schemas.openxmlformats.org/officeDocument/2006/relationships/hyperlink" Target="http://www.oas.org/en/iachr/docs/annual/2015/doc-en/InformeAnual2015-cap4A-fuerza-EN.pdf" TargetMode="External"/><Relationship Id="rId240" Type="http://schemas.openxmlformats.org/officeDocument/2006/relationships/hyperlink" Target="https://www.youtube.com/watch?v=U5SvLoYX71M" TargetMode="External"/><Relationship Id="rId478" Type="http://schemas.openxmlformats.org/officeDocument/2006/relationships/hyperlink" Target="http://www.ilga.gov/legislation/99/SB/PDF/09900SB1304enr.pdf" TargetMode="External"/><Relationship Id="rId685" Type="http://schemas.openxmlformats.org/officeDocument/2006/relationships/hyperlink" Target="http://www.ohchr.org/EN/ProfessionalInterest/Pages/RemedyAndReparation.aspx" TargetMode="External"/><Relationship Id="rId35" Type="http://schemas.openxmlformats.org/officeDocument/2006/relationships/hyperlink" Target="https://www.oas.org/en/iachr/media_center/Preleases/2012/117.asp" TargetMode="External"/><Relationship Id="rId77" Type="http://schemas.openxmlformats.org/officeDocument/2006/relationships/hyperlink" Target="http://tbinternet.ohchr.org/_layouts/treatybodyexternal/Download.aspx?symbolno=CERD%2fC%2fUSA%2fCO%2f7-9&amp;Lang=en" TargetMode="External"/><Relationship Id="rId100" Type="http://schemas.openxmlformats.org/officeDocument/2006/relationships/hyperlink" Target="https://chicagounbound.uchicago.edu/cgi/viewcontent.cgi?referer=http://www.law.columbia.edu/news/2017/06/kimberle-crenshaw-intersectionality&amp;httpsredir=1&amp;article=1052&amp;context=uclf" TargetMode="External"/><Relationship Id="rId282" Type="http://schemas.openxmlformats.org/officeDocument/2006/relationships/hyperlink" Target="http://www.houstonchronicle.com/local/investigations/item/Bulletproof-Part-3-Hard-to-charge-24421.php" TargetMode="External"/><Relationship Id="rId338" Type="http://schemas.openxmlformats.org/officeDocument/2006/relationships/hyperlink" Target="https://www.state.gov/documents/organization/235641.pdf" TargetMode="External"/><Relationship Id="rId503" Type="http://schemas.openxmlformats.org/officeDocument/2006/relationships/hyperlink" Target="https://www.washingtonpost.com/world/national-security/justice-dept-to-announce-new-rules-to-curb-racial-profiling-by-federal-law-enforcement/2014/12/07/e00eca18-7e79-11e4-9f38-95a187e4c1f7_story.html?utm_term=.ef5e86ff32a5" TargetMode="External"/><Relationship Id="rId545" Type="http://schemas.openxmlformats.org/officeDocument/2006/relationships/hyperlink" Target="http://www.cidh.org/Terrorism/Span/indice.htm" TargetMode="External"/><Relationship Id="rId587" Type="http://schemas.openxmlformats.org/officeDocument/2006/relationships/hyperlink" Target="http://www.ohchr.org/EN/Issues/Education/Training/Compilation/Pages/b)GeneralRecommendationXIIIonthetrainingoflawenforcementofficialsintheprotectionofhumanrights(1993).aspx" TargetMode="External"/><Relationship Id="rId8" Type="http://schemas.openxmlformats.org/officeDocument/2006/relationships/hyperlink" Target="http://www.oas.org/en/iachr/media_center/preleases/2015/118.asp" TargetMode="External"/><Relationship Id="rId142" Type="http://schemas.openxmlformats.org/officeDocument/2006/relationships/hyperlink" Target="https://www.youtube.com/watch?v=YqsAddPVcMI" TargetMode="External"/><Relationship Id="rId184" Type="http://schemas.openxmlformats.org/officeDocument/2006/relationships/hyperlink" Target="http://www.oas.org/en/iachr/media_center/preleases/2015/118.asp" TargetMode="External"/><Relationship Id="rId391" Type="http://schemas.openxmlformats.org/officeDocument/2006/relationships/hyperlink" Target="https://www.youtube.com/watch?v=ieGOtPqlHLM&amp;feature=youtu.be" TargetMode="External"/><Relationship Id="rId405" Type="http://schemas.openxmlformats.org/officeDocument/2006/relationships/hyperlink" Target="https://www.bjs.gov/index.cfm?ty=pbdetail&amp;iid=5967" TargetMode="External"/><Relationship Id="rId447" Type="http://schemas.openxmlformats.org/officeDocument/2006/relationships/hyperlink" Target="http://static1.squarespace.com/static/53f20d90e4b0b80451158d8c/t/560c068ee4b0af26f72741df/1443628686535/AAPF_SMN_Brief_Full_singles-min.pdf" TargetMode="External"/><Relationship Id="rId612" Type="http://schemas.openxmlformats.org/officeDocument/2006/relationships/hyperlink" Target="http://www.oas.org/en/iachr/afro-descendants/docs/pdf/AFROS_2011_ENG.pdf" TargetMode="External"/><Relationship Id="rId251" Type="http://schemas.openxmlformats.org/officeDocument/2006/relationships/hyperlink" Target="http://www.oas.org/en/iachr/media_center/preleases/2015/040.asp" TargetMode="External"/><Relationship Id="rId489" Type="http://schemas.openxmlformats.org/officeDocument/2006/relationships/hyperlink" Target="https://www.nytimes.com/2017/07/29/nyregion/trump-police-too-nice.html" TargetMode="External"/><Relationship Id="rId654" Type="http://schemas.openxmlformats.org/officeDocument/2006/relationships/hyperlink" Target="https://www.bjs.gov/index.cfm?ty=pbdetail&amp;iid=4862" TargetMode="External"/><Relationship Id="rId696" Type="http://schemas.openxmlformats.org/officeDocument/2006/relationships/hyperlink" Target="http://www.oas.org/en/iachr/afro-descendants/docs/pdf/AFROS_2011_ENG.pdf" TargetMode="External"/><Relationship Id="rId46" Type="http://schemas.openxmlformats.org/officeDocument/2006/relationships/hyperlink" Target="https://www.oas.org/en/iachr/reports/pdfs/Universalization-InterAmerican-System.docx" TargetMode="External"/><Relationship Id="rId293" Type="http://schemas.openxmlformats.org/officeDocument/2006/relationships/hyperlink" Target="https://www.themarshallproject.org/2015/04/27/blue-shield" TargetMode="External"/><Relationship Id="rId307" Type="http://schemas.openxmlformats.org/officeDocument/2006/relationships/hyperlink" Target="https://www.youtube.com/watch?v=c_ZLnaWeXCk" TargetMode="External"/><Relationship Id="rId349" Type="http://schemas.openxmlformats.org/officeDocument/2006/relationships/hyperlink" Target="https://www.huffingtonpost.com/cynthia-jones/pretrial-detention-blacks-and-latinos_b_8537602.html" TargetMode="External"/><Relationship Id="rId514" Type="http://schemas.openxmlformats.org/officeDocument/2006/relationships/hyperlink" Target="http://www.cidh.oas.org/annualrep/2006eng/CUBA.12476eng.htm" TargetMode="External"/><Relationship Id="rId556" Type="http://schemas.openxmlformats.org/officeDocument/2006/relationships/hyperlink" Target="http://www.oas.org/en/iachr/docs/annual/2015/doc-en/informeanual2015-cap4a-fuerza-en.pdf" TargetMode="External"/><Relationship Id="rId88" Type="http://schemas.openxmlformats.org/officeDocument/2006/relationships/hyperlink" Target="http://college.usatoday.com/2017/03/07/report-the-race-gap-in-higher-education-is-very-real/" TargetMode="External"/><Relationship Id="rId111" Type="http://schemas.openxmlformats.org/officeDocument/2006/relationships/hyperlink" Target="https://www.theatlantic.com/politics/archive/2014/10/the-old-jim-crow/381473/" TargetMode="External"/><Relationship Id="rId153" Type="http://schemas.openxmlformats.org/officeDocument/2006/relationships/hyperlink" Target="https://www.npr.org/2017/04/26/524744989/when-la-erupted-in-anger-a-look-back-at-the-rodney-king-riots" TargetMode="External"/><Relationship Id="rId195" Type="http://schemas.openxmlformats.org/officeDocument/2006/relationships/hyperlink" Target="https://www.justice.gov/opa/pr/justice-department-announces-findings-two-civil-rights-investigations-ferguson-missouri" TargetMode="External"/><Relationship Id="rId209" Type="http://schemas.openxmlformats.org/officeDocument/2006/relationships/hyperlink" Target="https://www.bja.gov/publications/LEEWG_Report_Final.pdf" TargetMode="External"/><Relationship Id="rId360" Type="http://schemas.openxmlformats.org/officeDocument/2006/relationships/hyperlink" Target="http://tbinternet.ohchr.org/_layouts/treatybodyexternal/Download.aspx?symbolno=CERD%2fC%2fUSA%2fCO%2f7-9&amp;Lang=en" TargetMode="External"/><Relationship Id="rId416" Type="http://schemas.openxmlformats.org/officeDocument/2006/relationships/hyperlink" Target="http://www.oas.org/en/iachr/media_center/PReleases/2017/124.asp" TargetMode="External"/><Relationship Id="rId598" Type="http://schemas.openxmlformats.org/officeDocument/2006/relationships/hyperlink" Target="http://www.oas.org/en/iachr/docs/annual/2015/doc-en/informeanual2015-cap4a-fuerza-en.pdf" TargetMode="External"/><Relationship Id="rId220" Type="http://schemas.openxmlformats.org/officeDocument/2006/relationships/hyperlink" Target="http://www.oas.org/en/iachr/media_center/preleases/2014/090.asp" TargetMode="External"/><Relationship Id="rId458" Type="http://schemas.openxmlformats.org/officeDocument/2006/relationships/hyperlink" Target="https://www.youtube.com/watch?v=ieGOtPqlHLM&amp;feature=youtu.be" TargetMode="External"/><Relationship Id="rId623" Type="http://schemas.openxmlformats.org/officeDocument/2006/relationships/hyperlink" Target="http://www.oas.org/en/iachr/decisions/2011/uspu12626en.doc" TargetMode="External"/><Relationship Id="rId665" Type="http://schemas.openxmlformats.org/officeDocument/2006/relationships/hyperlink" Target="http://www.oas.org/en/iachr/media_center/preleases/2015/040.asp" TargetMode="External"/><Relationship Id="rId15" Type="http://schemas.openxmlformats.org/officeDocument/2006/relationships/hyperlink" Target="http://www.oas.org/en/iachr/media_center/PReleases/2017/124.asp" TargetMode="External"/><Relationship Id="rId57" Type="http://schemas.openxmlformats.org/officeDocument/2006/relationships/hyperlink" Target="http://www.ohchr.org/EN/HRBodies/HRC/RegularSessions/Session35/Documents/A_HRC_35_28_Add.2_AEV.docx" TargetMode="External"/><Relationship Id="rId262" Type="http://schemas.openxmlformats.org/officeDocument/2006/relationships/hyperlink" Target="https://documents-dds-ny.un.org/doc/UNDOC/GEN/G16/183/30/PDF/G1618330.pdf?OpenElement" TargetMode="External"/><Relationship Id="rId318" Type="http://schemas.openxmlformats.org/officeDocument/2006/relationships/hyperlink" Target="https://www.washingtonpost.com/news/post-nation/wp/2014/10/06/federal-judges-tosses-5-second-rule-being-used-to-police-ferguson-protests/" TargetMode="External"/><Relationship Id="rId525" Type="http://schemas.openxmlformats.org/officeDocument/2006/relationships/hyperlink" Target="https://www.cidh.oas.org/women/access07/Report%20Access%20to%20Justice%20Report%20English%20020507.pdf" TargetMode="External"/><Relationship Id="rId567" Type="http://schemas.openxmlformats.org/officeDocument/2006/relationships/hyperlink" Target="http://www.oas.org/en/iachr/docs/annual/2015/doc-en/informeanual2015-cap4a-fuerza-en.pdf" TargetMode="External"/><Relationship Id="rId99" Type="http://schemas.openxmlformats.org/officeDocument/2006/relationships/hyperlink" Target="https://www.washingtonpost.com/blogs/govbeat/wp/2014/05/15/the-most-segregated-schools-may-not-be-in-the-states-youd-expect-2/?utm_term=.55d8808fcd7a" TargetMode="External"/><Relationship Id="rId122" Type="http://schemas.openxmlformats.org/officeDocument/2006/relationships/hyperlink" Target="https://lynchinginamerica.eji.org/report/" TargetMode="External"/><Relationship Id="rId164" Type="http://schemas.openxmlformats.org/officeDocument/2006/relationships/hyperlink" Target="https://documents-dds-ny.un.org/doc/UNDOC/GEN/G16/183/30/PDF/G1618330.pdf?OpenElement" TargetMode="External"/><Relationship Id="rId371" Type="http://schemas.openxmlformats.org/officeDocument/2006/relationships/hyperlink" Target="http://projects.heraldtribune.com/bias/sentencing/" TargetMode="External"/><Relationship Id="rId427" Type="http://schemas.openxmlformats.org/officeDocument/2006/relationships/hyperlink" Target="https://www.nytimes.com/2017/08/13/us/charlottesville-rally-protest-statue.html" TargetMode="External"/><Relationship Id="rId469" Type="http://schemas.openxmlformats.org/officeDocument/2006/relationships/hyperlink" Target="https://www.theguardian.com/society/2017/dec/15/america-extreme-poverty-un-special-rapporteur" TargetMode="External"/><Relationship Id="rId634" Type="http://schemas.openxmlformats.org/officeDocument/2006/relationships/hyperlink" Target="http://www.oas.org/en/iachr/docs/annual/2015/doc-en/InformeAnual2015-cap4A-fuerza-EN.pdf" TargetMode="External"/><Relationship Id="rId676" Type="http://schemas.openxmlformats.org/officeDocument/2006/relationships/hyperlink" Target="http://www.cidh.org/countryrep/Defenders/defenderstoc.htm" TargetMode="External"/><Relationship Id="rId26" Type="http://schemas.openxmlformats.org/officeDocument/2006/relationships/hyperlink" Target="http://www.oas.org/dil/access_to_information_human_right_American_Declaration_of_the_Rights_and_Duties_of_Man.pdf" TargetMode="External"/><Relationship Id="rId231" Type="http://schemas.openxmlformats.org/officeDocument/2006/relationships/hyperlink" Target="https://www.pri.org/stories/2016-07-12/when-it-comes-police-shootings-us-doesnt-look-developed-nation" TargetMode="External"/><Relationship Id="rId273" Type="http://schemas.openxmlformats.org/officeDocument/2006/relationships/hyperlink" Target="https://www.nytimes.com/2017/06/16/us/police-shooting-trial-philando-castile.html" TargetMode="External"/><Relationship Id="rId329" Type="http://schemas.openxmlformats.org/officeDocument/2006/relationships/hyperlink" Target="http://www.oas.org/en/iachr/docs/annual/2015/doc-en/InformeAnual2015-cap4A-fuerza-EN.pdf" TargetMode="External"/><Relationship Id="rId480" Type="http://schemas.openxmlformats.org/officeDocument/2006/relationships/hyperlink" Target="https://www.phillypolice.com/assets/forms-reports/TaskForce_FinalReport.pdf" TargetMode="External"/><Relationship Id="rId536" Type="http://schemas.openxmlformats.org/officeDocument/2006/relationships/hyperlink" Target="http://www.refworld.org/docid/48abd56dd.html" TargetMode="External"/><Relationship Id="rId701" Type="http://schemas.openxmlformats.org/officeDocument/2006/relationships/hyperlink" Target="http://www.ohchr.org/EN/ProfessionalInterest/Pages/RemedyAndReparation.aspx" TargetMode="External"/><Relationship Id="rId68" Type="http://schemas.openxmlformats.org/officeDocument/2006/relationships/hyperlink" Target="https://www.usnews.com/news/best-states/michigan/articles/2017-09-15/expert-declares-qualified-end-to-water-crisis-in-flint" TargetMode="External"/><Relationship Id="rId133" Type="http://schemas.openxmlformats.org/officeDocument/2006/relationships/hyperlink" Target="https://lynchinginamerica.eji.org/report/" TargetMode="External"/><Relationship Id="rId175" Type="http://schemas.openxmlformats.org/officeDocument/2006/relationships/hyperlink" Target="http://oag.state.ny.us/sites/default/files/pdfs/bureaus/civil_rights/stp_frsk.pdf" TargetMode="External"/><Relationship Id="rId340" Type="http://schemas.openxmlformats.org/officeDocument/2006/relationships/hyperlink" Target="http://archives.civilrights.org/publications/reports/racial-profiling2011/racial_profiling2011.pdf" TargetMode="External"/><Relationship Id="rId578" Type="http://schemas.openxmlformats.org/officeDocument/2006/relationships/hyperlink" Target="http://www.amnestyusa.org/research/reports/deadly-force-police-use-of-lethal-force-in-the-united-states" TargetMode="External"/><Relationship Id="rId200" Type="http://schemas.openxmlformats.org/officeDocument/2006/relationships/hyperlink" Target="https://www.justice.gov/sites/default/files/opa/press-releases/attachments/2015/03/04/ferguson_police_department_report_1.pdf" TargetMode="External"/><Relationship Id="rId382" Type="http://schemas.openxmlformats.org/officeDocument/2006/relationships/hyperlink" Target="http://www.oas.org/en/iachr/media_center/PReleases/2014/104.asp" TargetMode="External"/><Relationship Id="rId438" Type="http://schemas.openxmlformats.org/officeDocument/2006/relationships/hyperlink" Target="https://www.youtube.com/watch?v=X0EV8Rbpg2s" TargetMode="External"/><Relationship Id="rId603" Type="http://schemas.openxmlformats.org/officeDocument/2006/relationships/hyperlink" Target="https://www.aclu.org/report/war-comes-home-excessive-militarization-american-police" TargetMode="External"/><Relationship Id="rId645" Type="http://schemas.openxmlformats.org/officeDocument/2006/relationships/hyperlink" Target="http://www.ohchr.org/Documents/Publications/MinnesotaProtocol.pdf" TargetMode="External"/><Relationship Id="rId687" Type="http://schemas.openxmlformats.org/officeDocument/2006/relationships/hyperlink" Target="http://www.ohchr.org/EN/ProfessionalInterest/Pages/RemedyAndReparation.aspx" TargetMode="External"/><Relationship Id="rId242" Type="http://schemas.openxmlformats.org/officeDocument/2006/relationships/hyperlink" Target="https://www.state.gov/documents/organization/235641.pdf" TargetMode="External"/><Relationship Id="rId284" Type="http://schemas.openxmlformats.org/officeDocument/2006/relationships/hyperlink" Target="http://www.msnbc.com/msnbc/prosecutors-police-inherent-conflict-our-courts" TargetMode="External"/><Relationship Id="rId491" Type="http://schemas.openxmlformats.org/officeDocument/2006/relationships/hyperlink" Target="https://www.usatoday.com/story/opinion/2017/04/17/jeff-sessions-avoid-harmful-federal-intrusion-editorials-debates/100579848/" TargetMode="External"/><Relationship Id="rId505" Type="http://schemas.openxmlformats.org/officeDocument/2006/relationships/hyperlink" Target="http://tbinternet.ohchr.org/_layouts/treatybodyexternal/Download.aspx?symbolno=CERD%2fC%2fUSA%2fCO%2f7-9&amp;Lang=en" TargetMode="External"/><Relationship Id="rId37" Type="http://schemas.openxmlformats.org/officeDocument/2006/relationships/hyperlink" Target="http://cidh.org/annualrep/2004eng/Belize.12053eng.htm" TargetMode="External"/><Relationship Id="rId79" Type="http://schemas.openxmlformats.org/officeDocument/2006/relationships/hyperlink" Target="http://blackrj.org/wp-content/uploads/2017/06/http:/blackrj.org/wp-content/uploads/2017/06/FINAL-InOurVoices_Report_final.pdfFINAL-InOurVoices_Report_final.pdf" TargetMode="External"/><Relationship Id="rId102" Type="http://schemas.openxmlformats.org/officeDocument/2006/relationships/hyperlink" Target="http://www.oas.org/en/iachr/afro-descendants/docs/pdf/AFROS_2011_ENG.pdf" TargetMode="External"/><Relationship Id="rId144" Type="http://schemas.openxmlformats.org/officeDocument/2006/relationships/hyperlink" Target="https://documents-dds-ny.un.org/doc/UNDOC/GEN/G16/183/30/PDF/G1618330.pdf?OpenElement" TargetMode="External"/><Relationship Id="rId547" Type="http://schemas.openxmlformats.org/officeDocument/2006/relationships/hyperlink" Target="http://www.oas.org/en/iachr/expression/docs/reports/annual/AnnualReport2015RELE.pdf" TargetMode="External"/><Relationship Id="rId589" Type="http://schemas.openxmlformats.org/officeDocument/2006/relationships/hyperlink" Target="http://www.oas.org/en/iachr/docs/annual/2015/doc-en/informeanual2015-cap4a-fuerza-en.pdf" TargetMode="External"/><Relationship Id="rId90" Type="http://schemas.openxmlformats.org/officeDocument/2006/relationships/hyperlink" Target="https://www.washingtonpost.com/news/monkey-cage/wp/2017/02/15/do-voter-identification-laws-suppress-minority-voting-yes-we-did-the-research/?utm_term=.d330504d6a8e" TargetMode="External"/><Relationship Id="rId186" Type="http://schemas.openxmlformats.org/officeDocument/2006/relationships/hyperlink" Target="https://www.aclu.org/news/aclu-finds-severe-racial-disparities-low-level-arrests-minneapolis-police" TargetMode="External"/><Relationship Id="rId351" Type="http://schemas.openxmlformats.org/officeDocument/2006/relationships/hyperlink" Target="http://www.arnoldfoundation.org/wp-content/uploads/2014/02/LJAF-Pretrial-CJ-Research-brief_FNL.pdf" TargetMode="External"/><Relationship Id="rId393" Type="http://schemas.openxmlformats.org/officeDocument/2006/relationships/hyperlink" Target="http://ohchr.org/EN/NewsEvents/Pages/DisplayNews.aspx?NewsID=22533&amp;LangID=E" TargetMode="External"/><Relationship Id="rId407" Type="http://schemas.openxmlformats.org/officeDocument/2006/relationships/hyperlink" Target="https://elpais.com/internacional/2017/11/13/estados_unidos/1510598646_373966.html" TargetMode="External"/><Relationship Id="rId449" Type="http://schemas.openxmlformats.org/officeDocument/2006/relationships/hyperlink" Target="http://www.oas.org/en/iachr/media_center/preleases/2015/118.asp" TargetMode="External"/><Relationship Id="rId614" Type="http://schemas.openxmlformats.org/officeDocument/2006/relationships/hyperlink" Target="http://www.oas.org/en/iachr/docs/annual/2015/doc-en/InformeAnual2015-cap4A-fuerza-EN.pdf" TargetMode="External"/><Relationship Id="rId656" Type="http://schemas.openxmlformats.org/officeDocument/2006/relationships/hyperlink" Target="http://www.ohchr.org/EN/ProfessionalInterest/Pages/UseOfForceAndFirearms.aspx" TargetMode="External"/><Relationship Id="rId211" Type="http://schemas.openxmlformats.org/officeDocument/2006/relationships/hyperlink" Target="https://www.whitehouse.gov/the-press-office/2017/08/28/presidential-executive-order-restoring-state-tribal-and-local-law" TargetMode="External"/><Relationship Id="rId253" Type="http://schemas.openxmlformats.org/officeDocument/2006/relationships/hyperlink" Target="https://www.youtube.com/watch?v=c_ZLnaWeXCk" TargetMode="External"/><Relationship Id="rId295" Type="http://schemas.openxmlformats.org/officeDocument/2006/relationships/hyperlink" Target="http://www.ohchr.org/EN/HRBodies/HRC/RegularSessions/Session35/Documents/A_HRC_35_28_Add.2_AEV.docx" TargetMode="External"/><Relationship Id="rId309" Type="http://schemas.openxmlformats.org/officeDocument/2006/relationships/hyperlink" Target="https://www.yalelawjournal.org/forum/the-first-amendment-freedom-of-assembly-as-a-racial-project" TargetMode="External"/><Relationship Id="rId460" Type="http://schemas.openxmlformats.org/officeDocument/2006/relationships/hyperlink" Target="https://www.washingtonpost.com/news/morning-mix/wp/2014/11/25/why-darren-wilson-said-he-killed-michael-brown/?utm_term=.44e8a2cf20aa" TargetMode="External"/><Relationship Id="rId516" Type="http://schemas.openxmlformats.org/officeDocument/2006/relationships/hyperlink" Target="http://www.oas.org/dil/international_convention_on_the_elimination_of_all_forms_of_racial_discrimination_bahamas.pdf" TargetMode="External"/><Relationship Id="rId698" Type="http://schemas.openxmlformats.org/officeDocument/2006/relationships/hyperlink" Target="http://www.ohchr.org/EN/ProfessionalInterest/Pages/RemedyAndReparation.aspx" TargetMode="External"/><Relationship Id="rId48" Type="http://schemas.openxmlformats.org/officeDocument/2006/relationships/hyperlink" Target="https://www.cidh.oas.org/annualrep/2008eng/USA12534eng.htm" TargetMode="External"/><Relationship Id="rId113" Type="http://schemas.openxmlformats.org/officeDocument/2006/relationships/hyperlink" Target="http://plsonline.eku.edu/insidelook/brief-history-slavery-and-origins-american-policing" TargetMode="External"/><Relationship Id="rId320" Type="http://schemas.openxmlformats.org/officeDocument/2006/relationships/hyperlink" Target="https://www.youtube.com/watch?v=ieGOtPqlHLM&amp;feature=youtu.be" TargetMode="External"/><Relationship Id="rId558" Type="http://schemas.openxmlformats.org/officeDocument/2006/relationships/hyperlink" Target="http://www.oas.org/en/iachr/docs/annual/2015/doc-en/informeanual2015-cap4a-fuerza-en.pdf" TargetMode="External"/><Relationship Id="rId155" Type="http://schemas.openxmlformats.org/officeDocument/2006/relationships/hyperlink" Target="https://www.youtube.com/watch?v=X0EV8Rbpg2s" TargetMode="External"/><Relationship Id="rId197" Type="http://schemas.openxmlformats.org/officeDocument/2006/relationships/hyperlink" Target="https://www.youtube.com/watch?v=j_OIkzDAaxA" TargetMode="External"/><Relationship Id="rId362" Type="http://schemas.openxmlformats.org/officeDocument/2006/relationships/hyperlink" Target="http://tbinternet.ohchr.org/_layouts/treatybodyexternal/Download.aspx?symbolno=CERD%2fC%2fUSA%2fCO%2f7-9&amp;Lang=en" TargetMode="External"/><Relationship Id="rId418" Type="http://schemas.openxmlformats.org/officeDocument/2006/relationships/hyperlink" Target="https://www.washingtonpost.com/local/the-brutal-beating-of-black-man-by-white-supremacists-still-roils-charlottesville/2017/10/10/e5994132-a515-11e7-8cfe-d5b912fabc99_story.html?utm_term=.20cf12e91304" TargetMode="External"/><Relationship Id="rId625" Type="http://schemas.openxmlformats.org/officeDocument/2006/relationships/hyperlink" Target="http://www.oas.org/en/iachr/migrants/docs/pdf/Migrants2011.pdf" TargetMode="External"/><Relationship Id="rId222" Type="http://schemas.openxmlformats.org/officeDocument/2006/relationships/hyperlink" Target="http://www.oas.org/en/iachr/media_center/PReleases/2016/120.asp" TargetMode="External"/><Relationship Id="rId264" Type="http://schemas.openxmlformats.org/officeDocument/2006/relationships/hyperlink" Target="file:///C:\Users\AAlmeida\AppData\Local\Microsoft\Windows\INetCache\Content.Outlook\EYNCVJAP\Dozens%20of%20killings%20by%20US%20police%20ruled%20justified%20without%20public%20being%20notified" TargetMode="External"/><Relationship Id="rId471" Type="http://schemas.openxmlformats.org/officeDocument/2006/relationships/hyperlink" Target="https://www.justice.gov/opa/pr/justice-department-releases-report-civil-rights-division-s-pattern-and-practice-police-reform" TargetMode="External"/><Relationship Id="rId667" Type="http://schemas.openxmlformats.org/officeDocument/2006/relationships/hyperlink" Target="https://www.oas.org/en/iachr/decisions/2016/USPU12834EN.pdf" TargetMode="External"/><Relationship Id="rId17" Type="http://schemas.openxmlformats.org/officeDocument/2006/relationships/hyperlink" Target="https://www.oas.org/en/iachr/reports/pdfs/indigenous-women-bc-canada-en.pdf" TargetMode="External"/><Relationship Id="rId59" Type="http://schemas.openxmlformats.org/officeDocument/2006/relationships/hyperlink" Target="https://documents-dds-ny.un.org/doc/UNDOC/GEN/G16/183/30/PDF/G1618330.pdf?OpenElement" TargetMode="External"/><Relationship Id="rId124" Type="http://schemas.openxmlformats.org/officeDocument/2006/relationships/hyperlink" Target="https://lynchinginamerica.eji.org/report/" TargetMode="External"/><Relationship Id="rId527" Type="http://schemas.openxmlformats.org/officeDocument/2006/relationships/hyperlink" Target="https://www.oas.org/en/iachr/decisions/2016/USPU12834EN.pdf" TargetMode="External"/><Relationship Id="rId569" Type="http://schemas.openxmlformats.org/officeDocument/2006/relationships/hyperlink" Target="http://www.oas.org/en/iachr/docs/pdf/citizensec.pdf" TargetMode="External"/><Relationship Id="rId70" Type="http://schemas.openxmlformats.org/officeDocument/2006/relationships/hyperlink" Target="http://www.cnn.com/2016/01/26/us/flint-michigan-water-crisis-race-poverty/index.html" TargetMode="External"/><Relationship Id="rId166" Type="http://schemas.openxmlformats.org/officeDocument/2006/relationships/hyperlink" Target="http://tbinternet.ohchr.org/_layouts/treatybodyexternal/Download.aspx?symbolno=CERD%2fC%2fUSA%2fCO%2f7-9&amp;Lang=en" TargetMode="External"/><Relationship Id="rId331" Type="http://schemas.openxmlformats.org/officeDocument/2006/relationships/hyperlink" Target="https://www.theguardian.com/us-news/2017/sep/18/militaristic-and-intimidating-st-louis-police-criticized-as-protests-stretch-on" TargetMode="External"/><Relationship Id="rId373" Type="http://schemas.openxmlformats.org/officeDocument/2006/relationships/hyperlink" Target="https://www.prisonpolicy.org/global/2016.html" TargetMode="External"/><Relationship Id="rId429" Type="http://schemas.openxmlformats.org/officeDocument/2006/relationships/hyperlink" Target="https://www.cnn.com/2017/08/15/us/confederate-memorial-removal-us-trnd/index.html" TargetMode="External"/><Relationship Id="rId580" Type="http://schemas.openxmlformats.org/officeDocument/2006/relationships/hyperlink" Target="http://www.oas.org/en/iachr/media_center/PReleases/2016/120.asp" TargetMode="External"/><Relationship Id="rId636" Type="http://schemas.openxmlformats.org/officeDocument/2006/relationships/hyperlink" Target="https://www.washingtonpost.com/national/fbi-director-calls-lack-of-data-on-police-shootings-ridiculous-embarrassing/2015/10/07/c0ebaf7a-6d16-11e5-b31c-d80d62b53e28_story.html" TargetMode="External"/><Relationship Id="rId1" Type="http://schemas.openxmlformats.org/officeDocument/2006/relationships/hyperlink" Target="https://www.youtube.com/watch?v=X0EV8Rbpg2s" TargetMode="External"/><Relationship Id="rId233" Type="http://schemas.openxmlformats.org/officeDocument/2006/relationships/hyperlink" Target="https://www.washingtonpost.com/graphics/national/police-shootings-2016/" TargetMode="External"/><Relationship Id="rId440" Type="http://schemas.openxmlformats.org/officeDocument/2006/relationships/hyperlink" Target="https://www.youtube.com/watch?v=X0EV8Rbpg2s" TargetMode="External"/><Relationship Id="rId678" Type="http://schemas.openxmlformats.org/officeDocument/2006/relationships/hyperlink" Target="http://www.oas.org/en/iachr/afro-descendants/docs/pdf/AFROS_2011_ENG.pdf" TargetMode="External"/><Relationship Id="rId28" Type="http://schemas.openxmlformats.org/officeDocument/2006/relationships/hyperlink" Target="http://www.oas.org/en/iachr/reports/pdfs/Towards-Closure-Guantanamo.pdf" TargetMode="External"/><Relationship Id="rId275" Type="http://schemas.openxmlformats.org/officeDocument/2006/relationships/hyperlink" Target="http://www.cnn.com/2017/05/03/us/alton-sterling-doj-death-investigation/index.html" TargetMode="External"/><Relationship Id="rId300" Type="http://schemas.openxmlformats.org/officeDocument/2006/relationships/hyperlink" Target="http://rfkhumanrights.org/media/filer_public/7d/84/7d8409c1-588f-4163-b552-1f6428e685db/iachr_thematic_hearing_submission_-_excessive_use_of_force_by_police_against_black_americans.pdf" TargetMode="External"/><Relationship Id="rId482" Type="http://schemas.openxmlformats.org/officeDocument/2006/relationships/hyperlink" Target="https://www.youtube.com/watch?v=ieGOtPqlHLM&amp;feature=youtu.be" TargetMode="External"/><Relationship Id="rId538" Type="http://schemas.openxmlformats.org/officeDocument/2006/relationships/hyperlink" Target="https://www.cidh.oas.org/annualrep/2006sp/cap4d.2006.sp.htm" TargetMode="External"/><Relationship Id="rId703" Type="http://schemas.openxmlformats.org/officeDocument/2006/relationships/hyperlink" Target="http://www.oas.org/en/iachr/reports/pdfs/right-to-truth-en.pdf" TargetMode="External"/><Relationship Id="rId81" Type="http://schemas.openxmlformats.org/officeDocument/2006/relationships/hyperlink" Target="http://www.oas.org/en/iachr/afro-descendants/docs/pdf/AFROS_2011_ENG.pdf" TargetMode="External"/><Relationship Id="rId135" Type="http://schemas.openxmlformats.org/officeDocument/2006/relationships/hyperlink" Target="https://www.newyorker.com/magazine/2016/10/10/the-widening-racial-wealth-divide" TargetMode="External"/><Relationship Id="rId177" Type="http://schemas.openxmlformats.org/officeDocument/2006/relationships/hyperlink" Target="https://ssrn.com/abstract=743284" TargetMode="External"/><Relationship Id="rId342" Type="http://schemas.openxmlformats.org/officeDocument/2006/relationships/hyperlink" Target="http://www.app.com/story/news/investigations/2014/11/18/racial-arrest-disparity-nj/19247461/" TargetMode="External"/><Relationship Id="rId384" Type="http://schemas.openxmlformats.org/officeDocument/2006/relationships/hyperlink" Target="https://documents-dds-ny.un.org/doc/UNDOC/GEN/G16/183/30/PDF/G1618330.pdf?OpenElement" TargetMode="External"/><Relationship Id="rId591" Type="http://schemas.openxmlformats.org/officeDocument/2006/relationships/hyperlink" Target="https://www.bjs.gov/content/pub/pdf/csllea08.pdf" TargetMode="External"/><Relationship Id="rId605" Type="http://schemas.openxmlformats.org/officeDocument/2006/relationships/hyperlink" Target="http://www.oas.org/en/iachr/docs/annual/2015/doc-en/InformeAnual2015-cap4A-fuerza-EN.pdf" TargetMode="External"/><Relationship Id="rId202" Type="http://schemas.openxmlformats.org/officeDocument/2006/relationships/hyperlink" Target="http://ohchr.org/EN/NewsEvents/Pages/DisplayNews.aspx?NewsID=22533&amp;LangID=E" TargetMode="External"/><Relationship Id="rId244" Type="http://schemas.openxmlformats.org/officeDocument/2006/relationships/hyperlink" Target="http://www.slate.com/articles/news_and_politics/jurisprudence/2017/02/an_interview_with_deepak_gupta_the_attorney_in_hernandez_v_mesa.html" TargetMode="External"/><Relationship Id="rId647" Type="http://schemas.openxmlformats.org/officeDocument/2006/relationships/hyperlink" Target="http://www.oas.org/en/iachr/media_center/preleases/2015/118.asp" TargetMode="External"/><Relationship Id="rId689" Type="http://schemas.openxmlformats.org/officeDocument/2006/relationships/hyperlink" Target="http://www.oas.org/en/iachr/reports/pdfs/right-to-truth-en.pdf" TargetMode="External"/><Relationship Id="rId39" Type="http://schemas.openxmlformats.org/officeDocument/2006/relationships/hyperlink" Target="http://www.cidh.oas.org/annualrep/2006eng/CUBA.12476eng.htm" TargetMode="External"/><Relationship Id="rId286" Type="http://schemas.openxmlformats.org/officeDocument/2006/relationships/hyperlink" Target="http://www.washingtonpost.com/sf/investigative/2015/04/11/thousands-dead-fewprosecuted/?utm_term=.90c3d610122a" TargetMode="External"/><Relationship Id="rId451" Type="http://schemas.openxmlformats.org/officeDocument/2006/relationships/hyperlink" Target="http://www.treatmentadvocacycenter.org/overlooked-in-the-undercounted" TargetMode="External"/><Relationship Id="rId493" Type="http://schemas.openxmlformats.org/officeDocument/2006/relationships/hyperlink" Target="https://www.nytimes.com/2017/11/21/us/trump-justice-department-police.html" TargetMode="External"/><Relationship Id="rId507" Type="http://schemas.openxmlformats.org/officeDocument/2006/relationships/hyperlink" Target="https://www.washingtonpost.com/world/national-security/justice-dept-to-announce-new-rules-to-curb-racial-profiling-by-federal-law-enforcement/2014/12/07/e00eca18-7e79-11e4-9f38-95a187e4c1f7_story.html?utm_term=.ef5e86ff32a5" TargetMode="External"/><Relationship Id="rId549" Type="http://schemas.openxmlformats.org/officeDocument/2006/relationships/hyperlink" Target="http://www.ohchr.org/EN/ProfessionalInterest/Pages/LawEnforcementOfficials.aspx" TargetMode="External"/><Relationship Id="rId50" Type="http://schemas.openxmlformats.org/officeDocument/2006/relationships/hyperlink" Target="http://cidh.org/annualrep/2002eng/USA.11140.htm" TargetMode="External"/><Relationship Id="rId104" Type="http://schemas.openxmlformats.org/officeDocument/2006/relationships/hyperlink" Target="http://www.oas.org/en/iachr/afro-descendants/docs/pdf/AFROS_2011_ENG.pdf" TargetMode="External"/><Relationship Id="rId146" Type="http://schemas.openxmlformats.org/officeDocument/2006/relationships/hyperlink" Target="https://www.bjs.gov/index.cfm?ty=pbdetail&amp;iid=6187" TargetMode="External"/><Relationship Id="rId188" Type="http://schemas.openxmlformats.org/officeDocument/2006/relationships/hyperlink" Target="https://www.npr.org/sections/thetwo-way/2016/11/15/502193667/lapd-report-finds-racial-disparity-in-approval-and-trust-of-police" TargetMode="External"/><Relationship Id="rId311" Type="http://schemas.openxmlformats.org/officeDocument/2006/relationships/hyperlink" Target="http://www.ohchr.org/EN/HRBodies/HRC/RegularSessions/Session35/Documents/A_HRC_35_28_Add.2_AEV.docx" TargetMode="External"/><Relationship Id="rId353" Type="http://schemas.openxmlformats.org/officeDocument/2006/relationships/hyperlink" Target="https://www.state.gov/documents/organization/235641.pdf" TargetMode="External"/><Relationship Id="rId395" Type="http://schemas.openxmlformats.org/officeDocument/2006/relationships/hyperlink" Target="http://www.oas.org/en/iachr/media_center/PReleases/2016/077.asp" TargetMode="External"/><Relationship Id="rId409" Type="http://schemas.openxmlformats.org/officeDocument/2006/relationships/hyperlink" Target="https://www.vox.com/identities/2017/4/10/15183902/hate-crime-trump-law" TargetMode="External"/><Relationship Id="rId560" Type="http://schemas.openxmlformats.org/officeDocument/2006/relationships/hyperlink" Target="http://www.oas.org/en/iachr/docs/pdf/citizensec.pdf" TargetMode="External"/><Relationship Id="rId92" Type="http://schemas.openxmlformats.org/officeDocument/2006/relationships/hyperlink" Target="https://www.state.gov/documents/organization/235641.pdf" TargetMode="External"/><Relationship Id="rId213" Type="http://schemas.openxmlformats.org/officeDocument/2006/relationships/hyperlink" Target="https://www.aclu.org/blog/criminal-law-reform/reforming-police-practices/trump-just-gave-thousands-bayonets-and-hundreds" TargetMode="External"/><Relationship Id="rId420" Type="http://schemas.openxmlformats.org/officeDocument/2006/relationships/hyperlink" Target="https://www.nytimes.com/2017/08/25/us/charlottesville-protest-police.html" TargetMode="External"/><Relationship Id="rId616" Type="http://schemas.openxmlformats.org/officeDocument/2006/relationships/hyperlink" Target="http://www.oas.org/en/iachr/migrants/docs/pdf/Report-Migrants-Mexico-2013.pdf" TargetMode="External"/><Relationship Id="rId658" Type="http://schemas.openxmlformats.org/officeDocument/2006/relationships/hyperlink" Target="http://www.oas.org/en/iachr/docs/annual/2015/doc-en/InformeAnual2015-cap4A-fuerza-EN.pdf" TargetMode="External"/><Relationship Id="rId255" Type="http://schemas.openxmlformats.org/officeDocument/2006/relationships/hyperlink" Target="https://www.nytimes.com/2018/03/30/us/stephon-clark-independent-autopsy.html" TargetMode="External"/><Relationship Id="rId297" Type="http://schemas.openxmlformats.org/officeDocument/2006/relationships/hyperlink" Target="https://storage.googleapis.com/vera-web-assets/downloads/Publications/civilian-oversight-of-policing-lessons-from-the-literature/legacy_downloads/Civilian_oversight.pdf" TargetMode="External"/><Relationship Id="rId462" Type="http://schemas.openxmlformats.org/officeDocument/2006/relationships/hyperlink" Target="http://www.oas.org/en/iachr/media_center/PReleases/2014/134.asp" TargetMode="External"/><Relationship Id="rId518" Type="http://schemas.openxmlformats.org/officeDocument/2006/relationships/hyperlink" Target="http://www.oas.org/en/iachr/afro-descendants/docs/pdf/AFROS_2011_ENG.pdf" TargetMode="External"/><Relationship Id="rId115" Type="http://schemas.openxmlformats.org/officeDocument/2006/relationships/hyperlink" Target="http://oyc.yale.edu/history/hist-119" TargetMode="External"/><Relationship Id="rId157" Type="http://schemas.openxmlformats.org/officeDocument/2006/relationships/hyperlink" Target="http://www.oas.org/en/iachr/media_center/preleases/2014/090.asp" TargetMode="External"/><Relationship Id="rId322" Type="http://schemas.openxmlformats.org/officeDocument/2006/relationships/hyperlink" Target="http://www.oas.org/en/iachr/docs/annual/2015/doc-en/InformeAnual2015-cap4A-fuerza-EN.pdf" TargetMode="External"/><Relationship Id="rId364" Type="http://schemas.openxmlformats.org/officeDocument/2006/relationships/hyperlink" Target="http://tbinternet.ohchr.org/_layouts/treatybodyexternal/Download.aspx?symbolno=CERD%2fC%2fUSA%2fCO%2f7-9&amp;Lang=en" TargetMode="External"/><Relationship Id="rId61" Type="http://schemas.openxmlformats.org/officeDocument/2006/relationships/hyperlink" Target="http://www.oas.org/en/iachr/afro-descendants/docs/pdf/AFROS_2011_ENG.pdf" TargetMode="External"/><Relationship Id="rId199" Type="http://schemas.openxmlformats.org/officeDocument/2006/relationships/hyperlink" Target="https://www.justice.gov/opa/pr/justice-department-announces-findings-two-civil-rights-investigations-ferguson-missouri" TargetMode="External"/><Relationship Id="rId571" Type="http://schemas.openxmlformats.org/officeDocument/2006/relationships/hyperlink" Target="http://www.un.org/documents/ga/docs/50/plenary/a50-40.htm" TargetMode="External"/><Relationship Id="rId627" Type="http://schemas.openxmlformats.org/officeDocument/2006/relationships/hyperlink" Target="http://www.oas.org/en/iachr/media_center/preleases/2015/040.asp" TargetMode="External"/><Relationship Id="rId669" Type="http://schemas.openxmlformats.org/officeDocument/2006/relationships/hyperlink" Target="http://cidh.org/annualrep/2004eng/Belize.12053eng.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B6E09-67F3-460D-8C73-133A4BB2B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164</Pages>
  <Words>45373</Words>
  <Characters>243200</Characters>
  <Application>Microsoft Office Word</Application>
  <DocSecurity>0</DocSecurity>
  <Lines>5286</Lines>
  <Paragraphs>2137</Paragraphs>
  <ScaleCrop>false</ScaleCrop>
  <HeadingPairs>
    <vt:vector size="2" baseType="variant">
      <vt:variant>
        <vt:lpstr>Title</vt:lpstr>
      </vt:variant>
      <vt:variant>
        <vt:i4>1</vt:i4>
      </vt:variant>
    </vt:vector>
  </HeadingPairs>
  <TitlesOfParts>
    <vt:vector size="1" baseType="lpstr">
      <vt:lpstr>African Americans, Police Use of Force, and Human Rights in the United States</vt:lpstr>
    </vt:vector>
  </TitlesOfParts>
  <LinksUpToDate>false</LinksUpToDate>
  <CharactersWithSpaces>286436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African Americans, Police Use of Force, and Human Rights in the United States</dc:title>
  <dc:creator/>
  <cp:lastModifiedBy/>
  <cp:revision>1</cp:revision>
  <dcterms:created xsi:type="dcterms:W3CDTF">2018-06-25T15:09:00Z</dcterms:created>
  <dcterms:modified xsi:type="dcterms:W3CDTF">2018-12-18T13:26:00Z</dcterms:modified>
</cp:coreProperties>
</file>