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55E" w:rsidRPr="00A50683" w:rsidRDefault="00B348D0" w:rsidP="00481D19">
      <w:pPr>
        <w:tabs>
          <w:tab w:val="left" w:pos="7200"/>
        </w:tabs>
        <w:ind w:right="-1080"/>
        <w:rPr>
          <w:b/>
          <w:sz w:val="22"/>
          <w:szCs w:val="22"/>
          <w:lang w:val="es-ES"/>
        </w:rPr>
      </w:pPr>
      <w:r w:rsidRPr="00A50683">
        <w:rPr>
          <w:b/>
          <w:sz w:val="22"/>
          <w:szCs w:val="22"/>
          <w:lang w:val="es-ES"/>
        </w:rPr>
        <w:tab/>
      </w:r>
    </w:p>
    <w:p w:rsidR="00481D19" w:rsidRPr="00A50683" w:rsidRDefault="00481D19" w:rsidP="00481D19">
      <w:pPr>
        <w:tabs>
          <w:tab w:val="left" w:pos="7200"/>
        </w:tabs>
        <w:ind w:right="-1080"/>
        <w:rPr>
          <w:b/>
          <w:sz w:val="22"/>
          <w:szCs w:val="22"/>
          <w:lang w:val="es-ES"/>
        </w:rPr>
      </w:pPr>
    </w:p>
    <w:p w:rsidR="00481D19" w:rsidRPr="00A50683" w:rsidRDefault="00481D19" w:rsidP="00481D19">
      <w:pPr>
        <w:tabs>
          <w:tab w:val="left" w:pos="6930"/>
        </w:tabs>
        <w:ind w:right="-1080"/>
        <w:rPr>
          <w:sz w:val="22"/>
          <w:szCs w:val="22"/>
          <w:lang w:val="es-ES"/>
        </w:rPr>
      </w:pPr>
      <w:r w:rsidRPr="00A50683">
        <w:rPr>
          <w:b/>
          <w:bCs/>
          <w:sz w:val="22"/>
          <w:szCs w:val="22"/>
          <w:lang w:val="es-ES"/>
        </w:rPr>
        <w:t>REUNIÓN</w:t>
      </w:r>
      <w:r w:rsidRPr="00A50683">
        <w:rPr>
          <w:b/>
          <w:sz w:val="22"/>
          <w:szCs w:val="22"/>
          <w:lang w:val="es-ES"/>
        </w:rPr>
        <w:t xml:space="preserve"> DE </w:t>
      </w:r>
      <w:r w:rsidRPr="00A50683">
        <w:rPr>
          <w:b/>
          <w:bCs/>
          <w:sz w:val="22"/>
          <w:szCs w:val="22"/>
          <w:lang w:val="es-ES"/>
        </w:rPr>
        <w:t>PLANEACIÓN</w:t>
      </w:r>
      <w:r w:rsidRPr="00A50683">
        <w:rPr>
          <w:b/>
          <w:sz w:val="22"/>
          <w:szCs w:val="22"/>
          <w:lang w:val="es-ES"/>
        </w:rPr>
        <w:t xml:space="preserve"> DE LAS AUTORIDADES</w:t>
      </w:r>
      <w:r w:rsidRPr="00A50683">
        <w:rPr>
          <w:sz w:val="22"/>
          <w:szCs w:val="22"/>
          <w:lang w:val="es-ES"/>
        </w:rPr>
        <w:tab/>
      </w:r>
      <w:r w:rsidRPr="00A50683">
        <w:rPr>
          <w:sz w:val="22"/>
          <w:szCs w:val="22"/>
          <w:lang w:val="es-US"/>
        </w:rPr>
        <w:t>OEA/Ser.W/XIII.6</w:t>
      </w:r>
    </w:p>
    <w:p w:rsidR="00481D19" w:rsidRPr="0086569E" w:rsidRDefault="00481D19" w:rsidP="00481D19">
      <w:pPr>
        <w:tabs>
          <w:tab w:val="left" w:pos="6750"/>
        </w:tabs>
        <w:ind w:right="-1080"/>
        <w:rPr>
          <w:sz w:val="22"/>
          <w:szCs w:val="22"/>
          <w:lang w:val="es-US"/>
        </w:rPr>
      </w:pPr>
      <w:r w:rsidRPr="00A50683">
        <w:rPr>
          <w:b/>
          <w:sz w:val="22"/>
          <w:szCs w:val="22"/>
          <w:lang w:val="es-US"/>
        </w:rPr>
        <w:t>CIDI Proceso Ministerial - Educación</w:t>
      </w:r>
      <w:r w:rsidRPr="00A50683">
        <w:rPr>
          <w:b/>
          <w:sz w:val="22"/>
          <w:szCs w:val="22"/>
          <w:lang w:val="es-US"/>
        </w:rPr>
        <w:tab/>
        <w:t xml:space="preserve">   </w:t>
      </w:r>
      <w:r w:rsidR="0086569E">
        <w:rPr>
          <w:sz w:val="22"/>
          <w:szCs w:val="22"/>
          <w:lang w:val="es-US"/>
        </w:rPr>
        <w:t>CIDI/CIE/RPA/doc.</w:t>
      </w:r>
      <w:r w:rsidR="00185E05">
        <w:rPr>
          <w:sz w:val="22"/>
          <w:szCs w:val="22"/>
          <w:lang w:val="es-US"/>
        </w:rPr>
        <w:t>9/20 rev.3</w:t>
      </w:r>
    </w:p>
    <w:p w:rsidR="00481D19" w:rsidRPr="00A50683" w:rsidRDefault="00481D19" w:rsidP="00481D19">
      <w:pPr>
        <w:tabs>
          <w:tab w:val="left" w:pos="6750"/>
        </w:tabs>
        <w:ind w:right="-1080"/>
        <w:rPr>
          <w:sz w:val="22"/>
          <w:szCs w:val="22"/>
          <w:lang w:val="es-ES"/>
        </w:rPr>
      </w:pPr>
      <w:r w:rsidRPr="0086569E">
        <w:rPr>
          <w:sz w:val="22"/>
          <w:szCs w:val="22"/>
          <w:lang w:val="es-ES"/>
        </w:rPr>
        <w:t>10 de febrero de 2020</w:t>
      </w:r>
      <w:r w:rsidRPr="0086569E">
        <w:rPr>
          <w:sz w:val="22"/>
          <w:szCs w:val="22"/>
          <w:lang w:val="es-ES"/>
        </w:rPr>
        <w:tab/>
        <w:t xml:space="preserve">   </w:t>
      </w:r>
      <w:r w:rsidR="00F21512" w:rsidRPr="0086569E">
        <w:rPr>
          <w:sz w:val="22"/>
          <w:szCs w:val="22"/>
          <w:lang w:val="es-ES"/>
        </w:rPr>
        <w:t>1</w:t>
      </w:r>
      <w:r w:rsidR="00185E05">
        <w:rPr>
          <w:sz w:val="22"/>
          <w:szCs w:val="22"/>
          <w:lang w:val="es-ES"/>
        </w:rPr>
        <w:t>7</w:t>
      </w:r>
      <w:r w:rsidR="00F21512" w:rsidRPr="0086569E">
        <w:rPr>
          <w:bCs/>
          <w:sz w:val="22"/>
          <w:szCs w:val="22"/>
          <w:lang w:val="es-ES"/>
        </w:rPr>
        <w:t xml:space="preserve"> julio</w:t>
      </w:r>
      <w:r w:rsidRPr="0086569E">
        <w:rPr>
          <w:sz w:val="22"/>
          <w:szCs w:val="22"/>
          <w:lang w:val="es-ES"/>
        </w:rPr>
        <w:t xml:space="preserve"> 2020</w:t>
      </w:r>
    </w:p>
    <w:p w:rsidR="00481D19" w:rsidRPr="00A50683" w:rsidRDefault="00481D19" w:rsidP="00481D19">
      <w:pPr>
        <w:tabs>
          <w:tab w:val="left" w:pos="6750"/>
        </w:tabs>
        <w:ind w:right="-1080"/>
        <w:rPr>
          <w:sz w:val="22"/>
          <w:szCs w:val="22"/>
          <w:lang w:val="es-ES"/>
        </w:rPr>
      </w:pPr>
      <w:r w:rsidRPr="00A50683">
        <w:rPr>
          <w:sz w:val="22"/>
          <w:szCs w:val="22"/>
          <w:lang w:val="es-ES"/>
        </w:rPr>
        <w:t xml:space="preserve">Washington, D.C. </w:t>
      </w:r>
      <w:r w:rsidRPr="00A50683">
        <w:rPr>
          <w:sz w:val="22"/>
          <w:szCs w:val="22"/>
          <w:lang w:val="es-ES"/>
        </w:rPr>
        <w:tab/>
        <w:t xml:space="preserve">   Original: </w:t>
      </w:r>
      <w:r w:rsidRPr="00A50683">
        <w:rPr>
          <w:bCs/>
          <w:sz w:val="22"/>
          <w:szCs w:val="22"/>
          <w:lang w:val="es-ES"/>
        </w:rPr>
        <w:t>español</w:t>
      </w:r>
    </w:p>
    <w:p w:rsidR="00481D19" w:rsidRPr="00A50683" w:rsidRDefault="00481D19" w:rsidP="00481D19">
      <w:pPr>
        <w:pBdr>
          <w:bottom w:val="single" w:sz="12" w:space="1" w:color="auto"/>
        </w:pBdr>
        <w:jc w:val="center"/>
        <w:rPr>
          <w:sz w:val="22"/>
          <w:szCs w:val="22"/>
          <w:lang w:val="es-ES"/>
        </w:rPr>
      </w:pPr>
    </w:p>
    <w:p w:rsidR="00481D19" w:rsidRPr="00A50683" w:rsidRDefault="00481D19" w:rsidP="00481D19">
      <w:pPr>
        <w:jc w:val="both"/>
        <w:rPr>
          <w:rFonts w:eastAsia="Calibri"/>
          <w:sz w:val="22"/>
          <w:szCs w:val="22"/>
          <w:lang w:val="es-ES"/>
        </w:rPr>
      </w:pPr>
    </w:p>
    <w:p w:rsidR="00481D19" w:rsidRPr="00A50683" w:rsidRDefault="00481D19" w:rsidP="00481D19">
      <w:pPr>
        <w:tabs>
          <w:tab w:val="left" w:pos="7380"/>
        </w:tabs>
        <w:jc w:val="center"/>
        <w:rPr>
          <w:rFonts w:eastAsia="MS Mincho"/>
          <w:bCs/>
          <w:color w:val="000000" w:themeColor="text1"/>
          <w:sz w:val="22"/>
          <w:szCs w:val="22"/>
          <w:lang w:val="es-US" w:bidi="en-US"/>
        </w:rPr>
      </w:pPr>
      <w:bookmarkStart w:id="0" w:name="_LISTA_DE_DOCUMENTOS"/>
      <w:bookmarkEnd w:id="0"/>
      <w:r w:rsidRPr="00A50683">
        <w:rPr>
          <w:color w:val="000000" w:themeColor="text1"/>
          <w:sz w:val="22"/>
          <w:szCs w:val="22"/>
          <w:lang w:val="es-ES_tradnl"/>
        </w:rPr>
        <w:t>PLAN DE TRABAJO 2019-2022</w:t>
      </w:r>
    </w:p>
    <w:p w:rsidR="00481D19" w:rsidRDefault="00481D19" w:rsidP="00481D19">
      <w:pPr>
        <w:tabs>
          <w:tab w:val="left" w:pos="7380"/>
        </w:tabs>
        <w:jc w:val="center"/>
        <w:rPr>
          <w:color w:val="000000" w:themeColor="text1"/>
          <w:sz w:val="22"/>
          <w:szCs w:val="22"/>
          <w:lang w:val="es-ES_tradnl"/>
        </w:rPr>
      </w:pPr>
      <w:r w:rsidRPr="00A50683">
        <w:rPr>
          <w:color w:val="000000" w:themeColor="text1"/>
          <w:sz w:val="22"/>
          <w:szCs w:val="22"/>
          <w:lang w:val="es-ES_tradnl"/>
        </w:rPr>
        <w:t xml:space="preserve">DE LA </w:t>
      </w:r>
      <w:r w:rsidRPr="00A50683">
        <w:rPr>
          <w:rFonts w:eastAsia="MS Mincho"/>
          <w:bCs/>
          <w:color w:val="000000" w:themeColor="text1"/>
          <w:sz w:val="22"/>
          <w:szCs w:val="22"/>
          <w:lang w:val="es-US" w:bidi="en-US"/>
        </w:rPr>
        <w:t>COMISIÓN</w:t>
      </w:r>
      <w:r w:rsidRPr="00A50683">
        <w:rPr>
          <w:color w:val="000000" w:themeColor="text1"/>
          <w:sz w:val="22"/>
          <w:szCs w:val="22"/>
          <w:lang w:val="es-ES_tradnl"/>
        </w:rPr>
        <w:t xml:space="preserve"> INTERAMERICANA DE EDUCACION (CIE)</w:t>
      </w:r>
    </w:p>
    <w:p w:rsidR="00185E05" w:rsidRDefault="00185E05" w:rsidP="00481D19">
      <w:pPr>
        <w:tabs>
          <w:tab w:val="left" w:pos="7380"/>
        </w:tabs>
        <w:jc w:val="center"/>
        <w:rPr>
          <w:color w:val="000000" w:themeColor="text1"/>
          <w:sz w:val="22"/>
          <w:szCs w:val="22"/>
          <w:lang w:val="es-ES_tradnl"/>
        </w:rPr>
      </w:pPr>
    </w:p>
    <w:p w:rsidR="00185E05" w:rsidRPr="00A50683" w:rsidRDefault="00185E05" w:rsidP="00481D19">
      <w:pPr>
        <w:tabs>
          <w:tab w:val="left" w:pos="7380"/>
        </w:tabs>
        <w:jc w:val="center"/>
        <w:rPr>
          <w:color w:val="000000" w:themeColor="text1"/>
          <w:sz w:val="22"/>
          <w:szCs w:val="22"/>
          <w:lang w:val="es-ES_tradnl"/>
        </w:rPr>
      </w:pPr>
      <w:r>
        <w:rPr>
          <w:color w:val="000000" w:themeColor="text1"/>
          <w:sz w:val="22"/>
          <w:szCs w:val="22"/>
          <w:lang w:val="es-ES_tradnl"/>
        </w:rPr>
        <w:t>(Aprobado por la Comisión de Políticas de Cooperación Solidaria para el Desarrollo, durante la reunión celebrada el 10 de julio de 2020)</w:t>
      </w:r>
    </w:p>
    <w:p w:rsidR="00481D19" w:rsidRDefault="00481D19" w:rsidP="00481D19">
      <w:pPr>
        <w:tabs>
          <w:tab w:val="left" w:pos="720"/>
        </w:tabs>
        <w:rPr>
          <w:sz w:val="22"/>
          <w:szCs w:val="22"/>
          <w:lang w:val="es-ES"/>
        </w:rPr>
      </w:pPr>
    </w:p>
    <w:p w:rsidR="0086569E" w:rsidRPr="00A50683" w:rsidRDefault="0086569E" w:rsidP="00481D19">
      <w:pPr>
        <w:tabs>
          <w:tab w:val="left" w:pos="720"/>
        </w:tabs>
        <w:rPr>
          <w:sz w:val="22"/>
          <w:szCs w:val="22"/>
          <w:lang w:val="es-ES"/>
        </w:rPr>
      </w:pPr>
    </w:p>
    <w:p w:rsidR="00481D19" w:rsidRPr="00A50683" w:rsidRDefault="00481D19" w:rsidP="007D4470">
      <w:pPr>
        <w:pStyle w:val="ListParagraph0"/>
        <w:numPr>
          <w:ilvl w:val="0"/>
          <w:numId w:val="3"/>
        </w:numPr>
        <w:tabs>
          <w:tab w:val="left" w:pos="720"/>
        </w:tabs>
        <w:ind w:left="720" w:hanging="810"/>
        <w:rPr>
          <w:sz w:val="22"/>
          <w:szCs w:val="22"/>
          <w:lang w:val="es-ES"/>
        </w:rPr>
      </w:pPr>
      <w:r w:rsidRPr="00A50683">
        <w:rPr>
          <w:sz w:val="22"/>
          <w:szCs w:val="22"/>
          <w:lang w:val="es-ES"/>
        </w:rPr>
        <w:t xml:space="preserve">INTRODUCCIÓN </w:t>
      </w:r>
    </w:p>
    <w:p w:rsidR="00481D19" w:rsidRPr="00A50683" w:rsidRDefault="00481D19" w:rsidP="00481D19">
      <w:pPr>
        <w:pStyle w:val="ListParagraph0"/>
        <w:tabs>
          <w:tab w:val="left" w:pos="720"/>
        </w:tabs>
        <w:ind w:left="1080"/>
        <w:rPr>
          <w:sz w:val="22"/>
          <w:szCs w:val="22"/>
          <w:lang w:val="es-ES"/>
        </w:rPr>
      </w:pPr>
    </w:p>
    <w:p w:rsidR="00481D19" w:rsidRPr="00A50683" w:rsidRDefault="00481D19" w:rsidP="00481D19">
      <w:pPr>
        <w:tabs>
          <w:tab w:val="left" w:pos="720"/>
          <w:tab w:val="left" w:pos="1530"/>
          <w:tab w:val="left" w:pos="7380"/>
        </w:tabs>
        <w:ind w:firstLine="720"/>
        <w:jc w:val="both"/>
        <w:rPr>
          <w:rFonts w:eastAsia="MS Mincho"/>
          <w:sz w:val="22"/>
          <w:szCs w:val="22"/>
          <w:lang w:val="es-ES"/>
        </w:rPr>
      </w:pPr>
      <w:r w:rsidRPr="00A50683">
        <w:rPr>
          <w:rFonts w:eastAsia="MS Mincho"/>
          <w:sz w:val="22"/>
          <w:szCs w:val="22"/>
          <w:lang w:val="es-ES"/>
        </w:rPr>
        <w:t>Este Plan de Trabajo es el resultado de la Reunión de Planeación en el marco del Proceso de la Reunión Interamericana de Ministros de Educación, realizada el 10 de febrero de 2020 de modo virtual con las Autoridades de la Troika, Autoridades de la Comisión Interamericana de Educación (CIE) y de los Grupos de Trabajo de la Agenda Educativa Interamericana de Educación y de las sucesivas reuniones virtuales mantenidas con las Autoridades de los Grupos de Trabajo desde la realización de la Reunión de Planeación hasta fines de abril.</w:t>
      </w:r>
    </w:p>
    <w:p w:rsidR="00481D19" w:rsidRPr="00A50683" w:rsidRDefault="00481D19" w:rsidP="00481D19">
      <w:pPr>
        <w:tabs>
          <w:tab w:val="left" w:pos="1530"/>
          <w:tab w:val="left" w:pos="7380"/>
        </w:tabs>
        <w:ind w:firstLine="720"/>
        <w:jc w:val="both"/>
        <w:rPr>
          <w:rFonts w:eastAsia="MS Mincho"/>
          <w:sz w:val="22"/>
          <w:szCs w:val="22"/>
          <w:lang w:val="es-ES"/>
        </w:rPr>
      </w:pPr>
    </w:p>
    <w:p w:rsidR="00481D19" w:rsidRPr="00A50683" w:rsidRDefault="00481D19" w:rsidP="00481D19">
      <w:pPr>
        <w:tabs>
          <w:tab w:val="left" w:pos="720"/>
          <w:tab w:val="left" w:pos="1530"/>
          <w:tab w:val="left" w:pos="7380"/>
        </w:tabs>
        <w:ind w:firstLine="720"/>
        <w:jc w:val="both"/>
        <w:rPr>
          <w:rFonts w:eastAsia="MS Mincho"/>
          <w:sz w:val="22"/>
          <w:szCs w:val="22"/>
          <w:lang w:val="es-ES"/>
        </w:rPr>
      </w:pPr>
      <w:r w:rsidRPr="00A50683">
        <w:rPr>
          <w:rFonts w:eastAsia="MS Mincho"/>
          <w:sz w:val="22"/>
          <w:szCs w:val="22"/>
          <w:lang w:val="es-ES"/>
        </w:rPr>
        <w:t xml:space="preserve">Cabe mencionar que el 11 de marzo </w:t>
      </w:r>
      <w:r w:rsidR="005169C2">
        <w:rPr>
          <w:rFonts w:eastAsia="MS Mincho"/>
          <w:sz w:val="22"/>
          <w:szCs w:val="22"/>
          <w:lang w:val="es-ES"/>
        </w:rPr>
        <w:t>de 2020</w:t>
      </w:r>
      <w:r w:rsidRPr="00A50683">
        <w:rPr>
          <w:rFonts w:eastAsia="MS Mincho"/>
          <w:sz w:val="22"/>
          <w:szCs w:val="22"/>
          <w:lang w:val="es-ES"/>
        </w:rPr>
        <w:t xml:space="preserve">, la Organización Mundial de la Salud (OMS) declaró oficialmente al COVID-19 como una pandemia, debido a la velocidad de la propagación y la escala de transmisión del virus. Como consecuencia del avance del brote del COVID-19, los gobiernos de la región hemos debido adoptar medidas en todos los ámbitos, incluido el de la educación. Las decisiones sobre nuestros sistemas educativos han impactado notoriamente su funcionamiento y probablemente esta situación se mantendrá por algunos meses más de acuerdo con la evolución de la pandemia. </w:t>
      </w:r>
    </w:p>
    <w:p w:rsidR="00481D19" w:rsidRPr="00A50683" w:rsidRDefault="00481D19" w:rsidP="00481D19">
      <w:pPr>
        <w:tabs>
          <w:tab w:val="left" w:pos="720"/>
          <w:tab w:val="left" w:pos="1530"/>
          <w:tab w:val="left" w:pos="7380"/>
        </w:tabs>
        <w:ind w:firstLine="720"/>
        <w:jc w:val="both"/>
        <w:rPr>
          <w:rFonts w:eastAsia="MS Mincho"/>
          <w:sz w:val="22"/>
          <w:szCs w:val="22"/>
          <w:lang w:val="es-ES"/>
        </w:rPr>
      </w:pPr>
    </w:p>
    <w:p w:rsidR="00481D19" w:rsidRPr="00A50683" w:rsidRDefault="00481D19" w:rsidP="00481D19">
      <w:pPr>
        <w:tabs>
          <w:tab w:val="left" w:pos="720"/>
          <w:tab w:val="left" w:pos="1530"/>
          <w:tab w:val="left" w:pos="7380"/>
        </w:tabs>
        <w:ind w:firstLine="720"/>
        <w:jc w:val="both"/>
        <w:rPr>
          <w:rFonts w:eastAsia="MS Mincho"/>
          <w:sz w:val="22"/>
          <w:szCs w:val="22"/>
          <w:lang w:val="es-CO"/>
        </w:rPr>
      </w:pPr>
      <w:r w:rsidRPr="00A50683">
        <w:rPr>
          <w:rFonts w:eastAsia="MS Mincho"/>
          <w:sz w:val="22"/>
          <w:szCs w:val="22"/>
          <w:lang w:val="es-ES"/>
        </w:rPr>
        <w:t xml:space="preserve">En este sentido, </w:t>
      </w:r>
      <w:r w:rsidRPr="00A50683">
        <w:rPr>
          <w:rFonts w:eastAsia="MS Mincho"/>
          <w:sz w:val="22"/>
          <w:szCs w:val="22"/>
          <w:lang w:val="es-CO"/>
        </w:rPr>
        <w:t>las Autoridades de la CIE trabajamos en una Propuesta Hemisférica de Acción para la Continuidad de la Educación bajo los efectos de la pandemia del coronavirus (PHACE) que permita adecuar en diferentes fases las actividades y proyectos que se describen en este Plan Trabajo, de forma que pueda garantizarse la continuidad de la educación en los diferentes niveles del sistema educativo y se promueva la atención a aquellos más desfavorecidos por tales circunstancias. Esta estrategia se basará en el análisis y realidad de las acciones tomadas por los Gobiernos de la región –y otras experiencias internacionales que puedan ser adaptables- de modo de resaltar los aspectos que han funcionado, mejorar los que han planteado desafíos y proponer posibles soluciones para el camino hacia adelante.</w:t>
      </w:r>
    </w:p>
    <w:p w:rsidR="00481D19" w:rsidRPr="00A50683" w:rsidRDefault="00481D19" w:rsidP="00481D19">
      <w:pPr>
        <w:tabs>
          <w:tab w:val="left" w:pos="720"/>
          <w:tab w:val="left" w:pos="1530"/>
          <w:tab w:val="left" w:pos="7380"/>
        </w:tabs>
        <w:ind w:firstLine="720"/>
        <w:jc w:val="both"/>
        <w:rPr>
          <w:rFonts w:eastAsia="MS Mincho"/>
          <w:sz w:val="22"/>
          <w:szCs w:val="22"/>
          <w:lang w:val="es-CO"/>
        </w:rPr>
      </w:pPr>
    </w:p>
    <w:p w:rsidR="00481D19" w:rsidRPr="00A50683" w:rsidRDefault="00481D19" w:rsidP="00481D19">
      <w:pPr>
        <w:tabs>
          <w:tab w:val="left" w:pos="720"/>
          <w:tab w:val="left" w:pos="1440"/>
        </w:tabs>
        <w:ind w:left="720" w:hanging="720"/>
        <w:rPr>
          <w:sz w:val="22"/>
          <w:szCs w:val="22"/>
          <w:lang w:val="es-ES"/>
        </w:rPr>
      </w:pPr>
      <w:r w:rsidRPr="00A50683">
        <w:rPr>
          <w:sz w:val="22"/>
          <w:szCs w:val="22"/>
          <w:lang w:val="es-ES"/>
        </w:rPr>
        <w:t>II.</w:t>
      </w:r>
      <w:r w:rsidRPr="00A50683">
        <w:rPr>
          <w:sz w:val="22"/>
          <w:szCs w:val="22"/>
          <w:lang w:val="es-ES"/>
        </w:rPr>
        <w:tab/>
        <w:t xml:space="preserve">TEMAS Y MANDATOS DE LA X </w:t>
      </w:r>
      <w:r w:rsidRPr="00A50683">
        <w:rPr>
          <w:rFonts w:eastAsia="MS Mincho"/>
          <w:sz w:val="22"/>
          <w:szCs w:val="22"/>
          <w:lang w:val="es-ES"/>
        </w:rPr>
        <w:t>REUNIÓN</w:t>
      </w:r>
      <w:r w:rsidRPr="00A50683">
        <w:rPr>
          <w:sz w:val="22"/>
          <w:szCs w:val="22"/>
          <w:lang w:val="es-ES"/>
        </w:rPr>
        <w:t xml:space="preserve"> INTERAMERICANA DE MINISTROS DE </w:t>
      </w:r>
      <w:r w:rsidRPr="00A50683">
        <w:rPr>
          <w:rFonts w:eastAsia="MS Mincho"/>
          <w:sz w:val="22"/>
          <w:szCs w:val="22"/>
          <w:lang w:val="es-ES"/>
        </w:rPr>
        <w:t>EDUCACIÓN</w:t>
      </w:r>
      <w:r w:rsidRPr="00A50683">
        <w:rPr>
          <w:sz w:val="22"/>
          <w:szCs w:val="22"/>
          <w:lang w:val="es-ES"/>
        </w:rPr>
        <w:t xml:space="preserve"> EN EL MARCO DEL CIDI</w:t>
      </w:r>
    </w:p>
    <w:p w:rsidR="00481D19" w:rsidRPr="00A50683" w:rsidRDefault="00481D19" w:rsidP="00481D19">
      <w:pPr>
        <w:tabs>
          <w:tab w:val="left" w:pos="1530"/>
          <w:tab w:val="left" w:pos="7380"/>
        </w:tabs>
        <w:ind w:firstLine="720"/>
        <w:rPr>
          <w:rFonts w:eastAsia="MS Mincho"/>
          <w:b/>
          <w:sz w:val="22"/>
          <w:szCs w:val="22"/>
          <w:lang w:val="es-ES"/>
        </w:rPr>
      </w:pPr>
    </w:p>
    <w:p w:rsidR="00481D19" w:rsidRPr="00A50683" w:rsidRDefault="00481D19" w:rsidP="0086569E">
      <w:pPr>
        <w:tabs>
          <w:tab w:val="left" w:pos="1440"/>
          <w:tab w:val="left" w:pos="7380"/>
        </w:tabs>
        <w:ind w:firstLine="720"/>
        <w:rPr>
          <w:rFonts w:eastAsia="MS Mincho"/>
          <w:b/>
          <w:sz w:val="22"/>
          <w:szCs w:val="22"/>
          <w:lang w:val="es-ES"/>
        </w:rPr>
      </w:pPr>
      <w:r w:rsidRPr="00A50683">
        <w:rPr>
          <w:rFonts w:eastAsia="MS Mincho"/>
          <w:b/>
          <w:sz w:val="22"/>
          <w:szCs w:val="22"/>
          <w:lang w:val="es-ES"/>
        </w:rPr>
        <w:t xml:space="preserve">2.1 </w:t>
      </w:r>
      <w:r w:rsidR="0086569E">
        <w:rPr>
          <w:rFonts w:eastAsia="MS Mincho"/>
          <w:b/>
          <w:sz w:val="22"/>
          <w:szCs w:val="22"/>
          <w:lang w:val="es-ES"/>
        </w:rPr>
        <w:tab/>
      </w:r>
      <w:r w:rsidRPr="00A50683">
        <w:rPr>
          <w:rFonts w:eastAsia="MS Mincho"/>
          <w:b/>
          <w:sz w:val="22"/>
          <w:szCs w:val="22"/>
          <w:lang w:val="es-ES"/>
        </w:rPr>
        <w:t>Marco</w:t>
      </w:r>
    </w:p>
    <w:p w:rsidR="00481D19" w:rsidRPr="00A50683" w:rsidRDefault="00481D19" w:rsidP="00481D19">
      <w:pPr>
        <w:tabs>
          <w:tab w:val="left" w:pos="720"/>
          <w:tab w:val="left" w:pos="1530"/>
          <w:tab w:val="left" w:pos="7380"/>
        </w:tabs>
        <w:ind w:firstLine="720"/>
        <w:jc w:val="both"/>
        <w:rPr>
          <w:rFonts w:eastAsia="MS Mincho"/>
          <w:sz w:val="22"/>
          <w:szCs w:val="22"/>
          <w:lang w:val="es-CO"/>
        </w:rPr>
      </w:pPr>
    </w:p>
    <w:p w:rsidR="00481D19" w:rsidRPr="00A50683" w:rsidRDefault="00481D19" w:rsidP="00481D19">
      <w:pPr>
        <w:tabs>
          <w:tab w:val="left" w:pos="720"/>
          <w:tab w:val="left" w:pos="1530"/>
          <w:tab w:val="left" w:pos="7380"/>
        </w:tabs>
        <w:ind w:firstLine="720"/>
        <w:jc w:val="both"/>
        <w:rPr>
          <w:rFonts w:eastAsia="MS Mincho"/>
          <w:sz w:val="22"/>
          <w:szCs w:val="22"/>
          <w:lang w:val="es-ES"/>
        </w:rPr>
      </w:pPr>
      <w:r w:rsidRPr="00A50683">
        <w:rPr>
          <w:rFonts w:eastAsia="MS Mincho"/>
          <w:sz w:val="22"/>
          <w:szCs w:val="22"/>
          <w:lang w:val="es-CO"/>
        </w:rPr>
        <w:t>El objetivo principal de la X Reunión Interamericana de Ministros de Educación fue adoptar el Plan de Acción de Antigua &amp; Barbuda bajo el lema: </w:t>
      </w:r>
      <w:r w:rsidRPr="00A50683">
        <w:rPr>
          <w:rFonts w:eastAsia="MS Mincho"/>
          <w:i/>
          <w:iCs/>
          <w:sz w:val="22"/>
          <w:szCs w:val="22"/>
          <w:lang w:val="es-CO"/>
        </w:rPr>
        <w:t xml:space="preserve">“Agenda Educativa Interamericana (AEI): construyendo alianzas sostenibles a través de la cooperación, con un renovado enfoque en la educación </w:t>
      </w:r>
      <w:r w:rsidRPr="00A50683">
        <w:rPr>
          <w:rFonts w:eastAsia="MS Mincho"/>
          <w:i/>
          <w:iCs/>
          <w:sz w:val="22"/>
          <w:szCs w:val="22"/>
          <w:lang w:val="es-CO"/>
        </w:rPr>
        <w:lastRenderedPageBreak/>
        <w:t>y el desarrollo de aptitudes para una ciudadanía mejor”.</w:t>
      </w:r>
      <w:r w:rsidRPr="00A50683">
        <w:rPr>
          <w:rFonts w:eastAsia="MS Mincho"/>
          <w:sz w:val="22"/>
          <w:szCs w:val="22"/>
          <w:lang w:val="es-CO"/>
        </w:rPr>
        <w:t> Como su tema lo indica, la reflexión colectiva y la definición de acciones concertadas se centraron en tres temas troncales: 1. compartir iniciativas concretas para la implementación de la AEI; 2. profundizar sinergias entre las Iniciativas globales, hemisféricas y sub-regionales de educación y; 3. promover la cooperación intersectorial y con los demás actores sociales con la finalidad de contribuir a alcanzar los objetivos planteados por la Agenda 2030 de Desarrollo Sostenible.</w:t>
      </w:r>
      <w:r w:rsidRPr="00A50683">
        <w:rPr>
          <w:rFonts w:eastAsia="MS Mincho"/>
          <w:sz w:val="22"/>
          <w:szCs w:val="22"/>
          <w:lang w:val="es-ES"/>
        </w:rPr>
        <w:t xml:space="preserve"> Estos temas orientaron la definición del Plan de Acción de Antigua y Barbuda 2019 y en consecuencia dieron sustento a este Plan de Trabajo 2019-2022 para enmarcar todas las acciones que de él se desprendan. </w:t>
      </w:r>
    </w:p>
    <w:p w:rsidR="00481D19" w:rsidRPr="00A50683" w:rsidRDefault="00481D19" w:rsidP="00481D19">
      <w:pPr>
        <w:tabs>
          <w:tab w:val="left" w:pos="720"/>
          <w:tab w:val="left" w:pos="1530"/>
          <w:tab w:val="left" w:pos="7380"/>
        </w:tabs>
        <w:ind w:firstLine="720"/>
        <w:jc w:val="both"/>
        <w:rPr>
          <w:rFonts w:eastAsia="MS Mincho"/>
          <w:sz w:val="22"/>
          <w:szCs w:val="22"/>
          <w:lang w:val="es-ES"/>
        </w:rPr>
      </w:pPr>
    </w:p>
    <w:p w:rsidR="00481D19" w:rsidRPr="00A50683" w:rsidRDefault="00481D19" w:rsidP="0086569E">
      <w:pPr>
        <w:tabs>
          <w:tab w:val="left" w:pos="720"/>
          <w:tab w:val="left" w:pos="1440"/>
          <w:tab w:val="left" w:pos="1530"/>
          <w:tab w:val="left" w:pos="7380"/>
        </w:tabs>
        <w:ind w:firstLine="720"/>
        <w:jc w:val="both"/>
        <w:rPr>
          <w:rFonts w:eastAsia="MS Mincho"/>
          <w:b/>
          <w:sz w:val="22"/>
          <w:szCs w:val="22"/>
          <w:lang w:val="es-ES"/>
        </w:rPr>
      </w:pPr>
      <w:r w:rsidRPr="00A50683">
        <w:rPr>
          <w:rFonts w:eastAsia="MS Mincho"/>
          <w:b/>
          <w:sz w:val="22"/>
          <w:szCs w:val="22"/>
          <w:lang w:val="es-ES"/>
        </w:rPr>
        <w:t xml:space="preserve">2.2 </w:t>
      </w:r>
      <w:r w:rsidR="0086569E">
        <w:rPr>
          <w:rFonts w:eastAsia="MS Mincho"/>
          <w:b/>
          <w:sz w:val="22"/>
          <w:szCs w:val="22"/>
          <w:lang w:val="es-ES"/>
        </w:rPr>
        <w:tab/>
      </w:r>
      <w:r w:rsidRPr="00A50683">
        <w:rPr>
          <w:rFonts w:eastAsia="MS Mincho"/>
          <w:b/>
          <w:sz w:val="22"/>
          <w:szCs w:val="22"/>
          <w:lang w:val="es-ES"/>
        </w:rPr>
        <w:t xml:space="preserve">Metodología </w:t>
      </w:r>
    </w:p>
    <w:p w:rsidR="00481D19" w:rsidRPr="00A50683" w:rsidRDefault="00481D19" w:rsidP="00481D19">
      <w:pPr>
        <w:tabs>
          <w:tab w:val="left" w:pos="720"/>
          <w:tab w:val="left" w:pos="1530"/>
          <w:tab w:val="left" w:pos="7380"/>
        </w:tabs>
        <w:ind w:firstLine="720"/>
        <w:jc w:val="both"/>
        <w:rPr>
          <w:rFonts w:eastAsia="MS Mincho"/>
          <w:sz w:val="22"/>
          <w:szCs w:val="22"/>
          <w:lang w:val="es-ES"/>
        </w:rPr>
      </w:pPr>
    </w:p>
    <w:p w:rsidR="00481D19" w:rsidRDefault="00481D19" w:rsidP="00481D19">
      <w:pPr>
        <w:tabs>
          <w:tab w:val="left" w:pos="720"/>
          <w:tab w:val="left" w:pos="1530"/>
          <w:tab w:val="left" w:pos="7380"/>
        </w:tabs>
        <w:ind w:firstLine="720"/>
        <w:jc w:val="both"/>
        <w:rPr>
          <w:rFonts w:eastAsia="MS Mincho"/>
          <w:sz w:val="22"/>
          <w:szCs w:val="22"/>
          <w:lang w:val="es-ES"/>
        </w:rPr>
      </w:pPr>
      <w:r w:rsidRPr="00A50683">
        <w:rPr>
          <w:rFonts w:eastAsia="MS Mincho"/>
          <w:sz w:val="22"/>
          <w:szCs w:val="22"/>
          <w:lang w:val="es-ES"/>
        </w:rPr>
        <w:t>En el contexto de la asignación de recursos y las restricciones presupuestales, las actividades en las áreas prioritarias se ejecutarán a través de: (i) fortalecimiento de capacidades a través de seminarios virtuales, webinars y otros contenidos en línea; (ii) oportunidades de intercambio de experiencias y conocimientos entre los países, (iii) desarrollo de proyectos nacionales con potencial de aplicación regional. Este Plan se concibe como un documento de trabajo abierto y flexible y, por consiguiente, se adaptará y complementará en la medida en que las Autoridades de la CIE así lo determinen. Asimismo, el Plan abarcará las consideraciones e insumos adicionales que proporcionen las delegaciones durante su presentación ante la Comisión de Políticas de Cooperación Solidaria para el Desarrollo del CIDI. Aunque el Plan de Trabajo se encuentra en proceso de finalización, incluye resultados tangibles que sirven como indicadores de los avances en las principales actividades.</w:t>
      </w:r>
    </w:p>
    <w:p w:rsidR="00481D19" w:rsidRPr="00A50683" w:rsidRDefault="00481D19" w:rsidP="00481D19">
      <w:pPr>
        <w:tabs>
          <w:tab w:val="left" w:pos="720"/>
          <w:tab w:val="left" w:pos="1440"/>
          <w:tab w:val="left" w:pos="1530"/>
          <w:tab w:val="left" w:pos="2160"/>
          <w:tab w:val="left" w:pos="7380"/>
        </w:tabs>
        <w:ind w:firstLine="720"/>
        <w:jc w:val="both"/>
        <w:rPr>
          <w:rFonts w:eastAsia="MS Mincho"/>
          <w:sz w:val="22"/>
          <w:szCs w:val="22"/>
          <w:lang w:val="es-ES"/>
        </w:rPr>
      </w:pPr>
    </w:p>
    <w:p w:rsidR="00481D19" w:rsidRPr="00A50683" w:rsidRDefault="00481D19" w:rsidP="007D4470">
      <w:pPr>
        <w:numPr>
          <w:ilvl w:val="0"/>
          <w:numId w:val="1"/>
        </w:numPr>
        <w:tabs>
          <w:tab w:val="left" w:pos="720"/>
          <w:tab w:val="left" w:pos="1440"/>
          <w:tab w:val="left" w:pos="1530"/>
          <w:tab w:val="left" w:pos="2160"/>
        </w:tabs>
        <w:ind w:hanging="1440"/>
        <w:rPr>
          <w:rFonts w:eastAsia="MS Mincho"/>
          <w:sz w:val="22"/>
          <w:szCs w:val="22"/>
          <w:lang w:val="es-ES"/>
        </w:rPr>
      </w:pPr>
      <w:r w:rsidRPr="00A50683">
        <w:rPr>
          <w:rFonts w:eastAsia="MS Mincho"/>
          <w:sz w:val="22"/>
          <w:szCs w:val="22"/>
          <w:lang w:val="es-ES"/>
        </w:rPr>
        <w:t xml:space="preserve">PLAN DE TRABAJO </w:t>
      </w:r>
    </w:p>
    <w:p w:rsidR="00481D19" w:rsidRPr="00A50683" w:rsidRDefault="00481D19" w:rsidP="00481D19">
      <w:pPr>
        <w:tabs>
          <w:tab w:val="left" w:pos="720"/>
          <w:tab w:val="left" w:pos="1440"/>
          <w:tab w:val="left" w:pos="1530"/>
          <w:tab w:val="left" w:pos="2160"/>
          <w:tab w:val="left" w:pos="7380"/>
        </w:tabs>
        <w:ind w:firstLine="720"/>
        <w:rPr>
          <w:rFonts w:eastAsia="MS Mincho"/>
          <w:b/>
          <w:sz w:val="22"/>
          <w:szCs w:val="22"/>
          <w:lang w:val="es-ES"/>
        </w:rPr>
      </w:pPr>
    </w:p>
    <w:p w:rsidR="00481D19" w:rsidRPr="00A50683" w:rsidRDefault="00481D19" w:rsidP="00481D19">
      <w:pPr>
        <w:tabs>
          <w:tab w:val="left" w:pos="720"/>
          <w:tab w:val="left" w:pos="1440"/>
          <w:tab w:val="left" w:pos="1530"/>
          <w:tab w:val="left" w:pos="2160"/>
          <w:tab w:val="left" w:pos="7380"/>
        </w:tabs>
        <w:ind w:firstLine="720"/>
        <w:rPr>
          <w:rFonts w:eastAsia="MS Mincho"/>
          <w:b/>
          <w:sz w:val="22"/>
          <w:szCs w:val="22"/>
          <w:lang w:val="es-ES"/>
        </w:rPr>
      </w:pPr>
      <w:r w:rsidRPr="00A50683">
        <w:rPr>
          <w:rFonts w:eastAsia="MS Mincho"/>
          <w:b/>
          <w:sz w:val="22"/>
          <w:szCs w:val="22"/>
          <w:lang w:val="es-ES"/>
        </w:rPr>
        <w:t xml:space="preserve">3.1 </w:t>
      </w:r>
      <w:r w:rsidR="0086569E">
        <w:rPr>
          <w:rFonts w:eastAsia="MS Mincho"/>
          <w:b/>
          <w:sz w:val="22"/>
          <w:szCs w:val="22"/>
          <w:lang w:val="es-ES"/>
        </w:rPr>
        <w:tab/>
      </w:r>
      <w:r w:rsidRPr="00A50683">
        <w:rPr>
          <w:rFonts w:eastAsia="MS Mincho"/>
          <w:b/>
          <w:sz w:val="22"/>
          <w:szCs w:val="22"/>
          <w:lang w:val="es-ES"/>
        </w:rPr>
        <w:t>Principales actividades y proyectos</w:t>
      </w:r>
    </w:p>
    <w:p w:rsidR="00481D19" w:rsidRPr="00A50683" w:rsidRDefault="00481D19" w:rsidP="00481D19">
      <w:pPr>
        <w:tabs>
          <w:tab w:val="left" w:pos="720"/>
          <w:tab w:val="left" w:pos="1440"/>
          <w:tab w:val="left" w:pos="1530"/>
          <w:tab w:val="left" w:pos="2160"/>
          <w:tab w:val="left" w:pos="7380"/>
        </w:tabs>
        <w:ind w:firstLine="720"/>
        <w:rPr>
          <w:rFonts w:eastAsia="MS Mincho"/>
          <w:sz w:val="22"/>
          <w:szCs w:val="22"/>
          <w:lang w:val="es-ES"/>
        </w:rPr>
      </w:pPr>
    </w:p>
    <w:p w:rsidR="00481D19" w:rsidRPr="00A50683" w:rsidRDefault="00481D19" w:rsidP="007D4470">
      <w:pPr>
        <w:pStyle w:val="ListParagraph0"/>
        <w:numPr>
          <w:ilvl w:val="0"/>
          <w:numId w:val="2"/>
        </w:numPr>
        <w:tabs>
          <w:tab w:val="left" w:pos="720"/>
          <w:tab w:val="left" w:pos="1530"/>
        </w:tabs>
        <w:ind w:firstLine="0"/>
        <w:contextualSpacing/>
        <w:jc w:val="both"/>
        <w:rPr>
          <w:rFonts w:eastAsia="MS Mincho"/>
          <w:sz w:val="22"/>
          <w:szCs w:val="22"/>
          <w:u w:val="single"/>
          <w:lang w:val="es-CO"/>
        </w:rPr>
      </w:pPr>
      <w:r w:rsidRPr="00A50683">
        <w:rPr>
          <w:rFonts w:eastAsia="MS Mincho"/>
          <w:sz w:val="22"/>
          <w:szCs w:val="22"/>
          <w:u w:val="single"/>
          <w:lang w:val="es-CO"/>
        </w:rPr>
        <w:t>Socializar la experiencia de "Yo me apunto con la educación"</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Descripción: “Yo me apunto con la Educación” es una estrategia integral desarrollada por Costa Rica, para que las estudiantes y los estudiantes del III ciclo de la Educación General Básica y la Educación Diversificada permanezcan o se reintegren en el Sistema Educativo Público otorgándoles las condiciones necesarias para el éxito educativo, y estimulando en el país la valoración de la educación como responsabilidad ciudadana.</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Fuentes de financiación: Ministerio de Educación de Costa Rica.</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El Taller para socializar el programa se realizará en septiembre de 2020.</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 8.</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7D4470">
      <w:pPr>
        <w:pStyle w:val="ListParagraph0"/>
        <w:numPr>
          <w:ilvl w:val="0"/>
          <w:numId w:val="2"/>
        </w:numPr>
        <w:tabs>
          <w:tab w:val="left" w:pos="1440"/>
        </w:tabs>
        <w:ind w:left="1440" w:hanging="720"/>
        <w:contextualSpacing/>
        <w:jc w:val="both"/>
        <w:rPr>
          <w:rFonts w:eastAsia="MS Mincho"/>
          <w:sz w:val="22"/>
          <w:szCs w:val="22"/>
          <w:u w:val="single"/>
          <w:lang w:val="es-CO"/>
        </w:rPr>
      </w:pPr>
      <w:r w:rsidRPr="00A50683">
        <w:rPr>
          <w:rFonts w:eastAsia="MS Mincho"/>
          <w:sz w:val="22"/>
          <w:szCs w:val="22"/>
          <w:u w:val="single"/>
          <w:lang w:val="es-CO"/>
        </w:rPr>
        <w:t>Compartir la estrategia y resultados alcanzados por el Programa de Alimentación y Nutrición del Escolar y del Adolescente (PANEA)</w:t>
      </w:r>
    </w:p>
    <w:p w:rsidR="00481D19" w:rsidRPr="00A50683" w:rsidRDefault="00481D19" w:rsidP="00481D19">
      <w:pPr>
        <w:pStyle w:val="ListParagraph0"/>
        <w:tabs>
          <w:tab w:val="left" w:pos="1440"/>
        </w:tabs>
        <w:ind w:left="1440"/>
        <w:contextualSpacing/>
        <w:jc w:val="both"/>
        <w:rPr>
          <w:rFonts w:eastAsia="MS Mincho"/>
          <w:sz w:val="22"/>
          <w:szCs w:val="22"/>
          <w:u w:val="single"/>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Descripción: El Programa de Alimentación y Nutrición del Escolar y del Adolescente (PANEA) bajo el marco del Programa de Equidad de Costa Rica, se centra en reducir la brecha de oportunidades en el Sistema Educativo favoreciendo el acceso y la permanencia de los estudiantes de bajos recursos económicos, a través de la administración integral de los distintos programas sociales del Ministerio de Educación Pública (MEP) tales como: alimentación, nutrición, transporte estudiantil y becas.</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 xml:space="preserve">Fuentes de financiación: Ministerio de Educación de Costa Rica. </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lastRenderedPageBreak/>
        <w:t>Lugar y fecha de realización: A definir.</w:t>
      </w:r>
    </w:p>
    <w:p w:rsidR="00A50683"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 8.</w:t>
      </w:r>
    </w:p>
    <w:p w:rsidR="00A50683" w:rsidRPr="00A50683" w:rsidRDefault="00A50683">
      <w:pPr>
        <w:rPr>
          <w:rFonts w:eastAsia="MS Mincho"/>
          <w:sz w:val="22"/>
          <w:szCs w:val="22"/>
          <w:lang w:val="es-CO"/>
        </w:rPr>
      </w:pPr>
      <w:r w:rsidRPr="00A50683">
        <w:rPr>
          <w:rFonts w:eastAsia="MS Mincho"/>
          <w:sz w:val="22"/>
          <w:szCs w:val="22"/>
          <w:lang w:val="es-CO"/>
        </w:rPr>
        <w:br w:type="page"/>
      </w:r>
    </w:p>
    <w:p w:rsidR="00481D19" w:rsidRPr="00A50683" w:rsidRDefault="00481D19" w:rsidP="007D4470">
      <w:pPr>
        <w:pStyle w:val="ListParagraph0"/>
        <w:numPr>
          <w:ilvl w:val="0"/>
          <w:numId w:val="2"/>
        </w:numPr>
        <w:tabs>
          <w:tab w:val="left" w:pos="720"/>
          <w:tab w:val="left" w:pos="1440"/>
        </w:tabs>
        <w:ind w:firstLine="0"/>
        <w:contextualSpacing/>
        <w:jc w:val="both"/>
        <w:rPr>
          <w:rFonts w:eastAsia="MS Mincho"/>
          <w:sz w:val="22"/>
          <w:szCs w:val="22"/>
          <w:u w:val="single"/>
          <w:lang w:val="es-CO"/>
        </w:rPr>
      </w:pPr>
      <w:r w:rsidRPr="00A50683">
        <w:rPr>
          <w:rFonts w:eastAsia="MS Mincho"/>
          <w:sz w:val="22"/>
          <w:szCs w:val="22"/>
          <w:u w:val="single"/>
          <w:lang w:val="es-CO"/>
        </w:rPr>
        <w:lastRenderedPageBreak/>
        <w:t>Compartir experiencias de Promoción de Estilos de Vida Saludables</w:t>
      </w:r>
    </w:p>
    <w:p w:rsidR="00A50683" w:rsidRPr="00A50683" w:rsidRDefault="00A50683" w:rsidP="00481D19">
      <w:pPr>
        <w:tabs>
          <w:tab w:val="left" w:pos="720"/>
          <w:tab w:val="left" w:pos="1530"/>
        </w:tabs>
        <w:ind w:firstLine="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Descripción: Fortalecer el intercambio de experiencias en la Promoción de Estilos de Vida Saludables, haciendo énfasis en los procesos de reglamentación de las Tiendas Escolares saludables.</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 xml:space="preserve">Fuentes de financiación: Ministerio de Educación de Colombia; Organización Panamericana de la salud </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 14.</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7D4470">
      <w:pPr>
        <w:pStyle w:val="ListParagraph0"/>
        <w:numPr>
          <w:ilvl w:val="0"/>
          <w:numId w:val="2"/>
        </w:numPr>
        <w:tabs>
          <w:tab w:val="left" w:pos="1440"/>
        </w:tabs>
        <w:ind w:left="1440" w:hanging="720"/>
        <w:contextualSpacing/>
        <w:jc w:val="both"/>
        <w:rPr>
          <w:rFonts w:eastAsia="MS Mincho"/>
          <w:sz w:val="22"/>
          <w:szCs w:val="22"/>
          <w:u w:val="single"/>
          <w:lang w:val="es-CO"/>
        </w:rPr>
      </w:pPr>
      <w:r w:rsidRPr="00A50683">
        <w:rPr>
          <w:rFonts w:eastAsia="MS Mincho"/>
          <w:sz w:val="22"/>
          <w:szCs w:val="22"/>
          <w:u w:val="single"/>
          <w:lang w:val="es-CO"/>
        </w:rPr>
        <w:t>Coordinar con la OPS/DENC la implementación de acciones en los países de la región para la promoción la promoción, y monitoreo y evaluación de ambientes escolares favorables para la prevención de enfermedades no transmisibles en América Latina y el Caribe.</w:t>
      </w:r>
    </w:p>
    <w:p w:rsidR="00481D19" w:rsidRPr="00A50683" w:rsidRDefault="00481D19" w:rsidP="00481D19">
      <w:pPr>
        <w:pStyle w:val="ListParagraph0"/>
        <w:tabs>
          <w:tab w:val="left" w:pos="1440"/>
        </w:tabs>
        <w:ind w:left="1440"/>
        <w:contextualSpacing/>
        <w:jc w:val="both"/>
        <w:rPr>
          <w:rFonts w:eastAsia="MS Mincho"/>
          <w:sz w:val="22"/>
          <w:szCs w:val="22"/>
          <w:u w:val="single"/>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 xml:space="preserve">Descripción: La OPS y los Miembros del grupo de Trabajo Interamericano sobre las Enfermedades No transmisibles en la implementación del Plan de Acción para la Prevención y Control de la Obesidad en Niños y Adolescentes, se focaliza particularmente en la promoción, y monitoreo y evaluación de ambientes escolares favorables para la alimentación saludable y la actividad física, y el fortalecimiento de la profesión docente, a través de la inclusión de actividades de formación relacionadas con alimentación, nutrición, salud y actividad física en el Catálogo Interamericano de Estudios y Oportunidades de Formación para Docentes. Para mayor información: </w:t>
      </w:r>
    </w:p>
    <w:p w:rsidR="00481D19" w:rsidRPr="00A50683" w:rsidRDefault="00781C43" w:rsidP="0006019D">
      <w:pPr>
        <w:tabs>
          <w:tab w:val="left" w:pos="720"/>
          <w:tab w:val="left" w:pos="1530"/>
        </w:tabs>
        <w:ind w:left="720"/>
        <w:jc w:val="both"/>
        <w:rPr>
          <w:rFonts w:eastAsia="MS Mincho"/>
          <w:sz w:val="22"/>
          <w:szCs w:val="22"/>
          <w:lang w:val="es-CO"/>
        </w:rPr>
      </w:pPr>
      <w:hyperlink r:id="rId8" w:tgtFrame="_blank" w:history="1">
        <w:r w:rsidR="00481D19" w:rsidRPr="00A50683">
          <w:rPr>
            <w:rFonts w:eastAsia="MS Mincho"/>
            <w:sz w:val="22"/>
            <w:szCs w:val="22"/>
            <w:lang w:val="es-CO"/>
          </w:rPr>
          <w:t>https://www.paho.org/hq/dmdocuments/2015/Obesity-Plan-Of-Action-Child-Spa-2015.pdf</w:t>
        </w:r>
      </w:hyperlink>
      <w:r w:rsidR="00481D19" w:rsidRPr="00A50683">
        <w:rPr>
          <w:rFonts w:eastAsia="MS Mincho"/>
          <w:sz w:val="22"/>
          <w:szCs w:val="22"/>
          <w:lang w:val="es-CO"/>
        </w:rPr>
        <w:t xml:space="preserve"> </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Fuentes de financiación: OPS/DENT.</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 14.</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7D4470">
      <w:pPr>
        <w:pStyle w:val="ListParagraph0"/>
        <w:numPr>
          <w:ilvl w:val="0"/>
          <w:numId w:val="2"/>
        </w:numPr>
        <w:tabs>
          <w:tab w:val="left" w:pos="720"/>
          <w:tab w:val="left" w:pos="1440"/>
        </w:tabs>
        <w:ind w:firstLine="0"/>
        <w:contextualSpacing/>
        <w:jc w:val="both"/>
        <w:rPr>
          <w:rFonts w:eastAsia="MS Mincho"/>
          <w:sz w:val="22"/>
          <w:szCs w:val="22"/>
          <w:u w:val="single"/>
          <w:lang w:val="es-CO"/>
        </w:rPr>
      </w:pPr>
      <w:r w:rsidRPr="00A50683">
        <w:rPr>
          <w:rFonts w:eastAsia="MS Mincho"/>
          <w:sz w:val="22"/>
          <w:szCs w:val="22"/>
          <w:u w:val="single"/>
          <w:lang w:val="es-CO"/>
        </w:rPr>
        <w:t>Socializar el diseño y metodología de la red REDESAM (Redes de Salud Mental)</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Descripción: la red REDESAM (Redes de Salud Mental) como Comisión atiende necesidades a nivel local definiendo poblaciones metas, estrategias metodológicas y áreas de intervención en el tema de salud mental.</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Fuentes de financiación: Ministerio de Educación de Costa Rica.</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 8.</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7D4470">
      <w:pPr>
        <w:pStyle w:val="ListParagraph0"/>
        <w:numPr>
          <w:ilvl w:val="0"/>
          <w:numId w:val="2"/>
        </w:numPr>
        <w:tabs>
          <w:tab w:val="left" w:pos="720"/>
          <w:tab w:val="left" w:pos="1440"/>
        </w:tabs>
        <w:ind w:left="1440" w:hanging="720"/>
        <w:contextualSpacing/>
        <w:jc w:val="both"/>
        <w:rPr>
          <w:rFonts w:eastAsia="MS Mincho"/>
          <w:sz w:val="22"/>
          <w:szCs w:val="22"/>
          <w:u w:val="single"/>
          <w:lang w:val="es-CO"/>
        </w:rPr>
      </w:pPr>
      <w:r w:rsidRPr="00A50683">
        <w:rPr>
          <w:rFonts w:eastAsia="MS Mincho"/>
          <w:sz w:val="22"/>
          <w:szCs w:val="22"/>
          <w:u w:val="single"/>
          <w:lang w:val="es-CO"/>
        </w:rPr>
        <w:t>Coordinar las acciones entre la UNESCO y la CIE/OEA para apoyar los esfuerzos de los Estados Miembros en el fortalecimiento de los sistemas educativos para la respuesta, preparación y recuperación en contextos de emergencia</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 xml:space="preserve">Descripción: La UNESCO y la CIE/OEA trabajarán colaborativamente para movilizar recursos y alianzas que posibiliten revisar, fortalecer y/o desarrollar contenidos curriculares para la formación de estudiantes y docentes en contextos de emergencia, con especial énfasis en la inclusión de las habilidades socioemocionales y de elementos de educación para la salud y el bienestar, estilos de vida sostenibles, la formación ciudadana y la educación para el desarrollo sostenible. También, se explorarán mecanismos para potenciar el intercambio de experiencias </w:t>
      </w:r>
      <w:r w:rsidRPr="00A50683">
        <w:rPr>
          <w:rFonts w:eastAsia="MS Mincho"/>
          <w:sz w:val="22"/>
          <w:szCs w:val="22"/>
          <w:lang w:val="es-CO"/>
        </w:rPr>
        <w:lastRenderedPageBreak/>
        <w:t>y buenas practicas entre los Estados Miembros, haciendo especial hincapié en la recopilación y análisis de iniciativas y modelos dirigidos a las poblaciones escolares más vulnerables.</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 xml:space="preserve"> </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 xml:space="preserve">Fuentes de financiación: Por definir. </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Artículos 8, 27 y 30.</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7D4470">
      <w:pPr>
        <w:pStyle w:val="ListParagraph0"/>
        <w:numPr>
          <w:ilvl w:val="0"/>
          <w:numId w:val="2"/>
        </w:numPr>
        <w:tabs>
          <w:tab w:val="left" w:pos="1440"/>
        </w:tabs>
        <w:ind w:left="1440" w:hanging="720"/>
        <w:contextualSpacing/>
        <w:jc w:val="both"/>
        <w:rPr>
          <w:rFonts w:eastAsia="MS Mincho"/>
          <w:sz w:val="22"/>
          <w:szCs w:val="22"/>
          <w:u w:val="single"/>
          <w:lang w:val="es-CO"/>
        </w:rPr>
      </w:pPr>
      <w:r w:rsidRPr="00A50683">
        <w:rPr>
          <w:rFonts w:eastAsia="MS Mincho"/>
          <w:sz w:val="22"/>
          <w:szCs w:val="22"/>
          <w:u w:val="single"/>
          <w:lang w:val="es-CO"/>
        </w:rPr>
        <w:t xml:space="preserve">Socializar la experiencia de Colombia en la implementación de su Sistema Nacional de Convivencia Escolar </w:t>
      </w:r>
    </w:p>
    <w:p w:rsidR="00481D19" w:rsidRPr="00A50683" w:rsidRDefault="00481D19" w:rsidP="00481D19">
      <w:pPr>
        <w:pStyle w:val="ListParagraph0"/>
        <w:tabs>
          <w:tab w:val="left" w:pos="1440"/>
        </w:tabs>
        <w:ind w:left="1440"/>
        <w:contextualSpacing/>
        <w:jc w:val="both"/>
        <w:rPr>
          <w:rFonts w:eastAsia="MS Mincho"/>
          <w:sz w:val="22"/>
          <w:szCs w:val="22"/>
          <w:u w:val="single"/>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 xml:space="preserve">Descripción: Socializar experiencias entre los distintos países de la región en la formación a docentes para el fortalecimiento de competencias ciudadanas y socioemocionales, en particular la experiencia de Colombia en la implementación del Sistema Nacional de Convivencia Escolar, sus logros, dificultades y retos. </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 xml:space="preserve">Fuentes de financiación: Ministerio de Educación de Colombia. </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 9</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7D4470">
      <w:pPr>
        <w:pStyle w:val="ListParagraph0"/>
        <w:numPr>
          <w:ilvl w:val="0"/>
          <w:numId w:val="2"/>
        </w:numPr>
        <w:tabs>
          <w:tab w:val="left" w:pos="720"/>
          <w:tab w:val="left" w:pos="1440"/>
        </w:tabs>
        <w:ind w:left="1440" w:hanging="720"/>
        <w:contextualSpacing/>
        <w:jc w:val="both"/>
        <w:rPr>
          <w:rFonts w:eastAsia="MS Mincho"/>
          <w:sz w:val="22"/>
          <w:szCs w:val="22"/>
          <w:u w:val="single"/>
          <w:lang w:val="es-CO"/>
        </w:rPr>
      </w:pPr>
      <w:r w:rsidRPr="00A50683">
        <w:rPr>
          <w:rFonts w:eastAsia="MS Mincho"/>
          <w:sz w:val="22"/>
          <w:szCs w:val="22"/>
          <w:u w:val="single"/>
          <w:lang w:val="es-CO"/>
        </w:rPr>
        <w:t>Socializar los avances de las acciones implementadas por el Departamento de Promoción para la Paz de la OEA en la promoción de una Cultura Política Democrática a través de la Educación para la Paz</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Descripción: El fortalecimiento de la cultura política democrática y la sana convivencia implican, entre otras acciones, la internalización de los valores, las creencias, los comportamientos y las prácticas propias del sistema democrático, tales como el respeto por la ley, la confianza y el respeto mutuo, la tolerancia, la solidaridad, la participación, la solución pacífica de conflictos y el sentido de la ética y la probidad. Este esfuerzo tiene por objeto promover el aprendizaje de los valores y prácticas vinculadas a la cultura política democrática, especialmente entre los jóvenes, a través de encuentros, talleres y seminarios sobre el funcionamiento de las instituciones y procesos democráticos.</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Fuentes de financiación: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AG/RES. 1604 (XXVIII-O/98) y CP/CSH-235/99. Articulo 9 PAAB.</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7D4470">
      <w:pPr>
        <w:pStyle w:val="ListParagraph0"/>
        <w:numPr>
          <w:ilvl w:val="0"/>
          <w:numId w:val="2"/>
        </w:numPr>
        <w:tabs>
          <w:tab w:val="left" w:pos="720"/>
          <w:tab w:val="left" w:pos="1440"/>
        </w:tabs>
        <w:ind w:firstLine="0"/>
        <w:contextualSpacing/>
        <w:jc w:val="both"/>
        <w:rPr>
          <w:rFonts w:eastAsia="MS Mincho"/>
          <w:sz w:val="22"/>
          <w:szCs w:val="22"/>
          <w:u w:val="single"/>
          <w:lang w:val="es-CO"/>
        </w:rPr>
      </w:pPr>
      <w:bookmarkStart w:id="1" w:name="_Hlk38645349"/>
      <w:r w:rsidRPr="00A50683">
        <w:rPr>
          <w:rFonts w:eastAsia="MS Mincho"/>
          <w:sz w:val="22"/>
          <w:szCs w:val="22"/>
          <w:u w:val="single"/>
          <w:lang w:val="es-CO"/>
        </w:rPr>
        <w:t>Participación juvenil para el desarrollo de competencias ciudadanas y liderazgo</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Descripción: Intercambiar experiencias entre los países de la región en relación con el fortalecimiento de la participación juvenil con el propósito de fortalecer el desarrollo de competencias ciudadanas y el liderazgo, a través de la argumentación, el debate y la resolución de conflictos, con acciones que favorezcan la transformación de sus entornos.</w:t>
      </w:r>
      <w:r w:rsidRPr="00A50683" w:rsidDel="00BE5FED">
        <w:rPr>
          <w:rFonts w:eastAsia="MS Mincho"/>
          <w:sz w:val="22"/>
          <w:szCs w:val="22"/>
          <w:lang w:val="es-CO"/>
        </w:rPr>
        <w:t xml:space="preserve"> </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 xml:space="preserve">Fuentes de financiación: Ministerio de Educación de Colombia; Ministerio de Educación de Argentina. </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 9.</w:t>
      </w:r>
    </w:p>
    <w:bookmarkEnd w:id="1"/>
    <w:p w:rsidR="00481D19" w:rsidRDefault="00481D19" w:rsidP="00481D19">
      <w:pPr>
        <w:tabs>
          <w:tab w:val="left" w:pos="720"/>
          <w:tab w:val="left" w:pos="1530"/>
        </w:tabs>
        <w:ind w:firstLine="720"/>
        <w:jc w:val="both"/>
        <w:rPr>
          <w:rFonts w:eastAsia="MS Mincho"/>
          <w:sz w:val="22"/>
          <w:szCs w:val="22"/>
          <w:lang w:val="es-CO"/>
        </w:rPr>
      </w:pPr>
    </w:p>
    <w:p w:rsidR="00894B29" w:rsidRDefault="00894B29" w:rsidP="00481D19">
      <w:pPr>
        <w:tabs>
          <w:tab w:val="left" w:pos="720"/>
          <w:tab w:val="left" w:pos="1530"/>
        </w:tabs>
        <w:ind w:firstLine="720"/>
        <w:jc w:val="both"/>
        <w:rPr>
          <w:rFonts w:eastAsia="MS Mincho"/>
          <w:sz w:val="22"/>
          <w:szCs w:val="22"/>
          <w:lang w:val="es-CO"/>
        </w:rPr>
      </w:pPr>
    </w:p>
    <w:p w:rsidR="00894B29" w:rsidRPr="00A50683" w:rsidRDefault="00894B29" w:rsidP="00481D19">
      <w:pPr>
        <w:tabs>
          <w:tab w:val="left" w:pos="720"/>
          <w:tab w:val="left" w:pos="1530"/>
        </w:tabs>
        <w:ind w:firstLine="720"/>
        <w:jc w:val="both"/>
        <w:rPr>
          <w:rFonts w:eastAsia="MS Mincho"/>
          <w:sz w:val="22"/>
          <w:szCs w:val="22"/>
          <w:lang w:val="es-CO"/>
        </w:rPr>
      </w:pPr>
    </w:p>
    <w:p w:rsidR="00481D19" w:rsidRPr="00A50683" w:rsidRDefault="00481D19" w:rsidP="007D4470">
      <w:pPr>
        <w:pStyle w:val="ListParagraph0"/>
        <w:numPr>
          <w:ilvl w:val="0"/>
          <w:numId w:val="2"/>
        </w:numPr>
        <w:tabs>
          <w:tab w:val="left" w:pos="720"/>
          <w:tab w:val="left" w:pos="1440"/>
        </w:tabs>
        <w:ind w:firstLine="0"/>
        <w:contextualSpacing/>
        <w:jc w:val="both"/>
        <w:rPr>
          <w:rFonts w:eastAsia="MS Mincho"/>
          <w:sz w:val="22"/>
          <w:szCs w:val="22"/>
          <w:u w:val="single"/>
          <w:lang w:val="es-CO"/>
        </w:rPr>
      </w:pPr>
      <w:r w:rsidRPr="00A50683">
        <w:rPr>
          <w:rFonts w:eastAsia="MS Mincho"/>
          <w:sz w:val="22"/>
          <w:szCs w:val="22"/>
          <w:u w:val="single"/>
          <w:lang w:val="es-CO"/>
        </w:rPr>
        <w:lastRenderedPageBreak/>
        <w:t xml:space="preserve">Formación docente sobre ciudadanía regional </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Descripción: Diseñar un curso virtual para docentes sobre ciudadanía regional. Los destinatarios del curso serán docentes de nivel medio que acompañan a los jóvenes de educación media que participan en el Programa Parlamento Juvenil del MERCOSUR</w:t>
      </w:r>
      <w:r w:rsidRPr="00A50683" w:rsidDel="00BE5FED">
        <w:rPr>
          <w:rFonts w:eastAsia="MS Mincho"/>
          <w:sz w:val="22"/>
          <w:szCs w:val="22"/>
          <w:lang w:val="es-CO"/>
        </w:rPr>
        <w:t xml:space="preserve"> </w:t>
      </w:r>
      <w:r w:rsidRPr="00A50683">
        <w:rPr>
          <w:rFonts w:eastAsia="MS Mincho"/>
          <w:sz w:val="22"/>
          <w:szCs w:val="22"/>
          <w:lang w:val="es-CO"/>
        </w:rPr>
        <w:t>implementado en el Sector Educativo del MERCOSUR. El curso se alojará en el campus virtual del Instituto Nacional de Formación Docente (INFD) de Argentina.</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 xml:space="preserve">Fuentes de financiación: Sector Educativo del MERCOSUR. </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confirmar.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 16.</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7D4470">
      <w:pPr>
        <w:pStyle w:val="ListParagraph0"/>
        <w:numPr>
          <w:ilvl w:val="0"/>
          <w:numId w:val="2"/>
        </w:numPr>
        <w:tabs>
          <w:tab w:val="left" w:pos="720"/>
          <w:tab w:val="left" w:pos="1440"/>
        </w:tabs>
        <w:ind w:firstLine="0"/>
        <w:contextualSpacing/>
        <w:jc w:val="both"/>
        <w:rPr>
          <w:rFonts w:eastAsia="MS Mincho"/>
          <w:sz w:val="22"/>
          <w:szCs w:val="22"/>
          <w:u w:val="single"/>
          <w:lang w:val="es-CO"/>
        </w:rPr>
      </w:pPr>
      <w:r w:rsidRPr="00A50683">
        <w:rPr>
          <w:sz w:val="22"/>
          <w:szCs w:val="22"/>
          <w:u w:val="single"/>
          <w:lang w:val="es-CO"/>
        </w:rPr>
        <w:t xml:space="preserve">Programa </w:t>
      </w:r>
      <w:r w:rsidRPr="00A50683">
        <w:rPr>
          <w:rFonts w:eastAsia="MS Mincho"/>
          <w:sz w:val="22"/>
          <w:szCs w:val="22"/>
          <w:u w:val="single"/>
          <w:lang w:val="es-CO"/>
        </w:rPr>
        <w:t xml:space="preserve">Hemisférico de movilidad académica virtual conjunta OEA-OUI </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 xml:space="preserve">Descripción: La Organización de los Estados Americanos (OEA) y la Organización Universitaria Interamericana (OUI) pondrán en marcha en los países de América Latina y el Caribe una Iniciativa Hemisférica de intercambio en modalidad virtual de estudiantes de pregrado y postgrado con el fin de ofrecer a una amplia mayoría de estudiantes la oportunidad de cursar en instituciones de otra región/país materias que le sean reconocidas en sus planes de estudios, permitiéndole al mismo tiempo vivir una experiencia intercultural e incorporar una perspectiva internacional en su itinerario formativo. De esta forma se fortalecerá de una manera inclusiva y con equidad el desarrollo de habilidades de ciudadanía global en los futuros profesionales de la región, bajo un marco de colaboración, intersectorialidad e interculturalidad de acuerdo con los principios de la Agenda Educativa Interamericana (AEI). Para mayor información: </w:t>
      </w:r>
      <w:hyperlink r:id="rId9" w:history="1">
        <w:r w:rsidRPr="00A50683">
          <w:rPr>
            <w:rFonts w:eastAsia="MS Mincho"/>
            <w:sz w:val="22"/>
            <w:szCs w:val="22"/>
            <w:lang w:val="es-CO"/>
          </w:rPr>
          <w:t>https://oui-iohe.org/es/emovies</w:t>
        </w:r>
      </w:hyperlink>
      <w:r w:rsidRPr="00A50683">
        <w:rPr>
          <w:rFonts w:eastAsia="MS Mincho"/>
          <w:sz w:val="22"/>
          <w:szCs w:val="22"/>
          <w:lang w:val="es-CO"/>
        </w:rPr>
        <w:t>.</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Fuentes de financiación: Ministerios de Educación nacionales, Instituciones de Educación Superior.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Virtual, fecha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Artículos 9, 34, 35 y 36.</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F21512">
      <w:pPr>
        <w:pStyle w:val="ListParagraph0"/>
        <w:numPr>
          <w:ilvl w:val="0"/>
          <w:numId w:val="2"/>
        </w:numPr>
        <w:tabs>
          <w:tab w:val="left" w:pos="720"/>
          <w:tab w:val="left" w:pos="1440"/>
        </w:tabs>
        <w:ind w:left="1440" w:hanging="720"/>
        <w:contextualSpacing/>
        <w:jc w:val="both"/>
        <w:rPr>
          <w:rFonts w:eastAsia="MS Mincho"/>
          <w:sz w:val="22"/>
          <w:szCs w:val="22"/>
          <w:u w:val="single"/>
          <w:lang w:val="es-CO"/>
        </w:rPr>
      </w:pPr>
      <w:r w:rsidRPr="00A50683">
        <w:rPr>
          <w:rFonts w:eastAsia="MS Mincho"/>
          <w:sz w:val="22"/>
          <w:szCs w:val="22"/>
          <w:u w:val="single"/>
          <w:lang w:val="es-CO"/>
        </w:rPr>
        <w:t>Compartir normas técnicas implementadas por los países para garantizar instalaciones educativas inclusivas</w:t>
      </w:r>
    </w:p>
    <w:p w:rsidR="00481D19" w:rsidRPr="00A50683" w:rsidRDefault="00481D19" w:rsidP="0006019D">
      <w:pPr>
        <w:pStyle w:val="ListParagraph0"/>
        <w:tabs>
          <w:tab w:val="left" w:pos="720"/>
          <w:tab w:val="left" w:pos="1440"/>
        </w:tabs>
        <w:contextualSpacing/>
        <w:jc w:val="both"/>
        <w:rPr>
          <w:rFonts w:eastAsia="MS Mincho"/>
          <w:sz w:val="22"/>
          <w:szCs w:val="22"/>
          <w:u w:val="single"/>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Descripción: Socializar las normas técnicas de los países de la región, para garantizar instalaciones educativas que ofrezcan entornos de aprendizaje inclusivos, seguros y eficaces para todas y todos los estudiantes en el marco de la diversidad que los caracteriza. Logros, dificultades y retos para su implementación.  Intercambiar experiencias entre los países de la región para el abordaje en el que se intersecten, en el marco de la implementación, enfoques de curso de vida, de género, intercultural, territorial, entre otros, para garantizar infraestructuras físicas que brinden ambientes de aprendizaje seguros e inclusivos que favorezcan el aprendizaje de todos, independientemente de su origen o del hecho de experimentar alguna discapacidad.</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 xml:space="preserve">Fuentes de financiación: Ministerio de Educación de Colombia </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 10.</w:t>
      </w:r>
    </w:p>
    <w:p w:rsidR="00481D19" w:rsidRDefault="00481D19" w:rsidP="0006019D">
      <w:pPr>
        <w:tabs>
          <w:tab w:val="left" w:pos="720"/>
          <w:tab w:val="left" w:pos="1530"/>
        </w:tabs>
        <w:ind w:left="720" w:hanging="720"/>
        <w:jc w:val="both"/>
        <w:rPr>
          <w:rFonts w:eastAsia="MS Mincho"/>
          <w:sz w:val="22"/>
          <w:szCs w:val="22"/>
          <w:lang w:val="es-CO"/>
        </w:rPr>
      </w:pPr>
    </w:p>
    <w:p w:rsidR="00894B29" w:rsidRDefault="00894B29" w:rsidP="0006019D">
      <w:pPr>
        <w:tabs>
          <w:tab w:val="left" w:pos="720"/>
          <w:tab w:val="left" w:pos="1530"/>
        </w:tabs>
        <w:ind w:left="720" w:hanging="720"/>
        <w:jc w:val="both"/>
        <w:rPr>
          <w:rFonts w:eastAsia="MS Mincho"/>
          <w:sz w:val="22"/>
          <w:szCs w:val="22"/>
          <w:lang w:val="es-CO"/>
        </w:rPr>
      </w:pPr>
    </w:p>
    <w:p w:rsidR="00894B29" w:rsidRPr="00A50683" w:rsidRDefault="00894B29" w:rsidP="0006019D">
      <w:pPr>
        <w:tabs>
          <w:tab w:val="left" w:pos="720"/>
          <w:tab w:val="left" w:pos="1530"/>
        </w:tabs>
        <w:ind w:left="720" w:hanging="720"/>
        <w:jc w:val="both"/>
        <w:rPr>
          <w:rFonts w:eastAsia="MS Mincho"/>
          <w:sz w:val="22"/>
          <w:szCs w:val="22"/>
          <w:lang w:val="es-CO"/>
        </w:rPr>
      </w:pPr>
    </w:p>
    <w:p w:rsidR="00481D19" w:rsidRPr="00A50683" w:rsidRDefault="00481D19" w:rsidP="00F21512">
      <w:pPr>
        <w:pStyle w:val="ListParagraph0"/>
        <w:numPr>
          <w:ilvl w:val="0"/>
          <w:numId w:val="2"/>
        </w:numPr>
        <w:tabs>
          <w:tab w:val="left" w:pos="720"/>
          <w:tab w:val="left" w:pos="1440"/>
        </w:tabs>
        <w:ind w:left="1440" w:hanging="720"/>
        <w:contextualSpacing/>
        <w:jc w:val="both"/>
        <w:rPr>
          <w:rFonts w:eastAsia="MS Mincho"/>
          <w:sz w:val="22"/>
          <w:szCs w:val="22"/>
          <w:u w:val="single"/>
          <w:lang w:val="es-CO"/>
        </w:rPr>
      </w:pPr>
      <w:r w:rsidRPr="00A50683">
        <w:rPr>
          <w:rFonts w:eastAsia="MS Mincho"/>
          <w:sz w:val="22"/>
          <w:szCs w:val="22"/>
          <w:u w:val="single"/>
          <w:lang w:val="es-CO"/>
        </w:rPr>
        <w:lastRenderedPageBreak/>
        <w:t>Compartir políticas educativas de los países de la región estableciendo recursos específicos para atención educativa de personas discapacidad</w:t>
      </w:r>
    </w:p>
    <w:p w:rsidR="00481D19" w:rsidRPr="00A50683" w:rsidRDefault="00481D19" w:rsidP="0006019D">
      <w:pPr>
        <w:tabs>
          <w:tab w:val="left" w:pos="720"/>
          <w:tab w:val="left" w:pos="1530"/>
        </w:tabs>
        <w:ind w:left="720" w:hanging="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Descripción: Compartir políticas educativas (decretos, leyes, entre otros) de los países de la región en donde se establezcan recursos específicos para la atención educativa de personas con discapacidad y/o otras poblaciones, para brindar los apoyos y ajustes razonables necesarios para el logro de trayectorias educativas completas. Logros, dificultades y retos para su implementación. Socializar experiencias entre los distintos países de la región en donde se incentive desde el Gobierno Nacional a los Gobiernos Locales, la inversión de recursos propios para la adecuación de recursos físicos (infraestructura escolar, mobiliario) y otros recursos para apoyar el aprendizaje (libros, material didáctico y tecnología), que permitan brindar entornos de aprendizaje inclusivos, seguros y eficaces para todas y todos los estudiantes, en el marco de la diversidad que los caracteriza.</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 xml:space="preserve">Fuentes de financiación: Ministerio de Educación de Colombia. </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 10.</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F21512">
      <w:pPr>
        <w:pStyle w:val="ListParagraph0"/>
        <w:numPr>
          <w:ilvl w:val="0"/>
          <w:numId w:val="2"/>
        </w:numPr>
        <w:tabs>
          <w:tab w:val="left" w:pos="720"/>
          <w:tab w:val="left" w:pos="1440"/>
        </w:tabs>
        <w:ind w:left="1440" w:hanging="720"/>
        <w:contextualSpacing/>
        <w:jc w:val="both"/>
        <w:rPr>
          <w:rFonts w:eastAsia="MS Mincho"/>
          <w:sz w:val="22"/>
          <w:szCs w:val="22"/>
          <w:u w:val="single"/>
          <w:lang w:val="es-CO"/>
        </w:rPr>
      </w:pPr>
      <w:r w:rsidRPr="00A50683">
        <w:rPr>
          <w:rFonts w:eastAsia="MS Mincho"/>
          <w:sz w:val="22"/>
          <w:szCs w:val="22"/>
          <w:u w:val="single"/>
          <w:lang w:val="es-CO"/>
        </w:rPr>
        <w:t>Intercambiar experiencias sobre la implementación de entornos educativos inclusivos tanto a nivel rural como urbano</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 xml:space="preserve">Descripción: Intercambiar experiencias de los distintos países de la región, encaminadas a la consolidación de instalaciones educativas que promuevan ambientes pedagógicos propicios para la promoción de aprendizajes inclusivos, seguros y eficaces para todas y todos los estudiantes, a nivel rural y urbano, así como en los niveles socioeconómicos más bajos. </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Fuentes de financiación: Ministerio de Educación de Colombia; Ministerio de Educación de Costa Rica.</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 10.</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F21512">
      <w:pPr>
        <w:pStyle w:val="ListParagraph0"/>
        <w:numPr>
          <w:ilvl w:val="0"/>
          <w:numId w:val="2"/>
        </w:numPr>
        <w:tabs>
          <w:tab w:val="left" w:pos="720"/>
          <w:tab w:val="left" w:pos="1440"/>
        </w:tabs>
        <w:ind w:left="1440" w:hanging="720"/>
        <w:contextualSpacing/>
        <w:jc w:val="both"/>
        <w:rPr>
          <w:rFonts w:eastAsia="MS Mincho"/>
          <w:sz w:val="22"/>
          <w:szCs w:val="22"/>
          <w:u w:val="single"/>
          <w:lang w:val="es-CO"/>
        </w:rPr>
      </w:pPr>
      <w:r w:rsidRPr="00A50683">
        <w:rPr>
          <w:rFonts w:eastAsia="MS Mincho"/>
          <w:sz w:val="22"/>
          <w:szCs w:val="22"/>
          <w:u w:val="single"/>
          <w:lang w:val="es-CO"/>
        </w:rPr>
        <w:t>Coordinar con OREALC/UNESCO Santiago la implementación de acciones en los países de la región para el fortalecimiento de la ciudadanía bajo el marco de las iniciativas dedicadas a promover la educación para la ciudadanía mundial y temas relacionados en América Latina y el Caribe.</w:t>
      </w:r>
    </w:p>
    <w:p w:rsidR="00481D19" w:rsidRPr="00A50683" w:rsidRDefault="00481D19" w:rsidP="0006019D">
      <w:pPr>
        <w:tabs>
          <w:tab w:val="left" w:pos="720"/>
          <w:tab w:val="left" w:pos="1530"/>
        </w:tabs>
        <w:ind w:left="720"/>
        <w:contextualSpacing/>
        <w:jc w:val="both"/>
        <w:rPr>
          <w:rFonts w:eastAsia="MS Mincho"/>
          <w:sz w:val="22"/>
          <w:szCs w:val="22"/>
          <w:u w:val="single"/>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Descripción: La OREACL/UNESCO Santiago manifiesta su interés de brindar asistencia técnica a la CIE en este proceso de trabajo, contribuyendo con conocimientos, información, productos y prácticas generados como resultado de la implementación de actividades orientadas a apoyar los esfuerzos de los Estados Miembros para avanzar en el cumplimiento de la meta 4.7. Asimismo, la OREALC/UNESCO Santiago, informará e invitará a participar a la CIE en actividades que se implementen en el marco de las iniciativas dedicadas a promover la educación para la ciudadanía mundial y temas relacionados en América Latina y el Caribe, como ser redes, guías, documentos de trabajo, cajas de herramientas y seminarios regionales entre otras actividades.</w:t>
      </w: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Fuentes de financiación: OREALC/UNESCO Santiago, por definir. Incluye línea de presupuesto parcial de OREALC/UNESCO Santiago.</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06019D" w:rsidRDefault="00481D19">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 9, 11 y 12.</w:t>
      </w:r>
    </w:p>
    <w:p w:rsidR="00481D19" w:rsidRPr="00A50683" w:rsidRDefault="00481D19" w:rsidP="0006019D">
      <w:pPr>
        <w:pStyle w:val="ListParagraph0"/>
        <w:numPr>
          <w:ilvl w:val="0"/>
          <w:numId w:val="2"/>
        </w:numPr>
        <w:tabs>
          <w:tab w:val="left" w:pos="720"/>
          <w:tab w:val="left" w:pos="1440"/>
        </w:tabs>
        <w:ind w:left="1440" w:hanging="720"/>
        <w:contextualSpacing/>
        <w:jc w:val="both"/>
        <w:rPr>
          <w:rFonts w:eastAsia="MS Mincho"/>
          <w:sz w:val="22"/>
          <w:szCs w:val="22"/>
          <w:u w:val="single"/>
          <w:lang w:val="es-CO"/>
        </w:rPr>
      </w:pPr>
      <w:r w:rsidRPr="00A50683">
        <w:rPr>
          <w:rFonts w:eastAsia="MS Mincho"/>
          <w:sz w:val="22"/>
          <w:szCs w:val="22"/>
          <w:u w:val="single"/>
          <w:lang w:val="es-CO"/>
        </w:rPr>
        <w:lastRenderedPageBreak/>
        <w:t>Compartir la experiencia del “Programa Escuelas para el cambio” de Costa Rica sobre equidad de género</w:t>
      </w:r>
    </w:p>
    <w:p w:rsidR="00481D19" w:rsidRPr="00A50683" w:rsidRDefault="00481D19" w:rsidP="00481D19">
      <w:pPr>
        <w:pStyle w:val="ListParagraph0"/>
        <w:tabs>
          <w:tab w:val="left" w:pos="720"/>
          <w:tab w:val="left" w:pos="1530"/>
        </w:tabs>
        <w:ind w:left="1440"/>
        <w:contextualSpacing/>
        <w:jc w:val="both"/>
        <w:rPr>
          <w:rFonts w:eastAsia="MS Mincho"/>
          <w:sz w:val="22"/>
          <w:szCs w:val="22"/>
          <w:u w:val="single"/>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Descripción: El Programa Escuelas para el cambio de Costa Rica promueve la igualdad y la equidad de género en la cultura escolar facilitando a todo al personal docente y administrativo un sistema conceptual, metodológico y operativo para la implementación, fortalecimiento e institucionalización de prácticas a favor de la igualdad y equidad de género. Se desagrega en tres dimensiones: prácticas socioculturales para la igualdad y la equidad de género en la escuela: institucionalización de prácticas género sensitivas en el centro educativo y participación estudiantil para la promoción de la igualdad y la equidad.</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Fuentes de financiación: Ministerio de Educación de Costa Rica.</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 13</w:t>
      </w:r>
    </w:p>
    <w:p w:rsidR="00481D19" w:rsidRPr="00A50683" w:rsidRDefault="00481D19" w:rsidP="0006019D">
      <w:pPr>
        <w:tabs>
          <w:tab w:val="left" w:pos="720"/>
          <w:tab w:val="left" w:pos="1530"/>
        </w:tabs>
        <w:ind w:left="720"/>
        <w:jc w:val="both"/>
        <w:rPr>
          <w:rFonts w:eastAsia="MS Mincho"/>
          <w:sz w:val="22"/>
          <w:szCs w:val="22"/>
          <w:u w:val="single"/>
          <w:lang w:val="es-CO"/>
        </w:rPr>
      </w:pPr>
    </w:p>
    <w:p w:rsidR="00481D19" w:rsidRPr="00E11615" w:rsidRDefault="00481D19" w:rsidP="0006019D">
      <w:pPr>
        <w:pStyle w:val="ListParagraph0"/>
        <w:numPr>
          <w:ilvl w:val="0"/>
          <w:numId w:val="2"/>
        </w:numPr>
        <w:tabs>
          <w:tab w:val="left" w:pos="1440"/>
        </w:tabs>
        <w:ind w:left="1440" w:hanging="720"/>
        <w:jc w:val="both"/>
        <w:rPr>
          <w:rFonts w:eastAsia="MS Mincho"/>
          <w:sz w:val="22"/>
          <w:szCs w:val="22"/>
          <w:u w:val="single"/>
          <w:lang w:val="es-CO"/>
        </w:rPr>
      </w:pPr>
      <w:r w:rsidRPr="00E11615">
        <w:rPr>
          <w:rFonts w:eastAsia="MS Mincho"/>
          <w:sz w:val="22"/>
          <w:szCs w:val="22"/>
          <w:u w:val="single"/>
          <w:lang w:val="es-CO"/>
        </w:rPr>
        <w:t>Socializar la experiencia de la Estrategia Nacional “Alianza para el Bilingüismo (ABi)” de Costa Rica</w:t>
      </w:r>
    </w:p>
    <w:p w:rsidR="00A50683" w:rsidRPr="00A50683" w:rsidRDefault="00A50683"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Descripción: “la Estrategia Nacional “Alianza para el Bilingüismo (ABi)” de Costa Rica posee como meta alcanzar una educación con un segundo idioma al 2040, para que todos los estudiantes conversen y escriban en otro idioma como inglés, francés, portugués, mandarín, italiano o alemán.</w:t>
      </w:r>
    </w:p>
    <w:p w:rsidR="00A50683" w:rsidRPr="00A50683" w:rsidRDefault="00A50683"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Fuentes de financiación: Ministerio de Educación de Costa Rica.</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 21.</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06019D">
      <w:pPr>
        <w:pStyle w:val="ListParagraph0"/>
        <w:numPr>
          <w:ilvl w:val="0"/>
          <w:numId w:val="2"/>
        </w:numPr>
        <w:tabs>
          <w:tab w:val="left" w:pos="720"/>
          <w:tab w:val="left" w:pos="1440"/>
        </w:tabs>
        <w:ind w:left="1440" w:hanging="720"/>
        <w:contextualSpacing/>
        <w:jc w:val="both"/>
        <w:rPr>
          <w:rFonts w:eastAsia="MS Mincho"/>
          <w:sz w:val="22"/>
          <w:szCs w:val="22"/>
          <w:u w:val="single"/>
          <w:lang w:val="es-CO"/>
        </w:rPr>
      </w:pPr>
      <w:r w:rsidRPr="00A50683">
        <w:rPr>
          <w:rFonts w:eastAsia="MS Mincho"/>
          <w:sz w:val="22"/>
          <w:szCs w:val="22"/>
          <w:u w:val="single"/>
          <w:lang w:val="es-CO"/>
        </w:rPr>
        <w:t>Estrechar la coordinación entre la UNESCO y la CIE/OEA para apoyar los esfuerzos de los Estados Miembros en el seguimiento a la meta 4.1</w:t>
      </w:r>
    </w:p>
    <w:p w:rsidR="00A50683" w:rsidRPr="00A50683" w:rsidRDefault="00A50683"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 xml:space="preserve">Descripción: La UNESCO y la CIE/OEA trabajarán colaborativamente para fortalecer el funcionamiento del Laboratorio Latinoamericano de la Evaluación de la Calidad de la Educación (LLECE) y su reconocimiento como un bien público regional que sirve como el principal instrumento para dar seguimiento a los esfuerzos que realizan los Estados Miembros para cumplir con la meta 4.1. Asimismo, colaborarán para diseminar y promover la discusión de los resultados del Cuarto Estudio Regional Comparativo y Explicativo (ERCE), aplicado en 2019 y parte de 2020 en 16 países de América Latina, el cual mide los logros de aprendizaje de los estudiantes de tercer y sexto grado participantes sobre Matemática, Lenguaje y Ciencias, junto a habilidades socioemocionales, y sus respectivos factores asociados. También se espera colaborar con la CIE/OEA, los Estados Miembros y otros actores claves de la región en la movilización de recursos y alianzas para la implementación del próximo estudio ERCE (previsto en 2025) y avanzar en la participación de Estados Miembros del Caribe no hablante de español en el mismo. </w:t>
      </w:r>
    </w:p>
    <w:p w:rsidR="00A50683" w:rsidRPr="00A50683" w:rsidRDefault="00A50683"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Fuentes de financiación: Por definir. Incluye línea de presupuesto parcial de OREALC/UNESCO Santiago.</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Artículos 27 y 30.</w:t>
      </w:r>
    </w:p>
    <w:p w:rsidR="00481D19" w:rsidRPr="00A50683" w:rsidRDefault="00481D19" w:rsidP="0006019D">
      <w:pPr>
        <w:tabs>
          <w:tab w:val="left" w:pos="720"/>
          <w:tab w:val="left" w:pos="1530"/>
        </w:tabs>
        <w:ind w:left="720"/>
        <w:jc w:val="both"/>
        <w:rPr>
          <w:rFonts w:eastAsia="MS Mincho"/>
          <w:sz w:val="22"/>
          <w:szCs w:val="22"/>
          <w:lang w:val="es-CO"/>
        </w:rPr>
      </w:pPr>
    </w:p>
    <w:p w:rsidR="00481D19" w:rsidRPr="00A50683" w:rsidRDefault="00481D19" w:rsidP="0006019D">
      <w:pPr>
        <w:pStyle w:val="ListParagraph0"/>
        <w:numPr>
          <w:ilvl w:val="0"/>
          <w:numId w:val="2"/>
        </w:numPr>
        <w:tabs>
          <w:tab w:val="left" w:pos="1440"/>
        </w:tabs>
        <w:ind w:left="1440" w:hanging="720"/>
        <w:contextualSpacing/>
        <w:jc w:val="both"/>
        <w:rPr>
          <w:rFonts w:eastAsia="MS Mincho"/>
          <w:sz w:val="22"/>
          <w:szCs w:val="22"/>
          <w:u w:val="single"/>
          <w:lang w:val="es-CO"/>
        </w:rPr>
      </w:pPr>
      <w:r w:rsidRPr="00A50683">
        <w:rPr>
          <w:rFonts w:eastAsia="MS Mincho"/>
          <w:sz w:val="22"/>
          <w:szCs w:val="22"/>
          <w:u w:val="single"/>
          <w:lang w:val="es-CO"/>
        </w:rPr>
        <w:lastRenderedPageBreak/>
        <w:t>Continuar con la colaboración y coordinación entre la UNESCO y la CIE/OEA en el marco de su participación en el Comité de Dirección Regional para dar seguimiento a la implementación del ODS4-Educación 2030 en América Latina y el Caribe.</w:t>
      </w:r>
    </w:p>
    <w:p w:rsidR="00A50683" w:rsidRPr="00A50683" w:rsidRDefault="00A50683" w:rsidP="00481D19">
      <w:pPr>
        <w:tabs>
          <w:tab w:val="left" w:pos="720"/>
          <w:tab w:val="left" w:pos="1530"/>
        </w:tabs>
        <w:ind w:firstLine="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Descripción: La UNESCO reafirma la importancia de la participación de la CIE/OEA en los procesos de consulta y reuniones del Comité de Dirección Regional del ODS-Educación 2030 – conformado por 11 estados miembros, 2 organizaciones de la sociedad civil regionales, 4 organizaciones inter-gubernamentales (Incluyendo la OEA)- y 3 agencias de Naciones Unidas (incluyendo la UNESCO) - para avanzar en la implementación de la “Hoja de Ruta Regional para la implementación del ODS4-E2030 en América Latina y el Caribe”, instrumento que apoyará a los países para alcanzar las metas del Objetivo de Desarrollo Sostenible n°4, referido al logro de una educación de calidad, inclusiva y con equidad a lo largo de toda la vida. La Hoja de Ruta, aprobada en la primera Reunión de Ministros de Educación de América Latina y el Caribe (Buenos Aires, 2017) y el Comité de Dirección Regional fue adoptado durante la II Reunión de Ministros de Educación de América Latina y el Caribe (Cochabamba, 2018), organizada por la UNESCO en el marco de la Agenda de-Educación 2030.</w:t>
      </w:r>
    </w:p>
    <w:p w:rsidR="00A50683" w:rsidRPr="00A50683" w:rsidRDefault="00A50683" w:rsidP="0006019D">
      <w:pPr>
        <w:tabs>
          <w:tab w:val="left" w:pos="720"/>
          <w:tab w:val="left" w:pos="153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Fuentes de financiación: Se maximizará la implementación de reuniones y procesos de consulta virtuales.</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Artículos 27 y 30.</w:t>
      </w:r>
    </w:p>
    <w:p w:rsidR="00481D19" w:rsidRPr="00A50683" w:rsidRDefault="00481D19" w:rsidP="00481D19">
      <w:pPr>
        <w:tabs>
          <w:tab w:val="left" w:pos="720"/>
          <w:tab w:val="left" w:pos="1530"/>
        </w:tabs>
        <w:ind w:firstLine="720"/>
        <w:jc w:val="both"/>
        <w:rPr>
          <w:sz w:val="22"/>
          <w:szCs w:val="22"/>
          <w:lang w:val="es-CO"/>
        </w:rPr>
      </w:pPr>
    </w:p>
    <w:p w:rsidR="00481D19" w:rsidRPr="00A50683" w:rsidRDefault="00481D19" w:rsidP="007D4470">
      <w:pPr>
        <w:pStyle w:val="ListParagraph0"/>
        <w:numPr>
          <w:ilvl w:val="0"/>
          <w:numId w:val="2"/>
        </w:numPr>
        <w:tabs>
          <w:tab w:val="left" w:pos="1440"/>
        </w:tabs>
        <w:ind w:left="1440" w:hanging="720"/>
        <w:contextualSpacing/>
        <w:jc w:val="both"/>
        <w:rPr>
          <w:rFonts w:eastAsia="MS Mincho"/>
          <w:sz w:val="22"/>
          <w:szCs w:val="22"/>
          <w:u w:val="single"/>
          <w:lang w:val="es-CO"/>
        </w:rPr>
      </w:pPr>
      <w:r w:rsidRPr="00A50683">
        <w:rPr>
          <w:sz w:val="22"/>
          <w:szCs w:val="22"/>
          <w:u w:val="single"/>
          <w:lang w:val="es-CO"/>
        </w:rPr>
        <w:t xml:space="preserve">Apoyar la movilidad académica entre los Estados </w:t>
      </w:r>
      <w:r w:rsidRPr="00A50683">
        <w:rPr>
          <w:rFonts w:eastAsia="MS Mincho"/>
          <w:sz w:val="22"/>
          <w:szCs w:val="22"/>
          <w:u w:val="single"/>
          <w:lang w:val="es-CO"/>
        </w:rPr>
        <w:t>Miembros, a escala regional e internacional, en alianza con el Instituto Internacional de la UNESCO para la Educación Superior en América Latina y el Caribe (IESALC)</w:t>
      </w:r>
    </w:p>
    <w:p w:rsidR="00A50683" w:rsidRPr="00A50683" w:rsidRDefault="00A50683" w:rsidP="00A50683">
      <w:pPr>
        <w:pStyle w:val="ListParagraph0"/>
        <w:tabs>
          <w:tab w:val="left" w:pos="720"/>
          <w:tab w:val="left" w:pos="1530"/>
        </w:tabs>
        <w:ind w:left="1440"/>
        <w:contextualSpacing/>
        <w:jc w:val="both"/>
        <w:rPr>
          <w:rFonts w:eastAsia="MS Mincho"/>
          <w:sz w:val="22"/>
          <w:szCs w:val="22"/>
          <w:u w:val="single"/>
          <w:lang w:val="es-CO"/>
        </w:rPr>
      </w:pPr>
    </w:p>
    <w:p w:rsidR="00481D19" w:rsidRPr="00A50683" w:rsidRDefault="00481D19" w:rsidP="0006019D">
      <w:pPr>
        <w:tabs>
          <w:tab w:val="left" w:pos="720"/>
          <w:tab w:val="left" w:pos="1530"/>
          <w:tab w:val="left" w:pos="7380"/>
        </w:tabs>
        <w:ind w:left="720"/>
        <w:jc w:val="both"/>
        <w:rPr>
          <w:rStyle w:val="Hyperlink"/>
          <w:rFonts w:eastAsia="MS Mincho"/>
          <w:sz w:val="22"/>
          <w:szCs w:val="22"/>
          <w:lang w:val="es-CO"/>
        </w:rPr>
      </w:pPr>
      <w:r w:rsidRPr="00A50683">
        <w:rPr>
          <w:rFonts w:eastAsia="MS Mincho"/>
          <w:sz w:val="22"/>
          <w:szCs w:val="22"/>
          <w:lang w:val="es-CO"/>
        </w:rPr>
        <w:t xml:space="preserve">Descripción: Facilitar los procesos de ratificación y puesta en práctica del Convenio regional y del Convenio mundial sobre reconocimiento de cualificaciones relativas a la Educación Superior. Para mayor información acceder a los siguientes vínculos: </w:t>
      </w:r>
      <w:hyperlink r:id="rId10" w:history="1">
        <w:r w:rsidRPr="00A50683">
          <w:rPr>
            <w:rStyle w:val="Hyperlink"/>
            <w:rFonts w:eastAsia="MS Mincho"/>
            <w:sz w:val="22"/>
            <w:szCs w:val="22"/>
            <w:lang w:val="es-CO"/>
          </w:rPr>
          <w:t>Convenio regional</w:t>
        </w:r>
      </w:hyperlink>
      <w:r w:rsidRPr="00A50683">
        <w:rPr>
          <w:rFonts w:eastAsia="MS Mincho"/>
          <w:sz w:val="22"/>
          <w:szCs w:val="22"/>
          <w:lang w:val="es-CO"/>
        </w:rPr>
        <w:t xml:space="preserve"> y </w:t>
      </w:r>
      <w:hyperlink r:id="rId11" w:history="1">
        <w:r w:rsidRPr="00A50683">
          <w:rPr>
            <w:rStyle w:val="Hyperlink"/>
            <w:rFonts w:eastAsia="MS Mincho"/>
            <w:sz w:val="22"/>
            <w:szCs w:val="22"/>
            <w:lang w:val="es-CO"/>
          </w:rPr>
          <w:t>Convenio mundial</w:t>
        </w:r>
      </w:hyperlink>
      <w:r w:rsidR="00A50683" w:rsidRPr="00A50683">
        <w:rPr>
          <w:rStyle w:val="Hyperlink"/>
          <w:rFonts w:eastAsia="MS Mincho"/>
          <w:sz w:val="22"/>
          <w:szCs w:val="22"/>
          <w:lang w:val="es-CO"/>
        </w:rPr>
        <w:t>.</w:t>
      </w:r>
    </w:p>
    <w:p w:rsidR="00A50683" w:rsidRPr="00A50683" w:rsidRDefault="00A50683" w:rsidP="0006019D">
      <w:pPr>
        <w:tabs>
          <w:tab w:val="left" w:pos="720"/>
          <w:tab w:val="left" w:pos="1530"/>
          <w:tab w:val="left" w:pos="738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Fuentes de financiación: Por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Artículos 27 y 30.</w:t>
      </w:r>
    </w:p>
    <w:p w:rsidR="00481D19" w:rsidRPr="00A50683" w:rsidRDefault="00481D19" w:rsidP="00481D19">
      <w:pPr>
        <w:tabs>
          <w:tab w:val="left" w:pos="720"/>
          <w:tab w:val="left" w:pos="1530"/>
          <w:tab w:val="left" w:pos="7380"/>
        </w:tabs>
        <w:ind w:firstLine="720"/>
        <w:jc w:val="both"/>
        <w:rPr>
          <w:rFonts w:eastAsia="MS Mincho"/>
          <w:sz w:val="22"/>
          <w:szCs w:val="22"/>
          <w:lang w:val="es-CO"/>
        </w:rPr>
      </w:pPr>
    </w:p>
    <w:p w:rsidR="00481D19" w:rsidRPr="00A50683" w:rsidRDefault="00481D19" w:rsidP="007D4470">
      <w:pPr>
        <w:pStyle w:val="ListParagraph0"/>
        <w:numPr>
          <w:ilvl w:val="0"/>
          <w:numId w:val="2"/>
        </w:numPr>
        <w:tabs>
          <w:tab w:val="left" w:pos="1440"/>
        </w:tabs>
        <w:ind w:left="1440" w:hanging="720"/>
        <w:contextualSpacing/>
        <w:jc w:val="both"/>
        <w:rPr>
          <w:rFonts w:eastAsia="MS Mincho"/>
          <w:sz w:val="22"/>
          <w:szCs w:val="22"/>
          <w:u w:val="single"/>
          <w:lang w:val="es-CO"/>
        </w:rPr>
      </w:pPr>
      <w:r w:rsidRPr="00A50683">
        <w:rPr>
          <w:rFonts w:eastAsia="MS Mincho"/>
          <w:sz w:val="22"/>
          <w:szCs w:val="22"/>
          <w:u w:val="single"/>
          <w:lang w:val="es-CO"/>
        </w:rPr>
        <w:t>Elaborar con la OIT-CINTERFOR, UNESCO-OREALC y UNICEF, una matriz de descriptores y niveles de un Marco de Cualificaciones y principios para su usabilidad y comparabilidad</w:t>
      </w:r>
    </w:p>
    <w:p w:rsidR="00A50683" w:rsidRPr="00A50683" w:rsidRDefault="00A50683" w:rsidP="00A50683">
      <w:pPr>
        <w:pStyle w:val="ListParagraph0"/>
        <w:tabs>
          <w:tab w:val="left" w:pos="720"/>
          <w:tab w:val="left" w:pos="1530"/>
        </w:tabs>
        <w:ind w:left="1440"/>
        <w:contextualSpacing/>
        <w:jc w:val="both"/>
        <w:rPr>
          <w:rFonts w:eastAsia="MS Mincho"/>
          <w:sz w:val="22"/>
          <w:szCs w:val="22"/>
          <w:u w:val="single"/>
          <w:lang w:val="es-CO"/>
        </w:rPr>
      </w:pPr>
    </w:p>
    <w:p w:rsidR="00481D19" w:rsidRPr="00A50683" w:rsidRDefault="00481D19" w:rsidP="0006019D">
      <w:pPr>
        <w:tabs>
          <w:tab w:val="left" w:pos="720"/>
          <w:tab w:val="left" w:pos="1530"/>
          <w:tab w:val="left" w:pos="7380"/>
        </w:tabs>
        <w:ind w:left="720"/>
        <w:jc w:val="both"/>
        <w:rPr>
          <w:rFonts w:eastAsia="MS Mincho"/>
          <w:sz w:val="22"/>
          <w:szCs w:val="22"/>
          <w:lang w:val="es-CO"/>
        </w:rPr>
      </w:pPr>
      <w:r w:rsidRPr="00A50683">
        <w:rPr>
          <w:rFonts w:eastAsia="MS Mincho"/>
          <w:sz w:val="22"/>
          <w:szCs w:val="22"/>
          <w:lang w:val="es-CO"/>
        </w:rPr>
        <w:t>Descripción: Instrumento que servirá como referencia a nivel regional para los países que inicien o estén inmersos en implementación de marcos de cualificaciones. Esta estructura servirá como un meta-marco para los países que inicien, o deseen actualizar, sus marcos nacionales de cualificaciones.</w:t>
      </w:r>
    </w:p>
    <w:p w:rsidR="00A50683" w:rsidRPr="00A50683" w:rsidRDefault="00A50683" w:rsidP="0006019D">
      <w:pPr>
        <w:tabs>
          <w:tab w:val="left" w:pos="720"/>
          <w:tab w:val="left" w:pos="1530"/>
          <w:tab w:val="left" w:pos="7380"/>
        </w:tabs>
        <w:ind w:left="720"/>
        <w:jc w:val="both"/>
        <w:rPr>
          <w:rFonts w:eastAsia="MS Mincho"/>
          <w:sz w:val="22"/>
          <w:szCs w:val="22"/>
          <w:lang w:val="es-CO"/>
        </w:rPr>
      </w:pP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Fuentes de financiación: Por definir.</w:t>
      </w:r>
    </w:p>
    <w:p w:rsidR="00481D19" w:rsidRPr="00A50683"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Lugar y fecha de realización: A definir.</w:t>
      </w:r>
    </w:p>
    <w:p w:rsidR="00481D19" w:rsidRDefault="00481D19" w:rsidP="0006019D">
      <w:pPr>
        <w:tabs>
          <w:tab w:val="left" w:pos="720"/>
          <w:tab w:val="left" w:pos="1530"/>
        </w:tabs>
        <w:ind w:left="720"/>
        <w:jc w:val="both"/>
        <w:rPr>
          <w:rFonts w:eastAsia="MS Mincho"/>
          <w:sz w:val="22"/>
          <w:szCs w:val="22"/>
          <w:lang w:val="es-CO"/>
        </w:rPr>
      </w:pPr>
      <w:r w:rsidRPr="00A50683">
        <w:rPr>
          <w:rFonts w:eastAsia="MS Mincho"/>
          <w:sz w:val="22"/>
          <w:szCs w:val="22"/>
          <w:lang w:val="es-CO"/>
        </w:rPr>
        <w:t>Mandatos: Plan de Acción de Antigua y Barbuda. Artículos 27 y 30.</w:t>
      </w:r>
    </w:p>
    <w:p w:rsidR="0006019D" w:rsidRPr="00A50683" w:rsidRDefault="0006019D" w:rsidP="0006019D">
      <w:pPr>
        <w:tabs>
          <w:tab w:val="left" w:pos="720"/>
          <w:tab w:val="left" w:pos="1530"/>
        </w:tabs>
        <w:ind w:left="720"/>
        <w:jc w:val="both"/>
        <w:rPr>
          <w:rFonts w:eastAsia="MS Mincho"/>
          <w:sz w:val="22"/>
          <w:szCs w:val="22"/>
          <w:lang w:val="es-CO"/>
        </w:rPr>
      </w:pPr>
    </w:p>
    <w:p w:rsidR="00481D19" w:rsidRPr="00A50683" w:rsidRDefault="00481D19" w:rsidP="00481D19">
      <w:pPr>
        <w:tabs>
          <w:tab w:val="left" w:pos="720"/>
          <w:tab w:val="left" w:pos="1530"/>
        </w:tabs>
        <w:ind w:firstLine="720"/>
        <w:jc w:val="both"/>
        <w:rPr>
          <w:rFonts w:eastAsia="MS Mincho"/>
          <w:sz w:val="22"/>
          <w:szCs w:val="22"/>
          <w:lang w:val="es-CO"/>
        </w:rPr>
      </w:pPr>
    </w:p>
    <w:p w:rsidR="00481D19" w:rsidRPr="00A50683" w:rsidRDefault="00481D19" w:rsidP="007D4470">
      <w:pPr>
        <w:pStyle w:val="ListParagraph0"/>
        <w:numPr>
          <w:ilvl w:val="0"/>
          <w:numId w:val="2"/>
        </w:numPr>
        <w:tabs>
          <w:tab w:val="left" w:pos="720"/>
          <w:tab w:val="left" w:pos="1440"/>
        </w:tabs>
        <w:ind w:left="1440" w:hanging="720"/>
        <w:contextualSpacing/>
        <w:jc w:val="both"/>
        <w:rPr>
          <w:rFonts w:eastAsia="MS Mincho"/>
          <w:sz w:val="22"/>
          <w:szCs w:val="22"/>
          <w:u w:val="single"/>
          <w:lang w:val="es-CO"/>
        </w:rPr>
      </w:pPr>
      <w:r w:rsidRPr="00A50683">
        <w:rPr>
          <w:rFonts w:eastAsia="MS Mincho"/>
          <w:sz w:val="22"/>
          <w:szCs w:val="22"/>
          <w:u w:val="single"/>
          <w:lang w:val="es-CO"/>
        </w:rPr>
        <w:lastRenderedPageBreak/>
        <w:t>Difundir la experiencia del Espacio de Movilidad Virtual en Educación Superior (eMOVIES)</w:t>
      </w:r>
    </w:p>
    <w:p w:rsidR="00A50683" w:rsidRPr="00A50683" w:rsidRDefault="00A50683" w:rsidP="00A50683">
      <w:pPr>
        <w:pStyle w:val="ListParagraph0"/>
        <w:tabs>
          <w:tab w:val="left" w:pos="720"/>
          <w:tab w:val="left" w:pos="1530"/>
        </w:tabs>
        <w:ind w:left="1440"/>
        <w:contextualSpacing/>
        <w:jc w:val="both"/>
        <w:rPr>
          <w:rFonts w:eastAsia="MS Mincho"/>
          <w:sz w:val="22"/>
          <w:szCs w:val="22"/>
          <w:u w:val="single"/>
          <w:lang w:val="es-CO"/>
        </w:rPr>
      </w:pPr>
    </w:p>
    <w:p w:rsidR="00481D19" w:rsidRPr="00A50683" w:rsidRDefault="00481D19" w:rsidP="0006019D">
      <w:pPr>
        <w:tabs>
          <w:tab w:val="left" w:pos="720"/>
          <w:tab w:val="left" w:pos="1530"/>
          <w:tab w:val="left" w:pos="7380"/>
        </w:tabs>
        <w:ind w:left="720"/>
        <w:jc w:val="both"/>
        <w:rPr>
          <w:rFonts w:eastAsia="MS Mincho"/>
          <w:sz w:val="22"/>
          <w:szCs w:val="22"/>
          <w:lang w:val="es-CO"/>
        </w:rPr>
      </w:pPr>
      <w:r w:rsidRPr="00A50683">
        <w:rPr>
          <w:rFonts w:eastAsia="MS Mincho"/>
          <w:sz w:val="22"/>
          <w:szCs w:val="22"/>
          <w:lang w:val="es-CO"/>
        </w:rPr>
        <w:t>Descripción: Iniciativa de la Organización Universitaria Interamericana (OUI), el Espacio de Movilidad Virtual en Educación Superior (eMOVIES) propone una visión alternativa a los modelos de movilidad tradicional para la promoción del intercambio académico en educación superior ofreciendo a los y las estudiantes de instituciones de educación superior la oportunidad de llevar a cabo cursos o materias en modalidad virtual ofrecidos por otras instituciones vinculadas con eMOVIES. Esta Iniciativa estará permitiendo a los estudiantes vivir una experiencia internacional en el marco de su programa de estudios y el desarrollo de competencias de ciudadanía global.</w:t>
      </w:r>
    </w:p>
    <w:p w:rsidR="00A50683" w:rsidRPr="00A50683" w:rsidRDefault="00A50683" w:rsidP="0006019D">
      <w:pPr>
        <w:tabs>
          <w:tab w:val="left" w:pos="720"/>
          <w:tab w:val="left" w:pos="1530"/>
          <w:tab w:val="left" w:pos="7380"/>
        </w:tabs>
        <w:ind w:left="720"/>
        <w:jc w:val="both"/>
        <w:rPr>
          <w:rFonts w:eastAsia="MS Mincho"/>
          <w:sz w:val="22"/>
          <w:szCs w:val="22"/>
          <w:lang w:val="es-CO"/>
        </w:rPr>
      </w:pPr>
    </w:p>
    <w:p w:rsidR="00481D19" w:rsidRPr="00A50683" w:rsidRDefault="00481D19" w:rsidP="0006019D">
      <w:pPr>
        <w:tabs>
          <w:tab w:val="left" w:pos="720"/>
          <w:tab w:val="left" w:pos="1530"/>
          <w:tab w:val="left" w:pos="7380"/>
        </w:tabs>
        <w:ind w:left="720"/>
        <w:jc w:val="both"/>
        <w:rPr>
          <w:rFonts w:eastAsia="MS Mincho"/>
          <w:sz w:val="22"/>
          <w:szCs w:val="22"/>
          <w:lang w:val="es-CO"/>
        </w:rPr>
      </w:pPr>
      <w:r w:rsidRPr="00A50683">
        <w:rPr>
          <w:rFonts w:eastAsia="MS Mincho"/>
          <w:sz w:val="22"/>
          <w:szCs w:val="22"/>
          <w:lang w:val="es-CO"/>
        </w:rPr>
        <w:t>Fuentes de financiación: Ministerios de Educación nacionales, Instituciones de Educación Superior.</w:t>
      </w:r>
    </w:p>
    <w:p w:rsidR="00481D19" w:rsidRPr="00A50683" w:rsidRDefault="00481D19" w:rsidP="0006019D">
      <w:pPr>
        <w:tabs>
          <w:tab w:val="left" w:pos="720"/>
          <w:tab w:val="left" w:pos="1530"/>
          <w:tab w:val="left" w:pos="7380"/>
        </w:tabs>
        <w:ind w:left="720"/>
        <w:jc w:val="both"/>
        <w:rPr>
          <w:rFonts w:eastAsia="MS Mincho"/>
          <w:sz w:val="22"/>
          <w:szCs w:val="22"/>
          <w:lang w:val="es-CO"/>
        </w:rPr>
      </w:pPr>
      <w:r w:rsidRPr="00A50683">
        <w:rPr>
          <w:rFonts w:eastAsia="MS Mincho"/>
          <w:sz w:val="22"/>
          <w:szCs w:val="22"/>
          <w:lang w:val="es-CO"/>
        </w:rPr>
        <w:t>Lugar y fecha de realización: Virtual, Inicio en segundo semestre 2020.</w:t>
      </w:r>
    </w:p>
    <w:p w:rsidR="00A50683" w:rsidRDefault="00481D19" w:rsidP="0006019D">
      <w:pPr>
        <w:tabs>
          <w:tab w:val="left" w:pos="720"/>
          <w:tab w:val="left" w:pos="1530"/>
          <w:tab w:val="left" w:pos="7380"/>
        </w:tabs>
        <w:ind w:left="720"/>
        <w:jc w:val="both"/>
        <w:rPr>
          <w:rFonts w:eastAsia="MS Mincho"/>
          <w:sz w:val="22"/>
          <w:szCs w:val="22"/>
          <w:lang w:val="es-CO"/>
        </w:rPr>
      </w:pPr>
      <w:r w:rsidRPr="00A50683">
        <w:rPr>
          <w:rFonts w:eastAsia="MS Mincho"/>
          <w:sz w:val="22"/>
          <w:szCs w:val="22"/>
          <w:lang w:val="es-CO"/>
        </w:rPr>
        <w:t>Mandatos: Plan de Acción de Antigua y Barbuda Artículo 33.</w:t>
      </w:r>
    </w:p>
    <w:p w:rsidR="00D0128A" w:rsidRDefault="00D0128A" w:rsidP="0006019D">
      <w:pPr>
        <w:tabs>
          <w:tab w:val="left" w:pos="720"/>
          <w:tab w:val="left" w:pos="1530"/>
          <w:tab w:val="left" w:pos="7380"/>
        </w:tabs>
        <w:ind w:left="720"/>
        <w:jc w:val="both"/>
        <w:rPr>
          <w:rFonts w:eastAsia="MS Mincho"/>
          <w:sz w:val="22"/>
          <w:szCs w:val="22"/>
          <w:lang w:val="es-CO"/>
        </w:rPr>
      </w:pPr>
    </w:p>
    <w:p w:rsidR="00D0128A" w:rsidRPr="005169C2" w:rsidRDefault="00D0128A" w:rsidP="00F21512">
      <w:pPr>
        <w:pStyle w:val="ListParagraph0"/>
        <w:numPr>
          <w:ilvl w:val="0"/>
          <w:numId w:val="2"/>
        </w:numPr>
        <w:tabs>
          <w:tab w:val="left" w:pos="720"/>
          <w:tab w:val="left" w:pos="1440"/>
        </w:tabs>
        <w:ind w:left="1440" w:hanging="720"/>
        <w:contextualSpacing/>
        <w:jc w:val="both"/>
        <w:rPr>
          <w:rFonts w:eastAsia="MS Mincho"/>
          <w:sz w:val="22"/>
          <w:szCs w:val="22"/>
          <w:u w:val="single"/>
          <w:lang w:val="es-CO"/>
        </w:rPr>
      </w:pPr>
      <w:r w:rsidRPr="005169C2">
        <w:rPr>
          <w:rFonts w:eastAsia="MS Mincho"/>
          <w:sz w:val="22"/>
          <w:szCs w:val="22"/>
          <w:u w:val="single"/>
          <w:lang w:val="es-CO"/>
        </w:rPr>
        <w:t>Avanzar en un marco normativo para la Primera Infancia y recomendaciones de Políticas a nivel hemisférico.</w:t>
      </w:r>
    </w:p>
    <w:p w:rsidR="00D0128A" w:rsidRPr="005169C2" w:rsidRDefault="00D0128A" w:rsidP="00D0128A">
      <w:pPr>
        <w:tabs>
          <w:tab w:val="left" w:pos="1530"/>
        </w:tabs>
        <w:ind w:firstLine="720"/>
        <w:jc w:val="both"/>
        <w:rPr>
          <w:rFonts w:eastAsia="MS Mincho"/>
          <w:sz w:val="22"/>
          <w:szCs w:val="22"/>
          <w:lang w:val="es-CO"/>
        </w:rPr>
      </w:pPr>
    </w:p>
    <w:p w:rsidR="00D0128A" w:rsidRPr="005169C2" w:rsidRDefault="00D0128A" w:rsidP="00F21512">
      <w:pPr>
        <w:tabs>
          <w:tab w:val="left" w:pos="720"/>
          <w:tab w:val="left" w:pos="1530"/>
          <w:tab w:val="left" w:pos="7380"/>
        </w:tabs>
        <w:ind w:left="720"/>
        <w:jc w:val="both"/>
        <w:rPr>
          <w:rFonts w:eastAsia="MS Mincho"/>
          <w:sz w:val="22"/>
          <w:szCs w:val="22"/>
          <w:lang w:val="es-CO"/>
        </w:rPr>
      </w:pPr>
      <w:r w:rsidRPr="005169C2">
        <w:rPr>
          <w:rFonts w:eastAsia="MS Mincho"/>
          <w:sz w:val="22"/>
          <w:szCs w:val="22"/>
          <w:lang w:val="es-CO"/>
        </w:rPr>
        <w:t>Descripción: Alcanzar un marco legal y político a nivel hemisférico en torno a los derechos de la primera infancia que instale los principios, propósitos y prioridades orientadores de las políticas públicas de los Estados miembros de la Organización en la mater</w:t>
      </w:r>
      <w:r w:rsidR="00F21512" w:rsidRPr="005169C2">
        <w:rPr>
          <w:rFonts w:eastAsia="MS Mincho"/>
          <w:sz w:val="22"/>
          <w:szCs w:val="22"/>
          <w:lang w:val="es-CO"/>
        </w:rPr>
        <w:t xml:space="preserve">ia, ampliando y complementando </w:t>
      </w:r>
      <w:r w:rsidRPr="005169C2">
        <w:rPr>
          <w:rFonts w:eastAsia="MS Mincho"/>
          <w:sz w:val="22"/>
          <w:szCs w:val="22"/>
          <w:lang w:val="es-CO"/>
        </w:rPr>
        <w:t xml:space="preserve">los compromisos establecidos en la Carta Social de las Américas y en el Protocolo adicional a la Convención Americana sobre los Derechos Humanos en materia de derechos económicos, sociales y culturales y los avances logrados por el Instituto Interamericano del Niño, la Niña y Adolescentes (IIN) como organismo especializado de la OEA en materia de niñez y adolescencia.  </w:t>
      </w:r>
    </w:p>
    <w:p w:rsidR="00D0128A" w:rsidRPr="005169C2" w:rsidRDefault="00D0128A" w:rsidP="00D0128A">
      <w:pPr>
        <w:ind w:left="851" w:hanging="284"/>
        <w:jc w:val="both"/>
        <w:rPr>
          <w:rFonts w:eastAsia="MS Mincho"/>
          <w:sz w:val="22"/>
          <w:szCs w:val="22"/>
          <w:lang w:val="es-CO"/>
        </w:rPr>
      </w:pPr>
    </w:p>
    <w:p w:rsidR="00D0128A" w:rsidRPr="005169C2" w:rsidRDefault="00D0128A" w:rsidP="00F21512">
      <w:pPr>
        <w:tabs>
          <w:tab w:val="left" w:pos="720"/>
          <w:tab w:val="left" w:pos="1530"/>
          <w:tab w:val="left" w:pos="7380"/>
        </w:tabs>
        <w:ind w:left="720"/>
        <w:jc w:val="both"/>
        <w:rPr>
          <w:rFonts w:eastAsia="MS Mincho"/>
          <w:sz w:val="22"/>
          <w:szCs w:val="22"/>
          <w:lang w:val="es-CO"/>
        </w:rPr>
      </w:pPr>
      <w:r w:rsidRPr="005169C2">
        <w:rPr>
          <w:rFonts w:eastAsia="MS Mincho"/>
          <w:sz w:val="22"/>
          <w:szCs w:val="22"/>
          <w:lang w:val="es-CO"/>
        </w:rPr>
        <w:t>Fuentes de financiación: A confirmar.</w:t>
      </w:r>
    </w:p>
    <w:p w:rsidR="00D0128A" w:rsidRPr="005169C2" w:rsidRDefault="00D0128A" w:rsidP="00F21512">
      <w:pPr>
        <w:tabs>
          <w:tab w:val="left" w:pos="720"/>
          <w:tab w:val="left" w:pos="1530"/>
          <w:tab w:val="left" w:pos="7380"/>
        </w:tabs>
        <w:ind w:left="720"/>
        <w:jc w:val="both"/>
        <w:rPr>
          <w:rFonts w:eastAsia="MS Mincho"/>
          <w:sz w:val="22"/>
          <w:szCs w:val="22"/>
          <w:lang w:val="es-CO"/>
        </w:rPr>
      </w:pPr>
      <w:r w:rsidRPr="005169C2">
        <w:rPr>
          <w:rFonts w:eastAsia="MS Mincho"/>
          <w:sz w:val="22"/>
          <w:szCs w:val="22"/>
          <w:lang w:val="es-CO"/>
        </w:rPr>
        <w:t>Lugar y fecha de realización: A confirmar.</w:t>
      </w:r>
    </w:p>
    <w:p w:rsidR="00D0128A" w:rsidRPr="005169C2" w:rsidRDefault="00D0128A" w:rsidP="00F21512">
      <w:pPr>
        <w:tabs>
          <w:tab w:val="left" w:pos="720"/>
          <w:tab w:val="left" w:pos="1530"/>
          <w:tab w:val="left" w:pos="7380"/>
        </w:tabs>
        <w:ind w:left="720"/>
        <w:jc w:val="both"/>
        <w:rPr>
          <w:rFonts w:eastAsia="MS Mincho"/>
          <w:sz w:val="22"/>
          <w:szCs w:val="22"/>
          <w:lang w:val="es-CO"/>
        </w:rPr>
      </w:pPr>
      <w:r w:rsidRPr="005169C2">
        <w:rPr>
          <w:rFonts w:eastAsia="MS Mincho"/>
          <w:sz w:val="22"/>
          <w:szCs w:val="22"/>
          <w:lang w:val="es-CO"/>
        </w:rPr>
        <w:t>Mandatos: Plan de Acción de Antigua y Barbuda Artículo 23.</w:t>
      </w:r>
    </w:p>
    <w:p w:rsidR="00D0128A" w:rsidRPr="005169C2" w:rsidRDefault="00D0128A" w:rsidP="00D0128A">
      <w:pPr>
        <w:rPr>
          <w:sz w:val="22"/>
          <w:szCs w:val="22"/>
          <w:lang w:val="es-ES"/>
        </w:rPr>
      </w:pPr>
    </w:p>
    <w:p w:rsidR="00D0128A" w:rsidRPr="005169C2" w:rsidRDefault="00894B29" w:rsidP="00F21512">
      <w:pPr>
        <w:pStyle w:val="ListParagraph0"/>
        <w:numPr>
          <w:ilvl w:val="0"/>
          <w:numId w:val="2"/>
        </w:numPr>
        <w:tabs>
          <w:tab w:val="left" w:pos="720"/>
          <w:tab w:val="left" w:pos="1440"/>
        </w:tabs>
        <w:ind w:left="1440" w:hanging="720"/>
        <w:contextualSpacing/>
        <w:jc w:val="both"/>
        <w:rPr>
          <w:rFonts w:eastAsia="MS Mincho"/>
          <w:sz w:val="22"/>
          <w:szCs w:val="22"/>
          <w:u w:val="single"/>
          <w:lang w:val="es-CO"/>
        </w:rPr>
      </w:pPr>
      <w:r w:rsidRPr="005169C2">
        <w:rPr>
          <w:rFonts w:eastAsia="MS Mincho"/>
          <w:sz w:val="22"/>
          <w:szCs w:val="22"/>
          <w:u w:val="single"/>
          <w:lang w:val="es-CO"/>
        </w:rPr>
        <w:t>Gestar los p</w:t>
      </w:r>
      <w:r w:rsidR="00D0128A" w:rsidRPr="005169C2">
        <w:rPr>
          <w:rFonts w:eastAsia="MS Mincho"/>
          <w:sz w:val="22"/>
          <w:szCs w:val="22"/>
          <w:u w:val="single"/>
          <w:lang w:val="es-CO"/>
        </w:rPr>
        <w:t xml:space="preserve">rincipios básicos para avanzar en la elaboración de un protocolo hemisférico sobre educación en entornos digitales. </w:t>
      </w:r>
    </w:p>
    <w:p w:rsidR="00D0128A" w:rsidRPr="005169C2" w:rsidRDefault="00D0128A" w:rsidP="00D0128A">
      <w:pPr>
        <w:tabs>
          <w:tab w:val="left" w:pos="426"/>
        </w:tabs>
        <w:rPr>
          <w:sz w:val="22"/>
          <w:szCs w:val="22"/>
          <w:lang w:val="es-AR"/>
        </w:rPr>
      </w:pPr>
    </w:p>
    <w:p w:rsidR="00D0128A" w:rsidRPr="005169C2" w:rsidRDefault="00D0128A" w:rsidP="00F21512">
      <w:pPr>
        <w:tabs>
          <w:tab w:val="left" w:pos="720"/>
          <w:tab w:val="left" w:pos="1530"/>
          <w:tab w:val="left" w:pos="7380"/>
        </w:tabs>
        <w:ind w:left="720"/>
        <w:jc w:val="both"/>
        <w:rPr>
          <w:rFonts w:eastAsia="MS Mincho"/>
          <w:sz w:val="22"/>
          <w:szCs w:val="22"/>
          <w:lang w:val="es-CO"/>
        </w:rPr>
      </w:pPr>
      <w:r w:rsidRPr="005169C2">
        <w:rPr>
          <w:rFonts w:eastAsia="MS Mincho"/>
          <w:sz w:val="22"/>
          <w:szCs w:val="22"/>
          <w:lang w:val="es-CO"/>
        </w:rPr>
        <w:t>Descripción: avanzar en la definición a nivel hemisférico, a partir de los aprendizajes generados por la emergencia impuesta por la pandemia de COVID-19 y la suspensión de la asistencia a la escuela, de estándares en relación a la educación en entornos digitales que garantice una educación inclusiva, de calidad y respetuosa de los derechos de los niños, niñas y adolescentes.</w:t>
      </w:r>
    </w:p>
    <w:p w:rsidR="00D0128A" w:rsidRPr="005169C2" w:rsidRDefault="00D0128A" w:rsidP="00F21512">
      <w:pPr>
        <w:tabs>
          <w:tab w:val="left" w:pos="720"/>
          <w:tab w:val="left" w:pos="1530"/>
          <w:tab w:val="left" w:pos="7380"/>
        </w:tabs>
        <w:ind w:left="720"/>
        <w:jc w:val="both"/>
        <w:rPr>
          <w:rFonts w:eastAsia="MS Mincho"/>
          <w:sz w:val="22"/>
          <w:szCs w:val="22"/>
          <w:lang w:val="es-CO"/>
        </w:rPr>
      </w:pPr>
    </w:p>
    <w:p w:rsidR="00D0128A" w:rsidRPr="005169C2" w:rsidRDefault="00D0128A" w:rsidP="00F21512">
      <w:pPr>
        <w:tabs>
          <w:tab w:val="left" w:pos="720"/>
          <w:tab w:val="left" w:pos="1530"/>
          <w:tab w:val="left" w:pos="7380"/>
        </w:tabs>
        <w:ind w:left="720"/>
        <w:jc w:val="both"/>
        <w:rPr>
          <w:rFonts w:eastAsia="MS Mincho"/>
          <w:sz w:val="22"/>
          <w:szCs w:val="22"/>
          <w:lang w:val="es-CO"/>
        </w:rPr>
      </w:pPr>
      <w:r w:rsidRPr="005169C2">
        <w:rPr>
          <w:rFonts w:eastAsia="MS Mincho"/>
          <w:sz w:val="22"/>
          <w:szCs w:val="22"/>
          <w:lang w:val="es-CO"/>
        </w:rPr>
        <w:t>Fuentes de financiación: A confirmar.</w:t>
      </w:r>
    </w:p>
    <w:p w:rsidR="00D0128A" w:rsidRPr="005169C2" w:rsidRDefault="00D0128A" w:rsidP="00F21512">
      <w:pPr>
        <w:tabs>
          <w:tab w:val="left" w:pos="720"/>
          <w:tab w:val="left" w:pos="1530"/>
          <w:tab w:val="left" w:pos="7380"/>
        </w:tabs>
        <w:ind w:left="720"/>
        <w:jc w:val="both"/>
        <w:rPr>
          <w:rFonts w:eastAsia="MS Mincho"/>
          <w:sz w:val="22"/>
          <w:szCs w:val="22"/>
          <w:lang w:val="es-CO"/>
        </w:rPr>
      </w:pPr>
      <w:r w:rsidRPr="005169C2">
        <w:rPr>
          <w:rFonts w:eastAsia="MS Mincho"/>
          <w:sz w:val="22"/>
          <w:szCs w:val="22"/>
          <w:lang w:val="es-CO"/>
        </w:rPr>
        <w:t>Lugar y fecha de realización: A confirmar.</w:t>
      </w:r>
    </w:p>
    <w:p w:rsidR="00D0128A" w:rsidRPr="005169C2" w:rsidRDefault="00D0128A" w:rsidP="00F21512">
      <w:pPr>
        <w:tabs>
          <w:tab w:val="left" w:pos="720"/>
          <w:tab w:val="left" w:pos="1530"/>
          <w:tab w:val="left" w:pos="7380"/>
        </w:tabs>
        <w:ind w:left="720"/>
        <w:jc w:val="both"/>
        <w:rPr>
          <w:rFonts w:eastAsia="MS Mincho"/>
          <w:sz w:val="22"/>
          <w:szCs w:val="22"/>
          <w:lang w:val="es-CO"/>
        </w:rPr>
      </w:pPr>
      <w:r w:rsidRPr="005169C2">
        <w:rPr>
          <w:rFonts w:eastAsia="MS Mincho"/>
          <w:sz w:val="22"/>
          <w:szCs w:val="22"/>
          <w:lang w:val="es-CO"/>
        </w:rPr>
        <w:t>Mandatos: Plan de Acción de Antigua y Barbuda Artículo 8.</w:t>
      </w:r>
    </w:p>
    <w:p w:rsidR="002C27AC" w:rsidRPr="005169C2" w:rsidRDefault="002C27AC" w:rsidP="00F21512">
      <w:pPr>
        <w:tabs>
          <w:tab w:val="left" w:pos="720"/>
          <w:tab w:val="left" w:pos="1530"/>
          <w:tab w:val="left" w:pos="7380"/>
        </w:tabs>
        <w:jc w:val="both"/>
        <w:rPr>
          <w:rFonts w:eastAsia="MS Mincho"/>
          <w:sz w:val="22"/>
          <w:szCs w:val="22"/>
          <w:lang w:val="es-CO"/>
        </w:rPr>
      </w:pPr>
    </w:p>
    <w:p w:rsidR="002C27AC" w:rsidRPr="005169C2" w:rsidRDefault="002C27AC" w:rsidP="00F21512">
      <w:pPr>
        <w:tabs>
          <w:tab w:val="left" w:pos="720"/>
          <w:tab w:val="left" w:pos="1530"/>
          <w:tab w:val="left" w:pos="7380"/>
        </w:tabs>
        <w:ind w:firstLine="720"/>
        <w:jc w:val="both"/>
        <w:rPr>
          <w:rFonts w:eastAsia="MS Mincho"/>
          <w:sz w:val="22"/>
          <w:szCs w:val="22"/>
          <w:lang w:val="es-ES"/>
        </w:rPr>
      </w:pPr>
      <w:r w:rsidRPr="005169C2">
        <w:rPr>
          <w:rFonts w:eastAsia="MS Mincho"/>
          <w:sz w:val="22"/>
          <w:szCs w:val="22"/>
          <w:lang w:val="es-ES"/>
        </w:rPr>
        <w:t>A nivel programático, cuenta con el apoyo de las acciones que se realizan bajo el Departamento de Desarrollo Humano, Educación y Empleo (DDHEE) de la OEA tales como: El Programa de Becas Académicas y Desarrollo Profesional,  los Programas de Alianzas para la Educación y la Capacitación (PAEC), el Portal Educativo de las Américas, El Fondo Panamericano Leo S. Rowe y la Red  Inter-</w:t>
      </w:r>
      <w:r w:rsidRPr="005169C2">
        <w:rPr>
          <w:rFonts w:eastAsia="MS Mincho"/>
          <w:sz w:val="22"/>
          <w:szCs w:val="22"/>
          <w:lang w:val="es-ES"/>
        </w:rPr>
        <w:lastRenderedPageBreak/>
        <w:t>Americana de Formación Docente (RIED), entre otros mecanismos y programas de cooperación que permiten aterrizar los compromisos ministeriales en acciones concretas.</w:t>
      </w:r>
    </w:p>
    <w:p w:rsidR="00A50683" w:rsidRPr="005169C2" w:rsidRDefault="00A50683">
      <w:pPr>
        <w:rPr>
          <w:rFonts w:eastAsia="MS Mincho"/>
          <w:sz w:val="22"/>
          <w:szCs w:val="22"/>
          <w:lang w:val="es-CO"/>
        </w:rPr>
      </w:pPr>
    </w:p>
    <w:p w:rsidR="00481D19" w:rsidRPr="005169C2" w:rsidRDefault="00481D19" w:rsidP="00A50683">
      <w:pPr>
        <w:tabs>
          <w:tab w:val="left" w:pos="720"/>
          <w:tab w:val="left" w:pos="1530"/>
          <w:tab w:val="left" w:pos="7380"/>
        </w:tabs>
        <w:ind w:left="1440" w:hanging="720"/>
        <w:jc w:val="both"/>
        <w:rPr>
          <w:rFonts w:eastAsia="MS Mincho"/>
          <w:b/>
          <w:sz w:val="22"/>
          <w:szCs w:val="22"/>
          <w:lang w:val="es-CO"/>
        </w:rPr>
      </w:pPr>
      <w:r w:rsidRPr="005169C2">
        <w:rPr>
          <w:rFonts w:eastAsia="MS Mincho"/>
          <w:b/>
          <w:sz w:val="22"/>
          <w:szCs w:val="22"/>
          <w:lang w:val="es-CO"/>
        </w:rPr>
        <w:t xml:space="preserve">3.2 </w:t>
      </w:r>
      <w:r w:rsidR="00A50683" w:rsidRPr="005169C2">
        <w:rPr>
          <w:rFonts w:eastAsia="MS Mincho"/>
          <w:b/>
          <w:sz w:val="22"/>
          <w:szCs w:val="22"/>
          <w:lang w:val="es-CO"/>
        </w:rPr>
        <w:tab/>
      </w:r>
      <w:r w:rsidRPr="005169C2">
        <w:rPr>
          <w:rFonts w:eastAsia="MS Mincho"/>
          <w:b/>
          <w:sz w:val="22"/>
          <w:szCs w:val="22"/>
          <w:lang w:val="es-CO"/>
        </w:rPr>
        <w:t xml:space="preserve">Actividades rumbo a la XI Reunión Inter-Americana de Ministros de </w:t>
      </w:r>
      <w:r w:rsidR="00A50683" w:rsidRPr="005169C2">
        <w:rPr>
          <w:rFonts w:eastAsia="MS Mincho"/>
          <w:b/>
          <w:sz w:val="22"/>
          <w:szCs w:val="22"/>
          <w:lang w:val="es-CO"/>
        </w:rPr>
        <w:t>Educación</w:t>
      </w:r>
      <w:r w:rsidRPr="005169C2">
        <w:rPr>
          <w:rFonts w:eastAsia="MS Mincho"/>
          <w:b/>
          <w:sz w:val="22"/>
          <w:szCs w:val="22"/>
          <w:lang w:val="es-CO"/>
        </w:rPr>
        <w:t xml:space="preserve"> a celebrarse en el mes de abril de 2022</w:t>
      </w:r>
    </w:p>
    <w:p w:rsidR="00481D19" w:rsidRPr="005169C2" w:rsidRDefault="00481D19" w:rsidP="00481D19">
      <w:pPr>
        <w:tabs>
          <w:tab w:val="left" w:pos="720"/>
          <w:tab w:val="left" w:pos="1530"/>
          <w:tab w:val="left" w:pos="7380"/>
        </w:tabs>
        <w:ind w:firstLine="720"/>
        <w:jc w:val="both"/>
        <w:rPr>
          <w:rFonts w:eastAsia="MS Mincho"/>
          <w:sz w:val="22"/>
          <w:szCs w:val="22"/>
          <w:lang w:val="es-CO"/>
        </w:rPr>
      </w:pPr>
    </w:p>
    <w:p w:rsidR="00481D19" w:rsidRPr="005169C2" w:rsidRDefault="00481D19" w:rsidP="00481D19">
      <w:pPr>
        <w:tabs>
          <w:tab w:val="left" w:pos="720"/>
          <w:tab w:val="left" w:pos="1530"/>
          <w:tab w:val="left" w:pos="7380"/>
        </w:tabs>
        <w:ind w:firstLine="720"/>
        <w:jc w:val="both"/>
        <w:rPr>
          <w:sz w:val="22"/>
          <w:szCs w:val="22"/>
          <w:u w:val="single"/>
          <w:lang w:val="es-CO"/>
        </w:rPr>
      </w:pPr>
      <w:r w:rsidRPr="005169C2">
        <w:rPr>
          <w:sz w:val="22"/>
          <w:szCs w:val="22"/>
          <w:u w:val="single"/>
          <w:lang w:val="es-CO"/>
        </w:rPr>
        <w:t>Reuniones de Planeación con autoridades de la CIE, Grupos de Trabajo y Troika</w:t>
      </w:r>
    </w:p>
    <w:p w:rsidR="00E11615" w:rsidRPr="005169C2" w:rsidRDefault="00E11615" w:rsidP="00481D19">
      <w:pPr>
        <w:tabs>
          <w:tab w:val="left" w:pos="720"/>
          <w:tab w:val="left" w:pos="1530"/>
          <w:tab w:val="left" w:pos="7380"/>
        </w:tabs>
        <w:ind w:firstLine="720"/>
        <w:jc w:val="both"/>
        <w:rPr>
          <w:sz w:val="22"/>
          <w:szCs w:val="22"/>
          <w:u w:val="single"/>
          <w:lang w:val="es-CO"/>
        </w:rPr>
      </w:pPr>
    </w:p>
    <w:p w:rsidR="00481D19" w:rsidRPr="005169C2" w:rsidRDefault="00481D19" w:rsidP="00CE77BB">
      <w:pPr>
        <w:tabs>
          <w:tab w:val="left" w:pos="720"/>
          <w:tab w:val="left" w:pos="1530"/>
          <w:tab w:val="left" w:pos="7380"/>
        </w:tabs>
        <w:ind w:left="720"/>
        <w:jc w:val="both"/>
        <w:rPr>
          <w:rFonts w:eastAsia="MS Mincho"/>
          <w:sz w:val="22"/>
          <w:szCs w:val="22"/>
          <w:lang w:val="es-CO"/>
        </w:rPr>
      </w:pPr>
      <w:r w:rsidRPr="005169C2">
        <w:rPr>
          <w:sz w:val="22"/>
          <w:szCs w:val="22"/>
          <w:lang w:val="es-CO"/>
        </w:rPr>
        <w:t>Descripción</w:t>
      </w:r>
      <w:r w:rsidRPr="005169C2">
        <w:rPr>
          <w:rFonts w:eastAsia="MS Mincho"/>
          <w:sz w:val="22"/>
          <w:szCs w:val="22"/>
          <w:lang w:val="es-CO"/>
        </w:rPr>
        <w:t xml:space="preserve">: Las autoridades se reunirán para intercambiar ideas y definir la implementación de este plan de trabajo, dar lineamientos para acciones futuras, verificar el estado financiero de la CIE, </w:t>
      </w:r>
      <w:r w:rsidR="005169C2">
        <w:rPr>
          <w:rFonts w:eastAsia="MS Mincho"/>
          <w:sz w:val="22"/>
          <w:szCs w:val="22"/>
          <w:lang w:val="es-CO"/>
        </w:rPr>
        <w:t>Plan de Acción de Antigua y Barbuda (</w:t>
      </w:r>
      <w:r w:rsidRPr="005169C2">
        <w:rPr>
          <w:rFonts w:eastAsia="MS Mincho"/>
          <w:sz w:val="22"/>
          <w:szCs w:val="22"/>
          <w:lang w:val="es-CO"/>
        </w:rPr>
        <w:t>PAAB</w:t>
      </w:r>
      <w:r w:rsidR="005169C2">
        <w:rPr>
          <w:rFonts w:eastAsia="MS Mincho"/>
          <w:sz w:val="22"/>
          <w:szCs w:val="22"/>
          <w:lang w:val="es-CO"/>
        </w:rPr>
        <w:t>)</w:t>
      </w:r>
      <w:r w:rsidRPr="005169C2">
        <w:rPr>
          <w:rFonts w:eastAsia="MS Mincho"/>
          <w:sz w:val="22"/>
          <w:szCs w:val="22"/>
          <w:lang w:val="es-CO"/>
        </w:rPr>
        <w:t xml:space="preserve"> y demás acciones incluidas en este Plan de trabajo. También para dar insumos para la preparación de la XI Reunión de Ministros de Educación con sede todavía por definirse, a celebrarse en abril 2022.  La Secretaría Técnica coordinará la reunión en coordinación con las autoridades.</w:t>
      </w:r>
    </w:p>
    <w:p w:rsidR="00A50683" w:rsidRPr="005169C2" w:rsidRDefault="00A50683" w:rsidP="00CE77BB">
      <w:pPr>
        <w:tabs>
          <w:tab w:val="left" w:pos="720"/>
          <w:tab w:val="left" w:pos="1530"/>
          <w:tab w:val="left" w:pos="2160"/>
        </w:tabs>
        <w:ind w:left="720"/>
        <w:jc w:val="both"/>
        <w:rPr>
          <w:sz w:val="22"/>
          <w:szCs w:val="22"/>
          <w:lang w:val="es-CO"/>
        </w:rPr>
      </w:pPr>
    </w:p>
    <w:p w:rsidR="00481D19" w:rsidRPr="005169C2" w:rsidRDefault="00481D19" w:rsidP="00CE77BB">
      <w:pPr>
        <w:tabs>
          <w:tab w:val="left" w:pos="720"/>
          <w:tab w:val="left" w:pos="1530"/>
          <w:tab w:val="left" w:pos="2160"/>
        </w:tabs>
        <w:ind w:left="720"/>
        <w:jc w:val="both"/>
        <w:rPr>
          <w:rFonts w:eastAsia="MS Mincho"/>
          <w:sz w:val="22"/>
          <w:szCs w:val="22"/>
          <w:lang w:val="es-CO"/>
        </w:rPr>
      </w:pPr>
      <w:r w:rsidRPr="005169C2">
        <w:rPr>
          <w:sz w:val="22"/>
          <w:szCs w:val="22"/>
          <w:lang w:val="es-CO"/>
        </w:rPr>
        <w:t>Resultados esperados</w:t>
      </w:r>
      <w:r w:rsidRPr="005169C2">
        <w:rPr>
          <w:rFonts w:eastAsia="MS Mincho"/>
          <w:sz w:val="22"/>
          <w:szCs w:val="22"/>
          <w:lang w:val="es-CO"/>
        </w:rPr>
        <w:t>: Un plan de trabajo detallado con actividades, cronograma y resultados esperados, el cual estará en línea con el Plan Estratégico Integral de la Organización.</w:t>
      </w:r>
    </w:p>
    <w:p w:rsidR="00481D19" w:rsidRPr="005169C2" w:rsidRDefault="00481D19" w:rsidP="00CE77BB">
      <w:pPr>
        <w:tabs>
          <w:tab w:val="left" w:pos="720"/>
          <w:tab w:val="left" w:pos="1530"/>
          <w:tab w:val="left" w:pos="2160"/>
        </w:tabs>
        <w:ind w:left="720"/>
        <w:jc w:val="both"/>
        <w:rPr>
          <w:rFonts w:eastAsia="MS Mincho"/>
          <w:sz w:val="22"/>
          <w:szCs w:val="22"/>
          <w:lang w:val="es-CO"/>
        </w:rPr>
      </w:pPr>
      <w:r w:rsidRPr="005169C2">
        <w:rPr>
          <w:sz w:val="22"/>
          <w:szCs w:val="22"/>
          <w:lang w:val="es-CO"/>
        </w:rPr>
        <w:t>Fuentes de financiación</w:t>
      </w:r>
      <w:r w:rsidRPr="005169C2">
        <w:rPr>
          <w:rFonts w:eastAsia="MS Mincho"/>
          <w:sz w:val="22"/>
          <w:szCs w:val="22"/>
          <w:lang w:val="es-CO"/>
        </w:rPr>
        <w:t>: Fondo Regular de la OEA, línea presupuestaria de las reuniones ordinarias del CIDI.</w:t>
      </w:r>
    </w:p>
    <w:p w:rsidR="00481D19" w:rsidRPr="005169C2" w:rsidRDefault="00481D19" w:rsidP="00CE77BB">
      <w:pPr>
        <w:tabs>
          <w:tab w:val="left" w:pos="720"/>
          <w:tab w:val="left" w:pos="1530"/>
          <w:tab w:val="left" w:pos="2160"/>
        </w:tabs>
        <w:ind w:left="720"/>
        <w:jc w:val="both"/>
        <w:rPr>
          <w:rFonts w:eastAsia="MS Mincho"/>
          <w:sz w:val="22"/>
          <w:szCs w:val="22"/>
          <w:lang w:val="es-CO"/>
        </w:rPr>
      </w:pPr>
      <w:r w:rsidRPr="005169C2">
        <w:rPr>
          <w:sz w:val="22"/>
          <w:szCs w:val="22"/>
          <w:lang w:val="es-CO"/>
        </w:rPr>
        <w:t>Fecha de realización</w:t>
      </w:r>
      <w:r w:rsidRPr="005169C2">
        <w:rPr>
          <w:rFonts w:eastAsia="MS Mincho"/>
          <w:sz w:val="22"/>
          <w:szCs w:val="22"/>
          <w:lang w:val="es-CO"/>
        </w:rPr>
        <w:t>: 10 de febrero de 2020</w:t>
      </w:r>
    </w:p>
    <w:p w:rsidR="00481D19" w:rsidRPr="005169C2" w:rsidRDefault="00481D19" w:rsidP="00CE77BB">
      <w:pPr>
        <w:tabs>
          <w:tab w:val="left" w:pos="720"/>
          <w:tab w:val="left" w:pos="1530"/>
          <w:tab w:val="left" w:pos="2160"/>
        </w:tabs>
        <w:ind w:left="720"/>
        <w:jc w:val="both"/>
        <w:rPr>
          <w:rFonts w:eastAsia="MS Mincho"/>
          <w:sz w:val="22"/>
          <w:szCs w:val="22"/>
          <w:lang w:val="es-CO"/>
        </w:rPr>
      </w:pPr>
    </w:p>
    <w:p w:rsidR="00481D19" w:rsidRPr="00A50683" w:rsidRDefault="00481D19" w:rsidP="00CE77BB">
      <w:pPr>
        <w:tabs>
          <w:tab w:val="left" w:pos="720"/>
          <w:tab w:val="left" w:pos="1530"/>
          <w:tab w:val="left" w:pos="2160"/>
        </w:tabs>
        <w:ind w:left="720"/>
        <w:jc w:val="both"/>
        <w:rPr>
          <w:sz w:val="22"/>
          <w:szCs w:val="22"/>
          <w:u w:val="single"/>
          <w:lang w:val="es-CO"/>
        </w:rPr>
      </w:pPr>
      <w:r w:rsidRPr="005169C2">
        <w:rPr>
          <w:sz w:val="22"/>
          <w:szCs w:val="22"/>
          <w:u w:val="single"/>
          <w:lang w:val="es-CO"/>
        </w:rPr>
        <w:t>Reunión de la Comisión de Políticas para presentar el Plan de Trabajo de la CIE 2019-2022</w:t>
      </w:r>
      <w:r w:rsidRPr="00A50683">
        <w:rPr>
          <w:sz w:val="22"/>
          <w:szCs w:val="22"/>
          <w:u w:val="single"/>
          <w:lang w:val="es-CO"/>
        </w:rPr>
        <w:t xml:space="preserve"> </w:t>
      </w:r>
    </w:p>
    <w:p w:rsidR="00A50683" w:rsidRPr="00A50683" w:rsidRDefault="00A50683" w:rsidP="00CE77BB">
      <w:pPr>
        <w:tabs>
          <w:tab w:val="left" w:pos="720"/>
          <w:tab w:val="left" w:pos="1530"/>
        </w:tabs>
        <w:ind w:left="720"/>
        <w:jc w:val="both"/>
        <w:rPr>
          <w:sz w:val="22"/>
          <w:szCs w:val="22"/>
          <w:lang w:val="es-CO"/>
        </w:rPr>
      </w:pPr>
    </w:p>
    <w:p w:rsidR="00481D19" w:rsidRPr="00A50683" w:rsidRDefault="00481D19" w:rsidP="00CE77BB">
      <w:pPr>
        <w:tabs>
          <w:tab w:val="left" w:pos="720"/>
          <w:tab w:val="left" w:pos="1530"/>
        </w:tabs>
        <w:ind w:left="720"/>
        <w:jc w:val="both"/>
        <w:rPr>
          <w:rFonts w:eastAsia="MS Mincho"/>
          <w:sz w:val="22"/>
          <w:szCs w:val="22"/>
          <w:lang w:val="es-CO"/>
        </w:rPr>
      </w:pPr>
      <w:r w:rsidRPr="00A50683">
        <w:rPr>
          <w:sz w:val="22"/>
          <w:szCs w:val="22"/>
          <w:lang w:val="es-CO"/>
        </w:rPr>
        <w:t>Descripción</w:t>
      </w:r>
      <w:r w:rsidRPr="00A50683">
        <w:rPr>
          <w:rFonts w:eastAsia="MS Mincho"/>
          <w:sz w:val="22"/>
          <w:szCs w:val="22"/>
          <w:lang w:val="es-CO"/>
        </w:rPr>
        <w:t>: Dar a conocer al CIDI, a través de su Comisión de Políticas, el proyecto del plan de trabajo acordado por las autoridades sectoriales durante su reunión de planeación para la implementación de los mandatos ministeriales, con el fin de recibir retroalimentación de todos los Estados</w:t>
      </w:r>
      <w:r w:rsidR="00067FEA">
        <w:rPr>
          <w:rFonts w:eastAsia="MS Mincho"/>
          <w:sz w:val="22"/>
          <w:szCs w:val="22"/>
          <w:lang w:val="es-CO"/>
        </w:rPr>
        <w:t xml:space="preserve"> Miembros</w:t>
      </w:r>
      <w:r w:rsidRPr="00A50683">
        <w:rPr>
          <w:rFonts w:eastAsia="MS Mincho"/>
          <w:sz w:val="22"/>
          <w:szCs w:val="22"/>
          <w:lang w:val="es-CO"/>
        </w:rPr>
        <w:t xml:space="preserve"> al Plan de Trabajo propuesto, además de fomentar la coordinación entre los diferentes procesos ministeriales</w:t>
      </w:r>
    </w:p>
    <w:p w:rsidR="00A50683" w:rsidRPr="00A50683" w:rsidRDefault="00A50683" w:rsidP="00CE77BB">
      <w:pPr>
        <w:tabs>
          <w:tab w:val="left" w:pos="720"/>
          <w:tab w:val="left" w:pos="1530"/>
        </w:tabs>
        <w:ind w:left="720"/>
        <w:jc w:val="both"/>
        <w:rPr>
          <w:sz w:val="22"/>
          <w:szCs w:val="22"/>
          <w:lang w:val="es-CO"/>
        </w:rPr>
      </w:pPr>
    </w:p>
    <w:p w:rsidR="00481D19" w:rsidRPr="00A50683" w:rsidRDefault="00481D19" w:rsidP="00CE77BB">
      <w:pPr>
        <w:tabs>
          <w:tab w:val="left" w:pos="720"/>
          <w:tab w:val="left" w:pos="1530"/>
        </w:tabs>
        <w:ind w:left="720"/>
        <w:jc w:val="both"/>
        <w:rPr>
          <w:rFonts w:eastAsia="MS Mincho"/>
          <w:sz w:val="22"/>
          <w:szCs w:val="22"/>
          <w:lang w:val="es-CO"/>
        </w:rPr>
      </w:pPr>
      <w:r w:rsidRPr="00A50683">
        <w:rPr>
          <w:sz w:val="22"/>
          <w:szCs w:val="22"/>
          <w:lang w:val="es-CO"/>
        </w:rPr>
        <w:t>Resultados esperados</w:t>
      </w:r>
      <w:r w:rsidRPr="00A50683">
        <w:rPr>
          <w:rFonts w:eastAsia="MS Mincho"/>
          <w:sz w:val="22"/>
          <w:szCs w:val="22"/>
          <w:lang w:val="es-CO"/>
        </w:rPr>
        <w:t xml:space="preserve">: Un Plan de Trabajo fortalecido con contribuciones de todos los Estados miembros a través de la Comisión de Políticas y detallando las acciones que se adelantarán en el marco del proceso sectorial correspondiente. Este es un documento de trabajo para la Secretaría y las autoridades sectoriales y estará enfocado a dar cumplimiento a los mandatos de la Reunión Ministerial. </w:t>
      </w:r>
    </w:p>
    <w:p w:rsidR="00481D19" w:rsidRPr="00A50683" w:rsidRDefault="00481D19" w:rsidP="00CE77BB">
      <w:pPr>
        <w:tabs>
          <w:tab w:val="left" w:pos="720"/>
          <w:tab w:val="left" w:pos="1530"/>
        </w:tabs>
        <w:ind w:left="720"/>
        <w:jc w:val="both"/>
        <w:rPr>
          <w:rFonts w:eastAsia="MS Mincho"/>
          <w:sz w:val="22"/>
          <w:szCs w:val="22"/>
          <w:lang w:val="es-CO"/>
        </w:rPr>
      </w:pPr>
      <w:r w:rsidRPr="00A50683">
        <w:rPr>
          <w:rFonts w:eastAsia="MS Mincho"/>
          <w:sz w:val="22"/>
          <w:szCs w:val="22"/>
          <w:lang w:val="es-CO"/>
        </w:rPr>
        <w:t>Fuente de financiamiento: Fondo Regular de la OEA, línea presupuestaria de las reuniones ordinarias el CIDI.</w:t>
      </w:r>
    </w:p>
    <w:p w:rsidR="00481D19" w:rsidRPr="00A50683" w:rsidRDefault="00481D19" w:rsidP="00CE77BB">
      <w:pPr>
        <w:tabs>
          <w:tab w:val="left" w:pos="720"/>
          <w:tab w:val="left" w:pos="1530"/>
        </w:tabs>
        <w:ind w:left="720"/>
        <w:jc w:val="both"/>
        <w:rPr>
          <w:rFonts w:eastAsia="MS Mincho"/>
          <w:sz w:val="22"/>
          <w:szCs w:val="22"/>
          <w:lang w:val="es-CO"/>
        </w:rPr>
      </w:pPr>
      <w:r w:rsidRPr="00A50683">
        <w:rPr>
          <w:sz w:val="22"/>
          <w:szCs w:val="22"/>
          <w:lang w:val="es-CO"/>
        </w:rPr>
        <w:t>Fecha de realización</w:t>
      </w:r>
      <w:r w:rsidRPr="00A50683">
        <w:rPr>
          <w:rFonts w:eastAsia="MS Mincho"/>
          <w:sz w:val="22"/>
          <w:szCs w:val="22"/>
          <w:lang w:val="es-CO"/>
        </w:rPr>
        <w:t>: Mayo 2020</w:t>
      </w:r>
    </w:p>
    <w:p w:rsidR="00481D19" w:rsidRPr="00A50683" w:rsidRDefault="00481D19" w:rsidP="00CE77BB">
      <w:pPr>
        <w:tabs>
          <w:tab w:val="left" w:pos="720"/>
          <w:tab w:val="left" w:pos="1530"/>
        </w:tabs>
        <w:ind w:left="720"/>
        <w:jc w:val="both"/>
        <w:rPr>
          <w:rFonts w:eastAsia="MS Mincho"/>
          <w:sz w:val="22"/>
          <w:szCs w:val="22"/>
          <w:lang w:val="es-CO"/>
        </w:rPr>
      </w:pPr>
    </w:p>
    <w:p w:rsidR="00481D19" w:rsidRPr="00A50683" w:rsidRDefault="00481D19" w:rsidP="00CE77BB">
      <w:pPr>
        <w:tabs>
          <w:tab w:val="left" w:pos="720"/>
          <w:tab w:val="left" w:pos="1530"/>
        </w:tabs>
        <w:ind w:left="720"/>
        <w:jc w:val="both"/>
        <w:rPr>
          <w:sz w:val="22"/>
          <w:szCs w:val="22"/>
          <w:u w:val="single"/>
          <w:lang w:val="es-CO"/>
        </w:rPr>
      </w:pPr>
      <w:r w:rsidRPr="00A50683">
        <w:rPr>
          <w:sz w:val="22"/>
          <w:szCs w:val="22"/>
          <w:u w:val="single"/>
          <w:lang w:val="es-CO"/>
        </w:rPr>
        <w:t>Reunión de la Comisión Interamericana de Educación (CIE)</w:t>
      </w:r>
    </w:p>
    <w:p w:rsidR="00A50683" w:rsidRPr="00A50683" w:rsidRDefault="00A50683" w:rsidP="00CE77BB">
      <w:pPr>
        <w:tabs>
          <w:tab w:val="left" w:pos="720"/>
          <w:tab w:val="left" w:pos="1530"/>
        </w:tabs>
        <w:ind w:left="720"/>
        <w:jc w:val="both"/>
        <w:rPr>
          <w:sz w:val="22"/>
          <w:szCs w:val="22"/>
          <w:lang w:val="es-CO"/>
        </w:rPr>
      </w:pPr>
    </w:p>
    <w:p w:rsidR="00481D19" w:rsidRPr="00A50683" w:rsidRDefault="00481D19" w:rsidP="00CE77BB">
      <w:pPr>
        <w:tabs>
          <w:tab w:val="left" w:pos="720"/>
          <w:tab w:val="left" w:pos="1530"/>
        </w:tabs>
        <w:ind w:left="720"/>
        <w:jc w:val="both"/>
        <w:rPr>
          <w:rFonts w:eastAsia="MS Mincho"/>
          <w:sz w:val="22"/>
          <w:szCs w:val="22"/>
          <w:lang w:val="es-CO"/>
        </w:rPr>
      </w:pPr>
      <w:r w:rsidRPr="00A50683">
        <w:rPr>
          <w:sz w:val="22"/>
          <w:szCs w:val="22"/>
          <w:lang w:val="es-CO"/>
        </w:rPr>
        <w:t>Descripción</w:t>
      </w:r>
      <w:r w:rsidRPr="00A50683">
        <w:rPr>
          <w:rFonts w:eastAsia="MS Mincho"/>
          <w:sz w:val="22"/>
          <w:szCs w:val="22"/>
          <w:lang w:val="es-CO"/>
        </w:rPr>
        <w:t xml:space="preserve">: Analizar el progreso y la implementación de los mandatos ministeriales (implementación del Plan de Acción y Plan de Trabajo); analizar tendencias regionales en la materia y la pertinencia del trabajo de la OEA en las áreas de prioridad; acordar el/los tema(s) de la próxima reunión ministerial y dar lineamientos a la Secretaría para la redacción del proyecto preliminar de temario anotado;  recibir anuncios formales para ser sede de la próxima reunión Ministerial y trasladarlos al CIDI para su aprobación y convocatoria formal. Si no se recibe ningún anuncio formal, la Comisión podrá solicitar al CIDI que convoque la reunión Ministerial en la sede de la OEA. </w:t>
      </w:r>
    </w:p>
    <w:p w:rsidR="00A50683" w:rsidRPr="00A50683" w:rsidRDefault="00A50683" w:rsidP="00CE77BB">
      <w:pPr>
        <w:tabs>
          <w:tab w:val="left" w:pos="720"/>
          <w:tab w:val="left" w:pos="1530"/>
        </w:tabs>
        <w:ind w:left="720"/>
        <w:jc w:val="both"/>
        <w:rPr>
          <w:sz w:val="22"/>
          <w:szCs w:val="22"/>
          <w:lang w:val="es-CO"/>
        </w:rPr>
      </w:pPr>
    </w:p>
    <w:p w:rsidR="00481D19" w:rsidRDefault="00481D19" w:rsidP="00CE77BB">
      <w:pPr>
        <w:tabs>
          <w:tab w:val="left" w:pos="720"/>
          <w:tab w:val="left" w:pos="1530"/>
        </w:tabs>
        <w:ind w:left="720"/>
        <w:jc w:val="both"/>
        <w:rPr>
          <w:rFonts w:eastAsia="MS Mincho"/>
          <w:sz w:val="22"/>
          <w:szCs w:val="22"/>
          <w:lang w:val="es-CO"/>
        </w:rPr>
      </w:pPr>
      <w:r w:rsidRPr="00A50683">
        <w:rPr>
          <w:sz w:val="22"/>
          <w:szCs w:val="22"/>
          <w:lang w:val="es-CO"/>
        </w:rPr>
        <w:lastRenderedPageBreak/>
        <w:t>Resultados esperados</w:t>
      </w:r>
      <w:r w:rsidRPr="00A50683">
        <w:rPr>
          <w:rFonts w:eastAsia="MS Mincho"/>
          <w:sz w:val="22"/>
          <w:szCs w:val="22"/>
          <w:lang w:val="es-CO"/>
        </w:rPr>
        <w:t>: Temas aprobados para la próxima ministerial y lineamentos a la Secretaría para la preparación del proyecto preliminar de temario anotado y de los proyectos de declaración y plan de acción. Estos lineamientos pueden reiterar o revisar/ajustar las prioridades establecidas en las pasadas Ministeriales; definición de la sede y fecha para la próxima reunión Ministerial; análisis de progreso en la implementación de mandatos ministeriales y recomendaciones para ajustar el Plan de Trabajo de ser necesario.</w:t>
      </w:r>
    </w:p>
    <w:p w:rsidR="00481D19" w:rsidRPr="00A50683" w:rsidRDefault="00481D19" w:rsidP="00CE77BB">
      <w:pPr>
        <w:tabs>
          <w:tab w:val="left" w:pos="720"/>
          <w:tab w:val="left" w:pos="1530"/>
        </w:tabs>
        <w:ind w:left="720"/>
        <w:jc w:val="both"/>
        <w:rPr>
          <w:rFonts w:eastAsia="MS Mincho"/>
          <w:sz w:val="22"/>
          <w:szCs w:val="22"/>
          <w:lang w:val="es-CO"/>
        </w:rPr>
      </w:pPr>
      <w:r w:rsidRPr="00A50683">
        <w:rPr>
          <w:sz w:val="22"/>
          <w:szCs w:val="22"/>
          <w:lang w:val="es-CO"/>
        </w:rPr>
        <w:t>Fuente de financiamiento</w:t>
      </w:r>
      <w:r w:rsidRPr="00A50683">
        <w:rPr>
          <w:rFonts w:eastAsia="MS Mincho"/>
          <w:sz w:val="22"/>
          <w:szCs w:val="22"/>
          <w:lang w:val="es-CO"/>
        </w:rPr>
        <w:t>: Fondo Regular de la OEA, línea presupuestaria de las reuniones ordinarias del CIDI.</w:t>
      </w:r>
    </w:p>
    <w:p w:rsidR="00481D19" w:rsidRPr="00A50683" w:rsidRDefault="00481D19" w:rsidP="00CE77BB">
      <w:pPr>
        <w:tabs>
          <w:tab w:val="left" w:pos="720"/>
          <w:tab w:val="left" w:pos="1530"/>
        </w:tabs>
        <w:ind w:left="720"/>
        <w:jc w:val="both"/>
        <w:rPr>
          <w:rFonts w:eastAsia="MS Mincho"/>
          <w:sz w:val="22"/>
          <w:szCs w:val="22"/>
          <w:lang w:val="es-CO"/>
        </w:rPr>
      </w:pPr>
      <w:r w:rsidRPr="00A50683">
        <w:rPr>
          <w:sz w:val="22"/>
          <w:szCs w:val="22"/>
          <w:lang w:val="es-CO"/>
        </w:rPr>
        <w:t>Fecha de realización</w:t>
      </w:r>
      <w:r w:rsidRPr="00A50683">
        <w:rPr>
          <w:rFonts w:eastAsia="MS Mincho"/>
          <w:sz w:val="22"/>
          <w:szCs w:val="22"/>
          <w:lang w:val="es-CO"/>
        </w:rPr>
        <w:t>: Octubre 2021</w:t>
      </w:r>
    </w:p>
    <w:p w:rsidR="00481D19" w:rsidRPr="00A50683" w:rsidRDefault="00481D19" w:rsidP="00CE77BB">
      <w:pPr>
        <w:tabs>
          <w:tab w:val="left" w:pos="720"/>
          <w:tab w:val="left" w:pos="1530"/>
        </w:tabs>
        <w:ind w:left="720"/>
        <w:jc w:val="both"/>
        <w:rPr>
          <w:sz w:val="22"/>
          <w:szCs w:val="22"/>
          <w:u w:val="single"/>
          <w:lang w:val="es-CO"/>
        </w:rPr>
      </w:pPr>
    </w:p>
    <w:p w:rsidR="00481D19" w:rsidRPr="00A50683" w:rsidRDefault="00481D19" w:rsidP="00CE77BB">
      <w:pPr>
        <w:tabs>
          <w:tab w:val="left" w:pos="720"/>
          <w:tab w:val="left" w:pos="1530"/>
        </w:tabs>
        <w:ind w:left="720"/>
        <w:jc w:val="both"/>
        <w:rPr>
          <w:sz w:val="22"/>
          <w:szCs w:val="22"/>
          <w:u w:val="single"/>
          <w:lang w:val="es-CO"/>
        </w:rPr>
      </w:pPr>
      <w:r w:rsidRPr="00A50683">
        <w:rPr>
          <w:sz w:val="22"/>
          <w:szCs w:val="22"/>
          <w:u w:val="single"/>
          <w:lang w:val="es-CO"/>
        </w:rPr>
        <w:t>Reunión CIDI para presentar proyecto de documentos e inicio de discusiones</w:t>
      </w:r>
    </w:p>
    <w:p w:rsidR="00A50683" w:rsidRPr="00A50683" w:rsidRDefault="00A50683" w:rsidP="00CE77BB">
      <w:pPr>
        <w:tabs>
          <w:tab w:val="left" w:pos="720"/>
          <w:tab w:val="left" w:pos="1530"/>
        </w:tabs>
        <w:ind w:left="720"/>
        <w:jc w:val="both"/>
        <w:rPr>
          <w:sz w:val="22"/>
          <w:szCs w:val="22"/>
          <w:lang w:val="es-CO"/>
        </w:rPr>
      </w:pPr>
    </w:p>
    <w:p w:rsidR="00481D19" w:rsidRPr="00A50683" w:rsidRDefault="00481D19" w:rsidP="00CE77BB">
      <w:pPr>
        <w:tabs>
          <w:tab w:val="left" w:pos="720"/>
          <w:tab w:val="left" w:pos="1530"/>
        </w:tabs>
        <w:ind w:left="720"/>
        <w:jc w:val="both"/>
        <w:rPr>
          <w:rFonts w:eastAsia="MS Mincho"/>
          <w:sz w:val="22"/>
          <w:szCs w:val="22"/>
          <w:lang w:val="es-CO"/>
        </w:rPr>
      </w:pPr>
      <w:r w:rsidRPr="00A50683">
        <w:rPr>
          <w:sz w:val="22"/>
          <w:szCs w:val="22"/>
          <w:lang w:val="es-CO"/>
        </w:rPr>
        <w:t xml:space="preserve">Descripción: </w:t>
      </w:r>
      <w:r w:rsidRPr="00A50683">
        <w:rPr>
          <w:rFonts w:eastAsia="MS Mincho"/>
          <w:sz w:val="22"/>
          <w:szCs w:val="22"/>
          <w:lang w:val="es-CO"/>
        </w:rPr>
        <w:t xml:space="preserve">Presentar formalmente al CIDI las propuestas de documentos para la próxima reunión ministerial (proyectos de temario anotado, de declaración y de plan de acción) preparados por la Secretaría a partir de los lineamientos dados por la Comisión Interamericana </w:t>
      </w:r>
      <w:r w:rsidR="00067FEA">
        <w:rPr>
          <w:rFonts w:eastAsia="MS Mincho"/>
          <w:sz w:val="22"/>
          <w:szCs w:val="22"/>
          <w:lang w:val="es-CO"/>
        </w:rPr>
        <w:t xml:space="preserve">de Educación </w:t>
      </w:r>
      <w:r w:rsidRPr="00A50683">
        <w:rPr>
          <w:rFonts w:eastAsia="MS Mincho"/>
          <w:sz w:val="22"/>
          <w:szCs w:val="22"/>
          <w:lang w:val="es-CO"/>
        </w:rPr>
        <w:t xml:space="preserve">y en consulta con las autoridades del proceso ministerial, y comenzar el proceso de consultas y negociaciones informales con los Estados Miembros a través de sus misiones permanentes ante la OEA. </w:t>
      </w:r>
    </w:p>
    <w:p w:rsidR="00A50683" w:rsidRPr="00A50683" w:rsidRDefault="00A50683" w:rsidP="00CE77BB">
      <w:pPr>
        <w:tabs>
          <w:tab w:val="left" w:pos="720"/>
          <w:tab w:val="left" w:pos="1530"/>
        </w:tabs>
        <w:ind w:left="720"/>
        <w:jc w:val="both"/>
        <w:rPr>
          <w:sz w:val="22"/>
          <w:szCs w:val="22"/>
          <w:lang w:val="es-CO"/>
        </w:rPr>
      </w:pPr>
    </w:p>
    <w:p w:rsidR="00481D19" w:rsidRPr="00A50683" w:rsidRDefault="00481D19" w:rsidP="00CE77BB">
      <w:pPr>
        <w:tabs>
          <w:tab w:val="left" w:pos="720"/>
          <w:tab w:val="left" w:pos="1530"/>
        </w:tabs>
        <w:ind w:left="720"/>
        <w:jc w:val="both"/>
        <w:rPr>
          <w:rFonts w:eastAsia="MS Mincho"/>
          <w:sz w:val="22"/>
          <w:szCs w:val="22"/>
          <w:lang w:val="es-CO"/>
        </w:rPr>
      </w:pPr>
      <w:r w:rsidRPr="00A50683">
        <w:rPr>
          <w:sz w:val="22"/>
          <w:szCs w:val="22"/>
          <w:lang w:val="es-CO"/>
        </w:rPr>
        <w:t>Resultados esperados</w:t>
      </w:r>
      <w:r w:rsidRPr="00A50683">
        <w:rPr>
          <w:rFonts w:eastAsia="MS Mincho"/>
          <w:sz w:val="22"/>
          <w:szCs w:val="22"/>
          <w:lang w:val="es-CO"/>
        </w:rPr>
        <w:t>: Temario Anotado aprobado por el CIDI y documentos que incorporan insumos de los Estados Miembros para su discusión y negociación en la Reunión Preparatoria formal que antecede la siguiente reunión Ministerial.</w:t>
      </w:r>
    </w:p>
    <w:p w:rsidR="00481D19" w:rsidRPr="00A50683" w:rsidRDefault="00481D19" w:rsidP="00CE77BB">
      <w:pPr>
        <w:tabs>
          <w:tab w:val="left" w:pos="720"/>
          <w:tab w:val="left" w:pos="1530"/>
        </w:tabs>
        <w:ind w:left="720"/>
        <w:jc w:val="both"/>
        <w:rPr>
          <w:rFonts w:eastAsia="MS Mincho"/>
          <w:sz w:val="22"/>
          <w:szCs w:val="22"/>
          <w:lang w:val="es-CO"/>
        </w:rPr>
      </w:pPr>
      <w:r w:rsidRPr="00A50683">
        <w:rPr>
          <w:sz w:val="22"/>
          <w:szCs w:val="22"/>
          <w:lang w:val="es-CO"/>
        </w:rPr>
        <w:t>Fuente de financiamiento</w:t>
      </w:r>
      <w:r w:rsidRPr="00A50683">
        <w:rPr>
          <w:rFonts w:eastAsia="MS Mincho"/>
          <w:sz w:val="22"/>
          <w:szCs w:val="22"/>
          <w:lang w:val="es-CO"/>
        </w:rPr>
        <w:t>: la reunión ordinaria del CIDI se financia del Fondo Regular de la OEA, línea presupuestaria para las reuniones ordinarias del CIDI. Las reuniones informales no contarán con recursos del Fondo Regular toda vez que no incluyen servicios.</w:t>
      </w:r>
    </w:p>
    <w:p w:rsidR="00481D19" w:rsidRPr="00A50683" w:rsidRDefault="00481D19" w:rsidP="00CE77BB">
      <w:pPr>
        <w:tabs>
          <w:tab w:val="left" w:pos="720"/>
          <w:tab w:val="left" w:pos="1530"/>
        </w:tabs>
        <w:ind w:left="720"/>
        <w:jc w:val="both"/>
        <w:rPr>
          <w:rFonts w:eastAsia="MS Mincho"/>
          <w:sz w:val="22"/>
          <w:szCs w:val="22"/>
          <w:lang w:val="es-CO"/>
        </w:rPr>
      </w:pPr>
      <w:r w:rsidRPr="00A50683">
        <w:rPr>
          <w:sz w:val="22"/>
          <w:szCs w:val="22"/>
          <w:lang w:val="es-CO"/>
        </w:rPr>
        <w:t>Fecha de realización</w:t>
      </w:r>
      <w:r w:rsidRPr="00A50683">
        <w:rPr>
          <w:rFonts w:eastAsia="MS Mincho"/>
          <w:sz w:val="22"/>
          <w:szCs w:val="22"/>
          <w:lang w:val="es-CO"/>
        </w:rPr>
        <w:t>: Diciembre 2021</w:t>
      </w:r>
    </w:p>
    <w:p w:rsidR="00481D19" w:rsidRPr="00A50683" w:rsidRDefault="00481D19" w:rsidP="00CE77BB">
      <w:pPr>
        <w:tabs>
          <w:tab w:val="left" w:pos="720"/>
          <w:tab w:val="left" w:pos="1530"/>
        </w:tabs>
        <w:ind w:left="720"/>
        <w:jc w:val="both"/>
        <w:rPr>
          <w:rFonts w:eastAsia="MS Mincho"/>
          <w:sz w:val="22"/>
          <w:szCs w:val="22"/>
          <w:lang w:val="es-CO"/>
        </w:rPr>
      </w:pPr>
    </w:p>
    <w:p w:rsidR="00481D19" w:rsidRPr="00A50683" w:rsidRDefault="00481D19" w:rsidP="00CE77BB">
      <w:pPr>
        <w:tabs>
          <w:tab w:val="left" w:pos="720"/>
          <w:tab w:val="left" w:pos="1530"/>
        </w:tabs>
        <w:ind w:left="720"/>
        <w:jc w:val="both"/>
        <w:rPr>
          <w:sz w:val="22"/>
          <w:szCs w:val="22"/>
          <w:u w:val="single"/>
          <w:lang w:val="es-CO"/>
        </w:rPr>
      </w:pPr>
      <w:r w:rsidRPr="00A50683">
        <w:rPr>
          <w:sz w:val="22"/>
          <w:szCs w:val="22"/>
          <w:u w:val="single"/>
          <w:lang w:val="es-CO"/>
        </w:rPr>
        <w:t>Reunión Preparatoria de la XI Reunión de Ministros</w:t>
      </w:r>
      <w:r w:rsidR="00067FEA">
        <w:rPr>
          <w:sz w:val="22"/>
          <w:szCs w:val="22"/>
          <w:u w:val="single"/>
          <w:lang w:val="es-CO"/>
        </w:rPr>
        <w:t xml:space="preserve"> de Educación</w:t>
      </w:r>
    </w:p>
    <w:p w:rsidR="00A50683" w:rsidRPr="00A50683" w:rsidRDefault="00A50683" w:rsidP="00CE77BB">
      <w:pPr>
        <w:tabs>
          <w:tab w:val="left" w:pos="720"/>
          <w:tab w:val="left" w:pos="1530"/>
        </w:tabs>
        <w:ind w:left="720"/>
        <w:jc w:val="both"/>
        <w:rPr>
          <w:sz w:val="22"/>
          <w:szCs w:val="22"/>
          <w:lang w:val="es-CO"/>
        </w:rPr>
      </w:pPr>
    </w:p>
    <w:p w:rsidR="00481D19" w:rsidRPr="00A50683" w:rsidRDefault="00481D19" w:rsidP="00CE77BB">
      <w:pPr>
        <w:tabs>
          <w:tab w:val="left" w:pos="720"/>
          <w:tab w:val="left" w:pos="1530"/>
        </w:tabs>
        <w:ind w:left="720"/>
        <w:jc w:val="both"/>
        <w:rPr>
          <w:rFonts w:eastAsia="MS Mincho"/>
          <w:sz w:val="22"/>
          <w:szCs w:val="22"/>
          <w:lang w:val="es-CO"/>
        </w:rPr>
      </w:pPr>
      <w:r w:rsidRPr="00A50683">
        <w:rPr>
          <w:sz w:val="22"/>
          <w:szCs w:val="22"/>
          <w:lang w:val="es-CO"/>
        </w:rPr>
        <w:t>Descripción:</w:t>
      </w:r>
      <w:r w:rsidRPr="00A50683">
        <w:rPr>
          <w:rFonts w:eastAsia="MS Mincho"/>
          <w:sz w:val="22"/>
          <w:szCs w:val="22"/>
          <w:lang w:val="es-CO"/>
        </w:rPr>
        <w:t xml:space="preserve"> Finalizar la negociación de las propuestas de documentos (proyectos de Temario Anotado, de Declaración y de Plan de Acción) para la reunión Ministerial y presentación del proyecto de calendario y otros temas relativos a la reunión Ministerial.  </w:t>
      </w:r>
    </w:p>
    <w:p w:rsidR="00A50683" w:rsidRPr="00A50683" w:rsidRDefault="00A50683" w:rsidP="00CE77BB">
      <w:pPr>
        <w:tabs>
          <w:tab w:val="left" w:pos="720"/>
          <w:tab w:val="left" w:pos="1530"/>
        </w:tabs>
        <w:ind w:left="720"/>
        <w:jc w:val="both"/>
        <w:rPr>
          <w:sz w:val="22"/>
          <w:szCs w:val="22"/>
          <w:lang w:val="es-CO"/>
        </w:rPr>
      </w:pPr>
    </w:p>
    <w:p w:rsidR="00481D19" w:rsidRPr="00A50683" w:rsidRDefault="00481D19" w:rsidP="00CE77BB">
      <w:pPr>
        <w:tabs>
          <w:tab w:val="left" w:pos="720"/>
          <w:tab w:val="left" w:pos="1530"/>
        </w:tabs>
        <w:ind w:left="720"/>
        <w:jc w:val="both"/>
        <w:rPr>
          <w:rFonts w:eastAsia="MS Mincho"/>
          <w:sz w:val="22"/>
          <w:szCs w:val="22"/>
          <w:lang w:val="es-CO"/>
        </w:rPr>
      </w:pPr>
      <w:r w:rsidRPr="00A50683">
        <w:rPr>
          <w:sz w:val="22"/>
          <w:szCs w:val="22"/>
          <w:lang w:val="es-CO"/>
        </w:rPr>
        <w:t>Resultados esperados</w:t>
      </w:r>
      <w:r w:rsidRPr="00A50683">
        <w:rPr>
          <w:rFonts w:eastAsia="MS Mincho"/>
          <w:sz w:val="22"/>
          <w:szCs w:val="22"/>
          <w:lang w:val="es-CO"/>
        </w:rPr>
        <w:t>: Documentos acordados para aprobación final en la reunión Ministerial</w:t>
      </w:r>
    </w:p>
    <w:p w:rsidR="00481D19" w:rsidRPr="00A50683" w:rsidRDefault="00481D19" w:rsidP="00CE77BB">
      <w:pPr>
        <w:tabs>
          <w:tab w:val="left" w:pos="720"/>
          <w:tab w:val="left" w:pos="1530"/>
        </w:tabs>
        <w:ind w:left="720"/>
        <w:jc w:val="both"/>
        <w:rPr>
          <w:rFonts w:eastAsia="MS Mincho"/>
          <w:sz w:val="22"/>
          <w:szCs w:val="22"/>
          <w:lang w:val="es-CO"/>
        </w:rPr>
      </w:pPr>
      <w:r w:rsidRPr="00A50683">
        <w:rPr>
          <w:sz w:val="22"/>
          <w:szCs w:val="22"/>
          <w:lang w:val="es-CO"/>
        </w:rPr>
        <w:t>Fuentes de financiación</w:t>
      </w:r>
      <w:r w:rsidRPr="00A50683">
        <w:rPr>
          <w:rFonts w:eastAsia="MS Mincho"/>
          <w:sz w:val="22"/>
          <w:szCs w:val="22"/>
          <w:lang w:val="es-CO"/>
        </w:rPr>
        <w:t>: País sede de XI Reunión de Ministros, acordado en la reunión de la CIE en Octubre 2021 y OEA/SEDI</w:t>
      </w:r>
    </w:p>
    <w:p w:rsidR="00481D19" w:rsidRDefault="00481D19" w:rsidP="00CE77BB">
      <w:pPr>
        <w:tabs>
          <w:tab w:val="left" w:pos="720"/>
          <w:tab w:val="left" w:pos="1530"/>
        </w:tabs>
        <w:ind w:left="720"/>
        <w:jc w:val="both"/>
        <w:rPr>
          <w:rFonts w:eastAsia="MS Mincho"/>
          <w:sz w:val="22"/>
          <w:szCs w:val="22"/>
          <w:lang w:val="es-CO"/>
        </w:rPr>
      </w:pPr>
      <w:r w:rsidRPr="00A50683">
        <w:rPr>
          <w:sz w:val="22"/>
          <w:szCs w:val="22"/>
          <w:lang w:val="es-CO"/>
        </w:rPr>
        <w:t>Lugar y fecha de realización</w:t>
      </w:r>
      <w:r w:rsidRPr="00A50683">
        <w:rPr>
          <w:rFonts w:eastAsia="MS Mincho"/>
          <w:sz w:val="22"/>
          <w:szCs w:val="22"/>
          <w:lang w:val="es-CO"/>
        </w:rPr>
        <w:t>: Washington D.C., Febrero 2022</w:t>
      </w:r>
    </w:p>
    <w:p w:rsidR="0006019D" w:rsidRDefault="0006019D" w:rsidP="00CE77BB">
      <w:pPr>
        <w:tabs>
          <w:tab w:val="left" w:pos="720"/>
          <w:tab w:val="left" w:pos="1530"/>
        </w:tabs>
        <w:ind w:left="720"/>
        <w:jc w:val="both"/>
        <w:rPr>
          <w:rFonts w:eastAsia="MS Mincho"/>
          <w:sz w:val="22"/>
          <w:szCs w:val="22"/>
          <w:lang w:val="es-CO"/>
        </w:rPr>
      </w:pPr>
    </w:p>
    <w:p w:rsidR="00481D19" w:rsidRPr="00A50683" w:rsidRDefault="00481D19" w:rsidP="00CE77BB">
      <w:pPr>
        <w:tabs>
          <w:tab w:val="left" w:pos="720"/>
          <w:tab w:val="left" w:pos="1530"/>
        </w:tabs>
        <w:ind w:left="720"/>
        <w:jc w:val="both"/>
        <w:rPr>
          <w:sz w:val="22"/>
          <w:szCs w:val="22"/>
          <w:u w:val="single"/>
          <w:lang w:val="es-CO"/>
        </w:rPr>
      </w:pPr>
      <w:r w:rsidRPr="00A50683">
        <w:rPr>
          <w:sz w:val="22"/>
          <w:szCs w:val="22"/>
          <w:u w:val="single"/>
          <w:lang w:val="es-CO"/>
        </w:rPr>
        <w:t xml:space="preserve">XI Reunión </w:t>
      </w:r>
      <w:r w:rsidRPr="00A50683">
        <w:rPr>
          <w:rFonts w:eastAsia="MS Mincho"/>
          <w:sz w:val="22"/>
          <w:szCs w:val="22"/>
          <w:u w:val="single"/>
          <w:lang w:val="es-CO"/>
        </w:rPr>
        <w:t>Interamericana</w:t>
      </w:r>
      <w:r w:rsidRPr="00A50683">
        <w:rPr>
          <w:sz w:val="22"/>
          <w:szCs w:val="22"/>
          <w:u w:val="single"/>
          <w:lang w:val="es-CO"/>
        </w:rPr>
        <w:t xml:space="preserve"> de Ministros de Educación</w:t>
      </w:r>
    </w:p>
    <w:p w:rsidR="00A50683" w:rsidRPr="00A50683" w:rsidRDefault="00A50683" w:rsidP="00CE77BB">
      <w:pPr>
        <w:tabs>
          <w:tab w:val="left" w:pos="720"/>
          <w:tab w:val="left" w:pos="1530"/>
        </w:tabs>
        <w:ind w:left="720"/>
        <w:jc w:val="both"/>
        <w:rPr>
          <w:sz w:val="22"/>
          <w:szCs w:val="22"/>
          <w:lang w:val="es-CO"/>
        </w:rPr>
      </w:pPr>
    </w:p>
    <w:p w:rsidR="00481D19" w:rsidRPr="00A50683" w:rsidRDefault="00481D19" w:rsidP="00CE77BB">
      <w:pPr>
        <w:tabs>
          <w:tab w:val="left" w:pos="720"/>
          <w:tab w:val="left" w:pos="1530"/>
        </w:tabs>
        <w:ind w:left="720"/>
        <w:jc w:val="both"/>
        <w:rPr>
          <w:rFonts w:eastAsia="MS Mincho"/>
          <w:sz w:val="22"/>
          <w:szCs w:val="22"/>
          <w:lang w:val="es-CO"/>
        </w:rPr>
      </w:pPr>
      <w:r w:rsidRPr="00A50683">
        <w:rPr>
          <w:sz w:val="22"/>
          <w:szCs w:val="22"/>
          <w:lang w:val="es-CO"/>
        </w:rPr>
        <w:t>Descripción:</w:t>
      </w:r>
      <w:r w:rsidRPr="00A50683">
        <w:rPr>
          <w:rFonts w:eastAsia="MS Mincho"/>
          <w:sz w:val="22"/>
          <w:szCs w:val="22"/>
          <w:lang w:val="es-CO"/>
        </w:rPr>
        <w:t xml:space="preserve"> El objetivo principal de las reuniones ministeriales y/o de alto nivel es proporcionar un foro para un diálogo sustantivo sobre políticas públicas entre los Estados Miembros sobre temas de interés hemisférico. Este diálogo busca identificar las tendencias y prioridades regionales, permitir el intercambio de experiencias y mejores prácticas sobre la elaboración y aplicación de políticas y determinar oportunidades de cooperación. Estas reuniones son un espacio de las autoridades gubernamentales de los Estados Miembros para identificar prioridades comunes para la cooperación regional y establecer la agenda de trabajo de la OEA para apoyar a los Estados Miembros en el avance de tales prioridades.</w:t>
      </w:r>
    </w:p>
    <w:p w:rsidR="00A50683" w:rsidRPr="00A50683" w:rsidRDefault="00A50683" w:rsidP="00CE77BB">
      <w:pPr>
        <w:tabs>
          <w:tab w:val="left" w:pos="720"/>
          <w:tab w:val="left" w:pos="1530"/>
        </w:tabs>
        <w:ind w:left="720"/>
        <w:jc w:val="both"/>
        <w:rPr>
          <w:sz w:val="22"/>
          <w:szCs w:val="22"/>
          <w:lang w:val="es-CO"/>
        </w:rPr>
      </w:pPr>
    </w:p>
    <w:p w:rsidR="00481D19" w:rsidRDefault="00481D19" w:rsidP="00CE77BB">
      <w:pPr>
        <w:tabs>
          <w:tab w:val="left" w:pos="720"/>
          <w:tab w:val="left" w:pos="1530"/>
        </w:tabs>
        <w:ind w:left="720"/>
        <w:jc w:val="both"/>
        <w:rPr>
          <w:rFonts w:eastAsia="MS Mincho"/>
          <w:sz w:val="22"/>
          <w:szCs w:val="22"/>
          <w:lang w:val="es-CO"/>
        </w:rPr>
      </w:pPr>
      <w:r w:rsidRPr="00A50683">
        <w:rPr>
          <w:sz w:val="22"/>
          <w:szCs w:val="22"/>
          <w:lang w:val="es-CO"/>
        </w:rPr>
        <w:lastRenderedPageBreak/>
        <w:t>Resultados esperados</w:t>
      </w:r>
      <w:r w:rsidRPr="00A50683">
        <w:rPr>
          <w:rFonts w:eastAsia="MS Mincho"/>
          <w:sz w:val="22"/>
          <w:szCs w:val="22"/>
          <w:lang w:val="es-CO"/>
        </w:rPr>
        <w:t xml:space="preserve">: Se espera que en estas reuniones las autoridades sectoriales aprueben las prioridades y líneas de acción comunes que guiarán la agenda regional en materia de educación y la labor de la OEA en el avance de dichas prioridades y en complemento con </w:t>
      </w:r>
      <w:r w:rsidR="00067FEA">
        <w:rPr>
          <w:rFonts w:eastAsia="MS Mincho"/>
          <w:sz w:val="22"/>
          <w:szCs w:val="22"/>
          <w:lang w:val="es-CO"/>
        </w:rPr>
        <w:t xml:space="preserve">el Objetivo de Desarrollo 4 de </w:t>
      </w:r>
      <w:r w:rsidRPr="00A50683">
        <w:rPr>
          <w:rFonts w:eastAsia="MS Mincho"/>
          <w:sz w:val="22"/>
          <w:szCs w:val="22"/>
          <w:lang w:val="es-CO"/>
        </w:rPr>
        <w:t>la Agenda Global. Se espera que los resultados de la reunión ministerial se recojan principalmente en dos documentos resultantes: i) una declaración política basada en el tema de la reunión y que esboza la visión regional para avanzar el tema en el hemisferio, y ii) un plan de acción, o su actualización, que establece las medidas concretas para cumplir las prioridades identificadas en la declaración. Estos documentos serán redactados y negociados en etapas anteriores del ciclo ministerial.</w:t>
      </w:r>
    </w:p>
    <w:p w:rsidR="00293F8A" w:rsidRPr="00A50683" w:rsidRDefault="00293F8A" w:rsidP="00CE77BB">
      <w:pPr>
        <w:tabs>
          <w:tab w:val="left" w:pos="720"/>
          <w:tab w:val="left" w:pos="1530"/>
        </w:tabs>
        <w:ind w:left="720"/>
        <w:jc w:val="both"/>
        <w:rPr>
          <w:rFonts w:eastAsia="MS Mincho"/>
          <w:sz w:val="22"/>
          <w:szCs w:val="22"/>
          <w:lang w:val="es-CO"/>
        </w:rPr>
      </w:pPr>
    </w:p>
    <w:p w:rsidR="00481D19" w:rsidRPr="00A50683" w:rsidRDefault="00481D19" w:rsidP="00CE77BB">
      <w:pPr>
        <w:tabs>
          <w:tab w:val="left" w:pos="720"/>
          <w:tab w:val="left" w:pos="1530"/>
        </w:tabs>
        <w:ind w:left="720"/>
        <w:jc w:val="both"/>
        <w:rPr>
          <w:rFonts w:eastAsia="MS Mincho"/>
          <w:sz w:val="22"/>
          <w:szCs w:val="22"/>
          <w:lang w:val="es-CO"/>
        </w:rPr>
      </w:pPr>
      <w:r w:rsidRPr="00A50683">
        <w:rPr>
          <w:sz w:val="22"/>
          <w:szCs w:val="22"/>
          <w:lang w:val="es-CO"/>
        </w:rPr>
        <w:t>Fuentes de financiación</w:t>
      </w:r>
      <w:r w:rsidRPr="00A50683">
        <w:rPr>
          <w:rFonts w:eastAsia="MS Mincho"/>
          <w:sz w:val="22"/>
          <w:szCs w:val="22"/>
          <w:lang w:val="es-CO"/>
        </w:rPr>
        <w:t>: País sede y OEA/SEDI.</w:t>
      </w:r>
    </w:p>
    <w:p w:rsidR="00481D19" w:rsidRDefault="00481D19" w:rsidP="00CE77BB">
      <w:pPr>
        <w:tabs>
          <w:tab w:val="left" w:pos="720"/>
          <w:tab w:val="left" w:pos="1530"/>
        </w:tabs>
        <w:ind w:left="720"/>
        <w:jc w:val="both"/>
        <w:rPr>
          <w:rFonts w:eastAsia="MS Mincho"/>
          <w:sz w:val="22"/>
          <w:szCs w:val="22"/>
          <w:lang w:val="es-CO"/>
        </w:rPr>
      </w:pPr>
      <w:r w:rsidRPr="00A50683">
        <w:rPr>
          <w:sz w:val="22"/>
          <w:szCs w:val="22"/>
          <w:lang w:val="es-CO"/>
        </w:rPr>
        <w:t>Lugar y fecha de realización</w:t>
      </w:r>
      <w:r w:rsidRPr="00A50683">
        <w:rPr>
          <w:rFonts w:eastAsia="MS Mincho"/>
          <w:sz w:val="22"/>
          <w:szCs w:val="22"/>
          <w:lang w:val="es-CO"/>
        </w:rPr>
        <w:t>: Lugar por definir en abril 2022</w:t>
      </w:r>
    </w:p>
    <w:p w:rsidR="00496B7F" w:rsidRDefault="00496B7F" w:rsidP="00CE77BB">
      <w:pPr>
        <w:tabs>
          <w:tab w:val="left" w:pos="720"/>
          <w:tab w:val="left" w:pos="1530"/>
        </w:tabs>
        <w:ind w:left="720"/>
        <w:jc w:val="both"/>
        <w:rPr>
          <w:rFonts w:eastAsia="MS Mincho"/>
          <w:sz w:val="22"/>
          <w:szCs w:val="22"/>
          <w:lang w:val="es-CO"/>
        </w:rPr>
      </w:pPr>
    </w:p>
    <w:p w:rsidR="00496B7F" w:rsidRDefault="00496B7F" w:rsidP="00F21512">
      <w:pPr>
        <w:tabs>
          <w:tab w:val="left" w:pos="720"/>
          <w:tab w:val="left" w:pos="1530"/>
        </w:tabs>
        <w:jc w:val="both"/>
        <w:rPr>
          <w:rFonts w:eastAsia="MS Mincho"/>
          <w:sz w:val="22"/>
          <w:szCs w:val="22"/>
          <w:lang w:val="es-CO"/>
        </w:rPr>
      </w:pPr>
    </w:p>
    <w:p w:rsidR="00496B7F" w:rsidRDefault="00496B7F" w:rsidP="00CE77BB">
      <w:pPr>
        <w:tabs>
          <w:tab w:val="left" w:pos="720"/>
          <w:tab w:val="left" w:pos="1530"/>
        </w:tabs>
        <w:ind w:left="720"/>
        <w:jc w:val="both"/>
        <w:rPr>
          <w:rFonts w:eastAsia="MS Mincho"/>
          <w:sz w:val="22"/>
          <w:szCs w:val="22"/>
          <w:lang w:val="es-CO"/>
        </w:rPr>
      </w:pPr>
    </w:p>
    <w:p w:rsidR="00496B7F" w:rsidRDefault="00496B7F" w:rsidP="00CE77BB">
      <w:pPr>
        <w:tabs>
          <w:tab w:val="left" w:pos="720"/>
          <w:tab w:val="left" w:pos="1530"/>
        </w:tabs>
        <w:ind w:left="720"/>
        <w:jc w:val="both"/>
        <w:rPr>
          <w:rFonts w:eastAsia="MS Mincho"/>
          <w:sz w:val="22"/>
          <w:szCs w:val="22"/>
          <w:lang w:val="es-CO"/>
        </w:rPr>
      </w:pPr>
    </w:p>
    <w:p w:rsidR="00496B7F" w:rsidRDefault="00496B7F" w:rsidP="00CE77BB">
      <w:pPr>
        <w:tabs>
          <w:tab w:val="left" w:pos="720"/>
          <w:tab w:val="left" w:pos="1530"/>
        </w:tabs>
        <w:ind w:left="720"/>
        <w:jc w:val="both"/>
        <w:rPr>
          <w:rFonts w:eastAsia="MS Mincho"/>
          <w:sz w:val="22"/>
          <w:szCs w:val="22"/>
          <w:lang w:val="es-CO"/>
        </w:rPr>
      </w:pPr>
    </w:p>
    <w:p w:rsidR="00496B7F" w:rsidRDefault="00496B7F" w:rsidP="00CE77BB">
      <w:pPr>
        <w:tabs>
          <w:tab w:val="left" w:pos="720"/>
          <w:tab w:val="left" w:pos="1530"/>
        </w:tabs>
        <w:ind w:left="720"/>
        <w:jc w:val="both"/>
        <w:rPr>
          <w:rFonts w:eastAsia="MS Mincho"/>
          <w:sz w:val="22"/>
          <w:szCs w:val="22"/>
          <w:lang w:val="es-CO"/>
        </w:rPr>
      </w:pPr>
    </w:p>
    <w:p w:rsidR="00496B7F" w:rsidRDefault="00496B7F" w:rsidP="00CE77BB">
      <w:pPr>
        <w:tabs>
          <w:tab w:val="left" w:pos="720"/>
          <w:tab w:val="left" w:pos="1530"/>
        </w:tabs>
        <w:ind w:left="720"/>
        <w:jc w:val="both"/>
        <w:rPr>
          <w:rFonts w:eastAsia="MS Mincho"/>
          <w:sz w:val="22"/>
          <w:szCs w:val="22"/>
          <w:lang w:val="es-CO"/>
        </w:rPr>
      </w:pPr>
    </w:p>
    <w:p w:rsidR="00496B7F" w:rsidRDefault="00496B7F" w:rsidP="00CE77BB">
      <w:pPr>
        <w:tabs>
          <w:tab w:val="left" w:pos="720"/>
          <w:tab w:val="left" w:pos="1530"/>
        </w:tabs>
        <w:ind w:left="720"/>
        <w:jc w:val="both"/>
        <w:rPr>
          <w:rFonts w:eastAsia="MS Mincho"/>
          <w:sz w:val="22"/>
          <w:szCs w:val="22"/>
          <w:lang w:val="es-CO"/>
        </w:rPr>
      </w:pPr>
    </w:p>
    <w:p w:rsidR="00496B7F" w:rsidRDefault="00496B7F" w:rsidP="00CE77BB">
      <w:pPr>
        <w:tabs>
          <w:tab w:val="left" w:pos="720"/>
          <w:tab w:val="left" w:pos="1530"/>
        </w:tabs>
        <w:ind w:left="720"/>
        <w:jc w:val="both"/>
        <w:rPr>
          <w:rFonts w:eastAsia="MS Mincho"/>
          <w:sz w:val="22"/>
          <w:szCs w:val="22"/>
          <w:lang w:val="es-CO"/>
        </w:rPr>
      </w:pPr>
    </w:p>
    <w:p w:rsidR="00496B7F" w:rsidRDefault="00496B7F" w:rsidP="00CE77BB">
      <w:pPr>
        <w:tabs>
          <w:tab w:val="left" w:pos="720"/>
          <w:tab w:val="left" w:pos="1530"/>
        </w:tabs>
        <w:ind w:left="720"/>
        <w:jc w:val="both"/>
        <w:rPr>
          <w:rFonts w:eastAsia="MS Mincho"/>
          <w:sz w:val="22"/>
          <w:szCs w:val="22"/>
          <w:lang w:val="es-CO"/>
        </w:rPr>
      </w:pPr>
    </w:p>
    <w:p w:rsidR="00496B7F" w:rsidRDefault="00496B7F" w:rsidP="00CE77BB">
      <w:pPr>
        <w:tabs>
          <w:tab w:val="left" w:pos="720"/>
          <w:tab w:val="left" w:pos="1530"/>
        </w:tabs>
        <w:ind w:left="720"/>
        <w:jc w:val="both"/>
        <w:rPr>
          <w:rFonts w:eastAsia="MS Mincho"/>
          <w:sz w:val="22"/>
          <w:szCs w:val="22"/>
          <w:lang w:val="es-CO"/>
        </w:rPr>
      </w:pPr>
    </w:p>
    <w:p w:rsidR="00496B7F" w:rsidRDefault="00496B7F" w:rsidP="00CE77BB">
      <w:pPr>
        <w:tabs>
          <w:tab w:val="left" w:pos="720"/>
          <w:tab w:val="left" w:pos="1530"/>
        </w:tabs>
        <w:ind w:left="720"/>
        <w:jc w:val="both"/>
        <w:rPr>
          <w:rFonts w:eastAsia="MS Mincho"/>
          <w:sz w:val="22"/>
          <w:szCs w:val="22"/>
          <w:lang w:val="es-CO"/>
        </w:rPr>
      </w:pPr>
    </w:p>
    <w:p w:rsidR="00496B7F" w:rsidRDefault="00496B7F" w:rsidP="00CE77BB">
      <w:pPr>
        <w:tabs>
          <w:tab w:val="left" w:pos="720"/>
          <w:tab w:val="left" w:pos="1530"/>
        </w:tabs>
        <w:ind w:left="720"/>
        <w:jc w:val="both"/>
        <w:rPr>
          <w:rFonts w:eastAsia="MS Mincho"/>
          <w:sz w:val="22"/>
          <w:szCs w:val="22"/>
          <w:lang w:val="es-CO"/>
        </w:rPr>
      </w:pPr>
    </w:p>
    <w:p w:rsidR="00496B7F" w:rsidRDefault="00496B7F" w:rsidP="00CE77BB">
      <w:pPr>
        <w:tabs>
          <w:tab w:val="left" w:pos="720"/>
          <w:tab w:val="left" w:pos="1530"/>
        </w:tabs>
        <w:ind w:left="720"/>
        <w:jc w:val="both"/>
        <w:rPr>
          <w:rFonts w:eastAsia="MS Mincho"/>
          <w:sz w:val="22"/>
          <w:szCs w:val="22"/>
          <w:lang w:val="es-CO"/>
        </w:rPr>
      </w:pPr>
    </w:p>
    <w:p w:rsidR="00496B7F" w:rsidRDefault="00496B7F" w:rsidP="00CE77BB">
      <w:pPr>
        <w:tabs>
          <w:tab w:val="left" w:pos="720"/>
          <w:tab w:val="left" w:pos="1530"/>
        </w:tabs>
        <w:ind w:left="720"/>
        <w:jc w:val="both"/>
        <w:rPr>
          <w:rFonts w:eastAsia="MS Mincho"/>
          <w:sz w:val="22"/>
          <w:szCs w:val="22"/>
          <w:lang w:val="es-CO"/>
        </w:rPr>
      </w:pPr>
    </w:p>
    <w:p w:rsidR="00496B7F" w:rsidRDefault="00496B7F" w:rsidP="00CE77BB">
      <w:pPr>
        <w:tabs>
          <w:tab w:val="left" w:pos="720"/>
          <w:tab w:val="left" w:pos="1530"/>
        </w:tabs>
        <w:ind w:left="720"/>
        <w:jc w:val="both"/>
        <w:rPr>
          <w:rFonts w:eastAsia="MS Mincho"/>
          <w:sz w:val="22"/>
          <w:szCs w:val="22"/>
          <w:lang w:val="es-CO"/>
        </w:rPr>
      </w:pPr>
    </w:p>
    <w:p w:rsidR="005D07C2" w:rsidRPr="00F21512" w:rsidRDefault="00781C43" w:rsidP="00F21512">
      <w:pPr>
        <w:tabs>
          <w:tab w:val="left" w:pos="720"/>
          <w:tab w:val="left" w:pos="1530"/>
        </w:tabs>
        <w:rPr>
          <w:rFonts w:eastAsia="MS Mincho"/>
          <w:sz w:val="22"/>
          <w:szCs w:val="22"/>
          <w:highlight w:val="yellow"/>
          <w:lang w:val="es-CO"/>
        </w:rPr>
      </w:pPr>
      <w:bookmarkStart w:id="2" w:name="_GoBack"/>
      <w:bookmarkEnd w:id="2"/>
      <w:r>
        <w:rPr>
          <w:rFonts w:eastAsia="MS Mincho"/>
          <w:noProof/>
          <w:sz w:val="22"/>
          <w:szCs w:val="22"/>
        </w:rPr>
        <mc:AlternateContent>
          <mc:Choice Requires="wps">
            <w:drawing>
              <wp:anchor distT="0" distB="0" distL="114300" distR="114300" simplePos="0" relativeHeight="251660288"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781C43" w:rsidRPr="00781C43" w:rsidRDefault="00781C43">
                            <w:pPr>
                              <w:rPr>
                                <w:sz w:val="18"/>
                              </w:rPr>
                            </w:pPr>
                            <w:r>
                              <w:rPr>
                                <w:sz w:val="18"/>
                              </w:rPr>
                              <w:fldChar w:fldCharType="begin"/>
                            </w:r>
                            <w:r>
                              <w:rPr>
                                <w:sz w:val="18"/>
                              </w:rPr>
                              <w:instrText xml:space="preserve"> FILENAME  \* MERGEFORMAT </w:instrText>
                            </w:r>
                            <w:r>
                              <w:rPr>
                                <w:sz w:val="18"/>
                              </w:rPr>
                              <w:fldChar w:fldCharType="separate"/>
                            </w:r>
                            <w:r>
                              <w:rPr>
                                <w:noProof/>
                                <w:sz w:val="18"/>
                              </w:rPr>
                              <w:t>CIDED00212S01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2pt;margin-top:10in;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vBggIAAAkFAAAOAAAAZHJzL2Uyb0RvYy54bWysVMFu2zAMvQ/YPwi6r07cp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09PpaT6FS8CX59PzUepK9nrbOh++SNOxaJTcoanpBbRZ+BDzU3GAxGTa3LZKpcYqzbYlv5jk&#10;KE4Q5FUrCjA7i4K9XnFGagXdiuBSxKOrMeIN+YZtCNLxRrXVIBZn1rpK0RtJ1WddsbCzoE1D3zym&#10;62TFmZIIG62EDNSqv0GiEqX3hA4cRmpDv+xTi8aHhixNtUM/nBn07K24bfHeBfnwQA4CBp0YynCP&#10;pVYGjzJ7i7PGuJ9/Oo946ApeVIGBQNE/1uRQk/qqobiL8dlZnKC0OZt8zLFxx57lsUevu2sD4sYY&#10;fyuSGfFBHczame4ZszuPWeEiLZC75GjPYF6HYUwx+0LO5wmEmbEUFvrRioMMY5+e+mdydi+PAGHd&#10;mcPoUPFGJQN20Ml8HUzdJglFngdW9/Rj3pKy9v+GONDH+4R6/YPNfgEAAP//AwBQSwMEFAAGAAgA&#10;AAAhAL8gwNffAAAADQEAAA8AAABkcnMvZG93bnJldi54bWxMj8FOwzAQRO9I/IO1SNxaOyiUKsSp&#10;EFIFQlwI/QA3NkmUeG3FdhL4erYnOO7M0+xMeVjtyGYzhd6hhGwrgBlsnO6xlXD6PG72wEJUqNXo&#10;0Ej4NgEO1fVVqQrtFvwwcx1bRiEYCiWhi9EXnIemM1aFrfMGyftyk1WRzqnlelILhduR3wmx41b1&#10;SB865c1zZ5qhTlbCMb282vmHJ/9WNwt2fkin90HK25v16RFYNGv8g+FSn6pDRZ3OLqEObJSwyfKc&#10;UDLyXNAqQu6zPUnni/SwE8Crkv9fUf0CAAD//wMAUEsBAi0AFAAGAAgAAAAhALaDOJL+AAAA4QEA&#10;ABMAAAAAAAAAAAAAAAAAAAAAAFtDb250ZW50X1R5cGVzXS54bWxQSwECLQAUAAYACAAAACEAOP0h&#10;/9YAAACUAQAACwAAAAAAAAAAAAAAAAAvAQAAX3JlbHMvLnJlbHNQSwECLQAUAAYACAAAACEAUkfL&#10;wYICAAAJBQAADgAAAAAAAAAAAAAAAAAuAgAAZHJzL2Uyb0RvYy54bWxQSwECLQAUAAYACAAAACEA&#10;vyDA198AAAANAQAADwAAAAAAAAAAAAAAAADcBAAAZHJzL2Rvd25yZXYueG1sUEsFBgAAAAAEAAQA&#10;8wAAAOgFAAAAAA==&#10;" filled="f" stroked="f">
                <v:stroke joinstyle="round"/>
                <v:path arrowok="t"/>
                <v:textbox>
                  <w:txbxContent>
                    <w:p w:rsidR="00781C43" w:rsidRPr="00781C43" w:rsidRDefault="00781C43">
                      <w:pPr>
                        <w:rPr>
                          <w:sz w:val="18"/>
                        </w:rPr>
                      </w:pPr>
                      <w:r>
                        <w:rPr>
                          <w:sz w:val="18"/>
                        </w:rPr>
                        <w:fldChar w:fldCharType="begin"/>
                      </w:r>
                      <w:r>
                        <w:rPr>
                          <w:sz w:val="18"/>
                        </w:rPr>
                        <w:instrText xml:space="preserve"> FILENAME  \* MERGEFORMAT </w:instrText>
                      </w:r>
                      <w:r>
                        <w:rPr>
                          <w:sz w:val="18"/>
                        </w:rPr>
                        <w:fldChar w:fldCharType="separate"/>
                      </w:r>
                      <w:r>
                        <w:rPr>
                          <w:noProof/>
                          <w:sz w:val="18"/>
                        </w:rPr>
                        <w:t>CIDED00212S01</w:t>
                      </w:r>
                      <w:r>
                        <w:rPr>
                          <w:sz w:val="18"/>
                        </w:rPr>
                        <w:fldChar w:fldCharType="end"/>
                      </w:r>
                    </w:p>
                  </w:txbxContent>
                </v:textbox>
                <w10:wrap anchory="page"/>
                <w10:anchorlock/>
              </v:shape>
            </w:pict>
          </mc:Fallback>
        </mc:AlternateContent>
      </w:r>
      <w:r w:rsidR="0086569E">
        <w:rPr>
          <w:rFonts w:eastAsia="MS Mincho"/>
          <w:noProof/>
          <w:sz w:val="22"/>
          <w:szCs w:val="22"/>
        </w:rPr>
        <mc:AlternateContent>
          <mc:Choice Requires="wps">
            <w:drawing>
              <wp:anchor distT="0" distB="0" distL="114300" distR="114300" simplePos="0" relativeHeight="251659264"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86569E" w:rsidRPr="0086569E" w:rsidRDefault="0086569E">
                            <w:pPr>
                              <w:rPr>
                                <w:sz w:val="18"/>
                              </w:rPr>
                            </w:pPr>
                            <w:r>
                              <w:rPr>
                                <w:sz w:val="18"/>
                              </w:rPr>
                              <w:fldChar w:fldCharType="begin"/>
                            </w:r>
                            <w:r>
                              <w:rPr>
                                <w:sz w:val="18"/>
                              </w:rPr>
                              <w:instrText xml:space="preserve"> FILENAME  \* MERGEFORMAT </w:instrText>
                            </w:r>
                            <w:r>
                              <w:rPr>
                                <w:sz w:val="18"/>
                              </w:rPr>
                              <w:fldChar w:fldCharType="separate"/>
                            </w:r>
                            <w:r>
                              <w:rPr>
                                <w:noProof/>
                                <w:sz w:val="18"/>
                              </w:rPr>
                              <w:t>CIDED00211S01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KfwIAAAIFAAAOAAAAZHJzL2Uyb0RvYy54bWysVMFu2zAMvQ/YPwi6r07cNkuNOkXWrsOA&#10;oC3QDj0zshwbkyVNUhJnX78nOWmDbodh2EWmxCdSfHz05VXfKbaRzrdGl3x8MuJMamGqVq9K/u3p&#10;9sOUMx9IV6SMliXfSc+vZu/fXW5tIXPTGFVJxxBE+2JrS96EYIss86KRHfkTY6WGszauo4CtW2WV&#10;oy2idyrLR6NJtjWuss4I6T1ObwYnn6X4dS1FuK9rLwNTJcfbQlpdWpdxzWaXVKwc2aYV+2fQP7yi&#10;o1Yj6UuoGwrE1q79LVTXCme8qcOJMF1m6roVMtWAasajN9U8NmRlqgXkePtCk/9/YcXd5sGxtir5&#10;hDNNHVr0JPvAPpmeTSI7W+sLgB4tYKHHMbqcKvV2YcR3D0h2hBkueKAjG33tuvhFnQwX0YDdC+kx&#10;i8Dh6en0NJ/CJeDL8+lklLqSvd62zocv0nQsGiV3aGp6AW0WPsT8VBwgMZk2t61SqbFKs23JL87z&#10;c4QnyKtWFGB2FgV7veKM1Aq6FcGliEdXY8Qb8g3bEKTjjWqrQSzOrHWVojeSqs+6YmFnQZuGvnlM&#10;18mKMyURNloJGahVf4NEJUrvCR04jNSGftkjTDSXptqhEc4MQvZW3LZ46IJ8eCAH5YJHTGO4x1Ir&#10;g9eYvcVZY9zPP51HPAQFL56PSUC1P9bkUIz6qiG1i/HZWRydtDk7/5hj4449y2OPXnfXBoyNMfdW&#10;JDPigzqYtTPdM4Z2HrPCRVogd8nRl8G8DsN8YuiFnM8TCMNiKSz0oxUH/cUGPfXP5OxeFwGKujOH&#10;maHijTwG7CCQ+TqYuk3aeWV1zzsGLUlq/1OIk3y8T6jXX9fsFwAAAP//AwBQSwMEFAAGAAgAAAAh&#10;AL8gwNffAAAADQEAAA8AAABkcnMvZG93bnJldi54bWxMj8FOwzAQRO9I/IO1SNxaOyiUKsSpEFIF&#10;QlwI/QA3NkmUeG3FdhL4erYnOO7M0+xMeVjtyGYzhd6hhGwrgBlsnO6xlXD6PG72wEJUqNXo0Ej4&#10;NgEO1fVVqQrtFvwwcx1bRiEYCiWhi9EXnIemM1aFrfMGyftyk1WRzqnlelILhduR3wmx41b1SB86&#10;5c1zZ5qhTlbCMb282vmHJ/9WNwt2fkin90HK25v16RFYNGv8g+FSn6pDRZ3OLqEObJSwyfKcUDLy&#10;XNAqQu6zPUnni/SwE8Crkv9fUf0CAAD//wMAUEsBAi0AFAAGAAgAAAAhALaDOJL+AAAA4QEAABMA&#10;AAAAAAAAAAAAAAAAAAAAAFtDb250ZW50X1R5cGVzXS54bWxQSwECLQAUAAYACAAAACEAOP0h/9YA&#10;AACUAQAACwAAAAAAAAAAAAAAAAAvAQAAX3JlbHMvLnJlbHNQSwECLQAUAAYACAAAACEA/Hz/yn8C&#10;AAACBQAADgAAAAAAAAAAAAAAAAAuAgAAZHJzL2Uyb0RvYy54bWxQSwECLQAUAAYACAAAACEAvyDA&#10;198AAAANAQAADwAAAAAAAAAAAAAAAADZBAAAZHJzL2Rvd25yZXYueG1sUEsFBgAAAAAEAAQA8wAA&#10;AOUFAAAAAA==&#10;" filled="f" stroked="f">
                <v:stroke joinstyle="round"/>
                <v:path arrowok="t"/>
                <v:textbox>
                  <w:txbxContent>
                    <w:p w:rsidR="0086569E" w:rsidRPr="0086569E" w:rsidRDefault="0086569E">
                      <w:pPr>
                        <w:rPr>
                          <w:sz w:val="18"/>
                        </w:rPr>
                      </w:pPr>
                      <w:r>
                        <w:rPr>
                          <w:sz w:val="18"/>
                        </w:rPr>
                        <w:fldChar w:fldCharType="begin"/>
                      </w:r>
                      <w:r>
                        <w:rPr>
                          <w:sz w:val="18"/>
                        </w:rPr>
                        <w:instrText xml:space="preserve"> FILENAME  \* MERGEFORMAT </w:instrText>
                      </w:r>
                      <w:r>
                        <w:rPr>
                          <w:sz w:val="18"/>
                        </w:rPr>
                        <w:fldChar w:fldCharType="separate"/>
                      </w:r>
                      <w:r>
                        <w:rPr>
                          <w:noProof/>
                          <w:sz w:val="18"/>
                        </w:rPr>
                        <w:t>CIDED00211S01</w:t>
                      </w:r>
                      <w:r>
                        <w:rPr>
                          <w:sz w:val="18"/>
                        </w:rPr>
                        <w:fldChar w:fldCharType="end"/>
                      </w:r>
                    </w:p>
                  </w:txbxContent>
                </v:textbox>
                <w10:wrap anchory="page"/>
                <w10:anchorlock/>
              </v:shape>
            </w:pict>
          </mc:Fallback>
        </mc:AlternateContent>
      </w:r>
    </w:p>
    <w:sectPr w:rsidR="005D07C2" w:rsidRPr="00F21512" w:rsidSect="00B31450">
      <w:headerReference w:type="even" r:id="rId12"/>
      <w:headerReference w:type="default" r:id="rId13"/>
      <w:headerReference w:type="first" r:id="rId14"/>
      <w:type w:val="continuous"/>
      <w:pgSz w:w="12240" w:h="15840" w:code="1"/>
      <w:pgMar w:top="1728" w:right="1570" w:bottom="1296" w:left="165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13A" w:rsidRDefault="003C313A">
      <w:r>
        <w:separator/>
      </w:r>
    </w:p>
  </w:endnote>
  <w:endnote w:type="continuationSeparator" w:id="0">
    <w:p w:rsidR="003C313A" w:rsidRDefault="003C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13A" w:rsidRDefault="003C313A">
      <w:r>
        <w:separator/>
      </w:r>
    </w:p>
  </w:footnote>
  <w:footnote w:type="continuationSeparator" w:id="0">
    <w:p w:rsidR="003C313A" w:rsidRDefault="003C3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FA" w:rsidRDefault="006227FA" w:rsidP="004430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27FA" w:rsidRDefault="00622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FA" w:rsidRPr="005A1046" w:rsidRDefault="006227FA" w:rsidP="005A1046">
    <w:pPr>
      <w:pStyle w:val="Header"/>
      <w:jc w:val="center"/>
      <w:rPr>
        <w:lang w:val="es-AR"/>
      </w:rPr>
    </w:pPr>
    <w:r>
      <w:rPr>
        <w:lang w:val="es-AR"/>
      </w:rPr>
      <w:t xml:space="preserve">- </w:t>
    </w:r>
    <w:r>
      <w:rPr>
        <w:rStyle w:val="PageNumber"/>
      </w:rPr>
      <w:fldChar w:fldCharType="begin"/>
    </w:r>
    <w:r>
      <w:rPr>
        <w:rStyle w:val="PageNumber"/>
      </w:rPr>
      <w:instrText xml:space="preserve"> PAGE </w:instrText>
    </w:r>
    <w:r>
      <w:rPr>
        <w:rStyle w:val="PageNumber"/>
      </w:rPr>
      <w:fldChar w:fldCharType="separate"/>
    </w:r>
    <w:r w:rsidR="00781C43">
      <w:rPr>
        <w:rStyle w:val="PageNumber"/>
        <w:noProof/>
      </w:rPr>
      <w:t>13</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FA" w:rsidRDefault="0093444E" w:rsidP="005A1046">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378460</wp:posOffset>
              </wp:positionH>
              <wp:positionV relativeFrom="paragraph">
                <wp:posOffset>116840</wp:posOffset>
              </wp:positionV>
              <wp:extent cx="4702175" cy="914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7FA" w:rsidRPr="00842C06" w:rsidRDefault="006227FA" w:rsidP="00842C06">
                          <w:pPr>
                            <w:pStyle w:val="Header"/>
                            <w:tabs>
                              <w:tab w:val="left" w:pos="900"/>
                            </w:tabs>
                            <w:spacing w:line="240" w:lineRule="atLeast"/>
                            <w:rPr>
                              <w:rFonts w:ascii="Garamond" w:hAnsi="Garamond"/>
                              <w:b/>
                              <w:sz w:val="28"/>
                              <w:szCs w:val="24"/>
                              <w:lang w:val="es-ES"/>
                            </w:rPr>
                          </w:pPr>
                          <w:r w:rsidRPr="00842C06">
                            <w:rPr>
                              <w:rFonts w:ascii="Garamond" w:hAnsi="Garamond"/>
                              <w:b/>
                              <w:sz w:val="28"/>
                              <w:szCs w:val="24"/>
                              <w:lang w:val="es-ES"/>
                            </w:rPr>
                            <w:t>ORGANIZACIÓN DE LOS ESTADOS</w:t>
                          </w:r>
                          <w:r>
                            <w:rPr>
                              <w:rFonts w:ascii="Garamond" w:hAnsi="Garamond"/>
                              <w:b/>
                              <w:sz w:val="28"/>
                              <w:szCs w:val="24"/>
                              <w:lang w:val="es-ES"/>
                            </w:rPr>
                            <w:t xml:space="preserve"> </w:t>
                          </w:r>
                          <w:r w:rsidRPr="00842C06">
                            <w:rPr>
                              <w:rFonts w:ascii="Garamond" w:hAnsi="Garamond"/>
                              <w:b/>
                              <w:sz w:val="28"/>
                              <w:szCs w:val="24"/>
                              <w:lang w:val="es-ES"/>
                            </w:rPr>
                            <w:t>AMERICANOS</w:t>
                          </w:r>
                        </w:p>
                        <w:p w:rsidR="006227FA" w:rsidRPr="007E737D" w:rsidRDefault="006227FA" w:rsidP="0000045A">
                          <w:pPr>
                            <w:pStyle w:val="Header"/>
                            <w:tabs>
                              <w:tab w:val="left" w:pos="900"/>
                            </w:tabs>
                            <w:spacing w:line="240" w:lineRule="atLeast"/>
                            <w:jc w:val="center"/>
                            <w:rPr>
                              <w:rFonts w:ascii="Garamond" w:hAnsi="Garamond"/>
                              <w:b/>
                              <w:sz w:val="22"/>
                              <w:szCs w:val="22"/>
                              <w:lang w:val="es-US"/>
                            </w:rPr>
                          </w:pPr>
                          <w:r w:rsidRPr="007E737D">
                            <w:rPr>
                              <w:rFonts w:ascii="Garamond" w:hAnsi="Garamond"/>
                              <w:b/>
                              <w:sz w:val="22"/>
                              <w:szCs w:val="22"/>
                              <w:lang w:val="es-US"/>
                            </w:rPr>
                            <w:t>Consejo Interamericano para el Desarrollo Integral</w:t>
                          </w:r>
                        </w:p>
                        <w:p w:rsidR="006227FA" w:rsidRPr="0000045A" w:rsidRDefault="006227FA" w:rsidP="0000045A">
                          <w:pPr>
                            <w:pStyle w:val="Header"/>
                            <w:tabs>
                              <w:tab w:val="left" w:pos="900"/>
                            </w:tabs>
                            <w:spacing w:line="240" w:lineRule="atLeast"/>
                            <w:jc w:val="center"/>
                            <w:rPr>
                              <w:b/>
                              <w:sz w:val="22"/>
                              <w:szCs w:val="22"/>
                              <w:lang w:val="es-AR"/>
                            </w:rPr>
                          </w:pPr>
                          <w:r w:rsidRPr="0000045A">
                            <w:rPr>
                              <w:rFonts w:ascii="Garamond" w:hAnsi="Garamond"/>
                              <w:b/>
                              <w:sz w:val="22"/>
                              <w:szCs w:val="22"/>
                              <w:lang w:val="es-AR"/>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9.8pt;margin-top:9.2pt;width:370.2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gAgQ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q8w&#10;UqQDih744NG1HlARqtMbV4HTvQE3P8A2sBwzdeZO088OKX3TErXlV9bqvuWEQXRZOJmcHR1xXADZ&#10;9O80g2vIzusINDS2C6WDYiBAB5YeT8yEUChsFos0zxYzjCjYyqwo0khdQqrjaWOdf8N1h8KkxhaY&#10;j+hkf+d8iIZUR5dwmdNSsLWQMi7sdnMjLdoTUMk6fjGBZ25SBWelw7ERcdyBIOGOYAvhRta/lVle&#10;pNd5OVnPl4tJsS5mk3KRLidpVl6X87Qoi9v19xBgVlStYIyrO6H4UYFZ8XcMH3ph1E7UIOqhPrN8&#10;NlL0xyTT+P0uyU54aEgpuhovT06kCsS+VgzSJpUnQo7z5OfwY5WhBsd/rEqUQWB+1IAfNgOgBG1s&#10;NHsEQVgNfAHr8IrApNX2K0Y9dGSN3ZcdsRwj+VaBqCLt0MJxUcwWOZyx55bNuYUoClA19hiN0xs/&#10;tv3OWLFt4aZRxkpfgRAbETXyFNVBvtB1MZnDCxHa+nwdvZ7esdUPAAAA//8DAFBLAwQUAAYACAAA&#10;ACEA8yzWeN0AAAAJAQAADwAAAGRycy9kb3ducmV2LnhtbEyPzU7DMBCE70i8g7VIXBC1W6VpGuJU&#10;gATi2p8HcOJtEhGvo9ht0rdnOcFxZ0az3xS72fXiimPoPGlYLhQIpNrbjhoNp+PHcwYiREPW9J5Q&#10;ww0D7Mr7u8Lk1k+0x+shNoJLKORGQxvjkEsZ6hadCQs/ILF39qMzkc+xkXY0E5e7Xq6USqUzHfGH&#10;1gz43mL9fbg4Deev6Wm9narPeNrsk/TNdJvK37R+fJhfX0BEnONfGH7xGR1KZqr8hWwQvYb1NuUk&#10;61kCgv1MqSWIioV0lYAsC/l/QfkDAAD//wMAUEsBAi0AFAAGAAgAAAAhALaDOJL+AAAA4QEAABMA&#10;AAAAAAAAAAAAAAAAAAAAAFtDb250ZW50X1R5cGVzXS54bWxQSwECLQAUAAYACAAAACEAOP0h/9YA&#10;AACUAQAACwAAAAAAAAAAAAAAAAAvAQAAX3JlbHMvLnJlbHNQSwECLQAUAAYACAAAACEAVjZ4AIEC&#10;AAAPBQAADgAAAAAAAAAAAAAAAAAuAgAAZHJzL2Uyb0RvYy54bWxQSwECLQAUAAYACAAAACEA8yzW&#10;eN0AAAAJAQAADwAAAAAAAAAAAAAAAADbBAAAZHJzL2Rvd25yZXYueG1sUEsFBgAAAAAEAAQA8wAA&#10;AOUFAAAAAA==&#10;" stroked="f">
              <v:textbox>
                <w:txbxContent>
                  <w:p w:rsidR="006227FA" w:rsidRPr="00842C06" w:rsidRDefault="006227FA" w:rsidP="00842C06">
                    <w:pPr>
                      <w:pStyle w:val="Header"/>
                      <w:tabs>
                        <w:tab w:val="left" w:pos="900"/>
                      </w:tabs>
                      <w:spacing w:line="240" w:lineRule="atLeast"/>
                      <w:rPr>
                        <w:rFonts w:ascii="Garamond" w:hAnsi="Garamond"/>
                        <w:b/>
                        <w:sz w:val="28"/>
                        <w:szCs w:val="24"/>
                        <w:lang w:val="es-ES"/>
                      </w:rPr>
                    </w:pPr>
                    <w:r w:rsidRPr="00842C06">
                      <w:rPr>
                        <w:rFonts w:ascii="Garamond" w:hAnsi="Garamond"/>
                        <w:b/>
                        <w:sz w:val="28"/>
                        <w:szCs w:val="24"/>
                        <w:lang w:val="es-ES"/>
                      </w:rPr>
                      <w:t>ORGANIZACIÓN DE LOS ESTADOS</w:t>
                    </w:r>
                    <w:r>
                      <w:rPr>
                        <w:rFonts w:ascii="Garamond" w:hAnsi="Garamond"/>
                        <w:b/>
                        <w:sz w:val="28"/>
                        <w:szCs w:val="24"/>
                        <w:lang w:val="es-ES"/>
                      </w:rPr>
                      <w:t xml:space="preserve"> </w:t>
                    </w:r>
                    <w:r w:rsidRPr="00842C06">
                      <w:rPr>
                        <w:rFonts w:ascii="Garamond" w:hAnsi="Garamond"/>
                        <w:b/>
                        <w:sz w:val="28"/>
                        <w:szCs w:val="24"/>
                        <w:lang w:val="es-ES"/>
                      </w:rPr>
                      <w:t>AMERICANOS</w:t>
                    </w:r>
                  </w:p>
                  <w:p w:rsidR="006227FA" w:rsidRPr="007E737D" w:rsidRDefault="006227FA" w:rsidP="0000045A">
                    <w:pPr>
                      <w:pStyle w:val="Header"/>
                      <w:tabs>
                        <w:tab w:val="left" w:pos="900"/>
                      </w:tabs>
                      <w:spacing w:line="240" w:lineRule="atLeast"/>
                      <w:jc w:val="center"/>
                      <w:rPr>
                        <w:rFonts w:ascii="Garamond" w:hAnsi="Garamond"/>
                        <w:b/>
                        <w:sz w:val="22"/>
                        <w:szCs w:val="22"/>
                        <w:lang w:val="es-US"/>
                      </w:rPr>
                    </w:pPr>
                    <w:r w:rsidRPr="007E737D">
                      <w:rPr>
                        <w:rFonts w:ascii="Garamond" w:hAnsi="Garamond"/>
                        <w:b/>
                        <w:sz w:val="22"/>
                        <w:szCs w:val="22"/>
                        <w:lang w:val="es-US"/>
                      </w:rPr>
                      <w:t>Consejo Interamericano para el Desarrollo Integral</w:t>
                    </w:r>
                  </w:p>
                  <w:p w:rsidR="006227FA" w:rsidRPr="0000045A" w:rsidRDefault="006227FA" w:rsidP="0000045A">
                    <w:pPr>
                      <w:pStyle w:val="Header"/>
                      <w:tabs>
                        <w:tab w:val="left" w:pos="900"/>
                      </w:tabs>
                      <w:spacing w:line="240" w:lineRule="atLeast"/>
                      <w:jc w:val="center"/>
                      <w:rPr>
                        <w:b/>
                        <w:sz w:val="22"/>
                        <w:szCs w:val="22"/>
                        <w:lang w:val="es-AR"/>
                      </w:rPr>
                    </w:pPr>
                    <w:r w:rsidRPr="0000045A">
                      <w:rPr>
                        <w:rFonts w:ascii="Garamond" w:hAnsi="Garamond"/>
                        <w:b/>
                        <w:sz w:val="22"/>
                        <w:szCs w:val="22"/>
                        <w:lang w:val="es-AR"/>
                      </w:rPr>
                      <w:t>(CIDI)</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7FA" w:rsidRDefault="0093444E" w:rsidP="005A1046">
                          <w:pPr>
                            <w:ind w:right="-130"/>
                          </w:pPr>
                          <w:r>
                            <w:rPr>
                              <w:rFonts w:ascii="News Gothic MT" w:hAnsi="News Gothic MT"/>
                              <w:noProof/>
                              <w:color w:val="000000"/>
                            </w:rPr>
                            <w:drawing>
                              <wp:inline distT="0" distB="0" distL="0" distR="0">
                                <wp:extent cx="1104900" cy="769620"/>
                                <wp:effectExtent l="0" t="0" r="0" b="0"/>
                                <wp:docPr id="4"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00pt;margin-top:-2.8pt;width:101.4pt;height:6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thwIAABYFAAAOAAAAZHJzL2Uyb0RvYy54bWysVMlu2zAQvRfoPxC8O1oiLxIiB01SFwXS&#10;BUj6ATRJWUQpkiVpS2nRf++Qsh11ORRFfZBJzfDxzbw3uroeOokO3DqhVY2zixQjrqhmQu1q/Olx&#10;M1th5DxRjEiteI2fuMPX65cvrnpT8Vy3WjJuEYAoV/Wmxq33pkoSR1veEXehDVcQbLTtiIet3SXM&#10;kh7QO5nkabpIem2ZsZpy5+Dt3RjE64jfNJz6D03juEeyxsDNx6eNz214JusrUu0sMa2gRxrkH1h0&#10;RCi49Ax1RzxBeyt+g+oEtdrpxl9Q3SW6aQTlsQaoJkt/qeahJYbHWqA5zpzb5P4fLH1/+GiRYKAd&#10;Rop0INEjHzy60QO6DN3pjasg6cFAmh/gdcgMlTpzr+lnh5S+bYna8VfW6r7lhAG7LJxMJkdHHBdA&#10;tv07zeAasvc6Ag2N7QIgNAMBOqj0dFYmUKHhyny1XK4gRCG2WuSXl1G6hFSn08Y6/4brDoVFjS0o&#10;H9HJ4d75wIZUp5TIXkvBNkLKuLG77a206EDAJZv4iwVAkdM0qUKy0uHYiDi+AZJwR4gFulH1b2WW&#10;F+lNXs42i9VyVmyK+axcpqtZmpU35SItyuJu8z0QzIqqFYxxdS8UPzkwK/5O4eMsjN6JHkR9jct5&#10;Ph8lmrJ30yLT+PtTkZ3wMJBSdNDncxKpgrCvFYOySeWJkOM6+Zl+7DL04PQfuxJtEJQfPeCH7XD0&#10;G4AFi2w1ewJfWA2ygcLwMYFFq+1XjHoYzBq7L3tiOUbyrQJvlVlRhEmOm2K+zGFjp5HtNEIUBaga&#10;e4zG5a0fp39vrNi1cNPoZqVfgR8bEa3yzOroYhi+WNPxQxGme7qPWc+fs/UPAAAA//8DAFBLAwQU&#10;AAYACAAAACEAHbQWn98AAAALAQAADwAAAGRycy9kb3ducmV2LnhtbEyPwU7DMAyG70i8Q2QkLmhL&#10;KKwbpekESENcN/YAbpO1FY1TNdnavT3eabvZ8q/f35evJ9eJkx1C60nD81yBsFR501KtYf+7ma1A&#10;hIhksPNkNZxtgHVxf5djZvxIW3vaxVpwCYUMNTQx9pmUoWqswzD3vSW+HfzgMPI61NIMOHK562Si&#10;VCodtsQfGuztV2Orv93RaTj8jE+Lt7H8jvvl9jX9xHZZ+rPWjw/TxzuIaKd4DcMFn9GhYKbSH8kE&#10;0WlYKcUuUcNskYK4BJRKWKbk6UUlIItc3joU/wAAAP//AwBQSwECLQAUAAYACAAAACEAtoM4kv4A&#10;AADhAQAAEwAAAAAAAAAAAAAAAAAAAAAAW0NvbnRlbnRfVHlwZXNdLnhtbFBLAQItABQABgAIAAAA&#10;IQA4/SH/1gAAAJQBAAALAAAAAAAAAAAAAAAAAC8BAABfcmVscy8ucmVsc1BLAQItABQABgAIAAAA&#10;IQBQl/ethwIAABYFAAAOAAAAAAAAAAAAAAAAAC4CAABkcnMvZTJvRG9jLnhtbFBLAQItABQABgAI&#10;AAAAIQAdtBaf3wAAAAsBAAAPAAAAAAAAAAAAAAAAAOEEAABkcnMvZG93bnJldi54bWxQSwUGAAAA&#10;AAQABADzAAAA7QUAAAAA&#10;" stroked="f">
              <v:textbox>
                <w:txbxContent>
                  <w:p w:rsidR="006227FA" w:rsidRDefault="0093444E" w:rsidP="005A1046">
                    <w:pPr>
                      <w:ind w:right="-130"/>
                    </w:pPr>
                    <w:r>
                      <w:rPr>
                        <w:rFonts w:ascii="News Gothic MT" w:hAnsi="News Gothic MT"/>
                        <w:noProof/>
                        <w:color w:val="000000"/>
                      </w:rPr>
                      <w:drawing>
                        <wp:inline distT="0" distB="0" distL="0" distR="0">
                          <wp:extent cx="1104900" cy="769620"/>
                          <wp:effectExtent l="0" t="0" r="0" b="0"/>
                          <wp:docPr id="4"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6704" behindDoc="0" locked="0" layoutInCell="1" allowOverlap="1">
          <wp:simplePos x="0" y="0"/>
          <wp:positionH relativeFrom="column">
            <wp:posOffset>-444500</wp:posOffset>
          </wp:positionH>
          <wp:positionV relativeFrom="paragraph">
            <wp:posOffset>-35560</wp:posOffset>
          </wp:positionV>
          <wp:extent cx="822960" cy="824865"/>
          <wp:effectExtent l="0" t="0" r="0" b="0"/>
          <wp:wrapNone/>
          <wp:docPr id="2"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27FA" w:rsidRDefault="00622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6ECA"/>
    <w:multiLevelType w:val="hybridMultilevel"/>
    <w:tmpl w:val="52F27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E29F2"/>
    <w:multiLevelType w:val="hybridMultilevel"/>
    <w:tmpl w:val="B7F24DAE"/>
    <w:lvl w:ilvl="0" w:tplc="93024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241F8"/>
    <w:multiLevelType w:val="hybridMultilevel"/>
    <w:tmpl w:val="9AD2D5E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15:restartNumberingAfterBreak="0">
    <w:nsid w:val="3FF2641C"/>
    <w:multiLevelType w:val="multilevel"/>
    <w:tmpl w:val="19260AEE"/>
    <w:lvl w:ilvl="0">
      <w:start w:val="3"/>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16B4C8F"/>
    <w:multiLevelType w:val="hybridMultilevel"/>
    <w:tmpl w:val="9404D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74"/>
    <w:rsid w:val="0000045A"/>
    <w:rsid w:val="00001035"/>
    <w:rsid w:val="00006B1C"/>
    <w:rsid w:val="00007783"/>
    <w:rsid w:val="00010139"/>
    <w:rsid w:val="00013433"/>
    <w:rsid w:val="00014CDF"/>
    <w:rsid w:val="00015F2C"/>
    <w:rsid w:val="00017267"/>
    <w:rsid w:val="0002545C"/>
    <w:rsid w:val="0002571E"/>
    <w:rsid w:val="00026934"/>
    <w:rsid w:val="00027DF0"/>
    <w:rsid w:val="00030603"/>
    <w:rsid w:val="00031011"/>
    <w:rsid w:val="000312AC"/>
    <w:rsid w:val="0003214B"/>
    <w:rsid w:val="000337D7"/>
    <w:rsid w:val="00033BCF"/>
    <w:rsid w:val="0003461C"/>
    <w:rsid w:val="00036308"/>
    <w:rsid w:val="00036F4B"/>
    <w:rsid w:val="00042091"/>
    <w:rsid w:val="000431F4"/>
    <w:rsid w:val="0004463E"/>
    <w:rsid w:val="00046976"/>
    <w:rsid w:val="00051559"/>
    <w:rsid w:val="00051A1A"/>
    <w:rsid w:val="00053556"/>
    <w:rsid w:val="00054B71"/>
    <w:rsid w:val="0005588A"/>
    <w:rsid w:val="000559BE"/>
    <w:rsid w:val="00056CD4"/>
    <w:rsid w:val="0006019D"/>
    <w:rsid w:val="00060384"/>
    <w:rsid w:val="00060F1F"/>
    <w:rsid w:val="0006121B"/>
    <w:rsid w:val="00062DB2"/>
    <w:rsid w:val="00062E3D"/>
    <w:rsid w:val="000637EA"/>
    <w:rsid w:val="000653FF"/>
    <w:rsid w:val="00065574"/>
    <w:rsid w:val="00065A12"/>
    <w:rsid w:val="00067FEA"/>
    <w:rsid w:val="000717CF"/>
    <w:rsid w:val="0007217A"/>
    <w:rsid w:val="00072BAF"/>
    <w:rsid w:val="000751B6"/>
    <w:rsid w:val="0007667A"/>
    <w:rsid w:val="00077820"/>
    <w:rsid w:val="0008307B"/>
    <w:rsid w:val="00084F55"/>
    <w:rsid w:val="00091059"/>
    <w:rsid w:val="0009129F"/>
    <w:rsid w:val="00095D70"/>
    <w:rsid w:val="00096861"/>
    <w:rsid w:val="000A0700"/>
    <w:rsid w:val="000A1342"/>
    <w:rsid w:val="000A3800"/>
    <w:rsid w:val="000A3A82"/>
    <w:rsid w:val="000A4343"/>
    <w:rsid w:val="000A5AEA"/>
    <w:rsid w:val="000A5D36"/>
    <w:rsid w:val="000A6A19"/>
    <w:rsid w:val="000B0E89"/>
    <w:rsid w:val="000B3351"/>
    <w:rsid w:val="000B4B8A"/>
    <w:rsid w:val="000B5E69"/>
    <w:rsid w:val="000B7951"/>
    <w:rsid w:val="000C17CF"/>
    <w:rsid w:val="000C1856"/>
    <w:rsid w:val="000C2309"/>
    <w:rsid w:val="000C61D8"/>
    <w:rsid w:val="000C7FCD"/>
    <w:rsid w:val="000E34CA"/>
    <w:rsid w:val="000E3E55"/>
    <w:rsid w:val="000E4296"/>
    <w:rsid w:val="000F2909"/>
    <w:rsid w:val="000F2FD4"/>
    <w:rsid w:val="000F2FFF"/>
    <w:rsid w:val="00103713"/>
    <w:rsid w:val="0010707C"/>
    <w:rsid w:val="00107A7E"/>
    <w:rsid w:val="00112AD1"/>
    <w:rsid w:val="00114090"/>
    <w:rsid w:val="0011442E"/>
    <w:rsid w:val="00114574"/>
    <w:rsid w:val="00114E76"/>
    <w:rsid w:val="0012026C"/>
    <w:rsid w:val="00126411"/>
    <w:rsid w:val="00126B5D"/>
    <w:rsid w:val="00131225"/>
    <w:rsid w:val="00133DED"/>
    <w:rsid w:val="00134706"/>
    <w:rsid w:val="00137B3C"/>
    <w:rsid w:val="00137D25"/>
    <w:rsid w:val="00137EB7"/>
    <w:rsid w:val="0014189C"/>
    <w:rsid w:val="00142F02"/>
    <w:rsid w:val="00143164"/>
    <w:rsid w:val="00145900"/>
    <w:rsid w:val="0014640A"/>
    <w:rsid w:val="00150D54"/>
    <w:rsid w:val="00151A46"/>
    <w:rsid w:val="001567CE"/>
    <w:rsid w:val="00160379"/>
    <w:rsid w:val="00167074"/>
    <w:rsid w:val="00167974"/>
    <w:rsid w:val="00171221"/>
    <w:rsid w:val="00171441"/>
    <w:rsid w:val="0017174E"/>
    <w:rsid w:val="00174D86"/>
    <w:rsid w:val="00175A6D"/>
    <w:rsid w:val="0017652F"/>
    <w:rsid w:val="00181A34"/>
    <w:rsid w:val="001838B6"/>
    <w:rsid w:val="00185196"/>
    <w:rsid w:val="001854F6"/>
    <w:rsid w:val="00185845"/>
    <w:rsid w:val="00185E05"/>
    <w:rsid w:val="0019145F"/>
    <w:rsid w:val="00192535"/>
    <w:rsid w:val="0019326B"/>
    <w:rsid w:val="00195A92"/>
    <w:rsid w:val="001974F4"/>
    <w:rsid w:val="00197973"/>
    <w:rsid w:val="001A797D"/>
    <w:rsid w:val="001B2B35"/>
    <w:rsid w:val="001B2ED4"/>
    <w:rsid w:val="001B7641"/>
    <w:rsid w:val="001C0EA1"/>
    <w:rsid w:val="001C347F"/>
    <w:rsid w:val="001C3A93"/>
    <w:rsid w:val="001C4E65"/>
    <w:rsid w:val="001D17C1"/>
    <w:rsid w:val="001D2651"/>
    <w:rsid w:val="001D2FE4"/>
    <w:rsid w:val="001D31B7"/>
    <w:rsid w:val="001D5FE9"/>
    <w:rsid w:val="001D6139"/>
    <w:rsid w:val="001E0887"/>
    <w:rsid w:val="001E176B"/>
    <w:rsid w:val="001E18CB"/>
    <w:rsid w:val="001E2523"/>
    <w:rsid w:val="001E5DB3"/>
    <w:rsid w:val="001F2959"/>
    <w:rsid w:val="001F3E99"/>
    <w:rsid w:val="001F66E4"/>
    <w:rsid w:val="001F7191"/>
    <w:rsid w:val="00200DA6"/>
    <w:rsid w:val="00203BC1"/>
    <w:rsid w:val="002044F4"/>
    <w:rsid w:val="0020588E"/>
    <w:rsid w:val="00205D89"/>
    <w:rsid w:val="00210C7C"/>
    <w:rsid w:val="00210DCF"/>
    <w:rsid w:val="00212A6D"/>
    <w:rsid w:val="00213ADF"/>
    <w:rsid w:val="00213CF0"/>
    <w:rsid w:val="00214E3D"/>
    <w:rsid w:val="00216AE4"/>
    <w:rsid w:val="0021755E"/>
    <w:rsid w:val="0021760C"/>
    <w:rsid w:val="00217EBC"/>
    <w:rsid w:val="00222284"/>
    <w:rsid w:val="002272B3"/>
    <w:rsid w:val="00231FAB"/>
    <w:rsid w:val="002339EC"/>
    <w:rsid w:val="00236B69"/>
    <w:rsid w:val="00237F7E"/>
    <w:rsid w:val="00240574"/>
    <w:rsid w:val="00242F12"/>
    <w:rsid w:val="00242FD8"/>
    <w:rsid w:val="00243575"/>
    <w:rsid w:val="002436CF"/>
    <w:rsid w:val="00244D68"/>
    <w:rsid w:val="002455C1"/>
    <w:rsid w:val="00247302"/>
    <w:rsid w:val="00252A8A"/>
    <w:rsid w:val="00255E77"/>
    <w:rsid w:val="002629C7"/>
    <w:rsid w:val="00264DBA"/>
    <w:rsid w:val="00265E60"/>
    <w:rsid w:val="00271160"/>
    <w:rsid w:val="00271A28"/>
    <w:rsid w:val="00272929"/>
    <w:rsid w:val="0027362A"/>
    <w:rsid w:val="002741DC"/>
    <w:rsid w:val="00276A3B"/>
    <w:rsid w:val="002771ED"/>
    <w:rsid w:val="00277468"/>
    <w:rsid w:val="00280B74"/>
    <w:rsid w:val="00280EE9"/>
    <w:rsid w:val="00282217"/>
    <w:rsid w:val="002850A0"/>
    <w:rsid w:val="00285113"/>
    <w:rsid w:val="002873F9"/>
    <w:rsid w:val="00290730"/>
    <w:rsid w:val="00290E11"/>
    <w:rsid w:val="00293CBE"/>
    <w:rsid w:val="00293F8A"/>
    <w:rsid w:val="00294DA7"/>
    <w:rsid w:val="00295A9E"/>
    <w:rsid w:val="002A007F"/>
    <w:rsid w:val="002A01BE"/>
    <w:rsid w:val="002A3E1C"/>
    <w:rsid w:val="002A3E96"/>
    <w:rsid w:val="002A687F"/>
    <w:rsid w:val="002B17A3"/>
    <w:rsid w:val="002B2036"/>
    <w:rsid w:val="002B3137"/>
    <w:rsid w:val="002B31EC"/>
    <w:rsid w:val="002B51E6"/>
    <w:rsid w:val="002B78EB"/>
    <w:rsid w:val="002C00C9"/>
    <w:rsid w:val="002C0E44"/>
    <w:rsid w:val="002C0F82"/>
    <w:rsid w:val="002C15AB"/>
    <w:rsid w:val="002C17E6"/>
    <w:rsid w:val="002C1A33"/>
    <w:rsid w:val="002C27AC"/>
    <w:rsid w:val="002C2EF3"/>
    <w:rsid w:val="002C31A8"/>
    <w:rsid w:val="002C34B6"/>
    <w:rsid w:val="002D19AB"/>
    <w:rsid w:val="002D3EDE"/>
    <w:rsid w:val="002D4BB9"/>
    <w:rsid w:val="002D510C"/>
    <w:rsid w:val="002D655E"/>
    <w:rsid w:val="002D72F3"/>
    <w:rsid w:val="002E065B"/>
    <w:rsid w:val="002E0FB6"/>
    <w:rsid w:val="002E2D25"/>
    <w:rsid w:val="002E4A3A"/>
    <w:rsid w:val="002E4D70"/>
    <w:rsid w:val="002E53E4"/>
    <w:rsid w:val="002E5D86"/>
    <w:rsid w:val="002E730E"/>
    <w:rsid w:val="002E7EF1"/>
    <w:rsid w:val="002F2207"/>
    <w:rsid w:val="00300E4E"/>
    <w:rsid w:val="00307854"/>
    <w:rsid w:val="003107C6"/>
    <w:rsid w:val="00317D41"/>
    <w:rsid w:val="00317DAF"/>
    <w:rsid w:val="0032325A"/>
    <w:rsid w:val="00324770"/>
    <w:rsid w:val="0032614C"/>
    <w:rsid w:val="003270F8"/>
    <w:rsid w:val="00327635"/>
    <w:rsid w:val="00332057"/>
    <w:rsid w:val="00340088"/>
    <w:rsid w:val="00340FD8"/>
    <w:rsid w:val="00342607"/>
    <w:rsid w:val="0034310E"/>
    <w:rsid w:val="00344604"/>
    <w:rsid w:val="00346E58"/>
    <w:rsid w:val="00347DDE"/>
    <w:rsid w:val="00350D52"/>
    <w:rsid w:val="00354926"/>
    <w:rsid w:val="00354FCF"/>
    <w:rsid w:val="00355CE6"/>
    <w:rsid w:val="00357375"/>
    <w:rsid w:val="00360EA0"/>
    <w:rsid w:val="00362FBA"/>
    <w:rsid w:val="0036321F"/>
    <w:rsid w:val="003644A0"/>
    <w:rsid w:val="00364A17"/>
    <w:rsid w:val="00367120"/>
    <w:rsid w:val="003673C6"/>
    <w:rsid w:val="00370B1A"/>
    <w:rsid w:val="003751C4"/>
    <w:rsid w:val="00377BD9"/>
    <w:rsid w:val="003818FF"/>
    <w:rsid w:val="0038242E"/>
    <w:rsid w:val="00384F12"/>
    <w:rsid w:val="00385424"/>
    <w:rsid w:val="003855DD"/>
    <w:rsid w:val="003921BE"/>
    <w:rsid w:val="0039222B"/>
    <w:rsid w:val="00392E4A"/>
    <w:rsid w:val="003969FC"/>
    <w:rsid w:val="003A149D"/>
    <w:rsid w:val="003A37A8"/>
    <w:rsid w:val="003A7113"/>
    <w:rsid w:val="003B0B53"/>
    <w:rsid w:val="003B485D"/>
    <w:rsid w:val="003B60C5"/>
    <w:rsid w:val="003B6411"/>
    <w:rsid w:val="003C0AE4"/>
    <w:rsid w:val="003C1B35"/>
    <w:rsid w:val="003C313A"/>
    <w:rsid w:val="003C430D"/>
    <w:rsid w:val="003C48BE"/>
    <w:rsid w:val="003C722E"/>
    <w:rsid w:val="003D2F15"/>
    <w:rsid w:val="003D4D64"/>
    <w:rsid w:val="003D60F1"/>
    <w:rsid w:val="003E223F"/>
    <w:rsid w:val="003E48D4"/>
    <w:rsid w:val="003E6998"/>
    <w:rsid w:val="003E6AF6"/>
    <w:rsid w:val="003F2092"/>
    <w:rsid w:val="003F31A7"/>
    <w:rsid w:val="003F639E"/>
    <w:rsid w:val="003F6AA4"/>
    <w:rsid w:val="003F7DA8"/>
    <w:rsid w:val="00400C8D"/>
    <w:rsid w:val="00402629"/>
    <w:rsid w:val="00403CF5"/>
    <w:rsid w:val="00404772"/>
    <w:rsid w:val="004063E6"/>
    <w:rsid w:val="00406B87"/>
    <w:rsid w:val="00406D9B"/>
    <w:rsid w:val="00410494"/>
    <w:rsid w:val="00411D36"/>
    <w:rsid w:val="00412F38"/>
    <w:rsid w:val="004168BC"/>
    <w:rsid w:val="00416E2A"/>
    <w:rsid w:val="00417409"/>
    <w:rsid w:val="00421A44"/>
    <w:rsid w:val="00421D40"/>
    <w:rsid w:val="00424731"/>
    <w:rsid w:val="00424F9E"/>
    <w:rsid w:val="0042608B"/>
    <w:rsid w:val="0042651C"/>
    <w:rsid w:val="004269A3"/>
    <w:rsid w:val="00430D46"/>
    <w:rsid w:val="00433C3B"/>
    <w:rsid w:val="00436EC7"/>
    <w:rsid w:val="00437D38"/>
    <w:rsid w:val="0044301B"/>
    <w:rsid w:val="00443C4A"/>
    <w:rsid w:val="00444845"/>
    <w:rsid w:val="00445A1A"/>
    <w:rsid w:val="004472CA"/>
    <w:rsid w:val="0045223E"/>
    <w:rsid w:val="004553A2"/>
    <w:rsid w:val="004559F7"/>
    <w:rsid w:val="00463C8F"/>
    <w:rsid w:val="004707EB"/>
    <w:rsid w:val="00470BC0"/>
    <w:rsid w:val="004723CD"/>
    <w:rsid w:val="00472FB9"/>
    <w:rsid w:val="00476079"/>
    <w:rsid w:val="00476C14"/>
    <w:rsid w:val="00480F99"/>
    <w:rsid w:val="00481D19"/>
    <w:rsid w:val="00481F85"/>
    <w:rsid w:val="00491396"/>
    <w:rsid w:val="00494AFC"/>
    <w:rsid w:val="00495328"/>
    <w:rsid w:val="0049684F"/>
    <w:rsid w:val="00496B7F"/>
    <w:rsid w:val="004970DE"/>
    <w:rsid w:val="004977AD"/>
    <w:rsid w:val="004A0055"/>
    <w:rsid w:val="004A2240"/>
    <w:rsid w:val="004A3C41"/>
    <w:rsid w:val="004A4E97"/>
    <w:rsid w:val="004A6A12"/>
    <w:rsid w:val="004B4E22"/>
    <w:rsid w:val="004B5025"/>
    <w:rsid w:val="004B57BD"/>
    <w:rsid w:val="004C0E8A"/>
    <w:rsid w:val="004C1C8E"/>
    <w:rsid w:val="004C3B7F"/>
    <w:rsid w:val="004C3BDB"/>
    <w:rsid w:val="004C446E"/>
    <w:rsid w:val="004C4A4F"/>
    <w:rsid w:val="004C700A"/>
    <w:rsid w:val="004C7235"/>
    <w:rsid w:val="004D1BDF"/>
    <w:rsid w:val="004D344B"/>
    <w:rsid w:val="004D3B86"/>
    <w:rsid w:val="004D6EB9"/>
    <w:rsid w:val="004E009D"/>
    <w:rsid w:val="004E2FE7"/>
    <w:rsid w:val="004E45B1"/>
    <w:rsid w:val="004E7853"/>
    <w:rsid w:val="004F05B0"/>
    <w:rsid w:val="004F1602"/>
    <w:rsid w:val="004F536C"/>
    <w:rsid w:val="004F6544"/>
    <w:rsid w:val="005030A7"/>
    <w:rsid w:val="005078B2"/>
    <w:rsid w:val="00510922"/>
    <w:rsid w:val="00513A1E"/>
    <w:rsid w:val="0051400E"/>
    <w:rsid w:val="005143DA"/>
    <w:rsid w:val="005169C2"/>
    <w:rsid w:val="00516AAB"/>
    <w:rsid w:val="00516BD7"/>
    <w:rsid w:val="00517220"/>
    <w:rsid w:val="00521A04"/>
    <w:rsid w:val="005228AB"/>
    <w:rsid w:val="00522BF6"/>
    <w:rsid w:val="00523FCF"/>
    <w:rsid w:val="005243AF"/>
    <w:rsid w:val="005248D7"/>
    <w:rsid w:val="005257EC"/>
    <w:rsid w:val="0053031D"/>
    <w:rsid w:val="005322C5"/>
    <w:rsid w:val="00533A0C"/>
    <w:rsid w:val="00534A30"/>
    <w:rsid w:val="00535C23"/>
    <w:rsid w:val="0053672F"/>
    <w:rsid w:val="00541F92"/>
    <w:rsid w:val="00545C97"/>
    <w:rsid w:val="00552ECD"/>
    <w:rsid w:val="0055364B"/>
    <w:rsid w:val="00554D1A"/>
    <w:rsid w:val="00554E39"/>
    <w:rsid w:val="00555C14"/>
    <w:rsid w:val="005576ED"/>
    <w:rsid w:val="00561B35"/>
    <w:rsid w:val="00563182"/>
    <w:rsid w:val="00564982"/>
    <w:rsid w:val="00567015"/>
    <w:rsid w:val="00567100"/>
    <w:rsid w:val="00570DED"/>
    <w:rsid w:val="00574B78"/>
    <w:rsid w:val="00575432"/>
    <w:rsid w:val="00577EA2"/>
    <w:rsid w:val="005811E5"/>
    <w:rsid w:val="005846D2"/>
    <w:rsid w:val="00584C21"/>
    <w:rsid w:val="00585BC3"/>
    <w:rsid w:val="00590B72"/>
    <w:rsid w:val="00591F0B"/>
    <w:rsid w:val="005929C1"/>
    <w:rsid w:val="005948F7"/>
    <w:rsid w:val="00596317"/>
    <w:rsid w:val="005969BC"/>
    <w:rsid w:val="00596BC6"/>
    <w:rsid w:val="00596BD5"/>
    <w:rsid w:val="005A07C8"/>
    <w:rsid w:val="005A1046"/>
    <w:rsid w:val="005A23D1"/>
    <w:rsid w:val="005A2465"/>
    <w:rsid w:val="005A5486"/>
    <w:rsid w:val="005A5E60"/>
    <w:rsid w:val="005A7631"/>
    <w:rsid w:val="005A7938"/>
    <w:rsid w:val="005B034E"/>
    <w:rsid w:val="005B054C"/>
    <w:rsid w:val="005B38A9"/>
    <w:rsid w:val="005B3B9C"/>
    <w:rsid w:val="005B4B5D"/>
    <w:rsid w:val="005B64B9"/>
    <w:rsid w:val="005C0733"/>
    <w:rsid w:val="005C1956"/>
    <w:rsid w:val="005C342E"/>
    <w:rsid w:val="005C37B2"/>
    <w:rsid w:val="005C504E"/>
    <w:rsid w:val="005D07C2"/>
    <w:rsid w:val="005D19AB"/>
    <w:rsid w:val="005D1C5F"/>
    <w:rsid w:val="005D1F9F"/>
    <w:rsid w:val="005D244D"/>
    <w:rsid w:val="005D3C42"/>
    <w:rsid w:val="005D41C9"/>
    <w:rsid w:val="005D5AD9"/>
    <w:rsid w:val="005E0BBD"/>
    <w:rsid w:val="005E3818"/>
    <w:rsid w:val="005F05EF"/>
    <w:rsid w:val="005F4CF5"/>
    <w:rsid w:val="005F6260"/>
    <w:rsid w:val="005F6F42"/>
    <w:rsid w:val="005F777E"/>
    <w:rsid w:val="00601884"/>
    <w:rsid w:val="00602D1C"/>
    <w:rsid w:val="00603153"/>
    <w:rsid w:val="006035CD"/>
    <w:rsid w:val="006050FC"/>
    <w:rsid w:val="00605E76"/>
    <w:rsid w:val="0060637F"/>
    <w:rsid w:val="00606952"/>
    <w:rsid w:val="00606FB3"/>
    <w:rsid w:val="00610DA0"/>
    <w:rsid w:val="0061171D"/>
    <w:rsid w:val="00611D02"/>
    <w:rsid w:val="006125FE"/>
    <w:rsid w:val="00613634"/>
    <w:rsid w:val="006163BC"/>
    <w:rsid w:val="00616F13"/>
    <w:rsid w:val="006176F4"/>
    <w:rsid w:val="006227FA"/>
    <w:rsid w:val="00623B31"/>
    <w:rsid w:val="00625927"/>
    <w:rsid w:val="00626056"/>
    <w:rsid w:val="00630F0F"/>
    <w:rsid w:val="00630FC6"/>
    <w:rsid w:val="00632869"/>
    <w:rsid w:val="00634323"/>
    <w:rsid w:val="00637D88"/>
    <w:rsid w:val="00640936"/>
    <w:rsid w:val="00642604"/>
    <w:rsid w:val="006479E3"/>
    <w:rsid w:val="00647CB6"/>
    <w:rsid w:val="0065195D"/>
    <w:rsid w:val="00653821"/>
    <w:rsid w:val="00653B61"/>
    <w:rsid w:val="00654583"/>
    <w:rsid w:val="006570AA"/>
    <w:rsid w:val="00657B97"/>
    <w:rsid w:val="00657D81"/>
    <w:rsid w:val="006610D2"/>
    <w:rsid w:val="00663A54"/>
    <w:rsid w:val="00675D8C"/>
    <w:rsid w:val="0067670B"/>
    <w:rsid w:val="00677B4C"/>
    <w:rsid w:val="00680549"/>
    <w:rsid w:val="00684199"/>
    <w:rsid w:val="006841C5"/>
    <w:rsid w:val="0068460A"/>
    <w:rsid w:val="00690398"/>
    <w:rsid w:val="00690D55"/>
    <w:rsid w:val="006964F5"/>
    <w:rsid w:val="006A006A"/>
    <w:rsid w:val="006A17DE"/>
    <w:rsid w:val="006A6571"/>
    <w:rsid w:val="006B0E36"/>
    <w:rsid w:val="006C6410"/>
    <w:rsid w:val="006C6661"/>
    <w:rsid w:val="006C6724"/>
    <w:rsid w:val="006D0706"/>
    <w:rsid w:val="006D0CFA"/>
    <w:rsid w:val="006D3099"/>
    <w:rsid w:val="006E11A9"/>
    <w:rsid w:val="006E177E"/>
    <w:rsid w:val="006E1782"/>
    <w:rsid w:val="006E2991"/>
    <w:rsid w:val="006E3CD6"/>
    <w:rsid w:val="006E6464"/>
    <w:rsid w:val="006F122D"/>
    <w:rsid w:val="006F206C"/>
    <w:rsid w:val="006F592F"/>
    <w:rsid w:val="006F71A7"/>
    <w:rsid w:val="00700B2F"/>
    <w:rsid w:val="00700E3C"/>
    <w:rsid w:val="0070323B"/>
    <w:rsid w:val="00703C79"/>
    <w:rsid w:val="00704A15"/>
    <w:rsid w:val="00705EA1"/>
    <w:rsid w:val="00705F9E"/>
    <w:rsid w:val="007100E8"/>
    <w:rsid w:val="00710ABD"/>
    <w:rsid w:val="00713D61"/>
    <w:rsid w:val="0071637F"/>
    <w:rsid w:val="00717201"/>
    <w:rsid w:val="00717A7A"/>
    <w:rsid w:val="00722583"/>
    <w:rsid w:val="00722A08"/>
    <w:rsid w:val="00722E6D"/>
    <w:rsid w:val="00724E4C"/>
    <w:rsid w:val="00725E42"/>
    <w:rsid w:val="00727C01"/>
    <w:rsid w:val="00734D7B"/>
    <w:rsid w:val="00736735"/>
    <w:rsid w:val="00737ABE"/>
    <w:rsid w:val="00740679"/>
    <w:rsid w:val="00740F69"/>
    <w:rsid w:val="00743231"/>
    <w:rsid w:val="00744CA3"/>
    <w:rsid w:val="00745763"/>
    <w:rsid w:val="00747337"/>
    <w:rsid w:val="007543FA"/>
    <w:rsid w:val="007553DE"/>
    <w:rsid w:val="00755D31"/>
    <w:rsid w:val="00760229"/>
    <w:rsid w:val="0076190E"/>
    <w:rsid w:val="00764298"/>
    <w:rsid w:val="007646FF"/>
    <w:rsid w:val="0076680F"/>
    <w:rsid w:val="007707F4"/>
    <w:rsid w:val="007723F3"/>
    <w:rsid w:val="007724DD"/>
    <w:rsid w:val="007736A3"/>
    <w:rsid w:val="007736F2"/>
    <w:rsid w:val="00776946"/>
    <w:rsid w:val="0077751B"/>
    <w:rsid w:val="00780655"/>
    <w:rsid w:val="00781295"/>
    <w:rsid w:val="00781C43"/>
    <w:rsid w:val="0078249E"/>
    <w:rsid w:val="0078369E"/>
    <w:rsid w:val="00791D96"/>
    <w:rsid w:val="00793B90"/>
    <w:rsid w:val="00796ECB"/>
    <w:rsid w:val="007A0E75"/>
    <w:rsid w:val="007A68EA"/>
    <w:rsid w:val="007B2A22"/>
    <w:rsid w:val="007B3DAB"/>
    <w:rsid w:val="007B5696"/>
    <w:rsid w:val="007B5DDE"/>
    <w:rsid w:val="007B60D6"/>
    <w:rsid w:val="007B6CA9"/>
    <w:rsid w:val="007C0A40"/>
    <w:rsid w:val="007C1A21"/>
    <w:rsid w:val="007C3534"/>
    <w:rsid w:val="007C631F"/>
    <w:rsid w:val="007C6547"/>
    <w:rsid w:val="007C7BBE"/>
    <w:rsid w:val="007D169A"/>
    <w:rsid w:val="007D30C5"/>
    <w:rsid w:val="007D4470"/>
    <w:rsid w:val="007D743F"/>
    <w:rsid w:val="007D7BCC"/>
    <w:rsid w:val="007D7F35"/>
    <w:rsid w:val="007E03A9"/>
    <w:rsid w:val="007E0AB9"/>
    <w:rsid w:val="007E0E39"/>
    <w:rsid w:val="007E2201"/>
    <w:rsid w:val="007E28A1"/>
    <w:rsid w:val="007E33EB"/>
    <w:rsid w:val="007E4216"/>
    <w:rsid w:val="007E737D"/>
    <w:rsid w:val="007F027A"/>
    <w:rsid w:val="007F0555"/>
    <w:rsid w:val="007F2232"/>
    <w:rsid w:val="007F2759"/>
    <w:rsid w:val="007F2774"/>
    <w:rsid w:val="007F3B24"/>
    <w:rsid w:val="007F61B7"/>
    <w:rsid w:val="007F6CE0"/>
    <w:rsid w:val="007F6E34"/>
    <w:rsid w:val="007F735B"/>
    <w:rsid w:val="00804D14"/>
    <w:rsid w:val="008051AE"/>
    <w:rsid w:val="008113D3"/>
    <w:rsid w:val="00813740"/>
    <w:rsid w:val="008145DA"/>
    <w:rsid w:val="00815DF0"/>
    <w:rsid w:val="008173A8"/>
    <w:rsid w:val="00825591"/>
    <w:rsid w:val="00831578"/>
    <w:rsid w:val="00831614"/>
    <w:rsid w:val="00832A3D"/>
    <w:rsid w:val="008330B5"/>
    <w:rsid w:val="00834851"/>
    <w:rsid w:val="0083612A"/>
    <w:rsid w:val="008427D0"/>
    <w:rsid w:val="00842C06"/>
    <w:rsid w:val="00844207"/>
    <w:rsid w:val="00844289"/>
    <w:rsid w:val="00845471"/>
    <w:rsid w:val="0085501E"/>
    <w:rsid w:val="00857A82"/>
    <w:rsid w:val="00857B17"/>
    <w:rsid w:val="00860FEB"/>
    <w:rsid w:val="00864512"/>
    <w:rsid w:val="0086569E"/>
    <w:rsid w:val="00871717"/>
    <w:rsid w:val="00873EFB"/>
    <w:rsid w:val="00874E94"/>
    <w:rsid w:val="00876986"/>
    <w:rsid w:val="00881AE9"/>
    <w:rsid w:val="008830C6"/>
    <w:rsid w:val="00886C47"/>
    <w:rsid w:val="00891D87"/>
    <w:rsid w:val="0089272D"/>
    <w:rsid w:val="00893F5C"/>
    <w:rsid w:val="00894B29"/>
    <w:rsid w:val="008979DA"/>
    <w:rsid w:val="008A3AE2"/>
    <w:rsid w:val="008A44B7"/>
    <w:rsid w:val="008A5769"/>
    <w:rsid w:val="008B4471"/>
    <w:rsid w:val="008B642E"/>
    <w:rsid w:val="008C319B"/>
    <w:rsid w:val="008C5851"/>
    <w:rsid w:val="008D000F"/>
    <w:rsid w:val="008D39E9"/>
    <w:rsid w:val="008D4CE9"/>
    <w:rsid w:val="008E364E"/>
    <w:rsid w:val="008F1E6F"/>
    <w:rsid w:val="008F3F13"/>
    <w:rsid w:val="008F4745"/>
    <w:rsid w:val="008F4927"/>
    <w:rsid w:val="008F54E6"/>
    <w:rsid w:val="008F7CED"/>
    <w:rsid w:val="00900329"/>
    <w:rsid w:val="00903461"/>
    <w:rsid w:val="00904214"/>
    <w:rsid w:val="00905B3E"/>
    <w:rsid w:val="00906CBF"/>
    <w:rsid w:val="009077C1"/>
    <w:rsid w:val="0091118D"/>
    <w:rsid w:val="00911A3B"/>
    <w:rsid w:val="009176EC"/>
    <w:rsid w:val="009217A7"/>
    <w:rsid w:val="00922612"/>
    <w:rsid w:val="00923359"/>
    <w:rsid w:val="00923B76"/>
    <w:rsid w:val="00924F41"/>
    <w:rsid w:val="00925CDF"/>
    <w:rsid w:val="00927501"/>
    <w:rsid w:val="009277EA"/>
    <w:rsid w:val="00930E1B"/>
    <w:rsid w:val="00931C94"/>
    <w:rsid w:val="00933AFB"/>
    <w:rsid w:val="0093444E"/>
    <w:rsid w:val="009346E8"/>
    <w:rsid w:val="0093686C"/>
    <w:rsid w:val="00940408"/>
    <w:rsid w:val="00941B2F"/>
    <w:rsid w:val="009426E4"/>
    <w:rsid w:val="00943A98"/>
    <w:rsid w:val="00946716"/>
    <w:rsid w:val="00946924"/>
    <w:rsid w:val="009479BA"/>
    <w:rsid w:val="0095590F"/>
    <w:rsid w:val="009573DF"/>
    <w:rsid w:val="00957D0B"/>
    <w:rsid w:val="00962EFD"/>
    <w:rsid w:val="00971762"/>
    <w:rsid w:val="00974697"/>
    <w:rsid w:val="0097541E"/>
    <w:rsid w:val="0098407A"/>
    <w:rsid w:val="009855A4"/>
    <w:rsid w:val="009900F5"/>
    <w:rsid w:val="00992224"/>
    <w:rsid w:val="009938D4"/>
    <w:rsid w:val="00993B6C"/>
    <w:rsid w:val="009946AB"/>
    <w:rsid w:val="00994FAE"/>
    <w:rsid w:val="009A014A"/>
    <w:rsid w:val="009A02CC"/>
    <w:rsid w:val="009A390B"/>
    <w:rsid w:val="009A7AF0"/>
    <w:rsid w:val="009B1329"/>
    <w:rsid w:val="009B2A9F"/>
    <w:rsid w:val="009B75B2"/>
    <w:rsid w:val="009B7F1F"/>
    <w:rsid w:val="009C0BA3"/>
    <w:rsid w:val="009C2D35"/>
    <w:rsid w:val="009C36F9"/>
    <w:rsid w:val="009C7AAF"/>
    <w:rsid w:val="009D0388"/>
    <w:rsid w:val="009D1F68"/>
    <w:rsid w:val="009D2FA7"/>
    <w:rsid w:val="009D616A"/>
    <w:rsid w:val="009D6823"/>
    <w:rsid w:val="009D7ADC"/>
    <w:rsid w:val="009D7E18"/>
    <w:rsid w:val="009E3B0C"/>
    <w:rsid w:val="009F0182"/>
    <w:rsid w:val="009F397D"/>
    <w:rsid w:val="009F4248"/>
    <w:rsid w:val="009F459E"/>
    <w:rsid w:val="009F5571"/>
    <w:rsid w:val="009F6896"/>
    <w:rsid w:val="009F6909"/>
    <w:rsid w:val="00A0068D"/>
    <w:rsid w:val="00A0141C"/>
    <w:rsid w:val="00A018CB"/>
    <w:rsid w:val="00A1034E"/>
    <w:rsid w:val="00A11C8E"/>
    <w:rsid w:val="00A11F19"/>
    <w:rsid w:val="00A16DCD"/>
    <w:rsid w:val="00A21F51"/>
    <w:rsid w:val="00A246C7"/>
    <w:rsid w:val="00A2712F"/>
    <w:rsid w:val="00A279E2"/>
    <w:rsid w:val="00A3069A"/>
    <w:rsid w:val="00A309D8"/>
    <w:rsid w:val="00A324B9"/>
    <w:rsid w:val="00A358BB"/>
    <w:rsid w:val="00A40488"/>
    <w:rsid w:val="00A40CF6"/>
    <w:rsid w:val="00A410AC"/>
    <w:rsid w:val="00A42DDA"/>
    <w:rsid w:val="00A46034"/>
    <w:rsid w:val="00A47269"/>
    <w:rsid w:val="00A4745F"/>
    <w:rsid w:val="00A50683"/>
    <w:rsid w:val="00A506B8"/>
    <w:rsid w:val="00A50911"/>
    <w:rsid w:val="00A5127E"/>
    <w:rsid w:val="00A53078"/>
    <w:rsid w:val="00A554F2"/>
    <w:rsid w:val="00A60C5E"/>
    <w:rsid w:val="00A6386B"/>
    <w:rsid w:val="00A64BFE"/>
    <w:rsid w:val="00A64E94"/>
    <w:rsid w:val="00A6685F"/>
    <w:rsid w:val="00A66E2D"/>
    <w:rsid w:val="00A67BD7"/>
    <w:rsid w:val="00A721A6"/>
    <w:rsid w:val="00A724A1"/>
    <w:rsid w:val="00A72D49"/>
    <w:rsid w:val="00A73338"/>
    <w:rsid w:val="00A754BD"/>
    <w:rsid w:val="00A76AD1"/>
    <w:rsid w:val="00A77E53"/>
    <w:rsid w:val="00A808B1"/>
    <w:rsid w:val="00A809BF"/>
    <w:rsid w:val="00A819C9"/>
    <w:rsid w:val="00A8397B"/>
    <w:rsid w:val="00A859C2"/>
    <w:rsid w:val="00A860F4"/>
    <w:rsid w:val="00A920A9"/>
    <w:rsid w:val="00A94126"/>
    <w:rsid w:val="00A9444B"/>
    <w:rsid w:val="00A94A80"/>
    <w:rsid w:val="00A97703"/>
    <w:rsid w:val="00A97D9B"/>
    <w:rsid w:val="00AA3AB9"/>
    <w:rsid w:val="00AA72B0"/>
    <w:rsid w:val="00AB071A"/>
    <w:rsid w:val="00AB7257"/>
    <w:rsid w:val="00AC013B"/>
    <w:rsid w:val="00AC0248"/>
    <w:rsid w:val="00AC09D9"/>
    <w:rsid w:val="00AC1787"/>
    <w:rsid w:val="00AC36D7"/>
    <w:rsid w:val="00AC4E09"/>
    <w:rsid w:val="00AC7CF8"/>
    <w:rsid w:val="00AD2B4C"/>
    <w:rsid w:val="00AD465F"/>
    <w:rsid w:val="00AD58FD"/>
    <w:rsid w:val="00AD5DBE"/>
    <w:rsid w:val="00AD6A39"/>
    <w:rsid w:val="00AD7B06"/>
    <w:rsid w:val="00AE0DB2"/>
    <w:rsid w:val="00AE2C5A"/>
    <w:rsid w:val="00AE4794"/>
    <w:rsid w:val="00AE4C9E"/>
    <w:rsid w:val="00AE6186"/>
    <w:rsid w:val="00AE64DC"/>
    <w:rsid w:val="00AE7C3F"/>
    <w:rsid w:val="00AF2486"/>
    <w:rsid w:val="00AF3A43"/>
    <w:rsid w:val="00AF3FB2"/>
    <w:rsid w:val="00AF6CAF"/>
    <w:rsid w:val="00B00FA9"/>
    <w:rsid w:val="00B01505"/>
    <w:rsid w:val="00B02B2B"/>
    <w:rsid w:val="00B103D3"/>
    <w:rsid w:val="00B150E8"/>
    <w:rsid w:val="00B1635A"/>
    <w:rsid w:val="00B17DF1"/>
    <w:rsid w:val="00B20AFC"/>
    <w:rsid w:val="00B21576"/>
    <w:rsid w:val="00B21CFB"/>
    <w:rsid w:val="00B22401"/>
    <w:rsid w:val="00B254FE"/>
    <w:rsid w:val="00B31450"/>
    <w:rsid w:val="00B32376"/>
    <w:rsid w:val="00B348D0"/>
    <w:rsid w:val="00B42142"/>
    <w:rsid w:val="00B428E5"/>
    <w:rsid w:val="00B430F3"/>
    <w:rsid w:val="00B43EC3"/>
    <w:rsid w:val="00B44591"/>
    <w:rsid w:val="00B44997"/>
    <w:rsid w:val="00B45856"/>
    <w:rsid w:val="00B5235E"/>
    <w:rsid w:val="00B52D12"/>
    <w:rsid w:val="00B53B1C"/>
    <w:rsid w:val="00B54300"/>
    <w:rsid w:val="00B54F3A"/>
    <w:rsid w:val="00B55015"/>
    <w:rsid w:val="00B55151"/>
    <w:rsid w:val="00B60E31"/>
    <w:rsid w:val="00B61934"/>
    <w:rsid w:val="00B6212E"/>
    <w:rsid w:val="00B631C8"/>
    <w:rsid w:val="00B64CEE"/>
    <w:rsid w:val="00B67736"/>
    <w:rsid w:val="00B70893"/>
    <w:rsid w:val="00B70A3B"/>
    <w:rsid w:val="00B74AFE"/>
    <w:rsid w:val="00B75790"/>
    <w:rsid w:val="00B75B03"/>
    <w:rsid w:val="00B82067"/>
    <w:rsid w:val="00B911CB"/>
    <w:rsid w:val="00B93188"/>
    <w:rsid w:val="00B94BCA"/>
    <w:rsid w:val="00B94DF6"/>
    <w:rsid w:val="00BA1C09"/>
    <w:rsid w:val="00BA1F21"/>
    <w:rsid w:val="00BA2454"/>
    <w:rsid w:val="00BA2F5A"/>
    <w:rsid w:val="00BB18D4"/>
    <w:rsid w:val="00BB2A17"/>
    <w:rsid w:val="00BB3219"/>
    <w:rsid w:val="00BB52FB"/>
    <w:rsid w:val="00BB608B"/>
    <w:rsid w:val="00BB751D"/>
    <w:rsid w:val="00BC1B8D"/>
    <w:rsid w:val="00BC48BA"/>
    <w:rsid w:val="00BC6DD1"/>
    <w:rsid w:val="00BC7307"/>
    <w:rsid w:val="00BD6189"/>
    <w:rsid w:val="00BE1A3A"/>
    <w:rsid w:val="00BE1FCE"/>
    <w:rsid w:val="00BE2222"/>
    <w:rsid w:val="00BF0A05"/>
    <w:rsid w:val="00BF1424"/>
    <w:rsid w:val="00BF163D"/>
    <w:rsid w:val="00BF2781"/>
    <w:rsid w:val="00BF3C4C"/>
    <w:rsid w:val="00BF5C2C"/>
    <w:rsid w:val="00BF6491"/>
    <w:rsid w:val="00BF6EC7"/>
    <w:rsid w:val="00C0070E"/>
    <w:rsid w:val="00C0352D"/>
    <w:rsid w:val="00C05835"/>
    <w:rsid w:val="00C06AE5"/>
    <w:rsid w:val="00C07293"/>
    <w:rsid w:val="00C10989"/>
    <w:rsid w:val="00C11BF0"/>
    <w:rsid w:val="00C1271D"/>
    <w:rsid w:val="00C14F44"/>
    <w:rsid w:val="00C24C71"/>
    <w:rsid w:val="00C26D57"/>
    <w:rsid w:val="00C316BD"/>
    <w:rsid w:val="00C40573"/>
    <w:rsid w:val="00C41BF5"/>
    <w:rsid w:val="00C42F66"/>
    <w:rsid w:val="00C44410"/>
    <w:rsid w:val="00C46895"/>
    <w:rsid w:val="00C47577"/>
    <w:rsid w:val="00C47EDA"/>
    <w:rsid w:val="00C509A8"/>
    <w:rsid w:val="00C51E3A"/>
    <w:rsid w:val="00C52AC6"/>
    <w:rsid w:val="00C534D7"/>
    <w:rsid w:val="00C546DC"/>
    <w:rsid w:val="00C54A64"/>
    <w:rsid w:val="00C56094"/>
    <w:rsid w:val="00C56A25"/>
    <w:rsid w:val="00C57816"/>
    <w:rsid w:val="00C57E48"/>
    <w:rsid w:val="00C57E90"/>
    <w:rsid w:val="00C6269E"/>
    <w:rsid w:val="00C63EA8"/>
    <w:rsid w:val="00C66445"/>
    <w:rsid w:val="00C70A11"/>
    <w:rsid w:val="00C70BC8"/>
    <w:rsid w:val="00C70EDE"/>
    <w:rsid w:val="00C74DDC"/>
    <w:rsid w:val="00C75ED3"/>
    <w:rsid w:val="00C77276"/>
    <w:rsid w:val="00C823BC"/>
    <w:rsid w:val="00C827DC"/>
    <w:rsid w:val="00C82A17"/>
    <w:rsid w:val="00C85920"/>
    <w:rsid w:val="00C860D8"/>
    <w:rsid w:val="00C8799C"/>
    <w:rsid w:val="00C87AEF"/>
    <w:rsid w:val="00C9583E"/>
    <w:rsid w:val="00C965B4"/>
    <w:rsid w:val="00C96C13"/>
    <w:rsid w:val="00C97441"/>
    <w:rsid w:val="00C97DB8"/>
    <w:rsid w:val="00CA27FF"/>
    <w:rsid w:val="00CA28DC"/>
    <w:rsid w:val="00CA4A9F"/>
    <w:rsid w:val="00CA7819"/>
    <w:rsid w:val="00CA78F8"/>
    <w:rsid w:val="00CB036B"/>
    <w:rsid w:val="00CB1B42"/>
    <w:rsid w:val="00CB1D22"/>
    <w:rsid w:val="00CB271D"/>
    <w:rsid w:val="00CB28B1"/>
    <w:rsid w:val="00CB2BD4"/>
    <w:rsid w:val="00CB2DCD"/>
    <w:rsid w:val="00CB6BDA"/>
    <w:rsid w:val="00CC1442"/>
    <w:rsid w:val="00CC1D65"/>
    <w:rsid w:val="00CC260B"/>
    <w:rsid w:val="00CD1336"/>
    <w:rsid w:val="00CD18F0"/>
    <w:rsid w:val="00CD30DC"/>
    <w:rsid w:val="00CD38C2"/>
    <w:rsid w:val="00CE0660"/>
    <w:rsid w:val="00CE1575"/>
    <w:rsid w:val="00CE2E93"/>
    <w:rsid w:val="00CE47B3"/>
    <w:rsid w:val="00CE5033"/>
    <w:rsid w:val="00CE77BB"/>
    <w:rsid w:val="00CF3275"/>
    <w:rsid w:val="00CF510D"/>
    <w:rsid w:val="00CF5485"/>
    <w:rsid w:val="00CF72C2"/>
    <w:rsid w:val="00D0128A"/>
    <w:rsid w:val="00D015E1"/>
    <w:rsid w:val="00D04E54"/>
    <w:rsid w:val="00D05EBA"/>
    <w:rsid w:val="00D073C2"/>
    <w:rsid w:val="00D11759"/>
    <w:rsid w:val="00D12447"/>
    <w:rsid w:val="00D13EA8"/>
    <w:rsid w:val="00D14F09"/>
    <w:rsid w:val="00D15213"/>
    <w:rsid w:val="00D15E64"/>
    <w:rsid w:val="00D1779D"/>
    <w:rsid w:val="00D227E8"/>
    <w:rsid w:val="00D24DBE"/>
    <w:rsid w:val="00D25585"/>
    <w:rsid w:val="00D25A7F"/>
    <w:rsid w:val="00D25DD0"/>
    <w:rsid w:val="00D27892"/>
    <w:rsid w:val="00D3003D"/>
    <w:rsid w:val="00D30186"/>
    <w:rsid w:val="00D32D0E"/>
    <w:rsid w:val="00D33FA6"/>
    <w:rsid w:val="00D340F0"/>
    <w:rsid w:val="00D35DB2"/>
    <w:rsid w:val="00D35FD4"/>
    <w:rsid w:val="00D36A2C"/>
    <w:rsid w:val="00D36F76"/>
    <w:rsid w:val="00D4185A"/>
    <w:rsid w:val="00D44B22"/>
    <w:rsid w:val="00D45B7E"/>
    <w:rsid w:val="00D553AC"/>
    <w:rsid w:val="00D553DA"/>
    <w:rsid w:val="00D55DCF"/>
    <w:rsid w:val="00D571B7"/>
    <w:rsid w:val="00D57E97"/>
    <w:rsid w:val="00D6073B"/>
    <w:rsid w:val="00D60EF6"/>
    <w:rsid w:val="00D6279D"/>
    <w:rsid w:val="00D65413"/>
    <w:rsid w:val="00D70C6A"/>
    <w:rsid w:val="00D720B4"/>
    <w:rsid w:val="00D731F8"/>
    <w:rsid w:val="00D739FA"/>
    <w:rsid w:val="00D73F87"/>
    <w:rsid w:val="00D82020"/>
    <w:rsid w:val="00D83177"/>
    <w:rsid w:val="00D8447E"/>
    <w:rsid w:val="00D8564E"/>
    <w:rsid w:val="00D861BE"/>
    <w:rsid w:val="00D9150E"/>
    <w:rsid w:val="00D92978"/>
    <w:rsid w:val="00D92ACE"/>
    <w:rsid w:val="00D94FCD"/>
    <w:rsid w:val="00D96637"/>
    <w:rsid w:val="00DA2D06"/>
    <w:rsid w:val="00DA4593"/>
    <w:rsid w:val="00DA5380"/>
    <w:rsid w:val="00DA603F"/>
    <w:rsid w:val="00DB172C"/>
    <w:rsid w:val="00DB4071"/>
    <w:rsid w:val="00DB535B"/>
    <w:rsid w:val="00DB55AD"/>
    <w:rsid w:val="00DB7BEB"/>
    <w:rsid w:val="00DC0CF2"/>
    <w:rsid w:val="00DC4872"/>
    <w:rsid w:val="00DC583B"/>
    <w:rsid w:val="00DD0F04"/>
    <w:rsid w:val="00DE07C2"/>
    <w:rsid w:val="00DE2B24"/>
    <w:rsid w:val="00DE3925"/>
    <w:rsid w:val="00DE409C"/>
    <w:rsid w:val="00DE44EA"/>
    <w:rsid w:val="00DE45B1"/>
    <w:rsid w:val="00DE5219"/>
    <w:rsid w:val="00DE65F8"/>
    <w:rsid w:val="00DE7B6D"/>
    <w:rsid w:val="00DF035A"/>
    <w:rsid w:val="00E012BB"/>
    <w:rsid w:val="00E01336"/>
    <w:rsid w:val="00E01929"/>
    <w:rsid w:val="00E04E48"/>
    <w:rsid w:val="00E05003"/>
    <w:rsid w:val="00E10126"/>
    <w:rsid w:val="00E1058B"/>
    <w:rsid w:val="00E11615"/>
    <w:rsid w:val="00E11A56"/>
    <w:rsid w:val="00E11E9D"/>
    <w:rsid w:val="00E122F6"/>
    <w:rsid w:val="00E14172"/>
    <w:rsid w:val="00E1502D"/>
    <w:rsid w:val="00E16086"/>
    <w:rsid w:val="00E20642"/>
    <w:rsid w:val="00E21143"/>
    <w:rsid w:val="00E21C64"/>
    <w:rsid w:val="00E24415"/>
    <w:rsid w:val="00E25BFB"/>
    <w:rsid w:val="00E25DBF"/>
    <w:rsid w:val="00E27179"/>
    <w:rsid w:val="00E27512"/>
    <w:rsid w:val="00E2787D"/>
    <w:rsid w:val="00E27C5F"/>
    <w:rsid w:val="00E3473B"/>
    <w:rsid w:val="00E453C3"/>
    <w:rsid w:val="00E50AB5"/>
    <w:rsid w:val="00E526E1"/>
    <w:rsid w:val="00E54850"/>
    <w:rsid w:val="00E549EF"/>
    <w:rsid w:val="00E54AAA"/>
    <w:rsid w:val="00E54BB0"/>
    <w:rsid w:val="00E55690"/>
    <w:rsid w:val="00E57A55"/>
    <w:rsid w:val="00E610D4"/>
    <w:rsid w:val="00E62E14"/>
    <w:rsid w:val="00E65440"/>
    <w:rsid w:val="00E70F51"/>
    <w:rsid w:val="00E71650"/>
    <w:rsid w:val="00E718C1"/>
    <w:rsid w:val="00E73078"/>
    <w:rsid w:val="00E74790"/>
    <w:rsid w:val="00E75559"/>
    <w:rsid w:val="00E80A4D"/>
    <w:rsid w:val="00E84D6E"/>
    <w:rsid w:val="00E862CC"/>
    <w:rsid w:val="00E9009A"/>
    <w:rsid w:val="00E922C4"/>
    <w:rsid w:val="00E93E1D"/>
    <w:rsid w:val="00E960E0"/>
    <w:rsid w:val="00E96C06"/>
    <w:rsid w:val="00E9787F"/>
    <w:rsid w:val="00EA3119"/>
    <w:rsid w:val="00EA35B3"/>
    <w:rsid w:val="00EA721A"/>
    <w:rsid w:val="00EB16DD"/>
    <w:rsid w:val="00EC03F5"/>
    <w:rsid w:val="00EC3DF5"/>
    <w:rsid w:val="00EC6C2F"/>
    <w:rsid w:val="00ED06C3"/>
    <w:rsid w:val="00ED0914"/>
    <w:rsid w:val="00ED264D"/>
    <w:rsid w:val="00ED27C8"/>
    <w:rsid w:val="00ED3FDF"/>
    <w:rsid w:val="00ED60A2"/>
    <w:rsid w:val="00EE44A6"/>
    <w:rsid w:val="00EE5CE2"/>
    <w:rsid w:val="00EE6197"/>
    <w:rsid w:val="00EF0160"/>
    <w:rsid w:val="00EF04F9"/>
    <w:rsid w:val="00EF057F"/>
    <w:rsid w:val="00EF1B78"/>
    <w:rsid w:val="00EF24EB"/>
    <w:rsid w:val="00EF3B53"/>
    <w:rsid w:val="00EF3FFE"/>
    <w:rsid w:val="00EF407C"/>
    <w:rsid w:val="00EF4CD3"/>
    <w:rsid w:val="00EF6622"/>
    <w:rsid w:val="00F013D0"/>
    <w:rsid w:val="00F014E9"/>
    <w:rsid w:val="00F024B3"/>
    <w:rsid w:val="00F02C56"/>
    <w:rsid w:val="00F0417A"/>
    <w:rsid w:val="00F05042"/>
    <w:rsid w:val="00F11FC0"/>
    <w:rsid w:val="00F12526"/>
    <w:rsid w:val="00F13B49"/>
    <w:rsid w:val="00F13E4E"/>
    <w:rsid w:val="00F14CA6"/>
    <w:rsid w:val="00F16107"/>
    <w:rsid w:val="00F16F15"/>
    <w:rsid w:val="00F2021C"/>
    <w:rsid w:val="00F21512"/>
    <w:rsid w:val="00F21AD3"/>
    <w:rsid w:val="00F257EC"/>
    <w:rsid w:val="00F27341"/>
    <w:rsid w:val="00F309B3"/>
    <w:rsid w:val="00F30A6C"/>
    <w:rsid w:val="00F3426F"/>
    <w:rsid w:val="00F369C6"/>
    <w:rsid w:val="00F37BA6"/>
    <w:rsid w:val="00F43EB4"/>
    <w:rsid w:val="00F44209"/>
    <w:rsid w:val="00F45773"/>
    <w:rsid w:val="00F45D97"/>
    <w:rsid w:val="00F50794"/>
    <w:rsid w:val="00F511B8"/>
    <w:rsid w:val="00F52F54"/>
    <w:rsid w:val="00F55433"/>
    <w:rsid w:val="00F56D90"/>
    <w:rsid w:val="00F6023E"/>
    <w:rsid w:val="00F64A0F"/>
    <w:rsid w:val="00F65186"/>
    <w:rsid w:val="00F66AEB"/>
    <w:rsid w:val="00F67FAE"/>
    <w:rsid w:val="00F67FC8"/>
    <w:rsid w:val="00F71043"/>
    <w:rsid w:val="00F71AE7"/>
    <w:rsid w:val="00F722A7"/>
    <w:rsid w:val="00F72E02"/>
    <w:rsid w:val="00F73F2A"/>
    <w:rsid w:val="00F8038B"/>
    <w:rsid w:val="00F80E0B"/>
    <w:rsid w:val="00F82993"/>
    <w:rsid w:val="00F83871"/>
    <w:rsid w:val="00F8538C"/>
    <w:rsid w:val="00F86119"/>
    <w:rsid w:val="00F869FB"/>
    <w:rsid w:val="00F8716A"/>
    <w:rsid w:val="00F90FCD"/>
    <w:rsid w:val="00F935E0"/>
    <w:rsid w:val="00F95A8A"/>
    <w:rsid w:val="00FA31F0"/>
    <w:rsid w:val="00FA3FAB"/>
    <w:rsid w:val="00FA438A"/>
    <w:rsid w:val="00FB1180"/>
    <w:rsid w:val="00FB15FA"/>
    <w:rsid w:val="00FB2065"/>
    <w:rsid w:val="00FB3344"/>
    <w:rsid w:val="00FB3387"/>
    <w:rsid w:val="00FB4410"/>
    <w:rsid w:val="00FB5045"/>
    <w:rsid w:val="00FB5862"/>
    <w:rsid w:val="00FB7952"/>
    <w:rsid w:val="00FC0E61"/>
    <w:rsid w:val="00FC2D1D"/>
    <w:rsid w:val="00FC3CBF"/>
    <w:rsid w:val="00FC3F59"/>
    <w:rsid w:val="00FC5FA2"/>
    <w:rsid w:val="00FC7000"/>
    <w:rsid w:val="00FD305C"/>
    <w:rsid w:val="00FD3A79"/>
    <w:rsid w:val="00FE2505"/>
    <w:rsid w:val="00FE2592"/>
    <w:rsid w:val="00FE2B6A"/>
    <w:rsid w:val="00FE5615"/>
    <w:rsid w:val="00FE691E"/>
    <w:rsid w:val="00FE7DF6"/>
    <w:rsid w:val="00FF15EC"/>
    <w:rsid w:val="00FF464F"/>
    <w:rsid w:val="00FF5FA0"/>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6214EE5-FF2C-4C25-AA7C-5558896A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lang w:val="es-PR"/>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semiHidden/>
    <w:rsid w:val="00653821"/>
  </w:style>
  <w:style w:type="character" w:styleId="FootnoteReference">
    <w:name w:val="footnote reference"/>
    <w:uiPriority w:val="99"/>
    <w:semiHidden/>
    <w:rsid w:val="00653821"/>
    <w:rPr>
      <w:vertAlign w:val="superscript"/>
    </w:rPr>
  </w:style>
  <w:style w:type="paragraph" w:styleId="BalloonText">
    <w:name w:val="Balloon Text"/>
    <w:basedOn w:val="Normal"/>
    <w:semiHidden/>
    <w:rsid w:val="0005588A"/>
    <w:rPr>
      <w:rFonts w:ascii="Tahoma" w:hAnsi="Tahoma" w:cs="Tahoma"/>
      <w:sz w:val="16"/>
      <w:szCs w:val="16"/>
    </w:rPr>
  </w:style>
  <w:style w:type="character" w:styleId="Hyperlink">
    <w:name w:val="Hyperlink"/>
    <w:rsid w:val="00B348D0"/>
    <w:rPr>
      <w:rFonts w:ascii="Times New Roman" w:hAnsi="Times New Roman" w:cs="Times New Roman" w:hint="default"/>
      <w:color w:val="0000FF"/>
      <w:u w:val="single"/>
      <w:lang w:val="es-ES"/>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lang w:val="es-ES"/>
    </w:rPr>
  </w:style>
  <w:style w:type="character" w:styleId="Strong">
    <w:name w:val="Strong"/>
    <w:uiPriority w:val="22"/>
    <w:qFormat/>
    <w:rsid w:val="00876986"/>
    <w:rPr>
      <w:b/>
      <w:bCs/>
    </w:rPr>
  </w:style>
  <w:style w:type="character" w:customStyle="1" w:styleId="apple-converted-space">
    <w:name w:val="apple-converted-space"/>
    <w:basedOn w:val="DefaultParagraphFont"/>
    <w:rsid w:val="00876986"/>
  </w:style>
  <w:style w:type="character" w:styleId="FollowedHyperlink">
    <w:name w:val="FollowedHyperlink"/>
    <w:rsid w:val="003B0B53"/>
    <w:rPr>
      <w:color w:val="800080"/>
      <w:u w:val="single"/>
    </w:rPr>
  </w:style>
  <w:style w:type="character" w:customStyle="1" w:styleId="hps">
    <w:name w:val="hps"/>
    <w:basedOn w:val="DefaultParagraphFont"/>
    <w:rsid w:val="004707EB"/>
  </w:style>
  <w:style w:type="paragraph" w:customStyle="1" w:styleId="listparagraph">
    <w:name w:val="listparagraph"/>
    <w:basedOn w:val="Normal"/>
    <w:rsid w:val="00400C8D"/>
    <w:pPr>
      <w:ind w:left="720"/>
    </w:pPr>
    <w:rPr>
      <w:rFonts w:eastAsia="MS Mincho"/>
      <w:sz w:val="24"/>
      <w:szCs w:val="24"/>
      <w:lang w:eastAsia="ja-JP"/>
    </w:rPr>
  </w:style>
  <w:style w:type="character" w:styleId="Emphasis">
    <w:name w:val="Emphasis"/>
    <w:uiPriority w:val="20"/>
    <w:qFormat/>
    <w:rsid w:val="00400C8D"/>
    <w:rPr>
      <w:i/>
      <w:iCs/>
    </w:rPr>
  </w:style>
  <w:style w:type="paragraph" w:styleId="ListParagraph0">
    <w:name w:val="List Paragraph"/>
    <w:aliases w:val="Fundamentacion,Bulleted List,SubPárrafo de lista"/>
    <w:basedOn w:val="Normal"/>
    <w:link w:val="ListParagraphChar"/>
    <w:uiPriority w:val="99"/>
    <w:qFormat/>
    <w:rsid w:val="005A23D1"/>
    <w:pPr>
      <w:ind w:left="720"/>
    </w:pPr>
    <w:rPr>
      <w:rFonts w:eastAsia="Calibri"/>
      <w:sz w:val="24"/>
      <w:szCs w:val="24"/>
    </w:rPr>
  </w:style>
  <w:style w:type="character" w:customStyle="1" w:styleId="user">
    <w:name w:val="user"/>
    <w:semiHidden/>
    <w:rsid w:val="00FB1180"/>
    <w:rPr>
      <w:rFonts w:ascii="Calibri" w:hAnsi="Calibri"/>
      <w:b w:val="0"/>
      <w:bCs w:val="0"/>
      <w:i w:val="0"/>
      <w:iCs w:val="0"/>
      <w:strike w:val="0"/>
      <w:color w:val="0000FF"/>
      <w:sz w:val="24"/>
      <w:szCs w:val="24"/>
      <w:u w:val="none"/>
    </w:rPr>
  </w:style>
  <w:style w:type="character" w:customStyle="1" w:styleId="style21">
    <w:name w:val="style21"/>
    <w:rsid w:val="00F869FB"/>
    <w:rPr>
      <w:sz w:val="24"/>
      <w:szCs w:val="24"/>
    </w:rPr>
  </w:style>
  <w:style w:type="character" w:customStyle="1" w:styleId="FootnoteTextChar">
    <w:name w:val="Footnote Text Char"/>
    <w:link w:val="FootnoteText"/>
    <w:semiHidden/>
    <w:rsid w:val="00CD18F0"/>
  </w:style>
  <w:style w:type="character" w:customStyle="1" w:styleId="ListParagraphChar">
    <w:name w:val="List Paragraph Char"/>
    <w:aliases w:val="Fundamentacion Char,Bulleted List Char,SubPárrafo de lista Char"/>
    <w:link w:val="ListParagraph0"/>
    <w:uiPriority w:val="99"/>
    <w:locked/>
    <w:rsid w:val="00481D19"/>
    <w:rPr>
      <w:rFonts w:eastAsia="Calibri"/>
      <w:sz w:val="24"/>
      <w:szCs w:val="24"/>
    </w:rPr>
  </w:style>
  <w:style w:type="paragraph" w:customStyle="1" w:styleId="Default">
    <w:name w:val="Default"/>
    <w:rsid w:val="00A46034"/>
    <w:pPr>
      <w:autoSpaceDE w:val="0"/>
      <w:autoSpaceDN w:val="0"/>
      <w:adjustRightInd w:val="0"/>
    </w:pPr>
    <w:rPr>
      <w:rFonts w:ascii="Calibri" w:hAnsi="Calibri" w:cs="Calibri"/>
      <w:color w:val="000000"/>
      <w:sz w:val="24"/>
      <w:szCs w:val="24"/>
    </w:rPr>
  </w:style>
  <w:style w:type="paragraph" w:customStyle="1" w:styleId="xmsolistparagraph">
    <w:name w:val="x_msolistparagraph"/>
    <w:basedOn w:val="Normal"/>
    <w:rsid w:val="00677B4C"/>
    <w:pPr>
      <w:ind w:left="7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592">
      <w:bodyDiv w:val="1"/>
      <w:marLeft w:val="0"/>
      <w:marRight w:val="0"/>
      <w:marTop w:val="0"/>
      <w:marBottom w:val="0"/>
      <w:divBdr>
        <w:top w:val="none" w:sz="0" w:space="0" w:color="auto"/>
        <w:left w:val="none" w:sz="0" w:space="0" w:color="auto"/>
        <w:bottom w:val="none" w:sz="0" w:space="0" w:color="auto"/>
        <w:right w:val="none" w:sz="0" w:space="0" w:color="auto"/>
      </w:divBdr>
      <w:divsChild>
        <w:div w:id="1124229464">
          <w:marLeft w:val="0"/>
          <w:marRight w:val="0"/>
          <w:marTop w:val="0"/>
          <w:marBottom w:val="0"/>
          <w:divBdr>
            <w:top w:val="none" w:sz="0" w:space="0" w:color="auto"/>
            <w:left w:val="none" w:sz="0" w:space="0" w:color="auto"/>
            <w:bottom w:val="none" w:sz="0" w:space="0" w:color="auto"/>
            <w:right w:val="none" w:sz="0" w:space="0" w:color="auto"/>
          </w:divBdr>
          <w:divsChild>
            <w:div w:id="55589093">
              <w:marLeft w:val="0"/>
              <w:marRight w:val="0"/>
              <w:marTop w:val="0"/>
              <w:marBottom w:val="0"/>
              <w:divBdr>
                <w:top w:val="none" w:sz="0" w:space="0" w:color="auto"/>
                <w:left w:val="none" w:sz="0" w:space="0" w:color="auto"/>
                <w:bottom w:val="none" w:sz="0" w:space="0" w:color="auto"/>
                <w:right w:val="none" w:sz="0" w:space="0" w:color="auto"/>
              </w:divBdr>
              <w:divsChild>
                <w:div w:id="16892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63">
      <w:bodyDiv w:val="1"/>
      <w:marLeft w:val="0"/>
      <w:marRight w:val="0"/>
      <w:marTop w:val="0"/>
      <w:marBottom w:val="0"/>
      <w:divBdr>
        <w:top w:val="none" w:sz="0" w:space="0" w:color="auto"/>
        <w:left w:val="none" w:sz="0" w:space="0" w:color="auto"/>
        <w:bottom w:val="none" w:sz="0" w:space="0" w:color="auto"/>
        <w:right w:val="none" w:sz="0" w:space="0" w:color="auto"/>
      </w:divBdr>
    </w:div>
    <w:div w:id="36664897">
      <w:bodyDiv w:val="1"/>
      <w:marLeft w:val="0"/>
      <w:marRight w:val="0"/>
      <w:marTop w:val="0"/>
      <w:marBottom w:val="0"/>
      <w:divBdr>
        <w:top w:val="none" w:sz="0" w:space="0" w:color="auto"/>
        <w:left w:val="none" w:sz="0" w:space="0" w:color="auto"/>
        <w:bottom w:val="none" w:sz="0" w:space="0" w:color="auto"/>
        <w:right w:val="none" w:sz="0" w:space="0" w:color="auto"/>
      </w:divBdr>
    </w:div>
    <w:div w:id="92212558">
      <w:bodyDiv w:val="1"/>
      <w:marLeft w:val="0"/>
      <w:marRight w:val="0"/>
      <w:marTop w:val="0"/>
      <w:marBottom w:val="0"/>
      <w:divBdr>
        <w:top w:val="none" w:sz="0" w:space="0" w:color="auto"/>
        <w:left w:val="none" w:sz="0" w:space="0" w:color="auto"/>
        <w:bottom w:val="none" w:sz="0" w:space="0" w:color="auto"/>
        <w:right w:val="none" w:sz="0" w:space="0" w:color="auto"/>
      </w:divBdr>
    </w:div>
    <w:div w:id="124281667">
      <w:bodyDiv w:val="1"/>
      <w:marLeft w:val="0"/>
      <w:marRight w:val="0"/>
      <w:marTop w:val="0"/>
      <w:marBottom w:val="0"/>
      <w:divBdr>
        <w:top w:val="none" w:sz="0" w:space="0" w:color="auto"/>
        <w:left w:val="none" w:sz="0" w:space="0" w:color="auto"/>
        <w:bottom w:val="none" w:sz="0" w:space="0" w:color="auto"/>
        <w:right w:val="none" w:sz="0" w:space="0" w:color="auto"/>
      </w:divBdr>
    </w:div>
    <w:div w:id="157573003">
      <w:bodyDiv w:val="1"/>
      <w:marLeft w:val="0"/>
      <w:marRight w:val="0"/>
      <w:marTop w:val="0"/>
      <w:marBottom w:val="0"/>
      <w:divBdr>
        <w:top w:val="none" w:sz="0" w:space="0" w:color="auto"/>
        <w:left w:val="none" w:sz="0" w:space="0" w:color="auto"/>
        <w:bottom w:val="none" w:sz="0" w:space="0" w:color="auto"/>
        <w:right w:val="none" w:sz="0" w:space="0" w:color="auto"/>
      </w:divBdr>
    </w:div>
    <w:div w:id="162401708">
      <w:bodyDiv w:val="1"/>
      <w:marLeft w:val="0"/>
      <w:marRight w:val="0"/>
      <w:marTop w:val="0"/>
      <w:marBottom w:val="0"/>
      <w:divBdr>
        <w:top w:val="none" w:sz="0" w:space="0" w:color="auto"/>
        <w:left w:val="none" w:sz="0" w:space="0" w:color="auto"/>
        <w:bottom w:val="none" w:sz="0" w:space="0" w:color="auto"/>
        <w:right w:val="none" w:sz="0" w:space="0" w:color="auto"/>
      </w:divBdr>
    </w:div>
    <w:div w:id="194588533">
      <w:bodyDiv w:val="1"/>
      <w:marLeft w:val="0"/>
      <w:marRight w:val="0"/>
      <w:marTop w:val="0"/>
      <w:marBottom w:val="0"/>
      <w:divBdr>
        <w:top w:val="none" w:sz="0" w:space="0" w:color="auto"/>
        <w:left w:val="none" w:sz="0" w:space="0" w:color="auto"/>
        <w:bottom w:val="none" w:sz="0" w:space="0" w:color="auto"/>
        <w:right w:val="none" w:sz="0" w:space="0" w:color="auto"/>
      </w:divBdr>
    </w:div>
    <w:div w:id="231233305">
      <w:bodyDiv w:val="1"/>
      <w:marLeft w:val="0"/>
      <w:marRight w:val="0"/>
      <w:marTop w:val="0"/>
      <w:marBottom w:val="0"/>
      <w:divBdr>
        <w:top w:val="none" w:sz="0" w:space="0" w:color="auto"/>
        <w:left w:val="none" w:sz="0" w:space="0" w:color="auto"/>
        <w:bottom w:val="none" w:sz="0" w:space="0" w:color="auto"/>
        <w:right w:val="none" w:sz="0" w:space="0" w:color="auto"/>
      </w:divBdr>
    </w:div>
    <w:div w:id="241959002">
      <w:bodyDiv w:val="1"/>
      <w:marLeft w:val="0"/>
      <w:marRight w:val="0"/>
      <w:marTop w:val="0"/>
      <w:marBottom w:val="0"/>
      <w:divBdr>
        <w:top w:val="none" w:sz="0" w:space="0" w:color="auto"/>
        <w:left w:val="none" w:sz="0" w:space="0" w:color="auto"/>
        <w:bottom w:val="none" w:sz="0" w:space="0" w:color="auto"/>
        <w:right w:val="none" w:sz="0" w:space="0" w:color="auto"/>
      </w:divBdr>
    </w:div>
    <w:div w:id="305285748">
      <w:bodyDiv w:val="1"/>
      <w:marLeft w:val="0"/>
      <w:marRight w:val="0"/>
      <w:marTop w:val="0"/>
      <w:marBottom w:val="0"/>
      <w:divBdr>
        <w:top w:val="none" w:sz="0" w:space="0" w:color="auto"/>
        <w:left w:val="none" w:sz="0" w:space="0" w:color="auto"/>
        <w:bottom w:val="none" w:sz="0" w:space="0" w:color="auto"/>
        <w:right w:val="none" w:sz="0" w:space="0" w:color="auto"/>
      </w:divBdr>
    </w:div>
    <w:div w:id="305741310">
      <w:bodyDiv w:val="1"/>
      <w:marLeft w:val="0"/>
      <w:marRight w:val="0"/>
      <w:marTop w:val="0"/>
      <w:marBottom w:val="0"/>
      <w:divBdr>
        <w:top w:val="none" w:sz="0" w:space="0" w:color="auto"/>
        <w:left w:val="none" w:sz="0" w:space="0" w:color="auto"/>
        <w:bottom w:val="none" w:sz="0" w:space="0" w:color="auto"/>
        <w:right w:val="none" w:sz="0" w:space="0" w:color="auto"/>
      </w:divBdr>
    </w:div>
    <w:div w:id="323239797">
      <w:bodyDiv w:val="1"/>
      <w:marLeft w:val="0"/>
      <w:marRight w:val="0"/>
      <w:marTop w:val="0"/>
      <w:marBottom w:val="0"/>
      <w:divBdr>
        <w:top w:val="none" w:sz="0" w:space="0" w:color="auto"/>
        <w:left w:val="none" w:sz="0" w:space="0" w:color="auto"/>
        <w:bottom w:val="none" w:sz="0" w:space="0" w:color="auto"/>
        <w:right w:val="none" w:sz="0" w:space="0" w:color="auto"/>
      </w:divBdr>
    </w:div>
    <w:div w:id="323827238">
      <w:bodyDiv w:val="1"/>
      <w:marLeft w:val="0"/>
      <w:marRight w:val="0"/>
      <w:marTop w:val="0"/>
      <w:marBottom w:val="0"/>
      <w:divBdr>
        <w:top w:val="none" w:sz="0" w:space="0" w:color="auto"/>
        <w:left w:val="none" w:sz="0" w:space="0" w:color="auto"/>
        <w:bottom w:val="none" w:sz="0" w:space="0" w:color="auto"/>
        <w:right w:val="none" w:sz="0" w:space="0" w:color="auto"/>
      </w:divBdr>
    </w:div>
    <w:div w:id="387538039">
      <w:bodyDiv w:val="1"/>
      <w:marLeft w:val="0"/>
      <w:marRight w:val="0"/>
      <w:marTop w:val="0"/>
      <w:marBottom w:val="0"/>
      <w:divBdr>
        <w:top w:val="none" w:sz="0" w:space="0" w:color="auto"/>
        <w:left w:val="none" w:sz="0" w:space="0" w:color="auto"/>
        <w:bottom w:val="none" w:sz="0" w:space="0" w:color="auto"/>
        <w:right w:val="none" w:sz="0" w:space="0" w:color="auto"/>
      </w:divBdr>
    </w:div>
    <w:div w:id="413553938">
      <w:bodyDiv w:val="1"/>
      <w:marLeft w:val="0"/>
      <w:marRight w:val="0"/>
      <w:marTop w:val="0"/>
      <w:marBottom w:val="0"/>
      <w:divBdr>
        <w:top w:val="none" w:sz="0" w:space="0" w:color="auto"/>
        <w:left w:val="none" w:sz="0" w:space="0" w:color="auto"/>
        <w:bottom w:val="none" w:sz="0" w:space="0" w:color="auto"/>
        <w:right w:val="none" w:sz="0" w:space="0" w:color="auto"/>
      </w:divBdr>
    </w:div>
    <w:div w:id="509760837">
      <w:bodyDiv w:val="1"/>
      <w:marLeft w:val="0"/>
      <w:marRight w:val="0"/>
      <w:marTop w:val="0"/>
      <w:marBottom w:val="0"/>
      <w:divBdr>
        <w:top w:val="none" w:sz="0" w:space="0" w:color="auto"/>
        <w:left w:val="none" w:sz="0" w:space="0" w:color="auto"/>
        <w:bottom w:val="none" w:sz="0" w:space="0" w:color="auto"/>
        <w:right w:val="none" w:sz="0" w:space="0" w:color="auto"/>
      </w:divBdr>
    </w:div>
    <w:div w:id="542405111">
      <w:bodyDiv w:val="1"/>
      <w:marLeft w:val="0"/>
      <w:marRight w:val="0"/>
      <w:marTop w:val="0"/>
      <w:marBottom w:val="0"/>
      <w:divBdr>
        <w:top w:val="none" w:sz="0" w:space="0" w:color="auto"/>
        <w:left w:val="none" w:sz="0" w:space="0" w:color="auto"/>
        <w:bottom w:val="none" w:sz="0" w:space="0" w:color="auto"/>
        <w:right w:val="none" w:sz="0" w:space="0" w:color="auto"/>
      </w:divBdr>
    </w:div>
    <w:div w:id="577907669">
      <w:bodyDiv w:val="1"/>
      <w:marLeft w:val="0"/>
      <w:marRight w:val="0"/>
      <w:marTop w:val="0"/>
      <w:marBottom w:val="0"/>
      <w:divBdr>
        <w:top w:val="none" w:sz="0" w:space="0" w:color="auto"/>
        <w:left w:val="none" w:sz="0" w:space="0" w:color="auto"/>
        <w:bottom w:val="none" w:sz="0" w:space="0" w:color="auto"/>
        <w:right w:val="none" w:sz="0" w:space="0" w:color="auto"/>
      </w:divBdr>
    </w:div>
    <w:div w:id="606546583">
      <w:bodyDiv w:val="1"/>
      <w:marLeft w:val="0"/>
      <w:marRight w:val="0"/>
      <w:marTop w:val="0"/>
      <w:marBottom w:val="0"/>
      <w:divBdr>
        <w:top w:val="none" w:sz="0" w:space="0" w:color="auto"/>
        <w:left w:val="none" w:sz="0" w:space="0" w:color="auto"/>
        <w:bottom w:val="none" w:sz="0" w:space="0" w:color="auto"/>
        <w:right w:val="none" w:sz="0" w:space="0" w:color="auto"/>
      </w:divBdr>
    </w:div>
    <w:div w:id="635988765">
      <w:bodyDiv w:val="1"/>
      <w:marLeft w:val="0"/>
      <w:marRight w:val="0"/>
      <w:marTop w:val="0"/>
      <w:marBottom w:val="0"/>
      <w:divBdr>
        <w:top w:val="none" w:sz="0" w:space="0" w:color="auto"/>
        <w:left w:val="none" w:sz="0" w:space="0" w:color="auto"/>
        <w:bottom w:val="none" w:sz="0" w:space="0" w:color="auto"/>
        <w:right w:val="none" w:sz="0" w:space="0" w:color="auto"/>
      </w:divBdr>
    </w:div>
    <w:div w:id="640772338">
      <w:bodyDiv w:val="1"/>
      <w:marLeft w:val="0"/>
      <w:marRight w:val="0"/>
      <w:marTop w:val="0"/>
      <w:marBottom w:val="0"/>
      <w:divBdr>
        <w:top w:val="none" w:sz="0" w:space="0" w:color="auto"/>
        <w:left w:val="none" w:sz="0" w:space="0" w:color="auto"/>
        <w:bottom w:val="none" w:sz="0" w:space="0" w:color="auto"/>
        <w:right w:val="none" w:sz="0" w:space="0" w:color="auto"/>
      </w:divBdr>
    </w:div>
    <w:div w:id="697778401">
      <w:bodyDiv w:val="1"/>
      <w:marLeft w:val="0"/>
      <w:marRight w:val="0"/>
      <w:marTop w:val="0"/>
      <w:marBottom w:val="0"/>
      <w:divBdr>
        <w:top w:val="none" w:sz="0" w:space="0" w:color="auto"/>
        <w:left w:val="none" w:sz="0" w:space="0" w:color="auto"/>
        <w:bottom w:val="none" w:sz="0" w:space="0" w:color="auto"/>
        <w:right w:val="none" w:sz="0" w:space="0" w:color="auto"/>
      </w:divBdr>
      <w:divsChild>
        <w:div w:id="1737436000">
          <w:marLeft w:val="0"/>
          <w:marRight w:val="0"/>
          <w:marTop w:val="0"/>
          <w:marBottom w:val="0"/>
          <w:divBdr>
            <w:top w:val="none" w:sz="0" w:space="0" w:color="auto"/>
            <w:left w:val="none" w:sz="0" w:space="0" w:color="auto"/>
            <w:bottom w:val="none" w:sz="0" w:space="0" w:color="auto"/>
            <w:right w:val="none" w:sz="0" w:space="0" w:color="auto"/>
          </w:divBdr>
          <w:divsChild>
            <w:div w:id="577440047">
              <w:marLeft w:val="0"/>
              <w:marRight w:val="0"/>
              <w:marTop w:val="0"/>
              <w:marBottom w:val="0"/>
              <w:divBdr>
                <w:top w:val="none" w:sz="0" w:space="0" w:color="auto"/>
                <w:left w:val="none" w:sz="0" w:space="0" w:color="auto"/>
                <w:bottom w:val="none" w:sz="0" w:space="0" w:color="auto"/>
                <w:right w:val="none" w:sz="0" w:space="0" w:color="auto"/>
              </w:divBdr>
              <w:divsChild>
                <w:div w:id="1302659893">
                  <w:marLeft w:val="0"/>
                  <w:marRight w:val="0"/>
                  <w:marTop w:val="0"/>
                  <w:marBottom w:val="0"/>
                  <w:divBdr>
                    <w:top w:val="none" w:sz="0" w:space="0" w:color="auto"/>
                    <w:left w:val="none" w:sz="0" w:space="0" w:color="auto"/>
                    <w:bottom w:val="none" w:sz="0" w:space="0" w:color="auto"/>
                    <w:right w:val="none" w:sz="0" w:space="0" w:color="auto"/>
                  </w:divBdr>
                  <w:divsChild>
                    <w:div w:id="1740905843">
                      <w:marLeft w:val="0"/>
                      <w:marRight w:val="0"/>
                      <w:marTop w:val="0"/>
                      <w:marBottom w:val="0"/>
                      <w:divBdr>
                        <w:top w:val="none" w:sz="0" w:space="0" w:color="auto"/>
                        <w:left w:val="none" w:sz="0" w:space="0" w:color="auto"/>
                        <w:bottom w:val="none" w:sz="0" w:space="0" w:color="auto"/>
                        <w:right w:val="none" w:sz="0" w:space="0" w:color="auto"/>
                      </w:divBdr>
                      <w:divsChild>
                        <w:div w:id="1149706101">
                          <w:marLeft w:val="0"/>
                          <w:marRight w:val="0"/>
                          <w:marTop w:val="0"/>
                          <w:marBottom w:val="0"/>
                          <w:divBdr>
                            <w:top w:val="none" w:sz="0" w:space="0" w:color="auto"/>
                            <w:left w:val="none" w:sz="0" w:space="0" w:color="auto"/>
                            <w:bottom w:val="none" w:sz="0" w:space="0" w:color="auto"/>
                            <w:right w:val="none" w:sz="0" w:space="0" w:color="auto"/>
                          </w:divBdr>
                          <w:divsChild>
                            <w:div w:id="619459222">
                              <w:marLeft w:val="0"/>
                              <w:marRight w:val="0"/>
                              <w:marTop w:val="0"/>
                              <w:marBottom w:val="0"/>
                              <w:divBdr>
                                <w:top w:val="none" w:sz="0" w:space="0" w:color="auto"/>
                                <w:left w:val="none" w:sz="0" w:space="0" w:color="auto"/>
                                <w:bottom w:val="none" w:sz="0" w:space="0" w:color="auto"/>
                                <w:right w:val="none" w:sz="0" w:space="0" w:color="auto"/>
                              </w:divBdr>
                              <w:divsChild>
                                <w:div w:id="554896252">
                                  <w:marLeft w:val="0"/>
                                  <w:marRight w:val="0"/>
                                  <w:marTop w:val="0"/>
                                  <w:marBottom w:val="0"/>
                                  <w:divBdr>
                                    <w:top w:val="none" w:sz="0" w:space="0" w:color="auto"/>
                                    <w:left w:val="none" w:sz="0" w:space="0" w:color="auto"/>
                                    <w:bottom w:val="none" w:sz="0" w:space="0" w:color="auto"/>
                                    <w:right w:val="none" w:sz="0" w:space="0" w:color="auto"/>
                                  </w:divBdr>
                                  <w:divsChild>
                                    <w:div w:id="1696269403">
                                      <w:marLeft w:val="0"/>
                                      <w:marRight w:val="0"/>
                                      <w:marTop w:val="0"/>
                                      <w:marBottom w:val="0"/>
                                      <w:divBdr>
                                        <w:top w:val="none" w:sz="0" w:space="0" w:color="auto"/>
                                        <w:left w:val="none" w:sz="0" w:space="0" w:color="auto"/>
                                        <w:bottom w:val="none" w:sz="0" w:space="0" w:color="auto"/>
                                        <w:right w:val="none" w:sz="0" w:space="0" w:color="auto"/>
                                      </w:divBdr>
                                      <w:divsChild>
                                        <w:div w:id="380904089">
                                          <w:marLeft w:val="0"/>
                                          <w:marRight w:val="0"/>
                                          <w:marTop w:val="0"/>
                                          <w:marBottom w:val="495"/>
                                          <w:divBdr>
                                            <w:top w:val="none" w:sz="0" w:space="0" w:color="auto"/>
                                            <w:left w:val="none" w:sz="0" w:space="0" w:color="auto"/>
                                            <w:bottom w:val="none" w:sz="0" w:space="0" w:color="auto"/>
                                            <w:right w:val="none" w:sz="0" w:space="0" w:color="auto"/>
                                          </w:divBdr>
                                          <w:divsChild>
                                            <w:div w:id="5541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699812">
      <w:bodyDiv w:val="1"/>
      <w:marLeft w:val="0"/>
      <w:marRight w:val="0"/>
      <w:marTop w:val="0"/>
      <w:marBottom w:val="0"/>
      <w:divBdr>
        <w:top w:val="none" w:sz="0" w:space="0" w:color="auto"/>
        <w:left w:val="none" w:sz="0" w:space="0" w:color="auto"/>
        <w:bottom w:val="none" w:sz="0" w:space="0" w:color="auto"/>
        <w:right w:val="none" w:sz="0" w:space="0" w:color="auto"/>
      </w:divBdr>
    </w:div>
    <w:div w:id="717709386">
      <w:bodyDiv w:val="1"/>
      <w:marLeft w:val="0"/>
      <w:marRight w:val="0"/>
      <w:marTop w:val="0"/>
      <w:marBottom w:val="0"/>
      <w:divBdr>
        <w:top w:val="none" w:sz="0" w:space="0" w:color="auto"/>
        <w:left w:val="none" w:sz="0" w:space="0" w:color="auto"/>
        <w:bottom w:val="none" w:sz="0" w:space="0" w:color="auto"/>
        <w:right w:val="none" w:sz="0" w:space="0" w:color="auto"/>
      </w:divBdr>
    </w:div>
    <w:div w:id="761947785">
      <w:bodyDiv w:val="1"/>
      <w:marLeft w:val="0"/>
      <w:marRight w:val="0"/>
      <w:marTop w:val="0"/>
      <w:marBottom w:val="0"/>
      <w:divBdr>
        <w:top w:val="none" w:sz="0" w:space="0" w:color="auto"/>
        <w:left w:val="none" w:sz="0" w:space="0" w:color="auto"/>
        <w:bottom w:val="none" w:sz="0" w:space="0" w:color="auto"/>
        <w:right w:val="none" w:sz="0" w:space="0" w:color="auto"/>
      </w:divBdr>
    </w:div>
    <w:div w:id="804004491">
      <w:bodyDiv w:val="1"/>
      <w:marLeft w:val="0"/>
      <w:marRight w:val="0"/>
      <w:marTop w:val="0"/>
      <w:marBottom w:val="0"/>
      <w:divBdr>
        <w:top w:val="none" w:sz="0" w:space="0" w:color="auto"/>
        <w:left w:val="none" w:sz="0" w:space="0" w:color="auto"/>
        <w:bottom w:val="none" w:sz="0" w:space="0" w:color="auto"/>
        <w:right w:val="none" w:sz="0" w:space="0" w:color="auto"/>
      </w:divBdr>
    </w:div>
    <w:div w:id="805897900">
      <w:bodyDiv w:val="1"/>
      <w:marLeft w:val="0"/>
      <w:marRight w:val="0"/>
      <w:marTop w:val="0"/>
      <w:marBottom w:val="0"/>
      <w:divBdr>
        <w:top w:val="none" w:sz="0" w:space="0" w:color="auto"/>
        <w:left w:val="none" w:sz="0" w:space="0" w:color="auto"/>
        <w:bottom w:val="none" w:sz="0" w:space="0" w:color="auto"/>
        <w:right w:val="none" w:sz="0" w:space="0" w:color="auto"/>
      </w:divBdr>
    </w:div>
    <w:div w:id="841118668">
      <w:bodyDiv w:val="1"/>
      <w:marLeft w:val="0"/>
      <w:marRight w:val="0"/>
      <w:marTop w:val="0"/>
      <w:marBottom w:val="0"/>
      <w:divBdr>
        <w:top w:val="none" w:sz="0" w:space="0" w:color="auto"/>
        <w:left w:val="none" w:sz="0" w:space="0" w:color="auto"/>
        <w:bottom w:val="none" w:sz="0" w:space="0" w:color="auto"/>
        <w:right w:val="none" w:sz="0" w:space="0" w:color="auto"/>
      </w:divBdr>
    </w:div>
    <w:div w:id="892886701">
      <w:bodyDiv w:val="1"/>
      <w:marLeft w:val="0"/>
      <w:marRight w:val="0"/>
      <w:marTop w:val="0"/>
      <w:marBottom w:val="0"/>
      <w:divBdr>
        <w:top w:val="none" w:sz="0" w:space="0" w:color="auto"/>
        <w:left w:val="none" w:sz="0" w:space="0" w:color="auto"/>
        <w:bottom w:val="none" w:sz="0" w:space="0" w:color="auto"/>
        <w:right w:val="none" w:sz="0" w:space="0" w:color="auto"/>
      </w:divBdr>
    </w:div>
    <w:div w:id="893810259">
      <w:bodyDiv w:val="1"/>
      <w:marLeft w:val="0"/>
      <w:marRight w:val="0"/>
      <w:marTop w:val="0"/>
      <w:marBottom w:val="0"/>
      <w:divBdr>
        <w:top w:val="none" w:sz="0" w:space="0" w:color="auto"/>
        <w:left w:val="none" w:sz="0" w:space="0" w:color="auto"/>
        <w:bottom w:val="none" w:sz="0" w:space="0" w:color="auto"/>
        <w:right w:val="none" w:sz="0" w:space="0" w:color="auto"/>
      </w:divBdr>
    </w:div>
    <w:div w:id="910507900">
      <w:bodyDiv w:val="1"/>
      <w:marLeft w:val="0"/>
      <w:marRight w:val="0"/>
      <w:marTop w:val="0"/>
      <w:marBottom w:val="0"/>
      <w:divBdr>
        <w:top w:val="none" w:sz="0" w:space="0" w:color="auto"/>
        <w:left w:val="none" w:sz="0" w:space="0" w:color="auto"/>
        <w:bottom w:val="none" w:sz="0" w:space="0" w:color="auto"/>
        <w:right w:val="none" w:sz="0" w:space="0" w:color="auto"/>
      </w:divBdr>
    </w:div>
    <w:div w:id="978194033">
      <w:bodyDiv w:val="1"/>
      <w:marLeft w:val="0"/>
      <w:marRight w:val="0"/>
      <w:marTop w:val="0"/>
      <w:marBottom w:val="0"/>
      <w:divBdr>
        <w:top w:val="none" w:sz="0" w:space="0" w:color="auto"/>
        <w:left w:val="none" w:sz="0" w:space="0" w:color="auto"/>
        <w:bottom w:val="none" w:sz="0" w:space="0" w:color="auto"/>
        <w:right w:val="none" w:sz="0" w:space="0" w:color="auto"/>
      </w:divBdr>
    </w:div>
    <w:div w:id="979656879">
      <w:bodyDiv w:val="1"/>
      <w:marLeft w:val="0"/>
      <w:marRight w:val="0"/>
      <w:marTop w:val="0"/>
      <w:marBottom w:val="0"/>
      <w:divBdr>
        <w:top w:val="none" w:sz="0" w:space="0" w:color="auto"/>
        <w:left w:val="none" w:sz="0" w:space="0" w:color="auto"/>
        <w:bottom w:val="none" w:sz="0" w:space="0" w:color="auto"/>
        <w:right w:val="none" w:sz="0" w:space="0" w:color="auto"/>
      </w:divBdr>
    </w:div>
    <w:div w:id="988435925">
      <w:bodyDiv w:val="1"/>
      <w:marLeft w:val="0"/>
      <w:marRight w:val="0"/>
      <w:marTop w:val="0"/>
      <w:marBottom w:val="0"/>
      <w:divBdr>
        <w:top w:val="none" w:sz="0" w:space="0" w:color="auto"/>
        <w:left w:val="none" w:sz="0" w:space="0" w:color="auto"/>
        <w:bottom w:val="none" w:sz="0" w:space="0" w:color="auto"/>
        <w:right w:val="none" w:sz="0" w:space="0" w:color="auto"/>
      </w:divBdr>
    </w:div>
    <w:div w:id="1033387900">
      <w:bodyDiv w:val="1"/>
      <w:marLeft w:val="0"/>
      <w:marRight w:val="0"/>
      <w:marTop w:val="0"/>
      <w:marBottom w:val="0"/>
      <w:divBdr>
        <w:top w:val="none" w:sz="0" w:space="0" w:color="auto"/>
        <w:left w:val="none" w:sz="0" w:space="0" w:color="auto"/>
        <w:bottom w:val="none" w:sz="0" w:space="0" w:color="auto"/>
        <w:right w:val="none" w:sz="0" w:space="0" w:color="auto"/>
      </w:divBdr>
    </w:div>
    <w:div w:id="1062750129">
      <w:bodyDiv w:val="1"/>
      <w:marLeft w:val="0"/>
      <w:marRight w:val="0"/>
      <w:marTop w:val="0"/>
      <w:marBottom w:val="0"/>
      <w:divBdr>
        <w:top w:val="none" w:sz="0" w:space="0" w:color="auto"/>
        <w:left w:val="none" w:sz="0" w:space="0" w:color="auto"/>
        <w:bottom w:val="none" w:sz="0" w:space="0" w:color="auto"/>
        <w:right w:val="none" w:sz="0" w:space="0" w:color="auto"/>
      </w:divBdr>
    </w:div>
    <w:div w:id="1072311410">
      <w:bodyDiv w:val="1"/>
      <w:marLeft w:val="0"/>
      <w:marRight w:val="0"/>
      <w:marTop w:val="0"/>
      <w:marBottom w:val="0"/>
      <w:divBdr>
        <w:top w:val="none" w:sz="0" w:space="0" w:color="auto"/>
        <w:left w:val="none" w:sz="0" w:space="0" w:color="auto"/>
        <w:bottom w:val="none" w:sz="0" w:space="0" w:color="auto"/>
        <w:right w:val="none" w:sz="0" w:space="0" w:color="auto"/>
      </w:divBdr>
    </w:div>
    <w:div w:id="1178814672">
      <w:bodyDiv w:val="1"/>
      <w:marLeft w:val="0"/>
      <w:marRight w:val="0"/>
      <w:marTop w:val="0"/>
      <w:marBottom w:val="0"/>
      <w:divBdr>
        <w:top w:val="none" w:sz="0" w:space="0" w:color="auto"/>
        <w:left w:val="none" w:sz="0" w:space="0" w:color="auto"/>
        <w:bottom w:val="none" w:sz="0" w:space="0" w:color="auto"/>
        <w:right w:val="none" w:sz="0" w:space="0" w:color="auto"/>
      </w:divBdr>
    </w:div>
    <w:div w:id="1214580914">
      <w:bodyDiv w:val="1"/>
      <w:marLeft w:val="0"/>
      <w:marRight w:val="0"/>
      <w:marTop w:val="0"/>
      <w:marBottom w:val="0"/>
      <w:divBdr>
        <w:top w:val="none" w:sz="0" w:space="0" w:color="auto"/>
        <w:left w:val="none" w:sz="0" w:space="0" w:color="auto"/>
        <w:bottom w:val="none" w:sz="0" w:space="0" w:color="auto"/>
        <w:right w:val="none" w:sz="0" w:space="0" w:color="auto"/>
      </w:divBdr>
    </w:div>
    <w:div w:id="1227836967">
      <w:bodyDiv w:val="1"/>
      <w:marLeft w:val="0"/>
      <w:marRight w:val="0"/>
      <w:marTop w:val="0"/>
      <w:marBottom w:val="0"/>
      <w:divBdr>
        <w:top w:val="none" w:sz="0" w:space="0" w:color="auto"/>
        <w:left w:val="none" w:sz="0" w:space="0" w:color="auto"/>
        <w:bottom w:val="none" w:sz="0" w:space="0" w:color="auto"/>
        <w:right w:val="none" w:sz="0" w:space="0" w:color="auto"/>
      </w:divBdr>
    </w:div>
    <w:div w:id="1233153893">
      <w:bodyDiv w:val="1"/>
      <w:marLeft w:val="0"/>
      <w:marRight w:val="0"/>
      <w:marTop w:val="0"/>
      <w:marBottom w:val="0"/>
      <w:divBdr>
        <w:top w:val="none" w:sz="0" w:space="0" w:color="auto"/>
        <w:left w:val="none" w:sz="0" w:space="0" w:color="auto"/>
        <w:bottom w:val="none" w:sz="0" w:space="0" w:color="auto"/>
        <w:right w:val="none" w:sz="0" w:space="0" w:color="auto"/>
      </w:divBdr>
    </w:div>
    <w:div w:id="1241914905">
      <w:bodyDiv w:val="1"/>
      <w:marLeft w:val="0"/>
      <w:marRight w:val="0"/>
      <w:marTop w:val="0"/>
      <w:marBottom w:val="0"/>
      <w:divBdr>
        <w:top w:val="none" w:sz="0" w:space="0" w:color="auto"/>
        <w:left w:val="none" w:sz="0" w:space="0" w:color="auto"/>
        <w:bottom w:val="none" w:sz="0" w:space="0" w:color="auto"/>
        <w:right w:val="none" w:sz="0" w:space="0" w:color="auto"/>
      </w:divBdr>
    </w:div>
    <w:div w:id="1255087423">
      <w:bodyDiv w:val="1"/>
      <w:marLeft w:val="0"/>
      <w:marRight w:val="0"/>
      <w:marTop w:val="0"/>
      <w:marBottom w:val="0"/>
      <w:divBdr>
        <w:top w:val="none" w:sz="0" w:space="0" w:color="auto"/>
        <w:left w:val="none" w:sz="0" w:space="0" w:color="auto"/>
        <w:bottom w:val="none" w:sz="0" w:space="0" w:color="auto"/>
        <w:right w:val="none" w:sz="0" w:space="0" w:color="auto"/>
      </w:divBdr>
    </w:div>
    <w:div w:id="1286890778">
      <w:bodyDiv w:val="1"/>
      <w:marLeft w:val="0"/>
      <w:marRight w:val="0"/>
      <w:marTop w:val="0"/>
      <w:marBottom w:val="0"/>
      <w:divBdr>
        <w:top w:val="none" w:sz="0" w:space="0" w:color="auto"/>
        <w:left w:val="none" w:sz="0" w:space="0" w:color="auto"/>
        <w:bottom w:val="none" w:sz="0" w:space="0" w:color="auto"/>
        <w:right w:val="none" w:sz="0" w:space="0" w:color="auto"/>
      </w:divBdr>
    </w:div>
    <w:div w:id="1296524780">
      <w:bodyDiv w:val="1"/>
      <w:marLeft w:val="0"/>
      <w:marRight w:val="0"/>
      <w:marTop w:val="0"/>
      <w:marBottom w:val="0"/>
      <w:divBdr>
        <w:top w:val="none" w:sz="0" w:space="0" w:color="auto"/>
        <w:left w:val="none" w:sz="0" w:space="0" w:color="auto"/>
        <w:bottom w:val="none" w:sz="0" w:space="0" w:color="auto"/>
        <w:right w:val="none" w:sz="0" w:space="0" w:color="auto"/>
      </w:divBdr>
    </w:div>
    <w:div w:id="1329284578">
      <w:bodyDiv w:val="1"/>
      <w:marLeft w:val="0"/>
      <w:marRight w:val="0"/>
      <w:marTop w:val="0"/>
      <w:marBottom w:val="0"/>
      <w:divBdr>
        <w:top w:val="none" w:sz="0" w:space="0" w:color="auto"/>
        <w:left w:val="none" w:sz="0" w:space="0" w:color="auto"/>
        <w:bottom w:val="none" w:sz="0" w:space="0" w:color="auto"/>
        <w:right w:val="none" w:sz="0" w:space="0" w:color="auto"/>
      </w:divBdr>
    </w:div>
    <w:div w:id="1340814027">
      <w:bodyDiv w:val="1"/>
      <w:marLeft w:val="0"/>
      <w:marRight w:val="0"/>
      <w:marTop w:val="0"/>
      <w:marBottom w:val="0"/>
      <w:divBdr>
        <w:top w:val="none" w:sz="0" w:space="0" w:color="auto"/>
        <w:left w:val="none" w:sz="0" w:space="0" w:color="auto"/>
        <w:bottom w:val="none" w:sz="0" w:space="0" w:color="auto"/>
        <w:right w:val="none" w:sz="0" w:space="0" w:color="auto"/>
      </w:divBdr>
    </w:div>
    <w:div w:id="1375812605">
      <w:bodyDiv w:val="1"/>
      <w:marLeft w:val="0"/>
      <w:marRight w:val="0"/>
      <w:marTop w:val="0"/>
      <w:marBottom w:val="0"/>
      <w:divBdr>
        <w:top w:val="none" w:sz="0" w:space="0" w:color="auto"/>
        <w:left w:val="none" w:sz="0" w:space="0" w:color="auto"/>
        <w:bottom w:val="none" w:sz="0" w:space="0" w:color="auto"/>
        <w:right w:val="none" w:sz="0" w:space="0" w:color="auto"/>
      </w:divBdr>
    </w:div>
    <w:div w:id="1376467907">
      <w:bodyDiv w:val="1"/>
      <w:marLeft w:val="0"/>
      <w:marRight w:val="0"/>
      <w:marTop w:val="0"/>
      <w:marBottom w:val="0"/>
      <w:divBdr>
        <w:top w:val="none" w:sz="0" w:space="0" w:color="auto"/>
        <w:left w:val="none" w:sz="0" w:space="0" w:color="auto"/>
        <w:bottom w:val="none" w:sz="0" w:space="0" w:color="auto"/>
        <w:right w:val="none" w:sz="0" w:space="0" w:color="auto"/>
      </w:divBdr>
    </w:div>
    <w:div w:id="1423185473">
      <w:bodyDiv w:val="1"/>
      <w:marLeft w:val="0"/>
      <w:marRight w:val="0"/>
      <w:marTop w:val="0"/>
      <w:marBottom w:val="0"/>
      <w:divBdr>
        <w:top w:val="none" w:sz="0" w:space="0" w:color="auto"/>
        <w:left w:val="none" w:sz="0" w:space="0" w:color="auto"/>
        <w:bottom w:val="none" w:sz="0" w:space="0" w:color="auto"/>
        <w:right w:val="none" w:sz="0" w:space="0" w:color="auto"/>
      </w:divBdr>
    </w:div>
    <w:div w:id="1444183192">
      <w:bodyDiv w:val="1"/>
      <w:marLeft w:val="0"/>
      <w:marRight w:val="0"/>
      <w:marTop w:val="0"/>
      <w:marBottom w:val="0"/>
      <w:divBdr>
        <w:top w:val="none" w:sz="0" w:space="0" w:color="auto"/>
        <w:left w:val="none" w:sz="0" w:space="0" w:color="auto"/>
        <w:bottom w:val="none" w:sz="0" w:space="0" w:color="auto"/>
        <w:right w:val="none" w:sz="0" w:space="0" w:color="auto"/>
      </w:divBdr>
    </w:div>
    <w:div w:id="1473446007">
      <w:bodyDiv w:val="1"/>
      <w:marLeft w:val="0"/>
      <w:marRight w:val="0"/>
      <w:marTop w:val="0"/>
      <w:marBottom w:val="0"/>
      <w:divBdr>
        <w:top w:val="none" w:sz="0" w:space="0" w:color="auto"/>
        <w:left w:val="none" w:sz="0" w:space="0" w:color="auto"/>
        <w:bottom w:val="none" w:sz="0" w:space="0" w:color="auto"/>
        <w:right w:val="none" w:sz="0" w:space="0" w:color="auto"/>
      </w:divBdr>
    </w:div>
    <w:div w:id="1474642216">
      <w:bodyDiv w:val="1"/>
      <w:marLeft w:val="0"/>
      <w:marRight w:val="0"/>
      <w:marTop w:val="0"/>
      <w:marBottom w:val="0"/>
      <w:divBdr>
        <w:top w:val="none" w:sz="0" w:space="0" w:color="auto"/>
        <w:left w:val="none" w:sz="0" w:space="0" w:color="auto"/>
        <w:bottom w:val="none" w:sz="0" w:space="0" w:color="auto"/>
        <w:right w:val="none" w:sz="0" w:space="0" w:color="auto"/>
      </w:divBdr>
    </w:div>
    <w:div w:id="1482120342">
      <w:bodyDiv w:val="1"/>
      <w:marLeft w:val="0"/>
      <w:marRight w:val="0"/>
      <w:marTop w:val="0"/>
      <w:marBottom w:val="0"/>
      <w:divBdr>
        <w:top w:val="none" w:sz="0" w:space="0" w:color="auto"/>
        <w:left w:val="none" w:sz="0" w:space="0" w:color="auto"/>
        <w:bottom w:val="none" w:sz="0" w:space="0" w:color="auto"/>
        <w:right w:val="none" w:sz="0" w:space="0" w:color="auto"/>
      </w:divBdr>
    </w:div>
    <w:div w:id="1492482474">
      <w:bodyDiv w:val="1"/>
      <w:marLeft w:val="0"/>
      <w:marRight w:val="0"/>
      <w:marTop w:val="0"/>
      <w:marBottom w:val="0"/>
      <w:divBdr>
        <w:top w:val="none" w:sz="0" w:space="0" w:color="auto"/>
        <w:left w:val="none" w:sz="0" w:space="0" w:color="auto"/>
        <w:bottom w:val="none" w:sz="0" w:space="0" w:color="auto"/>
        <w:right w:val="none" w:sz="0" w:space="0" w:color="auto"/>
      </w:divBdr>
    </w:div>
    <w:div w:id="1502504798">
      <w:bodyDiv w:val="1"/>
      <w:marLeft w:val="0"/>
      <w:marRight w:val="0"/>
      <w:marTop w:val="0"/>
      <w:marBottom w:val="0"/>
      <w:divBdr>
        <w:top w:val="none" w:sz="0" w:space="0" w:color="auto"/>
        <w:left w:val="none" w:sz="0" w:space="0" w:color="auto"/>
        <w:bottom w:val="none" w:sz="0" w:space="0" w:color="auto"/>
        <w:right w:val="none" w:sz="0" w:space="0" w:color="auto"/>
      </w:divBdr>
    </w:div>
    <w:div w:id="1524173353">
      <w:bodyDiv w:val="1"/>
      <w:marLeft w:val="0"/>
      <w:marRight w:val="0"/>
      <w:marTop w:val="0"/>
      <w:marBottom w:val="0"/>
      <w:divBdr>
        <w:top w:val="none" w:sz="0" w:space="0" w:color="auto"/>
        <w:left w:val="none" w:sz="0" w:space="0" w:color="auto"/>
        <w:bottom w:val="none" w:sz="0" w:space="0" w:color="auto"/>
        <w:right w:val="none" w:sz="0" w:space="0" w:color="auto"/>
      </w:divBdr>
    </w:div>
    <w:div w:id="1561482895">
      <w:bodyDiv w:val="1"/>
      <w:marLeft w:val="0"/>
      <w:marRight w:val="0"/>
      <w:marTop w:val="0"/>
      <w:marBottom w:val="0"/>
      <w:divBdr>
        <w:top w:val="none" w:sz="0" w:space="0" w:color="auto"/>
        <w:left w:val="none" w:sz="0" w:space="0" w:color="auto"/>
        <w:bottom w:val="none" w:sz="0" w:space="0" w:color="auto"/>
        <w:right w:val="none" w:sz="0" w:space="0" w:color="auto"/>
      </w:divBdr>
    </w:div>
    <w:div w:id="1569611469">
      <w:bodyDiv w:val="1"/>
      <w:marLeft w:val="0"/>
      <w:marRight w:val="0"/>
      <w:marTop w:val="0"/>
      <w:marBottom w:val="0"/>
      <w:divBdr>
        <w:top w:val="none" w:sz="0" w:space="0" w:color="auto"/>
        <w:left w:val="none" w:sz="0" w:space="0" w:color="auto"/>
        <w:bottom w:val="none" w:sz="0" w:space="0" w:color="auto"/>
        <w:right w:val="none" w:sz="0" w:space="0" w:color="auto"/>
      </w:divBdr>
    </w:div>
    <w:div w:id="1591817391">
      <w:bodyDiv w:val="1"/>
      <w:marLeft w:val="0"/>
      <w:marRight w:val="0"/>
      <w:marTop w:val="0"/>
      <w:marBottom w:val="0"/>
      <w:divBdr>
        <w:top w:val="none" w:sz="0" w:space="0" w:color="auto"/>
        <w:left w:val="none" w:sz="0" w:space="0" w:color="auto"/>
        <w:bottom w:val="none" w:sz="0" w:space="0" w:color="auto"/>
        <w:right w:val="none" w:sz="0" w:space="0" w:color="auto"/>
      </w:divBdr>
    </w:div>
    <w:div w:id="1694263629">
      <w:bodyDiv w:val="1"/>
      <w:marLeft w:val="0"/>
      <w:marRight w:val="0"/>
      <w:marTop w:val="0"/>
      <w:marBottom w:val="0"/>
      <w:divBdr>
        <w:top w:val="none" w:sz="0" w:space="0" w:color="auto"/>
        <w:left w:val="none" w:sz="0" w:space="0" w:color="auto"/>
        <w:bottom w:val="none" w:sz="0" w:space="0" w:color="auto"/>
        <w:right w:val="none" w:sz="0" w:space="0" w:color="auto"/>
      </w:divBdr>
    </w:div>
    <w:div w:id="1723820732">
      <w:bodyDiv w:val="1"/>
      <w:marLeft w:val="0"/>
      <w:marRight w:val="0"/>
      <w:marTop w:val="0"/>
      <w:marBottom w:val="0"/>
      <w:divBdr>
        <w:top w:val="none" w:sz="0" w:space="0" w:color="auto"/>
        <w:left w:val="none" w:sz="0" w:space="0" w:color="auto"/>
        <w:bottom w:val="none" w:sz="0" w:space="0" w:color="auto"/>
        <w:right w:val="none" w:sz="0" w:space="0" w:color="auto"/>
      </w:divBdr>
    </w:div>
    <w:div w:id="1784954271">
      <w:bodyDiv w:val="1"/>
      <w:marLeft w:val="0"/>
      <w:marRight w:val="0"/>
      <w:marTop w:val="0"/>
      <w:marBottom w:val="0"/>
      <w:divBdr>
        <w:top w:val="none" w:sz="0" w:space="0" w:color="auto"/>
        <w:left w:val="none" w:sz="0" w:space="0" w:color="auto"/>
        <w:bottom w:val="none" w:sz="0" w:space="0" w:color="auto"/>
        <w:right w:val="none" w:sz="0" w:space="0" w:color="auto"/>
      </w:divBdr>
    </w:div>
    <w:div w:id="1839423967">
      <w:bodyDiv w:val="1"/>
      <w:marLeft w:val="0"/>
      <w:marRight w:val="0"/>
      <w:marTop w:val="0"/>
      <w:marBottom w:val="0"/>
      <w:divBdr>
        <w:top w:val="none" w:sz="0" w:space="0" w:color="auto"/>
        <w:left w:val="none" w:sz="0" w:space="0" w:color="auto"/>
        <w:bottom w:val="none" w:sz="0" w:space="0" w:color="auto"/>
        <w:right w:val="none" w:sz="0" w:space="0" w:color="auto"/>
      </w:divBdr>
    </w:div>
    <w:div w:id="1892037354">
      <w:bodyDiv w:val="1"/>
      <w:marLeft w:val="0"/>
      <w:marRight w:val="0"/>
      <w:marTop w:val="0"/>
      <w:marBottom w:val="0"/>
      <w:divBdr>
        <w:top w:val="none" w:sz="0" w:space="0" w:color="auto"/>
        <w:left w:val="none" w:sz="0" w:space="0" w:color="auto"/>
        <w:bottom w:val="none" w:sz="0" w:space="0" w:color="auto"/>
        <w:right w:val="none" w:sz="0" w:space="0" w:color="auto"/>
      </w:divBdr>
    </w:div>
    <w:div w:id="1893494109">
      <w:bodyDiv w:val="1"/>
      <w:marLeft w:val="0"/>
      <w:marRight w:val="0"/>
      <w:marTop w:val="0"/>
      <w:marBottom w:val="0"/>
      <w:divBdr>
        <w:top w:val="none" w:sz="0" w:space="0" w:color="auto"/>
        <w:left w:val="none" w:sz="0" w:space="0" w:color="auto"/>
        <w:bottom w:val="none" w:sz="0" w:space="0" w:color="auto"/>
        <w:right w:val="none" w:sz="0" w:space="0" w:color="auto"/>
      </w:divBdr>
    </w:div>
    <w:div w:id="1947535562">
      <w:bodyDiv w:val="1"/>
      <w:marLeft w:val="0"/>
      <w:marRight w:val="0"/>
      <w:marTop w:val="0"/>
      <w:marBottom w:val="0"/>
      <w:divBdr>
        <w:top w:val="none" w:sz="0" w:space="0" w:color="auto"/>
        <w:left w:val="none" w:sz="0" w:space="0" w:color="auto"/>
        <w:bottom w:val="none" w:sz="0" w:space="0" w:color="auto"/>
        <w:right w:val="none" w:sz="0" w:space="0" w:color="auto"/>
      </w:divBdr>
    </w:div>
    <w:div w:id="2001690097">
      <w:bodyDiv w:val="1"/>
      <w:marLeft w:val="0"/>
      <w:marRight w:val="0"/>
      <w:marTop w:val="0"/>
      <w:marBottom w:val="0"/>
      <w:divBdr>
        <w:top w:val="none" w:sz="0" w:space="0" w:color="auto"/>
        <w:left w:val="none" w:sz="0" w:space="0" w:color="auto"/>
        <w:bottom w:val="none" w:sz="0" w:space="0" w:color="auto"/>
        <w:right w:val="none" w:sz="0" w:space="0" w:color="auto"/>
      </w:divBdr>
    </w:div>
    <w:div w:id="2003122489">
      <w:bodyDiv w:val="1"/>
      <w:marLeft w:val="0"/>
      <w:marRight w:val="0"/>
      <w:marTop w:val="0"/>
      <w:marBottom w:val="0"/>
      <w:divBdr>
        <w:top w:val="none" w:sz="0" w:space="0" w:color="auto"/>
        <w:left w:val="none" w:sz="0" w:space="0" w:color="auto"/>
        <w:bottom w:val="none" w:sz="0" w:space="0" w:color="auto"/>
        <w:right w:val="none" w:sz="0" w:space="0" w:color="auto"/>
      </w:divBdr>
    </w:div>
    <w:div w:id="2079982833">
      <w:bodyDiv w:val="1"/>
      <w:marLeft w:val="0"/>
      <w:marRight w:val="0"/>
      <w:marTop w:val="0"/>
      <w:marBottom w:val="0"/>
      <w:divBdr>
        <w:top w:val="none" w:sz="0" w:space="0" w:color="auto"/>
        <w:left w:val="none" w:sz="0" w:space="0" w:color="auto"/>
        <w:bottom w:val="none" w:sz="0" w:space="0" w:color="auto"/>
        <w:right w:val="none" w:sz="0" w:space="0" w:color="auto"/>
      </w:divBdr>
    </w:div>
    <w:div w:id="2086802729">
      <w:bodyDiv w:val="1"/>
      <w:marLeft w:val="0"/>
      <w:marRight w:val="0"/>
      <w:marTop w:val="0"/>
      <w:marBottom w:val="0"/>
      <w:divBdr>
        <w:top w:val="none" w:sz="0" w:space="0" w:color="auto"/>
        <w:left w:val="none" w:sz="0" w:space="0" w:color="auto"/>
        <w:bottom w:val="none" w:sz="0" w:space="0" w:color="auto"/>
        <w:right w:val="none" w:sz="0" w:space="0" w:color="auto"/>
      </w:divBdr>
    </w:div>
    <w:div w:id="2135639831">
      <w:bodyDiv w:val="1"/>
      <w:marLeft w:val="0"/>
      <w:marRight w:val="0"/>
      <w:marTop w:val="0"/>
      <w:marBottom w:val="0"/>
      <w:divBdr>
        <w:top w:val="none" w:sz="0" w:space="0" w:color="auto"/>
        <w:left w:val="none" w:sz="0" w:space="0" w:color="auto"/>
        <w:bottom w:val="none" w:sz="0" w:space="0" w:color="auto"/>
        <w:right w:val="none" w:sz="0" w:space="0" w:color="auto"/>
      </w:divBdr>
    </w:div>
    <w:div w:id="213903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oas.org/owa/redir.aspx?C=1626c0f529734340b5c4838e168f08a2&amp;URL=https%3a%2f%2fwww.paho.org%2fhq%2fdmdocuments%2f2015%2fObesity-Plan-Of-Action-Child-Spa-2015.pdf"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unesco.org/themes/educacion-superior/reconocimiento-cualificaciones/convenio-mundi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esalc.unesco.org/2019/11/08/por-que-es-necesario-un-convenio-regional-de-reconocimiento-en-educacion-superior/"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oui-iohe.org/es/emovie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F3B299-22E2-4238-8FA3-4B2F4C57E08D}">
  <ds:schemaRefs>
    <ds:schemaRef ds:uri="http://schemas.openxmlformats.org/officeDocument/2006/bibliography"/>
  </ds:schemaRefs>
</ds:datastoreItem>
</file>

<file path=customXml/itemProps2.xml><?xml version="1.0" encoding="utf-8"?>
<ds:datastoreItem xmlns:ds="http://schemas.openxmlformats.org/officeDocument/2006/customXml" ds:itemID="{EBD7BB86-12AF-4D77-9474-17D5BA2ECCD1}"/>
</file>

<file path=customXml/itemProps3.xml><?xml version="1.0" encoding="utf-8"?>
<ds:datastoreItem xmlns:ds="http://schemas.openxmlformats.org/officeDocument/2006/customXml" ds:itemID="{F300FB41-67F8-4BB2-A228-78D6539EF503}"/>
</file>

<file path=customXml/itemProps4.xml><?xml version="1.0" encoding="utf-8"?>
<ds:datastoreItem xmlns:ds="http://schemas.openxmlformats.org/officeDocument/2006/customXml" ds:itemID="{A0A6278F-7DC6-4D5F-A1AB-7CE77294C0C9}"/>
</file>

<file path=docProps/app.xml><?xml version="1.0" encoding="utf-8"?>
<Properties xmlns="http://schemas.openxmlformats.org/officeDocument/2006/extended-properties" xmlns:vt="http://schemas.openxmlformats.org/officeDocument/2006/docPropsVTypes">
  <Template>04 01 13 DOC02_04 Draft Agenda</Template>
  <TotalTime>0</TotalTime>
  <Pages>13</Pages>
  <Words>5032</Words>
  <Characters>28687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33652</CharactersWithSpaces>
  <SharedDoc>false</SharedDoc>
  <HLinks>
    <vt:vector size="48" baseType="variant">
      <vt:variant>
        <vt:i4>1835085</vt:i4>
      </vt:variant>
      <vt:variant>
        <vt:i4>21</vt:i4>
      </vt:variant>
      <vt:variant>
        <vt:i4>0</vt:i4>
      </vt:variant>
      <vt:variant>
        <vt:i4>5</vt:i4>
      </vt:variant>
      <vt:variant>
        <vt:lpwstr>http://scm.oas.org/IDMS/Redirectpage.aspx?class=cidi/doc.&amp;classNum=283&amp;lang=p</vt:lpwstr>
      </vt:variant>
      <vt:variant>
        <vt:lpwstr/>
      </vt:variant>
      <vt:variant>
        <vt:i4>1835085</vt:i4>
      </vt:variant>
      <vt:variant>
        <vt:i4>18</vt:i4>
      </vt:variant>
      <vt:variant>
        <vt:i4>0</vt:i4>
      </vt:variant>
      <vt:variant>
        <vt:i4>5</vt:i4>
      </vt:variant>
      <vt:variant>
        <vt:lpwstr>http://scm.oas.org/IDMS/Redirectpage.aspx?class=cidi/doc.&amp;classNum=283&amp;lang=f</vt:lpwstr>
      </vt:variant>
      <vt:variant>
        <vt:lpwstr/>
      </vt:variant>
      <vt:variant>
        <vt:i4>1835085</vt:i4>
      </vt:variant>
      <vt:variant>
        <vt:i4>15</vt:i4>
      </vt:variant>
      <vt:variant>
        <vt:i4>0</vt:i4>
      </vt:variant>
      <vt:variant>
        <vt:i4>5</vt:i4>
      </vt:variant>
      <vt:variant>
        <vt:lpwstr>http://scm.oas.org/IDMS/Redirectpage.aspx?class=cidi/doc.&amp;classNum=283&amp;lang=s</vt:lpwstr>
      </vt:variant>
      <vt:variant>
        <vt:lpwstr/>
      </vt:variant>
      <vt:variant>
        <vt:i4>1835085</vt:i4>
      </vt:variant>
      <vt:variant>
        <vt:i4>12</vt:i4>
      </vt:variant>
      <vt:variant>
        <vt:i4>0</vt:i4>
      </vt:variant>
      <vt:variant>
        <vt:i4>5</vt:i4>
      </vt:variant>
      <vt:variant>
        <vt:lpwstr>http://scm.oas.org/IDMS/Redirectpage.aspx?class=cidi/doc.&amp;classNum=283&amp;lang=e</vt:lpwstr>
      </vt:variant>
      <vt:variant>
        <vt:lpwstr/>
      </vt:variant>
      <vt:variant>
        <vt:i4>1376321</vt:i4>
      </vt:variant>
      <vt:variant>
        <vt:i4>9</vt:i4>
      </vt:variant>
      <vt:variant>
        <vt:i4>0</vt:i4>
      </vt:variant>
      <vt:variant>
        <vt:i4>5</vt:i4>
      </vt:variant>
      <vt:variant>
        <vt:lpwstr>http://scm.oas.org/IDMS/Redirectpage.aspx?class=CIDI/INF.&amp;classNum=353&amp;lang=p</vt:lpwstr>
      </vt:variant>
      <vt:variant>
        <vt:lpwstr/>
      </vt:variant>
      <vt:variant>
        <vt:i4>1376321</vt:i4>
      </vt:variant>
      <vt:variant>
        <vt:i4>6</vt:i4>
      </vt:variant>
      <vt:variant>
        <vt:i4>0</vt:i4>
      </vt:variant>
      <vt:variant>
        <vt:i4>5</vt:i4>
      </vt:variant>
      <vt:variant>
        <vt:lpwstr>http://scm.oas.org/IDMS/Redirectpage.aspx?class=CIDI/INF.&amp;classNum=353&amp;lang=f</vt:lpwstr>
      </vt:variant>
      <vt:variant>
        <vt:lpwstr/>
      </vt:variant>
      <vt:variant>
        <vt:i4>1376321</vt:i4>
      </vt:variant>
      <vt:variant>
        <vt:i4>3</vt:i4>
      </vt:variant>
      <vt:variant>
        <vt:i4>0</vt:i4>
      </vt:variant>
      <vt:variant>
        <vt:i4>5</vt:i4>
      </vt:variant>
      <vt:variant>
        <vt:lpwstr>http://scm.oas.org/IDMS/Redirectpage.aspx?class=CIDI/INF.&amp;classNum=353&amp;lang=s</vt:lpwstr>
      </vt:variant>
      <vt:variant>
        <vt:lpwstr/>
      </vt:variant>
      <vt:variant>
        <vt:i4>1376321</vt:i4>
      </vt:variant>
      <vt:variant>
        <vt:i4>0</vt:i4>
      </vt:variant>
      <vt:variant>
        <vt:i4>0</vt:i4>
      </vt:variant>
      <vt:variant>
        <vt:i4>5</vt:i4>
      </vt:variant>
      <vt:variant>
        <vt:lpwstr>http://scm.oas.org/IDMS/Redirectpage.aspx?class=CIDI/INF.&amp;classNum=353&amp;lang=e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creator>DCT</dc:creator>
  <cp:lastModifiedBy>Diaz - Avalos,  Estela</cp:lastModifiedBy>
  <cp:revision>3</cp:revision>
  <cp:lastPrinted>2019-11-08T19:10:00Z</cp:lastPrinted>
  <dcterms:created xsi:type="dcterms:W3CDTF">2020-07-17T21:33:00Z</dcterms:created>
  <dcterms:modified xsi:type="dcterms:W3CDTF">2020-07-17T21:34:00Z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