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3C2C" w14:textId="5617FC81" w:rsidR="00DA2D06" w:rsidRPr="000768B2" w:rsidRDefault="005B25F5" w:rsidP="00BF7CDF">
      <w:pPr>
        <w:tabs>
          <w:tab w:val="left" w:pos="6750"/>
        </w:tabs>
        <w:ind w:right="-1080"/>
        <w:rPr>
          <w:sz w:val="22"/>
          <w:szCs w:val="22"/>
          <w:lang w:val="fr-FR"/>
        </w:rPr>
      </w:pPr>
      <w:r w:rsidRPr="000768B2">
        <w:rPr>
          <w:b/>
          <w:sz w:val="22"/>
          <w:szCs w:val="22"/>
          <w:lang w:val="fr-FR"/>
        </w:rPr>
        <w:t>NEUVIÈME RÉUNION ORDINAIRE</w:t>
      </w:r>
      <w:r w:rsidR="00D73AD6" w:rsidRPr="000768B2">
        <w:rPr>
          <w:b/>
          <w:sz w:val="22"/>
          <w:szCs w:val="22"/>
          <w:lang w:val="fr-FR"/>
        </w:rPr>
        <w:t xml:space="preserve"> DE LA </w:t>
      </w:r>
      <w:r w:rsidR="00DA2D06" w:rsidRPr="000768B2">
        <w:rPr>
          <w:bCs/>
          <w:sz w:val="22"/>
          <w:szCs w:val="22"/>
          <w:lang w:val="fr-FR"/>
        </w:rPr>
        <w:tab/>
      </w:r>
      <w:r w:rsidR="00ED5F33" w:rsidRPr="000768B2">
        <w:rPr>
          <w:bCs/>
          <w:sz w:val="22"/>
          <w:szCs w:val="22"/>
          <w:lang w:val="fr-FR"/>
        </w:rPr>
        <w:tab/>
      </w:r>
      <w:bookmarkStart w:id="0" w:name="_Hlk84433870"/>
      <w:r w:rsidR="00DA2D06" w:rsidRPr="000768B2">
        <w:rPr>
          <w:sz w:val="22"/>
          <w:szCs w:val="22"/>
          <w:lang w:val="fr-FR"/>
        </w:rPr>
        <w:t>OEA/Ser.</w:t>
      </w:r>
      <w:r w:rsidR="00D73AD6" w:rsidRPr="000768B2">
        <w:rPr>
          <w:sz w:val="22"/>
          <w:szCs w:val="22"/>
          <w:lang w:val="fr-FR"/>
        </w:rPr>
        <w:t>W</w:t>
      </w:r>
      <w:r w:rsidR="00DA2D06" w:rsidRPr="000768B2">
        <w:rPr>
          <w:sz w:val="22"/>
          <w:szCs w:val="22"/>
          <w:lang w:val="fr-FR"/>
        </w:rPr>
        <w:t>/</w:t>
      </w:r>
      <w:r w:rsidR="00D73AD6" w:rsidRPr="000768B2">
        <w:rPr>
          <w:sz w:val="22"/>
          <w:szCs w:val="22"/>
          <w:lang w:val="fr-FR"/>
        </w:rPr>
        <w:t>XIII.6.9</w:t>
      </w:r>
    </w:p>
    <w:bookmarkEnd w:id="0"/>
    <w:p w14:paraId="3F33489D" w14:textId="0EDE50A6" w:rsidR="00554FD0" w:rsidRPr="000768B2" w:rsidRDefault="005B25F5" w:rsidP="00BF7CDF">
      <w:pPr>
        <w:tabs>
          <w:tab w:val="left" w:pos="6750"/>
        </w:tabs>
        <w:ind w:right="-1080"/>
        <w:rPr>
          <w:sz w:val="22"/>
          <w:szCs w:val="22"/>
          <w:lang w:val="fr-FR"/>
        </w:rPr>
      </w:pPr>
      <w:r w:rsidRPr="000768B2">
        <w:rPr>
          <w:b/>
          <w:sz w:val="22"/>
          <w:szCs w:val="22"/>
          <w:lang w:val="fr-FR"/>
        </w:rPr>
        <w:t>COMMISSION INTERAMÉRICAINE DE L’ÉDUCATION</w:t>
      </w:r>
      <w:r w:rsidR="00554FD0" w:rsidRPr="000768B2">
        <w:rPr>
          <w:b/>
          <w:sz w:val="22"/>
          <w:szCs w:val="22"/>
          <w:lang w:val="fr-FR"/>
        </w:rPr>
        <w:tab/>
      </w:r>
      <w:r w:rsidR="00554FD0" w:rsidRPr="000768B2">
        <w:rPr>
          <w:b/>
          <w:sz w:val="22"/>
          <w:szCs w:val="22"/>
          <w:lang w:val="fr-FR"/>
        </w:rPr>
        <w:tab/>
      </w:r>
      <w:r w:rsidR="00554FD0" w:rsidRPr="000768B2">
        <w:rPr>
          <w:sz w:val="22"/>
          <w:szCs w:val="22"/>
          <w:lang w:val="fr-FR"/>
        </w:rPr>
        <w:t>CIDI/</w:t>
      </w:r>
      <w:r w:rsidR="00D73AD6" w:rsidRPr="000768B2">
        <w:rPr>
          <w:sz w:val="22"/>
          <w:szCs w:val="22"/>
          <w:lang w:val="fr-FR"/>
        </w:rPr>
        <w:t>CIE</w:t>
      </w:r>
      <w:r w:rsidR="00554FD0" w:rsidRPr="000768B2">
        <w:rPr>
          <w:sz w:val="22"/>
          <w:szCs w:val="22"/>
          <w:lang w:val="fr-FR"/>
        </w:rPr>
        <w:t>/</w:t>
      </w:r>
      <w:r w:rsidR="00D73AD6" w:rsidRPr="000768B2">
        <w:rPr>
          <w:sz w:val="22"/>
          <w:szCs w:val="22"/>
          <w:lang w:val="fr-FR"/>
        </w:rPr>
        <w:t>doc.</w:t>
      </w:r>
      <w:r w:rsidR="00FB783C">
        <w:rPr>
          <w:sz w:val="22"/>
          <w:szCs w:val="22"/>
          <w:lang w:val="fr-FR"/>
        </w:rPr>
        <w:t xml:space="preserve"> </w:t>
      </w:r>
      <w:r w:rsidR="00635E2D" w:rsidRPr="000768B2">
        <w:rPr>
          <w:sz w:val="22"/>
          <w:szCs w:val="22"/>
          <w:lang w:val="fr-FR"/>
        </w:rPr>
        <w:t>1</w:t>
      </w:r>
      <w:r w:rsidR="00D73AD6" w:rsidRPr="000768B2">
        <w:rPr>
          <w:sz w:val="22"/>
          <w:szCs w:val="22"/>
          <w:lang w:val="fr-FR"/>
        </w:rPr>
        <w:t>/21</w:t>
      </w:r>
      <w:r w:rsidR="00FB783C">
        <w:rPr>
          <w:sz w:val="22"/>
          <w:szCs w:val="22"/>
          <w:lang w:val="fr-FR"/>
        </w:rPr>
        <w:t xml:space="preserve"> rev.1</w:t>
      </w:r>
    </w:p>
    <w:p w14:paraId="26C0EE42" w14:textId="0EDBC642" w:rsidR="00687AFB" w:rsidRPr="000768B2" w:rsidRDefault="005B25F5" w:rsidP="00BF7CDF">
      <w:pPr>
        <w:tabs>
          <w:tab w:val="left" w:pos="6750"/>
        </w:tabs>
        <w:ind w:right="-270"/>
        <w:rPr>
          <w:bCs/>
          <w:sz w:val="22"/>
          <w:szCs w:val="22"/>
          <w:lang w:val="fr-FR"/>
        </w:rPr>
      </w:pPr>
      <w:r w:rsidRPr="000768B2">
        <w:rPr>
          <w:sz w:val="22"/>
          <w:szCs w:val="22"/>
          <w:lang w:val="fr-FR"/>
        </w:rPr>
        <w:t xml:space="preserve">Du 18 au 19 novembre </w:t>
      </w:r>
      <w:r w:rsidR="00ED5F33" w:rsidRPr="000768B2">
        <w:rPr>
          <w:sz w:val="22"/>
          <w:szCs w:val="22"/>
          <w:lang w:val="fr-FR"/>
        </w:rPr>
        <w:t>20</w:t>
      </w:r>
      <w:r w:rsidR="00D73AD6" w:rsidRPr="000768B2">
        <w:rPr>
          <w:sz w:val="22"/>
          <w:szCs w:val="22"/>
          <w:lang w:val="fr-FR"/>
        </w:rPr>
        <w:t>21</w:t>
      </w:r>
      <w:r w:rsidR="00DA2D06" w:rsidRPr="000768B2">
        <w:rPr>
          <w:bCs/>
          <w:sz w:val="22"/>
          <w:szCs w:val="22"/>
          <w:lang w:val="fr-FR"/>
        </w:rPr>
        <w:tab/>
      </w:r>
      <w:r w:rsidR="00ED5F33" w:rsidRPr="000768B2">
        <w:rPr>
          <w:bCs/>
          <w:sz w:val="22"/>
          <w:szCs w:val="22"/>
          <w:lang w:val="fr-FR"/>
        </w:rPr>
        <w:tab/>
      </w:r>
      <w:r w:rsidR="00FB783C">
        <w:rPr>
          <w:bCs/>
          <w:sz w:val="22"/>
          <w:szCs w:val="22"/>
          <w:lang w:val="fr-FR"/>
        </w:rPr>
        <w:t>18 novembre</w:t>
      </w:r>
      <w:r w:rsidR="00D73AD6" w:rsidRPr="000768B2">
        <w:rPr>
          <w:bCs/>
          <w:sz w:val="22"/>
          <w:szCs w:val="22"/>
          <w:lang w:val="fr-FR"/>
        </w:rPr>
        <w:t xml:space="preserve"> 2021</w:t>
      </w:r>
    </w:p>
    <w:p w14:paraId="2D7586B4" w14:textId="3D4A538D" w:rsidR="00D73AD6" w:rsidRPr="000768B2" w:rsidRDefault="00D73AD6" w:rsidP="00BF7CDF">
      <w:pPr>
        <w:tabs>
          <w:tab w:val="left" w:pos="6750"/>
        </w:tabs>
        <w:ind w:right="-270"/>
        <w:rPr>
          <w:sz w:val="22"/>
          <w:szCs w:val="22"/>
          <w:lang w:val="fr-FR"/>
        </w:rPr>
      </w:pPr>
      <w:r w:rsidRPr="000768B2">
        <w:rPr>
          <w:color w:val="000000"/>
          <w:sz w:val="22"/>
          <w:szCs w:val="22"/>
          <w:lang w:val="fr-FR"/>
        </w:rPr>
        <w:t xml:space="preserve">Washington, D.C., </w:t>
      </w:r>
      <w:r w:rsidR="005B25F5" w:rsidRPr="000768B2">
        <w:rPr>
          <w:color w:val="000000"/>
          <w:sz w:val="22"/>
          <w:szCs w:val="22"/>
          <w:lang w:val="fr-FR"/>
        </w:rPr>
        <w:t>États-Unis d’Amérique</w:t>
      </w:r>
      <w:r w:rsidRPr="000768B2">
        <w:rPr>
          <w:sz w:val="22"/>
          <w:szCs w:val="22"/>
          <w:lang w:val="fr-FR"/>
        </w:rPr>
        <w:tab/>
      </w:r>
      <w:r w:rsidRPr="000768B2">
        <w:rPr>
          <w:sz w:val="22"/>
          <w:szCs w:val="22"/>
          <w:lang w:val="fr-FR"/>
        </w:rPr>
        <w:tab/>
        <w:t>Original</w:t>
      </w:r>
      <w:r w:rsidR="005B25F5" w:rsidRPr="000768B2">
        <w:rPr>
          <w:sz w:val="22"/>
          <w:szCs w:val="22"/>
          <w:lang w:val="fr-FR"/>
        </w:rPr>
        <w:t> </w:t>
      </w:r>
      <w:r w:rsidRPr="000768B2">
        <w:rPr>
          <w:sz w:val="22"/>
          <w:szCs w:val="22"/>
          <w:lang w:val="fr-FR"/>
        </w:rPr>
        <w:t>: espa</w:t>
      </w:r>
      <w:r w:rsidR="005B25F5" w:rsidRPr="000768B2">
        <w:rPr>
          <w:sz w:val="22"/>
          <w:szCs w:val="22"/>
          <w:lang w:val="fr-FR"/>
        </w:rPr>
        <w:t>gn</w:t>
      </w:r>
      <w:r w:rsidRPr="000768B2">
        <w:rPr>
          <w:sz w:val="22"/>
          <w:szCs w:val="22"/>
          <w:lang w:val="fr-FR"/>
        </w:rPr>
        <w:t>ol</w:t>
      </w:r>
    </w:p>
    <w:p w14:paraId="66300A1E" w14:textId="77777777" w:rsidR="005B25F5" w:rsidRPr="000768B2" w:rsidRDefault="005B25F5" w:rsidP="005B25F5">
      <w:pPr>
        <w:pBdr>
          <w:bottom w:val="single" w:sz="12" w:space="1" w:color="auto"/>
        </w:pBdr>
        <w:tabs>
          <w:tab w:val="left" w:pos="6840"/>
        </w:tabs>
        <w:ind w:right="-29"/>
        <w:rPr>
          <w:sz w:val="22"/>
          <w:szCs w:val="22"/>
          <w:lang w:val="fr-FR"/>
        </w:rPr>
      </w:pPr>
      <w:r w:rsidRPr="000768B2">
        <w:rPr>
          <w:sz w:val="22"/>
          <w:szCs w:val="22"/>
          <w:lang w:val="fr-FR"/>
        </w:rPr>
        <w:t>RÉUNION VIRTUELLE</w:t>
      </w:r>
    </w:p>
    <w:p w14:paraId="0B19A8EF" w14:textId="77777777" w:rsidR="00635E2D" w:rsidRPr="000768B2" w:rsidRDefault="00635E2D" w:rsidP="00BF7CDF">
      <w:pPr>
        <w:pBdr>
          <w:bottom w:val="single" w:sz="12" w:space="1" w:color="auto"/>
        </w:pBdr>
        <w:tabs>
          <w:tab w:val="left" w:pos="6840"/>
        </w:tabs>
        <w:ind w:right="-29"/>
        <w:rPr>
          <w:sz w:val="22"/>
          <w:szCs w:val="22"/>
          <w:lang w:val="fr-FR"/>
        </w:rPr>
      </w:pPr>
    </w:p>
    <w:p w14:paraId="4E5065EB" w14:textId="77777777" w:rsidR="00D73AD6" w:rsidRPr="000768B2" w:rsidRDefault="00D73AD6" w:rsidP="000768B2">
      <w:pPr>
        <w:jc w:val="center"/>
        <w:rPr>
          <w:sz w:val="22"/>
          <w:szCs w:val="22"/>
          <w:lang w:val="fr-FR"/>
        </w:rPr>
      </w:pPr>
    </w:p>
    <w:p w14:paraId="0597C4F2" w14:textId="77777777" w:rsidR="00D73AD6" w:rsidRPr="000768B2" w:rsidRDefault="00D73AD6" w:rsidP="000768B2">
      <w:pPr>
        <w:jc w:val="center"/>
        <w:rPr>
          <w:sz w:val="22"/>
          <w:szCs w:val="22"/>
          <w:lang w:val="fr-FR"/>
        </w:rPr>
      </w:pPr>
    </w:p>
    <w:p w14:paraId="542E1CD1" w14:textId="3E97C516" w:rsidR="005838B7" w:rsidRPr="000768B2" w:rsidRDefault="005B25F5" w:rsidP="000768B2">
      <w:pPr>
        <w:jc w:val="center"/>
        <w:rPr>
          <w:b/>
          <w:bCs/>
          <w:sz w:val="22"/>
          <w:szCs w:val="22"/>
          <w:lang w:val="fr-FR"/>
        </w:rPr>
      </w:pPr>
      <w:r w:rsidRPr="000768B2">
        <w:rPr>
          <w:b/>
          <w:bCs/>
          <w:sz w:val="22"/>
          <w:szCs w:val="22"/>
          <w:lang w:val="fr-FR"/>
        </w:rPr>
        <w:t xml:space="preserve">ORDRE DU JOUR </w:t>
      </w:r>
      <w:r w:rsidR="005838B7" w:rsidRPr="000768B2">
        <w:rPr>
          <w:b/>
          <w:bCs/>
          <w:sz w:val="22"/>
          <w:szCs w:val="22"/>
          <w:lang w:val="fr-FR"/>
        </w:rPr>
        <w:t>AN</w:t>
      </w:r>
      <w:r w:rsidRPr="000768B2">
        <w:rPr>
          <w:b/>
          <w:bCs/>
          <w:sz w:val="22"/>
          <w:szCs w:val="22"/>
          <w:lang w:val="fr-FR"/>
        </w:rPr>
        <w:t>NOTÉ</w:t>
      </w:r>
    </w:p>
    <w:p w14:paraId="6DF67560" w14:textId="77777777" w:rsidR="005838B7" w:rsidRPr="000768B2" w:rsidRDefault="005838B7" w:rsidP="000768B2">
      <w:pPr>
        <w:jc w:val="center"/>
        <w:rPr>
          <w:b/>
          <w:bCs/>
          <w:color w:val="212121"/>
          <w:sz w:val="22"/>
          <w:szCs w:val="22"/>
          <w:shd w:val="clear" w:color="auto" w:fill="FFFFFF"/>
          <w:lang w:val="fr-FR"/>
        </w:rPr>
      </w:pPr>
    </w:p>
    <w:p w14:paraId="3E3BE4C3" w14:textId="77777777" w:rsidR="005B25F5" w:rsidRPr="000768B2" w:rsidRDefault="005B25F5" w:rsidP="000768B2">
      <w:pPr>
        <w:jc w:val="center"/>
        <w:rPr>
          <w:b/>
          <w:bCs/>
          <w:sz w:val="22"/>
          <w:szCs w:val="22"/>
          <w:lang w:val="fr-FR"/>
        </w:rPr>
      </w:pPr>
      <w:r w:rsidRPr="000768B2">
        <w:rPr>
          <w:b/>
          <w:bCs/>
          <w:sz w:val="22"/>
          <w:szCs w:val="22"/>
          <w:lang w:val="fr-FR"/>
        </w:rPr>
        <w:t>« Vers l’élaboration d’un nouveau Pacte éducatif continental dans les contextes de changement »</w:t>
      </w:r>
    </w:p>
    <w:p w14:paraId="186FBDD8" w14:textId="77777777" w:rsidR="005838B7" w:rsidRPr="000768B2" w:rsidRDefault="005838B7" w:rsidP="000768B2">
      <w:pPr>
        <w:jc w:val="both"/>
        <w:rPr>
          <w:sz w:val="22"/>
          <w:szCs w:val="22"/>
          <w:lang w:val="fr-FR"/>
        </w:rPr>
      </w:pPr>
    </w:p>
    <w:p w14:paraId="11D2D972" w14:textId="77777777" w:rsidR="005838B7" w:rsidRPr="000768B2" w:rsidRDefault="005838B7" w:rsidP="000768B2">
      <w:pPr>
        <w:jc w:val="both"/>
        <w:rPr>
          <w:sz w:val="22"/>
          <w:szCs w:val="22"/>
          <w:lang w:val="fr-FR"/>
        </w:rPr>
      </w:pPr>
    </w:p>
    <w:p w14:paraId="60EC92F3" w14:textId="2473C0F8" w:rsidR="005838B7" w:rsidRPr="000768B2" w:rsidRDefault="008271ED" w:rsidP="000768B2">
      <w:pPr>
        <w:numPr>
          <w:ilvl w:val="0"/>
          <w:numId w:val="15"/>
        </w:numPr>
        <w:ind w:hanging="720"/>
        <w:contextualSpacing/>
        <w:jc w:val="both"/>
        <w:rPr>
          <w:rFonts w:eastAsia="Malgun Gothic"/>
          <w:b/>
          <w:sz w:val="22"/>
          <w:szCs w:val="22"/>
          <w:lang w:val="fr-FR"/>
        </w:rPr>
      </w:pPr>
      <w:r w:rsidRPr="000768B2">
        <w:rPr>
          <w:rFonts w:eastAsia="Malgun Gothic"/>
          <w:b/>
          <w:sz w:val="22"/>
          <w:szCs w:val="22"/>
          <w:lang w:val="fr-FR"/>
        </w:rPr>
        <w:t>CONTEXTE</w:t>
      </w:r>
    </w:p>
    <w:p w14:paraId="6ECE5861" w14:textId="77777777" w:rsidR="005838B7" w:rsidRPr="000768B2" w:rsidRDefault="005838B7" w:rsidP="000768B2">
      <w:pPr>
        <w:contextualSpacing/>
        <w:jc w:val="both"/>
        <w:rPr>
          <w:rFonts w:eastAsia="Malgun Gothic"/>
          <w:bCs/>
          <w:sz w:val="22"/>
          <w:szCs w:val="22"/>
          <w:lang w:val="fr-FR"/>
        </w:rPr>
      </w:pPr>
    </w:p>
    <w:p w14:paraId="7D2174D9" w14:textId="6DEBC23D" w:rsidR="005838B7" w:rsidRPr="000768B2" w:rsidRDefault="00C02F99" w:rsidP="000768B2">
      <w:pPr>
        <w:ind w:firstLine="720"/>
        <w:jc w:val="both"/>
        <w:rPr>
          <w:sz w:val="22"/>
          <w:szCs w:val="22"/>
          <w:lang w:val="fr-FR"/>
        </w:rPr>
      </w:pPr>
      <w:r w:rsidRPr="000768B2">
        <w:rPr>
          <w:sz w:val="22"/>
          <w:szCs w:val="22"/>
          <w:lang w:val="fr-FR"/>
        </w:rPr>
        <w:t>Lors des</w:t>
      </w:r>
      <w:r w:rsidR="00322B3B" w:rsidRPr="000768B2">
        <w:rPr>
          <w:sz w:val="22"/>
          <w:szCs w:val="22"/>
          <w:lang w:val="fr-FR"/>
        </w:rPr>
        <w:t xml:space="preserve"> différent</w:t>
      </w:r>
      <w:r w:rsidRPr="000768B2">
        <w:rPr>
          <w:sz w:val="22"/>
          <w:szCs w:val="22"/>
          <w:lang w:val="fr-FR"/>
        </w:rPr>
        <w:t>s dialogues sur les politiques publiques et les</w:t>
      </w:r>
      <w:r w:rsidR="00322B3B" w:rsidRPr="000768B2">
        <w:rPr>
          <w:sz w:val="22"/>
          <w:szCs w:val="22"/>
          <w:lang w:val="fr-FR"/>
        </w:rPr>
        <w:t xml:space="preserve"> actions programmatiques élaborées dans le cadre des activités du Plan de travail </w:t>
      </w:r>
      <w:r w:rsidR="005838B7" w:rsidRPr="000768B2">
        <w:rPr>
          <w:sz w:val="22"/>
          <w:szCs w:val="22"/>
          <w:lang w:val="fr-FR"/>
        </w:rPr>
        <w:t>2019-2022 de la Com</w:t>
      </w:r>
      <w:r w:rsidR="00322B3B" w:rsidRPr="000768B2">
        <w:rPr>
          <w:sz w:val="22"/>
          <w:szCs w:val="22"/>
          <w:lang w:val="fr-FR"/>
        </w:rPr>
        <w:t>m</w:t>
      </w:r>
      <w:r w:rsidR="005838B7" w:rsidRPr="000768B2">
        <w:rPr>
          <w:sz w:val="22"/>
          <w:szCs w:val="22"/>
          <w:lang w:val="fr-FR"/>
        </w:rPr>
        <w:t>is</w:t>
      </w:r>
      <w:r w:rsidR="00322B3B" w:rsidRPr="000768B2">
        <w:rPr>
          <w:sz w:val="22"/>
          <w:szCs w:val="22"/>
          <w:lang w:val="fr-FR"/>
        </w:rPr>
        <w:t>s</w:t>
      </w:r>
      <w:r w:rsidR="005838B7" w:rsidRPr="000768B2">
        <w:rPr>
          <w:sz w:val="22"/>
          <w:szCs w:val="22"/>
          <w:lang w:val="fr-FR"/>
        </w:rPr>
        <w:t>i</w:t>
      </w:r>
      <w:r w:rsidR="00322B3B" w:rsidRPr="000768B2">
        <w:rPr>
          <w:sz w:val="22"/>
          <w:szCs w:val="22"/>
          <w:lang w:val="fr-FR"/>
        </w:rPr>
        <w:t>o</w:t>
      </w:r>
      <w:r w:rsidR="005838B7" w:rsidRPr="000768B2">
        <w:rPr>
          <w:sz w:val="22"/>
          <w:szCs w:val="22"/>
          <w:lang w:val="fr-FR"/>
        </w:rPr>
        <w:t xml:space="preserve">n </w:t>
      </w:r>
      <w:r w:rsidR="00322B3B" w:rsidRPr="000768B2">
        <w:rPr>
          <w:sz w:val="22"/>
          <w:szCs w:val="22"/>
          <w:lang w:val="fr-FR"/>
        </w:rPr>
        <w:t>i</w:t>
      </w:r>
      <w:r w:rsidR="005838B7" w:rsidRPr="000768B2">
        <w:rPr>
          <w:sz w:val="22"/>
          <w:szCs w:val="22"/>
          <w:lang w:val="fr-FR"/>
        </w:rPr>
        <w:t>nteram</w:t>
      </w:r>
      <w:r w:rsidR="00322B3B" w:rsidRPr="000768B2">
        <w:rPr>
          <w:sz w:val="22"/>
          <w:szCs w:val="22"/>
          <w:lang w:val="fr-FR"/>
        </w:rPr>
        <w:t>é</w:t>
      </w:r>
      <w:r w:rsidR="005838B7" w:rsidRPr="000768B2">
        <w:rPr>
          <w:sz w:val="22"/>
          <w:szCs w:val="22"/>
          <w:lang w:val="fr-FR"/>
        </w:rPr>
        <w:t>rica</w:t>
      </w:r>
      <w:r w:rsidR="00322B3B" w:rsidRPr="000768B2">
        <w:rPr>
          <w:sz w:val="22"/>
          <w:szCs w:val="22"/>
          <w:lang w:val="fr-FR"/>
        </w:rPr>
        <w:t>ine</w:t>
      </w:r>
      <w:r w:rsidR="005838B7" w:rsidRPr="000768B2">
        <w:rPr>
          <w:sz w:val="22"/>
          <w:szCs w:val="22"/>
          <w:lang w:val="fr-FR"/>
        </w:rPr>
        <w:t xml:space="preserve"> de </w:t>
      </w:r>
      <w:r w:rsidR="00322B3B" w:rsidRPr="000768B2">
        <w:rPr>
          <w:sz w:val="22"/>
          <w:szCs w:val="22"/>
          <w:lang w:val="fr-FR"/>
        </w:rPr>
        <w:t>l’É</w:t>
      </w:r>
      <w:r w:rsidR="005838B7" w:rsidRPr="000768B2">
        <w:rPr>
          <w:sz w:val="22"/>
          <w:szCs w:val="22"/>
          <w:lang w:val="fr-FR"/>
        </w:rPr>
        <w:t>duca</w:t>
      </w:r>
      <w:r w:rsidR="00322B3B" w:rsidRPr="000768B2">
        <w:rPr>
          <w:sz w:val="22"/>
          <w:szCs w:val="22"/>
          <w:lang w:val="fr-FR"/>
        </w:rPr>
        <w:t>t</w:t>
      </w:r>
      <w:r w:rsidR="005838B7" w:rsidRPr="000768B2">
        <w:rPr>
          <w:sz w:val="22"/>
          <w:szCs w:val="22"/>
          <w:lang w:val="fr-FR"/>
        </w:rPr>
        <w:t>i</w:t>
      </w:r>
      <w:r w:rsidR="00322B3B" w:rsidRPr="000768B2">
        <w:rPr>
          <w:sz w:val="22"/>
          <w:szCs w:val="22"/>
          <w:lang w:val="fr-FR"/>
        </w:rPr>
        <w:t>o</w:t>
      </w:r>
      <w:r w:rsidR="005838B7" w:rsidRPr="000768B2">
        <w:rPr>
          <w:sz w:val="22"/>
          <w:szCs w:val="22"/>
          <w:lang w:val="fr-FR"/>
        </w:rPr>
        <w:t xml:space="preserve">n (CIE) </w:t>
      </w:r>
      <w:r w:rsidR="00322B3B" w:rsidRPr="000768B2">
        <w:rPr>
          <w:sz w:val="22"/>
          <w:szCs w:val="22"/>
          <w:lang w:val="fr-FR"/>
        </w:rPr>
        <w:t xml:space="preserve">et dans un contexte de crise sanitaire mondiale qui s’est traduit par la fermeture massive des établissements d’enseignement, les </w:t>
      </w:r>
      <w:r w:rsidR="00337D92" w:rsidRPr="000768B2">
        <w:rPr>
          <w:sz w:val="22"/>
          <w:szCs w:val="22"/>
          <w:lang w:val="fr-FR"/>
        </w:rPr>
        <w:t>autorités éducatives ont exprimé leur engagement à garantir le droit à l’éducation</w:t>
      </w:r>
      <w:r w:rsidR="006F4C96" w:rsidRPr="000768B2">
        <w:rPr>
          <w:sz w:val="22"/>
          <w:szCs w:val="22"/>
          <w:lang w:val="fr-FR"/>
        </w:rPr>
        <w:t xml:space="preserve">, </w:t>
      </w:r>
      <w:r w:rsidR="002D6A37" w:rsidRPr="000768B2">
        <w:rPr>
          <w:sz w:val="22"/>
          <w:szCs w:val="22"/>
          <w:lang w:val="fr-FR"/>
        </w:rPr>
        <w:t xml:space="preserve">qui constitue en tant que tel </w:t>
      </w:r>
      <w:r w:rsidR="006F4C96" w:rsidRPr="000768B2">
        <w:rPr>
          <w:sz w:val="22"/>
          <w:szCs w:val="22"/>
          <w:lang w:val="fr-FR"/>
        </w:rPr>
        <w:t>un engagement incon</w:t>
      </w:r>
      <w:r w:rsidR="0000072A" w:rsidRPr="000768B2">
        <w:rPr>
          <w:sz w:val="22"/>
          <w:szCs w:val="22"/>
          <w:lang w:val="fr-FR"/>
        </w:rPr>
        <w:t>t</w:t>
      </w:r>
      <w:r w:rsidR="006F4C96" w:rsidRPr="000768B2">
        <w:rPr>
          <w:sz w:val="22"/>
          <w:szCs w:val="22"/>
          <w:lang w:val="fr-FR"/>
        </w:rPr>
        <w:t>ourn</w:t>
      </w:r>
      <w:r w:rsidR="0000072A" w:rsidRPr="000768B2">
        <w:rPr>
          <w:sz w:val="22"/>
          <w:szCs w:val="22"/>
          <w:lang w:val="fr-FR"/>
        </w:rPr>
        <w:t>able de l’</w:t>
      </w:r>
      <w:r w:rsidR="006F4C96" w:rsidRPr="000768B2">
        <w:rPr>
          <w:sz w:val="22"/>
          <w:szCs w:val="22"/>
          <w:lang w:val="fr-FR"/>
        </w:rPr>
        <w:t>État</w:t>
      </w:r>
      <w:r w:rsidR="005838B7" w:rsidRPr="000768B2">
        <w:rPr>
          <w:sz w:val="22"/>
          <w:szCs w:val="22"/>
          <w:lang w:val="fr-FR"/>
        </w:rPr>
        <w:t>.</w:t>
      </w:r>
    </w:p>
    <w:p w14:paraId="078CB387" w14:textId="77777777" w:rsidR="005838B7" w:rsidRPr="000768B2" w:rsidRDefault="005838B7" w:rsidP="000768B2">
      <w:pPr>
        <w:jc w:val="both"/>
        <w:rPr>
          <w:sz w:val="22"/>
          <w:szCs w:val="22"/>
          <w:lang w:val="fr-FR"/>
        </w:rPr>
      </w:pPr>
    </w:p>
    <w:p w14:paraId="3BCFFDE9" w14:textId="1305B79F" w:rsidR="005838B7" w:rsidRPr="000768B2" w:rsidRDefault="00337D92" w:rsidP="000768B2">
      <w:pPr>
        <w:ind w:firstLine="720"/>
        <w:jc w:val="both"/>
        <w:rPr>
          <w:sz w:val="22"/>
          <w:szCs w:val="22"/>
          <w:lang w:val="fr-FR"/>
        </w:rPr>
      </w:pPr>
      <w:r w:rsidRPr="000768B2">
        <w:rPr>
          <w:sz w:val="22"/>
          <w:szCs w:val="22"/>
          <w:lang w:val="fr-FR"/>
        </w:rPr>
        <w:t>Dans ce contexte</w:t>
      </w:r>
      <w:r w:rsidR="005838B7" w:rsidRPr="000768B2">
        <w:rPr>
          <w:sz w:val="22"/>
          <w:szCs w:val="22"/>
          <w:lang w:val="fr-FR"/>
        </w:rPr>
        <w:t xml:space="preserve">, </w:t>
      </w:r>
      <w:r w:rsidRPr="000768B2">
        <w:rPr>
          <w:sz w:val="22"/>
          <w:szCs w:val="22"/>
          <w:lang w:val="fr-FR"/>
        </w:rPr>
        <w:t xml:space="preserve">par le biais </w:t>
      </w:r>
      <w:r w:rsidR="005838B7" w:rsidRPr="000768B2">
        <w:rPr>
          <w:sz w:val="22"/>
          <w:szCs w:val="22"/>
          <w:lang w:val="fr-FR"/>
        </w:rPr>
        <w:t>de la CIE</w:t>
      </w:r>
      <w:r w:rsidRPr="000768B2">
        <w:rPr>
          <w:sz w:val="22"/>
          <w:szCs w:val="22"/>
          <w:lang w:val="fr-FR"/>
        </w:rPr>
        <w:t>, les ministres de l’Éducation ont concentré leur travail sur l’élaboration d’un cadre d’action qui permette d’assurer la continuité</w:t>
      </w:r>
      <w:r w:rsidR="00503F11" w:rsidRPr="000768B2">
        <w:rPr>
          <w:sz w:val="22"/>
          <w:szCs w:val="22"/>
          <w:lang w:val="fr-FR"/>
        </w:rPr>
        <w:t xml:space="preserve"> de l’éducation aux différents degrés du système éducatif, en promouvant l’attention accordée aux personnes les plus touchées par les circonstances actuelles. Pour ce faire, ils se sont appuyés sur une stratégie fondée sur l’analyse et la réalité des actions lancées par les gouvernements de la région, en intégrant de multiples perspectives pour progresser dans </w:t>
      </w:r>
      <w:r w:rsidR="00255853" w:rsidRPr="000768B2">
        <w:rPr>
          <w:sz w:val="22"/>
          <w:szCs w:val="22"/>
          <w:lang w:val="fr-FR"/>
        </w:rPr>
        <w:t>l’établissement</w:t>
      </w:r>
      <w:r w:rsidR="00503F11" w:rsidRPr="000768B2">
        <w:rPr>
          <w:sz w:val="22"/>
          <w:szCs w:val="22"/>
          <w:lang w:val="fr-FR"/>
        </w:rPr>
        <w:t xml:space="preserve"> de consensus </w:t>
      </w:r>
      <w:r w:rsidR="00325D49" w:rsidRPr="000768B2">
        <w:rPr>
          <w:sz w:val="22"/>
          <w:szCs w:val="22"/>
          <w:lang w:val="fr-FR"/>
        </w:rPr>
        <w:t>continent</w:t>
      </w:r>
      <w:r w:rsidR="004A0260" w:rsidRPr="000768B2">
        <w:rPr>
          <w:sz w:val="22"/>
          <w:szCs w:val="22"/>
          <w:lang w:val="fr-FR"/>
        </w:rPr>
        <w:t>aux</w:t>
      </w:r>
      <w:r w:rsidR="00325D49" w:rsidRPr="000768B2">
        <w:rPr>
          <w:sz w:val="22"/>
          <w:szCs w:val="22"/>
          <w:lang w:val="fr-FR"/>
        </w:rPr>
        <w:t xml:space="preserve"> </w:t>
      </w:r>
      <w:r w:rsidR="00503F11" w:rsidRPr="000768B2">
        <w:rPr>
          <w:sz w:val="22"/>
          <w:szCs w:val="22"/>
          <w:lang w:val="fr-FR"/>
        </w:rPr>
        <w:t xml:space="preserve">qui encouragent la collaboration régionale, </w:t>
      </w:r>
      <w:r w:rsidR="00325D49" w:rsidRPr="000768B2">
        <w:rPr>
          <w:sz w:val="22"/>
          <w:szCs w:val="22"/>
          <w:lang w:val="fr-FR"/>
        </w:rPr>
        <w:t xml:space="preserve">et ce, </w:t>
      </w:r>
      <w:r w:rsidR="00503F11" w:rsidRPr="000768B2">
        <w:rPr>
          <w:sz w:val="22"/>
          <w:szCs w:val="22"/>
          <w:lang w:val="fr-FR"/>
        </w:rPr>
        <w:t xml:space="preserve">vers </w:t>
      </w:r>
      <w:r w:rsidR="00325D49" w:rsidRPr="000768B2">
        <w:rPr>
          <w:sz w:val="22"/>
          <w:szCs w:val="22"/>
          <w:lang w:val="fr-FR"/>
        </w:rPr>
        <w:t>l’élaboration d’un nouveau Pacte éducatif continental d</w:t>
      </w:r>
      <w:r w:rsidR="004A0260" w:rsidRPr="000768B2">
        <w:rPr>
          <w:sz w:val="22"/>
          <w:szCs w:val="22"/>
          <w:lang w:val="fr-FR"/>
        </w:rPr>
        <w:t xml:space="preserve">ans des contextes de changement </w:t>
      </w:r>
      <w:r w:rsidR="00325D49" w:rsidRPr="000768B2">
        <w:rPr>
          <w:sz w:val="22"/>
          <w:szCs w:val="22"/>
          <w:lang w:val="fr-FR"/>
        </w:rPr>
        <w:t>capable de repenser et de réinventer l’avenir des systèmes éducatifs afin de garantir leur équité et leur résilience</w:t>
      </w:r>
      <w:r w:rsidR="004A0260" w:rsidRPr="000768B2">
        <w:rPr>
          <w:sz w:val="22"/>
          <w:szCs w:val="22"/>
          <w:lang w:val="fr-FR"/>
        </w:rPr>
        <w:t>.</w:t>
      </w:r>
    </w:p>
    <w:p w14:paraId="5A68D70D" w14:textId="77777777" w:rsidR="005838B7" w:rsidRPr="000768B2" w:rsidRDefault="005838B7" w:rsidP="000768B2">
      <w:pPr>
        <w:contextualSpacing/>
        <w:jc w:val="both"/>
        <w:rPr>
          <w:bCs/>
          <w:sz w:val="22"/>
          <w:szCs w:val="22"/>
          <w:lang w:val="fr-FR"/>
        </w:rPr>
      </w:pPr>
    </w:p>
    <w:p w14:paraId="030F05E9" w14:textId="22511D80" w:rsidR="005838B7" w:rsidRPr="000768B2" w:rsidRDefault="005838B7" w:rsidP="000768B2">
      <w:pPr>
        <w:numPr>
          <w:ilvl w:val="0"/>
          <w:numId w:val="15"/>
        </w:numPr>
        <w:ind w:hanging="720"/>
        <w:contextualSpacing/>
        <w:jc w:val="both"/>
        <w:rPr>
          <w:b/>
          <w:sz w:val="22"/>
          <w:szCs w:val="22"/>
          <w:lang w:val="fr-FR"/>
        </w:rPr>
      </w:pPr>
      <w:r w:rsidRPr="000768B2">
        <w:rPr>
          <w:b/>
          <w:sz w:val="22"/>
          <w:szCs w:val="22"/>
          <w:lang w:val="fr-FR"/>
        </w:rPr>
        <w:t>T</w:t>
      </w:r>
      <w:r w:rsidR="008271ED" w:rsidRPr="000768B2">
        <w:rPr>
          <w:b/>
          <w:sz w:val="22"/>
          <w:szCs w:val="22"/>
          <w:lang w:val="fr-FR"/>
        </w:rPr>
        <w:t>HÈ</w:t>
      </w:r>
      <w:r w:rsidRPr="000768B2">
        <w:rPr>
          <w:b/>
          <w:sz w:val="22"/>
          <w:szCs w:val="22"/>
          <w:lang w:val="fr-FR"/>
        </w:rPr>
        <w:t>M</w:t>
      </w:r>
      <w:r w:rsidR="008271ED" w:rsidRPr="000768B2">
        <w:rPr>
          <w:b/>
          <w:sz w:val="22"/>
          <w:szCs w:val="22"/>
          <w:lang w:val="fr-FR"/>
        </w:rPr>
        <w:t>ES PROPO</w:t>
      </w:r>
      <w:r w:rsidRPr="000768B2">
        <w:rPr>
          <w:b/>
          <w:sz w:val="22"/>
          <w:szCs w:val="22"/>
          <w:lang w:val="fr-FR"/>
        </w:rPr>
        <w:t>S</w:t>
      </w:r>
      <w:r w:rsidR="008271ED" w:rsidRPr="000768B2">
        <w:rPr>
          <w:b/>
          <w:sz w:val="22"/>
          <w:szCs w:val="22"/>
          <w:lang w:val="fr-FR"/>
        </w:rPr>
        <w:t>É</w:t>
      </w:r>
      <w:r w:rsidRPr="000768B2">
        <w:rPr>
          <w:b/>
          <w:sz w:val="22"/>
          <w:szCs w:val="22"/>
          <w:lang w:val="fr-FR"/>
        </w:rPr>
        <w:t>S</w:t>
      </w:r>
    </w:p>
    <w:p w14:paraId="72627C9B" w14:textId="77777777" w:rsidR="005838B7" w:rsidRPr="000768B2" w:rsidRDefault="005838B7" w:rsidP="000768B2">
      <w:pPr>
        <w:jc w:val="both"/>
        <w:rPr>
          <w:sz w:val="22"/>
          <w:szCs w:val="22"/>
          <w:lang w:val="fr-FR"/>
        </w:rPr>
      </w:pPr>
    </w:p>
    <w:p w14:paraId="475332A8" w14:textId="1BFFAE98" w:rsidR="005838B7" w:rsidRPr="000768B2" w:rsidRDefault="008271ED" w:rsidP="000768B2">
      <w:pPr>
        <w:numPr>
          <w:ilvl w:val="0"/>
          <w:numId w:val="13"/>
        </w:numPr>
        <w:ind w:left="0" w:firstLine="720"/>
        <w:contextualSpacing/>
        <w:jc w:val="both"/>
        <w:rPr>
          <w:rFonts w:eastAsia="Malgun Gothic"/>
          <w:sz w:val="22"/>
          <w:szCs w:val="22"/>
          <w:lang w:val="fr-FR" w:eastAsia="ko-KR"/>
        </w:rPr>
      </w:pPr>
      <w:r w:rsidRPr="000768B2">
        <w:rPr>
          <w:rFonts w:eastAsia="Malgun Gothic"/>
          <w:b/>
          <w:bCs/>
          <w:sz w:val="22"/>
          <w:szCs w:val="22"/>
          <w:lang w:val="fr-FR" w:eastAsia="ko-KR"/>
        </w:rPr>
        <w:t>Approbation du projet d’ordre du jour</w:t>
      </w:r>
      <w:r w:rsidR="005838B7" w:rsidRPr="000768B2">
        <w:rPr>
          <w:rFonts w:eastAsia="Malgun Gothic"/>
          <w:b/>
          <w:bCs/>
          <w:sz w:val="22"/>
          <w:szCs w:val="22"/>
          <w:lang w:val="fr-FR" w:eastAsia="ko-KR"/>
        </w:rPr>
        <w:t xml:space="preserve"> de la r</w:t>
      </w:r>
      <w:r w:rsidR="00342CEC" w:rsidRPr="000768B2">
        <w:rPr>
          <w:rFonts w:eastAsia="Malgun Gothic"/>
          <w:b/>
          <w:bCs/>
          <w:sz w:val="22"/>
          <w:szCs w:val="22"/>
          <w:lang w:val="fr-FR" w:eastAsia="ko-KR"/>
        </w:rPr>
        <w:t>é</w:t>
      </w:r>
      <w:r w:rsidR="005838B7" w:rsidRPr="000768B2">
        <w:rPr>
          <w:rFonts w:eastAsia="Malgun Gothic"/>
          <w:b/>
          <w:bCs/>
          <w:sz w:val="22"/>
          <w:szCs w:val="22"/>
          <w:lang w:val="fr-FR" w:eastAsia="ko-KR"/>
        </w:rPr>
        <w:t>uni</w:t>
      </w:r>
      <w:r w:rsidR="00342CEC" w:rsidRPr="000768B2">
        <w:rPr>
          <w:rFonts w:eastAsia="Malgun Gothic"/>
          <w:b/>
          <w:bCs/>
          <w:sz w:val="22"/>
          <w:szCs w:val="22"/>
          <w:lang w:val="fr-FR" w:eastAsia="ko-KR"/>
        </w:rPr>
        <w:t>o</w:t>
      </w:r>
      <w:r w:rsidR="005838B7" w:rsidRPr="000768B2">
        <w:rPr>
          <w:rFonts w:eastAsia="Malgun Gothic"/>
          <w:b/>
          <w:bCs/>
          <w:sz w:val="22"/>
          <w:szCs w:val="22"/>
          <w:lang w:val="fr-FR" w:eastAsia="ko-KR"/>
        </w:rPr>
        <w:t>n</w:t>
      </w:r>
      <w:r w:rsidR="005838B7" w:rsidRPr="000768B2">
        <w:rPr>
          <w:rFonts w:eastAsia="Malgun Gothic"/>
          <w:sz w:val="22"/>
          <w:szCs w:val="22"/>
          <w:lang w:val="fr-FR" w:eastAsia="ko-KR"/>
        </w:rPr>
        <w:t xml:space="preserve"> </w:t>
      </w:r>
      <w:r w:rsidR="009A7153" w:rsidRPr="000768B2">
        <w:rPr>
          <w:rFonts w:eastAsia="Malgun Gothic"/>
          <w:sz w:val="22"/>
          <w:szCs w:val="22"/>
          <w:lang w:val="fr-FR" w:eastAsia="ko-KR"/>
        </w:rPr>
        <w:t>conformément à l’article </w:t>
      </w:r>
      <w:r w:rsidR="005838B7" w:rsidRPr="000768B2">
        <w:rPr>
          <w:rFonts w:eastAsia="Malgun Gothic"/>
          <w:sz w:val="22"/>
          <w:szCs w:val="22"/>
          <w:lang w:val="fr-FR" w:eastAsia="ko-KR"/>
        </w:rPr>
        <w:t>24 d</w:t>
      </w:r>
      <w:r w:rsidR="002D6A37" w:rsidRPr="000768B2">
        <w:rPr>
          <w:rFonts w:eastAsia="Malgun Gothic"/>
          <w:sz w:val="22"/>
          <w:szCs w:val="22"/>
          <w:lang w:val="fr-FR" w:eastAsia="ko-KR"/>
        </w:rPr>
        <w:t xml:space="preserve">u Règlement </w:t>
      </w:r>
      <w:r w:rsidR="00B84C67" w:rsidRPr="000768B2">
        <w:rPr>
          <w:rFonts w:eastAsia="Malgun Gothic"/>
          <w:sz w:val="22"/>
          <w:szCs w:val="22"/>
          <w:lang w:val="fr-FR" w:eastAsia="ko-KR"/>
        </w:rPr>
        <w:t>de</w:t>
      </w:r>
      <w:r w:rsidR="005838B7" w:rsidRPr="000768B2">
        <w:rPr>
          <w:rFonts w:eastAsia="Malgun Gothic"/>
          <w:sz w:val="22"/>
          <w:szCs w:val="22"/>
          <w:lang w:val="fr-FR" w:eastAsia="ko-KR"/>
        </w:rPr>
        <w:t>s Com</w:t>
      </w:r>
      <w:r w:rsidR="00B84C67" w:rsidRPr="000768B2">
        <w:rPr>
          <w:rFonts w:eastAsia="Malgun Gothic"/>
          <w:sz w:val="22"/>
          <w:szCs w:val="22"/>
          <w:lang w:val="fr-FR" w:eastAsia="ko-KR"/>
        </w:rPr>
        <w:t>m</w:t>
      </w:r>
      <w:r w:rsidR="005838B7" w:rsidRPr="000768B2">
        <w:rPr>
          <w:rFonts w:eastAsia="Malgun Gothic"/>
          <w:sz w:val="22"/>
          <w:szCs w:val="22"/>
          <w:lang w:val="fr-FR" w:eastAsia="ko-KR"/>
        </w:rPr>
        <w:t>i</w:t>
      </w:r>
      <w:r w:rsidR="00B84C67" w:rsidRPr="000768B2">
        <w:rPr>
          <w:rFonts w:eastAsia="Malgun Gothic"/>
          <w:sz w:val="22"/>
          <w:szCs w:val="22"/>
          <w:lang w:val="fr-FR" w:eastAsia="ko-KR"/>
        </w:rPr>
        <w:t>ssion</w:t>
      </w:r>
      <w:r w:rsidR="005838B7" w:rsidRPr="000768B2">
        <w:rPr>
          <w:rFonts w:eastAsia="Malgun Gothic"/>
          <w:sz w:val="22"/>
          <w:szCs w:val="22"/>
          <w:lang w:val="fr-FR" w:eastAsia="ko-KR"/>
        </w:rPr>
        <w:t xml:space="preserve">s </w:t>
      </w:r>
      <w:r w:rsidR="00B84C67" w:rsidRPr="000768B2">
        <w:rPr>
          <w:rFonts w:eastAsia="Malgun Gothic"/>
          <w:sz w:val="22"/>
          <w:szCs w:val="22"/>
          <w:lang w:val="fr-FR" w:eastAsia="ko-KR"/>
        </w:rPr>
        <w:t>i</w:t>
      </w:r>
      <w:r w:rsidR="005838B7" w:rsidRPr="000768B2">
        <w:rPr>
          <w:rFonts w:eastAsia="Malgun Gothic"/>
          <w:sz w:val="22"/>
          <w:szCs w:val="22"/>
          <w:lang w:val="fr-FR" w:eastAsia="ko-KR"/>
        </w:rPr>
        <w:t>nteram</w:t>
      </w:r>
      <w:r w:rsidR="00B84C67" w:rsidRPr="000768B2">
        <w:rPr>
          <w:rFonts w:eastAsia="Malgun Gothic"/>
          <w:sz w:val="22"/>
          <w:szCs w:val="22"/>
          <w:lang w:val="fr-FR" w:eastAsia="ko-KR"/>
        </w:rPr>
        <w:t>é</w:t>
      </w:r>
      <w:r w:rsidR="005838B7" w:rsidRPr="000768B2">
        <w:rPr>
          <w:rFonts w:eastAsia="Malgun Gothic"/>
          <w:sz w:val="22"/>
          <w:szCs w:val="22"/>
          <w:lang w:val="fr-FR" w:eastAsia="ko-KR"/>
        </w:rPr>
        <w:t>rica</w:t>
      </w:r>
      <w:r w:rsidR="00B84C67" w:rsidRPr="000768B2">
        <w:rPr>
          <w:rFonts w:eastAsia="Malgun Gothic"/>
          <w:sz w:val="22"/>
          <w:szCs w:val="22"/>
          <w:lang w:val="fr-FR" w:eastAsia="ko-KR"/>
        </w:rPr>
        <w:t>i</w:t>
      </w:r>
      <w:r w:rsidR="005838B7" w:rsidRPr="000768B2">
        <w:rPr>
          <w:rFonts w:eastAsia="Malgun Gothic"/>
          <w:sz w:val="22"/>
          <w:szCs w:val="22"/>
          <w:lang w:val="fr-FR" w:eastAsia="ko-KR"/>
        </w:rPr>
        <w:t>n</w:t>
      </w:r>
      <w:r w:rsidR="00B84C67" w:rsidRPr="000768B2">
        <w:rPr>
          <w:rFonts w:eastAsia="Malgun Gothic"/>
          <w:sz w:val="22"/>
          <w:szCs w:val="22"/>
          <w:lang w:val="fr-FR" w:eastAsia="ko-KR"/>
        </w:rPr>
        <w:t>e</w:t>
      </w:r>
      <w:r w:rsidR="005838B7" w:rsidRPr="000768B2">
        <w:rPr>
          <w:rFonts w:eastAsia="Malgun Gothic"/>
          <w:sz w:val="22"/>
          <w:szCs w:val="22"/>
          <w:lang w:val="fr-FR" w:eastAsia="ko-KR"/>
        </w:rPr>
        <w:t>s d</w:t>
      </w:r>
      <w:r w:rsidR="00B84C67" w:rsidRPr="000768B2">
        <w:rPr>
          <w:rFonts w:eastAsia="Malgun Gothic"/>
          <w:sz w:val="22"/>
          <w:szCs w:val="22"/>
          <w:lang w:val="fr-FR" w:eastAsia="ko-KR"/>
        </w:rPr>
        <w:t>u</w:t>
      </w:r>
      <w:r w:rsidR="005838B7" w:rsidRPr="000768B2">
        <w:rPr>
          <w:rFonts w:eastAsia="Malgun Gothic"/>
          <w:sz w:val="22"/>
          <w:szCs w:val="22"/>
          <w:lang w:val="fr-FR" w:eastAsia="ko-KR"/>
        </w:rPr>
        <w:t xml:space="preserve"> Conse</w:t>
      </w:r>
      <w:r w:rsidR="00B84C67" w:rsidRPr="000768B2">
        <w:rPr>
          <w:rFonts w:eastAsia="Malgun Gothic"/>
          <w:sz w:val="22"/>
          <w:szCs w:val="22"/>
          <w:lang w:val="fr-FR" w:eastAsia="ko-KR"/>
        </w:rPr>
        <w:t>il</w:t>
      </w:r>
      <w:r w:rsidR="005838B7" w:rsidRPr="000768B2">
        <w:rPr>
          <w:rFonts w:eastAsia="Malgun Gothic"/>
          <w:sz w:val="22"/>
          <w:szCs w:val="22"/>
          <w:lang w:val="fr-FR" w:eastAsia="ko-KR"/>
        </w:rPr>
        <w:t xml:space="preserve"> </w:t>
      </w:r>
      <w:r w:rsidR="00B84C67" w:rsidRPr="000768B2">
        <w:rPr>
          <w:rFonts w:eastAsia="Malgun Gothic"/>
          <w:sz w:val="22"/>
          <w:szCs w:val="22"/>
          <w:lang w:val="fr-FR" w:eastAsia="ko-KR"/>
        </w:rPr>
        <w:t>i</w:t>
      </w:r>
      <w:r w:rsidR="005838B7" w:rsidRPr="000768B2">
        <w:rPr>
          <w:rFonts w:eastAsia="Malgun Gothic"/>
          <w:sz w:val="22"/>
          <w:szCs w:val="22"/>
          <w:lang w:val="fr-FR" w:eastAsia="ko-KR"/>
        </w:rPr>
        <w:t>nteram</w:t>
      </w:r>
      <w:r w:rsidR="00B84C67" w:rsidRPr="000768B2">
        <w:rPr>
          <w:rFonts w:eastAsia="Malgun Gothic"/>
          <w:sz w:val="22"/>
          <w:szCs w:val="22"/>
          <w:lang w:val="fr-FR" w:eastAsia="ko-KR"/>
        </w:rPr>
        <w:t>é</w:t>
      </w:r>
      <w:r w:rsidR="005838B7" w:rsidRPr="000768B2">
        <w:rPr>
          <w:rFonts w:eastAsia="Malgun Gothic"/>
          <w:sz w:val="22"/>
          <w:szCs w:val="22"/>
          <w:lang w:val="fr-FR" w:eastAsia="ko-KR"/>
        </w:rPr>
        <w:t>rica</w:t>
      </w:r>
      <w:r w:rsidR="00B84C67" w:rsidRPr="000768B2">
        <w:rPr>
          <w:rFonts w:eastAsia="Malgun Gothic"/>
          <w:sz w:val="22"/>
          <w:szCs w:val="22"/>
          <w:lang w:val="fr-FR" w:eastAsia="ko-KR"/>
        </w:rPr>
        <w:t>in pour le développement intégré</w:t>
      </w:r>
      <w:r w:rsidR="005838B7" w:rsidRPr="000768B2">
        <w:rPr>
          <w:rFonts w:eastAsia="Malgun Gothic"/>
          <w:sz w:val="22"/>
          <w:szCs w:val="22"/>
          <w:lang w:val="fr-FR" w:eastAsia="ko-KR"/>
        </w:rPr>
        <w:t>.</w:t>
      </w:r>
    </w:p>
    <w:p w14:paraId="5DCB3A9C" w14:textId="77777777" w:rsidR="005838B7" w:rsidRPr="000768B2" w:rsidRDefault="005838B7" w:rsidP="000768B2">
      <w:pPr>
        <w:jc w:val="both"/>
        <w:rPr>
          <w:rFonts w:eastAsia="Malgun Gothic"/>
          <w:sz w:val="22"/>
          <w:szCs w:val="22"/>
          <w:lang w:val="fr-FR" w:eastAsia="ko-KR"/>
        </w:rPr>
      </w:pPr>
    </w:p>
    <w:p w14:paraId="58945BDF" w14:textId="01D4E742" w:rsidR="005838B7" w:rsidRPr="000768B2" w:rsidRDefault="005838B7" w:rsidP="000768B2">
      <w:pPr>
        <w:numPr>
          <w:ilvl w:val="0"/>
          <w:numId w:val="13"/>
        </w:numPr>
        <w:ind w:left="0" w:firstLine="720"/>
        <w:contextualSpacing/>
        <w:jc w:val="both"/>
        <w:rPr>
          <w:rFonts w:eastAsia="Malgun Gothic"/>
          <w:b/>
          <w:sz w:val="22"/>
          <w:szCs w:val="22"/>
          <w:lang w:val="fr-FR" w:eastAsia="ko-KR"/>
        </w:rPr>
      </w:pPr>
      <w:r w:rsidRPr="000768B2">
        <w:rPr>
          <w:rFonts w:eastAsia="Malgun Gothic"/>
          <w:b/>
          <w:bCs/>
          <w:sz w:val="22"/>
          <w:szCs w:val="22"/>
          <w:lang w:val="fr-FR" w:eastAsia="ko-KR"/>
        </w:rPr>
        <w:t>A</w:t>
      </w:r>
      <w:r w:rsidR="00A06031" w:rsidRPr="000768B2">
        <w:rPr>
          <w:b/>
          <w:bCs/>
          <w:sz w:val="22"/>
          <w:szCs w:val="22"/>
          <w:lang w:val="fr-FR"/>
        </w:rPr>
        <w:t>pprobation du projet de calendrier</w:t>
      </w:r>
      <w:r w:rsidRPr="000768B2">
        <w:rPr>
          <w:rFonts w:eastAsia="Malgun Gothic"/>
          <w:sz w:val="22"/>
          <w:szCs w:val="22"/>
          <w:lang w:val="fr-FR" w:eastAsia="ko-KR"/>
        </w:rPr>
        <w:t xml:space="preserve">. </w:t>
      </w:r>
    </w:p>
    <w:p w14:paraId="4E9554C0" w14:textId="77777777" w:rsidR="005838B7" w:rsidRPr="000768B2" w:rsidRDefault="005838B7" w:rsidP="000768B2">
      <w:pPr>
        <w:jc w:val="both"/>
        <w:rPr>
          <w:rFonts w:eastAsia="Malgun Gothic"/>
          <w:sz w:val="22"/>
          <w:szCs w:val="22"/>
          <w:lang w:val="fr-FR" w:eastAsia="ko-KR"/>
        </w:rPr>
      </w:pPr>
    </w:p>
    <w:p w14:paraId="51E12251" w14:textId="35753309" w:rsidR="005838B7" w:rsidRPr="000768B2" w:rsidRDefault="005838B7" w:rsidP="000768B2">
      <w:pPr>
        <w:numPr>
          <w:ilvl w:val="0"/>
          <w:numId w:val="13"/>
        </w:numPr>
        <w:ind w:left="1440" w:hanging="720"/>
        <w:contextualSpacing/>
        <w:jc w:val="both"/>
        <w:rPr>
          <w:rFonts w:eastAsia="Malgun Gothic"/>
          <w:b/>
          <w:sz w:val="22"/>
          <w:szCs w:val="22"/>
          <w:lang w:val="fr-FR" w:eastAsia="ko-KR"/>
        </w:rPr>
      </w:pPr>
      <w:r w:rsidRPr="000768B2">
        <w:rPr>
          <w:b/>
          <w:sz w:val="22"/>
          <w:szCs w:val="22"/>
          <w:lang w:val="fr-FR"/>
        </w:rPr>
        <w:t>R</w:t>
      </w:r>
      <w:r w:rsidR="00A06031" w:rsidRPr="000768B2">
        <w:rPr>
          <w:b/>
          <w:bCs/>
          <w:sz w:val="22"/>
          <w:szCs w:val="22"/>
          <w:lang w:val="fr-FR"/>
        </w:rPr>
        <w:t>apport sur l’état d’avancement de la mise en œuvre des mandats de la X</w:t>
      </w:r>
      <w:r w:rsidR="00A06031" w:rsidRPr="000768B2">
        <w:rPr>
          <w:b/>
          <w:bCs/>
          <w:sz w:val="22"/>
          <w:szCs w:val="22"/>
          <w:vertAlign w:val="superscript"/>
          <w:lang w:val="fr-FR"/>
        </w:rPr>
        <w:t>e</w:t>
      </w:r>
      <w:r w:rsidR="003D7436" w:rsidRPr="000768B2">
        <w:rPr>
          <w:b/>
          <w:bCs/>
          <w:sz w:val="22"/>
          <w:szCs w:val="22"/>
          <w:lang w:val="fr-FR"/>
        </w:rPr>
        <w:t> </w:t>
      </w:r>
      <w:r w:rsidR="00A06031" w:rsidRPr="000768B2">
        <w:rPr>
          <w:b/>
          <w:bCs/>
          <w:sz w:val="22"/>
          <w:szCs w:val="22"/>
          <w:lang w:val="fr-FR"/>
        </w:rPr>
        <w:t>Réunion interaméricaine des ministres de l’Éducation</w:t>
      </w:r>
      <w:r w:rsidRPr="000768B2">
        <w:rPr>
          <w:sz w:val="22"/>
          <w:szCs w:val="22"/>
          <w:lang w:val="fr-FR"/>
        </w:rPr>
        <w:t>.</w:t>
      </w:r>
    </w:p>
    <w:p w14:paraId="44EE4BBA" w14:textId="77777777" w:rsidR="005838B7" w:rsidRPr="000768B2" w:rsidRDefault="005838B7" w:rsidP="000768B2">
      <w:pPr>
        <w:jc w:val="both"/>
        <w:rPr>
          <w:rFonts w:eastAsia="Malgun Gothic"/>
          <w:sz w:val="22"/>
          <w:szCs w:val="22"/>
          <w:lang w:val="fr-FR" w:eastAsia="ko-KR"/>
        </w:rPr>
      </w:pPr>
    </w:p>
    <w:p w14:paraId="04DBF14C" w14:textId="180FEEFE" w:rsidR="005838B7" w:rsidRPr="000768B2" w:rsidRDefault="005C1779" w:rsidP="000768B2">
      <w:pPr>
        <w:ind w:firstLine="720"/>
        <w:contextualSpacing/>
        <w:jc w:val="both"/>
        <w:rPr>
          <w:rFonts w:eastAsia="Malgun Gothic"/>
          <w:sz w:val="22"/>
          <w:szCs w:val="22"/>
          <w:lang w:val="fr-FR"/>
        </w:rPr>
      </w:pPr>
      <w:r w:rsidRPr="000768B2">
        <w:rPr>
          <w:rFonts w:eastAsia="Malgun Gothic"/>
          <w:sz w:val="22"/>
          <w:szCs w:val="22"/>
          <w:lang w:val="fr-FR" w:eastAsia="ko-KR"/>
        </w:rPr>
        <w:t>Conformément à</w:t>
      </w:r>
      <w:r w:rsidRPr="000768B2">
        <w:rPr>
          <w:rFonts w:eastAsia="Malgun Gothic"/>
          <w:sz w:val="22"/>
          <w:szCs w:val="22"/>
          <w:lang w:val="fr-FR"/>
        </w:rPr>
        <w:t xml:space="preserve"> </w:t>
      </w:r>
      <w:r w:rsidRPr="000768B2">
        <w:rPr>
          <w:rFonts w:eastAsia="Malgun Gothic"/>
          <w:sz w:val="22"/>
          <w:szCs w:val="22"/>
          <w:lang w:val="fr-FR" w:eastAsia="ko-KR"/>
        </w:rPr>
        <w:t>l’article</w:t>
      </w:r>
      <w:r w:rsidR="003D7436" w:rsidRPr="000768B2">
        <w:rPr>
          <w:rFonts w:eastAsia="Malgun Gothic"/>
          <w:sz w:val="22"/>
          <w:szCs w:val="22"/>
          <w:lang w:val="fr-FR" w:eastAsia="ko-KR"/>
        </w:rPr>
        <w:t> </w:t>
      </w:r>
      <w:r w:rsidR="005838B7" w:rsidRPr="000768B2">
        <w:rPr>
          <w:rFonts w:eastAsia="Malgun Gothic"/>
          <w:sz w:val="22"/>
          <w:szCs w:val="22"/>
          <w:lang w:val="fr-FR" w:eastAsia="ko-KR"/>
        </w:rPr>
        <w:t xml:space="preserve">9 </w:t>
      </w:r>
      <w:r w:rsidRPr="000768B2">
        <w:rPr>
          <w:rFonts w:eastAsia="Malgun Gothic"/>
          <w:sz w:val="22"/>
          <w:szCs w:val="22"/>
          <w:lang w:val="fr-FR" w:eastAsia="ko-KR"/>
        </w:rPr>
        <w:t>du Règlement des Commissions interaméricaines du Conseil interaméricain pour le développement intégré</w:t>
      </w:r>
      <w:r w:rsidR="005838B7" w:rsidRPr="000768B2">
        <w:rPr>
          <w:rFonts w:eastAsia="Malgun Gothic"/>
          <w:sz w:val="22"/>
          <w:szCs w:val="22"/>
          <w:lang w:val="fr-FR" w:eastAsia="ko-KR"/>
        </w:rPr>
        <w:t>, l</w:t>
      </w:r>
      <w:r w:rsidRPr="000768B2">
        <w:rPr>
          <w:rFonts w:eastAsia="Malgun Gothic"/>
          <w:sz w:val="22"/>
          <w:szCs w:val="22"/>
          <w:lang w:val="fr-FR" w:eastAsia="ko-KR"/>
        </w:rPr>
        <w:t>e</w:t>
      </w:r>
      <w:r w:rsidR="005838B7" w:rsidRPr="000768B2">
        <w:rPr>
          <w:rFonts w:eastAsia="Malgun Gothic"/>
          <w:sz w:val="22"/>
          <w:szCs w:val="22"/>
          <w:lang w:val="fr-FR" w:eastAsia="ko-KR"/>
        </w:rPr>
        <w:t xml:space="preserve"> Secr</w:t>
      </w:r>
      <w:r w:rsidRPr="000768B2">
        <w:rPr>
          <w:rFonts w:eastAsia="Malgun Gothic"/>
          <w:sz w:val="22"/>
          <w:szCs w:val="22"/>
          <w:lang w:val="fr-FR" w:eastAsia="ko-KR"/>
        </w:rPr>
        <w:t>é</w:t>
      </w:r>
      <w:r w:rsidR="005838B7" w:rsidRPr="000768B2">
        <w:rPr>
          <w:rFonts w:eastAsia="Malgun Gothic"/>
          <w:sz w:val="22"/>
          <w:szCs w:val="22"/>
          <w:lang w:val="fr-FR" w:eastAsia="ko-KR"/>
        </w:rPr>
        <w:t>tar</w:t>
      </w:r>
      <w:r w:rsidRPr="000768B2">
        <w:rPr>
          <w:rFonts w:eastAsia="Malgun Gothic"/>
          <w:sz w:val="22"/>
          <w:szCs w:val="22"/>
          <w:lang w:val="fr-FR" w:eastAsia="ko-KR"/>
        </w:rPr>
        <w:t>i</w:t>
      </w:r>
      <w:r w:rsidR="005838B7" w:rsidRPr="000768B2">
        <w:rPr>
          <w:rFonts w:eastAsia="Malgun Gothic"/>
          <w:sz w:val="22"/>
          <w:szCs w:val="22"/>
          <w:lang w:val="fr-FR" w:eastAsia="ko-KR"/>
        </w:rPr>
        <w:t>a</w:t>
      </w:r>
      <w:r w:rsidRPr="000768B2">
        <w:rPr>
          <w:rFonts w:eastAsia="Malgun Gothic"/>
          <w:sz w:val="22"/>
          <w:szCs w:val="22"/>
          <w:lang w:val="fr-FR" w:eastAsia="ko-KR"/>
        </w:rPr>
        <w:t>t</w:t>
      </w:r>
      <w:r w:rsidR="005838B7" w:rsidRPr="000768B2">
        <w:rPr>
          <w:rFonts w:eastAsia="Malgun Gothic"/>
          <w:sz w:val="22"/>
          <w:szCs w:val="22"/>
          <w:lang w:val="fr-FR" w:eastAsia="ko-KR"/>
        </w:rPr>
        <w:t xml:space="preserve"> </w:t>
      </w:r>
      <w:r w:rsidRPr="000768B2">
        <w:rPr>
          <w:rFonts w:eastAsia="Malgun Gothic"/>
          <w:sz w:val="22"/>
          <w:szCs w:val="22"/>
          <w:lang w:val="fr-FR" w:eastAsia="ko-KR"/>
        </w:rPr>
        <w:t>gé</w:t>
      </w:r>
      <w:r w:rsidR="005838B7" w:rsidRPr="000768B2">
        <w:rPr>
          <w:rFonts w:eastAsia="Malgun Gothic"/>
          <w:sz w:val="22"/>
          <w:szCs w:val="22"/>
          <w:lang w:val="fr-FR" w:eastAsia="ko-KR"/>
        </w:rPr>
        <w:t>n</w:t>
      </w:r>
      <w:r w:rsidRPr="000768B2">
        <w:rPr>
          <w:rFonts w:eastAsia="Malgun Gothic"/>
          <w:sz w:val="22"/>
          <w:szCs w:val="22"/>
          <w:lang w:val="fr-FR" w:eastAsia="ko-KR"/>
        </w:rPr>
        <w:t>éral de l’Organisation des États amé</w:t>
      </w:r>
      <w:r w:rsidR="005838B7" w:rsidRPr="000768B2">
        <w:rPr>
          <w:rFonts w:eastAsia="Malgun Gothic"/>
          <w:sz w:val="22"/>
          <w:szCs w:val="22"/>
          <w:lang w:val="fr-FR" w:eastAsia="ko-KR"/>
        </w:rPr>
        <w:t>rica</w:t>
      </w:r>
      <w:r w:rsidRPr="000768B2">
        <w:rPr>
          <w:rFonts w:eastAsia="Malgun Gothic"/>
          <w:sz w:val="22"/>
          <w:szCs w:val="22"/>
          <w:lang w:val="fr-FR" w:eastAsia="ko-KR"/>
        </w:rPr>
        <w:t>in</w:t>
      </w:r>
      <w:r w:rsidR="005838B7" w:rsidRPr="000768B2">
        <w:rPr>
          <w:rFonts w:eastAsia="Malgun Gothic"/>
          <w:sz w:val="22"/>
          <w:szCs w:val="22"/>
          <w:lang w:val="fr-FR" w:eastAsia="ko-KR"/>
        </w:rPr>
        <w:t xml:space="preserve">s </w:t>
      </w:r>
      <w:r w:rsidRPr="000768B2">
        <w:rPr>
          <w:rFonts w:eastAsia="Malgun Gothic"/>
          <w:sz w:val="22"/>
          <w:szCs w:val="22"/>
          <w:lang w:val="fr-FR" w:eastAsia="ko-KR"/>
        </w:rPr>
        <w:t>s'engage à soutenir les autorités des commissions dans l’exercice de leurs fonctions et à fournir des services de secrétariat à la Commission, en fonction des ressources inscrites à ce titre au programme-budget de l’Organisation et des autres ressources</w:t>
      </w:r>
      <w:r w:rsidR="005838B7" w:rsidRPr="000768B2">
        <w:rPr>
          <w:rFonts w:eastAsia="Malgun Gothic"/>
          <w:sz w:val="22"/>
          <w:szCs w:val="22"/>
          <w:lang w:val="fr-FR" w:eastAsia="ko-KR"/>
        </w:rPr>
        <w:t>.</w:t>
      </w:r>
      <w:r w:rsidR="005838B7" w:rsidRPr="000768B2">
        <w:rPr>
          <w:rFonts w:eastAsia="Malgun Gothic"/>
          <w:sz w:val="22"/>
          <w:szCs w:val="22"/>
          <w:lang w:val="fr-FR"/>
        </w:rPr>
        <w:t xml:space="preserve"> </w:t>
      </w:r>
    </w:p>
    <w:p w14:paraId="04C4921B" w14:textId="77777777" w:rsidR="005838B7" w:rsidRPr="000768B2" w:rsidRDefault="005838B7" w:rsidP="000768B2">
      <w:pPr>
        <w:jc w:val="both"/>
        <w:rPr>
          <w:rFonts w:eastAsia="Malgun Gothic"/>
          <w:sz w:val="22"/>
          <w:szCs w:val="22"/>
          <w:lang w:val="fr-FR" w:eastAsia="ko-KR"/>
        </w:rPr>
      </w:pPr>
    </w:p>
    <w:p w14:paraId="0425D0B5" w14:textId="468F9489" w:rsidR="005838B7" w:rsidRPr="000768B2" w:rsidRDefault="005C1779" w:rsidP="000768B2">
      <w:pPr>
        <w:ind w:firstLine="720"/>
        <w:contextualSpacing/>
        <w:jc w:val="both"/>
        <w:rPr>
          <w:rFonts w:eastAsia="Malgun Gothic"/>
          <w:sz w:val="22"/>
          <w:szCs w:val="22"/>
          <w:lang w:val="fr-FR"/>
        </w:rPr>
      </w:pPr>
      <w:r w:rsidRPr="000768B2">
        <w:rPr>
          <w:rFonts w:eastAsia="Malgun Gothic"/>
          <w:sz w:val="22"/>
          <w:szCs w:val="22"/>
          <w:lang w:val="fr-FR"/>
        </w:rPr>
        <w:t xml:space="preserve">Dans ce contexte, le Secrétariat technique </w:t>
      </w:r>
      <w:r w:rsidR="005838B7" w:rsidRPr="000768B2">
        <w:rPr>
          <w:rFonts w:eastAsia="Malgun Gothic"/>
          <w:sz w:val="22"/>
          <w:szCs w:val="22"/>
          <w:lang w:val="fr-FR"/>
        </w:rPr>
        <w:t>de la CIE</w:t>
      </w:r>
      <w:r w:rsidR="005838B7" w:rsidRPr="000768B2" w:rsidDel="00C94746">
        <w:rPr>
          <w:rFonts w:eastAsia="Malgun Gothic"/>
          <w:sz w:val="22"/>
          <w:szCs w:val="22"/>
          <w:lang w:val="fr-FR"/>
        </w:rPr>
        <w:t xml:space="preserve"> </w:t>
      </w:r>
      <w:r w:rsidRPr="000768B2">
        <w:rPr>
          <w:rFonts w:eastAsia="Malgun Gothic"/>
          <w:sz w:val="22"/>
          <w:szCs w:val="22"/>
          <w:lang w:val="fr-FR"/>
        </w:rPr>
        <w:t xml:space="preserve">est </w:t>
      </w:r>
      <w:r w:rsidR="003D7436" w:rsidRPr="000768B2">
        <w:rPr>
          <w:rFonts w:eastAsia="Malgun Gothic"/>
          <w:sz w:val="22"/>
          <w:szCs w:val="22"/>
          <w:lang w:val="fr-FR"/>
        </w:rPr>
        <w:t>chargé</w:t>
      </w:r>
      <w:r w:rsidRPr="000768B2">
        <w:rPr>
          <w:rFonts w:eastAsia="Malgun Gothic"/>
          <w:sz w:val="22"/>
          <w:szCs w:val="22"/>
          <w:lang w:val="fr-FR"/>
        </w:rPr>
        <w:t xml:space="preserve"> de présenter un rapport sur l’état d’avancement de la mise en œuvre des mandats ministériels.</w:t>
      </w:r>
    </w:p>
    <w:p w14:paraId="25BAB645" w14:textId="77777777" w:rsidR="005C1779" w:rsidRPr="000768B2" w:rsidRDefault="005C1779" w:rsidP="000768B2">
      <w:pPr>
        <w:contextualSpacing/>
        <w:jc w:val="both"/>
        <w:rPr>
          <w:rFonts w:eastAsia="Malgun Gothic"/>
          <w:sz w:val="22"/>
          <w:szCs w:val="22"/>
          <w:lang w:val="fr-FR"/>
        </w:rPr>
      </w:pPr>
    </w:p>
    <w:p w14:paraId="3CCC6F5E" w14:textId="63F2C4C4" w:rsidR="005838B7" w:rsidRPr="000768B2" w:rsidRDefault="00A06031" w:rsidP="000768B2">
      <w:pPr>
        <w:numPr>
          <w:ilvl w:val="0"/>
          <w:numId w:val="13"/>
        </w:numPr>
        <w:ind w:left="1440" w:hanging="720"/>
        <w:contextualSpacing/>
        <w:jc w:val="both"/>
        <w:rPr>
          <w:b/>
          <w:sz w:val="22"/>
          <w:szCs w:val="22"/>
          <w:lang w:val="fr-FR"/>
        </w:rPr>
      </w:pPr>
      <w:r w:rsidRPr="000768B2">
        <w:rPr>
          <w:b/>
          <w:sz w:val="22"/>
          <w:szCs w:val="22"/>
          <w:lang w:val="fr-FR"/>
        </w:rPr>
        <w:t>L’accès à l’éducation dans les contextes de changement : équipement technologique, connectivité et accès aux TIC comme éléments essentiels pour garantir le droit à l’éducation, en particulier des populations vulnérables dans les pays en développement</w:t>
      </w:r>
      <w:r w:rsidR="005838B7" w:rsidRPr="000768B2">
        <w:rPr>
          <w:sz w:val="22"/>
          <w:szCs w:val="22"/>
          <w:lang w:val="fr-FR"/>
        </w:rPr>
        <w:t>.</w:t>
      </w:r>
    </w:p>
    <w:p w14:paraId="09D9361A" w14:textId="77777777" w:rsidR="005838B7" w:rsidRPr="000768B2" w:rsidRDefault="005838B7" w:rsidP="000768B2">
      <w:pPr>
        <w:contextualSpacing/>
        <w:jc w:val="both"/>
        <w:rPr>
          <w:rFonts w:eastAsia="Malgun Gothic"/>
          <w:sz w:val="22"/>
          <w:szCs w:val="22"/>
          <w:lang w:val="fr-FR"/>
        </w:rPr>
      </w:pPr>
    </w:p>
    <w:p w14:paraId="6CFD4BD3" w14:textId="58E8BA47" w:rsidR="005838B7" w:rsidRPr="000768B2" w:rsidRDefault="004D78A2" w:rsidP="000768B2">
      <w:pPr>
        <w:ind w:firstLine="720"/>
        <w:contextualSpacing/>
        <w:jc w:val="both"/>
        <w:rPr>
          <w:bCs/>
          <w:sz w:val="22"/>
          <w:szCs w:val="22"/>
          <w:lang w:val="fr-FR"/>
        </w:rPr>
      </w:pPr>
      <w:r w:rsidRPr="000768B2">
        <w:rPr>
          <w:bCs/>
          <w:sz w:val="22"/>
          <w:szCs w:val="22"/>
          <w:lang w:val="fr-FR"/>
        </w:rPr>
        <w:t>Grâce à l’</w:t>
      </w:r>
      <w:r w:rsidR="005838B7" w:rsidRPr="000768B2">
        <w:rPr>
          <w:bCs/>
          <w:sz w:val="22"/>
          <w:szCs w:val="22"/>
          <w:lang w:val="fr-FR"/>
        </w:rPr>
        <w:t>adop</w:t>
      </w:r>
      <w:r w:rsidRPr="000768B2">
        <w:rPr>
          <w:bCs/>
          <w:sz w:val="22"/>
          <w:szCs w:val="22"/>
          <w:lang w:val="fr-FR"/>
        </w:rPr>
        <w:t>t</w:t>
      </w:r>
      <w:r w:rsidR="005838B7" w:rsidRPr="000768B2">
        <w:rPr>
          <w:bCs/>
          <w:sz w:val="22"/>
          <w:szCs w:val="22"/>
          <w:lang w:val="fr-FR"/>
        </w:rPr>
        <w:t>i</w:t>
      </w:r>
      <w:r w:rsidRPr="000768B2">
        <w:rPr>
          <w:bCs/>
          <w:sz w:val="22"/>
          <w:szCs w:val="22"/>
          <w:lang w:val="fr-FR"/>
        </w:rPr>
        <w:t>on du Programme éducatif interamé</w:t>
      </w:r>
      <w:r w:rsidR="005838B7" w:rsidRPr="000768B2">
        <w:rPr>
          <w:bCs/>
          <w:sz w:val="22"/>
          <w:szCs w:val="22"/>
          <w:lang w:val="fr-FR"/>
        </w:rPr>
        <w:t>rica</w:t>
      </w:r>
      <w:r w:rsidRPr="000768B2">
        <w:rPr>
          <w:bCs/>
          <w:sz w:val="22"/>
          <w:szCs w:val="22"/>
          <w:lang w:val="fr-FR"/>
        </w:rPr>
        <w:t>in</w:t>
      </w:r>
      <w:r w:rsidR="005838B7" w:rsidRPr="000768B2">
        <w:rPr>
          <w:bCs/>
          <w:sz w:val="22"/>
          <w:szCs w:val="22"/>
          <w:lang w:val="fr-FR"/>
        </w:rPr>
        <w:t>, e</w:t>
      </w:r>
      <w:r w:rsidRPr="000768B2">
        <w:rPr>
          <w:bCs/>
          <w:sz w:val="22"/>
          <w:szCs w:val="22"/>
          <w:lang w:val="fr-FR"/>
        </w:rPr>
        <w:t>t sous l’impulsion du Plan d’action d’Antigua-et-</w:t>
      </w:r>
      <w:r w:rsidR="005838B7" w:rsidRPr="000768B2">
        <w:rPr>
          <w:bCs/>
          <w:sz w:val="22"/>
          <w:szCs w:val="22"/>
          <w:lang w:val="fr-FR"/>
        </w:rPr>
        <w:t>Barbuda de 2019, l</w:t>
      </w:r>
      <w:r w:rsidR="00246CC6" w:rsidRPr="000768B2">
        <w:rPr>
          <w:bCs/>
          <w:sz w:val="22"/>
          <w:szCs w:val="22"/>
          <w:lang w:val="fr-FR"/>
        </w:rPr>
        <w:t>e</w:t>
      </w:r>
      <w:r w:rsidR="005838B7" w:rsidRPr="000768B2">
        <w:rPr>
          <w:bCs/>
          <w:sz w:val="22"/>
          <w:szCs w:val="22"/>
          <w:lang w:val="fr-FR"/>
        </w:rPr>
        <w:t xml:space="preserve">s </w:t>
      </w:r>
      <w:r w:rsidR="00246CC6" w:rsidRPr="000768B2">
        <w:rPr>
          <w:bCs/>
          <w:sz w:val="22"/>
          <w:szCs w:val="22"/>
          <w:lang w:val="fr-FR"/>
        </w:rPr>
        <w:t>ministres de l’Éducation ont décidé d’encourager les dialogues politiques et la collaboration entre les ministres dans des domaines prio</w:t>
      </w:r>
      <w:r w:rsidR="003D7436" w:rsidRPr="000768B2">
        <w:rPr>
          <w:bCs/>
          <w:sz w:val="22"/>
          <w:szCs w:val="22"/>
          <w:lang w:val="fr-FR"/>
        </w:rPr>
        <w:t>ritaires d’action qui orientero</w:t>
      </w:r>
      <w:r w:rsidR="00246CC6" w:rsidRPr="000768B2">
        <w:rPr>
          <w:bCs/>
          <w:sz w:val="22"/>
          <w:szCs w:val="22"/>
          <w:lang w:val="fr-FR"/>
        </w:rPr>
        <w:t xml:space="preserve">nt la coopération interaméricaine en matière d’éducation en fonction de trois piliers : éducation équitable, inclusive et de qualité ; renforcement du corps enseignant ; et prise en charge globale de la </w:t>
      </w:r>
      <w:r w:rsidRPr="000768B2">
        <w:rPr>
          <w:bCs/>
          <w:sz w:val="22"/>
          <w:szCs w:val="22"/>
          <w:lang w:val="fr-FR"/>
        </w:rPr>
        <w:t>petite enfance</w:t>
      </w:r>
      <w:r w:rsidR="005838B7" w:rsidRPr="000768B2">
        <w:rPr>
          <w:bCs/>
          <w:sz w:val="22"/>
          <w:szCs w:val="22"/>
          <w:lang w:val="fr-FR"/>
        </w:rPr>
        <w:t xml:space="preserve">. </w:t>
      </w:r>
    </w:p>
    <w:p w14:paraId="4C52C953" w14:textId="77777777" w:rsidR="005838B7" w:rsidRPr="000768B2" w:rsidRDefault="005838B7" w:rsidP="000768B2">
      <w:pPr>
        <w:contextualSpacing/>
        <w:jc w:val="both"/>
        <w:rPr>
          <w:rFonts w:eastAsia="Malgun Gothic"/>
          <w:sz w:val="22"/>
          <w:szCs w:val="22"/>
          <w:lang w:val="fr-FR"/>
        </w:rPr>
      </w:pPr>
    </w:p>
    <w:p w14:paraId="1F024FBE" w14:textId="7F7453C2" w:rsidR="005838B7" w:rsidRPr="000768B2" w:rsidRDefault="005838B7" w:rsidP="000768B2">
      <w:pPr>
        <w:ind w:firstLine="720"/>
        <w:contextualSpacing/>
        <w:jc w:val="both"/>
        <w:rPr>
          <w:bCs/>
          <w:sz w:val="22"/>
          <w:szCs w:val="22"/>
          <w:lang w:val="fr-FR"/>
        </w:rPr>
      </w:pPr>
      <w:r w:rsidRPr="000768B2">
        <w:rPr>
          <w:bCs/>
          <w:sz w:val="22"/>
          <w:szCs w:val="22"/>
          <w:lang w:val="fr-FR"/>
        </w:rPr>
        <w:t>Co</w:t>
      </w:r>
      <w:r w:rsidR="00AC33C6" w:rsidRPr="000768B2">
        <w:rPr>
          <w:bCs/>
          <w:sz w:val="22"/>
          <w:szCs w:val="22"/>
          <w:lang w:val="fr-FR"/>
        </w:rPr>
        <w:t>mpte tenu du contexte actuel</w:t>
      </w:r>
      <w:r w:rsidRPr="000768B2">
        <w:rPr>
          <w:bCs/>
          <w:sz w:val="22"/>
          <w:szCs w:val="22"/>
          <w:lang w:val="fr-FR"/>
        </w:rPr>
        <w:t xml:space="preserve">, la CIE </w:t>
      </w:r>
      <w:r w:rsidR="00AC33C6" w:rsidRPr="000768B2">
        <w:rPr>
          <w:bCs/>
          <w:sz w:val="22"/>
          <w:szCs w:val="22"/>
          <w:lang w:val="fr-FR"/>
        </w:rPr>
        <w:t>a proposé pour la discussion le thème central suivant : « </w:t>
      </w:r>
      <w:r w:rsidR="00A06031" w:rsidRPr="000768B2">
        <w:rPr>
          <w:bCs/>
          <w:sz w:val="22"/>
          <w:szCs w:val="22"/>
          <w:lang w:val="fr-FR"/>
        </w:rPr>
        <w:t>L’accès à l’éducation dans les contextes de changement : équipement technologique, connectivité et accès aux TIC comme éléments essentiels pour garantir le droit à l’éducation, en particulier des populations vulnérables dans les pays en développement</w:t>
      </w:r>
      <w:r w:rsidR="00AC33C6" w:rsidRPr="000768B2">
        <w:rPr>
          <w:bCs/>
          <w:sz w:val="22"/>
          <w:szCs w:val="22"/>
          <w:lang w:val="fr-FR"/>
        </w:rPr>
        <w:t> »</w:t>
      </w:r>
      <w:r w:rsidRPr="000768B2">
        <w:rPr>
          <w:bCs/>
          <w:sz w:val="22"/>
          <w:szCs w:val="22"/>
          <w:lang w:val="fr-FR"/>
        </w:rPr>
        <w:t>.</w:t>
      </w:r>
    </w:p>
    <w:p w14:paraId="36B9F6A7" w14:textId="77777777" w:rsidR="005838B7" w:rsidRPr="000768B2" w:rsidRDefault="005838B7" w:rsidP="000768B2">
      <w:pPr>
        <w:contextualSpacing/>
        <w:jc w:val="both"/>
        <w:rPr>
          <w:rFonts w:eastAsia="Malgun Gothic"/>
          <w:sz w:val="22"/>
          <w:szCs w:val="22"/>
          <w:lang w:val="fr-FR"/>
        </w:rPr>
      </w:pPr>
    </w:p>
    <w:p w14:paraId="17383B37" w14:textId="7523048E" w:rsidR="005838B7" w:rsidRPr="000768B2" w:rsidRDefault="007A7763" w:rsidP="000768B2">
      <w:pPr>
        <w:numPr>
          <w:ilvl w:val="0"/>
          <w:numId w:val="13"/>
        </w:numPr>
        <w:ind w:left="1418" w:hanging="698"/>
        <w:contextualSpacing/>
        <w:jc w:val="both"/>
        <w:rPr>
          <w:rFonts w:eastAsia="Malgun Gothic"/>
          <w:b/>
          <w:bCs/>
          <w:sz w:val="22"/>
          <w:szCs w:val="22"/>
          <w:lang w:val="fr-FR" w:eastAsia="ko-KR"/>
        </w:rPr>
      </w:pPr>
      <w:r w:rsidRPr="000768B2">
        <w:rPr>
          <w:b/>
          <w:bCs/>
          <w:sz w:val="22"/>
          <w:szCs w:val="22"/>
          <w:lang w:val="fr-FR"/>
        </w:rPr>
        <w:t>Contribution</w:t>
      </w:r>
      <w:r w:rsidR="005838B7" w:rsidRPr="000768B2">
        <w:rPr>
          <w:b/>
          <w:bCs/>
          <w:sz w:val="22"/>
          <w:szCs w:val="22"/>
          <w:lang w:val="fr-FR"/>
        </w:rPr>
        <w:t xml:space="preserve">s </w:t>
      </w:r>
      <w:r w:rsidRPr="000768B2">
        <w:rPr>
          <w:b/>
          <w:sz w:val="22"/>
          <w:szCs w:val="22"/>
          <w:lang w:val="fr-FR"/>
        </w:rPr>
        <w:t>pour l’élaboration de la seconde phase du Programme éducatif interaméricain (2022-2027) et méthodologie à utiliser pour sa définition</w:t>
      </w:r>
      <w:r w:rsidR="005838B7" w:rsidRPr="000768B2">
        <w:rPr>
          <w:bCs/>
          <w:sz w:val="22"/>
          <w:szCs w:val="22"/>
          <w:lang w:val="fr-FR"/>
        </w:rPr>
        <w:t>.</w:t>
      </w:r>
    </w:p>
    <w:p w14:paraId="63445896" w14:textId="77777777" w:rsidR="005838B7" w:rsidRPr="000768B2" w:rsidRDefault="005838B7" w:rsidP="000768B2">
      <w:pPr>
        <w:contextualSpacing/>
        <w:jc w:val="both"/>
        <w:rPr>
          <w:rFonts w:eastAsia="Malgun Gothic"/>
          <w:sz w:val="22"/>
          <w:szCs w:val="22"/>
          <w:lang w:val="fr-FR"/>
        </w:rPr>
      </w:pPr>
    </w:p>
    <w:p w14:paraId="500767C1" w14:textId="0FC6FED5" w:rsidR="005838B7" w:rsidRPr="000768B2" w:rsidRDefault="005838B7" w:rsidP="000768B2">
      <w:pPr>
        <w:ind w:firstLine="720"/>
        <w:contextualSpacing/>
        <w:jc w:val="both"/>
        <w:rPr>
          <w:rFonts w:eastAsia="Malgun Gothic"/>
          <w:sz w:val="22"/>
          <w:szCs w:val="22"/>
          <w:lang w:val="fr-FR"/>
        </w:rPr>
      </w:pPr>
      <w:r w:rsidRPr="000768B2">
        <w:rPr>
          <w:sz w:val="22"/>
          <w:szCs w:val="22"/>
          <w:lang w:val="fr-FR"/>
        </w:rPr>
        <w:t>L</w:t>
      </w:r>
      <w:r w:rsidR="00EE345F" w:rsidRPr="000768B2">
        <w:rPr>
          <w:sz w:val="22"/>
          <w:szCs w:val="22"/>
          <w:lang w:val="fr-FR"/>
        </w:rPr>
        <w:t>’</w:t>
      </w:r>
      <w:r w:rsidRPr="000768B2">
        <w:rPr>
          <w:sz w:val="22"/>
          <w:szCs w:val="22"/>
          <w:lang w:val="fr-FR"/>
        </w:rPr>
        <w:t>a</w:t>
      </w:r>
      <w:r w:rsidR="00EE345F" w:rsidRPr="000768B2">
        <w:rPr>
          <w:sz w:val="22"/>
          <w:szCs w:val="22"/>
          <w:lang w:val="fr-FR"/>
        </w:rPr>
        <w:t>doption d’un Programme éducatif interaméricain re</w:t>
      </w:r>
      <w:r w:rsidR="00255853" w:rsidRPr="000768B2">
        <w:rPr>
          <w:sz w:val="22"/>
          <w:szCs w:val="22"/>
          <w:lang w:val="fr-FR"/>
        </w:rPr>
        <w:t>flète un processus historique d’établissement</w:t>
      </w:r>
      <w:r w:rsidR="00EE345F" w:rsidRPr="000768B2">
        <w:rPr>
          <w:sz w:val="22"/>
          <w:szCs w:val="22"/>
          <w:lang w:val="fr-FR"/>
        </w:rPr>
        <w:t xml:space="preserve"> de consensus </w:t>
      </w:r>
      <w:r w:rsidRPr="000768B2">
        <w:rPr>
          <w:sz w:val="22"/>
          <w:szCs w:val="22"/>
          <w:lang w:val="fr-FR"/>
        </w:rPr>
        <w:t>entre l</w:t>
      </w:r>
      <w:r w:rsidR="00EE345F" w:rsidRPr="000768B2">
        <w:rPr>
          <w:sz w:val="22"/>
          <w:szCs w:val="22"/>
          <w:lang w:val="fr-FR"/>
        </w:rPr>
        <w:t>es ministres de l’Éducation des États membres de l’</w:t>
      </w:r>
      <w:r w:rsidRPr="000768B2">
        <w:rPr>
          <w:sz w:val="22"/>
          <w:szCs w:val="22"/>
          <w:lang w:val="fr-FR"/>
        </w:rPr>
        <w:t xml:space="preserve">OEA </w:t>
      </w:r>
      <w:r w:rsidR="00EE345F" w:rsidRPr="000768B2">
        <w:rPr>
          <w:sz w:val="22"/>
          <w:szCs w:val="22"/>
          <w:lang w:val="fr-FR"/>
        </w:rPr>
        <w:t xml:space="preserve">avec l’objectif de s’attaquer aux problèmes les plus importants qui affectent le développement </w:t>
      </w:r>
      <w:r w:rsidR="007F04AC" w:rsidRPr="000768B2">
        <w:rPr>
          <w:sz w:val="22"/>
          <w:szCs w:val="22"/>
          <w:lang w:val="fr-FR"/>
        </w:rPr>
        <w:t xml:space="preserve">éducatif </w:t>
      </w:r>
      <w:r w:rsidR="00EE345F" w:rsidRPr="000768B2">
        <w:rPr>
          <w:sz w:val="22"/>
          <w:szCs w:val="22"/>
          <w:lang w:val="fr-FR"/>
        </w:rPr>
        <w:t xml:space="preserve">de </w:t>
      </w:r>
      <w:r w:rsidR="00B732CF" w:rsidRPr="000768B2">
        <w:rPr>
          <w:sz w:val="22"/>
          <w:szCs w:val="22"/>
          <w:lang w:val="fr-FR"/>
        </w:rPr>
        <w:t xml:space="preserve">la région et se répercutent sur le droit des enfants, des adolescents et des adultes d’accéder à une éducation </w:t>
      </w:r>
      <w:r w:rsidR="00B732CF" w:rsidRPr="000768B2">
        <w:rPr>
          <w:bCs/>
          <w:sz w:val="22"/>
          <w:szCs w:val="22"/>
          <w:lang w:val="fr-FR"/>
        </w:rPr>
        <w:t>équitable, inclusive et de qualité</w:t>
      </w:r>
      <w:r w:rsidR="007F33E6" w:rsidRPr="000768B2">
        <w:rPr>
          <w:bCs/>
          <w:sz w:val="22"/>
          <w:szCs w:val="22"/>
          <w:lang w:val="fr-FR"/>
        </w:rPr>
        <w:t xml:space="preserve"> </w:t>
      </w:r>
      <w:r w:rsidR="00B732CF" w:rsidRPr="000768B2">
        <w:rPr>
          <w:bCs/>
          <w:sz w:val="22"/>
          <w:szCs w:val="22"/>
          <w:lang w:val="fr-FR"/>
        </w:rPr>
        <w:t xml:space="preserve">tout au long de </w:t>
      </w:r>
      <w:r w:rsidR="00B732CF" w:rsidRPr="000768B2">
        <w:rPr>
          <w:sz w:val="22"/>
          <w:szCs w:val="22"/>
          <w:lang w:val="fr-FR"/>
        </w:rPr>
        <w:t>leur vie</w:t>
      </w:r>
      <w:r w:rsidRPr="000768B2">
        <w:rPr>
          <w:sz w:val="22"/>
          <w:szCs w:val="22"/>
          <w:lang w:val="fr-FR"/>
        </w:rPr>
        <w:t xml:space="preserve">. </w:t>
      </w:r>
      <w:r w:rsidR="00CF1740" w:rsidRPr="000768B2">
        <w:rPr>
          <w:sz w:val="22"/>
          <w:szCs w:val="22"/>
          <w:lang w:val="fr-FR"/>
        </w:rPr>
        <w:t>De plus, le Programme éducatif interaméricain est convenu par les États membres de l’</w:t>
      </w:r>
      <w:r w:rsidRPr="000768B2">
        <w:rPr>
          <w:sz w:val="22"/>
          <w:szCs w:val="22"/>
          <w:lang w:val="fr-FR"/>
        </w:rPr>
        <w:t xml:space="preserve">OEA </w:t>
      </w:r>
      <w:r w:rsidR="007F33E6" w:rsidRPr="000768B2">
        <w:rPr>
          <w:sz w:val="22"/>
          <w:szCs w:val="22"/>
          <w:lang w:val="fr-FR"/>
        </w:rPr>
        <w:t>comme un outil visant à suivre et réaliser la mise en œuvre de l’</w:t>
      </w:r>
      <w:hyperlink r:id="rId8" w:history="1">
        <w:r w:rsidR="007F33E6" w:rsidRPr="000768B2">
          <w:rPr>
            <w:sz w:val="22"/>
            <w:szCs w:val="22"/>
            <w:lang w:val="fr-FR"/>
          </w:rPr>
          <w:t>Objectif </w:t>
        </w:r>
        <w:r w:rsidRPr="000768B2">
          <w:rPr>
            <w:sz w:val="22"/>
            <w:szCs w:val="22"/>
            <w:lang w:val="fr-FR"/>
          </w:rPr>
          <w:t>4</w:t>
        </w:r>
      </w:hyperlink>
      <w:r w:rsidRPr="000768B2">
        <w:rPr>
          <w:sz w:val="22"/>
          <w:szCs w:val="22"/>
          <w:lang w:val="fr-FR"/>
        </w:rPr>
        <w:t xml:space="preserve"> </w:t>
      </w:r>
      <w:r w:rsidR="007F33E6" w:rsidRPr="000768B2">
        <w:rPr>
          <w:sz w:val="22"/>
          <w:szCs w:val="22"/>
          <w:lang w:val="fr-FR"/>
        </w:rPr>
        <w:t>du Program</w:t>
      </w:r>
      <w:r w:rsidR="007F04AC" w:rsidRPr="000768B2">
        <w:rPr>
          <w:sz w:val="22"/>
          <w:szCs w:val="22"/>
          <w:lang w:val="fr-FR"/>
        </w:rPr>
        <w:t>me de développement durable à l’</w:t>
      </w:r>
      <w:r w:rsidR="007F33E6" w:rsidRPr="000768B2">
        <w:rPr>
          <w:sz w:val="22"/>
          <w:szCs w:val="22"/>
          <w:lang w:val="fr-FR"/>
        </w:rPr>
        <w:t>horizon 2030.</w:t>
      </w:r>
      <w:r w:rsidRPr="000768B2">
        <w:rPr>
          <w:sz w:val="22"/>
          <w:szCs w:val="22"/>
          <w:lang w:val="fr-FR"/>
        </w:rPr>
        <w:t xml:space="preserve"> </w:t>
      </w:r>
      <w:r w:rsidR="007F04AC" w:rsidRPr="000768B2">
        <w:rPr>
          <w:sz w:val="22"/>
          <w:szCs w:val="22"/>
          <w:lang w:val="fr-FR"/>
        </w:rPr>
        <w:t>Le processus ayant</w:t>
      </w:r>
      <w:r w:rsidR="007F33E6" w:rsidRPr="000768B2">
        <w:rPr>
          <w:sz w:val="22"/>
          <w:szCs w:val="22"/>
          <w:lang w:val="fr-FR"/>
        </w:rPr>
        <w:t xml:space="preserve"> débouché sur l’adoption du Programme éducatif interaméricain, lors de</w:t>
      </w:r>
      <w:r w:rsidRPr="000768B2">
        <w:rPr>
          <w:sz w:val="22"/>
          <w:szCs w:val="22"/>
          <w:lang w:val="fr-FR"/>
        </w:rPr>
        <w:t xml:space="preserve"> </w:t>
      </w:r>
      <w:proofErr w:type="gramStart"/>
      <w:r w:rsidRPr="000768B2">
        <w:rPr>
          <w:sz w:val="22"/>
          <w:szCs w:val="22"/>
          <w:lang w:val="fr-FR"/>
        </w:rPr>
        <w:t>la IX</w:t>
      </w:r>
      <w:r w:rsidR="007F33E6" w:rsidRPr="000768B2">
        <w:rPr>
          <w:sz w:val="22"/>
          <w:szCs w:val="22"/>
          <w:vertAlign w:val="superscript"/>
          <w:lang w:val="fr-FR"/>
        </w:rPr>
        <w:t>e</w:t>
      </w:r>
      <w:proofErr w:type="gramEnd"/>
      <w:hyperlink r:id="rId9" w:history="1">
        <w:r w:rsidR="007F04AC" w:rsidRPr="000768B2">
          <w:rPr>
            <w:sz w:val="22"/>
            <w:szCs w:val="22"/>
            <w:lang w:val="fr-FR"/>
          </w:rPr>
          <w:t> </w:t>
        </w:r>
        <w:r w:rsidRPr="000768B2">
          <w:rPr>
            <w:sz w:val="22"/>
            <w:szCs w:val="22"/>
            <w:lang w:val="fr-FR"/>
          </w:rPr>
          <w:t>R</w:t>
        </w:r>
        <w:r w:rsidR="007F33E6" w:rsidRPr="000768B2">
          <w:rPr>
            <w:sz w:val="22"/>
            <w:szCs w:val="22"/>
            <w:lang w:val="fr-FR"/>
          </w:rPr>
          <w:t>é</w:t>
        </w:r>
        <w:r w:rsidRPr="000768B2">
          <w:rPr>
            <w:sz w:val="22"/>
            <w:szCs w:val="22"/>
            <w:lang w:val="fr-FR"/>
          </w:rPr>
          <w:t>uni</w:t>
        </w:r>
        <w:r w:rsidR="007F33E6" w:rsidRPr="000768B2">
          <w:rPr>
            <w:sz w:val="22"/>
            <w:szCs w:val="22"/>
            <w:lang w:val="fr-FR"/>
          </w:rPr>
          <w:t>o</w:t>
        </w:r>
        <w:r w:rsidRPr="000768B2">
          <w:rPr>
            <w:sz w:val="22"/>
            <w:szCs w:val="22"/>
            <w:lang w:val="fr-FR"/>
          </w:rPr>
          <w:t xml:space="preserve">n </w:t>
        </w:r>
        <w:r w:rsidR="007F33E6" w:rsidRPr="000768B2">
          <w:rPr>
            <w:sz w:val="22"/>
            <w:szCs w:val="22"/>
            <w:lang w:val="fr-FR"/>
          </w:rPr>
          <w:t>i</w:t>
        </w:r>
        <w:r w:rsidRPr="000768B2">
          <w:rPr>
            <w:sz w:val="22"/>
            <w:szCs w:val="22"/>
            <w:lang w:val="fr-FR"/>
          </w:rPr>
          <w:t>nteram</w:t>
        </w:r>
        <w:r w:rsidR="007F33E6" w:rsidRPr="000768B2">
          <w:rPr>
            <w:sz w:val="22"/>
            <w:szCs w:val="22"/>
            <w:lang w:val="fr-FR"/>
          </w:rPr>
          <w:t>é</w:t>
        </w:r>
        <w:r w:rsidRPr="000768B2">
          <w:rPr>
            <w:sz w:val="22"/>
            <w:szCs w:val="22"/>
            <w:lang w:val="fr-FR"/>
          </w:rPr>
          <w:t>rica</w:t>
        </w:r>
        <w:r w:rsidR="007F33E6" w:rsidRPr="000768B2">
          <w:rPr>
            <w:sz w:val="22"/>
            <w:szCs w:val="22"/>
            <w:lang w:val="fr-FR"/>
          </w:rPr>
          <w:t>i</w:t>
        </w:r>
        <w:r w:rsidRPr="000768B2">
          <w:rPr>
            <w:sz w:val="22"/>
            <w:szCs w:val="22"/>
            <w:lang w:val="fr-FR"/>
          </w:rPr>
          <w:t>n</w:t>
        </w:r>
        <w:r w:rsidR="007F33E6" w:rsidRPr="000768B2">
          <w:rPr>
            <w:sz w:val="22"/>
            <w:szCs w:val="22"/>
            <w:lang w:val="fr-FR"/>
          </w:rPr>
          <w:t>e</w:t>
        </w:r>
        <w:r w:rsidRPr="000768B2">
          <w:rPr>
            <w:sz w:val="22"/>
            <w:szCs w:val="22"/>
            <w:lang w:val="fr-FR"/>
          </w:rPr>
          <w:t xml:space="preserve"> de</w:t>
        </w:r>
        <w:r w:rsidR="007F33E6" w:rsidRPr="000768B2">
          <w:rPr>
            <w:sz w:val="22"/>
            <w:szCs w:val="22"/>
            <w:lang w:val="fr-FR"/>
          </w:rPr>
          <w:t>s m</w:t>
        </w:r>
        <w:r w:rsidRPr="000768B2">
          <w:rPr>
            <w:sz w:val="22"/>
            <w:szCs w:val="22"/>
            <w:lang w:val="fr-FR"/>
          </w:rPr>
          <w:t>inistr</w:t>
        </w:r>
        <w:r w:rsidR="007F33E6" w:rsidRPr="000768B2">
          <w:rPr>
            <w:sz w:val="22"/>
            <w:szCs w:val="22"/>
            <w:lang w:val="fr-FR"/>
          </w:rPr>
          <w:t>es de l’É</w:t>
        </w:r>
        <w:r w:rsidRPr="000768B2">
          <w:rPr>
            <w:sz w:val="22"/>
            <w:szCs w:val="22"/>
            <w:lang w:val="fr-FR"/>
          </w:rPr>
          <w:t>duca</w:t>
        </w:r>
        <w:r w:rsidR="007F33E6" w:rsidRPr="000768B2">
          <w:rPr>
            <w:sz w:val="22"/>
            <w:szCs w:val="22"/>
            <w:lang w:val="fr-FR"/>
          </w:rPr>
          <w:t>t</w:t>
        </w:r>
        <w:r w:rsidRPr="000768B2">
          <w:rPr>
            <w:sz w:val="22"/>
            <w:szCs w:val="22"/>
            <w:lang w:val="fr-FR"/>
          </w:rPr>
          <w:t>i</w:t>
        </w:r>
        <w:r w:rsidR="007F33E6" w:rsidRPr="000768B2">
          <w:rPr>
            <w:sz w:val="22"/>
            <w:szCs w:val="22"/>
            <w:lang w:val="fr-FR"/>
          </w:rPr>
          <w:t>o</w:t>
        </w:r>
        <w:r w:rsidRPr="000768B2">
          <w:rPr>
            <w:sz w:val="22"/>
            <w:szCs w:val="22"/>
            <w:lang w:val="fr-FR"/>
          </w:rPr>
          <w:t>n</w:t>
        </w:r>
      </w:hyperlink>
      <w:r w:rsidRPr="000768B2">
        <w:rPr>
          <w:sz w:val="22"/>
          <w:szCs w:val="22"/>
          <w:lang w:val="fr-FR"/>
        </w:rPr>
        <w:t xml:space="preserve"> </w:t>
      </w:r>
      <w:r w:rsidR="007F04AC" w:rsidRPr="000768B2">
        <w:rPr>
          <w:sz w:val="22"/>
          <w:szCs w:val="22"/>
          <w:lang w:val="fr-FR"/>
        </w:rPr>
        <w:t>tenue</w:t>
      </w:r>
      <w:r w:rsidR="007F33E6" w:rsidRPr="000768B2">
        <w:rPr>
          <w:sz w:val="22"/>
          <w:szCs w:val="22"/>
          <w:lang w:val="fr-FR"/>
        </w:rPr>
        <w:t xml:space="preserve"> en février 2017 aux Bahamas</w:t>
      </w:r>
      <w:r w:rsidRPr="000768B2">
        <w:rPr>
          <w:rFonts w:eastAsia="Malgun Gothic"/>
          <w:sz w:val="22"/>
          <w:szCs w:val="22"/>
          <w:lang w:val="fr-FR"/>
        </w:rPr>
        <w:t xml:space="preserve">, </w:t>
      </w:r>
      <w:r w:rsidR="007F33E6" w:rsidRPr="000768B2">
        <w:rPr>
          <w:rFonts w:eastAsia="Malgun Gothic"/>
          <w:sz w:val="22"/>
          <w:szCs w:val="22"/>
          <w:lang w:val="fr-FR"/>
        </w:rPr>
        <w:t xml:space="preserve">a marqué le début d’un processus </w:t>
      </w:r>
      <w:r w:rsidR="00255853" w:rsidRPr="000768B2">
        <w:rPr>
          <w:sz w:val="22"/>
          <w:szCs w:val="22"/>
          <w:lang w:val="fr-FR"/>
        </w:rPr>
        <w:t>d’établissement</w:t>
      </w:r>
      <w:r w:rsidR="00255853" w:rsidRPr="000768B2">
        <w:rPr>
          <w:rFonts w:eastAsia="Malgun Gothic"/>
          <w:sz w:val="22"/>
          <w:szCs w:val="22"/>
          <w:lang w:val="fr-FR"/>
        </w:rPr>
        <w:t xml:space="preserve"> </w:t>
      </w:r>
      <w:r w:rsidR="007F33E6" w:rsidRPr="000768B2">
        <w:rPr>
          <w:rFonts w:eastAsia="Malgun Gothic"/>
          <w:sz w:val="22"/>
          <w:szCs w:val="22"/>
          <w:lang w:val="fr-FR"/>
        </w:rPr>
        <w:t xml:space="preserve">de consensus </w:t>
      </w:r>
      <w:r w:rsidRPr="000768B2">
        <w:rPr>
          <w:rFonts w:eastAsia="Malgun Gothic"/>
          <w:sz w:val="22"/>
          <w:szCs w:val="22"/>
          <w:lang w:val="fr-FR"/>
        </w:rPr>
        <w:t>r</w:t>
      </w:r>
      <w:r w:rsidR="00FE781E" w:rsidRPr="000768B2">
        <w:rPr>
          <w:rFonts w:eastAsia="Malgun Gothic"/>
          <w:sz w:val="22"/>
          <w:szCs w:val="22"/>
          <w:lang w:val="fr-FR"/>
        </w:rPr>
        <w:t>é</w:t>
      </w:r>
      <w:r w:rsidRPr="000768B2">
        <w:rPr>
          <w:rFonts w:eastAsia="Malgun Gothic"/>
          <w:sz w:val="22"/>
          <w:szCs w:val="22"/>
          <w:lang w:val="fr-FR"/>
        </w:rPr>
        <w:t>giona</w:t>
      </w:r>
      <w:r w:rsidR="00FE781E" w:rsidRPr="000768B2">
        <w:rPr>
          <w:rFonts w:eastAsia="Malgun Gothic"/>
          <w:sz w:val="22"/>
          <w:szCs w:val="22"/>
          <w:lang w:val="fr-FR"/>
        </w:rPr>
        <w:t>ux</w:t>
      </w:r>
      <w:r w:rsidRPr="000768B2">
        <w:rPr>
          <w:rFonts w:eastAsia="Malgun Gothic"/>
          <w:sz w:val="22"/>
          <w:szCs w:val="22"/>
          <w:lang w:val="fr-FR"/>
        </w:rPr>
        <w:t xml:space="preserve"> </w:t>
      </w:r>
      <w:r w:rsidR="00FE781E" w:rsidRPr="000768B2">
        <w:rPr>
          <w:rFonts w:eastAsia="Malgun Gothic"/>
          <w:sz w:val="22"/>
          <w:szCs w:val="22"/>
          <w:lang w:val="fr-FR"/>
        </w:rPr>
        <w:t xml:space="preserve">qui se poursuit à ce jour par le biais des </w:t>
      </w:r>
      <w:r w:rsidRPr="000768B2">
        <w:rPr>
          <w:rFonts w:eastAsia="Malgun Gothic"/>
          <w:sz w:val="22"/>
          <w:szCs w:val="22"/>
          <w:lang w:val="fr-FR"/>
        </w:rPr>
        <w:t>autori</w:t>
      </w:r>
      <w:r w:rsidR="00FE781E" w:rsidRPr="000768B2">
        <w:rPr>
          <w:rFonts w:eastAsia="Malgun Gothic"/>
          <w:sz w:val="22"/>
          <w:szCs w:val="22"/>
          <w:lang w:val="fr-FR"/>
        </w:rPr>
        <w:t>tés sectorielles correspondantes</w:t>
      </w:r>
      <w:r w:rsidRPr="000768B2">
        <w:rPr>
          <w:rFonts w:eastAsia="Malgun Gothic"/>
          <w:sz w:val="22"/>
          <w:szCs w:val="22"/>
          <w:lang w:val="fr-FR"/>
        </w:rPr>
        <w:t>.</w:t>
      </w:r>
    </w:p>
    <w:p w14:paraId="47243B38" w14:textId="77777777" w:rsidR="005838B7" w:rsidRPr="000768B2" w:rsidRDefault="005838B7" w:rsidP="000768B2">
      <w:pPr>
        <w:contextualSpacing/>
        <w:jc w:val="both"/>
        <w:rPr>
          <w:rFonts w:eastAsia="Malgun Gothic"/>
          <w:sz w:val="22"/>
          <w:szCs w:val="22"/>
          <w:lang w:val="fr-FR"/>
        </w:rPr>
      </w:pPr>
    </w:p>
    <w:p w14:paraId="5400A098" w14:textId="49078008" w:rsidR="005838B7" w:rsidRPr="000768B2" w:rsidRDefault="00652E5B" w:rsidP="000768B2">
      <w:pPr>
        <w:ind w:firstLine="720"/>
        <w:contextualSpacing/>
        <w:jc w:val="both"/>
        <w:rPr>
          <w:rFonts w:eastAsia="Malgun Gothic"/>
          <w:sz w:val="22"/>
          <w:szCs w:val="22"/>
          <w:lang w:val="fr-FR"/>
        </w:rPr>
      </w:pPr>
      <w:r w:rsidRPr="000768B2">
        <w:rPr>
          <w:rFonts w:eastAsia="Malgun Gothic"/>
          <w:sz w:val="22"/>
          <w:szCs w:val="22"/>
          <w:lang w:val="fr-FR"/>
        </w:rPr>
        <w:t>Cette seconde phase comporte trois éléments fondamentaux </w:t>
      </w:r>
      <w:r w:rsidR="005838B7" w:rsidRPr="000768B2">
        <w:rPr>
          <w:rFonts w:eastAsia="Malgun Gothic"/>
          <w:sz w:val="22"/>
          <w:szCs w:val="22"/>
          <w:lang w:val="fr-FR"/>
        </w:rPr>
        <w:t>:</w:t>
      </w:r>
    </w:p>
    <w:p w14:paraId="371DCB79" w14:textId="77777777" w:rsidR="005838B7" w:rsidRPr="000768B2" w:rsidRDefault="005838B7" w:rsidP="000768B2">
      <w:pPr>
        <w:contextualSpacing/>
        <w:jc w:val="both"/>
        <w:rPr>
          <w:rFonts w:eastAsia="Malgun Gothic"/>
          <w:sz w:val="22"/>
          <w:szCs w:val="22"/>
          <w:lang w:val="fr-FR"/>
        </w:rPr>
      </w:pPr>
    </w:p>
    <w:p w14:paraId="0D13BC26" w14:textId="0D23AED9" w:rsidR="005838B7" w:rsidRPr="000768B2" w:rsidRDefault="005838B7" w:rsidP="000768B2">
      <w:pPr>
        <w:numPr>
          <w:ilvl w:val="0"/>
          <w:numId w:val="14"/>
        </w:numPr>
        <w:ind w:hanging="720"/>
        <w:contextualSpacing/>
        <w:jc w:val="both"/>
        <w:rPr>
          <w:bCs/>
          <w:sz w:val="22"/>
          <w:szCs w:val="22"/>
          <w:lang w:val="fr-FR"/>
        </w:rPr>
      </w:pPr>
      <w:r w:rsidRPr="000768B2">
        <w:rPr>
          <w:bCs/>
          <w:sz w:val="22"/>
          <w:szCs w:val="22"/>
          <w:lang w:val="fr-FR"/>
        </w:rPr>
        <w:t>Pr</w:t>
      </w:r>
      <w:r w:rsidR="00652E5B" w:rsidRPr="000768B2">
        <w:rPr>
          <w:bCs/>
          <w:sz w:val="22"/>
          <w:szCs w:val="22"/>
          <w:lang w:val="fr-FR"/>
        </w:rPr>
        <w:t xml:space="preserve">ésentation des conclusions, des enseignements tirés et des propositions d’action émanant des dialogues sur les politiques publiques et les activités menées en </w:t>
      </w:r>
      <w:r w:rsidRPr="000768B2">
        <w:rPr>
          <w:bCs/>
          <w:sz w:val="22"/>
          <w:szCs w:val="22"/>
          <w:lang w:val="fr-FR"/>
        </w:rPr>
        <w:t xml:space="preserve">2020 </w:t>
      </w:r>
      <w:r w:rsidR="00652E5B" w:rsidRPr="000768B2">
        <w:rPr>
          <w:bCs/>
          <w:sz w:val="22"/>
          <w:szCs w:val="22"/>
          <w:lang w:val="fr-FR"/>
        </w:rPr>
        <w:t xml:space="preserve">et </w:t>
      </w:r>
      <w:r w:rsidRPr="000768B2">
        <w:rPr>
          <w:bCs/>
          <w:sz w:val="22"/>
          <w:szCs w:val="22"/>
          <w:lang w:val="fr-FR"/>
        </w:rPr>
        <w:t>2021, qu</w:t>
      </w:r>
      <w:r w:rsidR="00652E5B" w:rsidRPr="000768B2">
        <w:rPr>
          <w:bCs/>
          <w:sz w:val="22"/>
          <w:szCs w:val="22"/>
          <w:lang w:val="fr-FR"/>
        </w:rPr>
        <w:t>i favorisent l’élaboration d’une proposition continental</w:t>
      </w:r>
      <w:r w:rsidRPr="000768B2">
        <w:rPr>
          <w:bCs/>
          <w:sz w:val="22"/>
          <w:szCs w:val="22"/>
          <w:lang w:val="fr-FR"/>
        </w:rPr>
        <w:t>e</w:t>
      </w:r>
      <w:r w:rsidR="00652E5B" w:rsidRPr="000768B2">
        <w:rPr>
          <w:bCs/>
          <w:sz w:val="22"/>
          <w:szCs w:val="22"/>
          <w:lang w:val="fr-FR"/>
        </w:rPr>
        <w:t xml:space="preserve"> fondée sur les expériences locales</w:t>
      </w:r>
      <w:r w:rsidRPr="000768B2">
        <w:rPr>
          <w:bCs/>
          <w:sz w:val="22"/>
          <w:szCs w:val="22"/>
          <w:lang w:val="fr-FR"/>
        </w:rPr>
        <w:t>.</w:t>
      </w:r>
    </w:p>
    <w:p w14:paraId="4925B374" w14:textId="24D6728B" w:rsidR="005838B7" w:rsidRPr="000768B2" w:rsidRDefault="00652E5B" w:rsidP="000768B2">
      <w:pPr>
        <w:numPr>
          <w:ilvl w:val="0"/>
          <w:numId w:val="14"/>
        </w:numPr>
        <w:ind w:hanging="720"/>
        <w:contextualSpacing/>
        <w:jc w:val="both"/>
        <w:rPr>
          <w:bCs/>
          <w:sz w:val="22"/>
          <w:szCs w:val="22"/>
          <w:lang w:val="fr-FR"/>
        </w:rPr>
      </w:pPr>
      <w:r w:rsidRPr="000768B2">
        <w:rPr>
          <w:bCs/>
          <w:sz w:val="22"/>
          <w:szCs w:val="22"/>
          <w:lang w:val="fr-FR"/>
        </w:rPr>
        <w:t>Élaboration d’une proposition continentale</w:t>
      </w:r>
      <w:r w:rsidR="00843CB1" w:rsidRPr="000768B2">
        <w:rPr>
          <w:bCs/>
          <w:sz w:val="22"/>
          <w:szCs w:val="22"/>
          <w:lang w:val="fr-FR"/>
        </w:rPr>
        <w:t xml:space="preserve"> </w:t>
      </w:r>
      <w:r w:rsidR="007F04AC" w:rsidRPr="000768B2">
        <w:rPr>
          <w:bCs/>
          <w:sz w:val="22"/>
          <w:szCs w:val="22"/>
          <w:lang w:val="fr-FR"/>
        </w:rPr>
        <w:t xml:space="preserve">assortie </w:t>
      </w:r>
      <w:r w:rsidR="00843CB1" w:rsidRPr="000768B2">
        <w:rPr>
          <w:bCs/>
          <w:sz w:val="22"/>
          <w:szCs w:val="22"/>
          <w:lang w:val="fr-FR"/>
        </w:rPr>
        <w:t>d’une approche multisectorielle : contributions des secteurs du travail et de la santé</w:t>
      </w:r>
      <w:r w:rsidR="005838B7" w:rsidRPr="000768B2">
        <w:rPr>
          <w:bCs/>
          <w:sz w:val="22"/>
          <w:szCs w:val="22"/>
          <w:lang w:val="fr-FR"/>
        </w:rPr>
        <w:t>.</w:t>
      </w:r>
    </w:p>
    <w:p w14:paraId="46624514" w14:textId="6187DC78" w:rsidR="005838B7" w:rsidRPr="000768B2" w:rsidRDefault="005838B7" w:rsidP="000768B2">
      <w:pPr>
        <w:numPr>
          <w:ilvl w:val="0"/>
          <w:numId w:val="14"/>
        </w:numPr>
        <w:ind w:hanging="720"/>
        <w:contextualSpacing/>
        <w:jc w:val="both"/>
        <w:rPr>
          <w:bCs/>
          <w:sz w:val="22"/>
          <w:szCs w:val="22"/>
          <w:lang w:val="fr-FR"/>
        </w:rPr>
      </w:pPr>
      <w:r w:rsidRPr="000768B2">
        <w:rPr>
          <w:bCs/>
          <w:sz w:val="22"/>
          <w:szCs w:val="22"/>
          <w:lang w:val="fr-FR"/>
        </w:rPr>
        <w:t>Prop</w:t>
      </w:r>
      <w:r w:rsidR="00843CB1" w:rsidRPr="000768B2">
        <w:rPr>
          <w:bCs/>
          <w:sz w:val="22"/>
          <w:szCs w:val="22"/>
          <w:lang w:val="fr-FR"/>
        </w:rPr>
        <w:t xml:space="preserve">osition d’une méthodologie pour l’adoption de la seconde phase du </w:t>
      </w:r>
      <w:r w:rsidR="00843CB1" w:rsidRPr="000768B2">
        <w:rPr>
          <w:sz w:val="22"/>
          <w:szCs w:val="22"/>
          <w:lang w:val="fr-FR"/>
        </w:rPr>
        <w:t>Programme éducatif interaméricain</w:t>
      </w:r>
      <w:r w:rsidRPr="000768B2">
        <w:rPr>
          <w:bCs/>
          <w:sz w:val="22"/>
          <w:szCs w:val="22"/>
          <w:lang w:val="fr-FR"/>
        </w:rPr>
        <w:t xml:space="preserve"> 2022-2027.</w:t>
      </w:r>
    </w:p>
    <w:p w14:paraId="402F89E2" w14:textId="77777777" w:rsidR="007F04AC" w:rsidRPr="000768B2" w:rsidRDefault="007F04AC" w:rsidP="000768B2">
      <w:pPr>
        <w:contextualSpacing/>
        <w:rPr>
          <w:bCs/>
          <w:sz w:val="22"/>
          <w:szCs w:val="22"/>
          <w:lang w:val="fr-FR"/>
        </w:rPr>
      </w:pPr>
    </w:p>
    <w:p w14:paraId="146707E4" w14:textId="6D74CBAB" w:rsidR="005838B7" w:rsidRPr="000768B2" w:rsidRDefault="007A7763" w:rsidP="000768B2">
      <w:pPr>
        <w:keepNext/>
        <w:numPr>
          <w:ilvl w:val="0"/>
          <w:numId w:val="13"/>
        </w:numPr>
        <w:ind w:left="0" w:firstLine="720"/>
        <w:contextualSpacing/>
        <w:jc w:val="both"/>
        <w:rPr>
          <w:rFonts w:eastAsia="Malgun Gothic"/>
          <w:b/>
          <w:sz w:val="22"/>
          <w:szCs w:val="22"/>
          <w:lang w:val="fr-FR" w:eastAsia="ko-KR"/>
        </w:rPr>
      </w:pPr>
      <w:r w:rsidRPr="000768B2">
        <w:rPr>
          <w:b/>
          <w:sz w:val="22"/>
          <w:szCs w:val="22"/>
          <w:lang w:val="fr-FR"/>
        </w:rPr>
        <w:lastRenderedPageBreak/>
        <w:t xml:space="preserve">Élection </w:t>
      </w:r>
      <w:r w:rsidRPr="000768B2">
        <w:rPr>
          <w:b/>
          <w:bCs/>
          <w:sz w:val="22"/>
          <w:szCs w:val="22"/>
          <w:lang w:val="fr-FR"/>
        </w:rPr>
        <w:t>du bureau de la CIE pour la période</w:t>
      </w:r>
      <w:r w:rsidR="005838B7" w:rsidRPr="000768B2">
        <w:rPr>
          <w:b/>
          <w:sz w:val="22"/>
          <w:szCs w:val="22"/>
          <w:lang w:val="fr-FR"/>
        </w:rPr>
        <w:t xml:space="preserve"> 2021-2024</w:t>
      </w:r>
      <w:r w:rsidRPr="000768B2">
        <w:rPr>
          <w:sz w:val="22"/>
          <w:szCs w:val="22"/>
          <w:lang w:val="fr-FR"/>
        </w:rPr>
        <w:t>.</w:t>
      </w:r>
    </w:p>
    <w:p w14:paraId="4FA6682E" w14:textId="77777777" w:rsidR="005838B7" w:rsidRPr="000768B2" w:rsidRDefault="005838B7" w:rsidP="000768B2">
      <w:pPr>
        <w:keepNext/>
        <w:contextualSpacing/>
        <w:jc w:val="both"/>
        <w:rPr>
          <w:rFonts w:eastAsia="Malgun Gothic"/>
          <w:bCs/>
          <w:sz w:val="22"/>
          <w:szCs w:val="22"/>
          <w:lang w:val="fr-FR" w:eastAsia="ko-KR"/>
        </w:rPr>
      </w:pPr>
    </w:p>
    <w:p w14:paraId="3DF788F3" w14:textId="1F3B5442" w:rsidR="005838B7" w:rsidRPr="000768B2" w:rsidRDefault="00FC4FF9" w:rsidP="000768B2">
      <w:pPr>
        <w:ind w:firstLine="720"/>
        <w:contextualSpacing/>
        <w:jc w:val="both"/>
        <w:rPr>
          <w:rFonts w:eastAsia="Malgun Gothic"/>
          <w:sz w:val="22"/>
          <w:szCs w:val="22"/>
          <w:lang w:val="fr-FR"/>
        </w:rPr>
      </w:pPr>
      <w:r w:rsidRPr="000768B2">
        <w:rPr>
          <w:rFonts w:eastAsia="Malgun Gothic"/>
          <w:sz w:val="22"/>
          <w:szCs w:val="22"/>
          <w:lang w:val="fr-FR"/>
        </w:rPr>
        <w:t>Conformémen</w:t>
      </w:r>
      <w:r w:rsidR="007F04AC" w:rsidRPr="000768B2">
        <w:rPr>
          <w:rFonts w:eastAsia="Malgun Gothic"/>
          <w:sz w:val="22"/>
          <w:szCs w:val="22"/>
          <w:lang w:val="fr-FR"/>
        </w:rPr>
        <w:t>t aux dispositions de l’article </w:t>
      </w:r>
      <w:r w:rsidR="005838B7" w:rsidRPr="000768B2">
        <w:rPr>
          <w:rFonts w:eastAsia="Malgun Gothic"/>
          <w:sz w:val="22"/>
          <w:szCs w:val="22"/>
          <w:lang w:val="fr-FR"/>
        </w:rPr>
        <w:t xml:space="preserve">4 </w:t>
      </w:r>
      <w:r w:rsidRPr="000768B2">
        <w:rPr>
          <w:rFonts w:eastAsia="Malgun Gothic"/>
          <w:sz w:val="22"/>
          <w:szCs w:val="22"/>
          <w:lang w:val="fr-FR"/>
        </w:rPr>
        <w:t xml:space="preserve">du </w:t>
      </w:r>
      <w:r w:rsidRPr="000768B2">
        <w:rPr>
          <w:rFonts w:eastAsia="Malgun Gothic"/>
          <w:sz w:val="22"/>
          <w:szCs w:val="22"/>
          <w:lang w:val="fr-FR" w:eastAsia="ko-KR"/>
        </w:rPr>
        <w:t>Règlement des Commissions interaméricaines adopté en mai</w:t>
      </w:r>
      <w:r w:rsidR="005838B7" w:rsidRPr="000768B2">
        <w:rPr>
          <w:rFonts w:eastAsia="Malgun Gothic"/>
          <w:sz w:val="22"/>
          <w:szCs w:val="22"/>
          <w:lang w:val="fr-FR"/>
        </w:rPr>
        <w:t xml:space="preserve"> 2018, </w:t>
      </w:r>
      <w:r w:rsidRPr="000768B2">
        <w:rPr>
          <w:rFonts w:eastAsia="Malgun Gothic"/>
          <w:sz w:val="22"/>
          <w:szCs w:val="22"/>
          <w:lang w:val="fr-FR" w:eastAsia="ko-KR"/>
        </w:rPr>
        <w:t xml:space="preserve">les </w:t>
      </w:r>
      <w:r w:rsidRPr="000768B2">
        <w:rPr>
          <w:rFonts w:eastAsia="Malgun Gothic"/>
          <w:sz w:val="22"/>
          <w:szCs w:val="22"/>
          <w:lang w:val="fr-FR"/>
        </w:rPr>
        <w:t>commissions interaméricaines du</w:t>
      </w:r>
      <w:r w:rsidR="005838B7" w:rsidRPr="000768B2">
        <w:rPr>
          <w:rFonts w:eastAsia="Malgun Gothic"/>
          <w:sz w:val="22"/>
          <w:szCs w:val="22"/>
          <w:lang w:val="fr-FR"/>
        </w:rPr>
        <w:t xml:space="preserve"> CIDI </w:t>
      </w:r>
      <w:r w:rsidR="00902F48" w:rsidRPr="000768B2">
        <w:rPr>
          <w:rFonts w:eastAsia="Malgun Gothic"/>
          <w:sz w:val="22"/>
          <w:szCs w:val="22"/>
          <w:lang w:val="fr-FR"/>
        </w:rPr>
        <w:t>élisent chacune un président et deux vice-présidents qui exercent leurs fonctions pendant trois ans ou jusqu’à la prochaine réunion ordinaire de la commission. Leur mandat débute à la date de leur élection et expire au moment de l’élection de leurs successeurs.</w:t>
      </w:r>
    </w:p>
    <w:p w14:paraId="5C4D9CC1" w14:textId="77777777" w:rsidR="005838B7" w:rsidRPr="000768B2" w:rsidRDefault="005838B7" w:rsidP="000768B2">
      <w:pPr>
        <w:contextualSpacing/>
        <w:rPr>
          <w:bCs/>
          <w:sz w:val="22"/>
          <w:szCs w:val="22"/>
          <w:lang w:val="fr-FR"/>
        </w:rPr>
      </w:pPr>
    </w:p>
    <w:p w14:paraId="28838715" w14:textId="344BC173" w:rsidR="005838B7" w:rsidRPr="000768B2" w:rsidRDefault="005838B7" w:rsidP="000768B2">
      <w:pPr>
        <w:numPr>
          <w:ilvl w:val="0"/>
          <w:numId w:val="13"/>
        </w:numPr>
        <w:ind w:left="1440" w:hanging="720"/>
        <w:contextualSpacing/>
        <w:jc w:val="both"/>
        <w:rPr>
          <w:bCs/>
          <w:sz w:val="22"/>
          <w:szCs w:val="22"/>
          <w:lang w:val="fr-FR"/>
        </w:rPr>
      </w:pPr>
      <w:r w:rsidRPr="000768B2">
        <w:rPr>
          <w:b/>
          <w:sz w:val="22"/>
          <w:szCs w:val="22"/>
          <w:lang w:val="fr-FR"/>
        </w:rPr>
        <w:t>R</w:t>
      </w:r>
      <w:r w:rsidR="008E5590" w:rsidRPr="000768B2">
        <w:rPr>
          <w:b/>
          <w:sz w:val="22"/>
          <w:szCs w:val="22"/>
          <w:lang w:val="fr-FR"/>
        </w:rPr>
        <w:t>é</w:t>
      </w:r>
      <w:r w:rsidRPr="000768B2">
        <w:rPr>
          <w:b/>
          <w:sz w:val="22"/>
          <w:szCs w:val="22"/>
          <w:lang w:val="fr-FR"/>
        </w:rPr>
        <w:t>cep</w:t>
      </w:r>
      <w:r w:rsidR="008E5590" w:rsidRPr="000768B2">
        <w:rPr>
          <w:b/>
          <w:sz w:val="22"/>
          <w:szCs w:val="22"/>
          <w:lang w:val="fr-FR"/>
        </w:rPr>
        <w:t>t</w:t>
      </w:r>
      <w:r w:rsidRPr="000768B2">
        <w:rPr>
          <w:b/>
          <w:sz w:val="22"/>
          <w:szCs w:val="22"/>
          <w:lang w:val="fr-FR"/>
        </w:rPr>
        <w:t>i</w:t>
      </w:r>
      <w:r w:rsidR="008E5590" w:rsidRPr="000768B2">
        <w:rPr>
          <w:b/>
          <w:sz w:val="22"/>
          <w:szCs w:val="22"/>
          <w:lang w:val="fr-FR"/>
        </w:rPr>
        <w:t>o</w:t>
      </w:r>
      <w:r w:rsidRPr="000768B2">
        <w:rPr>
          <w:b/>
          <w:sz w:val="22"/>
          <w:szCs w:val="22"/>
          <w:lang w:val="fr-FR"/>
        </w:rPr>
        <w:t xml:space="preserve">n </w:t>
      </w:r>
      <w:r w:rsidR="008E5590" w:rsidRPr="000768B2">
        <w:rPr>
          <w:b/>
          <w:bCs/>
          <w:sz w:val="22"/>
          <w:szCs w:val="22"/>
          <w:lang w:val="fr-FR"/>
        </w:rPr>
        <w:t>d’offre de siège et de date pour la XI</w:t>
      </w:r>
      <w:r w:rsidR="008E5590" w:rsidRPr="000768B2">
        <w:rPr>
          <w:b/>
          <w:bCs/>
          <w:sz w:val="22"/>
          <w:szCs w:val="22"/>
          <w:vertAlign w:val="superscript"/>
          <w:lang w:val="fr-FR"/>
        </w:rPr>
        <w:t>e</w:t>
      </w:r>
      <w:r w:rsidR="008D02C8" w:rsidRPr="000768B2">
        <w:rPr>
          <w:b/>
          <w:bCs/>
          <w:sz w:val="22"/>
          <w:szCs w:val="22"/>
          <w:lang w:val="fr-FR"/>
        </w:rPr>
        <w:t> </w:t>
      </w:r>
      <w:r w:rsidR="008E5590" w:rsidRPr="000768B2">
        <w:rPr>
          <w:b/>
          <w:bCs/>
          <w:sz w:val="22"/>
          <w:szCs w:val="22"/>
          <w:lang w:val="fr-FR"/>
        </w:rPr>
        <w:t>Réunion interaméricaine des ministres de l’Éducation</w:t>
      </w:r>
    </w:p>
    <w:p w14:paraId="58E20AD7" w14:textId="77777777" w:rsidR="005838B7" w:rsidRPr="000768B2" w:rsidRDefault="005838B7" w:rsidP="000768B2">
      <w:pPr>
        <w:contextualSpacing/>
        <w:rPr>
          <w:bCs/>
          <w:sz w:val="22"/>
          <w:szCs w:val="22"/>
          <w:lang w:val="fr-FR"/>
        </w:rPr>
      </w:pPr>
    </w:p>
    <w:p w14:paraId="72C6CE9E" w14:textId="1FFE3AE5" w:rsidR="005838B7" w:rsidRPr="000768B2" w:rsidRDefault="008D02C8" w:rsidP="000768B2">
      <w:pPr>
        <w:ind w:firstLine="720"/>
        <w:contextualSpacing/>
        <w:jc w:val="both"/>
        <w:rPr>
          <w:rFonts w:eastAsia="Malgun Gothic"/>
          <w:sz w:val="22"/>
          <w:szCs w:val="22"/>
          <w:lang w:val="fr-FR"/>
        </w:rPr>
      </w:pPr>
      <w:r w:rsidRPr="000768B2">
        <w:rPr>
          <w:rFonts w:eastAsia="Malgun Gothic"/>
          <w:sz w:val="22"/>
          <w:szCs w:val="22"/>
          <w:lang w:val="fr-FR"/>
        </w:rPr>
        <w:t>Conformément à l’article </w:t>
      </w:r>
      <w:r w:rsidR="005838B7" w:rsidRPr="000768B2">
        <w:rPr>
          <w:rFonts w:eastAsia="Malgun Gothic"/>
          <w:sz w:val="22"/>
          <w:szCs w:val="22"/>
          <w:lang w:val="fr-FR"/>
        </w:rPr>
        <w:t>8 de</w:t>
      </w:r>
      <w:r w:rsidR="00CC2F02" w:rsidRPr="000768B2">
        <w:rPr>
          <w:rFonts w:eastAsia="Malgun Gothic"/>
          <w:sz w:val="22"/>
          <w:szCs w:val="22"/>
          <w:lang w:val="fr-FR"/>
        </w:rPr>
        <w:t>s directives</w:t>
      </w:r>
      <w:r w:rsidR="005838B7" w:rsidRPr="000768B2">
        <w:rPr>
          <w:rFonts w:eastAsia="Malgun Gothic"/>
          <w:sz w:val="22"/>
          <w:szCs w:val="22"/>
          <w:lang w:val="fr-FR"/>
        </w:rPr>
        <w:t xml:space="preserve"> </w:t>
      </w:r>
      <w:r w:rsidR="00CC2F02" w:rsidRPr="000768B2">
        <w:rPr>
          <w:rFonts w:eastAsia="Malgun Gothic"/>
          <w:sz w:val="22"/>
          <w:szCs w:val="22"/>
          <w:lang w:val="fr-FR"/>
        </w:rPr>
        <w:t>géné</w:t>
      </w:r>
      <w:r w:rsidR="005838B7" w:rsidRPr="000768B2">
        <w:rPr>
          <w:rFonts w:eastAsia="Malgun Gothic"/>
          <w:sz w:val="22"/>
          <w:szCs w:val="22"/>
          <w:lang w:val="fr-FR"/>
        </w:rPr>
        <w:t xml:space="preserve">rales </w:t>
      </w:r>
      <w:r w:rsidR="00CC2F02" w:rsidRPr="000768B2">
        <w:rPr>
          <w:rFonts w:eastAsia="Malgun Gothic"/>
          <w:sz w:val="22"/>
          <w:szCs w:val="22"/>
          <w:lang w:val="fr-FR"/>
        </w:rPr>
        <w:t xml:space="preserve">relatives aux processus sectoriels dans le domaine du </w:t>
      </w:r>
      <w:r w:rsidR="005838B7" w:rsidRPr="000768B2">
        <w:rPr>
          <w:rFonts w:eastAsia="Malgun Gothic"/>
          <w:sz w:val="22"/>
          <w:szCs w:val="22"/>
          <w:lang w:val="fr-FR"/>
        </w:rPr>
        <w:t xml:space="preserve">CIDI, </w:t>
      </w:r>
      <w:r w:rsidR="00CC2F02" w:rsidRPr="000768B2">
        <w:rPr>
          <w:rFonts w:eastAsia="Malgun Gothic"/>
          <w:sz w:val="22"/>
          <w:szCs w:val="22"/>
          <w:lang w:val="fr-FR"/>
        </w:rPr>
        <w:t xml:space="preserve">une fois que la Commission interaméricaine correspondante a déterminé le thème retenu pour la prochaine réunion des ministres, l’État membre souhaitant </w:t>
      </w:r>
      <w:r w:rsidRPr="000768B2">
        <w:rPr>
          <w:rFonts w:eastAsia="Malgun Gothic"/>
          <w:sz w:val="22"/>
          <w:szCs w:val="22"/>
          <w:lang w:val="fr-FR"/>
        </w:rPr>
        <w:t>accu</w:t>
      </w:r>
      <w:r w:rsidR="00CC2F02" w:rsidRPr="000768B2">
        <w:rPr>
          <w:rFonts w:eastAsia="Malgun Gothic"/>
          <w:sz w:val="22"/>
          <w:szCs w:val="22"/>
          <w:lang w:val="fr-FR"/>
        </w:rPr>
        <w:t>e</w:t>
      </w:r>
      <w:r w:rsidRPr="000768B2">
        <w:rPr>
          <w:rFonts w:eastAsia="Malgun Gothic"/>
          <w:sz w:val="22"/>
          <w:szCs w:val="22"/>
          <w:lang w:val="fr-FR"/>
        </w:rPr>
        <w:t>illir le</w:t>
      </w:r>
      <w:r w:rsidR="00CC2F02" w:rsidRPr="000768B2">
        <w:rPr>
          <w:rFonts w:eastAsia="Malgun Gothic"/>
          <w:sz w:val="22"/>
          <w:szCs w:val="22"/>
          <w:lang w:val="fr-FR"/>
        </w:rPr>
        <w:t xml:space="preserve"> siège doit manifester son intér</w:t>
      </w:r>
      <w:r w:rsidR="00537C7D" w:rsidRPr="000768B2">
        <w:rPr>
          <w:rFonts w:eastAsia="Malgun Gothic"/>
          <w:sz w:val="22"/>
          <w:szCs w:val="22"/>
          <w:lang w:val="fr-FR"/>
        </w:rPr>
        <w:t xml:space="preserve">êt par </w:t>
      </w:r>
      <w:r w:rsidR="00CC2F02" w:rsidRPr="000768B2">
        <w:rPr>
          <w:rFonts w:eastAsia="Malgun Gothic"/>
          <w:sz w:val="22"/>
          <w:szCs w:val="22"/>
          <w:lang w:val="fr-FR"/>
        </w:rPr>
        <w:t xml:space="preserve">une lettre adressée </w:t>
      </w:r>
      <w:r w:rsidR="00537C7D" w:rsidRPr="000768B2">
        <w:rPr>
          <w:rFonts w:eastAsia="Malgun Gothic"/>
          <w:sz w:val="22"/>
          <w:szCs w:val="22"/>
          <w:lang w:val="fr-FR"/>
        </w:rPr>
        <w:t xml:space="preserve">au </w:t>
      </w:r>
      <w:r w:rsidR="005838B7" w:rsidRPr="000768B2">
        <w:rPr>
          <w:rFonts w:eastAsia="Malgun Gothic"/>
          <w:sz w:val="22"/>
          <w:szCs w:val="22"/>
          <w:lang w:val="fr-FR"/>
        </w:rPr>
        <w:t>Secr</w:t>
      </w:r>
      <w:r w:rsidR="00537C7D" w:rsidRPr="000768B2">
        <w:rPr>
          <w:rFonts w:eastAsia="Malgun Gothic"/>
          <w:sz w:val="22"/>
          <w:szCs w:val="22"/>
          <w:lang w:val="fr-FR"/>
        </w:rPr>
        <w:t>é</w:t>
      </w:r>
      <w:r w:rsidR="005838B7" w:rsidRPr="000768B2">
        <w:rPr>
          <w:rFonts w:eastAsia="Malgun Gothic"/>
          <w:sz w:val="22"/>
          <w:szCs w:val="22"/>
          <w:lang w:val="fr-FR"/>
        </w:rPr>
        <w:t>tar</w:t>
      </w:r>
      <w:r w:rsidR="00537C7D" w:rsidRPr="000768B2">
        <w:rPr>
          <w:rFonts w:eastAsia="Malgun Gothic"/>
          <w:sz w:val="22"/>
          <w:szCs w:val="22"/>
          <w:lang w:val="fr-FR"/>
        </w:rPr>
        <w:t>i</w:t>
      </w:r>
      <w:r w:rsidR="005838B7" w:rsidRPr="000768B2">
        <w:rPr>
          <w:rFonts w:eastAsia="Malgun Gothic"/>
          <w:sz w:val="22"/>
          <w:szCs w:val="22"/>
          <w:lang w:val="fr-FR"/>
        </w:rPr>
        <w:t>a</w:t>
      </w:r>
      <w:r w:rsidR="00537C7D" w:rsidRPr="000768B2">
        <w:rPr>
          <w:rFonts w:eastAsia="Malgun Gothic"/>
          <w:sz w:val="22"/>
          <w:szCs w:val="22"/>
          <w:lang w:val="fr-FR"/>
        </w:rPr>
        <w:t>t</w:t>
      </w:r>
      <w:r w:rsidR="005838B7" w:rsidRPr="000768B2">
        <w:rPr>
          <w:rFonts w:eastAsia="Malgun Gothic"/>
          <w:sz w:val="22"/>
          <w:szCs w:val="22"/>
          <w:lang w:val="fr-FR"/>
        </w:rPr>
        <w:t xml:space="preserve"> </w:t>
      </w:r>
      <w:r w:rsidR="00537C7D" w:rsidRPr="000768B2">
        <w:rPr>
          <w:rFonts w:eastAsia="Malgun Gothic"/>
          <w:sz w:val="22"/>
          <w:szCs w:val="22"/>
          <w:lang w:val="fr-FR"/>
        </w:rPr>
        <w:t>gé</w:t>
      </w:r>
      <w:r w:rsidR="005838B7" w:rsidRPr="000768B2">
        <w:rPr>
          <w:rFonts w:eastAsia="Malgun Gothic"/>
          <w:sz w:val="22"/>
          <w:szCs w:val="22"/>
          <w:lang w:val="fr-FR"/>
        </w:rPr>
        <w:t>n</w:t>
      </w:r>
      <w:r w:rsidR="00537C7D" w:rsidRPr="000768B2">
        <w:rPr>
          <w:rFonts w:eastAsia="Malgun Gothic"/>
          <w:sz w:val="22"/>
          <w:szCs w:val="22"/>
          <w:lang w:val="fr-FR"/>
        </w:rPr>
        <w:t>éral de l’</w:t>
      </w:r>
      <w:r w:rsidR="005838B7" w:rsidRPr="000768B2">
        <w:rPr>
          <w:rFonts w:eastAsia="Malgun Gothic"/>
          <w:sz w:val="22"/>
          <w:szCs w:val="22"/>
          <w:lang w:val="fr-FR"/>
        </w:rPr>
        <w:t xml:space="preserve">OEA, </w:t>
      </w:r>
      <w:r w:rsidR="00537C7D" w:rsidRPr="000768B2">
        <w:rPr>
          <w:rFonts w:eastAsia="Malgun Gothic"/>
          <w:sz w:val="22"/>
          <w:szCs w:val="22"/>
          <w:lang w:val="fr-FR"/>
        </w:rPr>
        <w:t xml:space="preserve">remise impérativement par le biais de </w:t>
      </w:r>
      <w:r w:rsidR="005838B7" w:rsidRPr="000768B2">
        <w:rPr>
          <w:rFonts w:eastAsia="Malgun Gothic"/>
          <w:sz w:val="22"/>
          <w:szCs w:val="22"/>
          <w:lang w:val="fr-FR"/>
        </w:rPr>
        <w:t>la Mis</w:t>
      </w:r>
      <w:r w:rsidR="00537C7D" w:rsidRPr="000768B2">
        <w:rPr>
          <w:rFonts w:eastAsia="Malgun Gothic"/>
          <w:sz w:val="22"/>
          <w:szCs w:val="22"/>
          <w:lang w:val="fr-FR"/>
        </w:rPr>
        <w:t>s</w:t>
      </w:r>
      <w:r w:rsidR="005838B7" w:rsidRPr="000768B2">
        <w:rPr>
          <w:rFonts w:eastAsia="Malgun Gothic"/>
          <w:sz w:val="22"/>
          <w:szCs w:val="22"/>
          <w:lang w:val="fr-FR"/>
        </w:rPr>
        <w:t>i</w:t>
      </w:r>
      <w:r w:rsidR="00537C7D" w:rsidRPr="000768B2">
        <w:rPr>
          <w:rFonts w:eastAsia="Malgun Gothic"/>
          <w:sz w:val="22"/>
          <w:szCs w:val="22"/>
          <w:lang w:val="fr-FR"/>
        </w:rPr>
        <w:t>o</w:t>
      </w:r>
      <w:r w:rsidR="005838B7" w:rsidRPr="000768B2">
        <w:rPr>
          <w:rFonts w:eastAsia="Malgun Gothic"/>
          <w:sz w:val="22"/>
          <w:szCs w:val="22"/>
          <w:lang w:val="fr-FR"/>
        </w:rPr>
        <w:t xml:space="preserve">n </w:t>
      </w:r>
      <w:r w:rsidR="00537C7D" w:rsidRPr="000768B2">
        <w:rPr>
          <w:rFonts w:eastAsia="Malgun Gothic"/>
          <w:sz w:val="22"/>
          <w:szCs w:val="22"/>
          <w:lang w:val="fr-FR"/>
        </w:rPr>
        <w:t>p</w:t>
      </w:r>
      <w:r w:rsidR="005838B7" w:rsidRPr="000768B2">
        <w:rPr>
          <w:rFonts w:eastAsia="Malgun Gothic"/>
          <w:sz w:val="22"/>
          <w:szCs w:val="22"/>
          <w:lang w:val="fr-FR"/>
        </w:rPr>
        <w:t>ermanente de</w:t>
      </w:r>
      <w:r w:rsidR="00537C7D" w:rsidRPr="000768B2">
        <w:rPr>
          <w:rFonts w:eastAsia="Malgun Gothic"/>
          <w:sz w:val="22"/>
          <w:szCs w:val="22"/>
          <w:lang w:val="fr-FR"/>
        </w:rPr>
        <w:t xml:space="preserve"> l’État membre concerné et incluant, à titre indicatif, le lieu et les dates (jours, mois et année) de la tenue de la réunion</w:t>
      </w:r>
      <w:r w:rsidR="005838B7" w:rsidRPr="000768B2">
        <w:rPr>
          <w:rFonts w:eastAsia="Malgun Gothic"/>
          <w:sz w:val="22"/>
          <w:szCs w:val="22"/>
          <w:lang w:val="fr-FR"/>
        </w:rPr>
        <w:t>. L</w:t>
      </w:r>
      <w:r w:rsidR="00E43E12" w:rsidRPr="000768B2">
        <w:rPr>
          <w:rFonts w:eastAsia="Malgun Gothic"/>
          <w:sz w:val="22"/>
          <w:szCs w:val="22"/>
          <w:lang w:val="fr-FR"/>
        </w:rPr>
        <w:t>e</w:t>
      </w:r>
      <w:r w:rsidR="005838B7" w:rsidRPr="000768B2">
        <w:rPr>
          <w:rFonts w:eastAsia="Malgun Gothic"/>
          <w:sz w:val="22"/>
          <w:szCs w:val="22"/>
          <w:lang w:val="fr-FR"/>
        </w:rPr>
        <w:t xml:space="preserve"> </w:t>
      </w:r>
      <w:r w:rsidR="00E43E12" w:rsidRPr="000768B2">
        <w:rPr>
          <w:rFonts w:eastAsia="Malgun Gothic"/>
          <w:sz w:val="22"/>
          <w:szCs w:val="22"/>
          <w:lang w:val="fr-FR"/>
        </w:rPr>
        <w:t xml:space="preserve">Secrétariat général se charge ensuite d’en informer le Président du </w:t>
      </w:r>
      <w:r w:rsidR="005838B7" w:rsidRPr="000768B2">
        <w:rPr>
          <w:rFonts w:eastAsia="Malgun Gothic"/>
          <w:sz w:val="22"/>
          <w:szCs w:val="22"/>
          <w:lang w:val="fr-FR"/>
        </w:rPr>
        <w:t xml:space="preserve">CIDI, </w:t>
      </w:r>
      <w:r w:rsidR="00E43E12" w:rsidRPr="000768B2">
        <w:rPr>
          <w:rFonts w:eastAsia="Malgun Gothic"/>
          <w:sz w:val="22"/>
          <w:szCs w:val="22"/>
          <w:lang w:val="fr-FR"/>
        </w:rPr>
        <w:t xml:space="preserve">de manière à ce que le </w:t>
      </w:r>
      <w:r w:rsidR="005838B7" w:rsidRPr="000768B2">
        <w:rPr>
          <w:rFonts w:eastAsia="Malgun Gothic"/>
          <w:sz w:val="22"/>
          <w:szCs w:val="22"/>
          <w:lang w:val="fr-FR"/>
        </w:rPr>
        <w:t xml:space="preserve">CIDI </w:t>
      </w:r>
      <w:r w:rsidR="00E43E12" w:rsidRPr="000768B2">
        <w:rPr>
          <w:rFonts w:eastAsia="Malgun Gothic"/>
          <w:sz w:val="22"/>
          <w:szCs w:val="22"/>
          <w:lang w:val="fr-FR"/>
        </w:rPr>
        <w:t>établisse un avis de convocation</w:t>
      </w:r>
      <w:r w:rsidR="005838B7" w:rsidRPr="000768B2">
        <w:rPr>
          <w:rFonts w:eastAsia="Malgun Gothic"/>
          <w:sz w:val="22"/>
          <w:szCs w:val="22"/>
          <w:lang w:val="fr-FR"/>
        </w:rPr>
        <w:t xml:space="preserve">. Si </w:t>
      </w:r>
      <w:r w:rsidR="00E43E12" w:rsidRPr="000768B2">
        <w:rPr>
          <w:rFonts w:eastAsia="Malgun Gothic"/>
          <w:sz w:val="22"/>
          <w:szCs w:val="22"/>
          <w:lang w:val="fr-FR"/>
        </w:rPr>
        <w:t>le Secrétariat général ne reçoit aucune annonce officielle, la Commission peut demander au CIDI</w:t>
      </w:r>
      <w:r w:rsidR="00F7311F" w:rsidRPr="000768B2">
        <w:rPr>
          <w:rFonts w:eastAsia="Malgun Gothic"/>
          <w:sz w:val="22"/>
          <w:szCs w:val="22"/>
          <w:lang w:val="fr-FR"/>
        </w:rPr>
        <w:t xml:space="preserve"> de convoquer la réunion ministérielle au siège de l’</w:t>
      </w:r>
      <w:r w:rsidR="005838B7" w:rsidRPr="000768B2">
        <w:rPr>
          <w:rFonts w:eastAsia="Malgun Gothic"/>
          <w:sz w:val="22"/>
          <w:szCs w:val="22"/>
          <w:lang w:val="fr-FR"/>
        </w:rPr>
        <w:t xml:space="preserve">OEA. </w:t>
      </w:r>
    </w:p>
    <w:p w14:paraId="4FF16E8C" w14:textId="77777777" w:rsidR="005838B7" w:rsidRPr="000768B2" w:rsidRDefault="005838B7" w:rsidP="000768B2">
      <w:pPr>
        <w:contextualSpacing/>
        <w:rPr>
          <w:bCs/>
          <w:sz w:val="22"/>
          <w:szCs w:val="22"/>
          <w:lang w:val="fr-FR"/>
        </w:rPr>
      </w:pPr>
    </w:p>
    <w:p w14:paraId="7C2AC11B" w14:textId="784577EF" w:rsidR="005838B7" w:rsidRPr="000768B2" w:rsidRDefault="005838B7" w:rsidP="000768B2">
      <w:pPr>
        <w:ind w:firstLine="720"/>
        <w:jc w:val="both"/>
        <w:rPr>
          <w:bCs/>
          <w:sz w:val="22"/>
          <w:szCs w:val="22"/>
          <w:lang w:val="fr-FR"/>
        </w:rPr>
      </w:pPr>
      <w:r w:rsidRPr="000768B2">
        <w:rPr>
          <w:bCs/>
          <w:sz w:val="22"/>
          <w:szCs w:val="22"/>
          <w:lang w:val="fr-FR"/>
        </w:rPr>
        <w:t>S</w:t>
      </w:r>
      <w:r w:rsidR="00151A9A" w:rsidRPr="000768B2">
        <w:rPr>
          <w:bCs/>
          <w:sz w:val="22"/>
          <w:szCs w:val="22"/>
          <w:lang w:val="fr-FR"/>
        </w:rPr>
        <w:t xml:space="preserve">uite à cette session, il est attendu que les États décident des thèmes en vue de la </w:t>
      </w:r>
      <w:r w:rsidRPr="000768B2">
        <w:rPr>
          <w:bCs/>
          <w:sz w:val="22"/>
          <w:szCs w:val="22"/>
          <w:lang w:val="fr-FR"/>
        </w:rPr>
        <w:t>XI</w:t>
      </w:r>
      <w:r w:rsidR="00151A9A" w:rsidRPr="000768B2">
        <w:rPr>
          <w:bCs/>
          <w:sz w:val="22"/>
          <w:szCs w:val="22"/>
          <w:vertAlign w:val="superscript"/>
          <w:lang w:val="fr-FR"/>
        </w:rPr>
        <w:t>e</w:t>
      </w:r>
      <w:r w:rsidR="00836F6B" w:rsidRPr="000768B2">
        <w:rPr>
          <w:bCs/>
          <w:sz w:val="22"/>
          <w:szCs w:val="22"/>
          <w:lang w:val="fr-FR"/>
        </w:rPr>
        <w:t> </w:t>
      </w:r>
      <w:r w:rsidRPr="000768B2">
        <w:rPr>
          <w:bCs/>
          <w:sz w:val="22"/>
          <w:szCs w:val="22"/>
          <w:lang w:val="fr-FR"/>
        </w:rPr>
        <w:t>R</w:t>
      </w:r>
      <w:r w:rsidR="00151A9A" w:rsidRPr="000768B2">
        <w:rPr>
          <w:bCs/>
          <w:sz w:val="22"/>
          <w:szCs w:val="22"/>
          <w:lang w:val="fr-FR"/>
        </w:rPr>
        <w:t>é</w:t>
      </w:r>
      <w:r w:rsidRPr="000768B2">
        <w:rPr>
          <w:bCs/>
          <w:sz w:val="22"/>
          <w:szCs w:val="22"/>
          <w:lang w:val="fr-FR"/>
        </w:rPr>
        <w:t>uni</w:t>
      </w:r>
      <w:r w:rsidR="00151A9A" w:rsidRPr="000768B2">
        <w:rPr>
          <w:bCs/>
          <w:sz w:val="22"/>
          <w:szCs w:val="22"/>
          <w:lang w:val="fr-FR"/>
        </w:rPr>
        <w:t>on i</w:t>
      </w:r>
      <w:r w:rsidRPr="000768B2">
        <w:rPr>
          <w:bCs/>
          <w:sz w:val="22"/>
          <w:szCs w:val="22"/>
          <w:lang w:val="fr-FR"/>
        </w:rPr>
        <w:t>nteram</w:t>
      </w:r>
      <w:r w:rsidR="00151A9A" w:rsidRPr="000768B2">
        <w:rPr>
          <w:bCs/>
          <w:sz w:val="22"/>
          <w:szCs w:val="22"/>
          <w:lang w:val="fr-FR"/>
        </w:rPr>
        <w:t>é</w:t>
      </w:r>
      <w:r w:rsidRPr="000768B2">
        <w:rPr>
          <w:bCs/>
          <w:sz w:val="22"/>
          <w:szCs w:val="22"/>
          <w:lang w:val="fr-FR"/>
        </w:rPr>
        <w:t>rica</w:t>
      </w:r>
      <w:r w:rsidR="00151A9A" w:rsidRPr="000768B2">
        <w:rPr>
          <w:bCs/>
          <w:sz w:val="22"/>
          <w:szCs w:val="22"/>
          <w:lang w:val="fr-FR"/>
        </w:rPr>
        <w:t>i</w:t>
      </w:r>
      <w:r w:rsidRPr="000768B2">
        <w:rPr>
          <w:bCs/>
          <w:sz w:val="22"/>
          <w:szCs w:val="22"/>
          <w:lang w:val="fr-FR"/>
        </w:rPr>
        <w:t>n</w:t>
      </w:r>
      <w:r w:rsidR="00151A9A" w:rsidRPr="000768B2">
        <w:rPr>
          <w:bCs/>
          <w:sz w:val="22"/>
          <w:szCs w:val="22"/>
          <w:lang w:val="fr-FR"/>
        </w:rPr>
        <w:t>e</w:t>
      </w:r>
      <w:r w:rsidRPr="000768B2">
        <w:rPr>
          <w:bCs/>
          <w:sz w:val="22"/>
          <w:szCs w:val="22"/>
          <w:lang w:val="fr-FR"/>
        </w:rPr>
        <w:t xml:space="preserve"> de</w:t>
      </w:r>
      <w:r w:rsidR="00151A9A" w:rsidRPr="000768B2">
        <w:rPr>
          <w:bCs/>
          <w:sz w:val="22"/>
          <w:szCs w:val="22"/>
          <w:lang w:val="fr-FR"/>
        </w:rPr>
        <w:t>s</w:t>
      </w:r>
      <w:r w:rsidRPr="000768B2">
        <w:rPr>
          <w:bCs/>
          <w:sz w:val="22"/>
          <w:szCs w:val="22"/>
          <w:lang w:val="fr-FR"/>
        </w:rPr>
        <w:t xml:space="preserve"> </w:t>
      </w:r>
      <w:r w:rsidR="00151A9A" w:rsidRPr="000768B2">
        <w:rPr>
          <w:bCs/>
          <w:sz w:val="22"/>
          <w:szCs w:val="22"/>
          <w:lang w:val="fr-FR"/>
        </w:rPr>
        <w:t>m</w:t>
      </w:r>
      <w:r w:rsidRPr="000768B2">
        <w:rPr>
          <w:bCs/>
          <w:sz w:val="22"/>
          <w:szCs w:val="22"/>
          <w:lang w:val="fr-FR"/>
        </w:rPr>
        <w:t>inistr</w:t>
      </w:r>
      <w:r w:rsidR="00151A9A" w:rsidRPr="000768B2">
        <w:rPr>
          <w:bCs/>
          <w:sz w:val="22"/>
          <w:szCs w:val="22"/>
          <w:lang w:val="fr-FR"/>
        </w:rPr>
        <w:t>es de l’É</w:t>
      </w:r>
      <w:r w:rsidRPr="000768B2">
        <w:rPr>
          <w:bCs/>
          <w:sz w:val="22"/>
          <w:szCs w:val="22"/>
          <w:lang w:val="fr-FR"/>
        </w:rPr>
        <w:t>duca</w:t>
      </w:r>
      <w:r w:rsidR="00151A9A" w:rsidRPr="000768B2">
        <w:rPr>
          <w:bCs/>
          <w:sz w:val="22"/>
          <w:szCs w:val="22"/>
          <w:lang w:val="fr-FR"/>
        </w:rPr>
        <w:t>t</w:t>
      </w:r>
      <w:r w:rsidRPr="000768B2">
        <w:rPr>
          <w:bCs/>
          <w:sz w:val="22"/>
          <w:szCs w:val="22"/>
          <w:lang w:val="fr-FR"/>
        </w:rPr>
        <w:t>i</w:t>
      </w:r>
      <w:r w:rsidR="00151A9A" w:rsidRPr="000768B2">
        <w:rPr>
          <w:bCs/>
          <w:sz w:val="22"/>
          <w:szCs w:val="22"/>
          <w:lang w:val="fr-FR"/>
        </w:rPr>
        <w:t>o</w:t>
      </w:r>
      <w:r w:rsidRPr="000768B2">
        <w:rPr>
          <w:bCs/>
          <w:sz w:val="22"/>
          <w:szCs w:val="22"/>
          <w:lang w:val="fr-FR"/>
        </w:rPr>
        <w:t xml:space="preserve">n </w:t>
      </w:r>
      <w:r w:rsidR="00151A9A" w:rsidRPr="000768B2">
        <w:rPr>
          <w:bCs/>
          <w:sz w:val="22"/>
          <w:szCs w:val="22"/>
          <w:lang w:val="fr-FR"/>
        </w:rPr>
        <w:t>et donnent des directives au Secrétariat pour l’élaboration de l’avant-projet d’ordre du jour annoté ainsi que des projets de déclaration et de plan d’action</w:t>
      </w:r>
      <w:r w:rsidRPr="000768B2">
        <w:rPr>
          <w:bCs/>
          <w:sz w:val="22"/>
          <w:szCs w:val="22"/>
          <w:lang w:val="fr-FR"/>
        </w:rPr>
        <w:t xml:space="preserve">. </w:t>
      </w:r>
      <w:r w:rsidR="00151A9A" w:rsidRPr="000768B2">
        <w:rPr>
          <w:bCs/>
          <w:sz w:val="22"/>
          <w:szCs w:val="22"/>
          <w:lang w:val="fr-FR"/>
        </w:rPr>
        <w:t>Ces directives peuvent reprendre ou revoir et adapter les priorités établies lors des précédentes réunions ministérielles</w:t>
      </w:r>
      <w:r w:rsidRPr="000768B2">
        <w:rPr>
          <w:bCs/>
          <w:sz w:val="22"/>
          <w:szCs w:val="22"/>
          <w:lang w:val="fr-FR"/>
        </w:rPr>
        <w:t>.</w:t>
      </w:r>
    </w:p>
    <w:p w14:paraId="026BE891" w14:textId="77777777" w:rsidR="005838B7" w:rsidRPr="000768B2" w:rsidRDefault="005838B7" w:rsidP="000768B2">
      <w:pPr>
        <w:contextualSpacing/>
        <w:rPr>
          <w:bCs/>
          <w:sz w:val="22"/>
          <w:szCs w:val="22"/>
          <w:lang w:val="fr-FR"/>
        </w:rPr>
      </w:pPr>
    </w:p>
    <w:p w14:paraId="00C5AEE3" w14:textId="46313BD3" w:rsidR="005838B7" w:rsidRPr="000768B2" w:rsidRDefault="005838B7" w:rsidP="000768B2">
      <w:pPr>
        <w:numPr>
          <w:ilvl w:val="0"/>
          <w:numId w:val="15"/>
        </w:numPr>
        <w:ind w:left="0" w:firstLine="0"/>
        <w:contextualSpacing/>
        <w:rPr>
          <w:b/>
          <w:sz w:val="22"/>
          <w:szCs w:val="22"/>
          <w:lang w:val="fr-FR"/>
        </w:rPr>
      </w:pPr>
      <w:r w:rsidRPr="000768B2">
        <w:rPr>
          <w:b/>
          <w:sz w:val="22"/>
          <w:szCs w:val="22"/>
          <w:lang w:val="fr-FR"/>
        </w:rPr>
        <w:t>O</w:t>
      </w:r>
      <w:r w:rsidR="00587081" w:rsidRPr="000768B2">
        <w:rPr>
          <w:b/>
          <w:sz w:val="22"/>
          <w:szCs w:val="22"/>
          <w:lang w:val="fr-FR"/>
        </w:rPr>
        <w:t>BJECTIF</w:t>
      </w:r>
      <w:r w:rsidRPr="000768B2">
        <w:rPr>
          <w:b/>
          <w:sz w:val="22"/>
          <w:szCs w:val="22"/>
          <w:lang w:val="fr-FR"/>
        </w:rPr>
        <w:t xml:space="preserve"> DE </w:t>
      </w:r>
      <w:r w:rsidR="00587081" w:rsidRPr="000768B2">
        <w:rPr>
          <w:b/>
          <w:sz w:val="22"/>
          <w:szCs w:val="22"/>
          <w:lang w:val="fr-FR"/>
        </w:rPr>
        <w:t>C</w:t>
      </w:r>
      <w:r w:rsidRPr="000768B2">
        <w:rPr>
          <w:b/>
          <w:sz w:val="22"/>
          <w:szCs w:val="22"/>
          <w:lang w:val="fr-FR"/>
        </w:rPr>
        <w:t>E</w:t>
      </w:r>
      <w:r w:rsidR="00587081" w:rsidRPr="000768B2">
        <w:rPr>
          <w:b/>
          <w:sz w:val="22"/>
          <w:szCs w:val="22"/>
          <w:lang w:val="fr-FR"/>
        </w:rPr>
        <w:t>T</w:t>
      </w:r>
      <w:r w:rsidRPr="000768B2">
        <w:rPr>
          <w:b/>
          <w:sz w:val="22"/>
          <w:szCs w:val="22"/>
          <w:lang w:val="fr-FR"/>
        </w:rPr>
        <w:t>T</w:t>
      </w:r>
      <w:r w:rsidR="00587081" w:rsidRPr="000768B2">
        <w:rPr>
          <w:b/>
          <w:sz w:val="22"/>
          <w:szCs w:val="22"/>
          <w:lang w:val="fr-FR"/>
        </w:rPr>
        <w:t>E</w:t>
      </w:r>
      <w:r w:rsidRPr="000768B2">
        <w:rPr>
          <w:b/>
          <w:sz w:val="22"/>
          <w:szCs w:val="22"/>
          <w:lang w:val="fr-FR"/>
        </w:rPr>
        <w:t xml:space="preserve"> R</w:t>
      </w:r>
      <w:r w:rsidR="00587081" w:rsidRPr="000768B2">
        <w:rPr>
          <w:b/>
          <w:sz w:val="22"/>
          <w:szCs w:val="22"/>
          <w:lang w:val="fr-FR"/>
        </w:rPr>
        <w:t>É</w:t>
      </w:r>
      <w:r w:rsidRPr="000768B2">
        <w:rPr>
          <w:b/>
          <w:sz w:val="22"/>
          <w:szCs w:val="22"/>
          <w:lang w:val="fr-FR"/>
        </w:rPr>
        <w:t>UNION</w:t>
      </w:r>
      <w:r w:rsidRPr="000768B2">
        <w:rPr>
          <w:b/>
          <w:sz w:val="22"/>
          <w:szCs w:val="22"/>
          <w:u w:val="single"/>
          <w:vertAlign w:val="superscript"/>
          <w:lang w:val="fr-FR"/>
        </w:rPr>
        <w:footnoteReference w:id="1"/>
      </w:r>
      <w:r w:rsidRPr="000768B2">
        <w:rPr>
          <w:b/>
          <w:sz w:val="22"/>
          <w:szCs w:val="22"/>
          <w:vertAlign w:val="superscript"/>
          <w:lang w:val="fr-FR"/>
        </w:rPr>
        <w:t>/</w:t>
      </w:r>
    </w:p>
    <w:p w14:paraId="3AD2F463" w14:textId="77777777" w:rsidR="005838B7" w:rsidRPr="000768B2" w:rsidRDefault="005838B7" w:rsidP="000768B2">
      <w:pPr>
        <w:contextualSpacing/>
        <w:rPr>
          <w:sz w:val="22"/>
          <w:szCs w:val="22"/>
          <w:lang w:val="fr-FR"/>
        </w:rPr>
      </w:pPr>
    </w:p>
    <w:p w14:paraId="49F65419" w14:textId="0089DD6F" w:rsidR="005838B7" w:rsidRPr="000768B2" w:rsidRDefault="00427E29" w:rsidP="000768B2">
      <w:pPr>
        <w:ind w:firstLine="720"/>
        <w:jc w:val="both"/>
        <w:rPr>
          <w:sz w:val="22"/>
          <w:szCs w:val="22"/>
          <w:lang w:val="fr-FR"/>
        </w:rPr>
      </w:pPr>
      <w:r w:rsidRPr="000768B2">
        <w:rPr>
          <w:sz w:val="22"/>
          <w:szCs w:val="22"/>
          <w:lang w:val="fr-FR"/>
        </w:rPr>
        <w:t xml:space="preserve">Comme indiqué dans le texte des directives relatives aux processus sectoriels, </w:t>
      </w:r>
      <w:r w:rsidR="005838B7" w:rsidRPr="000768B2">
        <w:rPr>
          <w:sz w:val="22"/>
          <w:szCs w:val="22"/>
          <w:lang w:val="fr-FR"/>
        </w:rPr>
        <w:t>la r</w:t>
      </w:r>
      <w:r w:rsidRPr="000768B2">
        <w:rPr>
          <w:sz w:val="22"/>
          <w:szCs w:val="22"/>
          <w:lang w:val="fr-FR"/>
        </w:rPr>
        <w:t>é</w:t>
      </w:r>
      <w:r w:rsidR="005838B7" w:rsidRPr="000768B2">
        <w:rPr>
          <w:sz w:val="22"/>
          <w:szCs w:val="22"/>
          <w:lang w:val="fr-FR"/>
        </w:rPr>
        <w:t>uni</w:t>
      </w:r>
      <w:r w:rsidRPr="000768B2">
        <w:rPr>
          <w:sz w:val="22"/>
          <w:szCs w:val="22"/>
          <w:lang w:val="fr-FR"/>
        </w:rPr>
        <w:t>o</w:t>
      </w:r>
      <w:r w:rsidR="005838B7" w:rsidRPr="000768B2">
        <w:rPr>
          <w:sz w:val="22"/>
          <w:szCs w:val="22"/>
          <w:lang w:val="fr-FR"/>
        </w:rPr>
        <w:t xml:space="preserve">n </w:t>
      </w:r>
      <w:r w:rsidRPr="000768B2">
        <w:rPr>
          <w:sz w:val="22"/>
          <w:szCs w:val="22"/>
          <w:lang w:val="fr-FR"/>
        </w:rPr>
        <w:t xml:space="preserve">a pour objectif : </w:t>
      </w:r>
      <w:r w:rsidR="005838B7" w:rsidRPr="000768B2">
        <w:rPr>
          <w:sz w:val="22"/>
          <w:szCs w:val="22"/>
          <w:lang w:val="fr-FR"/>
        </w:rPr>
        <w:t xml:space="preserve">(i) </w:t>
      </w:r>
      <w:r w:rsidR="00587081" w:rsidRPr="000768B2">
        <w:rPr>
          <w:sz w:val="22"/>
          <w:szCs w:val="22"/>
          <w:lang w:val="fr-FR"/>
        </w:rPr>
        <w:t>d’examiner l’état d’avancement et la mise en œuvre des mandats ministériels (mise en œuvre du Plan d’action et du Plan de travail</w:t>
      </w:r>
      <w:r w:rsidR="005838B7" w:rsidRPr="000768B2">
        <w:rPr>
          <w:sz w:val="22"/>
          <w:szCs w:val="22"/>
          <w:lang w:val="fr-FR"/>
        </w:rPr>
        <w:t>)</w:t>
      </w:r>
      <w:r w:rsidR="00587081" w:rsidRPr="000768B2">
        <w:rPr>
          <w:sz w:val="22"/>
          <w:szCs w:val="22"/>
          <w:lang w:val="fr-FR"/>
        </w:rPr>
        <w:t> </w:t>
      </w:r>
      <w:r w:rsidR="005838B7" w:rsidRPr="000768B2">
        <w:rPr>
          <w:sz w:val="22"/>
          <w:szCs w:val="22"/>
          <w:lang w:val="fr-FR"/>
        </w:rPr>
        <w:t xml:space="preserve">; (ii) </w:t>
      </w:r>
      <w:r w:rsidR="00587081" w:rsidRPr="000768B2">
        <w:rPr>
          <w:sz w:val="22"/>
          <w:szCs w:val="22"/>
          <w:lang w:val="fr-FR"/>
        </w:rPr>
        <w:t>d’observer les tendances régionales en la matière et la pertinence du travail de l’</w:t>
      </w:r>
      <w:r w:rsidR="005838B7" w:rsidRPr="000768B2">
        <w:rPr>
          <w:sz w:val="22"/>
          <w:szCs w:val="22"/>
          <w:lang w:val="fr-FR"/>
        </w:rPr>
        <w:t xml:space="preserve">OEA </w:t>
      </w:r>
      <w:r w:rsidR="00587081" w:rsidRPr="000768B2">
        <w:rPr>
          <w:sz w:val="22"/>
          <w:szCs w:val="22"/>
          <w:lang w:val="fr-FR"/>
        </w:rPr>
        <w:t>dans les domaines</w:t>
      </w:r>
      <w:r w:rsidR="005838B7" w:rsidRPr="000768B2">
        <w:rPr>
          <w:sz w:val="22"/>
          <w:szCs w:val="22"/>
          <w:lang w:val="fr-FR"/>
        </w:rPr>
        <w:t xml:space="preserve"> de priori</w:t>
      </w:r>
      <w:r w:rsidR="00587081" w:rsidRPr="000768B2">
        <w:rPr>
          <w:sz w:val="22"/>
          <w:szCs w:val="22"/>
          <w:lang w:val="fr-FR"/>
        </w:rPr>
        <w:t>té </w:t>
      </w:r>
      <w:r w:rsidRPr="000768B2">
        <w:rPr>
          <w:sz w:val="22"/>
          <w:szCs w:val="22"/>
          <w:lang w:val="fr-FR"/>
        </w:rPr>
        <w:t xml:space="preserve">; </w:t>
      </w:r>
      <w:r w:rsidR="005838B7" w:rsidRPr="000768B2">
        <w:rPr>
          <w:sz w:val="22"/>
          <w:szCs w:val="22"/>
          <w:lang w:val="fr-FR"/>
        </w:rPr>
        <w:t xml:space="preserve">(iii) </w:t>
      </w:r>
      <w:r w:rsidRPr="000768B2">
        <w:rPr>
          <w:sz w:val="22"/>
          <w:szCs w:val="22"/>
          <w:lang w:val="fr-FR"/>
        </w:rPr>
        <w:t>de décider du ou des thèmes qui seront abordés lors de la prochaine réunion ministérielle et de donner des directives au Secrétariat pour la rédaction de l’avant-projet d’ordre du jour annoté </w:t>
      </w:r>
      <w:r w:rsidR="005838B7" w:rsidRPr="000768B2">
        <w:rPr>
          <w:sz w:val="22"/>
          <w:szCs w:val="22"/>
          <w:lang w:val="fr-FR"/>
        </w:rPr>
        <w:t xml:space="preserve">; </w:t>
      </w:r>
      <w:r w:rsidRPr="000768B2">
        <w:rPr>
          <w:sz w:val="22"/>
          <w:szCs w:val="22"/>
          <w:lang w:val="fr-FR"/>
        </w:rPr>
        <w:t xml:space="preserve">et </w:t>
      </w:r>
      <w:r w:rsidR="005838B7" w:rsidRPr="000768B2">
        <w:rPr>
          <w:sz w:val="22"/>
          <w:szCs w:val="22"/>
          <w:lang w:val="fr-FR"/>
        </w:rPr>
        <w:t xml:space="preserve">(iv) </w:t>
      </w:r>
      <w:r w:rsidRPr="000768B2">
        <w:rPr>
          <w:sz w:val="22"/>
          <w:szCs w:val="22"/>
          <w:lang w:val="fr-FR"/>
        </w:rPr>
        <w:t xml:space="preserve">de recevoir les annonces officielles </w:t>
      </w:r>
      <w:r w:rsidR="002405CB" w:rsidRPr="000768B2">
        <w:rPr>
          <w:sz w:val="22"/>
          <w:szCs w:val="22"/>
          <w:lang w:val="fr-FR"/>
        </w:rPr>
        <w:t xml:space="preserve">de la part des pays souhaitant </w:t>
      </w:r>
      <w:r w:rsidR="00836F6B" w:rsidRPr="000768B2">
        <w:rPr>
          <w:sz w:val="22"/>
          <w:szCs w:val="22"/>
          <w:lang w:val="fr-FR"/>
        </w:rPr>
        <w:t>accueillir</w:t>
      </w:r>
      <w:r w:rsidR="002405CB" w:rsidRPr="000768B2">
        <w:rPr>
          <w:sz w:val="22"/>
          <w:szCs w:val="22"/>
          <w:lang w:val="fr-FR"/>
        </w:rPr>
        <w:t xml:space="preserve"> le siège de la prochaine réunion ministérielle et de les transmettre au </w:t>
      </w:r>
      <w:r w:rsidR="005838B7" w:rsidRPr="000768B2">
        <w:rPr>
          <w:sz w:val="22"/>
          <w:szCs w:val="22"/>
          <w:lang w:val="fr-FR"/>
        </w:rPr>
        <w:t xml:space="preserve">CIDI </w:t>
      </w:r>
      <w:r w:rsidR="002405CB" w:rsidRPr="000768B2">
        <w:rPr>
          <w:sz w:val="22"/>
          <w:szCs w:val="22"/>
          <w:lang w:val="fr-FR"/>
        </w:rPr>
        <w:t xml:space="preserve">en vue de leur approbation et de </w:t>
      </w:r>
      <w:r w:rsidR="00FC26EC" w:rsidRPr="000768B2">
        <w:rPr>
          <w:sz w:val="22"/>
          <w:szCs w:val="22"/>
          <w:lang w:val="fr-FR"/>
        </w:rPr>
        <w:t xml:space="preserve">la </w:t>
      </w:r>
      <w:r w:rsidR="00EC4B98" w:rsidRPr="000768B2">
        <w:rPr>
          <w:sz w:val="22"/>
          <w:szCs w:val="22"/>
          <w:lang w:val="fr-FR"/>
        </w:rPr>
        <w:t>publication d</w:t>
      </w:r>
      <w:r w:rsidR="002405CB" w:rsidRPr="000768B2">
        <w:rPr>
          <w:sz w:val="22"/>
          <w:szCs w:val="22"/>
          <w:lang w:val="fr-FR"/>
        </w:rPr>
        <w:t>’</w:t>
      </w:r>
      <w:r w:rsidR="00EC4B98" w:rsidRPr="000768B2">
        <w:rPr>
          <w:sz w:val="22"/>
          <w:szCs w:val="22"/>
          <w:lang w:val="fr-FR"/>
        </w:rPr>
        <w:t xml:space="preserve">un </w:t>
      </w:r>
      <w:r w:rsidR="002405CB" w:rsidRPr="000768B2">
        <w:rPr>
          <w:sz w:val="22"/>
          <w:szCs w:val="22"/>
          <w:lang w:val="fr-FR"/>
        </w:rPr>
        <w:t>avis de convocation formel</w:t>
      </w:r>
      <w:r w:rsidR="005838B7" w:rsidRPr="000768B2">
        <w:rPr>
          <w:sz w:val="22"/>
          <w:szCs w:val="22"/>
          <w:lang w:val="fr-FR"/>
        </w:rPr>
        <w:t xml:space="preserve">. </w:t>
      </w:r>
      <w:r w:rsidRPr="000768B2">
        <w:rPr>
          <w:rFonts w:eastAsia="Malgun Gothic"/>
          <w:sz w:val="22"/>
          <w:szCs w:val="22"/>
          <w:lang w:val="fr-FR"/>
        </w:rPr>
        <w:t>Si le Secrétariat général ne reçoit aucune annonce officielle, la Commission peut demander au CIDI de convoquer la réunion ministérielle au siège de l’OEA</w:t>
      </w:r>
      <w:r w:rsidR="005838B7" w:rsidRPr="000768B2">
        <w:rPr>
          <w:sz w:val="22"/>
          <w:szCs w:val="22"/>
          <w:lang w:val="fr-FR"/>
        </w:rPr>
        <w:t xml:space="preserve">. </w:t>
      </w:r>
    </w:p>
    <w:p w14:paraId="261E0C00" w14:textId="77777777" w:rsidR="005838B7" w:rsidRPr="000768B2" w:rsidRDefault="005838B7" w:rsidP="000768B2">
      <w:pPr>
        <w:jc w:val="both"/>
        <w:rPr>
          <w:sz w:val="22"/>
          <w:szCs w:val="22"/>
          <w:lang w:val="fr-FR"/>
        </w:rPr>
      </w:pPr>
    </w:p>
    <w:p w14:paraId="014A5A60" w14:textId="47F60679" w:rsidR="005838B7" w:rsidRPr="000768B2" w:rsidRDefault="005838B7" w:rsidP="000768B2">
      <w:pPr>
        <w:numPr>
          <w:ilvl w:val="0"/>
          <w:numId w:val="15"/>
        </w:numPr>
        <w:ind w:left="0" w:firstLine="0"/>
        <w:contextualSpacing/>
        <w:rPr>
          <w:b/>
          <w:sz w:val="22"/>
          <w:szCs w:val="22"/>
          <w:lang w:val="fr-FR"/>
        </w:rPr>
      </w:pPr>
      <w:r w:rsidRPr="000768B2">
        <w:rPr>
          <w:b/>
          <w:sz w:val="22"/>
          <w:szCs w:val="22"/>
          <w:lang w:val="fr-FR"/>
        </w:rPr>
        <w:t>R</w:t>
      </w:r>
      <w:r w:rsidR="0023545C" w:rsidRPr="000768B2">
        <w:rPr>
          <w:b/>
          <w:sz w:val="22"/>
          <w:szCs w:val="22"/>
          <w:lang w:val="fr-FR"/>
        </w:rPr>
        <w:t>É</w:t>
      </w:r>
      <w:r w:rsidRPr="000768B2">
        <w:rPr>
          <w:b/>
          <w:sz w:val="22"/>
          <w:szCs w:val="22"/>
          <w:lang w:val="fr-FR"/>
        </w:rPr>
        <w:t>SULTA</w:t>
      </w:r>
      <w:r w:rsidR="0023545C" w:rsidRPr="000768B2">
        <w:rPr>
          <w:b/>
          <w:sz w:val="22"/>
          <w:szCs w:val="22"/>
          <w:lang w:val="fr-FR"/>
        </w:rPr>
        <w:t>TS ESCOMPTÉ</w:t>
      </w:r>
      <w:r w:rsidRPr="000768B2">
        <w:rPr>
          <w:b/>
          <w:sz w:val="22"/>
          <w:szCs w:val="22"/>
          <w:lang w:val="fr-FR"/>
        </w:rPr>
        <w:t>S</w:t>
      </w:r>
      <w:r w:rsidRPr="000768B2">
        <w:rPr>
          <w:b/>
          <w:sz w:val="22"/>
          <w:szCs w:val="22"/>
          <w:u w:val="single"/>
          <w:vertAlign w:val="superscript"/>
          <w:lang w:val="fr-FR"/>
        </w:rPr>
        <w:footnoteReference w:id="2"/>
      </w:r>
      <w:r w:rsidRPr="000768B2">
        <w:rPr>
          <w:b/>
          <w:sz w:val="22"/>
          <w:szCs w:val="22"/>
          <w:vertAlign w:val="superscript"/>
          <w:lang w:val="fr-FR"/>
        </w:rPr>
        <w:t>/</w:t>
      </w:r>
    </w:p>
    <w:p w14:paraId="1C79CD4C" w14:textId="77777777" w:rsidR="005838B7" w:rsidRPr="000768B2" w:rsidRDefault="005838B7" w:rsidP="000768B2">
      <w:pPr>
        <w:contextualSpacing/>
        <w:rPr>
          <w:b/>
          <w:sz w:val="22"/>
          <w:szCs w:val="22"/>
          <w:lang w:val="fr-FR"/>
        </w:rPr>
      </w:pPr>
    </w:p>
    <w:p w14:paraId="07C5ADD6" w14:textId="22B3A24E" w:rsidR="005838B7" w:rsidRPr="000768B2" w:rsidRDefault="00B5392F" w:rsidP="000768B2">
      <w:pPr>
        <w:ind w:firstLine="720"/>
        <w:jc w:val="both"/>
        <w:rPr>
          <w:sz w:val="22"/>
          <w:szCs w:val="22"/>
          <w:lang w:val="fr-FR"/>
        </w:rPr>
      </w:pPr>
      <w:r w:rsidRPr="000768B2">
        <w:rPr>
          <w:sz w:val="22"/>
          <w:szCs w:val="22"/>
          <w:lang w:val="fr-FR"/>
        </w:rPr>
        <w:t xml:space="preserve">Approbation des thèmes en vue de la prochaine réunion ministérielle et communication des directives au Secrétariat pour l’élaboration de l’avant-projet d’ordre du jour annoté et des projets de </w:t>
      </w:r>
      <w:r w:rsidRPr="000768B2">
        <w:rPr>
          <w:sz w:val="22"/>
          <w:szCs w:val="22"/>
          <w:lang w:val="fr-FR"/>
        </w:rPr>
        <w:lastRenderedPageBreak/>
        <w:t>déclaration et de plan d’action</w:t>
      </w:r>
      <w:r w:rsidR="005838B7" w:rsidRPr="000768B2">
        <w:rPr>
          <w:sz w:val="22"/>
          <w:szCs w:val="22"/>
          <w:lang w:val="fr-FR"/>
        </w:rPr>
        <w:t xml:space="preserve">. </w:t>
      </w:r>
      <w:r w:rsidR="00EC4B98" w:rsidRPr="000768B2">
        <w:rPr>
          <w:bCs/>
          <w:sz w:val="22"/>
          <w:szCs w:val="22"/>
          <w:lang w:val="fr-FR"/>
        </w:rPr>
        <w:t>Ces directives peuvent reprendre ou revoir et adapter les priorités établies lors des précédentes réunions ministérielles </w:t>
      </w:r>
      <w:r w:rsidR="005838B7" w:rsidRPr="000768B2">
        <w:rPr>
          <w:sz w:val="22"/>
          <w:szCs w:val="22"/>
          <w:lang w:val="fr-FR"/>
        </w:rPr>
        <w:t xml:space="preserve">; </w:t>
      </w:r>
      <w:r w:rsidR="00B34DFC" w:rsidRPr="000768B2">
        <w:rPr>
          <w:sz w:val="22"/>
          <w:szCs w:val="22"/>
          <w:lang w:val="fr-FR"/>
        </w:rPr>
        <w:t>choix du siège et de la date pour la tenue de la prochaine réunion ministérielle </w:t>
      </w:r>
      <w:r w:rsidR="005838B7" w:rsidRPr="000768B2">
        <w:rPr>
          <w:sz w:val="22"/>
          <w:szCs w:val="22"/>
          <w:lang w:val="fr-FR"/>
        </w:rPr>
        <w:t xml:space="preserve">; </w:t>
      </w:r>
      <w:r w:rsidR="00B34DFC" w:rsidRPr="000768B2">
        <w:rPr>
          <w:sz w:val="22"/>
          <w:szCs w:val="22"/>
          <w:lang w:val="fr-FR"/>
        </w:rPr>
        <w:t>examen de l’état d’avancement de la mise en œuvre des mandats ministériels et des recommandations afin d’adapter le Plan de travail le cas échéant</w:t>
      </w:r>
      <w:r w:rsidR="005838B7" w:rsidRPr="000768B2">
        <w:rPr>
          <w:sz w:val="22"/>
          <w:szCs w:val="22"/>
          <w:lang w:val="fr-FR"/>
        </w:rPr>
        <w:t>.</w:t>
      </w:r>
    </w:p>
    <w:p w14:paraId="425BF2B2" w14:textId="77777777" w:rsidR="00966A05" w:rsidRPr="000768B2" w:rsidRDefault="00966A05" w:rsidP="000768B2">
      <w:pPr>
        <w:contextualSpacing/>
        <w:rPr>
          <w:bCs/>
          <w:sz w:val="22"/>
          <w:szCs w:val="22"/>
          <w:lang w:val="fr-FR"/>
        </w:rPr>
      </w:pPr>
    </w:p>
    <w:p w14:paraId="3EA85EE4" w14:textId="123DEF31" w:rsidR="005838B7" w:rsidRPr="000768B2" w:rsidRDefault="005838B7" w:rsidP="000768B2">
      <w:pPr>
        <w:numPr>
          <w:ilvl w:val="0"/>
          <w:numId w:val="15"/>
        </w:numPr>
        <w:ind w:left="0" w:firstLine="0"/>
        <w:contextualSpacing/>
        <w:rPr>
          <w:b/>
          <w:sz w:val="22"/>
          <w:szCs w:val="22"/>
          <w:lang w:val="fr-FR"/>
        </w:rPr>
      </w:pPr>
      <w:r w:rsidRPr="000768B2">
        <w:rPr>
          <w:b/>
          <w:sz w:val="22"/>
          <w:szCs w:val="22"/>
          <w:lang w:val="fr-FR"/>
        </w:rPr>
        <w:t>STRUCTUR</w:t>
      </w:r>
      <w:r w:rsidR="005B25F5" w:rsidRPr="000768B2">
        <w:rPr>
          <w:b/>
          <w:sz w:val="22"/>
          <w:szCs w:val="22"/>
          <w:lang w:val="fr-FR"/>
        </w:rPr>
        <w:t>E</w:t>
      </w:r>
      <w:r w:rsidRPr="000768B2">
        <w:rPr>
          <w:b/>
          <w:sz w:val="22"/>
          <w:szCs w:val="22"/>
          <w:lang w:val="fr-FR"/>
        </w:rPr>
        <w:t xml:space="preserve"> DE LA R</w:t>
      </w:r>
      <w:r w:rsidR="005B25F5" w:rsidRPr="000768B2">
        <w:rPr>
          <w:b/>
          <w:sz w:val="22"/>
          <w:szCs w:val="22"/>
          <w:lang w:val="fr-FR"/>
        </w:rPr>
        <w:t>É</w:t>
      </w:r>
      <w:r w:rsidRPr="000768B2">
        <w:rPr>
          <w:b/>
          <w:sz w:val="22"/>
          <w:szCs w:val="22"/>
          <w:lang w:val="fr-FR"/>
        </w:rPr>
        <w:t>UNI</w:t>
      </w:r>
      <w:r w:rsidR="005B25F5" w:rsidRPr="000768B2">
        <w:rPr>
          <w:b/>
          <w:sz w:val="22"/>
          <w:szCs w:val="22"/>
          <w:lang w:val="fr-FR"/>
        </w:rPr>
        <w:t>O</w:t>
      </w:r>
      <w:r w:rsidRPr="000768B2">
        <w:rPr>
          <w:b/>
          <w:sz w:val="22"/>
          <w:szCs w:val="22"/>
          <w:lang w:val="fr-FR"/>
        </w:rPr>
        <w:t>N</w:t>
      </w:r>
    </w:p>
    <w:p w14:paraId="5C4D1AB5" w14:textId="77777777" w:rsidR="005838B7" w:rsidRPr="00DE64C0" w:rsidRDefault="005838B7" w:rsidP="00DE64C0">
      <w:pPr>
        <w:contextualSpacing/>
        <w:rPr>
          <w:bCs/>
          <w:sz w:val="22"/>
          <w:szCs w:val="22"/>
          <w:lang w:val="fr-FR"/>
        </w:rPr>
      </w:pPr>
    </w:p>
    <w:p w14:paraId="15066F58" w14:textId="17432321" w:rsidR="005838B7" w:rsidRPr="000768B2" w:rsidRDefault="006F331B" w:rsidP="000768B2">
      <w:pPr>
        <w:ind w:firstLine="720"/>
        <w:jc w:val="both"/>
        <w:rPr>
          <w:sz w:val="22"/>
          <w:szCs w:val="22"/>
          <w:lang w:val="fr-FR"/>
        </w:rPr>
      </w:pPr>
      <w:r w:rsidRPr="000768B2">
        <w:rPr>
          <w:sz w:val="22"/>
          <w:szCs w:val="22"/>
          <w:lang w:val="fr-FR"/>
        </w:rPr>
        <w:t xml:space="preserve">Au cours de la </w:t>
      </w:r>
      <w:r w:rsidR="005838B7" w:rsidRPr="000768B2">
        <w:rPr>
          <w:sz w:val="22"/>
          <w:szCs w:val="22"/>
          <w:lang w:val="fr-FR"/>
        </w:rPr>
        <w:t>r</w:t>
      </w:r>
      <w:r w:rsidR="004A72B4" w:rsidRPr="000768B2">
        <w:rPr>
          <w:sz w:val="22"/>
          <w:szCs w:val="22"/>
          <w:lang w:val="fr-FR"/>
        </w:rPr>
        <w:t>é</w:t>
      </w:r>
      <w:r w:rsidR="005838B7" w:rsidRPr="000768B2">
        <w:rPr>
          <w:sz w:val="22"/>
          <w:szCs w:val="22"/>
          <w:lang w:val="fr-FR"/>
        </w:rPr>
        <w:t>uni</w:t>
      </w:r>
      <w:r w:rsidR="004A72B4" w:rsidRPr="000768B2">
        <w:rPr>
          <w:sz w:val="22"/>
          <w:szCs w:val="22"/>
          <w:lang w:val="fr-FR"/>
        </w:rPr>
        <w:t>o</w:t>
      </w:r>
      <w:r w:rsidR="005838B7" w:rsidRPr="000768B2">
        <w:rPr>
          <w:sz w:val="22"/>
          <w:szCs w:val="22"/>
          <w:lang w:val="fr-FR"/>
        </w:rPr>
        <w:t>n</w:t>
      </w:r>
      <w:r w:rsidRPr="000768B2">
        <w:rPr>
          <w:sz w:val="22"/>
          <w:szCs w:val="22"/>
          <w:lang w:val="fr-FR"/>
        </w:rPr>
        <w:t>, les participants se proposent de</w:t>
      </w:r>
      <w:r w:rsidR="005838B7" w:rsidRPr="000768B2">
        <w:rPr>
          <w:sz w:val="22"/>
          <w:szCs w:val="22"/>
          <w:lang w:val="fr-FR"/>
        </w:rPr>
        <w:t xml:space="preserve"> </w:t>
      </w:r>
      <w:r w:rsidR="00DD42C8" w:rsidRPr="000768B2">
        <w:rPr>
          <w:sz w:val="22"/>
          <w:szCs w:val="22"/>
          <w:lang w:val="fr-FR"/>
        </w:rPr>
        <w:t>conserver</w:t>
      </w:r>
      <w:r w:rsidR="004A72B4" w:rsidRPr="000768B2">
        <w:rPr>
          <w:sz w:val="22"/>
          <w:szCs w:val="22"/>
          <w:lang w:val="fr-FR"/>
        </w:rPr>
        <w:t xml:space="preserve"> la dynamique </w:t>
      </w:r>
      <w:r w:rsidR="005838B7" w:rsidRPr="000768B2">
        <w:rPr>
          <w:sz w:val="22"/>
          <w:szCs w:val="22"/>
          <w:lang w:val="fr-FR"/>
        </w:rPr>
        <w:t>m</w:t>
      </w:r>
      <w:r w:rsidR="004A72B4" w:rsidRPr="000768B2">
        <w:rPr>
          <w:sz w:val="22"/>
          <w:szCs w:val="22"/>
          <w:lang w:val="fr-FR"/>
        </w:rPr>
        <w:t xml:space="preserve">ise en œuvre </w:t>
      </w:r>
      <w:r w:rsidRPr="000768B2">
        <w:rPr>
          <w:sz w:val="22"/>
          <w:szCs w:val="22"/>
          <w:lang w:val="fr-FR"/>
        </w:rPr>
        <w:t>lors du processus du cycle ministériel avec les autorités sectorielles et de fonder leur discussion sur les conclusions</w:t>
      </w:r>
      <w:r w:rsidR="005838B7" w:rsidRPr="000768B2">
        <w:rPr>
          <w:sz w:val="22"/>
          <w:szCs w:val="22"/>
          <w:lang w:val="fr-FR"/>
        </w:rPr>
        <w:t xml:space="preserve">, </w:t>
      </w:r>
      <w:r w:rsidRPr="000768B2">
        <w:rPr>
          <w:sz w:val="22"/>
          <w:szCs w:val="22"/>
          <w:lang w:val="fr-FR"/>
        </w:rPr>
        <w:t>les enseignements tirés</w:t>
      </w:r>
      <w:r w:rsidR="005838B7" w:rsidRPr="000768B2">
        <w:rPr>
          <w:sz w:val="22"/>
          <w:szCs w:val="22"/>
          <w:lang w:val="fr-FR"/>
        </w:rPr>
        <w:t xml:space="preserve">, </w:t>
      </w:r>
      <w:r w:rsidRPr="000768B2">
        <w:rPr>
          <w:sz w:val="22"/>
          <w:szCs w:val="22"/>
          <w:lang w:val="fr-FR"/>
        </w:rPr>
        <w:t xml:space="preserve">les défis </w:t>
      </w:r>
      <w:r w:rsidR="005838B7" w:rsidRPr="000768B2">
        <w:rPr>
          <w:sz w:val="22"/>
          <w:szCs w:val="22"/>
          <w:lang w:val="fr-FR"/>
        </w:rPr>
        <w:t>com</w:t>
      </w:r>
      <w:r w:rsidRPr="000768B2">
        <w:rPr>
          <w:sz w:val="22"/>
          <w:szCs w:val="22"/>
          <w:lang w:val="fr-FR"/>
        </w:rPr>
        <w:t>mun</w:t>
      </w:r>
      <w:r w:rsidR="005838B7" w:rsidRPr="000768B2">
        <w:rPr>
          <w:sz w:val="22"/>
          <w:szCs w:val="22"/>
          <w:lang w:val="fr-FR"/>
        </w:rPr>
        <w:t xml:space="preserve">s </w:t>
      </w:r>
      <w:r w:rsidRPr="000768B2">
        <w:rPr>
          <w:sz w:val="22"/>
          <w:szCs w:val="22"/>
          <w:lang w:val="fr-FR"/>
        </w:rPr>
        <w:t>et les propositions d’action</w:t>
      </w:r>
      <w:r w:rsidR="005838B7" w:rsidRPr="000768B2">
        <w:rPr>
          <w:sz w:val="22"/>
          <w:szCs w:val="22"/>
          <w:lang w:val="fr-FR"/>
        </w:rPr>
        <w:t xml:space="preserve"> qu</w:t>
      </w:r>
      <w:r w:rsidRPr="000768B2">
        <w:rPr>
          <w:sz w:val="22"/>
          <w:szCs w:val="22"/>
          <w:lang w:val="fr-FR"/>
        </w:rPr>
        <w:t>’ils se sont échangés depuis l’adoption du Plan de travail de la CIE en j</w:t>
      </w:r>
      <w:r w:rsidR="005838B7" w:rsidRPr="000768B2">
        <w:rPr>
          <w:sz w:val="22"/>
          <w:szCs w:val="22"/>
          <w:lang w:val="fr-FR"/>
        </w:rPr>
        <w:t>u</w:t>
      </w:r>
      <w:r w:rsidRPr="000768B2">
        <w:rPr>
          <w:sz w:val="22"/>
          <w:szCs w:val="22"/>
          <w:lang w:val="fr-FR"/>
        </w:rPr>
        <w:t>illet</w:t>
      </w:r>
      <w:r w:rsidR="005838B7" w:rsidRPr="000768B2">
        <w:rPr>
          <w:sz w:val="22"/>
          <w:szCs w:val="22"/>
          <w:lang w:val="fr-FR"/>
        </w:rPr>
        <w:t xml:space="preserve"> 2020.</w:t>
      </w:r>
    </w:p>
    <w:p w14:paraId="32EA316D" w14:textId="77777777" w:rsidR="005838B7" w:rsidRPr="00DE64C0" w:rsidRDefault="005838B7" w:rsidP="00DE64C0">
      <w:pPr>
        <w:contextualSpacing/>
        <w:rPr>
          <w:bCs/>
          <w:sz w:val="22"/>
          <w:szCs w:val="22"/>
          <w:lang w:val="fr-FR"/>
        </w:rPr>
      </w:pPr>
    </w:p>
    <w:p w14:paraId="5D76EDC0" w14:textId="210F2B77" w:rsidR="005838B7" w:rsidRPr="000768B2" w:rsidRDefault="00474F33" w:rsidP="000768B2">
      <w:pPr>
        <w:ind w:firstLine="720"/>
        <w:jc w:val="both"/>
        <w:rPr>
          <w:sz w:val="22"/>
          <w:szCs w:val="22"/>
          <w:lang w:val="fr-FR"/>
        </w:rPr>
      </w:pPr>
      <w:r w:rsidRPr="000768B2">
        <w:rPr>
          <w:sz w:val="22"/>
          <w:szCs w:val="22"/>
          <w:lang w:val="fr-FR"/>
        </w:rPr>
        <w:t>À cet égard, l</w:t>
      </w:r>
      <w:r w:rsidR="000C7A05" w:rsidRPr="000768B2">
        <w:rPr>
          <w:sz w:val="22"/>
          <w:szCs w:val="22"/>
          <w:lang w:val="fr-FR"/>
        </w:rPr>
        <w:t xml:space="preserve">es pays </w:t>
      </w:r>
      <w:r w:rsidRPr="000768B2">
        <w:rPr>
          <w:sz w:val="22"/>
          <w:szCs w:val="22"/>
          <w:lang w:val="fr-FR"/>
        </w:rPr>
        <w:t xml:space="preserve">ayant piloté </w:t>
      </w:r>
      <w:r w:rsidR="000C7A05" w:rsidRPr="000768B2">
        <w:rPr>
          <w:sz w:val="22"/>
          <w:szCs w:val="22"/>
          <w:lang w:val="fr-FR"/>
        </w:rPr>
        <w:t xml:space="preserve">ces actions </w:t>
      </w:r>
      <w:r w:rsidRPr="000768B2">
        <w:rPr>
          <w:sz w:val="22"/>
          <w:szCs w:val="22"/>
          <w:lang w:val="fr-FR"/>
        </w:rPr>
        <w:t xml:space="preserve">ont soumis à l’examen des délégations les documents de travail </w:t>
      </w:r>
      <w:r w:rsidR="00D24941" w:rsidRPr="000768B2">
        <w:rPr>
          <w:sz w:val="22"/>
          <w:szCs w:val="22"/>
          <w:lang w:val="fr-FR"/>
        </w:rPr>
        <w:t>qui systématisent les thèmes abordés dans les espaces de dial</w:t>
      </w:r>
      <w:r w:rsidR="00136B41" w:rsidRPr="000768B2">
        <w:rPr>
          <w:sz w:val="22"/>
          <w:szCs w:val="22"/>
          <w:lang w:val="fr-FR"/>
        </w:rPr>
        <w:t>ogue politique c</w:t>
      </w:r>
      <w:r w:rsidR="00D24941" w:rsidRPr="000768B2">
        <w:rPr>
          <w:sz w:val="22"/>
          <w:szCs w:val="22"/>
          <w:lang w:val="fr-FR"/>
        </w:rPr>
        <w:t>es 18 derniers mois</w:t>
      </w:r>
      <w:r w:rsidR="005838B7" w:rsidRPr="000768B2">
        <w:rPr>
          <w:sz w:val="22"/>
          <w:szCs w:val="22"/>
          <w:lang w:val="fr-FR"/>
        </w:rPr>
        <w:t>. L</w:t>
      </w:r>
      <w:r w:rsidR="00136B41" w:rsidRPr="000768B2">
        <w:rPr>
          <w:sz w:val="22"/>
          <w:szCs w:val="22"/>
          <w:lang w:val="fr-FR"/>
        </w:rPr>
        <w:t>e Secrétari</w:t>
      </w:r>
      <w:r w:rsidR="005838B7" w:rsidRPr="000768B2">
        <w:rPr>
          <w:sz w:val="22"/>
          <w:szCs w:val="22"/>
          <w:lang w:val="fr-FR"/>
        </w:rPr>
        <w:t>a</w:t>
      </w:r>
      <w:r w:rsidR="00136B41" w:rsidRPr="000768B2">
        <w:rPr>
          <w:sz w:val="22"/>
          <w:szCs w:val="22"/>
          <w:lang w:val="fr-FR"/>
        </w:rPr>
        <w:t>t est chargé de distribuer d’ici peu les documents de travail aux délégations pour examen</w:t>
      </w:r>
      <w:r w:rsidR="005838B7" w:rsidRPr="000768B2">
        <w:rPr>
          <w:sz w:val="22"/>
          <w:szCs w:val="22"/>
          <w:lang w:val="fr-FR"/>
        </w:rPr>
        <w:t xml:space="preserve">. </w:t>
      </w:r>
      <w:r w:rsidR="000C7A05" w:rsidRPr="000768B2">
        <w:rPr>
          <w:sz w:val="22"/>
          <w:szCs w:val="22"/>
          <w:lang w:val="fr-FR"/>
        </w:rPr>
        <w:t>De même</w:t>
      </w:r>
      <w:r w:rsidR="005838B7" w:rsidRPr="000768B2">
        <w:rPr>
          <w:sz w:val="22"/>
          <w:szCs w:val="22"/>
          <w:lang w:val="fr-FR"/>
        </w:rPr>
        <w:t>, l</w:t>
      </w:r>
      <w:r w:rsidR="000C7A05" w:rsidRPr="000768B2">
        <w:rPr>
          <w:sz w:val="22"/>
          <w:szCs w:val="22"/>
          <w:lang w:val="fr-FR"/>
        </w:rPr>
        <w:t>e Secrétari</w:t>
      </w:r>
      <w:r w:rsidR="005838B7" w:rsidRPr="000768B2">
        <w:rPr>
          <w:sz w:val="22"/>
          <w:szCs w:val="22"/>
          <w:lang w:val="fr-FR"/>
        </w:rPr>
        <w:t>a</w:t>
      </w:r>
      <w:r w:rsidR="000C7A05" w:rsidRPr="000768B2">
        <w:rPr>
          <w:sz w:val="22"/>
          <w:szCs w:val="22"/>
          <w:lang w:val="fr-FR"/>
        </w:rPr>
        <w:t>t te</w:t>
      </w:r>
      <w:r w:rsidR="005838B7" w:rsidRPr="000768B2">
        <w:rPr>
          <w:sz w:val="22"/>
          <w:szCs w:val="22"/>
          <w:lang w:val="fr-FR"/>
        </w:rPr>
        <w:t>c</w:t>
      </w:r>
      <w:r w:rsidR="000C7A05" w:rsidRPr="000768B2">
        <w:rPr>
          <w:sz w:val="22"/>
          <w:szCs w:val="22"/>
          <w:lang w:val="fr-FR"/>
        </w:rPr>
        <w:t>hnique</w:t>
      </w:r>
      <w:r w:rsidR="005838B7" w:rsidRPr="000768B2">
        <w:rPr>
          <w:sz w:val="22"/>
          <w:szCs w:val="22"/>
          <w:lang w:val="fr-FR"/>
        </w:rPr>
        <w:t xml:space="preserve"> </w:t>
      </w:r>
      <w:r w:rsidR="00A15106" w:rsidRPr="000768B2">
        <w:rPr>
          <w:sz w:val="22"/>
          <w:szCs w:val="22"/>
          <w:lang w:val="fr-FR"/>
        </w:rPr>
        <w:t xml:space="preserve">a pour mission de fournir un bilan des progrès réalisés dans la mise en œuvre des mandats confiés </w:t>
      </w:r>
      <w:r w:rsidR="00E36118" w:rsidRPr="000768B2">
        <w:rPr>
          <w:sz w:val="22"/>
          <w:szCs w:val="22"/>
          <w:lang w:val="fr-FR"/>
        </w:rPr>
        <w:t>ainsi que dans l’exécution</w:t>
      </w:r>
      <w:r w:rsidR="00A15106" w:rsidRPr="000768B2">
        <w:rPr>
          <w:sz w:val="22"/>
          <w:szCs w:val="22"/>
          <w:lang w:val="fr-FR"/>
        </w:rPr>
        <w:t xml:space="preserve"> </w:t>
      </w:r>
      <w:r w:rsidR="00E36118" w:rsidRPr="000768B2">
        <w:rPr>
          <w:sz w:val="22"/>
          <w:szCs w:val="22"/>
          <w:lang w:val="fr-FR"/>
        </w:rPr>
        <w:t>du Plan de travail de la CIE (</w:t>
      </w:r>
      <w:r w:rsidR="005838B7" w:rsidRPr="000768B2">
        <w:rPr>
          <w:sz w:val="22"/>
          <w:szCs w:val="22"/>
          <w:lang w:val="fr-FR"/>
        </w:rPr>
        <w:t>PTCIE</w:t>
      </w:r>
      <w:r w:rsidR="00E36118" w:rsidRPr="000768B2">
        <w:rPr>
          <w:sz w:val="22"/>
          <w:szCs w:val="22"/>
          <w:lang w:val="fr-FR"/>
        </w:rPr>
        <w:t>)</w:t>
      </w:r>
      <w:r w:rsidR="005838B7" w:rsidRPr="000768B2">
        <w:rPr>
          <w:sz w:val="22"/>
          <w:szCs w:val="22"/>
          <w:lang w:val="fr-FR"/>
        </w:rPr>
        <w:t xml:space="preserve"> 2019-2022 </w:t>
      </w:r>
      <w:r w:rsidR="00E36118" w:rsidRPr="000768B2">
        <w:rPr>
          <w:sz w:val="22"/>
          <w:szCs w:val="22"/>
          <w:lang w:val="fr-FR"/>
        </w:rPr>
        <w:t xml:space="preserve">dans le contexte de la pandémie et dans le cadre du </w:t>
      </w:r>
      <w:r w:rsidR="003438CA" w:rsidRPr="000768B2">
        <w:rPr>
          <w:sz w:val="22"/>
          <w:szCs w:val="22"/>
          <w:lang w:val="fr-FR"/>
        </w:rPr>
        <w:t>Plan d’</w:t>
      </w:r>
      <w:r w:rsidR="00DD42C8" w:rsidRPr="000768B2">
        <w:rPr>
          <w:sz w:val="22"/>
          <w:szCs w:val="22"/>
          <w:lang w:val="fr-FR"/>
        </w:rPr>
        <w:t>action continental pour la</w:t>
      </w:r>
      <w:r w:rsidR="003438CA" w:rsidRPr="000768B2">
        <w:rPr>
          <w:sz w:val="22"/>
          <w:szCs w:val="22"/>
          <w:lang w:val="fr-FR"/>
        </w:rPr>
        <w:t xml:space="preserve"> </w:t>
      </w:r>
      <w:r w:rsidR="00DD42C8" w:rsidRPr="000768B2">
        <w:rPr>
          <w:sz w:val="22"/>
          <w:szCs w:val="22"/>
          <w:lang w:val="fr-FR"/>
        </w:rPr>
        <w:t>continuité</w:t>
      </w:r>
      <w:r w:rsidR="003438CA" w:rsidRPr="000768B2">
        <w:rPr>
          <w:sz w:val="22"/>
          <w:szCs w:val="22"/>
          <w:lang w:val="fr-FR"/>
        </w:rPr>
        <w:t xml:space="preserve"> </w:t>
      </w:r>
      <w:r w:rsidR="00DD42C8" w:rsidRPr="000768B2">
        <w:rPr>
          <w:sz w:val="22"/>
          <w:szCs w:val="22"/>
          <w:lang w:val="fr-FR"/>
        </w:rPr>
        <w:t>de l</w:t>
      </w:r>
      <w:r w:rsidR="003438CA" w:rsidRPr="000768B2">
        <w:rPr>
          <w:sz w:val="22"/>
          <w:szCs w:val="22"/>
          <w:lang w:val="fr-FR"/>
        </w:rPr>
        <w:t>’</w:t>
      </w:r>
      <w:r w:rsidR="00DD42C8" w:rsidRPr="000768B2">
        <w:rPr>
          <w:sz w:val="22"/>
          <w:szCs w:val="22"/>
          <w:lang w:val="fr-FR"/>
        </w:rPr>
        <w:t>éducation</w:t>
      </w:r>
      <w:r w:rsidR="005838B7" w:rsidRPr="000768B2">
        <w:rPr>
          <w:sz w:val="22"/>
          <w:szCs w:val="22"/>
          <w:lang w:val="fr-FR"/>
        </w:rPr>
        <w:t xml:space="preserve"> (PHACE).</w:t>
      </w:r>
    </w:p>
    <w:p w14:paraId="368BBFB5" w14:textId="13DB58CE" w:rsidR="005838B7" w:rsidRPr="000768B2" w:rsidRDefault="00FE43B9" w:rsidP="000768B2">
      <w:pPr>
        <w:jc w:val="both"/>
        <w:rPr>
          <w:sz w:val="22"/>
          <w:szCs w:val="22"/>
          <w:lang w:val="fr-FR"/>
        </w:rPr>
      </w:pPr>
      <w:r>
        <w:rPr>
          <w:noProof/>
          <w:sz w:val="22"/>
          <w:szCs w:val="22"/>
          <w:lang w:val="fr-FR"/>
        </w:rPr>
        <mc:AlternateContent>
          <mc:Choice Requires="wps">
            <w:drawing>
              <wp:anchor distT="0" distB="0" distL="114300" distR="114300" simplePos="0" relativeHeight="251659264" behindDoc="0" locked="1" layoutInCell="1" allowOverlap="1" wp14:anchorId="60EA9E3E" wp14:editId="25E6D1AB">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295324F" w14:textId="4244BC14" w:rsidR="00FE43B9" w:rsidRPr="00FE43B9" w:rsidRDefault="00FE43B9">
                            <w:pPr>
                              <w:rPr>
                                <w:sz w:val="18"/>
                              </w:rPr>
                            </w:pPr>
                            <w:r>
                              <w:rPr>
                                <w:sz w:val="18"/>
                              </w:rPr>
                              <w:fldChar w:fldCharType="begin"/>
                            </w:r>
                            <w:r>
                              <w:rPr>
                                <w:sz w:val="18"/>
                              </w:rPr>
                              <w:instrText xml:space="preserve"> FILENAME  \* MERGEFORMAT </w:instrText>
                            </w:r>
                            <w:r>
                              <w:rPr>
                                <w:sz w:val="18"/>
                              </w:rPr>
                              <w:fldChar w:fldCharType="separate"/>
                            </w:r>
                            <w:r>
                              <w:rPr>
                                <w:noProof/>
                                <w:sz w:val="18"/>
                              </w:rPr>
                              <w:t>CIDED00244F01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A9E3E"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7295324F" w14:textId="4244BC14" w:rsidR="00FE43B9" w:rsidRPr="00FE43B9" w:rsidRDefault="00FE43B9">
                      <w:pPr>
                        <w:rPr>
                          <w:sz w:val="18"/>
                        </w:rPr>
                      </w:pPr>
                      <w:r>
                        <w:rPr>
                          <w:sz w:val="18"/>
                        </w:rPr>
                        <w:fldChar w:fldCharType="begin"/>
                      </w:r>
                      <w:r>
                        <w:rPr>
                          <w:sz w:val="18"/>
                        </w:rPr>
                        <w:instrText xml:space="preserve"> FILENAME  \* MERGEFORMAT </w:instrText>
                      </w:r>
                      <w:r>
                        <w:rPr>
                          <w:sz w:val="18"/>
                        </w:rPr>
                        <w:fldChar w:fldCharType="separate"/>
                      </w:r>
                      <w:r>
                        <w:rPr>
                          <w:noProof/>
                          <w:sz w:val="18"/>
                        </w:rPr>
                        <w:t>CIDED00244F01</w:t>
                      </w:r>
                      <w:r>
                        <w:rPr>
                          <w:sz w:val="18"/>
                        </w:rPr>
                        <w:fldChar w:fldCharType="end"/>
                      </w:r>
                    </w:p>
                  </w:txbxContent>
                </v:textbox>
                <w10:wrap anchory="page"/>
                <w10:anchorlock/>
              </v:shape>
            </w:pict>
          </mc:Fallback>
        </mc:AlternateContent>
      </w:r>
    </w:p>
    <w:sectPr w:rsidR="005838B7" w:rsidRPr="000768B2" w:rsidSect="000768B2">
      <w:headerReference w:type="even" r:id="rId10"/>
      <w:headerReference w:type="default" r:id="rId11"/>
      <w:headerReference w:type="first" r:id="rId12"/>
      <w:type w:val="continuous"/>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4D8C" w14:textId="77777777" w:rsidR="00006577" w:rsidRDefault="00006577">
      <w:r>
        <w:separator/>
      </w:r>
    </w:p>
  </w:endnote>
  <w:endnote w:type="continuationSeparator" w:id="0">
    <w:p w14:paraId="264B2609" w14:textId="77777777" w:rsidR="00006577" w:rsidRDefault="0000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s Gothic MT">
    <w:altName w:val="News Gothic MT"/>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B201" w14:textId="77777777" w:rsidR="00006577" w:rsidRDefault="00006577">
      <w:r>
        <w:separator/>
      </w:r>
    </w:p>
  </w:footnote>
  <w:footnote w:type="continuationSeparator" w:id="0">
    <w:p w14:paraId="7FE97678" w14:textId="77777777" w:rsidR="00006577" w:rsidRDefault="00006577">
      <w:r>
        <w:continuationSeparator/>
      </w:r>
    </w:p>
  </w:footnote>
  <w:footnote w:id="1">
    <w:p w14:paraId="00E491D1" w14:textId="56DD46BE" w:rsidR="00EC4B98" w:rsidRPr="0023545C" w:rsidRDefault="00EC4B98" w:rsidP="005838B7">
      <w:pPr>
        <w:pStyle w:val="FootnoteText"/>
        <w:ind w:left="720" w:hanging="360"/>
        <w:rPr>
          <w:lang w:val="fr-FR"/>
        </w:rPr>
      </w:pPr>
      <w:r w:rsidRPr="005838B7">
        <w:rPr>
          <w:rStyle w:val="FootnoteReference"/>
          <w:vertAlign w:val="baseline"/>
        </w:rPr>
        <w:footnoteRef/>
      </w:r>
      <w:r w:rsidRPr="00687AFB">
        <w:rPr>
          <w:lang w:val="fr-FR"/>
        </w:rPr>
        <w:t>.</w:t>
      </w:r>
      <w:r w:rsidRPr="00687AFB">
        <w:rPr>
          <w:lang w:val="fr-FR"/>
        </w:rPr>
        <w:tab/>
      </w:r>
      <w:r w:rsidRPr="0023545C">
        <w:rPr>
          <w:lang w:val="fr-FR"/>
        </w:rPr>
        <w:t>Plan de travail de la Commission interaméricaine de l’Éducation 2019-2022, document</w:t>
      </w:r>
      <w:r w:rsidR="000768B2">
        <w:rPr>
          <w:lang w:val="fr-FR"/>
        </w:rPr>
        <w:t xml:space="preserve"> </w:t>
      </w:r>
      <w:r w:rsidRPr="0023545C">
        <w:rPr>
          <w:lang w:val="fr-FR"/>
        </w:rPr>
        <w:t>CIDI/CIE/RPA/doc.9/20 rev.</w:t>
      </w:r>
      <w:r w:rsidR="000768B2">
        <w:rPr>
          <w:lang w:val="fr-FR"/>
        </w:rPr>
        <w:t xml:space="preserve"> </w:t>
      </w:r>
      <w:r w:rsidRPr="0023545C">
        <w:rPr>
          <w:lang w:val="fr-FR"/>
        </w:rPr>
        <w:t>2</w:t>
      </w:r>
    </w:p>
  </w:footnote>
  <w:footnote w:id="2">
    <w:p w14:paraId="5BBAAF07" w14:textId="651A37B7" w:rsidR="00EC4B98" w:rsidRPr="0023545C" w:rsidRDefault="00EC4B98" w:rsidP="000768B2">
      <w:pPr>
        <w:pStyle w:val="FootnoteText"/>
        <w:ind w:left="720" w:hanging="360"/>
        <w:rPr>
          <w:lang w:val="fr-FR"/>
        </w:rPr>
      </w:pPr>
      <w:r w:rsidRPr="0023545C">
        <w:rPr>
          <w:rStyle w:val="FootnoteReference"/>
          <w:vertAlign w:val="baseline"/>
          <w:lang w:val="fr-FR"/>
        </w:rPr>
        <w:footnoteRef/>
      </w:r>
      <w:r w:rsidRPr="0023545C">
        <w:rPr>
          <w:lang w:val="fr-FR"/>
        </w:rPr>
        <w:t>.</w:t>
      </w:r>
      <w:r w:rsidRPr="0023545C">
        <w:rPr>
          <w:lang w:val="fr-FR"/>
        </w:rPr>
        <w:tab/>
        <w:t xml:space="preserve">Plan de travail de la Commission interaméricaine de l’Éducation </w:t>
      </w:r>
      <w:r>
        <w:rPr>
          <w:lang w:val="fr-FR"/>
        </w:rPr>
        <w:t>2019-2022, document</w:t>
      </w:r>
      <w:r w:rsidR="000768B2">
        <w:rPr>
          <w:lang w:val="fr-FR"/>
        </w:rPr>
        <w:t xml:space="preserve"> </w:t>
      </w:r>
      <w:r w:rsidRPr="0023545C">
        <w:rPr>
          <w:lang w:val="fr-FR"/>
        </w:rPr>
        <w:t>CIDI/CIE/RPA/doc.9/20 rev.</w:t>
      </w:r>
      <w:r w:rsidR="000768B2">
        <w:rPr>
          <w:lang w:val="fr-FR"/>
        </w:rPr>
        <w:t xml:space="preserve"> </w:t>
      </w:r>
      <w:r w:rsidRPr="0023545C">
        <w:rPr>
          <w:lang w:val="fr-FR"/>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295D" w14:textId="77777777" w:rsidR="00EC4B98" w:rsidRDefault="00EC4B98"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2A5C9" w14:textId="77777777" w:rsidR="00EC4B98" w:rsidRDefault="00EC4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F966" w14:textId="77777777" w:rsidR="00EC4B98" w:rsidRPr="00970961" w:rsidRDefault="00EC4B98" w:rsidP="005A1046">
    <w:pPr>
      <w:pStyle w:val="Header"/>
      <w:jc w:val="center"/>
      <w:rPr>
        <w:sz w:val="22"/>
        <w:szCs w:val="22"/>
        <w:lang w:val="es-AR"/>
      </w:rPr>
    </w:pPr>
    <w:r w:rsidRPr="00970961">
      <w:rPr>
        <w:sz w:val="22"/>
        <w:szCs w:val="22"/>
        <w:lang w:val="es-AR"/>
      </w:rPr>
      <w:t xml:space="preserve">- </w:t>
    </w:r>
    <w:r w:rsidRPr="00970961">
      <w:rPr>
        <w:rStyle w:val="PageNumber"/>
        <w:sz w:val="22"/>
        <w:szCs w:val="22"/>
      </w:rPr>
      <w:fldChar w:fldCharType="begin"/>
    </w:r>
    <w:r w:rsidRPr="00970961">
      <w:rPr>
        <w:rStyle w:val="PageNumber"/>
        <w:sz w:val="22"/>
        <w:szCs w:val="22"/>
      </w:rPr>
      <w:instrText xml:space="preserve"> PAGE </w:instrText>
    </w:r>
    <w:r w:rsidRPr="00970961">
      <w:rPr>
        <w:rStyle w:val="PageNumber"/>
        <w:sz w:val="22"/>
        <w:szCs w:val="22"/>
      </w:rPr>
      <w:fldChar w:fldCharType="separate"/>
    </w:r>
    <w:r w:rsidR="00D3151E">
      <w:rPr>
        <w:rStyle w:val="PageNumber"/>
        <w:noProof/>
        <w:sz w:val="22"/>
        <w:szCs w:val="22"/>
      </w:rPr>
      <w:t>4</w:t>
    </w:r>
    <w:r w:rsidRPr="00970961">
      <w:rPr>
        <w:rStyle w:val="PageNumber"/>
        <w:sz w:val="22"/>
        <w:szCs w:val="22"/>
      </w:rPr>
      <w:fldChar w:fldCharType="end"/>
    </w:r>
    <w:r w:rsidRPr="00970961">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F9EE" w14:textId="56A09772" w:rsidR="00EC4B98" w:rsidRDefault="000768B2" w:rsidP="000768B2">
    <w:pPr>
      <w:pStyle w:val="Header"/>
      <w:jc w:val="right"/>
    </w:pPr>
    <w:r>
      <w:rPr>
        <w:rFonts w:ascii="News Gothic MT" w:hAnsi="News Gothic MT"/>
        <w:noProof/>
        <w:color w:val="000000"/>
        <w:lang w:val="fr-FR" w:eastAsia="fr-FR"/>
      </w:rPr>
      <w:drawing>
        <wp:anchor distT="0" distB="0" distL="114300" distR="114300" simplePos="0" relativeHeight="251658240" behindDoc="0" locked="0" layoutInCell="1" allowOverlap="1" wp14:anchorId="69DEC42F" wp14:editId="0CF91CC6">
          <wp:simplePos x="0" y="0"/>
          <wp:positionH relativeFrom="column">
            <wp:posOffset>5174836</wp:posOffset>
          </wp:positionH>
          <wp:positionV relativeFrom="paragraph">
            <wp:posOffset>-465317</wp:posOffset>
          </wp:positionV>
          <wp:extent cx="1105535" cy="771525"/>
          <wp:effectExtent l="0" t="0" r="0" b="9525"/>
          <wp:wrapSquare wrapText="bothSides"/>
          <wp:docPr id="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58752" behindDoc="0" locked="0" layoutInCell="1" allowOverlap="1" wp14:anchorId="3DA159A5" wp14:editId="4BD18AA8">
              <wp:simplePos x="0" y="0"/>
              <wp:positionH relativeFrom="column">
                <wp:posOffset>510153</wp:posOffset>
              </wp:positionH>
              <wp:positionV relativeFrom="paragraph">
                <wp:posOffset>-378212</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4B51" w14:textId="509A8171" w:rsidR="00EC4B98" w:rsidRPr="000768B2" w:rsidRDefault="00EC4B98" w:rsidP="00970961">
                          <w:pPr>
                            <w:pStyle w:val="Header"/>
                            <w:tabs>
                              <w:tab w:val="left" w:pos="900"/>
                            </w:tabs>
                            <w:spacing w:line="0" w:lineRule="atLeast"/>
                            <w:jc w:val="center"/>
                            <w:rPr>
                              <w:rFonts w:ascii="Garamond" w:hAnsi="Garamond"/>
                              <w:b/>
                              <w:sz w:val="28"/>
                              <w:lang w:val="fr-FR"/>
                            </w:rPr>
                          </w:pPr>
                          <w:r w:rsidRPr="000768B2">
                            <w:rPr>
                              <w:rFonts w:ascii="Garamond" w:hAnsi="Garamond"/>
                              <w:b/>
                              <w:sz w:val="28"/>
                              <w:lang w:val="fr-FR"/>
                            </w:rPr>
                            <w:t>ORGANI</w:t>
                          </w:r>
                          <w:r w:rsidR="000768B2" w:rsidRPr="000768B2">
                            <w:rPr>
                              <w:rFonts w:ascii="Garamond" w:hAnsi="Garamond"/>
                              <w:b/>
                              <w:sz w:val="28"/>
                              <w:lang w:val="fr-FR"/>
                            </w:rPr>
                            <w:t>S</w:t>
                          </w:r>
                          <w:r w:rsidRPr="000768B2">
                            <w:rPr>
                              <w:rFonts w:ascii="Garamond" w:hAnsi="Garamond"/>
                              <w:b/>
                              <w:sz w:val="28"/>
                              <w:lang w:val="fr-FR"/>
                            </w:rPr>
                            <w:t>A</w:t>
                          </w:r>
                          <w:r w:rsidR="000768B2" w:rsidRPr="000768B2">
                            <w:rPr>
                              <w:rFonts w:ascii="Garamond" w:hAnsi="Garamond"/>
                              <w:b/>
                              <w:sz w:val="28"/>
                              <w:lang w:val="fr-FR"/>
                            </w:rPr>
                            <w:t>T</w:t>
                          </w:r>
                          <w:r w:rsidRPr="000768B2">
                            <w:rPr>
                              <w:rFonts w:ascii="Garamond" w:hAnsi="Garamond"/>
                              <w:b/>
                              <w:sz w:val="28"/>
                              <w:lang w:val="fr-FR"/>
                            </w:rPr>
                            <w:t>I</w:t>
                          </w:r>
                          <w:r w:rsidR="000768B2" w:rsidRPr="000768B2">
                            <w:rPr>
                              <w:rFonts w:ascii="Garamond" w:hAnsi="Garamond"/>
                              <w:b/>
                              <w:sz w:val="28"/>
                              <w:lang w:val="fr-FR"/>
                            </w:rPr>
                            <w:t>O</w:t>
                          </w:r>
                          <w:r w:rsidRPr="000768B2">
                            <w:rPr>
                              <w:rFonts w:ascii="Garamond" w:hAnsi="Garamond"/>
                              <w:b/>
                              <w:sz w:val="28"/>
                              <w:lang w:val="fr-FR"/>
                            </w:rPr>
                            <w:t xml:space="preserve">N DES </w:t>
                          </w:r>
                          <w:r w:rsidR="000768B2" w:rsidRPr="000768B2">
                            <w:rPr>
                              <w:rFonts w:ascii="Garamond" w:hAnsi="Garamond"/>
                              <w:b/>
                              <w:sz w:val="28"/>
                              <w:lang w:val="fr-FR"/>
                            </w:rPr>
                            <w:t>É</w:t>
                          </w:r>
                          <w:r w:rsidRPr="000768B2">
                            <w:rPr>
                              <w:rFonts w:ascii="Garamond" w:hAnsi="Garamond"/>
                              <w:b/>
                              <w:sz w:val="28"/>
                              <w:lang w:val="fr-FR"/>
                            </w:rPr>
                            <w:t>TA</w:t>
                          </w:r>
                          <w:r w:rsidR="000768B2" w:rsidRPr="000768B2">
                            <w:rPr>
                              <w:rFonts w:ascii="Garamond" w:hAnsi="Garamond"/>
                              <w:b/>
                              <w:sz w:val="28"/>
                              <w:lang w:val="fr-FR"/>
                            </w:rPr>
                            <w:t>T</w:t>
                          </w:r>
                          <w:r w:rsidRPr="000768B2">
                            <w:rPr>
                              <w:rFonts w:ascii="Garamond" w:hAnsi="Garamond"/>
                              <w:b/>
                              <w:sz w:val="28"/>
                              <w:lang w:val="fr-FR"/>
                            </w:rPr>
                            <w:t>S AM</w:t>
                          </w:r>
                          <w:r w:rsidR="000768B2" w:rsidRPr="000768B2">
                            <w:rPr>
                              <w:rFonts w:ascii="Garamond" w:hAnsi="Garamond"/>
                              <w:b/>
                              <w:sz w:val="28"/>
                              <w:lang w:val="fr-FR"/>
                            </w:rPr>
                            <w:t>É</w:t>
                          </w:r>
                          <w:r w:rsidRPr="000768B2">
                            <w:rPr>
                              <w:rFonts w:ascii="Garamond" w:hAnsi="Garamond"/>
                              <w:b/>
                              <w:sz w:val="28"/>
                              <w:lang w:val="fr-FR"/>
                            </w:rPr>
                            <w:t>RICA</w:t>
                          </w:r>
                          <w:r w:rsidR="000768B2" w:rsidRPr="000768B2">
                            <w:rPr>
                              <w:rFonts w:ascii="Garamond" w:hAnsi="Garamond"/>
                              <w:b/>
                              <w:sz w:val="28"/>
                              <w:lang w:val="fr-FR"/>
                            </w:rPr>
                            <w:t>I</w:t>
                          </w:r>
                          <w:r w:rsidRPr="000768B2">
                            <w:rPr>
                              <w:rFonts w:ascii="Garamond" w:hAnsi="Garamond"/>
                              <w:b/>
                              <w:sz w:val="28"/>
                              <w:lang w:val="fr-FR"/>
                            </w:rPr>
                            <w:t>NS</w:t>
                          </w:r>
                        </w:p>
                        <w:p w14:paraId="736B4A0C" w14:textId="4B49036A" w:rsidR="00EC4B98" w:rsidRPr="000768B2" w:rsidRDefault="00EC4B98" w:rsidP="00970961">
                          <w:pPr>
                            <w:pStyle w:val="Header"/>
                            <w:tabs>
                              <w:tab w:val="left" w:pos="900"/>
                            </w:tabs>
                            <w:spacing w:line="0" w:lineRule="atLeast"/>
                            <w:jc w:val="center"/>
                            <w:rPr>
                              <w:rFonts w:ascii="Garamond" w:hAnsi="Garamond"/>
                              <w:b/>
                              <w:sz w:val="24"/>
                              <w:szCs w:val="24"/>
                              <w:lang w:val="fr-FR"/>
                            </w:rPr>
                          </w:pPr>
                          <w:r w:rsidRPr="000768B2">
                            <w:rPr>
                              <w:rFonts w:ascii="Garamond" w:hAnsi="Garamond"/>
                              <w:b/>
                              <w:sz w:val="24"/>
                              <w:szCs w:val="24"/>
                              <w:lang w:val="fr-FR"/>
                            </w:rPr>
                            <w:t>Conse</w:t>
                          </w:r>
                          <w:r w:rsidR="000768B2" w:rsidRPr="000768B2">
                            <w:rPr>
                              <w:rFonts w:ascii="Garamond" w:hAnsi="Garamond"/>
                              <w:b/>
                              <w:sz w:val="24"/>
                              <w:szCs w:val="24"/>
                              <w:lang w:val="fr-FR"/>
                            </w:rPr>
                            <w:t>il</w:t>
                          </w:r>
                          <w:r w:rsidRPr="000768B2">
                            <w:rPr>
                              <w:rFonts w:ascii="Garamond" w:hAnsi="Garamond"/>
                              <w:b/>
                              <w:sz w:val="24"/>
                              <w:szCs w:val="24"/>
                              <w:lang w:val="fr-FR"/>
                            </w:rPr>
                            <w:t xml:space="preserve"> </w:t>
                          </w:r>
                          <w:r w:rsidR="000768B2" w:rsidRPr="000768B2">
                            <w:rPr>
                              <w:rFonts w:ascii="Garamond" w:hAnsi="Garamond"/>
                              <w:b/>
                              <w:sz w:val="24"/>
                              <w:szCs w:val="24"/>
                              <w:lang w:val="fr-FR"/>
                            </w:rPr>
                            <w:t>i</w:t>
                          </w:r>
                          <w:r w:rsidRPr="000768B2">
                            <w:rPr>
                              <w:rFonts w:ascii="Garamond" w:hAnsi="Garamond"/>
                              <w:b/>
                              <w:sz w:val="24"/>
                              <w:szCs w:val="24"/>
                              <w:lang w:val="fr-FR"/>
                            </w:rPr>
                            <w:t>nteram</w:t>
                          </w:r>
                          <w:r w:rsidR="000768B2" w:rsidRPr="000768B2">
                            <w:rPr>
                              <w:rFonts w:ascii="Garamond" w:hAnsi="Garamond"/>
                              <w:b/>
                              <w:sz w:val="24"/>
                              <w:szCs w:val="24"/>
                              <w:lang w:val="fr-FR"/>
                            </w:rPr>
                            <w:t>é</w:t>
                          </w:r>
                          <w:r w:rsidRPr="000768B2">
                            <w:rPr>
                              <w:rFonts w:ascii="Garamond" w:hAnsi="Garamond"/>
                              <w:b/>
                              <w:sz w:val="24"/>
                              <w:szCs w:val="24"/>
                              <w:lang w:val="fr-FR"/>
                            </w:rPr>
                            <w:t>rica</w:t>
                          </w:r>
                          <w:r w:rsidR="000768B2" w:rsidRPr="000768B2">
                            <w:rPr>
                              <w:rFonts w:ascii="Garamond" w:hAnsi="Garamond"/>
                              <w:b/>
                              <w:sz w:val="24"/>
                              <w:szCs w:val="24"/>
                              <w:lang w:val="fr-FR"/>
                            </w:rPr>
                            <w:t>i</w:t>
                          </w:r>
                          <w:r w:rsidRPr="000768B2">
                            <w:rPr>
                              <w:rFonts w:ascii="Garamond" w:hAnsi="Garamond"/>
                              <w:b/>
                              <w:sz w:val="24"/>
                              <w:szCs w:val="24"/>
                              <w:lang w:val="fr-FR"/>
                            </w:rPr>
                            <w:t>n p</w:t>
                          </w:r>
                          <w:r w:rsidR="000768B2" w:rsidRPr="000768B2">
                            <w:rPr>
                              <w:rFonts w:ascii="Garamond" w:hAnsi="Garamond"/>
                              <w:b/>
                              <w:sz w:val="24"/>
                              <w:szCs w:val="24"/>
                              <w:lang w:val="fr-FR"/>
                            </w:rPr>
                            <w:t>ou</w:t>
                          </w:r>
                          <w:r w:rsidRPr="000768B2">
                            <w:rPr>
                              <w:rFonts w:ascii="Garamond" w:hAnsi="Garamond"/>
                              <w:b/>
                              <w:sz w:val="24"/>
                              <w:szCs w:val="24"/>
                              <w:lang w:val="fr-FR"/>
                            </w:rPr>
                            <w:t xml:space="preserve">r </w:t>
                          </w:r>
                          <w:r w:rsidR="000768B2" w:rsidRPr="000768B2">
                            <w:rPr>
                              <w:rFonts w:ascii="Garamond" w:hAnsi="Garamond"/>
                              <w:b/>
                              <w:sz w:val="24"/>
                              <w:szCs w:val="24"/>
                              <w:lang w:val="fr-FR"/>
                            </w:rPr>
                            <w:t>l</w:t>
                          </w:r>
                          <w:r w:rsidRPr="000768B2">
                            <w:rPr>
                              <w:rFonts w:ascii="Garamond" w:hAnsi="Garamond"/>
                              <w:b/>
                              <w:sz w:val="24"/>
                              <w:szCs w:val="24"/>
                              <w:lang w:val="fr-FR"/>
                            </w:rPr>
                            <w:t xml:space="preserve">e </w:t>
                          </w:r>
                          <w:r w:rsidR="000768B2" w:rsidRPr="000768B2">
                            <w:rPr>
                              <w:rFonts w:ascii="Garamond" w:hAnsi="Garamond"/>
                              <w:b/>
                              <w:sz w:val="24"/>
                              <w:szCs w:val="24"/>
                              <w:lang w:val="fr-FR"/>
                            </w:rPr>
                            <w:t>développement</w:t>
                          </w:r>
                          <w:r w:rsidRPr="000768B2">
                            <w:rPr>
                              <w:rFonts w:ascii="Garamond" w:hAnsi="Garamond"/>
                              <w:b/>
                              <w:sz w:val="24"/>
                              <w:szCs w:val="24"/>
                              <w:lang w:val="fr-FR"/>
                            </w:rPr>
                            <w:t xml:space="preserve"> </w:t>
                          </w:r>
                          <w:r w:rsidR="000768B2" w:rsidRPr="000768B2">
                            <w:rPr>
                              <w:rFonts w:ascii="Garamond" w:hAnsi="Garamond"/>
                              <w:b/>
                              <w:sz w:val="24"/>
                              <w:szCs w:val="24"/>
                              <w:lang w:val="fr-FR"/>
                            </w:rPr>
                            <w:t>i</w:t>
                          </w:r>
                          <w:r w:rsidRPr="000768B2">
                            <w:rPr>
                              <w:rFonts w:ascii="Garamond" w:hAnsi="Garamond"/>
                              <w:b/>
                              <w:sz w:val="24"/>
                              <w:szCs w:val="24"/>
                              <w:lang w:val="fr-FR"/>
                            </w:rPr>
                            <w:t>nt</w:t>
                          </w:r>
                          <w:r w:rsidR="000768B2" w:rsidRPr="000768B2">
                            <w:rPr>
                              <w:rFonts w:ascii="Garamond" w:hAnsi="Garamond"/>
                              <w:b/>
                              <w:sz w:val="24"/>
                              <w:szCs w:val="24"/>
                              <w:lang w:val="fr-FR"/>
                            </w:rPr>
                            <w:t>é</w:t>
                          </w:r>
                          <w:r w:rsidRPr="000768B2">
                            <w:rPr>
                              <w:rFonts w:ascii="Garamond" w:hAnsi="Garamond"/>
                              <w:b/>
                              <w:sz w:val="24"/>
                              <w:szCs w:val="24"/>
                              <w:lang w:val="fr-FR"/>
                            </w:rPr>
                            <w:t>gr</w:t>
                          </w:r>
                          <w:r w:rsidR="000768B2" w:rsidRPr="000768B2">
                            <w:rPr>
                              <w:rFonts w:ascii="Garamond" w:hAnsi="Garamond"/>
                              <w:b/>
                              <w:sz w:val="24"/>
                              <w:szCs w:val="24"/>
                              <w:lang w:val="fr-FR"/>
                            </w:rPr>
                            <w:t>é</w:t>
                          </w:r>
                        </w:p>
                        <w:p w14:paraId="7604B693" w14:textId="77777777" w:rsidR="00EC4B98" w:rsidRPr="00970961" w:rsidRDefault="00EC4B98"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159A5" id="_x0000_t202" coordsize="21600,21600" o:spt="202" path="m,l,21600r21600,l21600,xe">
              <v:stroke joinstyle="miter"/>
              <v:path gradientshapeok="t" o:connecttype="rect"/>
            </v:shapetype>
            <v:shape id="Text Box 4" o:spid="_x0000_s1027" type="#_x0000_t202" style="position:absolute;left:0;text-align:left;margin-left:40.15pt;margin-top:-29.8pt;width:367.2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" stroked="f">
              <v:textbox>
                <w:txbxContent>
                  <w:p w14:paraId="66194B51" w14:textId="509A8171" w:rsidR="00EC4B98" w:rsidRPr="000768B2" w:rsidRDefault="00EC4B98" w:rsidP="00970961">
                    <w:pPr>
                      <w:pStyle w:val="Header"/>
                      <w:tabs>
                        <w:tab w:val="left" w:pos="900"/>
                      </w:tabs>
                      <w:spacing w:line="0" w:lineRule="atLeast"/>
                      <w:jc w:val="center"/>
                      <w:rPr>
                        <w:rFonts w:ascii="Garamond" w:hAnsi="Garamond"/>
                        <w:b/>
                        <w:sz w:val="28"/>
                        <w:lang w:val="fr-FR"/>
                      </w:rPr>
                    </w:pPr>
                    <w:r w:rsidRPr="000768B2">
                      <w:rPr>
                        <w:rFonts w:ascii="Garamond" w:hAnsi="Garamond"/>
                        <w:b/>
                        <w:sz w:val="28"/>
                        <w:lang w:val="fr-FR"/>
                      </w:rPr>
                      <w:t>ORGANI</w:t>
                    </w:r>
                    <w:r w:rsidR="000768B2" w:rsidRPr="000768B2">
                      <w:rPr>
                        <w:rFonts w:ascii="Garamond" w:hAnsi="Garamond"/>
                        <w:b/>
                        <w:sz w:val="28"/>
                        <w:lang w:val="fr-FR"/>
                      </w:rPr>
                      <w:t>S</w:t>
                    </w:r>
                    <w:r w:rsidRPr="000768B2">
                      <w:rPr>
                        <w:rFonts w:ascii="Garamond" w:hAnsi="Garamond"/>
                        <w:b/>
                        <w:sz w:val="28"/>
                        <w:lang w:val="fr-FR"/>
                      </w:rPr>
                      <w:t>A</w:t>
                    </w:r>
                    <w:r w:rsidR="000768B2" w:rsidRPr="000768B2">
                      <w:rPr>
                        <w:rFonts w:ascii="Garamond" w:hAnsi="Garamond"/>
                        <w:b/>
                        <w:sz w:val="28"/>
                        <w:lang w:val="fr-FR"/>
                      </w:rPr>
                      <w:t>T</w:t>
                    </w:r>
                    <w:r w:rsidRPr="000768B2">
                      <w:rPr>
                        <w:rFonts w:ascii="Garamond" w:hAnsi="Garamond"/>
                        <w:b/>
                        <w:sz w:val="28"/>
                        <w:lang w:val="fr-FR"/>
                      </w:rPr>
                      <w:t>I</w:t>
                    </w:r>
                    <w:r w:rsidR="000768B2" w:rsidRPr="000768B2">
                      <w:rPr>
                        <w:rFonts w:ascii="Garamond" w:hAnsi="Garamond"/>
                        <w:b/>
                        <w:sz w:val="28"/>
                        <w:lang w:val="fr-FR"/>
                      </w:rPr>
                      <w:t>O</w:t>
                    </w:r>
                    <w:r w:rsidRPr="000768B2">
                      <w:rPr>
                        <w:rFonts w:ascii="Garamond" w:hAnsi="Garamond"/>
                        <w:b/>
                        <w:sz w:val="28"/>
                        <w:lang w:val="fr-FR"/>
                      </w:rPr>
                      <w:t xml:space="preserve">N DES </w:t>
                    </w:r>
                    <w:r w:rsidR="000768B2" w:rsidRPr="000768B2">
                      <w:rPr>
                        <w:rFonts w:ascii="Garamond" w:hAnsi="Garamond"/>
                        <w:b/>
                        <w:sz w:val="28"/>
                        <w:lang w:val="fr-FR"/>
                      </w:rPr>
                      <w:t>É</w:t>
                    </w:r>
                    <w:r w:rsidRPr="000768B2">
                      <w:rPr>
                        <w:rFonts w:ascii="Garamond" w:hAnsi="Garamond"/>
                        <w:b/>
                        <w:sz w:val="28"/>
                        <w:lang w:val="fr-FR"/>
                      </w:rPr>
                      <w:t>TA</w:t>
                    </w:r>
                    <w:r w:rsidR="000768B2" w:rsidRPr="000768B2">
                      <w:rPr>
                        <w:rFonts w:ascii="Garamond" w:hAnsi="Garamond"/>
                        <w:b/>
                        <w:sz w:val="28"/>
                        <w:lang w:val="fr-FR"/>
                      </w:rPr>
                      <w:t>T</w:t>
                    </w:r>
                    <w:r w:rsidRPr="000768B2">
                      <w:rPr>
                        <w:rFonts w:ascii="Garamond" w:hAnsi="Garamond"/>
                        <w:b/>
                        <w:sz w:val="28"/>
                        <w:lang w:val="fr-FR"/>
                      </w:rPr>
                      <w:t>S AM</w:t>
                    </w:r>
                    <w:r w:rsidR="000768B2" w:rsidRPr="000768B2">
                      <w:rPr>
                        <w:rFonts w:ascii="Garamond" w:hAnsi="Garamond"/>
                        <w:b/>
                        <w:sz w:val="28"/>
                        <w:lang w:val="fr-FR"/>
                      </w:rPr>
                      <w:t>É</w:t>
                    </w:r>
                    <w:r w:rsidRPr="000768B2">
                      <w:rPr>
                        <w:rFonts w:ascii="Garamond" w:hAnsi="Garamond"/>
                        <w:b/>
                        <w:sz w:val="28"/>
                        <w:lang w:val="fr-FR"/>
                      </w:rPr>
                      <w:t>RICA</w:t>
                    </w:r>
                    <w:r w:rsidR="000768B2" w:rsidRPr="000768B2">
                      <w:rPr>
                        <w:rFonts w:ascii="Garamond" w:hAnsi="Garamond"/>
                        <w:b/>
                        <w:sz w:val="28"/>
                        <w:lang w:val="fr-FR"/>
                      </w:rPr>
                      <w:t>I</w:t>
                    </w:r>
                    <w:r w:rsidRPr="000768B2">
                      <w:rPr>
                        <w:rFonts w:ascii="Garamond" w:hAnsi="Garamond"/>
                        <w:b/>
                        <w:sz w:val="28"/>
                        <w:lang w:val="fr-FR"/>
                      </w:rPr>
                      <w:t>NS</w:t>
                    </w:r>
                  </w:p>
                  <w:p w14:paraId="736B4A0C" w14:textId="4B49036A" w:rsidR="00EC4B98" w:rsidRPr="000768B2" w:rsidRDefault="00EC4B98" w:rsidP="00970961">
                    <w:pPr>
                      <w:pStyle w:val="Header"/>
                      <w:tabs>
                        <w:tab w:val="left" w:pos="900"/>
                      </w:tabs>
                      <w:spacing w:line="0" w:lineRule="atLeast"/>
                      <w:jc w:val="center"/>
                      <w:rPr>
                        <w:rFonts w:ascii="Garamond" w:hAnsi="Garamond"/>
                        <w:b/>
                        <w:sz w:val="24"/>
                        <w:szCs w:val="24"/>
                        <w:lang w:val="fr-FR"/>
                      </w:rPr>
                    </w:pPr>
                    <w:r w:rsidRPr="000768B2">
                      <w:rPr>
                        <w:rFonts w:ascii="Garamond" w:hAnsi="Garamond"/>
                        <w:b/>
                        <w:sz w:val="24"/>
                        <w:szCs w:val="24"/>
                        <w:lang w:val="fr-FR"/>
                      </w:rPr>
                      <w:t>Conse</w:t>
                    </w:r>
                    <w:r w:rsidR="000768B2" w:rsidRPr="000768B2">
                      <w:rPr>
                        <w:rFonts w:ascii="Garamond" w:hAnsi="Garamond"/>
                        <w:b/>
                        <w:sz w:val="24"/>
                        <w:szCs w:val="24"/>
                        <w:lang w:val="fr-FR"/>
                      </w:rPr>
                      <w:t>il</w:t>
                    </w:r>
                    <w:r w:rsidRPr="000768B2">
                      <w:rPr>
                        <w:rFonts w:ascii="Garamond" w:hAnsi="Garamond"/>
                        <w:b/>
                        <w:sz w:val="24"/>
                        <w:szCs w:val="24"/>
                        <w:lang w:val="fr-FR"/>
                      </w:rPr>
                      <w:t xml:space="preserve"> </w:t>
                    </w:r>
                    <w:r w:rsidR="000768B2" w:rsidRPr="000768B2">
                      <w:rPr>
                        <w:rFonts w:ascii="Garamond" w:hAnsi="Garamond"/>
                        <w:b/>
                        <w:sz w:val="24"/>
                        <w:szCs w:val="24"/>
                        <w:lang w:val="fr-FR"/>
                      </w:rPr>
                      <w:t>i</w:t>
                    </w:r>
                    <w:r w:rsidRPr="000768B2">
                      <w:rPr>
                        <w:rFonts w:ascii="Garamond" w:hAnsi="Garamond"/>
                        <w:b/>
                        <w:sz w:val="24"/>
                        <w:szCs w:val="24"/>
                        <w:lang w:val="fr-FR"/>
                      </w:rPr>
                      <w:t>nteram</w:t>
                    </w:r>
                    <w:r w:rsidR="000768B2" w:rsidRPr="000768B2">
                      <w:rPr>
                        <w:rFonts w:ascii="Garamond" w:hAnsi="Garamond"/>
                        <w:b/>
                        <w:sz w:val="24"/>
                        <w:szCs w:val="24"/>
                        <w:lang w:val="fr-FR"/>
                      </w:rPr>
                      <w:t>é</w:t>
                    </w:r>
                    <w:r w:rsidRPr="000768B2">
                      <w:rPr>
                        <w:rFonts w:ascii="Garamond" w:hAnsi="Garamond"/>
                        <w:b/>
                        <w:sz w:val="24"/>
                        <w:szCs w:val="24"/>
                        <w:lang w:val="fr-FR"/>
                      </w:rPr>
                      <w:t>rica</w:t>
                    </w:r>
                    <w:r w:rsidR="000768B2" w:rsidRPr="000768B2">
                      <w:rPr>
                        <w:rFonts w:ascii="Garamond" w:hAnsi="Garamond"/>
                        <w:b/>
                        <w:sz w:val="24"/>
                        <w:szCs w:val="24"/>
                        <w:lang w:val="fr-FR"/>
                      </w:rPr>
                      <w:t>i</w:t>
                    </w:r>
                    <w:r w:rsidRPr="000768B2">
                      <w:rPr>
                        <w:rFonts w:ascii="Garamond" w:hAnsi="Garamond"/>
                        <w:b/>
                        <w:sz w:val="24"/>
                        <w:szCs w:val="24"/>
                        <w:lang w:val="fr-FR"/>
                      </w:rPr>
                      <w:t>n p</w:t>
                    </w:r>
                    <w:r w:rsidR="000768B2" w:rsidRPr="000768B2">
                      <w:rPr>
                        <w:rFonts w:ascii="Garamond" w:hAnsi="Garamond"/>
                        <w:b/>
                        <w:sz w:val="24"/>
                        <w:szCs w:val="24"/>
                        <w:lang w:val="fr-FR"/>
                      </w:rPr>
                      <w:t>ou</w:t>
                    </w:r>
                    <w:r w:rsidRPr="000768B2">
                      <w:rPr>
                        <w:rFonts w:ascii="Garamond" w:hAnsi="Garamond"/>
                        <w:b/>
                        <w:sz w:val="24"/>
                        <w:szCs w:val="24"/>
                        <w:lang w:val="fr-FR"/>
                      </w:rPr>
                      <w:t xml:space="preserve">r </w:t>
                    </w:r>
                    <w:r w:rsidR="000768B2" w:rsidRPr="000768B2">
                      <w:rPr>
                        <w:rFonts w:ascii="Garamond" w:hAnsi="Garamond"/>
                        <w:b/>
                        <w:sz w:val="24"/>
                        <w:szCs w:val="24"/>
                        <w:lang w:val="fr-FR"/>
                      </w:rPr>
                      <w:t>l</w:t>
                    </w:r>
                    <w:r w:rsidRPr="000768B2">
                      <w:rPr>
                        <w:rFonts w:ascii="Garamond" w:hAnsi="Garamond"/>
                        <w:b/>
                        <w:sz w:val="24"/>
                        <w:szCs w:val="24"/>
                        <w:lang w:val="fr-FR"/>
                      </w:rPr>
                      <w:t xml:space="preserve">e </w:t>
                    </w:r>
                    <w:r w:rsidR="000768B2" w:rsidRPr="000768B2">
                      <w:rPr>
                        <w:rFonts w:ascii="Garamond" w:hAnsi="Garamond"/>
                        <w:b/>
                        <w:sz w:val="24"/>
                        <w:szCs w:val="24"/>
                        <w:lang w:val="fr-FR"/>
                      </w:rPr>
                      <w:t>développement</w:t>
                    </w:r>
                    <w:r w:rsidRPr="000768B2">
                      <w:rPr>
                        <w:rFonts w:ascii="Garamond" w:hAnsi="Garamond"/>
                        <w:b/>
                        <w:sz w:val="24"/>
                        <w:szCs w:val="24"/>
                        <w:lang w:val="fr-FR"/>
                      </w:rPr>
                      <w:t xml:space="preserve"> </w:t>
                    </w:r>
                    <w:r w:rsidR="000768B2" w:rsidRPr="000768B2">
                      <w:rPr>
                        <w:rFonts w:ascii="Garamond" w:hAnsi="Garamond"/>
                        <w:b/>
                        <w:sz w:val="24"/>
                        <w:szCs w:val="24"/>
                        <w:lang w:val="fr-FR"/>
                      </w:rPr>
                      <w:t>i</w:t>
                    </w:r>
                    <w:r w:rsidRPr="000768B2">
                      <w:rPr>
                        <w:rFonts w:ascii="Garamond" w:hAnsi="Garamond"/>
                        <w:b/>
                        <w:sz w:val="24"/>
                        <w:szCs w:val="24"/>
                        <w:lang w:val="fr-FR"/>
                      </w:rPr>
                      <w:t>nt</w:t>
                    </w:r>
                    <w:r w:rsidR="000768B2" w:rsidRPr="000768B2">
                      <w:rPr>
                        <w:rFonts w:ascii="Garamond" w:hAnsi="Garamond"/>
                        <w:b/>
                        <w:sz w:val="24"/>
                        <w:szCs w:val="24"/>
                        <w:lang w:val="fr-FR"/>
                      </w:rPr>
                      <w:t>é</w:t>
                    </w:r>
                    <w:r w:rsidRPr="000768B2">
                      <w:rPr>
                        <w:rFonts w:ascii="Garamond" w:hAnsi="Garamond"/>
                        <w:b/>
                        <w:sz w:val="24"/>
                        <w:szCs w:val="24"/>
                        <w:lang w:val="fr-FR"/>
                      </w:rPr>
                      <w:t>gr</w:t>
                    </w:r>
                    <w:r w:rsidR="000768B2" w:rsidRPr="000768B2">
                      <w:rPr>
                        <w:rFonts w:ascii="Garamond" w:hAnsi="Garamond"/>
                        <w:b/>
                        <w:sz w:val="24"/>
                        <w:szCs w:val="24"/>
                        <w:lang w:val="fr-FR"/>
                      </w:rPr>
                      <w:t>é</w:t>
                    </w:r>
                  </w:p>
                  <w:p w14:paraId="7604B693" w14:textId="77777777" w:rsidR="00EC4B98" w:rsidRPr="00970961" w:rsidRDefault="00EC4B98" w:rsidP="00970961">
                    <w:pPr>
                      <w:pStyle w:val="Header"/>
                      <w:tabs>
                        <w:tab w:val="left" w:pos="900"/>
                      </w:tabs>
                      <w:spacing w:line="0" w:lineRule="atLeast"/>
                      <w:jc w:val="center"/>
                      <w:rPr>
                        <w:b/>
                        <w:sz w:val="24"/>
                        <w:szCs w:val="24"/>
                      </w:rPr>
                    </w:pPr>
                    <w:r w:rsidRPr="00970961">
                      <w:rPr>
                        <w:rFonts w:ascii="Garamond" w:hAnsi="Garamond"/>
                        <w:b/>
                        <w:sz w:val="24"/>
                        <w:szCs w:val="24"/>
                      </w:rPr>
                      <w:t>(CIDI)</w:t>
                    </w:r>
                  </w:p>
                </w:txbxContent>
              </v:textbox>
            </v:shape>
          </w:pict>
        </mc:Fallback>
      </mc:AlternateContent>
    </w:r>
    <w:r>
      <w:rPr>
        <w:noProof/>
        <w:lang w:val="fr-FR" w:eastAsia="fr-FR"/>
      </w:rPr>
      <w:drawing>
        <wp:anchor distT="0" distB="0" distL="114300" distR="114300" simplePos="0" relativeHeight="251652608" behindDoc="0" locked="0" layoutInCell="1" allowOverlap="1" wp14:anchorId="76EFBC57" wp14:editId="40C127BF">
          <wp:simplePos x="0" y="0"/>
          <wp:positionH relativeFrom="column">
            <wp:posOffset>-444500</wp:posOffset>
          </wp:positionH>
          <wp:positionV relativeFrom="paragraph">
            <wp:posOffset>-472882</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98">
      <w:rPr>
        <w:noProof/>
        <w:lang w:val="fr-FR" w:eastAsia="fr-FR"/>
      </w:rPr>
      <mc:AlternateContent>
        <mc:Choice Requires="wps">
          <w:drawing>
            <wp:anchor distT="0" distB="0" distL="114300" distR="114300" simplePos="0" relativeHeight="251654656" behindDoc="0" locked="0" layoutInCell="1" allowOverlap="1" wp14:anchorId="71F8F584" wp14:editId="4D1EA69F">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5EE0E" w14:textId="4DE49E7A" w:rsidR="00EC4B98" w:rsidRDefault="00EC4B98" w:rsidP="005A1046">
                          <w:pPr>
                            <w:ind w:right="-1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8F584" id="Text Box 3" o:spid="_x0000_s1028" type="#_x0000_t202" style="position:absolute;left:0;text-align:left;margin-left:400pt;margin-top:-2.8pt;width:101.4pt;height:6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1945EE0E" w14:textId="4DE49E7A" w:rsidR="00EC4B98" w:rsidRDefault="00EC4B98" w:rsidP="005A1046">
                    <w:pPr>
                      <w:ind w:right="-130"/>
                    </w:pPr>
                  </w:p>
                </w:txbxContent>
              </v:textbox>
            </v:shape>
          </w:pict>
        </mc:Fallback>
      </mc:AlternateContent>
    </w:r>
  </w:p>
  <w:p w14:paraId="6A3807E9" w14:textId="77777777" w:rsidR="00EC4B98" w:rsidRDefault="00EC4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9A7"/>
    <w:multiLevelType w:val="hybridMultilevel"/>
    <w:tmpl w:val="8E9454FE"/>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13D03DF2"/>
    <w:multiLevelType w:val="hybridMultilevel"/>
    <w:tmpl w:val="4512358E"/>
    <w:lvl w:ilvl="0" w:tplc="F378F1DE">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05">
      <w:start w:val="1"/>
      <w:numFmt w:val="bullet"/>
      <w:lvlText w:val=""/>
      <w:lvlJc w:val="left"/>
      <w:pPr>
        <w:tabs>
          <w:tab w:val="num" w:pos="4680"/>
        </w:tabs>
        <w:ind w:left="4680" w:hanging="360"/>
      </w:pPr>
      <w:rPr>
        <w:rFonts w:ascii="Wingdings" w:hAnsi="Wingding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DFF05F3"/>
    <w:multiLevelType w:val="hybridMultilevel"/>
    <w:tmpl w:val="C53637E2"/>
    <w:lvl w:ilvl="0" w:tplc="140A0001">
      <w:start w:val="1"/>
      <w:numFmt w:val="bullet"/>
      <w:lvlText w:val=""/>
      <w:lvlJc w:val="left"/>
      <w:pPr>
        <w:ind w:left="1260" w:hanging="360"/>
      </w:pPr>
      <w:rPr>
        <w:rFonts w:ascii="Symbol" w:hAnsi="Symbol"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3" w15:restartNumberingAfterBreak="0">
    <w:nsid w:val="1E195B41"/>
    <w:multiLevelType w:val="hybridMultilevel"/>
    <w:tmpl w:val="3F200C0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2BB90BDD"/>
    <w:multiLevelType w:val="hybridMultilevel"/>
    <w:tmpl w:val="210E8BEA"/>
    <w:lvl w:ilvl="0" w:tplc="0409000F">
      <w:start w:val="1"/>
      <w:numFmt w:val="decimal"/>
      <w:lvlText w:val="%1."/>
      <w:lvlJc w:val="left"/>
      <w:pPr>
        <w:tabs>
          <w:tab w:val="num" w:pos="720"/>
        </w:tabs>
        <w:ind w:left="720" w:hanging="360"/>
      </w:pPr>
    </w:lvl>
    <w:lvl w:ilvl="1" w:tplc="14BE11D2">
      <w:start w:val="1"/>
      <w:numFmt w:val="lowerLetter"/>
      <w:lvlText w:val="%2."/>
      <w:lvlJc w:val="left"/>
      <w:pPr>
        <w:tabs>
          <w:tab w:val="num" w:pos="1440"/>
        </w:tabs>
        <w:ind w:left="1440" w:hanging="360"/>
      </w:pPr>
      <w:rPr>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15811"/>
    <w:multiLevelType w:val="hybridMultilevel"/>
    <w:tmpl w:val="A7E8E9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9F65430"/>
    <w:multiLevelType w:val="hybridMultilevel"/>
    <w:tmpl w:val="FED8271C"/>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D50803"/>
    <w:multiLevelType w:val="hybridMultilevel"/>
    <w:tmpl w:val="0BD8C7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97D88"/>
    <w:multiLevelType w:val="hybridMultilevel"/>
    <w:tmpl w:val="56FEB486"/>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50FF015B"/>
    <w:multiLevelType w:val="hybridMultilevel"/>
    <w:tmpl w:val="3B1AB9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58C1179"/>
    <w:multiLevelType w:val="hybridMultilevel"/>
    <w:tmpl w:val="245C4BF8"/>
    <w:lvl w:ilvl="0" w:tplc="B914EDE2">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4516BC"/>
    <w:multiLevelType w:val="hybridMultilevel"/>
    <w:tmpl w:val="9BF6BA8E"/>
    <w:lvl w:ilvl="0" w:tplc="04090005">
      <w:start w:val="1"/>
      <w:numFmt w:val="bullet"/>
      <w:lvlText w:val=""/>
      <w:lvlJc w:val="left"/>
      <w:pPr>
        <w:tabs>
          <w:tab w:val="num" w:pos="3240"/>
        </w:tabs>
        <w:ind w:left="3240" w:hanging="360"/>
      </w:pPr>
      <w:rPr>
        <w:rFonts w:ascii="Wingdings" w:hAnsi="Wingdings" w:hint="default"/>
      </w:rPr>
    </w:lvl>
    <w:lvl w:ilvl="1" w:tplc="CDFAAEF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271438"/>
    <w:multiLevelType w:val="hybridMultilevel"/>
    <w:tmpl w:val="A8729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F6403"/>
    <w:multiLevelType w:val="hybridMultilevel"/>
    <w:tmpl w:val="39446A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52F644D"/>
    <w:multiLevelType w:val="hybridMultilevel"/>
    <w:tmpl w:val="366AF11A"/>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7"/>
  </w:num>
  <w:num w:numId="2">
    <w:abstractNumId w:val="8"/>
  </w:num>
  <w:num w:numId="3">
    <w:abstractNumId w:val="11"/>
  </w:num>
  <w:num w:numId="4">
    <w:abstractNumId w:val="6"/>
  </w:num>
  <w:num w:numId="5">
    <w:abstractNumId w:val="0"/>
  </w:num>
  <w:num w:numId="6">
    <w:abstractNumId w:val="1"/>
  </w:num>
  <w:num w:numId="7">
    <w:abstractNumId w:val="14"/>
  </w:num>
  <w:num w:numId="8">
    <w:abstractNumId w:val="3"/>
  </w:num>
  <w:num w:numId="9">
    <w:abstractNumId w:val="4"/>
  </w:num>
  <w:num w:numId="10">
    <w:abstractNumId w:val="9"/>
  </w:num>
  <w:num w:numId="11">
    <w:abstractNumId w:val="13"/>
  </w:num>
  <w:num w:numId="12">
    <w:abstractNumId w:val="5"/>
  </w:num>
  <w:num w:numId="13">
    <w:abstractNumId w:val="10"/>
  </w:num>
  <w:num w:numId="14">
    <w:abstractNumId w:val="2"/>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072A"/>
    <w:rsid w:val="00001035"/>
    <w:rsid w:val="000018BF"/>
    <w:rsid w:val="00006577"/>
    <w:rsid w:val="000274E0"/>
    <w:rsid w:val="00030603"/>
    <w:rsid w:val="000312AC"/>
    <w:rsid w:val="0003461C"/>
    <w:rsid w:val="00037CA3"/>
    <w:rsid w:val="0004463E"/>
    <w:rsid w:val="000449F1"/>
    <w:rsid w:val="00051559"/>
    <w:rsid w:val="0005588A"/>
    <w:rsid w:val="00060F1F"/>
    <w:rsid w:val="000768B2"/>
    <w:rsid w:val="00077820"/>
    <w:rsid w:val="00085EFA"/>
    <w:rsid w:val="0009528C"/>
    <w:rsid w:val="000A1B29"/>
    <w:rsid w:val="000A55B8"/>
    <w:rsid w:val="000B07B8"/>
    <w:rsid w:val="000B6052"/>
    <w:rsid w:val="000C17CF"/>
    <w:rsid w:val="000C7A05"/>
    <w:rsid w:val="000D4D7B"/>
    <w:rsid w:val="00112AD1"/>
    <w:rsid w:val="00131225"/>
    <w:rsid w:val="00136B41"/>
    <w:rsid w:val="00142F02"/>
    <w:rsid w:val="00146A8A"/>
    <w:rsid w:val="00151A9A"/>
    <w:rsid w:val="00160379"/>
    <w:rsid w:val="001649CB"/>
    <w:rsid w:val="00171221"/>
    <w:rsid w:val="0017174E"/>
    <w:rsid w:val="00173E9A"/>
    <w:rsid w:val="0017652F"/>
    <w:rsid w:val="00181A34"/>
    <w:rsid w:val="00181CA0"/>
    <w:rsid w:val="00182B2E"/>
    <w:rsid w:val="00185845"/>
    <w:rsid w:val="0019145F"/>
    <w:rsid w:val="00192535"/>
    <w:rsid w:val="001A2B68"/>
    <w:rsid w:val="001B2B35"/>
    <w:rsid w:val="001B4C19"/>
    <w:rsid w:val="001C5C73"/>
    <w:rsid w:val="001D1F13"/>
    <w:rsid w:val="001D31B7"/>
    <w:rsid w:val="001D5FE9"/>
    <w:rsid w:val="001D6139"/>
    <w:rsid w:val="001F58F4"/>
    <w:rsid w:val="001F663C"/>
    <w:rsid w:val="001F67AD"/>
    <w:rsid w:val="00203BC1"/>
    <w:rsid w:val="002044F4"/>
    <w:rsid w:val="00204CE6"/>
    <w:rsid w:val="0020588E"/>
    <w:rsid w:val="00214E3D"/>
    <w:rsid w:val="0021760C"/>
    <w:rsid w:val="00220440"/>
    <w:rsid w:val="002205F5"/>
    <w:rsid w:val="0022673A"/>
    <w:rsid w:val="002272B3"/>
    <w:rsid w:val="00231FAB"/>
    <w:rsid w:val="00233BB6"/>
    <w:rsid w:val="0023545C"/>
    <w:rsid w:val="002405CB"/>
    <w:rsid w:val="002435BF"/>
    <w:rsid w:val="00246CC6"/>
    <w:rsid w:val="00252A8A"/>
    <w:rsid w:val="00255853"/>
    <w:rsid w:val="00264DBA"/>
    <w:rsid w:val="00265E60"/>
    <w:rsid w:val="00266F5B"/>
    <w:rsid w:val="00271160"/>
    <w:rsid w:val="0027594F"/>
    <w:rsid w:val="00276A3B"/>
    <w:rsid w:val="00293CBE"/>
    <w:rsid w:val="002962A6"/>
    <w:rsid w:val="002974B1"/>
    <w:rsid w:val="002A01BE"/>
    <w:rsid w:val="002B18FF"/>
    <w:rsid w:val="002B398C"/>
    <w:rsid w:val="002C34B6"/>
    <w:rsid w:val="002D3EDE"/>
    <w:rsid w:val="002D6A37"/>
    <w:rsid w:val="002F2207"/>
    <w:rsid w:val="00314282"/>
    <w:rsid w:val="00322B3B"/>
    <w:rsid w:val="00325D49"/>
    <w:rsid w:val="00337D92"/>
    <w:rsid w:val="00342CEC"/>
    <w:rsid w:val="003438CA"/>
    <w:rsid w:val="00347DDE"/>
    <w:rsid w:val="00350D52"/>
    <w:rsid w:val="00355CE6"/>
    <w:rsid w:val="00355D05"/>
    <w:rsid w:val="00364A17"/>
    <w:rsid w:val="003818FF"/>
    <w:rsid w:val="00384197"/>
    <w:rsid w:val="00390D60"/>
    <w:rsid w:val="0039110D"/>
    <w:rsid w:val="00392E4A"/>
    <w:rsid w:val="003A37A8"/>
    <w:rsid w:val="003B269F"/>
    <w:rsid w:val="003B60C5"/>
    <w:rsid w:val="003C1B35"/>
    <w:rsid w:val="003D4BD0"/>
    <w:rsid w:val="003D7436"/>
    <w:rsid w:val="003F0816"/>
    <w:rsid w:val="00402A35"/>
    <w:rsid w:val="0040380B"/>
    <w:rsid w:val="00404772"/>
    <w:rsid w:val="00422D06"/>
    <w:rsid w:val="004269A3"/>
    <w:rsid w:val="00427E29"/>
    <w:rsid w:val="00433C3B"/>
    <w:rsid w:val="004472CA"/>
    <w:rsid w:val="00465616"/>
    <w:rsid w:val="004668E5"/>
    <w:rsid w:val="00470BC0"/>
    <w:rsid w:val="004739BC"/>
    <w:rsid w:val="00474F33"/>
    <w:rsid w:val="004863C0"/>
    <w:rsid w:val="00491396"/>
    <w:rsid w:val="004A0260"/>
    <w:rsid w:val="004A72B4"/>
    <w:rsid w:val="004A7966"/>
    <w:rsid w:val="004B5025"/>
    <w:rsid w:val="004C0E8A"/>
    <w:rsid w:val="004C700A"/>
    <w:rsid w:val="004C7235"/>
    <w:rsid w:val="004D3B86"/>
    <w:rsid w:val="004D58BD"/>
    <w:rsid w:val="004D7776"/>
    <w:rsid w:val="004D78A2"/>
    <w:rsid w:val="004E1ECC"/>
    <w:rsid w:val="004E45B1"/>
    <w:rsid w:val="004F1602"/>
    <w:rsid w:val="004F6544"/>
    <w:rsid w:val="005030A7"/>
    <w:rsid w:val="00503F11"/>
    <w:rsid w:val="0051141F"/>
    <w:rsid w:val="00513173"/>
    <w:rsid w:val="005228AB"/>
    <w:rsid w:val="005322C5"/>
    <w:rsid w:val="00533255"/>
    <w:rsid w:val="00533A0C"/>
    <w:rsid w:val="0053672F"/>
    <w:rsid w:val="00537221"/>
    <w:rsid w:val="00537C7D"/>
    <w:rsid w:val="00545C97"/>
    <w:rsid w:val="00554D1A"/>
    <w:rsid w:val="00554DAD"/>
    <w:rsid w:val="00554FD0"/>
    <w:rsid w:val="005613E6"/>
    <w:rsid w:val="00565BDC"/>
    <w:rsid w:val="005811E5"/>
    <w:rsid w:val="005838B7"/>
    <w:rsid w:val="00583AFF"/>
    <w:rsid w:val="00586379"/>
    <w:rsid w:val="00587081"/>
    <w:rsid w:val="005A07EB"/>
    <w:rsid w:val="005A1046"/>
    <w:rsid w:val="005A7631"/>
    <w:rsid w:val="005B25F5"/>
    <w:rsid w:val="005C1779"/>
    <w:rsid w:val="005C504E"/>
    <w:rsid w:val="005D1F9F"/>
    <w:rsid w:val="005D244D"/>
    <w:rsid w:val="005D6737"/>
    <w:rsid w:val="005E60AB"/>
    <w:rsid w:val="005F05EF"/>
    <w:rsid w:val="005F6F42"/>
    <w:rsid w:val="005F777E"/>
    <w:rsid w:val="0061171D"/>
    <w:rsid w:val="00626056"/>
    <w:rsid w:val="00632869"/>
    <w:rsid w:val="00635E2D"/>
    <w:rsid w:val="0064150C"/>
    <w:rsid w:val="006477AC"/>
    <w:rsid w:val="00652E5B"/>
    <w:rsid w:val="006533B8"/>
    <w:rsid w:val="00653821"/>
    <w:rsid w:val="00653EFC"/>
    <w:rsid w:val="006554B2"/>
    <w:rsid w:val="00657B97"/>
    <w:rsid w:val="00657D81"/>
    <w:rsid w:val="00663C82"/>
    <w:rsid w:val="00664CCB"/>
    <w:rsid w:val="00675D8C"/>
    <w:rsid w:val="0067670B"/>
    <w:rsid w:val="006841C5"/>
    <w:rsid w:val="00687AFB"/>
    <w:rsid w:val="006A449D"/>
    <w:rsid w:val="006B6EFA"/>
    <w:rsid w:val="006C6724"/>
    <w:rsid w:val="006D2D1E"/>
    <w:rsid w:val="006E13B2"/>
    <w:rsid w:val="006E177E"/>
    <w:rsid w:val="006F0A3C"/>
    <w:rsid w:val="006F331B"/>
    <w:rsid w:val="006F4C96"/>
    <w:rsid w:val="006F4EE7"/>
    <w:rsid w:val="00700FB6"/>
    <w:rsid w:val="00701FC7"/>
    <w:rsid w:val="00705F9E"/>
    <w:rsid w:val="007100E8"/>
    <w:rsid w:val="0071506D"/>
    <w:rsid w:val="007173E8"/>
    <w:rsid w:val="00717A7A"/>
    <w:rsid w:val="007224D1"/>
    <w:rsid w:val="00722A08"/>
    <w:rsid w:val="00724CE8"/>
    <w:rsid w:val="00740679"/>
    <w:rsid w:val="00740F69"/>
    <w:rsid w:val="00764298"/>
    <w:rsid w:val="007668CD"/>
    <w:rsid w:val="007724DD"/>
    <w:rsid w:val="007736F2"/>
    <w:rsid w:val="00776946"/>
    <w:rsid w:val="0078249E"/>
    <w:rsid w:val="007906F5"/>
    <w:rsid w:val="007938DF"/>
    <w:rsid w:val="007A0E75"/>
    <w:rsid w:val="007A7763"/>
    <w:rsid w:val="007B6CA9"/>
    <w:rsid w:val="007C1A21"/>
    <w:rsid w:val="007D30C5"/>
    <w:rsid w:val="007E0B13"/>
    <w:rsid w:val="007E33EB"/>
    <w:rsid w:val="007F027A"/>
    <w:rsid w:val="007F04AC"/>
    <w:rsid w:val="007F0555"/>
    <w:rsid w:val="007F2232"/>
    <w:rsid w:val="007F2774"/>
    <w:rsid w:val="007F33E6"/>
    <w:rsid w:val="007F58DE"/>
    <w:rsid w:val="008022B4"/>
    <w:rsid w:val="008050B2"/>
    <w:rsid w:val="0080651A"/>
    <w:rsid w:val="008173A8"/>
    <w:rsid w:val="008271ED"/>
    <w:rsid w:val="00827D19"/>
    <w:rsid w:val="0083612A"/>
    <w:rsid w:val="00836F6B"/>
    <w:rsid w:val="00843CB1"/>
    <w:rsid w:val="0085501E"/>
    <w:rsid w:val="00857A89"/>
    <w:rsid w:val="00871717"/>
    <w:rsid w:val="00874E94"/>
    <w:rsid w:val="00877904"/>
    <w:rsid w:val="00881A38"/>
    <w:rsid w:val="0089272D"/>
    <w:rsid w:val="008943EE"/>
    <w:rsid w:val="00895328"/>
    <w:rsid w:val="008B2C96"/>
    <w:rsid w:val="008B4471"/>
    <w:rsid w:val="008C3A04"/>
    <w:rsid w:val="008C7788"/>
    <w:rsid w:val="008D000F"/>
    <w:rsid w:val="008D02C8"/>
    <w:rsid w:val="008D6344"/>
    <w:rsid w:val="008E5590"/>
    <w:rsid w:val="008F4927"/>
    <w:rsid w:val="00902F48"/>
    <w:rsid w:val="00903461"/>
    <w:rsid w:val="00905B3E"/>
    <w:rsid w:val="009077C1"/>
    <w:rsid w:val="0091506F"/>
    <w:rsid w:val="009217A7"/>
    <w:rsid w:val="00923359"/>
    <w:rsid w:val="00924F41"/>
    <w:rsid w:val="00925CDF"/>
    <w:rsid w:val="009264C0"/>
    <w:rsid w:val="00930B6C"/>
    <w:rsid w:val="009412E3"/>
    <w:rsid w:val="00956958"/>
    <w:rsid w:val="00963036"/>
    <w:rsid w:val="00966A05"/>
    <w:rsid w:val="00970961"/>
    <w:rsid w:val="009855A4"/>
    <w:rsid w:val="009900F5"/>
    <w:rsid w:val="00993B79"/>
    <w:rsid w:val="00997235"/>
    <w:rsid w:val="00997BBE"/>
    <w:rsid w:val="009A7153"/>
    <w:rsid w:val="009A7AF0"/>
    <w:rsid w:val="009B7E2A"/>
    <w:rsid w:val="009C0BA3"/>
    <w:rsid w:val="009D1A1B"/>
    <w:rsid w:val="009D2FA7"/>
    <w:rsid w:val="009D7E18"/>
    <w:rsid w:val="009F4248"/>
    <w:rsid w:val="009F5E15"/>
    <w:rsid w:val="00A01A2D"/>
    <w:rsid w:val="00A03713"/>
    <w:rsid w:val="00A06031"/>
    <w:rsid w:val="00A1200B"/>
    <w:rsid w:val="00A15106"/>
    <w:rsid w:val="00A309D8"/>
    <w:rsid w:val="00A40BB0"/>
    <w:rsid w:val="00A52B6C"/>
    <w:rsid w:val="00A60C5E"/>
    <w:rsid w:val="00A64BFE"/>
    <w:rsid w:val="00A6594C"/>
    <w:rsid w:val="00A671B3"/>
    <w:rsid w:val="00A67BD7"/>
    <w:rsid w:val="00A72D49"/>
    <w:rsid w:val="00A77E53"/>
    <w:rsid w:val="00A8521C"/>
    <w:rsid w:val="00A859C2"/>
    <w:rsid w:val="00A9444B"/>
    <w:rsid w:val="00A94A80"/>
    <w:rsid w:val="00A97703"/>
    <w:rsid w:val="00AA3AB9"/>
    <w:rsid w:val="00AC09D9"/>
    <w:rsid w:val="00AC1787"/>
    <w:rsid w:val="00AC33C6"/>
    <w:rsid w:val="00AC747F"/>
    <w:rsid w:val="00AC7CF8"/>
    <w:rsid w:val="00AD0654"/>
    <w:rsid w:val="00AD0A26"/>
    <w:rsid w:val="00AD7B06"/>
    <w:rsid w:val="00AE2C5A"/>
    <w:rsid w:val="00AE6186"/>
    <w:rsid w:val="00AE7C3F"/>
    <w:rsid w:val="00AF61F9"/>
    <w:rsid w:val="00B107BD"/>
    <w:rsid w:val="00B1635A"/>
    <w:rsid w:val="00B20A99"/>
    <w:rsid w:val="00B20AFC"/>
    <w:rsid w:val="00B301EC"/>
    <w:rsid w:val="00B34DFC"/>
    <w:rsid w:val="00B428E5"/>
    <w:rsid w:val="00B44997"/>
    <w:rsid w:val="00B4525E"/>
    <w:rsid w:val="00B5392F"/>
    <w:rsid w:val="00B6212E"/>
    <w:rsid w:val="00B624F0"/>
    <w:rsid w:val="00B732CF"/>
    <w:rsid w:val="00B82F1B"/>
    <w:rsid w:val="00B84C15"/>
    <w:rsid w:val="00B84C67"/>
    <w:rsid w:val="00B9045C"/>
    <w:rsid w:val="00B93188"/>
    <w:rsid w:val="00B94BCA"/>
    <w:rsid w:val="00BA1F21"/>
    <w:rsid w:val="00BB2ACF"/>
    <w:rsid w:val="00BB52FB"/>
    <w:rsid w:val="00BB751D"/>
    <w:rsid w:val="00BF3C4C"/>
    <w:rsid w:val="00BF5480"/>
    <w:rsid w:val="00BF6EC7"/>
    <w:rsid w:val="00BF7CDF"/>
    <w:rsid w:val="00C02F99"/>
    <w:rsid w:val="00C067F1"/>
    <w:rsid w:val="00C07293"/>
    <w:rsid w:val="00C11BF0"/>
    <w:rsid w:val="00C11FF9"/>
    <w:rsid w:val="00C355C3"/>
    <w:rsid w:val="00C416DA"/>
    <w:rsid w:val="00C41BF5"/>
    <w:rsid w:val="00C44410"/>
    <w:rsid w:val="00C503D8"/>
    <w:rsid w:val="00C54A64"/>
    <w:rsid w:val="00C57E90"/>
    <w:rsid w:val="00C63EA8"/>
    <w:rsid w:val="00C66445"/>
    <w:rsid w:val="00C70A11"/>
    <w:rsid w:val="00C72A62"/>
    <w:rsid w:val="00C72B50"/>
    <w:rsid w:val="00C77276"/>
    <w:rsid w:val="00C823BC"/>
    <w:rsid w:val="00C87AEF"/>
    <w:rsid w:val="00C91942"/>
    <w:rsid w:val="00CA0579"/>
    <w:rsid w:val="00CB036B"/>
    <w:rsid w:val="00CB28B1"/>
    <w:rsid w:val="00CB2BD4"/>
    <w:rsid w:val="00CB580A"/>
    <w:rsid w:val="00CB6BDA"/>
    <w:rsid w:val="00CC1405"/>
    <w:rsid w:val="00CC2EA8"/>
    <w:rsid w:val="00CC2F02"/>
    <w:rsid w:val="00CD7C72"/>
    <w:rsid w:val="00CE47B3"/>
    <w:rsid w:val="00CE4C6C"/>
    <w:rsid w:val="00CE5033"/>
    <w:rsid w:val="00CE7602"/>
    <w:rsid w:val="00CF1740"/>
    <w:rsid w:val="00CF671B"/>
    <w:rsid w:val="00D018E7"/>
    <w:rsid w:val="00D05EBA"/>
    <w:rsid w:val="00D13EA8"/>
    <w:rsid w:val="00D15497"/>
    <w:rsid w:val="00D17FDE"/>
    <w:rsid w:val="00D23682"/>
    <w:rsid w:val="00D24941"/>
    <w:rsid w:val="00D24DBE"/>
    <w:rsid w:val="00D3151E"/>
    <w:rsid w:val="00D43693"/>
    <w:rsid w:val="00D44B22"/>
    <w:rsid w:val="00D5575C"/>
    <w:rsid w:val="00D60EF6"/>
    <w:rsid w:val="00D6423D"/>
    <w:rsid w:val="00D73AD6"/>
    <w:rsid w:val="00D73F87"/>
    <w:rsid w:val="00D75E5F"/>
    <w:rsid w:val="00D83177"/>
    <w:rsid w:val="00D8564E"/>
    <w:rsid w:val="00D9150E"/>
    <w:rsid w:val="00DA2D06"/>
    <w:rsid w:val="00DA4593"/>
    <w:rsid w:val="00DA5380"/>
    <w:rsid w:val="00DB172C"/>
    <w:rsid w:val="00DB1841"/>
    <w:rsid w:val="00DB37CC"/>
    <w:rsid w:val="00DB535B"/>
    <w:rsid w:val="00DC7315"/>
    <w:rsid w:val="00DD42C8"/>
    <w:rsid w:val="00DE409C"/>
    <w:rsid w:val="00DE64C0"/>
    <w:rsid w:val="00DE65F8"/>
    <w:rsid w:val="00E012BB"/>
    <w:rsid w:val="00E07496"/>
    <w:rsid w:val="00E21C64"/>
    <w:rsid w:val="00E222D7"/>
    <w:rsid w:val="00E34292"/>
    <w:rsid w:val="00E3473B"/>
    <w:rsid w:val="00E36118"/>
    <w:rsid w:val="00E430F2"/>
    <w:rsid w:val="00E43E12"/>
    <w:rsid w:val="00E453C3"/>
    <w:rsid w:val="00E52608"/>
    <w:rsid w:val="00E62E14"/>
    <w:rsid w:val="00E66261"/>
    <w:rsid w:val="00E93865"/>
    <w:rsid w:val="00EC024D"/>
    <w:rsid w:val="00EC4B98"/>
    <w:rsid w:val="00EC5F54"/>
    <w:rsid w:val="00ED0914"/>
    <w:rsid w:val="00ED264D"/>
    <w:rsid w:val="00ED2E09"/>
    <w:rsid w:val="00ED31AF"/>
    <w:rsid w:val="00ED5F33"/>
    <w:rsid w:val="00EE21D1"/>
    <w:rsid w:val="00EE345F"/>
    <w:rsid w:val="00EE627D"/>
    <w:rsid w:val="00EF0160"/>
    <w:rsid w:val="00EF1B78"/>
    <w:rsid w:val="00EF24EB"/>
    <w:rsid w:val="00EF4CD3"/>
    <w:rsid w:val="00F013D0"/>
    <w:rsid w:val="00F0181A"/>
    <w:rsid w:val="00F16F15"/>
    <w:rsid w:val="00F30A6C"/>
    <w:rsid w:val="00F35EBA"/>
    <w:rsid w:val="00F369C6"/>
    <w:rsid w:val="00F55BE3"/>
    <w:rsid w:val="00F55DE3"/>
    <w:rsid w:val="00F60477"/>
    <w:rsid w:val="00F6145E"/>
    <w:rsid w:val="00F63CDB"/>
    <w:rsid w:val="00F64A0F"/>
    <w:rsid w:val="00F65186"/>
    <w:rsid w:val="00F7099E"/>
    <w:rsid w:val="00F7311F"/>
    <w:rsid w:val="00F73F2A"/>
    <w:rsid w:val="00F8038B"/>
    <w:rsid w:val="00F82CC1"/>
    <w:rsid w:val="00F84773"/>
    <w:rsid w:val="00F8716A"/>
    <w:rsid w:val="00F972CF"/>
    <w:rsid w:val="00FA00BE"/>
    <w:rsid w:val="00FB3344"/>
    <w:rsid w:val="00FB5862"/>
    <w:rsid w:val="00FB783C"/>
    <w:rsid w:val="00FC26EC"/>
    <w:rsid w:val="00FC4FF9"/>
    <w:rsid w:val="00FD0DF5"/>
    <w:rsid w:val="00FE43B9"/>
    <w:rsid w:val="00FE5615"/>
    <w:rsid w:val="00FE6467"/>
    <w:rsid w:val="00FE781E"/>
    <w:rsid w:val="00FF15EC"/>
    <w:rsid w:val="00FF711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DF934"/>
  <w15:docId w15:val="{DBD0EA87-788B-485E-A5F5-8A42FFF6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lang w:val="es-PR"/>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uiPriority w:val="99"/>
    <w:rsid w:val="00653821"/>
  </w:style>
  <w:style w:type="character" w:styleId="FootnoteReference">
    <w:name w:val="footnote reference"/>
    <w:uiPriority w:val="99"/>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CommentReference">
    <w:name w:val="annotation reference"/>
    <w:semiHidden/>
    <w:rsid w:val="00EE627D"/>
    <w:rPr>
      <w:sz w:val="16"/>
      <w:szCs w:val="16"/>
    </w:rPr>
  </w:style>
  <w:style w:type="paragraph" w:styleId="CommentText">
    <w:name w:val="annotation text"/>
    <w:basedOn w:val="Normal"/>
    <w:semiHidden/>
    <w:rsid w:val="00EE627D"/>
  </w:style>
  <w:style w:type="paragraph" w:styleId="CommentSubject">
    <w:name w:val="annotation subject"/>
    <w:basedOn w:val="CommentText"/>
    <w:next w:val="CommentText"/>
    <w:semiHidden/>
    <w:rsid w:val="00EE627D"/>
    <w:rPr>
      <w:b/>
      <w:bCs/>
    </w:rPr>
  </w:style>
  <w:style w:type="character" w:customStyle="1" w:styleId="FootnoteTextChar">
    <w:name w:val="Footnote Text Char"/>
    <w:link w:val="FootnoteText"/>
    <w:uiPriority w:val="99"/>
    <w:rsid w:val="00B4525E"/>
  </w:style>
  <w:style w:type="character" w:styleId="Hyperlink">
    <w:name w:val="Hyperlink"/>
    <w:rsid w:val="0071506D"/>
    <w:rPr>
      <w:rFonts w:cs="Times New Roman"/>
      <w:color w:val="0000FF"/>
      <w:u w:val="single"/>
    </w:rPr>
  </w:style>
  <w:style w:type="character" w:styleId="FollowedHyperlink">
    <w:name w:val="FollowedHyperlink"/>
    <w:rsid w:val="00ED2E09"/>
    <w:rPr>
      <w:color w:val="800080"/>
      <w:u w:val="single"/>
    </w:rPr>
  </w:style>
  <w:style w:type="paragraph" w:styleId="ListParagraph">
    <w:name w:val="List Paragraph"/>
    <w:basedOn w:val="Normal"/>
    <w:uiPriority w:val="34"/>
    <w:qFormat/>
    <w:rsid w:val="00D73AD6"/>
    <w:pPr>
      <w:spacing w:after="160" w:line="259" w:lineRule="auto"/>
      <w:ind w:left="720"/>
      <w:contextualSpacing/>
    </w:pPr>
    <w:rPr>
      <w:rFonts w:ascii="Calibri" w:eastAsia="Malgun Gothic" w:hAnsi="Calibri" w:cs="Arial"/>
      <w:sz w:val="22"/>
      <w:szCs w:val="22"/>
      <w:lang w:val="es-ES" w:eastAsia="ko-KR"/>
    </w:rPr>
  </w:style>
  <w:style w:type="character" w:styleId="Emphasis">
    <w:name w:val="Emphasis"/>
    <w:basedOn w:val="DefaultParagraphFont"/>
    <w:uiPriority w:val="20"/>
    <w:qFormat/>
    <w:rsid w:val="007F3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sustainabledevelopment/es/edu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s.org/es/sedi/dhdee/ministerial_meeting_VIII.asp"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2AC05-E4C3-41C8-A848-4B48C52B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4</Pages>
  <Words>1524</Words>
  <Characters>8689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PRIMERA REUNIÓN ESPECIAL DE LA COMISIÓN</vt:lpstr>
      <vt:lpstr>PRIMERA REUNIÓN ESPECIAL DE LA COMISIÓN</vt:lpstr>
    </vt:vector>
  </TitlesOfParts>
  <Company>Organization of American States</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creator>DCT</dc:creator>
  <cp:lastModifiedBy>Diaz - Avalos,  Estela</cp:lastModifiedBy>
  <cp:revision>3</cp:revision>
  <cp:lastPrinted>2007-08-02T14:51:00Z</cp:lastPrinted>
  <dcterms:created xsi:type="dcterms:W3CDTF">2021-12-29T18:13:00Z</dcterms:created>
  <dcterms:modified xsi:type="dcterms:W3CDTF">2021-12-29T18:13:00Z</dcterms:modified>
</cp:coreProperties>
</file>