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5598"/>
        <w:gridCol w:w="3960"/>
      </w:tblGrid>
      <w:tr w:rsidR="008328A8" w:rsidRPr="00983246" w14:paraId="4DF8AA38" w14:textId="77777777" w:rsidTr="00F44977">
        <w:trPr>
          <w:trHeight w:val="80"/>
        </w:trPr>
        <w:tc>
          <w:tcPr>
            <w:tcW w:w="5598" w:type="dxa"/>
            <w:shd w:val="clear" w:color="auto" w:fill="auto"/>
          </w:tcPr>
          <w:p w14:paraId="3F961CB4" w14:textId="7AB61D99" w:rsidR="00FA1BA1" w:rsidRPr="00983246" w:rsidRDefault="00FA1BA1" w:rsidP="003B5C52">
            <w:pPr>
              <w:tabs>
                <w:tab w:val="left" w:pos="6441"/>
              </w:tabs>
              <w:ind w:right="72"/>
              <w:jc w:val="both"/>
              <w:rPr>
                <w:sz w:val="22"/>
                <w:szCs w:val="22"/>
              </w:rPr>
            </w:pPr>
          </w:p>
          <w:p w14:paraId="7CD7EC7F" w14:textId="49BAB03D" w:rsidR="00FA1BA1" w:rsidRPr="00983246" w:rsidRDefault="00FA1BA1" w:rsidP="003B5C52">
            <w:pPr>
              <w:tabs>
                <w:tab w:val="left" w:pos="6441"/>
              </w:tabs>
              <w:ind w:right="72"/>
              <w:jc w:val="both"/>
              <w:rPr>
                <w:sz w:val="22"/>
                <w:szCs w:val="22"/>
              </w:rPr>
            </w:pPr>
          </w:p>
          <w:p w14:paraId="1946272D" w14:textId="77777777" w:rsidR="006B3736" w:rsidRPr="00983246" w:rsidRDefault="006B3736" w:rsidP="006B3736">
            <w:pPr>
              <w:tabs>
                <w:tab w:val="left" w:pos="6441"/>
              </w:tabs>
              <w:ind w:right="72"/>
              <w:jc w:val="both"/>
              <w:rPr>
                <w:sz w:val="22"/>
                <w:szCs w:val="22"/>
              </w:rPr>
            </w:pPr>
            <w:r w:rsidRPr="00983246">
              <w:rPr>
                <w:sz w:val="22"/>
                <w:szCs w:val="22"/>
              </w:rPr>
              <w:t xml:space="preserve">MECHANISM FOR FOLLOW-UP ON THE                                IMPLEMENTATION OF THE INTER-AMERICAN CONVENTION AGAINST CORRUPTION                                  </w:t>
            </w:r>
          </w:p>
          <w:p w14:paraId="3359B3AD" w14:textId="675B13B5" w:rsidR="006B3736" w:rsidRPr="00983246" w:rsidRDefault="00546EC6" w:rsidP="006B3736">
            <w:pPr>
              <w:tabs>
                <w:tab w:val="left" w:pos="6441"/>
              </w:tabs>
              <w:ind w:right="72"/>
              <w:jc w:val="both"/>
              <w:rPr>
                <w:sz w:val="22"/>
                <w:szCs w:val="22"/>
              </w:rPr>
            </w:pPr>
            <w:r>
              <w:rPr>
                <w:sz w:val="22"/>
                <w:szCs w:val="22"/>
                <w:u w:val="single"/>
              </w:rPr>
              <w:t>Forty-First</w:t>
            </w:r>
            <w:r w:rsidR="00AD1F6B" w:rsidRPr="00983246">
              <w:rPr>
                <w:sz w:val="22"/>
                <w:szCs w:val="22"/>
                <w:u w:val="single"/>
              </w:rPr>
              <w:t xml:space="preserve"> Meeting</w:t>
            </w:r>
            <w:r w:rsidR="006B3736" w:rsidRPr="00983246">
              <w:rPr>
                <w:sz w:val="22"/>
                <w:szCs w:val="22"/>
                <w:u w:val="single"/>
              </w:rPr>
              <w:t xml:space="preserve"> of the Committee of Experts</w:t>
            </w:r>
          </w:p>
          <w:p w14:paraId="134ED4E2" w14:textId="7C783F41" w:rsidR="006B3736" w:rsidRPr="00983246" w:rsidRDefault="00546EC6" w:rsidP="006B3736">
            <w:pPr>
              <w:suppressAutoHyphens/>
              <w:rPr>
                <w:sz w:val="22"/>
                <w:szCs w:val="22"/>
              </w:rPr>
            </w:pPr>
            <w:r>
              <w:rPr>
                <w:sz w:val="22"/>
                <w:szCs w:val="22"/>
              </w:rPr>
              <w:t xml:space="preserve">March 11 </w:t>
            </w:r>
            <w:r w:rsidR="006B3736" w:rsidRPr="00983246">
              <w:rPr>
                <w:sz w:val="22"/>
                <w:szCs w:val="22"/>
              </w:rPr>
              <w:t>-</w:t>
            </w:r>
            <w:r>
              <w:rPr>
                <w:sz w:val="22"/>
                <w:szCs w:val="22"/>
              </w:rPr>
              <w:t xml:space="preserve"> </w:t>
            </w:r>
            <w:r w:rsidR="006B3736" w:rsidRPr="00983246">
              <w:rPr>
                <w:sz w:val="22"/>
                <w:szCs w:val="22"/>
              </w:rPr>
              <w:t>1</w:t>
            </w:r>
            <w:r w:rsidR="00AD1F6B" w:rsidRPr="00983246">
              <w:rPr>
                <w:sz w:val="22"/>
                <w:szCs w:val="22"/>
              </w:rPr>
              <w:t>4</w:t>
            </w:r>
            <w:r w:rsidR="006B3736" w:rsidRPr="00983246">
              <w:rPr>
                <w:sz w:val="22"/>
                <w:szCs w:val="22"/>
              </w:rPr>
              <w:t>, 202</w:t>
            </w:r>
            <w:r w:rsidR="00B678C0">
              <w:rPr>
                <w:sz w:val="22"/>
                <w:szCs w:val="22"/>
              </w:rPr>
              <w:t>4</w:t>
            </w:r>
          </w:p>
          <w:p w14:paraId="6AF4C7C2" w14:textId="52499E31" w:rsidR="00FA1BA1" w:rsidRPr="00983246" w:rsidRDefault="006B3736" w:rsidP="006B3736">
            <w:pPr>
              <w:tabs>
                <w:tab w:val="left" w:pos="6441"/>
              </w:tabs>
              <w:ind w:right="72"/>
              <w:jc w:val="both"/>
              <w:rPr>
                <w:sz w:val="22"/>
                <w:szCs w:val="22"/>
                <w:highlight w:val="cyan"/>
              </w:rPr>
            </w:pPr>
            <w:r w:rsidRPr="00983246">
              <w:rPr>
                <w:sz w:val="22"/>
                <w:szCs w:val="22"/>
              </w:rPr>
              <w:t>Washington, D.C.</w:t>
            </w:r>
          </w:p>
        </w:tc>
        <w:tc>
          <w:tcPr>
            <w:tcW w:w="3960" w:type="dxa"/>
            <w:shd w:val="clear" w:color="auto" w:fill="auto"/>
          </w:tcPr>
          <w:p w14:paraId="4BA04ACC" w14:textId="77777777" w:rsidR="00FA1BA1" w:rsidRPr="00983246" w:rsidRDefault="00FA1BA1" w:rsidP="003B5C52">
            <w:pPr>
              <w:tabs>
                <w:tab w:val="left" w:pos="6441"/>
              </w:tabs>
              <w:ind w:left="882" w:right="-389"/>
              <w:jc w:val="both"/>
              <w:rPr>
                <w:sz w:val="22"/>
                <w:szCs w:val="22"/>
                <w:highlight w:val="cyan"/>
                <w:lang w:eastAsia="es-ES"/>
              </w:rPr>
            </w:pPr>
          </w:p>
          <w:p w14:paraId="5F624E8C" w14:textId="77777777" w:rsidR="00FA1BA1" w:rsidRPr="00983246" w:rsidRDefault="00FA1BA1" w:rsidP="003B5C52">
            <w:pPr>
              <w:tabs>
                <w:tab w:val="left" w:pos="6441"/>
              </w:tabs>
              <w:ind w:left="882" w:right="-389"/>
              <w:jc w:val="both"/>
              <w:rPr>
                <w:sz w:val="22"/>
                <w:szCs w:val="22"/>
                <w:highlight w:val="cyan"/>
                <w:lang w:eastAsia="es-ES"/>
              </w:rPr>
            </w:pPr>
          </w:p>
          <w:p w14:paraId="63CC59A6" w14:textId="77777777" w:rsidR="00C81DAC" w:rsidRPr="00983246" w:rsidRDefault="00C81DAC" w:rsidP="00C81DAC">
            <w:pPr>
              <w:tabs>
                <w:tab w:val="left" w:pos="6441"/>
              </w:tabs>
              <w:ind w:left="882" w:right="-389"/>
              <w:jc w:val="both"/>
              <w:rPr>
                <w:sz w:val="22"/>
                <w:szCs w:val="22"/>
                <w:lang w:eastAsia="es-ES"/>
              </w:rPr>
            </w:pPr>
            <w:r w:rsidRPr="00983246">
              <w:rPr>
                <w:sz w:val="22"/>
                <w:szCs w:val="22"/>
                <w:lang w:eastAsia="es-ES"/>
              </w:rPr>
              <w:t>OEA/</w:t>
            </w:r>
            <w:proofErr w:type="spellStart"/>
            <w:r w:rsidRPr="00983246">
              <w:rPr>
                <w:sz w:val="22"/>
                <w:szCs w:val="22"/>
                <w:lang w:eastAsia="es-ES"/>
              </w:rPr>
              <w:t>Ser.L</w:t>
            </w:r>
            <w:proofErr w:type="spellEnd"/>
            <w:r w:rsidRPr="00983246">
              <w:rPr>
                <w:sz w:val="22"/>
                <w:szCs w:val="22"/>
                <w:lang w:eastAsia="es-ES"/>
              </w:rPr>
              <w:t>.</w:t>
            </w:r>
          </w:p>
          <w:p w14:paraId="31981C42" w14:textId="3688E171" w:rsidR="00C81DAC" w:rsidRPr="00983246" w:rsidRDefault="00C81DAC" w:rsidP="00C81DAC">
            <w:pPr>
              <w:tabs>
                <w:tab w:val="left" w:pos="6441"/>
              </w:tabs>
              <w:ind w:left="882" w:right="-902"/>
              <w:jc w:val="both"/>
              <w:rPr>
                <w:sz w:val="22"/>
                <w:szCs w:val="22"/>
                <w:lang w:eastAsia="es-ES"/>
              </w:rPr>
            </w:pPr>
            <w:r w:rsidRPr="00983246">
              <w:rPr>
                <w:sz w:val="22"/>
                <w:szCs w:val="22"/>
                <w:lang w:eastAsia="es-ES"/>
              </w:rPr>
              <w:t>SG/MESICIC/doc</w:t>
            </w:r>
            <w:r w:rsidR="009E4F95">
              <w:rPr>
                <w:sz w:val="22"/>
                <w:szCs w:val="22"/>
                <w:lang w:eastAsia="es-ES"/>
              </w:rPr>
              <w:t>.652</w:t>
            </w:r>
            <w:r w:rsidRPr="00983246">
              <w:rPr>
                <w:sz w:val="22"/>
                <w:szCs w:val="22"/>
                <w:lang w:eastAsia="es-ES"/>
              </w:rPr>
              <w:t>/2</w:t>
            </w:r>
            <w:r w:rsidR="00AD1F6B" w:rsidRPr="00983246">
              <w:rPr>
                <w:sz w:val="22"/>
                <w:szCs w:val="22"/>
                <w:lang w:eastAsia="es-ES"/>
              </w:rPr>
              <w:t>3</w:t>
            </w:r>
            <w:r w:rsidR="00173D10">
              <w:rPr>
                <w:sz w:val="22"/>
                <w:szCs w:val="22"/>
                <w:lang w:eastAsia="es-ES"/>
              </w:rPr>
              <w:t xml:space="preserve"> rev.</w:t>
            </w:r>
            <w:r w:rsidR="006B257A">
              <w:rPr>
                <w:sz w:val="22"/>
                <w:szCs w:val="22"/>
                <w:lang w:eastAsia="es-ES"/>
              </w:rPr>
              <w:t>3</w:t>
            </w:r>
          </w:p>
          <w:p w14:paraId="3380D97B" w14:textId="01A56BD5" w:rsidR="00C81DAC" w:rsidRPr="00983246" w:rsidRDefault="006B257A" w:rsidP="00C81DAC">
            <w:pPr>
              <w:tabs>
                <w:tab w:val="left" w:pos="6441"/>
              </w:tabs>
              <w:ind w:left="882" w:right="-902"/>
              <w:jc w:val="both"/>
              <w:rPr>
                <w:sz w:val="22"/>
                <w:szCs w:val="22"/>
                <w:lang w:eastAsia="es-ES"/>
              </w:rPr>
            </w:pPr>
            <w:r>
              <w:rPr>
                <w:sz w:val="22"/>
                <w:szCs w:val="22"/>
                <w:lang w:eastAsia="es-ES"/>
              </w:rPr>
              <w:t>March</w:t>
            </w:r>
            <w:r w:rsidR="006E3111">
              <w:rPr>
                <w:sz w:val="22"/>
                <w:szCs w:val="22"/>
                <w:lang w:eastAsia="es-ES"/>
              </w:rPr>
              <w:t xml:space="preserve"> </w:t>
            </w:r>
            <w:r>
              <w:rPr>
                <w:sz w:val="22"/>
                <w:szCs w:val="22"/>
                <w:lang w:eastAsia="es-ES"/>
              </w:rPr>
              <w:t>11</w:t>
            </w:r>
            <w:r w:rsidR="00C81DAC" w:rsidRPr="00983246">
              <w:rPr>
                <w:sz w:val="22"/>
                <w:szCs w:val="22"/>
                <w:lang w:eastAsia="es-ES"/>
              </w:rPr>
              <w:t>, 202</w:t>
            </w:r>
            <w:r w:rsidR="00173D10">
              <w:rPr>
                <w:sz w:val="22"/>
                <w:szCs w:val="22"/>
                <w:lang w:eastAsia="es-ES"/>
              </w:rPr>
              <w:t>4</w:t>
            </w:r>
          </w:p>
          <w:p w14:paraId="41D97209" w14:textId="29033781" w:rsidR="00FA1BA1" w:rsidRPr="00983246" w:rsidRDefault="00C81DAC" w:rsidP="00C81DAC">
            <w:pPr>
              <w:tabs>
                <w:tab w:val="left" w:pos="6441"/>
              </w:tabs>
              <w:ind w:left="882" w:right="-389"/>
              <w:jc w:val="both"/>
              <w:rPr>
                <w:sz w:val="22"/>
                <w:szCs w:val="22"/>
                <w:highlight w:val="cyan"/>
                <w:lang w:eastAsia="es-ES"/>
              </w:rPr>
            </w:pPr>
            <w:r w:rsidRPr="00983246">
              <w:rPr>
                <w:sz w:val="22"/>
                <w:szCs w:val="22"/>
                <w:lang w:eastAsia="es-ES"/>
              </w:rPr>
              <w:t xml:space="preserve">Original: </w:t>
            </w:r>
            <w:r w:rsidR="00C661A0">
              <w:rPr>
                <w:sz w:val="22"/>
                <w:szCs w:val="22"/>
                <w:lang w:eastAsia="es-ES"/>
              </w:rPr>
              <w:t>English</w:t>
            </w:r>
          </w:p>
        </w:tc>
      </w:tr>
    </w:tbl>
    <w:p w14:paraId="57A71636" w14:textId="418DEC70" w:rsidR="00FA1BA1" w:rsidRPr="00983246" w:rsidRDefault="00FA1BA1" w:rsidP="003B5C52">
      <w:pPr>
        <w:jc w:val="both"/>
        <w:rPr>
          <w:sz w:val="22"/>
          <w:szCs w:val="22"/>
          <w:highlight w:val="cyan"/>
          <w:u w:val="single"/>
          <w:lang w:eastAsia="es-ES"/>
        </w:rPr>
      </w:pPr>
    </w:p>
    <w:p w14:paraId="400BF6B9" w14:textId="77777777" w:rsidR="00FA1BA1" w:rsidRPr="00983246" w:rsidRDefault="00FA1BA1" w:rsidP="003B5C52">
      <w:pPr>
        <w:jc w:val="both"/>
        <w:rPr>
          <w:sz w:val="22"/>
          <w:szCs w:val="22"/>
          <w:highlight w:val="cyan"/>
          <w:u w:val="single"/>
          <w:lang w:eastAsia="es-ES"/>
        </w:rPr>
      </w:pPr>
    </w:p>
    <w:p w14:paraId="260500A2" w14:textId="77777777" w:rsidR="00FA1BA1" w:rsidRPr="00983246" w:rsidRDefault="00FA1BA1" w:rsidP="003B5C52">
      <w:pPr>
        <w:jc w:val="both"/>
        <w:rPr>
          <w:sz w:val="22"/>
          <w:szCs w:val="22"/>
          <w:highlight w:val="cyan"/>
          <w:u w:val="single"/>
          <w:lang w:eastAsia="es-ES"/>
        </w:rPr>
      </w:pPr>
    </w:p>
    <w:p w14:paraId="28F61022" w14:textId="77777777" w:rsidR="00FA1BA1" w:rsidRPr="00983246" w:rsidRDefault="00FA1BA1" w:rsidP="003B5C52">
      <w:pPr>
        <w:jc w:val="both"/>
        <w:rPr>
          <w:sz w:val="22"/>
          <w:szCs w:val="22"/>
          <w:highlight w:val="cyan"/>
          <w:u w:val="single"/>
          <w:lang w:eastAsia="es-ES"/>
        </w:rPr>
      </w:pPr>
    </w:p>
    <w:p w14:paraId="02D5B48F" w14:textId="77777777" w:rsidR="00FA1BA1" w:rsidRPr="00983246" w:rsidRDefault="00FA1BA1" w:rsidP="003B5C52">
      <w:pPr>
        <w:jc w:val="both"/>
        <w:rPr>
          <w:sz w:val="22"/>
          <w:szCs w:val="22"/>
          <w:highlight w:val="cyan"/>
          <w:u w:val="single"/>
          <w:lang w:eastAsia="es-ES"/>
        </w:rPr>
      </w:pPr>
    </w:p>
    <w:p w14:paraId="5B7C7B02" w14:textId="77777777" w:rsidR="00FA1BA1" w:rsidRPr="00983246" w:rsidRDefault="00FA1BA1" w:rsidP="003B5C52">
      <w:pPr>
        <w:jc w:val="both"/>
        <w:rPr>
          <w:sz w:val="22"/>
          <w:szCs w:val="22"/>
          <w:highlight w:val="cyan"/>
          <w:u w:val="single"/>
          <w:lang w:eastAsia="es-ES"/>
        </w:rPr>
      </w:pPr>
    </w:p>
    <w:p w14:paraId="5187EA3F" w14:textId="77777777" w:rsidR="00FA1BA1" w:rsidRPr="00983246" w:rsidRDefault="00FA1BA1" w:rsidP="003B5C52">
      <w:pPr>
        <w:jc w:val="both"/>
        <w:rPr>
          <w:sz w:val="22"/>
          <w:szCs w:val="22"/>
          <w:highlight w:val="cyan"/>
          <w:u w:val="single"/>
          <w:lang w:eastAsia="es-ES"/>
        </w:rPr>
      </w:pPr>
    </w:p>
    <w:p w14:paraId="663260A8" w14:textId="77777777" w:rsidR="00FA1BA1" w:rsidRPr="00983246" w:rsidRDefault="00FA1BA1" w:rsidP="003B5C52">
      <w:pPr>
        <w:jc w:val="both"/>
        <w:rPr>
          <w:sz w:val="22"/>
          <w:szCs w:val="22"/>
          <w:highlight w:val="cyan"/>
          <w:u w:val="single"/>
          <w:lang w:eastAsia="es-ES"/>
        </w:rPr>
      </w:pPr>
    </w:p>
    <w:p w14:paraId="35B2EAD8" w14:textId="77777777" w:rsidR="00FA1BA1" w:rsidRPr="00983246" w:rsidRDefault="00FA1BA1" w:rsidP="003B5C52">
      <w:pPr>
        <w:jc w:val="both"/>
        <w:rPr>
          <w:sz w:val="22"/>
          <w:szCs w:val="22"/>
          <w:highlight w:val="cyan"/>
          <w:u w:val="single"/>
          <w:lang w:eastAsia="es-ES"/>
        </w:rPr>
      </w:pPr>
    </w:p>
    <w:p w14:paraId="2BE823D5" w14:textId="77777777" w:rsidR="00FA1BA1" w:rsidRPr="00983246" w:rsidRDefault="00FA1BA1" w:rsidP="003B5C52">
      <w:pPr>
        <w:jc w:val="both"/>
        <w:rPr>
          <w:sz w:val="22"/>
          <w:szCs w:val="22"/>
          <w:highlight w:val="cyan"/>
          <w:u w:val="single"/>
          <w:lang w:eastAsia="es-ES"/>
        </w:rPr>
      </w:pPr>
    </w:p>
    <w:p w14:paraId="03B3612C" w14:textId="3AEF7F13" w:rsidR="00FA1BA1" w:rsidRPr="00983246" w:rsidRDefault="00FA1BA1" w:rsidP="003B5C52">
      <w:pPr>
        <w:jc w:val="both"/>
        <w:rPr>
          <w:sz w:val="22"/>
          <w:szCs w:val="22"/>
          <w:highlight w:val="cyan"/>
          <w:u w:val="single"/>
          <w:lang w:eastAsia="es-ES"/>
        </w:rPr>
      </w:pPr>
    </w:p>
    <w:p w14:paraId="10EACA81" w14:textId="1A677F19" w:rsidR="00EC73F5" w:rsidRPr="00983246" w:rsidRDefault="00EC73F5" w:rsidP="003B5C52">
      <w:pPr>
        <w:jc w:val="both"/>
        <w:rPr>
          <w:sz w:val="22"/>
          <w:szCs w:val="22"/>
          <w:highlight w:val="cyan"/>
          <w:u w:val="single"/>
          <w:lang w:eastAsia="es-ES"/>
        </w:rPr>
      </w:pPr>
    </w:p>
    <w:p w14:paraId="0F839975" w14:textId="46A2D9E5" w:rsidR="00EC73F5" w:rsidRPr="00983246" w:rsidRDefault="00EC73F5" w:rsidP="003B5C52">
      <w:pPr>
        <w:jc w:val="both"/>
        <w:rPr>
          <w:sz w:val="22"/>
          <w:szCs w:val="22"/>
          <w:highlight w:val="cyan"/>
          <w:u w:val="single"/>
          <w:lang w:eastAsia="es-ES"/>
        </w:rPr>
      </w:pPr>
    </w:p>
    <w:p w14:paraId="708E0F77" w14:textId="77777777" w:rsidR="00EC73F5" w:rsidRPr="00983246" w:rsidRDefault="00EC73F5" w:rsidP="003B5C52">
      <w:pPr>
        <w:jc w:val="both"/>
        <w:rPr>
          <w:sz w:val="22"/>
          <w:szCs w:val="22"/>
          <w:highlight w:val="cyan"/>
          <w:u w:val="single"/>
          <w:lang w:eastAsia="es-ES"/>
        </w:rPr>
      </w:pPr>
    </w:p>
    <w:p w14:paraId="13A390B5" w14:textId="77777777" w:rsidR="00FA1BA1" w:rsidRPr="00983246" w:rsidRDefault="00FA1BA1" w:rsidP="003B5C52">
      <w:pPr>
        <w:jc w:val="both"/>
        <w:rPr>
          <w:sz w:val="22"/>
          <w:szCs w:val="22"/>
          <w:highlight w:val="cyan"/>
          <w:u w:val="single"/>
          <w:lang w:eastAsia="es-ES"/>
        </w:rPr>
      </w:pPr>
    </w:p>
    <w:p w14:paraId="041B3504" w14:textId="2B58FFA3" w:rsidR="00970137" w:rsidRPr="00983246" w:rsidRDefault="006E3111" w:rsidP="00970137">
      <w:pPr>
        <w:jc w:val="center"/>
        <w:rPr>
          <w:color w:val="FF0000"/>
          <w:sz w:val="22"/>
          <w:szCs w:val="22"/>
          <w:highlight w:val="cyan"/>
        </w:rPr>
      </w:pPr>
      <w:r>
        <w:rPr>
          <w:sz w:val="22"/>
          <w:szCs w:val="22"/>
          <w:u w:val="single"/>
          <w:lang w:eastAsia="es-ES"/>
        </w:rPr>
        <w:t>UNITED STATES OF AMERICA</w:t>
      </w:r>
      <w:r w:rsidR="00FA1BA1" w:rsidRPr="00983246">
        <w:rPr>
          <w:sz w:val="22"/>
          <w:szCs w:val="22"/>
          <w:highlight w:val="cyan"/>
          <w:u w:val="single"/>
          <w:lang w:eastAsia="es-ES"/>
        </w:rPr>
        <w:br/>
      </w:r>
    </w:p>
    <w:p w14:paraId="6474088B" w14:textId="522E9653" w:rsidR="00254423" w:rsidRDefault="00080FA1" w:rsidP="00254423">
      <w:pPr>
        <w:jc w:val="center"/>
        <w:rPr>
          <w:sz w:val="22"/>
          <w:szCs w:val="22"/>
          <w:lang w:eastAsia="es-ES"/>
        </w:rPr>
        <w:sectPr w:rsidR="00254423" w:rsidSect="001D30A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fmt="numberInDash" w:start="1"/>
          <w:cols w:space="720"/>
          <w:titlePg/>
          <w:docGrid w:linePitch="360"/>
        </w:sectPr>
      </w:pPr>
      <w:r>
        <w:rPr>
          <w:sz w:val="22"/>
          <w:szCs w:val="22"/>
          <w:lang w:eastAsia="es-ES"/>
        </w:rPr>
        <w:t>PLENARY SESSION VERSION</w:t>
      </w:r>
    </w:p>
    <w:p w14:paraId="6B5094FE" w14:textId="77777777" w:rsidR="00BC739C" w:rsidRPr="00983246" w:rsidRDefault="00BC739C" w:rsidP="00BC739C">
      <w:pPr>
        <w:keepNext/>
        <w:jc w:val="center"/>
        <w:outlineLvl w:val="0"/>
        <w:rPr>
          <w:b/>
          <w:bCs/>
          <w:sz w:val="22"/>
          <w:szCs w:val="22"/>
        </w:rPr>
      </w:pPr>
      <w:bookmarkStart w:id="0" w:name="_Hlk54341521"/>
      <w:r w:rsidRPr="00983246">
        <w:rPr>
          <w:b/>
          <w:sz w:val="22"/>
          <w:szCs w:val="22"/>
        </w:rPr>
        <w:lastRenderedPageBreak/>
        <w:t>COMMITTEE OF EXPERTS OF THE FOLLOW-UP MECHANISM ON THE IMPLEMENTATION OF THE INTER-AMERICAN CONVENTION AGAINST CORRUPTION</w:t>
      </w:r>
    </w:p>
    <w:p w14:paraId="0D70C0D9" w14:textId="77777777" w:rsidR="00BC739C" w:rsidRPr="00983246" w:rsidRDefault="00BC739C" w:rsidP="00BC739C">
      <w:pPr>
        <w:keepNext/>
        <w:jc w:val="center"/>
        <w:outlineLvl w:val="0"/>
        <w:rPr>
          <w:b/>
          <w:bCs/>
          <w:sz w:val="22"/>
          <w:szCs w:val="22"/>
        </w:rPr>
      </w:pPr>
    </w:p>
    <w:p w14:paraId="653AAD3C" w14:textId="7F83DEF8" w:rsidR="00494D02" w:rsidRPr="00804DBA" w:rsidRDefault="00FE4C79" w:rsidP="00BC739C">
      <w:pPr>
        <w:pStyle w:val="BodyText2"/>
        <w:spacing w:after="0" w:line="240" w:lineRule="auto"/>
        <w:jc w:val="center"/>
        <w:rPr>
          <w:b/>
          <w:sz w:val="22"/>
          <w:szCs w:val="22"/>
          <w:lang w:val="en-US"/>
        </w:rPr>
      </w:pPr>
      <w:r>
        <w:rPr>
          <w:b/>
          <w:sz w:val="22"/>
          <w:szCs w:val="22"/>
          <w:lang w:val="en-US"/>
        </w:rPr>
        <w:t xml:space="preserve">DRAFT </w:t>
      </w:r>
      <w:r w:rsidR="00BC739C" w:rsidRPr="00983246">
        <w:rPr>
          <w:b/>
          <w:sz w:val="22"/>
          <w:szCs w:val="22"/>
          <w:lang w:val="en-US"/>
        </w:rPr>
        <w:t>PRELIMINARY REPORT ON FOLLOW-UP ON IMPLEMENTATION IN</w:t>
      </w:r>
      <w:r w:rsidR="006E3111">
        <w:rPr>
          <w:b/>
          <w:sz w:val="22"/>
          <w:szCs w:val="22"/>
          <w:lang w:val="en-US"/>
        </w:rPr>
        <w:t xml:space="preserve"> THE</w:t>
      </w:r>
      <w:r w:rsidR="00BC739C" w:rsidRPr="00983246">
        <w:rPr>
          <w:b/>
          <w:sz w:val="22"/>
          <w:szCs w:val="22"/>
          <w:lang w:val="en-US"/>
        </w:rPr>
        <w:t xml:space="preserve"> </w:t>
      </w:r>
      <w:r w:rsidR="006E3111">
        <w:rPr>
          <w:b/>
          <w:sz w:val="22"/>
          <w:szCs w:val="22"/>
          <w:u w:val="single"/>
          <w:lang w:val="en-US"/>
        </w:rPr>
        <w:t>UNITED STATES</w:t>
      </w:r>
      <w:r w:rsidR="00BC739C" w:rsidRPr="00983246">
        <w:rPr>
          <w:b/>
          <w:sz w:val="22"/>
          <w:szCs w:val="22"/>
          <w:lang w:val="en-US"/>
        </w:rPr>
        <w:t xml:space="preserve"> OF THE RECOMMENDATIONS FORMULATED AND PROVISIONS REVIEWED IN THE THIRD </w:t>
      </w:r>
      <w:r w:rsidR="00BC739C" w:rsidRPr="00804DBA">
        <w:rPr>
          <w:b/>
          <w:sz w:val="22"/>
          <w:szCs w:val="22"/>
          <w:lang w:val="en-US"/>
        </w:rPr>
        <w:t>ROUND, AND ON THE PROVISION OF THE CONVENTION SELECTED FOR REVIEW IN THE SIXTH ROUND</w:t>
      </w:r>
      <w:r w:rsidR="00A20227" w:rsidRPr="00804DBA">
        <w:rPr>
          <w:rStyle w:val="FootnoteReference"/>
          <w:b/>
          <w:bCs/>
          <w:sz w:val="22"/>
          <w:szCs w:val="22"/>
          <w:lang w:val="en-US"/>
        </w:rPr>
        <w:footnoteReference w:id="2"/>
      </w:r>
    </w:p>
    <w:bookmarkEnd w:id="0"/>
    <w:p w14:paraId="4D1538C2" w14:textId="77777777" w:rsidR="007513E0" w:rsidRDefault="007513E0" w:rsidP="003B5C52">
      <w:pPr>
        <w:jc w:val="both"/>
        <w:outlineLvl w:val="0"/>
        <w:rPr>
          <w:b/>
          <w:sz w:val="22"/>
          <w:szCs w:val="22"/>
        </w:rPr>
      </w:pPr>
    </w:p>
    <w:p w14:paraId="2D6A85EC" w14:textId="77777777" w:rsidR="007513E0" w:rsidRPr="00C16504" w:rsidRDefault="007513E0" w:rsidP="003B5C52">
      <w:pPr>
        <w:jc w:val="both"/>
        <w:outlineLvl w:val="0"/>
        <w:rPr>
          <w:b/>
          <w:sz w:val="22"/>
          <w:szCs w:val="22"/>
        </w:rPr>
      </w:pPr>
    </w:p>
    <w:p w14:paraId="4114D24B" w14:textId="139284B3" w:rsidR="00FA1BA1" w:rsidRPr="00983246" w:rsidRDefault="000D5319" w:rsidP="003B5C52">
      <w:pPr>
        <w:jc w:val="both"/>
        <w:outlineLvl w:val="0"/>
        <w:rPr>
          <w:b/>
          <w:sz w:val="22"/>
          <w:szCs w:val="22"/>
        </w:rPr>
      </w:pPr>
      <w:r w:rsidRPr="00983246">
        <w:rPr>
          <w:b/>
          <w:sz w:val="22"/>
          <w:szCs w:val="22"/>
        </w:rPr>
        <w:t>INTRODUCTION</w:t>
      </w:r>
    </w:p>
    <w:p w14:paraId="76F9866A" w14:textId="77777777" w:rsidR="000D5319" w:rsidRPr="00983246" w:rsidRDefault="000D5319" w:rsidP="003B5C52">
      <w:pPr>
        <w:jc w:val="both"/>
        <w:outlineLvl w:val="0"/>
        <w:rPr>
          <w:b/>
          <w:sz w:val="22"/>
          <w:szCs w:val="22"/>
          <w:lang w:eastAsia="es-ES"/>
        </w:rPr>
      </w:pPr>
    </w:p>
    <w:p w14:paraId="56D4546C" w14:textId="737AD156" w:rsidR="00FA1BA1" w:rsidRPr="00983246" w:rsidRDefault="0011434D" w:rsidP="00113B65">
      <w:pPr>
        <w:numPr>
          <w:ilvl w:val="0"/>
          <w:numId w:val="2"/>
        </w:numPr>
        <w:suppressAutoHyphens/>
        <w:jc w:val="both"/>
        <w:rPr>
          <w:b/>
          <w:sz w:val="22"/>
          <w:szCs w:val="22"/>
          <w:lang w:eastAsia="es-ES"/>
        </w:rPr>
      </w:pPr>
      <w:r w:rsidRPr="00983246">
        <w:rPr>
          <w:b/>
          <w:sz w:val="22"/>
          <w:szCs w:val="22"/>
        </w:rPr>
        <w:t>Content of the Report</w:t>
      </w:r>
      <w:r w:rsidR="00E01232" w:rsidRPr="00983246">
        <w:rPr>
          <w:b/>
          <w:sz w:val="22"/>
          <w:szCs w:val="22"/>
        </w:rPr>
        <w:t>.</w:t>
      </w:r>
    </w:p>
    <w:p w14:paraId="2AB7A786" w14:textId="77777777" w:rsidR="00FA1BA1" w:rsidRDefault="00FA1BA1" w:rsidP="003B5C52">
      <w:pPr>
        <w:jc w:val="both"/>
        <w:rPr>
          <w:sz w:val="22"/>
          <w:szCs w:val="22"/>
        </w:rPr>
      </w:pPr>
    </w:p>
    <w:p w14:paraId="62A295EC" w14:textId="72641975" w:rsidR="00FA1BA1" w:rsidRPr="00983246" w:rsidRDefault="005B5981" w:rsidP="00113B65">
      <w:pPr>
        <w:pStyle w:val="BodyTextIndent2"/>
        <w:numPr>
          <w:ilvl w:val="0"/>
          <w:numId w:val="1"/>
        </w:numPr>
        <w:tabs>
          <w:tab w:val="left" w:pos="540"/>
        </w:tabs>
        <w:rPr>
          <w:rFonts w:ascii="Times New Roman" w:hAnsi="Times New Roman"/>
          <w:lang w:val="en-US"/>
        </w:rPr>
      </w:pPr>
      <w:r w:rsidRPr="00462B0A">
        <w:rPr>
          <w:rFonts w:ascii="Times New Roman" w:hAnsi="Times New Roman"/>
          <w:lang w:val="en-US"/>
        </w:rPr>
        <w:t xml:space="preserve">As </w:t>
      </w:r>
      <w:r w:rsidR="00363C24" w:rsidRPr="00462B0A">
        <w:rPr>
          <w:rFonts w:ascii="Times New Roman" w:hAnsi="Times New Roman"/>
          <w:lang w:val="en-US"/>
        </w:rPr>
        <w:t>decided</w:t>
      </w:r>
      <w:r w:rsidR="00363C24" w:rsidRPr="00363C24">
        <w:rPr>
          <w:rFonts w:ascii="Times New Roman" w:hAnsi="Times New Roman"/>
          <w:lang w:val="en-US"/>
        </w:rPr>
        <w:t xml:space="preserve"> </w:t>
      </w:r>
      <w:r w:rsidRPr="00983246">
        <w:rPr>
          <w:rFonts w:ascii="Times New Roman" w:hAnsi="Times New Roman"/>
          <w:lang w:val="en-US"/>
        </w:rPr>
        <w:t>by the Committee of Experts (hereinafter “Committee”) of the Follow-Up Mechanism for the Implementation of the Inter-American Convention against Corruption (MESICIC) at its Thirty-Fourth Meeting of the Committee of Experts</w:t>
      </w:r>
      <w:r w:rsidR="00FA1BA1" w:rsidRPr="00983246">
        <w:rPr>
          <w:rFonts w:ascii="Times New Roman" w:hAnsi="Times New Roman"/>
          <w:lang w:val="en-US"/>
        </w:rPr>
        <w:t>,</w:t>
      </w:r>
      <w:r w:rsidR="00FA1BA1" w:rsidRPr="00983246">
        <w:rPr>
          <w:rFonts w:ascii="Times New Roman" w:hAnsi="Times New Roman"/>
          <w:vertAlign w:val="superscript"/>
          <w:lang w:val="en-US" w:eastAsia="es-ES"/>
        </w:rPr>
        <w:footnoteReference w:id="3"/>
      </w:r>
      <w:r w:rsidR="00FA1BA1" w:rsidRPr="00983246">
        <w:rPr>
          <w:rFonts w:ascii="Times New Roman" w:hAnsi="Times New Roman"/>
          <w:lang w:val="en-US" w:eastAsia="es-ES"/>
        </w:rPr>
        <w:t xml:space="preserve"> </w:t>
      </w:r>
      <w:r w:rsidR="001C59C2" w:rsidRPr="00983246">
        <w:rPr>
          <w:rFonts w:ascii="Times New Roman" w:hAnsi="Times New Roman"/>
          <w:lang w:val="en-US"/>
        </w:rPr>
        <w:t xml:space="preserve">this Report will first refer to follow up on implementation of the recommendations formulated to </w:t>
      </w:r>
      <w:r w:rsidR="006E3111">
        <w:rPr>
          <w:rFonts w:ascii="Times New Roman" w:hAnsi="Times New Roman"/>
          <w:lang w:val="en-US"/>
        </w:rPr>
        <w:t>the United States</w:t>
      </w:r>
      <w:r w:rsidR="001C59C2" w:rsidRPr="00983246">
        <w:rPr>
          <w:rFonts w:ascii="Times New Roman" w:hAnsi="Times New Roman"/>
          <w:lang w:val="en-US"/>
        </w:rPr>
        <w:t xml:space="preserve"> in the Report of the Third Round</w:t>
      </w:r>
      <w:r w:rsidR="001C59C2" w:rsidRPr="00983246">
        <w:rPr>
          <w:rStyle w:val="FootnoteReference"/>
          <w:rFonts w:ascii="Times New Roman" w:hAnsi="Times New Roman"/>
          <w:lang w:val="en-US"/>
        </w:rPr>
        <w:t xml:space="preserve"> </w:t>
      </w:r>
      <w:r w:rsidR="00FA1BA1" w:rsidRPr="00983246">
        <w:rPr>
          <w:rStyle w:val="FootnoteReference"/>
          <w:rFonts w:ascii="Times New Roman" w:hAnsi="Times New Roman"/>
          <w:lang w:val="en-US"/>
        </w:rPr>
        <w:footnoteReference w:id="4"/>
      </w:r>
      <w:r w:rsidR="00FA1BA1" w:rsidRPr="00983246">
        <w:rPr>
          <w:rFonts w:ascii="Times New Roman" w:hAnsi="Times New Roman"/>
          <w:lang w:val="en-US"/>
        </w:rPr>
        <w:t xml:space="preserve"> </w:t>
      </w:r>
    </w:p>
    <w:p w14:paraId="125E5B33" w14:textId="77777777" w:rsidR="00FA1BA1" w:rsidRPr="00983246" w:rsidRDefault="00FA1BA1" w:rsidP="003B5C52">
      <w:pPr>
        <w:pStyle w:val="BodyTextIndent2"/>
        <w:tabs>
          <w:tab w:val="left" w:pos="540"/>
        </w:tabs>
        <w:ind w:left="10"/>
        <w:rPr>
          <w:rFonts w:ascii="Times New Roman" w:hAnsi="Times New Roman"/>
          <w:lang w:val="en-US"/>
        </w:rPr>
      </w:pPr>
    </w:p>
    <w:p w14:paraId="48DD6C8C" w14:textId="039DA34E" w:rsidR="00FA1BA1" w:rsidRPr="00983246" w:rsidRDefault="006E392D" w:rsidP="00113B65">
      <w:pPr>
        <w:pStyle w:val="BodyTextIndent2"/>
        <w:numPr>
          <w:ilvl w:val="0"/>
          <w:numId w:val="1"/>
        </w:numPr>
        <w:tabs>
          <w:tab w:val="left" w:pos="540"/>
        </w:tabs>
        <w:rPr>
          <w:rFonts w:ascii="Times New Roman" w:hAnsi="Times New Roman"/>
          <w:lang w:val="en-US"/>
        </w:rPr>
      </w:pPr>
      <w:r w:rsidRPr="00983246">
        <w:rPr>
          <w:rFonts w:ascii="Times New Roman" w:hAnsi="Times New Roman"/>
          <w:lang w:val="en-US"/>
        </w:rPr>
        <w:t xml:space="preserve">Second, where applicable, it will refer to new developments in </w:t>
      </w:r>
      <w:r w:rsidR="006E3111">
        <w:rPr>
          <w:rFonts w:ascii="Times New Roman" w:hAnsi="Times New Roman"/>
          <w:lang w:val="en-US"/>
        </w:rPr>
        <w:t>the United States</w:t>
      </w:r>
      <w:r w:rsidRPr="00983246">
        <w:rPr>
          <w:rFonts w:ascii="Times New Roman" w:hAnsi="Times New Roman"/>
          <w:lang w:val="en-US"/>
        </w:rPr>
        <w:t xml:space="preserve"> regarding the provisions of the Inter-American Convention against Corruption (hereinafter “Convention”) selected for the Third Round, and regarding such matters as the legal framework, technological developments, and results, and, if applicable, appropriate observations and recommendations will be formulated</w:t>
      </w:r>
      <w:r w:rsidR="00FA1BA1" w:rsidRPr="00983246">
        <w:rPr>
          <w:rFonts w:ascii="Times New Roman" w:hAnsi="Times New Roman"/>
          <w:lang w:val="en-US"/>
        </w:rPr>
        <w:t xml:space="preserve">. </w:t>
      </w:r>
    </w:p>
    <w:p w14:paraId="719A1976" w14:textId="77777777" w:rsidR="00FA1BA1" w:rsidRPr="00983246" w:rsidRDefault="00FA1BA1" w:rsidP="003B5C52">
      <w:pPr>
        <w:pStyle w:val="ListParagraph"/>
        <w:jc w:val="both"/>
        <w:rPr>
          <w:lang w:eastAsia="es-ES"/>
        </w:rPr>
      </w:pPr>
    </w:p>
    <w:p w14:paraId="3FCFC592" w14:textId="1C2EDFA1" w:rsidR="00FA1BA1" w:rsidRPr="00983246" w:rsidRDefault="00C904FC" w:rsidP="00113B65">
      <w:pPr>
        <w:pStyle w:val="BodyTextIndent2"/>
        <w:numPr>
          <w:ilvl w:val="0"/>
          <w:numId w:val="1"/>
        </w:numPr>
        <w:tabs>
          <w:tab w:val="left" w:pos="540"/>
        </w:tabs>
        <w:rPr>
          <w:rFonts w:ascii="Times New Roman" w:hAnsi="Times New Roman"/>
          <w:lang w:val="en-US"/>
        </w:rPr>
      </w:pPr>
      <w:r w:rsidRPr="00983246">
        <w:rPr>
          <w:rFonts w:ascii="Times New Roman" w:hAnsi="Times New Roman"/>
          <w:lang w:val="en-US" w:eastAsia="es-ES"/>
        </w:rPr>
        <w:t>Third, it will address implementation of the Convention provisions selected by the Committee of Experts of the Mechanism for the Follow-up of Implementation of the same (MESICIC) for the Sixth Round of review.  That provision corresponds to Article XVI of the Convention on Bank Secrecy, which reads: “</w:t>
      </w:r>
      <w:r w:rsidRPr="00983246">
        <w:rPr>
          <w:rFonts w:ascii="Times New Roman" w:hAnsi="Times New Roman"/>
          <w:i/>
          <w:lang w:val="en-US" w:eastAsia="es-ES"/>
        </w:rPr>
        <w:t>1. The Requested State shall not invoke bank secrecy as a basis for refusal to provide the assistance sought by the Requesting State. The Requested State shall apply this article in accordance with its domestic law, its procedural provisions, or bilateral or multilateral agreements with the Requesting State. 2. The Requesting State shall be obligated not to use any information received that is protected by bank secrecy for any purpose other than the proceeding for which that information was requested, unless authorized by the Requested State</w:t>
      </w:r>
      <w:r w:rsidR="00FA1BA1" w:rsidRPr="00983246">
        <w:rPr>
          <w:rFonts w:ascii="Times New Roman" w:hAnsi="Times New Roman"/>
          <w:lang w:val="en-US" w:eastAsia="es-ES"/>
        </w:rPr>
        <w:t>.</w:t>
      </w:r>
      <w:r w:rsidR="00C84D09">
        <w:rPr>
          <w:rFonts w:ascii="Times New Roman" w:hAnsi="Times New Roman"/>
          <w:lang w:val="en-US" w:eastAsia="es-ES"/>
        </w:rPr>
        <w:t>”</w:t>
      </w:r>
    </w:p>
    <w:p w14:paraId="20DB35B4" w14:textId="77777777" w:rsidR="00FA1BA1" w:rsidRPr="00983246" w:rsidRDefault="00FA1BA1" w:rsidP="003B5C52">
      <w:pPr>
        <w:ind w:left="10"/>
        <w:jc w:val="both"/>
        <w:rPr>
          <w:rFonts w:eastAsia="Calibri"/>
          <w:sz w:val="22"/>
          <w:szCs w:val="22"/>
          <w:lang w:eastAsia="es-ES"/>
        </w:rPr>
      </w:pPr>
    </w:p>
    <w:p w14:paraId="14A7EEB2" w14:textId="25EBD07C" w:rsidR="00FA1BA1" w:rsidRPr="00983246" w:rsidRDefault="0003274C" w:rsidP="00113B65">
      <w:pPr>
        <w:numPr>
          <w:ilvl w:val="0"/>
          <w:numId w:val="1"/>
        </w:numPr>
        <w:ind w:hanging="10"/>
        <w:jc w:val="both"/>
        <w:rPr>
          <w:rFonts w:eastAsia="Calibri"/>
          <w:sz w:val="22"/>
          <w:szCs w:val="22"/>
          <w:lang w:eastAsia="es-ES"/>
        </w:rPr>
      </w:pPr>
      <w:r w:rsidRPr="00983246">
        <w:rPr>
          <w:sz w:val="22"/>
          <w:szCs w:val="22"/>
        </w:rPr>
        <w:t>Fourth, it will refer to best practices, where applicable, that the country under review has wished to voluntarily share regarding implementation of the Convention provisions selected for the Third and Sixth Rounds</w:t>
      </w:r>
      <w:r w:rsidR="00FA1BA1" w:rsidRPr="00983246">
        <w:rPr>
          <w:sz w:val="22"/>
          <w:szCs w:val="22"/>
        </w:rPr>
        <w:t>.</w:t>
      </w:r>
    </w:p>
    <w:p w14:paraId="097CCDE7" w14:textId="77777777" w:rsidR="00FA1BA1" w:rsidRPr="00983246" w:rsidRDefault="00FA1BA1" w:rsidP="003B5C52">
      <w:pPr>
        <w:jc w:val="both"/>
        <w:rPr>
          <w:rFonts w:eastAsia="Calibri"/>
          <w:sz w:val="22"/>
          <w:szCs w:val="22"/>
          <w:highlight w:val="cyan"/>
          <w:lang w:eastAsia="es-ES"/>
        </w:rPr>
      </w:pPr>
    </w:p>
    <w:p w14:paraId="13F3C2FB" w14:textId="2C4DEA83" w:rsidR="00FA1BA1" w:rsidRPr="00983246" w:rsidRDefault="00D51FB1" w:rsidP="00113B65">
      <w:pPr>
        <w:numPr>
          <w:ilvl w:val="0"/>
          <w:numId w:val="2"/>
        </w:numPr>
        <w:jc w:val="both"/>
        <w:rPr>
          <w:b/>
          <w:bCs/>
          <w:sz w:val="22"/>
          <w:szCs w:val="22"/>
        </w:rPr>
      </w:pPr>
      <w:r w:rsidRPr="00983246">
        <w:rPr>
          <w:b/>
          <w:sz w:val="22"/>
          <w:szCs w:val="22"/>
        </w:rPr>
        <w:t>Ratification of the Convention and adherence to the Mechanism</w:t>
      </w:r>
    </w:p>
    <w:p w14:paraId="098BC32C" w14:textId="77777777" w:rsidR="00FA1BA1" w:rsidRPr="00983246" w:rsidRDefault="00FA1BA1" w:rsidP="003B5C52">
      <w:pPr>
        <w:ind w:left="720"/>
        <w:jc w:val="both"/>
        <w:rPr>
          <w:b/>
          <w:bCs/>
          <w:sz w:val="22"/>
          <w:szCs w:val="22"/>
        </w:rPr>
      </w:pPr>
    </w:p>
    <w:p w14:paraId="3736405F" w14:textId="1DE30FC5" w:rsidR="006E3111" w:rsidRDefault="006E3111" w:rsidP="007333AB">
      <w:pPr>
        <w:numPr>
          <w:ilvl w:val="0"/>
          <w:numId w:val="1"/>
        </w:numPr>
        <w:ind w:hanging="10"/>
        <w:jc w:val="both"/>
        <w:rPr>
          <w:sz w:val="22"/>
          <w:szCs w:val="22"/>
        </w:rPr>
      </w:pPr>
      <w:r w:rsidRPr="006E3111">
        <w:rPr>
          <w:sz w:val="22"/>
          <w:szCs w:val="22"/>
        </w:rPr>
        <w:t>According to the official registry of the OAS General Secretariat, the United States ratified the InterAmerican Convention against Corruption (IACC) on September 15, 2000, and deposited the respective instrument of ratification on September 29, 2000.</w:t>
      </w:r>
    </w:p>
    <w:p w14:paraId="35C840CC" w14:textId="77777777" w:rsidR="00960FCF" w:rsidRDefault="00960FCF" w:rsidP="00960FCF">
      <w:pPr>
        <w:ind w:left="10"/>
        <w:jc w:val="both"/>
        <w:rPr>
          <w:sz w:val="22"/>
          <w:szCs w:val="22"/>
        </w:rPr>
      </w:pPr>
    </w:p>
    <w:p w14:paraId="67B7E49F" w14:textId="35CCCDD9" w:rsidR="00FA1BA1" w:rsidRDefault="006E3111" w:rsidP="007333AB">
      <w:pPr>
        <w:numPr>
          <w:ilvl w:val="0"/>
          <w:numId w:val="1"/>
        </w:numPr>
        <w:ind w:hanging="10"/>
        <w:jc w:val="both"/>
        <w:rPr>
          <w:sz w:val="22"/>
          <w:szCs w:val="22"/>
        </w:rPr>
      </w:pPr>
      <w:r w:rsidRPr="006E3111">
        <w:rPr>
          <w:sz w:val="22"/>
          <w:szCs w:val="22"/>
        </w:rPr>
        <w:t>Similarly, the United States signed the Declaration on the Mechanism for Follow-Up of Implementation of the IACC on June 4, 2001, during a regular session of the OAS General Assembly held in San José, Costa Rica.</w:t>
      </w:r>
    </w:p>
    <w:p w14:paraId="77B9FC25" w14:textId="77777777" w:rsidR="00C16504" w:rsidRDefault="00C16504" w:rsidP="00C16504">
      <w:pPr>
        <w:pStyle w:val="ListParagraph"/>
      </w:pPr>
    </w:p>
    <w:p w14:paraId="3C868CD1" w14:textId="47F389AF" w:rsidR="00FA1BA1" w:rsidRPr="00983246" w:rsidRDefault="004224E4" w:rsidP="00113B65">
      <w:pPr>
        <w:numPr>
          <w:ilvl w:val="0"/>
          <w:numId w:val="3"/>
        </w:numPr>
        <w:tabs>
          <w:tab w:val="clear" w:pos="1080"/>
          <w:tab w:val="num" w:pos="360"/>
        </w:tabs>
        <w:ind w:left="360" w:hanging="360"/>
        <w:jc w:val="both"/>
        <w:rPr>
          <w:b/>
          <w:bCs/>
          <w:sz w:val="22"/>
          <w:szCs w:val="22"/>
        </w:rPr>
      </w:pPr>
      <w:r w:rsidRPr="00983246">
        <w:rPr>
          <w:b/>
          <w:sz w:val="22"/>
          <w:szCs w:val="22"/>
        </w:rPr>
        <w:t>SUMMARY OF INFORMATION RECEIVED</w:t>
      </w:r>
      <w:r w:rsidR="00E01232" w:rsidRPr="00983246">
        <w:rPr>
          <w:b/>
          <w:sz w:val="22"/>
          <w:szCs w:val="22"/>
        </w:rPr>
        <w:t>.</w:t>
      </w:r>
    </w:p>
    <w:p w14:paraId="10D5134F" w14:textId="77777777" w:rsidR="00FA1BA1" w:rsidRPr="00983246" w:rsidRDefault="00FA1BA1" w:rsidP="003B5C52">
      <w:pPr>
        <w:ind w:left="360"/>
        <w:jc w:val="both"/>
        <w:rPr>
          <w:b/>
          <w:bCs/>
          <w:sz w:val="22"/>
          <w:szCs w:val="22"/>
          <w:highlight w:val="cyan"/>
        </w:rPr>
      </w:pPr>
    </w:p>
    <w:p w14:paraId="595267F5" w14:textId="149EF76A" w:rsidR="00FA1BA1" w:rsidRPr="00983246" w:rsidRDefault="004224E4" w:rsidP="00113B65">
      <w:pPr>
        <w:numPr>
          <w:ilvl w:val="3"/>
          <w:numId w:val="3"/>
        </w:numPr>
        <w:tabs>
          <w:tab w:val="clear" w:pos="2880"/>
          <w:tab w:val="num" w:pos="720"/>
        </w:tabs>
        <w:ind w:left="720"/>
        <w:jc w:val="both"/>
        <w:rPr>
          <w:b/>
          <w:bCs/>
          <w:sz w:val="22"/>
          <w:szCs w:val="22"/>
        </w:rPr>
      </w:pPr>
      <w:r w:rsidRPr="00983246">
        <w:rPr>
          <w:b/>
          <w:sz w:val="22"/>
          <w:szCs w:val="22"/>
        </w:rPr>
        <w:t>Response of</w:t>
      </w:r>
      <w:r w:rsidR="0068667C" w:rsidRPr="00983246">
        <w:rPr>
          <w:b/>
          <w:sz w:val="22"/>
          <w:szCs w:val="22"/>
        </w:rPr>
        <w:t xml:space="preserve"> </w:t>
      </w:r>
      <w:r w:rsidR="006E3111">
        <w:rPr>
          <w:b/>
          <w:sz w:val="22"/>
          <w:szCs w:val="22"/>
        </w:rPr>
        <w:t>the United States</w:t>
      </w:r>
      <w:r w:rsidR="00E01232" w:rsidRPr="00983246">
        <w:rPr>
          <w:b/>
          <w:sz w:val="22"/>
          <w:szCs w:val="22"/>
        </w:rPr>
        <w:t>.</w:t>
      </w:r>
      <w:r w:rsidR="00D93774" w:rsidRPr="00983246">
        <w:rPr>
          <w:b/>
          <w:sz w:val="22"/>
          <w:szCs w:val="22"/>
        </w:rPr>
        <w:t xml:space="preserve"> </w:t>
      </w:r>
    </w:p>
    <w:p w14:paraId="496B0CED" w14:textId="77777777" w:rsidR="00FA1BA1" w:rsidRPr="00983246" w:rsidRDefault="00FA1BA1" w:rsidP="003B5C52">
      <w:pPr>
        <w:ind w:left="720"/>
        <w:jc w:val="both"/>
        <w:rPr>
          <w:b/>
          <w:bCs/>
          <w:sz w:val="22"/>
          <w:szCs w:val="22"/>
        </w:rPr>
      </w:pPr>
    </w:p>
    <w:p w14:paraId="618DE69C" w14:textId="7EB1CC41" w:rsidR="00817941" w:rsidRPr="00983246" w:rsidRDefault="00F903D2" w:rsidP="00113B65">
      <w:pPr>
        <w:numPr>
          <w:ilvl w:val="0"/>
          <w:numId w:val="1"/>
        </w:numPr>
        <w:ind w:hanging="10"/>
        <w:jc w:val="both"/>
        <w:rPr>
          <w:b/>
          <w:bCs/>
          <w:sz w:val="22"/>
          <w:szCs w:val="22"/>
        </w:rPr>
      </w:pPr>
      <w:r w:rsidRPr="00983246">
        <w:rPr>
          <w:sz w:val="22"/>
          <w:szCs w:val="22"/>
        </w:rPr>
        <w:t xml:space="preserve">The Committee wishes to acknowledge the cooperation that it received throughout the review process from </w:t>
      </w:r>
      <w:r w:rsidR="006E3111">
        <w:rPr>
          <w:sz w:val="22"/>
          <w:szCs w:val="22"/>
        </w:rPr>
        <w:t>the United States</w:t>
      </w:r>
      <w:r w:rsidRPr="00983246">
        <w:rPr>
          <w:sz w:val="22"/>
          <w:szCs w:val="22"/>
        </w:rPr>
        <w:t xml:space="preserve">, </w:t>
      </w:r>
      <w:proofErr w:type="gramStart"/>
      <w:r w:rsidRPr="00983246">
        <w:rPr>
          <w:sz w:val="22"/>
          <w:szCs w:val="22"/>
        </w:rPr>
        <w:t>and in particular, from</w:t>
      </w:r>
      <w:proofErr w:type="gramEnd"/>
      <w:r w:rsidRPr="00983246">
        <w:rPr>
          <w:sz w:val="22"/>
          <w:szCs w:val="22"/>
        </w:rPr>
        <w:t xml:space="preserve"> the</w:t>
      </w:r>
      <w:r w:rsidR="00185B4B" w:rsidRPr="00983246">
        <w:rPr>
          <w:sz w:val="22"/>
          <w:szCs w:val="22"/>
        </w:rPr>
        <w:t xml:space="preserve"> </w:t>
      </w:r>
      <w:r w:rsidR="006E3111" w:rsidRPr="006E3111">
        <w:rPr>
          <w:sz w:val="22"/>
          <w:szCs w:val="22"/>
        </w:rPr>
        <w:t xml:space="preserve">Bureau of International Narcotics and Law Enforcement Affairs of the United States Department of </w:t>
      </w:r>
      <w:r w:rsidR="00867D0C" w:rsidRPr="006E3111">
        <w:rPr>
          <w:sz w:val="22"/>
          <w:szCs w:val="22"/>
        </w:rPr>
        <w:t>State,</w:t>
      </w:r>
      <w:r w:rsidR="00ED403A" w:rsidRPr="00983246">
        <w:rPr>
          <w:sz w:val="22"/>
          <w:szCs w:val="22"/>
        </w:rPr>
        <w:t xml:space="preserve"> which was evidenced, inter alia, in the Response to the Questionnaire and in the constant willingness to clarify or complete its contents. Together with its Response, </w:t>
      </w:r>
      <w:r w:rsidR="00D601BC">
        <w:rPr>
          <w:sz w:val="22"/>
          <w:szCs w:val="22"/>
        </w:rPr>
        <w:t>the United States</w:t>
      </w:r>
      <w:r w:rsidR="00ED403A" w:rsidRPr="00983246">
        <w:rPr>
          <w:sz w:val="22"/>
          <w:szCs w:val="22"/>
        </w:rPr>
        <w:t xml:space="preserve"> sent the provisions and documents it considered pertinent</w:t>
      </w:r>
      <w:r w:rsidR="00FA1BA1" w:rsidRPr="00983246">
        <w:rPr>
          <w:sz w:val="22"/>
          <w:szCs w:val="22"/>
        </w:rPr>
        <w:t>.</w:t>
      </w:r>
      <w:r w:rsidR="00FA1BA1" w:rsidRPr="00983246">
        <w:rPr>
          <w:sz w:val="22"/>
          <w:szCs w:val="22"/>
          <w:vertAlign w:val="superscript"/>
          <w:lang w:eastAsia="es-ES"/>
        </w:rPr>
        <w:footnoteReference w:id="5"/>
      </w:r>
      <w:r w:rsidR="00817941" w:rsidRPr="00983246">
        <w:rPr>
          <w:sz w:val="22"/>
          <w:szCs w:val="22"/>
        </w:rPr>
        <w:t xml:space="preserve"> </w:t>
      </w:r>
    </w:p>
    <w:p w14:paraId="4BA1108A" w14:textId="77777777" w:rsidR="00FA1BA1" w:rsidRPr="00983246" w:rsidRDefault="00FA1BA1" w:rsidP="00817941">
      <w:pPr>
        <w:jc w:val="both"/>
        <w:rPr>
          <w:b/>
          <w:bCs/>
          <w:sz w:val="22"/>
          <w:szCs w:val="22"/>
        </w:rPr>
      </w:pPr>
    </w:p>
    <w:p w14:paraId="64C45A2C" w14:textId="2672728E" w:rsidR="00CB4360" w:rsidRPr="00983246" w:rsidRDefault="00363869" w:rsidP="00950997">
      <w:pPr>
        <w:numPr>
          <w:ilvl w:val="0"/>
          <w:numId w:val="1"/>
        </w:numPr>
        <w:ind w:hanging="10"/>
        <w:jc w:val="both"/>
        <w:rPr>
          <w:b/>
          <w:bCs/>
          <w:sz w:val="22"/>
          <w:szCs w:val="22"/>
        </w:rPr>
      </w:pPr>
      <w:r w:rsidRPr="00983246">
        <w:rPr>
          <w:bCs/>
          <w:iCs/>
          <w:sz w:val="22"/>
          <w:szCs w:val="22"/>
          <w:lang w:eastAsia="es-ES"/>
        </w:rPr>
        <w:t xml:space="preserve">The Committee also notes that </w:t>
      </w:r>
      <w:r w:rsidR="00867D0C">
        <w:rPr>
          <w:bCs/>
          <w:iCs/>
          <w:sz w:val="22"/>
          <w:szCs w:val="22"/>
          <w:lang w:eastAsia="es-ES"/>
        </w:rPr>
        <w:t>the United States</w:t>
      </w:r>
      <w:r w:rsidRPr="00983246">
        <w:rPr>
          <w:bCs/>
          <w:iCs/>
          <w:sz w:val="22"/>
          <w:szCs w:val="22"/>
          <w:lang w:eastAsia="es-ES"/>
        </w:rPr>
        <w:t xml:space="preserve"> gave its consent for </w:t>
      </w:r>
      <w:r w:rsidR="007333AB" w:rsidRPr="00983246">
        <w:rPr>
          <w:bCs/>
          <w:iCs/>
          <w:sz w:val="22"/>
          <w:szCs w:val="22"/>
          <w:lang w:eastAsia="es-ES"/>
        </w:rPr>
        <w:t>an</w:t>
      </w:r>
      <w:r w:rsidRPr="00983246">
        <w:rPr>
          <w:bCs/>
          <w:iCs/>
          <w:sz w:val="22"/>
          <w:szCs w:val="22"/>
          <w:lang w:eastAsia="es-ES"/>
        </w:rPr>
        <w:t xml:space="preserve"> on-site visit, in accordance with item 5 of the </w:t>
      </w:r>
      <w:r w:rsidRPr="00983246">
        <w:rPr>
          <w:bCs/>
          <w:i/>
          <w:iCs/>
          <w:sz w:val="22"/>
          <w:szCs w:val="22"/>
          <w:lang w:eastAsia="es-ES"/>
        </w:rPr>
        <w:t>Methodology for Conducting On-Site Visits</w:t>
      </w:r>
      <w:r w:rsidR="00950997" w:rsidRPr="00983246">
        <w:rPr>
          <w:bCs/>
          <w:i/>
          <w:iCs/>
          <w:sz w:val="22"/>
          <w:szCs w:val="22"/>
          <w:lang w:eastAsia="es-ES"/>
        </w:rPr>
        <w:t>.</w:t>
      </w:r>
      <w:r w:rsidR="00FA1BA1" w:rsidRPr="00983246">
        <w:rPr>
          <w:sz w:val="22"/>
          <w:szCs w:val="22"/>
          <w:vertAlign w:val="superscript"/>
          <w:lang w:eastAsia="es-ES"/>
        </w:rPr>
        <w:footnoteReference w:id="6"/>
      </w:r>
      <w:r w:rsidR="00FA1BA1" w:rsidRPr="00983246">
        <w:rPr>
          <w:sz w:val="22"/>
          <w:szCs w:val="22"/>
        </w:rPr>
        <w:t xml:space="preserve"> </w:t>
      </w:r>
      <w:r w:rsidR="00CB4360" w:rsidRPr="00983246">
        <w:rPr>
          <w:sz w:val="22"/>
          <w:szCs w:val="22"/>
        </w:rPr>
        <w:t xml:space="preserve">As members of the preliminary review subgroup, the representatives of </w:t>
      </w:r>
      <w:r w:rsidR="00867D0C">
        <w:rPr>
          <w:sz w:val="22"/>
          <w:szCs w:val="22"/>
        </w:rPr>
        <w:t>Saint Lucia</w:t>
      </w:r>
      <w:r w:rsidR="007333AB" w:rsidRPr="00983246">
        <w:rPr>
          <w:sz w:val="22"/>
          <w:szCs w:val="22"/>
        </w:rPr>
        <w:t xml:space="preserve"> and </w:t>
      </w:r>
      <w:r w:rsidR="00867D0C">
        <w:rPr>
          <w:sz w:val="22"/>
          <w:szCs w:val="22"/>
        </w:rPr>
        <w:t>The Bahamas</w:t>
      </w:r>
      <w:r w:rsidR="00CB4360" w:rsidRPr="00983246">
        <w:rPr>
          <w:sz w:val="22"/>
          <w:szCs w:val="22"/>
        </w:rPr>
        <w:t xml:space="preserve"> conducted the on-site visit from </w:t>
      </w:r>
      <w:r w:rsidR="00867D0C">
        <w:rPr>
          <w:sz w:val="22"/>
          <w:szCs w:val="22"/>
        </w:rPr>
        <w:t xml:space="preserve">October </w:t>
      </w:r>
      <w:r w:rsidR="007333AB" w:rsidRPr="00983246">
        <w:rPr>
          <w:sz w:val="22"/>
          <w:szCs w:val="22"/>
        </w:rPr>
        <w:t>1</w:t>
      </w:r>
      <w:r w:rsidR="00867D0C">
        <w:rPr>
          <w:sz w:val="22"/>
          <w:szCs w:val="22"/>
        </w:rPr>
        <w:t>8</w:t>
      </w:r>
      <w:r w:rsidR="007333AB" w:rsidRPr="00983246">
        <w:rPr>
          <w:sz w:val="22"/>
          <w:szCs w:val="22"/>
        </w:rPr>
        <w:t xml:space="preserve"> – </w:t>
      </w:r>
      <w:r w:rsidR="00867D0C">
        <w:rPr>
          <w:sz w:val="22"/>
          <w:szCs w:val="22"/>
        </w:rPr>
        <w:t>20</w:t>
      </w:r>
      <w:r w:rsidR="007333AB" w:rsidRPr="00983246">
        <w:rPr>
          <w:sz w:val="22"/>
          <w:szCs w:val="22"/>
        </w:rPr>
        <w:t xml:space="preserve">, </w:t>
      </w:r>
      <w:r w:rsidR="00F8320B" w:rsidRPr="00983246">
        <w:rPr>
          <w:sz w:val="22"/>
          <w:szCs w:val="22"/>
        </w:rPr>
        <w:t>202</w:t>
      </w:r>
      <w:r w:rsidR="007333AB" w:rsidRPr="00983246">
        <w:rPr>
          <w:sz w:val="22"/>
          <w:szCs w:val="22"/>
        </w:rPr>
        <w:t>3</w:t>
      </w:r>
      <w:r w:rsidR="00CB4360" w:rsidRPr="00983246">
        <w:rPr>
          <w:sz w:val="22"/>
          <w:szCs w:val="22"/>
        </w:rPr>
        <w:t xml:space="preserve">, with the support of the MESICIC Technical Secretariat. The information obtained during that visit is included in the appropriate sections of this Report, and the agenda of meetings is attached hereto, in keeping with provision 34 of the above-mentioned </w:t>
      </w:r>
      <w:r w:rsidR="00CB4360" w:rsidRPr="00983246">
        <w:rPr>
          <w:i/>
          <w:sz w:val="22"/>
          <w:szCs w:val="22"/>
        </w:rPr>
        <w:t>Methodology</w:t>
      </w:r>
      <w:r w:rsidR="00CB4360" w:rsidRPr="00983246">
        <w:rPr>
          <w:sz w:val="22"/>
          <w:szCs w:val="22"/>
        </w:rPr>
        <w:t>.</w:t>
      </w:r>
    </w:p>
    <w:p w14:paraId="135F109F" w14:textId="77777777" w:rsidR="00CB4360" w:rsidRPr="00983246" w:rsidRDefault="00CB4360" w:rsidP="003B5C52">
      <w:pPr>
        <w:jc w:val="both"/>
        <w:rPr>
          <w:b/>
          <w:bCs/>
          <w:sz w:val="22"/>
          <w:szCs w:val="22"/>
        </w:rPr>
      </w:pPr>
    </w:p>
    <w:p w14:paraId="599B236D" w14:textId="3B7BAAB6" w:rsidR="00FA1BA1" w:rsidRPr="00983246" w:rsidRDefault="00437D1D" w:rsidP="003B5C52">
      <w:pPr>
        <w:numPr>
          <w:ilvl w:val="0"/>
          <w:numId w:val="1"/>
        </w:numPr>
        <w:ind w:hanging="10"/>
        <w:jc w:val="both"/>
        <w:rPr>
          <w:b/>
          <w:bCs/>
          <w:i/>
          <w:iCs/>
          <w:sz w:val="22"/>
          <w:szCs w:val="22"/>
        </w:rPr>
      </w:pPr>
      <w:r w:rsidRPr="00983246">
        <w:rPr>
          <w:bCs/>
          <w:iCs/>
          <w:sz w:val="22"/>
          <w:szCs w:val="22"/>
          <w:lang w:eastAsia="es-ES"/>
        </w:rPr>
        <w:t>For</w:t>
      </w:r>
      <w:r w:rsidRPr="00983246">
        <w:rPr>
          <w:sz w:val="22"/>
          <w:szCs w:val="22"/>
        </w:rPr>
        <w:t xml:space="preserve"> its review, the Committee took into account the information provided by </w:t>
      </w:r>
      <w:r w:rsidR="00867D0C">
        <w:rPr>
          <w:sz w:val="22"/>
          <w:szCs w:val="22"/>
        </w:rPr>
        <w:t>the United States</w:t>
      </w:r>
      <w:r w:rsidRPr="00983246">
        <w:rPr>
          <w:sz w:val="22"/>
          <w:szCs w:val="22"/>
        </w:rPr>
        <w:t xml:space="preserve"> until </w:t>
      </w:r>
      <w:r w:rsidR="00867D0C">
        <w:rPr>
          <w:sz w:val="22"/>
          <w:szCs w:val="22"/>
        </w:rPr>
        <w:t>October</w:t>
      </w:r>
      <w:r w:rsidRPr="00983246">
        <w:rPr>
          <w:sz w:val="22"/>
          <w:szCs w:val="22"/>
        </w:rPr>
        <w:t xml:space="preserve"> </w:t>
      </w:r>
      <w:r w:rsidR="00867D0C">
        <w:rPr>
          <w:sz w:val="22"/>
          <w:szCs w:val="22"/>
        </w:rPr>
        <w:t>20</w:t>
      </w:r>
      <w:r w:rsidRPr="00983246">
        <w:rPr>
          <w:sz w:val="22"/>
          <w:szCs w:val="22"/>
        </w:rPr>
        <w:t>, 202</w:t>
      </w:r>
      <w:r w:rsidR="007333AB" w:rsidRPr="00983246">
        <w:rPr>
          <w:sz w:val="22"/>
          <w:szCs w:val="22"/>
        </w:rPr>
        <w:t>3</w:t>
      </w:r>
      <w:r w:rsidRPr="00983246">
        <w:rPr>
          <w:sz w:val="22"/>
          <w:szCs w:val="22"/>
        </w:rPr>
        <w:t>; which was requested by the Secretariat and by the members of the review subgroup to carry out their functions in keeping with the Rules of Procedure and Other Provisions;</w:t>
      </w:r>
      <w:r w:rsidRPr="00983246">
        <w:rPr>
          <w:rStyle w:val="FootnoteReference"/>
          <w:sz w:val="22"/>
          <w:szCs w:val="22"/>
        </w:rPr>
        <w:footnoteReference w:id="7"/>
      </w:r>
      <w:r w:rsidRPr="00983246">
        <w:rPr>
          <w:sz w:val="22"/>
          <w:szCs w:val="22"/>
        </w:rPr>
        <w:t xml:space="preserve"> the Methodology for Review of the Implementation of the Recommendations Formulated and the Provisions Examined in the Third Round and the Provisions selected for the Sixth Round;</w:t>
      </w:r>
      <w:r w:rsidRPr="00983246">
        <w:rPr>
          <w:rStyle w:val="FootnoteReference"/>
          <w:sz w:val="22"/>
          <w:szCs w:val="22"/>
        </w:rPr>
        <w:footnoteReference w:id="8"/>
      </w:r>
      <w:r w:rsidRPr="00983246">
        <w:rPr>
          <w:sz w:val="22"/>
          <w:szCs w:val="22"/>
        </w:rPr>
        <w:t xml:space="preserve"> and the Methodology for Conducting On-Site Visits.</w:t>
      </w:r>
    </w:p>
    <w:p w14:paraId="601D1AB7" w14:textId="77777777" w:rsidR="00D61CFA" w:rsidRPr="00983246" w:rsidRDefault="00D61CFA" w:rsidP="003B5C52">
      <w:pPr>
        <w:jc w:val="both"/>
        <w:rPr>
          <w:b/>
          <w:bCs/>
          <w:sz w:val="22"/>
          <w:szCs w:val="22"/>
        </w:rPr>
      </w:pPr>
    </w:p>
    <w:p w14:paraId="2FAAEA7C" w14:textId="4954B281" w:rsidR="00FA1BA1" w:rsidRPr="00983246" w:rsidRDefault="001F46A8" w:rsidP="001F46A8">
      <w:pPr>
        <w:numPr>
          <w:ilvl w:val="3"/>
          <w:numId w:val="3"/>
        </w:numPr>
        <w:tabs>
          <w:tab w:val="clear" w:pos="2880"/>
          <w:tab w:val="num" w:pos="720"/>
        </w:tabs>
        <w:ind w:left="720"/>
        <w:jc w:val="both"/>
        <w:rPr>
          <w:b/>
          <w:sz w:val="22"/>
          <w:szCs w:val="22"/>
        </w:rPr>
      </w:pPr>
      <w:r w:rsidRPr="00983246">
        <w:rPr>
          <w:b/>
          <w:sz w:val="22"/>
          <w:szCs w:val="22"/>
        </w:rPr>
        <w:t xml:space="preserve">Documents and information received from civil society organizations and/or, </w:t>
      </w:r>
      <w:r w:rsidRPr="00983246">
        <w:rPr>
          <w:b/>
          <w:i/>
          <w:sz w:val="22"/>
          <w:szCs w:val="22"/>
        </w:rPr>
        <w:t>inter alia</w:t>
      </w:r>
      <w:r w:rsidRPr="00983246">
        <w:rPr>
          <w:b/>
          <w:sz w:val="22"/>
          <w:szCs w:val="22"/>
        </w:rPr>
        <w:t>, private sector organizations, professional associations, academics, and researchers</w:t>
      </w:r>
      <w:r w:rsidR="00CB59E0" w:rsidRPr="00983246">
        <w:rPr>
          <w:b/>
          <w:sz w:val="22"/>
          <w:szCs w:val="22"/>
        </w:rPr>
        <w:t>.</w:t>
      </w:r>
    </w:p>
    <w:p w14:paraId="2EFB0671" w14:textId="77777777" w:rsidR="00CB59E0" w:rsidRPr="00983246" w:rsidRDefault="00CB59E0" w:rsidP="00CB59E0">
      <w:pPr>
        <w:pStyle w:val="ListParagraph"/>
        <w:jc w:val="both"/>
      </w:pPr>
    </w:p>
    <w:p w14:paraId="6F32DF6F" w14:textId="4AC4E9EB" w:rsidR="00CB59E0" w:rsidRPr="00983246" w:rsidRDefault="007333AB" w:rsidP="007333AB">
      <w:pPr>
        <w:numPr>
          <w:ilvl w:val="0"/>
          <w:numId w:val="1"/>
        </w:numPr>
        <w:ind w:hanging="10"/>
        <w:jc w:val="both"/>
        <w:rPr>
          <w:sz w:val="22"/>
          <w:szCs w:val="22"/>
        </w:rPr>
      </w:pPr>
      <w:bookmarkStart w:id="1" w:name="_Hlk90303076"/>
      <w:r w:rsidRPr="00983246">
        <w:rPr>
          <w:sz w:val="22"/>
          <w:szCs w:val="22"/>
        </w:rPr>
        <w:t xml:space="preserve">The Committee did not receive documents from civil society organizations within the time frame established in the schedule for the </w:t>
      </w:r>
      <w:r w:rsidR="00C16504">
        <w:rPr>
          <w:sz w:val="22"/>
          <w:szCs w:val="22"/>
        </w:rPr>
        <w:t>Sixth</w:t>
      </w:r>
      <w:r w:rsidRPr="00983246">
        <w:rPr>
          <w:sz w:val="22"/>
          <w:szCs w:val="22"/>
        </w:rPr>
        <w:t xml:space="preserve"> Round, as envisaged by Article 34(b) of the Committee’s Rules of Procedure</w:t>
      </w:r>
      <w:r w:rsidR="00600DAC" w:rsidRPr="00983246">
        <w:rPr>
          <w:sz w:val="22"/>
          <w:szCs w:val="22"/>
        </w:rPr>
        <w:t>.</w:t>
      </w:r>
    </w:p>
    <w:bookmarkEnd w:id="1"/>
    <w:p w14:paraId="0DB2A2FB" w14:textId="77777777" w:rsidR="00CB59E0" w:rsidRPr="00983246" w:rsidRDefault="00CB59E0" w:rsidP="00CB59E0">
      <w:pPr>
        <w:pStyle w:val="BodyTextIndent2"/>
        <w:tabs>
          <w:tab w:val="left" w:pos="540"/>
        </w:tabs>
        <w:ind w:left="10"/>
        <w:rPr>
          <w:rFonts w:ascii="Times New Roman" w:hAnsi="Times New Roman"/>
          <w:lang w:val="en-US"/>
        </w:rPr>
      </w:pPr>
    </w:p>
    <w:p w14:paraId="19234231" w14:textId="27C8E185" w:rsidR="00CB59E0" w:rsidRPr="00804DBA" w:rsidRDefault="007333AB" w:rsidP="007333AB">
      <w:pPr>
        <w:numPr>
          <w:ilvl w:val="0"/>
          <w:numId w:val="1"/>
        </w:numPr>
        <w:ind w:hanging="10"/>
        <w:jc w:val="both"/>
        <w:rPr>
          <w:sz w:val="22"/>
          <w:szCs w:val="22"/>
          <w:lang w:eastAsia="es-ES"/>
        </w:rPr>
      </w:pPr>
      <w:r w:rsidRPr="00983246">
        <w:rPr>
          <w:sz w:val="22"/>
          <w:szCs w:val="22"/>
        </w:rPr>
        <w:t xml:space="preserve">Nonetheless, </w:t>
      </w:r>
      <w:proofErr w:type="gramStart"/>
      <w:r w:rsidRPr="00983246">
        <w:rPr>
          <w:sz w:val="22"/>
          <w:szCs w:val="22"/>
        </w:rPr>
        <w:t>during the course of</w:t>
      </w:r>
      <w:proofErr w:type="gramEnd"/>
      <w:r w:rsidRPr="00983246">
        <w:rPr>
          <w:sz w:val="22"/>
          <w:szCs w:val="22"/>
        </w:rPr>
        <w:t xml:space="preserve"> the on-site visit, information was gathered from civil society and private sector organizations; professional associations; and academics invited to participate in meetings to that end, pursuant to Article 27 of the </w:t>
      </w:r>
      <w:r w:rsidRPr="00983246">
        <w:rPr>
          <w:i/>
          <w:sz w:val="22"/>
          <w:szCs w:val="22"/>
        </w:rPr>
        <w:t>Methodology for Conducting On-site Visits</w:t>
      </w:r>
      <w:r w:rsidRPr="00983246">
        <w:rPr>
          <w:sz w:val="22"/>
          <w:szCs w:val="22"/>
        </w:rPr>
        <w:t>. A list of those persons is included in the agenda for the visit, which is appended hereto. Pertinent parts of this information are reflected in the appropriate sections of this report</w:t>
      </w:r>
      <w:r w:rsidR="00CB59E0" w:rsidRPr="00983246">
        <w:rPr>
          <w:sz w:val="22"/>
          <w:szCs w:val="22"/>
          <w:lang w:eastAsia="es-ES"/>
        </w:rPr>
        <w:t>.</w:t>
      </w:r>
    </w:p>
    <w:p w14:paraId="557FA7A4" w14:textId="77777777" w:rsidR="00FA1BA1" w:rsidRPr="00804DBA" w:rsidRDefault="00FA1BA1" w:rsidP="003B5C52">
      <w:pPr>
        <w:jc w:val="both"/>
        <w:rPr>
          <w:b/>
          <w:bCs/>
          <w:sz w:val="22"/>
          <w:szCs w:val="22"/>
        </w:rPr>
      </w:pPr>
    </w:p>
    <w:p w14:paraId="7D601E70" w14:textId="7A2E1110" w:rsidR="00FA1BA1" w:rsidRPr="00804DBA" w:rsidRDefault="006B3056" w:rsidP="00D15666">
      <w:pPr>
        <w:numPr>
          <w:ilvl w:val="0"/>
          <w:numId w:val="3"/>
        </w:numPr>
        <w:tabs>
          <w:tab w:val="clear" w:pos="1080"/>
          <w:tab w:val="num" w:pos="360"/>
        </w:tabs>
        <w:ind w:left="360" w:hanging="360"/>
        <w:jc w:val="both"/>
        <w:rPr>
          <w:b/>
          <w:bCs/>
          <w:sz w:val="22"/>
          <w:szCs w:val="22"/>
        </w:rPr>
      </w:pPr>
      <w:r w:rsidRPr="00804DBA">
        <w:rPr>
          <w:b/>
          <w:sz w:val="22"/>
          <w:szCs w:val="22"/>
        </w:rPr>
        <w:t>FOLLOW UP ON IMPLEMENTATION OF THE RECOMMENDATIONS FORMULATED IN THE THIRD ROUND AND NEW DEVELOPMENTS WITH REGARD TO THE CONVENTION PROVISIONS SELECTED FOR REVIEW IN THAT ROUND</w:t>
      </w:r>
      <w:r w:rsidR="00E01232" w:rsidRPr="00804DBA">
        <w:rPr>
          <w:b/>
          <w:sz w:val="22"/>
          <w:szCs w:val="22"/>
        </w:rPr>
        <w:t>.</w:t>
      </w:r>
    </w:p>
    <w:p w14:paraId="6B7CA9F1" w14:textId="77777777" w:rsidR="00FA1BA1" w:rsidRPr="00804DBA" w:rsidRDefault="00FA1BA1" w:rsidP="003B5C52">
      <w:pPr>
        <w:ind w:left="10"/>
        <w:jc w:val="both"/>
        <w:rPr>
          <w:b/>
          <w:bCs/>
          <w:sz w:val="22"/>
          <w:szCs w:val="22"/>
        </w:rPr>
      </w:pPr>
    </w:p>
    <w:p w14:paraId="2C1AF8FE" w14:textId="3AB67FE5" w:rsidR="00015019" w:rsidRPr="00804DBA" w:rsidRDefault="006003B0" w:rsidP="00113B65">
      <w:pPr>
        <w:numPr>
          <w:ilvl w:val="0"/>
          <w:numId w:val="1"/>
        </w:numPr>
        <w:tabs>
          <w:tab w:val="left" w:pos="540"/>
        </w:tabs>
        <w:suppressAutoHyphens/>
        <w:jc w:val="both"/>
        <w:rPr>
          <w:sz w:val="22"/>
          <w:szCs w:val="22"/>
          <w:lang w:eastAsia="es-ES"/>
        </w:rPr>
      </w:pPr>
      <w:r w:rsidRPr="00804DBA">
        <w:rPr>
          <w:sz w:val="22"/>
          <w:szCs w:val="22"/>
        </w:rPr>
        <w:lastRenderedPageBreak/>
        <w:t xml:space="preserve">First, the Committee will discuss progress, information, and new developments in </w:t>
      </w:r>
      <w:r w:rsidR="00867D0C">
        <w:rPr>
          <w:sz w:val="22"/>
          <w:szCs w:val="22"/>
        </w:rPr>
        <w:t>the United States</w:t>
      </w:r>
      <w:r w:rsidRPr="00804DBA">
        <w:rPr>
          <w:sz w:val="22"/>
          <w:szCs w:val="22"/>
        </w:rPr>
        <w:t xml:space="preserve"> in relation to the implementation of the recommendations formulated to them and the measures suggested to them by the Committee for implementation in the Report from the Third Round</w:t>
      </w:r>
      <w:r w:rsidR="00015019" w:rsidRPr="00804DBA">
        <w:rPr>
          <w:sz w:val="22"/>
          <w:szCs w:val="22"/>
          <w:lang w:eastAsia="es-ES"/>
        </w:rPr>
        <w:t>,</w:t>
      </w:r>
      <w:r w:rsidR="00015019" w:rsidRPr="00804DBA">
        <w:rPr>
          <w:sz w:val="22"/>
          <w:szCs w:val="22"/>
          <w:vertAlign w:val="superscript"/>
          <w:lang w:eastAsia="es-ES"/>
        </w:rPr>
        <w:footnoteReference w:id="9"/>
      </w:r>
      <w:r w:rsidR="00015019" w:rsidRPr="00804DBA">
        <w:rPr>
          <w:sz w:val="22"/>
          <w:szCs w:val="22"/>
          <w:lang w:eastAsia="es-ES"/>
        </w:rPr>
        <w:t xml:space="preserve"> </w:t>
      </w:r>
      <w:r w:rsidR="00BD5E26" w:rsidRPr="00804DBA">
        <w:rPr>
          <w:sz w:val="22"/>
          <w:szCs w:val="22"/>
        </w:rPr>
        <w:t>and it will proceed to take note of those that received satisfactory treatment and those that require attention by the country under review. In addition, where appropriate, it will address the continued validity of those recommendations and, as applicable, restate or reformulate them, pursuant to the provisions of Section V of the Methodology adopted by the Committee for the Sixth Round</w:t>
      </w:r>
      <w:r w:rsidR="00015019" w:rsidRPr="00804DBA">
        <w:rPr>
          <w:sz w:val="22"/>
          <w:szCs w:val="22"/>
        </w:rPr>
        <w:t>.</w:t>
      </w:r>
    </w:p>
    <w:p w14:paraId="21CEEC16" w14:textId="77777777" w:rsidR="00015019" w:rsidRPr="00804DBA" w:rsidRDefault="00015019" w:rsidP="00015019">
      <w:pPr>
        <w:tabs>
          <w:tab w:val="left" w:pos="540"/>
        </w:tabs>
        <w:suppressAutoHyphens/>
        <w:ind w:left="10"/>
        <w:jc w:val="both"/>
        <w:rPr>
          <w:sz w:val="22"/>
          <w:szCs w:val="22"/>
          <w:lang w:eastAsia="es-ES"/>
        </w:rPr>
      </w:pPr>
    </w:p>
    <w:p w14:paraId="7CF999FB" w14:textId="2926489B" w:rsidR="00015019" w:rsidRPr="00804DBA" w:rsidRDefault="00250665" w:rsidP="00113B65">
      <w:pPr>
        <w:numPr>
          <w:ilvl w:val="0"/>
          <w:numId w:val="1"/>
        </w:numPr>
        <w:tabs>
          <w:tab w:val="left" w:pos="540"/>
        </w:tabs>
        <w:suppressAutoHyphens/>
        <w:jc w:val="both"/>
        <w:rPr>
          <w:sz w:val="22"/>
          <w:szCs w:val="22"/>
          <w:lang w:eastAsia="es-ES"/>
        </w:rPr>
      </w:pPr>
      <w:r w:rsidRPr="00804DBA">
        <w:rPr>
          <w:sz w:val="22"/>
          <w:szCs w:val="22"/>
        </w:rPr>
        <w:t>In this section, the Committee will also take note, where appropriate, of any difficulties in implementing the above recommendations and measures to which the country under review may have drawn attention, as well as of its technical cooperation needs to that end</w:t>
      </w:r>
      <w:r w:rsidR="00015019" w:rsidRPr="00804DBA">
        <w:rPr>
          <w:sz w:val="22"/>
          <w:szCs w:val="22"/>
          <w:lang w:eastAsia="es-ES"/>
        </w:rPr>
        <w:t>.</w:t>
      </w:r>
    </w:p>
    <w:p w14:paraId="0E951C23" w14:textId="77777777" w:rsidR="00015019" w:rsidRPr="00804DBA" w:rsidRDefault="00015019" w:rsidP="00015019">
      <w:pPr>
        <w:pStyle w:val="ListParagraph"/>
        <w:rPr>
          <w:lang w:eastAsia="es-ES"/>
        </w:rPr>
      </w:pPr>
    </w:p>
    <w:p w14:paraId="229AA1C5" w14:textId="267A46C9" w:rsidR="00DC2290" w:rsidRPr="00804DBA" w:rsidRDefault="007F4A50" w:rsidP="00113B65">
      <w:pPr>
        <w:numPr>
          <w:ilvl w:val="0"/>
          <w:numId w:val="1"/>
        </w:numPr>
        <w:tabs>
          <w:tab w:val="left" w:pos="540"/>
        </w:tabs>
        <w:suppressAutoHyphens/>
        <w:jc w:val="both"/>
        <w:rPr>
          <w:sz w:val="22"/>
          <w:szCs w:val="22"/>
          <w:lang w:eastAsia="es-ES"/>
        </w:rPr>
      </w:pPr>
      <w:r w:rsidRPr="00804DBA">
        <w:rPr>
          <w:sz w:val="22"/>
          <w:szCs w:val="22"/>
        </w:rPr>
        <w:t xml:space="preserve">Second, it will refer to new developments in </w:t>
      </w:r>
      <w:r w:rsidR="00867D0C">
        <w:rPr>
          <w:sz w:val="22"/>
          <w:szCs w:val="22"/>
        </w:rPr>
        <w:t>the United States</w:t>
      </w:r>
      <w:r w:rsidRPr="00804DBA">
        <w:rPr>
          <w:sz w:val="22"/>
          <w:szCs w:val="22"/>
        </w:rPr>
        <w:t xml:space="preserve"> in relation to the Convention provisions selected for the Third Round in such areas as legislative frameworks, technological developments, and results, and proceed to make any observations and recommendations that may be </w:t>
      </w:r>
      <w:r w:rsidR="00300F74" w:rsidRPr="00804DBA">
        <w:rPr>
          <w:sz w:val="22"/>
          <w:szCs w:val="22"/>
        </w:rPr>
        <w:t>required</w:t>
      </w:r>
      <w:r w:rsidR="00300F74" w:rsidRPr="00804DBA">
        <w:rPr>
          <w:sz w:val="22"/>
          <w:szCs w:val="22"/>
          <w:lang w:eastAsia="es-ES"/>
        </w:rPr>
        <w:t>.</w:t>
      </w:r>
    </w:p>
    <w:p w14:paraId="38941324" w14:textId="77777777" w:rsidR="002C1446" w:rsidRPr="00804DBA" w:rsidRDefault="002C1446" w:rsidP="00DC2290">
      <w:pPr>
        <w:rPr>
          <w:sz w:val="22"/>
          <w:szCs w:val="22"/>
        </w:rPr>
      </w:pPr>
    </w:p>
    <w:p w14:paraId="762A28BC" w14:textId="0E28BB26" w:rsidR="006E6920" w:rsidRPr="00804DBA" w:rsidRDefault="00B57583">
      <w:pPr>
        <w:pStyle w:val="ListParagraph"/>
        <w:numPr>
          <w:ilvl w:val="0"/>
          <w:numId w:val="6"/>
        </w:numPr>
        <w:jc w:val="both"/>
        <w:rPr>
          <w:rFonts w:eastAsia="Times New Roman"/>
          <w:b/>
          <w:lang w:eastAsia="es-ES"/>
        </w:rPr>
      </w:pPr>
      <w:r w:rsidRPr="00804DBA">
        <w:rPr>
          <w:b/>
          <w:bCs/>
          <w:u w:color="000000"/>
        </w:rPr>
        <w:t>DENIAL OR PREVENTION OF FAVORABLE TAX TREATMENT FOR EXPENDITURES MADE IN VIOLATION OF ANTICORRUPTION LAWS (ARTICLE III (7) OF THE CONVENTION).</w:t>
      </w:r>
      <w:r w:rsidRPr="00804DBA">
        <w:rPr>
          <w:rStyle w:val="FootnoteReference"/>
          <w:b/>
          <w:u w:color="000000"/>
        </w:rPr>
        <w:t xml:space="preserve"> </w:t>
      </w:r>
      <w:r w:rsidR="006E6920" w:rsidRPr="00804DBA">
        <w:rPr>
          <w:rStyle w:val="FootnoteReference"/>
          <w:b/>
        </w:rPr>
        <w:footnoteReference w:id="10"/>
      </w:r>
    </w:p>
    <w:p w14:paraId="4A6999F9" w14:textId="77777777" w:rsidR="006E6920" w:rsidRPr="00804DBA" w:rsidRDefault="006E6920" w:rsidP="006E6920">
      <w:pPr>
        <w:pStyle w:val="ListParagraph"/>
        <w:ind w:left="360"/>
        <w:jc w:val="both"/>
        <w:rPr>
          <w:rFonts w:eastAsia="Times New Roman"/>
          <w:b/>
          <w:lang w:eastAsia="es-ES"/>
        </w:rPr>
      </w:pPr>
    </w:p>
    <w:p w14:paraId="5044D207" w14:textId="0E148859" w:rsidR="006E6920" w:rsidRPr="00804DBA" w:rsidRDefault="00631C14">
      <w:pPr>
        <w:numPr>
          <w:ilvl w:val="1"/>
          <w:numId w:val="6"/>
        </w:numPr>
        <w:jc w:val="both"/>
        <w:rPr>
          <w:b/>
          <w:sz w:val="22"/>
          <w:szCs w:val="22"/>
          <w:lang w:eastAsia="es-ES"/>
        </w:rPr>
      </w:pPr>
      <w:r w:rsidRPr="00804DBA">
        <w:rPr>
          <w:b/>
          <w:sz w:val="22"/>
          <w:szCs w:val="22"/>
        </w:rPr>
        <w:t>Follow</w:t>
      </w:r>
      <w:r w:rsidR="00386563">
        <w:rPr>
          <w:b/>
          <w:sz w:val="22"/>
          <w:szCs w:val="22"/>
        </w:rPr>
        <w:t>-Up</w:t>
      </w:r>
      <w:r w:rsidRPr="00804DBA">
        <w:rPr>
          <w:b/>
          <w:sz w:val="22"/>
          <w:szCs w:val="22"/>
        </w:rPr>
        <w:t xml:space="preserve"> to the Implementation of the Recommendations Formulated in the Third Round</w:t>
      </w:r>
      <w:r w:rsidR="006E6920" w:rsidRPr="00804DBA">
        <w:rPr>
          <w:b/>
          <w:sz w:val="22"/>
          <w:szCs w:val="22"/>
        </w:rPr>
        <w:t>.</w:t>
      </w:r>
    </w:p>
    <w:p w14:paraId="1122AADB" w14:textId="77777777" w:rsidR="006E6920" w:rsidRPr="00804DBA" w:rsidRDefault="006E6920" w:rsidP="006E6920">
      <w:pPr>
        <w:autoSpaceDE w:val="0"/>
        <w:autoSpaceDN w:val="0"/>
        <w:adjustRightInd w:val="0"/>
        <w:jc w:val="both"/>
        <w:rPr>
          <w:b/>
          <w:color w:val="2E74B5" w:themeColor="accent5" w:themeShade="BF"/>
          <w:sz w:val="22"/>
          <w:szCs w:val="22"/>
        </w:rPr>
      </w:pPr>
    </w:p>
    <w:p w14:paraId="7A0141DC" w14:textId="6F1C7D5D" w:rsidR="006E6920" w:rsidRPr="00804DBA" w:rsidRDefault="003A7100" w:rsidP="006E6920">
      <w:pPr>
        <w:autoSpaceDE w:val="0"/>
        <w:autoSpaceDN w:val="0"/>
        <w:adjustRightInd w:val="0"/>
        <w:jc w:val="both"/>
        <w:rPr>
          <w:bCs/>
          <w:sz w:val="22"/>
          <w:szCs w:val="22"/>
        </w:rPr>
      </w:pPr>
      <w:r w:rsidRPr="00804DBA">
        <w:rPr>
          <w:bCs/>
          <w:sz w:val="22"/>
          <w:szCs w:val="22"/>
          <w:u w:val="single"/>
        </w:rPr>
        <w:t xml:space="preserve">Recommendation </w:t>
      </w:r>
      <w:r w:rsidR="004E5284" w:rsidRPr="00804DBA">
        <w:rPr>
          <w:bCs/>
          <w:sz w:val="22"/>
          <w:szCs w:val="22"/>
          <w:u w:val="single"/>
        </w:rPr>
        <w:t>suggested by the Committee:</w:t>
      </w:r>
    </w:p>
    <w:p w14:paraId="1D489EDE" w14:textId="77777777" w:rsidR="006E6920" w:rsidRPr="00804DBA" w:rsidRDefault="006E6920" w:rsidP="00867D0C">
      <w:pPr>
        <w:jc w:val="both"/>
        <w:rPr>
          <w:i/>
          <w:iCs/>
          <w:sz w:val="22"/>
          <w:szCs w:val="22"/>
        </w:rPr>
      </w:pPr>
    </w:p>
    <w:p w14:paraId="06036D90" w14:textId="2CCDA676" w:rsidR="006E6920" w:rsidRPr="00804DBA" w:rsidRDefault="0051506C" w:rsidP="00FF11A6">
      <w:pPr>
        <w:jc w:val="both"/>
        <w:rPr>
          <w:i/>
          <w:iCs/>
          <w:sz w:val="22"/>
          <w:szCs w:val="22"/>
        </w:rPr>
      </w:pPr>
      <w:r w:rsidRPr="0051506C">
        <w:rPr>
          <w:i/>
          <w:iCs/>
          <w:sz w:val="22"/>
          <w:szCs w:val="22"/>
        </w:rPr>
        <w:t>Strengthen the standards and measures for the denial or prevention of favorable tax treatment for expenditures made in violation of the anticorruption laws.</w:t>
      </w:r>
    </w:p>
    <w:p w14:paraId="4C8EE8A8" w14:textId="77777777" w:rsidR="006E6920" w:rsidRPr="00804DBA" w:rsidRDefault="006E6920" w:rsidP="006E6920">
      <w:pPr>
        <w:ind w:right="35"/>
        <w:jc w:val="both"/>
        <w:rPr>
          <w:b/>
          <w:bCs/>
          <w:i/>
          <w:iCs/>
          <w:sz w:val="22"/>
          <w:szCs w:val="22"/>
          <w:u w:val="single"/>
        </w:rPr>
      </w:pPr>
    </w:p>
    <w:p w14:paraId="2180497A" w14:textId="67F58078" w:rsidR="006E6920" w:rsidRPr="00804DBA" w:rsidRDefault="006E6920" w:rsidP="006E6920">
      <w:pPr>
        <w:ind w:right="35"/>
        <w:jc w:val="both"/>
        <w:rPr>
          <w:sz w:val="22"/>
          <w:szCs w:val="22"/>
          <w:u w:val="single"/>
        </w:rPr>
      </w:pPr>
      <w:r w:rsidRPr="00804DBA">
        <w:rPr>
          <w:sz w:val="22"/>
          <w:szCs w:val="22"/>
          <w:u w:val="single"/>
        </w:rPr>
        <w:t>Me</w:t>
      </w:r>
      <w:r w:rsidR="00D97F0E" w:rsidRPr="00804DBA">
        <w:rPr>
          <w:sz w:val="22"/>
          <w:szCs w:val="22"/>
          <w:u w:val="single"/>
        </w:rPr>
        <w:t>asure (</w:t>
      </w:r>
      <w:r w:rsidRPr="00804DBA">
        <w:rPr>
          <w:sz w:val="22"/>
          <w:szCs w:val="22"/>
          <w:u w:val="single"/>
        </w:rPr>
        <w:t>a)</w:t>
      </w:r>
      <w:r w:rsidR="0051506C">
        <w:rPr>
          <w:sz w:val="22"/>
          <w:szCs w:val="22"/>
          <w:u w:val="single"/>
        </w:rPr>
        <w:t>:</w:t>
      </w:r>
    </w:p>
    <w:p w14:paraId="7C17FD6B" w14:textId="77777777" w:rsidR="00A056BE" w:rsidRPr="00804DBA" w:rsidRDefault="00A056BE" w:rsidP="002971ED">
      <w:pPr>
        <w:jc w:val="both"/>
        <w:rPr>
          <w:i/>
          <w:iCs/>
          <w:sz w:val="22"/>
          <w:szCs w:val="22"/>
        </w:rPr>
      </w:pPr>
    </w:p>
    <w:p w14:paraId="0D3ED779" w14:textId="5C1E50E2" w:rsidR="009F3461" w:rsidRDefault="0051506C" w:rsidP="009F3461">
      <w:pPr>
        <w:jc w:val="both"/>
        <w:rPr>
          <w:i/>
          <w:iCs/>
          <w:sz w:val="22"/>
          <w:szCs w:val="22"/>
        </w:rPr>
      </w:pPr>
      <w:r w:rsidRPr="0051506C">
        <w:rPr>
          <w:i/>
          <w:iCs/>
          <w:sz w:val="22"/>
          <w:szCs w:val="22"/>
        </w:rPr>
        <w:t>Consider continuing to make efforts to ensure that facilitation payments do not receive favorable tax treatment, taking into consideration that these payments are not criminalized in the country under review</w:t>
      </w:r>
      <w:r>
        <w:rPr>
          <w:i/>
          <w:iCs/>
          <w:sz w:val="22"/>
          <w:szCs w:val="22"/>
        </w:rPr>
        <w:t>.</w:t>
      </w:r>
    </w:p>
    <w:p w14:paraId="53AB269F" w14:textId="77777777" w:rsidR="0051506C" w:rsidRPr="0051506C" w:rsidRDefault="0051506C" w:rsidP="009F3461">
      <w:pPr>
        <w:jc w:val="both"/>
        <w:rPr>
          <w:sz w:val="22"/>
          <w:szCs w:val="22"/>
        </w:rPr>
      </w:pPr>
    </w:p>
    <w:p w14:paraId="22FF68E4" w14:textId="6D34848D" w:rsidR="007044F1" w:rsidRDefault="000964C5" w:rsidP="007044F1">
      <w:pPr>
        <w:pStyle w:val="ListParagraph"/>
        <w:numPr>
          <w:ilvl w:val="0"/>
          <w:numId w:val="1"/>
        </w:numPr>
        <w:jc w:val="both"/>
      </w:pPr>
      <w:r w:rsidRPr="00804DBA">
        <w:t xml:space="preserve">With respect to the </w:t>
      </w:r>
      <w:proofErr w:type="gramStart"/>
      <w:r w:rsidRPr="00804DBA">
        <w:t>aforementioned measure</w:t>
      </w:r>
      <w:proofErr w:type="gramEnd"/>
      <w:r w:rsidRPr="00804DBA">
        <w:t>, in its Response, the country under review presented information that it considers pertinent</w:t>
      </w:r>
      <w:r w:rsidR="00107A43" w:rsidRPr="00804DBA">
        <w:t>:</w:t>
      </w:r>
      <w:r w:rsidR="00841CBE" w:rsidRPr="00804DBA">
        <w:rPr>
          <w:rStyle w:val="FootnoteReference"/>
        </w:rPr>
        <w:footnoteReference w:id="11"/>
      </w:r>
    </w:p>
    <w:p w14:paraId="7FF5FBCC" w14:textId="77777777" w:rsidR="00823C32" w:rsidRDefault="00823C32" w:rsidP="00823C32">
      <w:pPr>
        <w:pStyle w:val="ListParagraph"/>
        <w:ind w:left="10"/>
        <w:jc w:val="both"/>
      </w:pPr>
    </w:p>
    <w:p w14:paraId="27DABA1A" w14:textId="3F800060" w:rsidR="00823C32" w:rsidRDefault="00823C32" w:rsidP="00823C32">
      <w:pPr>
        <w:pStyle w:val="ListParagraph"/>
        <w:numPr>
          <w:ilvl w:val="0"/>
          <w:numId w:val="1"/>
        </w:numPr>
        <w:jc w:val="both"/>
      </w:pPr>
      <w:r>
        <w:rPr>
          <w:rStyle w:val="FootnoteReference"/>
          <w:vertAlign w:val="baseline"/>
        </w:rPr>
        <w:t>I</w:t>
      </w:r>
      <w:r>
        <w:t>n this respect, the country under review notes</w:t>
      </w:r>
      <w:r>
        <w:rPr>
          <w:rStyle w:val="FootnoteReference"/>
          <w:vertAlign w:val="baseline"/>
        </w:rPr>
        <w:t xml:space="preserve"> that t</w:t>
      </w:r>
      <w:r>
        <w:t>he Foreign Corrupt Practices Act (FCPA) contains an exception for facilitating or expediting payments made in furtherance of routine governmental action, examples of which include the processing of visas, providing police protection or mail service, and supplying utilities.</w:t>
      </w:r>
      <w:r>
        <w:rPr>
          <w:rStyle w:val="FootnoteReference"/>
        </w:rPr>
        <w:footnoteReference w:id="12"/>
      </w:r>
    </w:p>
    <w:p w14:paraId="5D639148" w14:textId="77777777" w:rsidR="007558DF" w:rsidRPr="007558DF" w:rsidRDefault="007558DF" w:rsidP="007558DF">
      <w:pPr>
        <w:pStyle w:val="ListParagraph"/>
        <w:rPr>
          <w:rStyle w:val="FootnoteReference"/>
          <w:vertAlign w:val="baseline"/>
        </w:rPr>
      </w:pPr>
    </w:p>
    <w:p w14:paraId="3B29E55F" w14:textId="77777777" w:rsidR="00FC14BB" w:rsidRPr="00FC14BB" w:rsidRDefault="007558DF" w:rsidP="007558DF">
      <w:pPr>
        <w:pStyle w:val="ListParagraph"/>
        <w:numPr>
          <w:ilvl w:val="0"/>
          <w:numId w:val="1"/>
        </w:numPr>
        <w:jc w:val="both"/>
      </w:pPr>
      <w:r>
        <w:rPr>
          <w:rStyle w:val="FootnoteReference"/>
          <w:vertAlign w:val="baseline"/>
        </w:rPr>
        <w:t xml:space="preserve">The country under review further notes that </w:t>
      </w:r>
      <w:r>
        <w:t xml:space="preserve">section 162(c)(1) of the Internal Revenue Code explicitly disallows the tax deductibility of expenditures made in violation of the anti-corruption laws of the United States for all tax purposes, and thus any US taxpayer who makes a payment that is an illegal </w:t>
      </w:r>
      <w:r>
        <w:lastRenderedPageBreak/>
        <w:t xml:space="preserve">payment under the FCPA is prohibited from deducting that payment under that provision of the </w:t>
      </w:r>
      <w:proofErr w:type="gramStart"/>
      <w:r>
        <w:t>aforementioned Code</w:t>
      </w:r>
      <w:proofErr w:type="gramEnd"/>
      <w:r>
        <w:t>.</w:t>
      </w:r>
      <w:r>
        <w:rPr>
          <w:rStyle w:val="FootnoteReference"/>
        </w:rPr>
        <w:footnoteReference w:id="13"/>
      </w:r>
      <w:r w:rsidR="00FC14BB" w:rsidRPr="00FC14BB">
        <w:rPr>
          <w:highlight w:val="yellow"/>
        </w:rPr>
        <w:t xml:space="preserve"> </w:t>
      </w:r>
    </w:p>
    <w:p w14:paraId="51513F55" w14:textId="77777777" w:rsidR="00FC14BB" w:rsidRPr="00FC14BB" w:rsidRDefault="00FC14BB" w:rsidP="00FC14BB">
      <w:pPr>
        <w:pStyle w:val="ListParagraph"/>
        <w:rPr>
          <w:b/>
          <w:bCs/>
          <w:highlight w:val="yellow"/>
          <w:u w:val="single"/>
        </w:rPr>
      </w:pPr>
    </w:p>
    <w:p w14:paraId="46483BAC" w14:textId="556D0034" w:rsidR="007558DF" w:rsidRPr="00462B0A" w:rsidRDefault="00610BA9" w:rsidP="007558DF">
      <w:pPr>
        <w:pStyle w:val="ListParagraph"/>
        <w:numPr>
          <w:ilvl w:val="0"/>
          <w:numId w:val="1"/>
        </w:numPr>
        <w:jc w:val="both"/>
      </w:pPr>
      <w:r w:rsidRPr="00462B0A">
        <w:t>In addition</w:t>
      </w:r>
      <w:r w:rsidR="00FC14BB" w:rsidRPr="00462B0A">
        <w:t>, the country under review note</w:t>
      </w:r>
      <w:r w:rsidR="00770FEB" w:rsidRPr="00462B0A">
        <w:t>s</w:t>
      </w:r>
      <w:r w:rsidR="00FC14BB" w:rsidRPr="00462B0A">
        <w:t xml:space="preserve"> that the FCPA exception that permits facilitation payments to foreign government officials is very limited in scope and as a practical matter largely has been eliminated by risk averse corporate practices. It was also observed, as noted in the Response to the Questionnaire, that if a facilitation payment is carried out, it would have to be recorded in the books and records of the company and be well justified, because of the risk of violating the FCPA exception’s limited scope.</w:t>
      </w:r>
      <w:r w:rsidR="00FC14BB" w:rsidRPr="00462B0A">
        <w:rPr>
          <w:rStyle w:val="FootnoteReference"/>
        </w:rPr>
        <w:footnoteReference w:id="14"/>
      </w:r>
    </w:p>
    <w:p w14:paraId="7D96D926" w14:textId="77777777" w:rsidR="00E75C7F" w:rsidRDefault="00E75C7F" w:rsidP="00E75C7F">
      <w:pPr>
        <w:pStyle w:val="ListParagraph"/>
      </w:pPr>
    </w:p>
    <w:p w14:paraId="3586C134" w14:textId="6E71B4A2" w:rsidR="00C6770B" w:rsidRDefault="00E75C7F" w:rsidP="00C6770B">
      <w:pPr>
        <w:pStyle w:val="ListParagraph"/>
        <w:numPr>
          <w:ilvl w:val="0"/>
          <w:numId w:val="1"/>
        </w:numPr>
        <w:jc w:val="both"/>
      </w:pPr>
      <w:r>
        <w:t xml:space="preserve">The Committee observes that while any payment that is illegal under the FCPA cannot receive favorable tax treatment, facilitation payments </w:t>
      </w:r>
      <w:r w:rsidR="00E322DE">
        <w:t>continue to be</w:t>
      </w:r>
      <w:r>
        <w:t xml:space="preserve"> allowed to be deducted, given that they are an exception found in the Act</w:t>
      </w:r>
      <w:r w:rsidR="00C6770B">
        <w:t>.</w:t>
      </w:r>
      <w:r w:rsidR="002D2D9B">
        <w:t xml:space="preserve"> </w:t>
      </w:r>
    </w:p>
    <w:p w14:paraId="7B723FA4" w14:textId="77777777" w:rsidR="00C6770B" w:rsidRDefault="00C6770B" w:rsidP="00C6770B">
      <w:pPr>
        <w:jc w:val="both"/>
      </w:pPr>
    </w:p>
    <w:p w14:paraId="1095B767" w14:textId="25CE82C7" w:rsidR="00E322DE" w:rsidRDefault="00E322DE" w:rsidP="00E322DE">
      <w:pPr>
        <w:pStyle w:val="ListParagraph"/>
        <w:numPr>
          <w:ilvl w:val="0"/>
          <w:numId w:val="1"/>
        </w:numPr>
        <w:jc w:val="both"/>
      </w:pPr>
      <w:r>
        <w:t>In this respect, the Committee notes the observation made on this issue in the Report of the Third Round:</w:t>
      </w:r>
      <w:r>
        <w:rPr>
          <w:rStyle w:val="FootnoteReference"/>
        </w:rPr>
        <w:footnoteReference w:id="15"/>
      </w:r>
    </w:p>
    <w:p w14:paraId="5AA99B32" w14:textId="77777777" w:rsidR="00E322DE" w:rsidRDefault="00E322DE" w:rsidP="00E322DE">
      <w:pPr>
        <w:pStyle w:val="ListParagraph"/>
      </w:pPr>
    </w:p>
    <w:p w14:paraId="37B3B085" w14:textId="77777777" w:rsidR="00E322DE" w:rsidRPr="00E322DE" w:rsidRDefault="00E322DE" w:rsidP="00E322DE">
      <w:pPr>
        <w:pStyle w:val="ListParagraph"/>
        <w:numPr>
          <w:ilvl w:val="0"/>
          <w:numId w:val="1"/>
        </w:numPr>
        <w:jc w:val="both"/>
        <w:rPr>
          <w:i/>
          <w:iCs/>
        </w:rPr>
      </w:pPr>
      <w:r>
        <w:t>“</w:t>
      </w:r>
      <w:r w:rsidRPr="00E322DE">
        <w:rPr>
          <w:i/>
          <w:iCs/>
        </w:rPr>
        <w:t>[T]he Committee notes that facilitation payments are generally considered an illegal bribe in the countries in which they are paid. In a similar sense, the Committee notes that the principal domestic bribery statute in the country under review, 18 U.S.C. Section 201, which was examined in the Report on the United States for Second Round of Review, contains no such exception for facilitation or expediting payments made to domestic government officials or employees.</w:t>
      </w:r>
    </w:p>
    <w:p w14:paraId="0387B29D" w14:textId="77777777" w:rsidR="00E322DE" w:rsidRPr="00E322DE" w:rsidRDefault="00E322DE" w:rsidP="00E322DE">
      <w:pPr>
        <w:pStyle w:val="ListParagraph"/>
        <w:rPr>
          <w:i/>
          <w:iCs/>
        </w:rPr>
      </w:pPr>
    </w:p>
    <w:p w14:paraId="07DBF1C7" w14:textId="77777777" w:rsidR="00E322DE" w:rsidRDefault="00E322DE" w:rsidP="00E322DE">
      <w:pPr>
        <w:pStyle w:val="ListParagraph"/>
        <w:numPr>
          <w:ilvl w:val="0"/>
          <w:numId w:val="1"/>
        </w:numPr>
        <w:jc w:val="both"/>
      </w:pPr>
      <w:r w:rsidRPr="00E322DE">
        <w:rPr>
          <w:i/>
          <w:iCs/>
        </w:rPr>
        <w:t>In view of the foregoing and taking into consideration that facilitation payments are not criminalized in the country under review, the Committee believes that the United States could consider continuing to make efforts to ensure that these payments do not receive favorable tax treatment</w:t>
      </w:r>
      <w:r>
        <w:t>.”</w:t>
      </w:r>
    </w:p>
    <w:p w14:paraId="1F28CD0C" w14:textId="77777777" w:rsidR="00E322DE" w:rsidRDefault="00E322DE" w:rsidP="00E322DE"/>
    <w:p w14:paraId="5C261FCE" w14:textId="120D4D34" w:rsidR="007558DF" w:rsidRDefault="00E322DE" w:rsidP="00E322DE">
      <w:pPr>
        <w:pStyle w:val="ListParagraph"/>
        <w:numPr>
          <w:ilvl w:val="0"/>
          <w:numId w:val="1"/>
        </w:numPr>
        <w:jc w:val="both"/>
      </w:pPr>
      <w:r>
        <w:t xml:space="preserve">Given the foregoing, the Committee reiterates the recommendation, as well as the need for the country under review to give additional attention thereto. </w:t>
      </w:r>
      <w:r w:rsidRPr="00804DBA">
        <w:rPr>
          <w:rFonts w:eastAsiaTheme="minorHAnsi"/>
          <w:bCs/>
          <w:iCs/>
        </w:rPr>
        <w:t>(</w:t>
      </w:r>
      <w:r w:rsidRPr="00804DBA">
        <w:t>See Recommendation 1.4.</w:t>
      </w:r>
      <w:r w:rsidR="005C0718">
        <w:t>1</w:t>
      </w:r>
      <w:r w:rsidRPr="00804DBA">
        <w:t xml:space="preserve"> in section 1.4 of Chapter II of this Report)</w:t>
      </w:r>
    </w:p>
    <w:p w14:paraId="757B305C" w14:textId="77777777" w:rsidR="00CA1FBA" w:rsidRPr="00804DBA" w:rsidRDefault="00CA1FBA" w:rsidP="00516C81">
      <w:pPr>
        <w:jc w:val="both"/>
        <w:rPr>
          <w:sz w:val="22"/>
          <w:szCs w:val="22"/>
        </w:rPr>
      </w:pPr>
    </w:p>
    <w:p w14:paraId="11750CAA" w14:textId="44CA5ADC" w:rsidR="005E0324" w:rsidRPr="00804DBA" w:rsidRDefault="005E0324" w:rsidP="005E0324">
      <w:pPr>
        <w:ind w:right="35"/>
        <w:jc w:val="both"/>
        <w:rPr>
          <w:sz w:val="22"/>
          <w:szCs w:val="22"/>
          <w:u w:val="single"/>
        </w:rPr>
      </w:pPr>
      <w:r w:rsidRPr="00804DBA">
        <w:rPr>
          <w:sz w:val="22"/>
          <w:szCs w:val="22"/>
          <w:u w:val="single"/>
        </w:rPr>
        <w:t>Measure (b)</w:t>
      </w:r>
    </w:p>
    <w:p w14:paraId="5273A149" w14:textId="77777777" w:rsidR="005E0324" w:rsidRPr="00804DBA" w:rsidRDefault="005E0324" w:rsidP="005E0324">
      <w:pPr>
        <w:jc w:val="both"/>
        <w:rPr>
          <w:i/>
          <w:iCs/>
          <w:sz w:val="22"/>
          <w:szCs w:val="22"/>
        </w:rPr>
      </w:pPr>
    </w:p>
    <w:p w14:paraId="169C9E63" w14:textId="3D7022E0" w:rsidR="005E0324" w:rsidRPr="00804DBA" w:rsidRDefault="00110FD8" w:rsidP="005E0324">
      <w:pPr>
        <w:jc w:val="both"/>
        <w:rPr>
          <w:i/>
          <w:iCs/>
          <w:sz w:val="22"/>
          <w:szCs w:val="22"/>
        </w:rPr>
      </w:pPr>
      <w:r w:rsidRPr="00110FD8">
        <w:rPr>
          <w:i/>
          <w:iCs/>
          <w:sz w:val="22"/>
          <w:szCs w:val="22"/>
        </w:rPr>
        <w:t xml:space="preserve">Continue to use, and consider the adoption of any measures deemed appropriate to make it easier for the appropriate authorities to detect sums paid for acts of corruption </w:t>
      </w:r>
      <w:proofErr w:type="gramStart"/>
      <w:r w:rsidRPr="00110FD8">
        <w:rPr>
          <w:i/>
          <w:iCs/>
          <w:sz w:val="22"/>
          <w:szCs w:val="22"/>
        </w:rPr>
        <w:t>in the event that</w:t>
      </w:r>
      <w:proofErr w:type="gramEnd"/>
      <w:r w:rsidRPr="00110FD8">
        <w:rPr>
          <w:i/>
          <w:iCs/>
          <w:sz w:val="22"/>
          <w:szCs w:val="22"/>
        </w:rPr>
        <w:t xml:space="preserve"> they are being used as grounds for obtaining such treatment, such as the following</w:t>
      </w:r>
      <w:r w:rsidR="005E0324" w:rsidRPr="00804DBA">
        <w:rPr>
          <w:i/>
          <w:iCs/>
          <w:sz w:val="22"/>
          <w:szCs w:val="22"/>
        </w:rPr>
        <w:t>:</w:t>
      </w:r>
    </w:p>
    <w:p w14:paraId="28C5DAFD" w14:textId="77777777" w:rsidR="005E0324" w:rsidRPr="00804DBA" w:rsidRDefault="005E0324" w:rsidP="005E0324">
      <w:pPr>
        <w:jc w:val="both"/>
        <w:rPr>
          <w:i/>
          <w:iCs/>
          <w:sz w:val="22"/>
          <w:szCs w:val="22"/>
        </w:rPr>
      </w:pPr>
    </w:p>
    <w:p w14:paraId="3F3B966B" w14:textId="23977863" w:rsidR="005E0324" w:rsidRPr="00804DBA" w:rsidRDefault="008F5619" w:rsidP="008F5619">
      <w:pPr>
        <w:ind w:right="35"/>
        <w:jc w:val="both"/>
        <w:rPr>
          <w:sz w:val="22"/>
          <w:szCs w:val="22"/>
          <w:u w:val="single"/>
        </w:rPr>
      </w:pPr>
      <w:r w:rsidRPr="00804DBA">
        <w:rPr>
          <w:sz w:val="22"/>
          <w:szCs w:val="22"/>
          <w:u w:val="single"/>
        </w:rPr>
        <w:t>Measure (b)</w:t>
      </w:r>
      <w:r w:rsidR="00353C9D" w:rsidRPr="00804DBA">
        <w:rPr>
          <w:sz w:val="22"/>
          <w:szCs w:val="22"/>
          <w:u w:val="single"/>
        </w:rPr>
        <w:t>(</w:t>
      </w:r>
      <w:proofErr w:type="spellStart"/>
      <w:r w:rsidR="00353C9D" w:rsidRPr="00804DBA">
        <w:rPr>
          <w:sz w:val="22"/>
          <w:szCs w:val="22"/>
          <w:u w:val="single"/>
        </w:rPr>
        <w:t>i</w:t>
      </w:r>
      <w:proofErr w:type="spellEnd"/>
      <w:r w:rsidR="00353C9D" w:rsidRPr="00804DBA">
        <w:rPr>
          <w:sz w:val="22"/>
          <w:szCs w:val="22"/>
          <w:u w:val="single"/>
        </w:rPr>
        <w:t>)</w:t>
      </w:r>
      <w:r w:rsidRPr="00804DBA">
        <w:rPr>
          <w:sz w:val="22"/>
          <w:szCs w:val="22"/>
          <w:u w:val="single"/>
        </w:rPr>
        <w:t xml:space="preserve"> suggested by the Committee:</w:t>
      </w:r>
    </w:p>
    <w:p w14:paraId="3BF92DB2" w14:textId="77777777" w:rsidR="008F5619" w:rsidRPr="00804DBA" w:rsidRDefault="008F5619" w:rsidP="008F5619">
      <w:pPr>
        <w:jc w:val="both"/>
        <w:rPr>
          <w:i/>
          <w:iCs/>
          <w:sz w:val="22"/>
          <w:szCs w:val="22"/>
        </w:rPr>
      </w:pPr>
    </w:p>
    <w:p w14:paraId="67827F0F" w14:textId="794DCF4B" w:rsidR="005E0324" w:rsidRPr="00804DBA" w:rsidRDefault="00110FD8" w:rsidP="008F5619">
      <w:pPr>
        <w:jc w:val="both"/>
        <w:rPr>
          <w:i/>
          <w:iCs/>
          <w:sz w:val="22"/>
          <w:szCs w:val="22"/>
        </w:rPr>
      </w:pPr>
      <w:r w:rsidRPr="00110FD8">
        <w:rPr>
          <w:i/>
          <w:iCs/>
          <w:sz w:val="22"/>
          <w:szCs w:val="22"/>
        </w:rPr>
        <w:t xml:space="preserve">Manuals, </w:t>
      </w:r>
      <w:proofErr w:type="gramStart"/>
      <w:r w:rsidRPr="00110FD8">
        <w:rPr>
          <w:i/>
          <w:iCs/>
          <w:sz w:val="22"/>
          <w:szCs w:val="22"/>
        </w:rPr>
        <w:t>guidelines</w:t>
      </w:r>
      <w:proofErr w:type="gramEnd"/>
      <w:r w:rsidRPr="00110FD8">
        <w:rPr>
          <w:i/>
          <w:iCs/>
          <w:sz w:val="22"/>
          <w:szCs w:val="22"/>
        </w:rPr>
        <w:t xml:space="preserve"> or directives that will guide them in reviewing those applications, so that they are able to verify that the applications contain the established requirements, to confirm the truthfulness of the information provided, and to determine the origin of the expenditures or payment on which the claims are based</w:t>
      </w:r>
      <w:r>
        <w:rPr>
          <w:i/>
          <w:iCs/>
          <w:sz w:val="22"/>
          <w:szCs w:val="22"/>
        </w:rPr>
        <w:t>.</w:t>
      </w:r>
    </w:p>
    <w:p w14:paraId="04EA9879" w14:textId="77777777" w:rsidR="00CA1FBA" w:rsidRPr="00804DBA" w:rsidRDefault="00CA1FBA" w:rsidP="00CA1FBA">
      <w:pPr>
        <w:ind w:left="10"/>
        <w:jc w:val="both"/>
        <w:rPr>
          <w:rStyle w:val="FootnoteReference"/>
          <w:sz w:val="22"/>
          <w:szCs w:val="22"/>
          <w:vertAlign w:val="baseline"/>
        </w:rPr>
      </w:pPr>
    </w:p>
    <w:p w14:paraId="18BB0653" w14:textId="65AEA4D7" w:rsidR="008F5619" w:rsidRDefault="008F5619" w:rsidP="008F5619">
      <w:pPr>
        <w:pStyle w:val="ListParagraph"/>
        <w:numPr>
          <w:ilvl w:val="0"/>
          <w:numId w:val="1"/>
        </w:numPr>
        <w:jc w:val="both"/>
      </w:pPr>
      <w:r w:rsidRPr="00804DBA">
        <w:rPr>
          <w:rFonts w:eastAsia="Times New Roman"/>
          <w:iCs/>
          <w:lang w:eastAsia="zh-CN"/>
        </w:rPr>
        <w:lastRenderedPageBreak/>
        <w:t xml:space="preserve">With respect to the </w:t>
      </w:r>
      <w:proofErr w:type="gramStart"/>
      <w:r w:rsidRPr="00804DBA">
        <w:rPr>
          <w:rFonts w:eastAsia="Times New Roman"/>
          <w:iCs/>
          <w:lang w:eastAsia="zh-CN"/>
        </w:rPr>
        <w:t>aforementioned measure</w:t>
      </w:r>
      <w:proofErr w:type="gramEnd"/>
      <w:r w:rsidRPr="00804DBA">
        <w:rPr>
          <w:rFonts w:eastAsia="Times New Roman"/>
          <w:iCs/>
          <w:lang w:eastAsia="zh-CN"/>
        </w:rPr>
        <w:t>, in its Response, the country under review present</w:t>
      </w:r>
      <w:r w:rsidR="00FC0354" w:rsidRPr="00804DBA">
        <w:rPr>
          <w:rFonts w:eastAsia="Times New Roman"/>
          <w:iCs/>
          <w:lang w:eastAsia="zh-CN"/>
        </w:rPr>
        <w:t>ed</w:t>
      </w:r>
      <w:r w:rsidRPr="00804DBA">
        <w:rPr>
          <w:rFonts w:eastAsia="Times New Roman"/>
          <w:iCs/>
          <w:lang w:eastAsia="zh-CN"/>
        </w:rPr>
        <w:t xml:space="preserve"> information and new developments. In this regard, the Committee notes the following as steps that lead it to conclude said measure has been satisfactorily considered</w:t>
      </w:r>
      <w:r w:rsidRPr="00804DBA">
        <w:t>:</w:t>
      </w:r>
      <w:r w:rsidRPr="00804DBA">
        <w:rPr>
          <w:rStyle w:val="FootnoteReference"/>
        </w:rPr>
        <w:footnoteReference w:id="16"/>
      </w:r>
    </w:p>
    <w:p w14:paraId="2442B7EC" w14:textId="77777777" w:rsidR="006C520D" w:rsidRDefault="006C520D" w:rsidP="006C520D">
      <w:pPr>
        <w:pStyle w:val="ListParagraph"/>
        <w:ind w:left="10"/>
        <w:jc w:val="both"/>
      </w:pPr>
    </w:p>
    <w:p w14:paraId="060A3E1E" w14:textId="6E906C6B" w:rsidR="00A76245" w:rsidRPr="00A76245" w:rsidRDefault="00A76245">
      <w:pPr>
        <w:pStyle w:val="ListParagraph"/>
        <w:numPr>
          <w:ilvl w:val="0"/>
          <w:numId w:val="1"/>
        </w:numPr>
        <w:jc w:val="both"/>
        <w:rPr>
          <w:rFonts w:eastAsia="Times New Roman"/>
          <w:iCs/>
          <w:lang w:eastAsia="zh-CN"/>
        </w:rPr>
      </w:pPr>
      <w:r w:rsidRPr="00A76245">
        <w:rPr>
          <w:rFonts w:eastAsia="Times New Roman"/>
          <w:iCs/>
          <w:lang w:eastAsia="zh-CN"/>
        </w:rPr>
        <w:t xml:space="preserve">– The Internal Revenue Service (IRS), which </w:t>
      </w:r>
      <w:proofErr w:type="gramStart"/>
      <w:r w:rsidRPr="00A76245">
        <w:rPr>
          <w:rFonts w:eastAsia="Times New Roman"/>
          <w:iCs/>
          <w:lang w:eastAsia="zh-CN"/>
        </w:rPr>
        <w:t>is in charge of</w:t>
      </w:r>
      <w:proofErr w:type="gramEnd"/>
      <w:r w:rsidRPr="00A76245">
        <w:rPr>
          <w:rFonts w:eastAsia="Times New Roman"/>
          <w:iCs/>
          <w:lang w:eastAsia="zh-CN"/>
        </w:rPr>
        <w:t xml:space="preserve"> auditing tax returns of organizations and individuals to ensure information is reported correctly according to the tax laws and to verify the reported amount of tax, has prepared and published the Internal Revenue Manual (IRM)</w:t>
      </w:r>
      <w:r>
        <w:rPr>
          <w:rFonts w:eastAsia="Times New Roman"/>
          <w:iCs/>
          <w:lang w:eastAsia="zh-CN"/>
        </w:rPr>
        <w:t>. This Manual i</w:t>
      </w:r>
      <w:r w:rsidRPr="00A76245">
        <w:rPr>
          <w:rFonts w:eastAsia="Times New Roman"/>
          <w:iCs/>
          <w:lang w:eastAsia="zh-CN"/>
        </w:rPr>
        <w:t xml:space="preserve">s the primary, official compilation of instructions to staff that relate to the administration and operation of the IRS. </w:t>
      </w:r>
      <w:r w:rsidR="006C520D">
        <w:rPr>
          <w:rFonts w:eastAsia="Times New Roman"/>
          <w:iCs/>
          <w:lang w:eastAsia="zh-CN"/>
        </w:rPr>
        <w:t>As noted by the country under review:</w:t>
      </w:r>
      <w:r w:rsidR="006C520D">
        <w:rPr>
          <w:rStyle w:val="FootnoteReference"/>
          <w:rFonts w:eastAsia="Times New Roman"/>
          <w:iCs/>
          <w:lang w:eastAsia="zh-CN"/>
        </w:rPr>
        <w:footnoteReference w:id="17"/>
      </w:r>
    </w:p>
    <w:p w14:paraId="0BC281A1" w14:textId="77777777" w:rsidR="00A76245" w:rsidRDefault="00A76245" w:rsidP="00A76245">
      <w:pPr>
        <w:pStyle w:val="ListParagraph"/>
        <w:ind w:left="10"/>
        <w:jc w:val="both"/>
        <w:rPr>
          <w:rFonts w:eastAsiaTheme="minorHAnsi"/>
          <w:color w:val="2F5496" w:themeColor="accent1" w:themeShade="BF"/>
        </w:rPr>
      </w:pPr>
    </w:p>
    <w:p w14:paraId="232C92F5" w14:textId="4C2EDCFE" w:rsidR="00502004" w:rsidRDefault="006C520D" w:rsidP="006C520D">
      <w:pPr>
        <w:pStyle w:val="ListParagraph"/>
        <w:numPr>
          <w:ilvl w:val="0"/>
          <w:numId w:val="1"/>
        </w:numPr>
        <w:jc w:val="both"/>
        <w:rPr>
          <w:rFonts w:eastAsia="Times New Roman"/>
          <w:iCs/>
          <w:lang w:eastAsia="zh-CN"/>
        </w:rPr>
      </w:pPr>
      <w:r>
        <w:rPr>
          <w:rFonts w:eastAsia="Times New Roman"/>
          <w:iCs/>
          <w:lang w:eastAsia="zh-CN"/>
        </w:rPr>
        <w:t>“</w:t>
      </w:r>
      <w:r w:rsidR="00A76245" w:rsidRPr="006C520D">
        <w:rPr>
          <w:rFonts w:eastAsia="Times New Roman"/>
          <w:i/>
          <w:lang w:eastAsia="zh-CN"/>
        </w:rPr>
        <w:t xml:space="preserve">The IRM ensures employees have the approved policy and guidance they need to carry out their responsibilities in administering the tax laws or other agency obligations. In conducting a tax return assessment, in addition to deductions for operating expenses, examiners review areas susceptible to concealment, such as returns and allowances. Special attention would be given to the use of foreign bank accounts, other indicators of “slush funds” or the use of cash payments. Expense categories requiring </w:t>
      </w:r>
      <w:proofErr w:type="gramStart"/>
      <w:r w:rsidR="00A76245" w:rsidRPr="006C520D">
        <w:rPr>
          <w:rFonts w:eastAsia="Times New Roman"/>
          <w:i/>
          <w:lang w:eastAsia="zh-CN"/>
        </w:rPr>
        <w:t>careful scrutiny</w:t>
      </w:r>
      <w:proofErr w:type="gramEnd"/>
      <w:r w:rsidR="00A76245" w:rsidRPr="006C520D">
        <w:rPr>
          <w:rFonts w:eastAsia="Times New Roman"/>
          <w:i/>
          <w:lang w:eastAsia="zh-CN"/>
        </w:rPr>
        <w:t xml:space="preserve"> might include outside services (e.g. consulting) or items relating to foreign property of questionable use to the taxpayer or its affiliates. Additionally, examiners are encouraged to research sources such as other Federal agencies, as well as internal and external audit reports, for indications of illegal payment activity. Suspicions of illegal payments following the assessment of tax returns are flagged to the IRS compliance personnel, and further referred to the Criminal Investigation team of the IRS (IRS-CI).</w:t>
      </w:r>
      <w:r w:rsidRPr="006C520D">
        <w:rPr>
          <w:rFonts w:eastAsia="Times New Roman"/>
          <w:iCs/>
          <w:lang w:eastAsia="zh-CN"/>
        </w:rPr>
        <w:t>”</w:t>
      </w:r>
    </w:p>
    <w:p w14:paraId="55B7EB1B" w14:textId="77777777" w:rsidR="006C520D" w:rsidRPr="006C520D" w:rsidRDefault="006C520D" w:rsidP="006C520D">
      <w:pPr>
        <w:pStyle w:val="ListParagraph"/>
        <w:rPr>
          <w:rFonts w:eastAsia="Times New Roman"/>
          <w:iCs/>
          <w:lang w:eastAsia="zh-CN"/>
        </w:rPr>
      </w:pPr>
    </w:p>
    <w:p w14:paraId="790FC98F" w14:textId="44F9E858" w:rsidR="007C66F6" w:rsidRPr="007C66F6" w:rsidRDefault="006C520D" w:rsidP="007C66F6">
      <w:pPr>
        <w:pStyle w:val="ListParagraph"/>
        <w:numPr>
          <w:ilvl w:val="0"/>
          <w:numId w:val="1"/>
        </w:numPr>
        <w:jc w:val="both"/>
        <w:rPr>
          <w:rFonts w:eastAsia="Times New Roman"/>
          <w:iCs/>
          <w:lang w:eastAsia="zh-CN"/>
        </w:rPr>
      </w:pPr>
      <w:r>
        <w:rPr>
          <w:rFonts w:eastAsia="Times New Roman"/>
          <w:iCs/>
          <w:lang w:eastAsia="zh-CN"/>
        </w:rPr>
        <w:t xml:space="preserve">In this respect, the Committee notes that the IRM contains extensive </w:t>
      </w:r>
      <w:r w:rsidR="004654CE">
        <w:rPr>
          <w:rFonts w:eastAsia="Times New Roman"/>
          <w:iCs/>
          <w:lang w:eastAsia="zh-CN"/>
        </w:rPr>
        <w:t>sections</w:t>
      </w:r>
      <w:r w:rsidR="00904756">
        <w:rPr>
          <w:rFonts w:eastAsia="Times New Roman"/>
          <w:iCs/>
          <w:lang w:eastAsia="zh-CN"/>
        </w:rPr>
        <w:t xml:space="preserve"> on topics such as</w:t>
      </w:r>
      <w:r w:rsidR="007C66F6">
        <w:rPr>
          <w:rFonts w:eastAsia="Times New Roman"/>
          <w:iCs/>
          <w:lang w:eastAsia="zh-CN"/>
        </w:rPr>
        <w:t xml:space="preserve"> Submission Processing, Examining Processing and Collecting Processing, as well as including a Fraud Handbook, which is intended to provide a </w:t>
      </w:r>
      <w:r w:rsidR="007C66F6" w:rsidRPr="007C66F6">
        <w:rPr>
          <w:rFonts w:eastAsia="Times New Roman"/>
          <w:iCs/>
          <w:lang w:eastAsia="zh-CN"/>
        </w:rPr>
        <w:t>comprehensive guide for IRS employees in the recognition and development of potential fraud issues; referrals for criminal fraud; duties and responsibilities in joint investigations; civil fraud cases; and other related fraud issues.</w:t>
      </w:r>
      <w:r w:rsidR="007C66F6">
        <w:rPr>
          <w:rStyle w:val="FootnoteReference"/>
          <w:rFonts w:eastAsia="Times New Roman"/>
          <w:iCs/>
          <w:lang w:eastAsia="zh-CN"/>
        </w:rPr>
        <w:footnoteReference w:id="18"/>
      </w:r>
    </w:p>
    <w:p w14:paraId="55594094" w14:textId="77777777" w:rsidR="00CD74CD" w:rsidRPr="00CD74CD" w:rsidRDefault="00CD74CD" w:rsidP="00CD74CD">
      <w:pPr>
        <w:pStyle w:val="ListParagraph"/>
        <w:rPr>
          <w:rFonts w:eastAsia="Times New Roman"/>
          <w:iCs/>
          <w:lang w:eastAsia="zh-CN"/>
        </w:rPr>
      </w:pPr>
    </w:p>
    <w:p w14:paraId="12334E8D" w14:textId="660F167B" w:rsidR="00CD74CD" w:rsidRPr="00CD74CD" w:rsidRDefault="00CD74CD" w:rsidP="006C520D">
      <w:pPr>
        <w:pStyle w:val="ListParagraph"/>
        <w:numPr>
          <w:ilvl w:val="0"/>
          <w:numId w:val="1"/>
        </w:numPr>
        <w:jc w:val="both"/>
        <w:rPr>
          <w:rFonts w:eastAsia="Times New Roman"/>
          <w:iCs/>
          <w:lang w:eastAsia="zh-CN"/>
        </w:rPr>
      </w:pPr>
      <w:r>
        <w:t>In view of the above, the Committee takes note of the satisfactory consideration by the country under review of measure (b)(</w:t>
      </w:r>
      <w:proofErr w:type="spellStart"/>
      <w:r>
        <w:t>i</w:t>
      </w:r>
      <w:proofErr w:type="spellEnd"/>
      <w:r>
        <w:t>).</w:t>
      </w:r>
    </w:p>
    <w:p w14:paraId="17AAB713" w14:textId="77777777" w:rsidR="00CD74CD" w:rsidRPr="00CD74CD" w:rsidRDefault="00CD74CD" w:rsidP="00CD74CD">
      <w:pPr>
        <w:pStyle w:val="ListParagraph"/>
        <w:rPr>
          <w:rFonts w:eastAsia="Times New Roman"/>
          <w:iCs/>
          <w:lang w:eastAsia="zh-CN"/>
        </w:rPr>
      </w:pPr>
    </w:p>
    <w:p w14:paraId="7BB3ADF7" w14:textId="77777777" w:rsidR="00C6770B" w:rsidRPr="00804DBA" w:rsidRDefault="00C6770B" w:rsidP="00C6770B">
      <w:pPr>
        <w:ind w:right="35"/>
        <w:jc w:val="both"/>
        <w:rPr>
          <w:sz w:val="22"/>
          <w:szCs w:val="22"/>
          <w:u w:val="single"/>
        </w:rPr>
      </w:pPr>
      <w:r w:rsidRPr="00804DBA">
        <w:rPr>
          <w:sz w:val="22"/>
          <w:szCs w:val="22"/>
          <w:u w:val="single"/>
        </w:rPr>
        <w:t>Measure (b)</w:t>
      </w:r>
    </w:p>
    <w:p w14:paraId="3725CC00" w14:textId="77777777" w:rsidR="00C6770B" w:rsidRPr="00804DBA" w:rsidRDefault="00C6770B" w:rsidP="00C6770B">
      <w:pPr>
        <w:jc w:val="both"/>
        <w:rPr>
          <w:i/>
          <w:iCs/>
          <w:sz w:val="22"/>
          <w:szCs w:val="22"/>
        </w:rPr>
      </w:pPr>
    </w:p>
    <w:p w14:paraId="307354E5" w14:textId="77777777" w:rsidR="00C6770B" w:rsidRDefault="00C6770B" w:rsidP="00C6770B">
      <w:pPr>
        <w:pStyle w:val="ListParagraph"/>
        <w:ind w:left="10"/>
        <w:jc w:val="both"/>
        <w:rPr>
          <w:i/>
          <w:iCs/>
        </w:rPr>
      </w:pPr>
      <w:r w:rsidRPr="00110FD8">
        <w:rPr>
          <w:i/>
          <w:iCs/>
        </w:rPr>
        <w:t xml:space="preserve">Continue to use, and consider the adoption of any measures deemed appropriate to make it easier for the appropriate authorities to detect sums paid for acts of corruption </w:t>
      </w:r>
      <w:proofErr w:type="gramStart"/>
      <w:r w:rsidRPr="00110FD8">
        <w:rPr>
          <w:i/>
          <w:iCs/>
        </w:rPr>
        <w:t>in the event that</w:t>
      </w:r>
      <w:proofErr w:type="gramEnd"/>
      <w:r w:rsidRPr="00110FD8">
        <w:rPr>
          <w:i/>
          <w:iCs/>
        </w:rPr>
        <w:t xml:space="preserve"> they are being used as grounds for obtaining such treatment, such as the following</w:t>
      </w:r>
      <w:r w:rsidRPr="00804DBA">
        <w:rPr>
          <w:i/>
          <w:iCs/>
        </w:rPr>
        <w:t>:</w:t>
      </w:r>
    </w:p>
    <w:p w14:paraId="559F8909" w14:textId="77777777" w:rsidR="00C6770B" w:rsidRDefault="00C6770B" w:rsidP="00C6770B">
      <w:pPr>
        <w:pStyle w:val="ListParagraph"/>
        <w:ind w:left="10"/>
        <w:jc w:val="both"/>
        <w:rPr>
          <w:i/>
          <w:iCs/>
        </w:rPr>
      </w:pPr>
    </w:p>
    <w:p w14:paraId="4E185CBE" w14:textId="538CA4EA" w:rsidR="00CD74CD" w:rsidRPr="00CD74CD" w:rsidRDefault="00CD74CD" w:rsidP="00C6770B">
      <w:pPr>
        <w:pStyle w:val="ListParagraph"/>
        <w:ind w:left="10"/>
        <w:jc w:val="both"/>
        <w:rPr>
          <w:rFonts w:eastAsia="Times New Roman"/>
          <w:iCs/>
          <w:u w:val="single"/>
          <w:lang w:eastAsia="zh-CN"/>
        </w:rPr>
      </w:pPr>
      <w:r w:rsidRPr="00CD74CD">
        <w:rPr>
          <w:rFonts w:eastAsia="Times New Roman"/>
          <w:iCs/>
          <w:u w:val="single"/>
          <w:lang w:eastAsia="zh-CN"/>
        </w:rPr>
        <w:t>Measure b(ii) suggested by the Committee:</w:t>
      </w:r>
    </w:p>
    <w:p w14:paraId="7173AE7F" w14:textId="77777777" w:rsidR="00CD74CD" w:rsidRDefault="00CD74CD" w:rsidP="00CD74CD">
      <w:pPr>
        <w:pStyle w:val="ListParagraph"/>
        <w:ind w:left="10"/>
        <w:jc w:val="both"/>
        <w:rPr>
          <w:rFonts w:eastAsia="Times New Roman"/>
          <w:iCs/>
          <w:lang w:eastAsia="zh-CN"/>
        </w:rPr>
      </w:pPr>
    </w:p>
    <w:p w14:paraId="043F00E5" w14:textId="1EB0D798" w:rsidR="00CD74CD" w:rsidRDefault="00CD74CD" w:rsidP="00CD74CD">
      <w:pPr>
        <w:jc w:val="both"/>
        <w:rPr>
          <w:i/>
          <w:iCs/>
          <w:sz w:val="22"/>
          <w:szCs w:val="22"/>
        </w:rPr>
      </w:pPr>
      <w:r w:rsidRPr="00CD74CD">
        <w:rPr>
          <w:i/>
          <w:iCs/>
          <w:sz w:val="22"/>
          <w:szCs w:val="22"/>
        </w:rPr>
        <w:t>The possibility of accessing the sources of information necessary to conduct those verifications and confirmations, including requests from financial institutions.</w:t>
      </w:r>
    </w:p>
    <w:p w14:paraId="424522D7" w14:textId="77777777" w:rsidR="00CD74CD" w:rsidRDefault="00CD74CD" w:rsidP="00CD74CD">
      <w:pPr>
        <w:jc w:val="both"/>
        <w:rPr>
          <w:i/>
          <w:iCs/>
          <w:sz w:val="22"/>
          <w:szCs w:val="22"/>
        </w:rPr>
      </w:pPr>
    </w:p>
    <w:p w14:paraId="19DFC6F4" w14:textId="72138B01" w:rsidR="00CD74CD" w:rsidRPr="00A07740" w:rsidRDefault="00CD74CD" w:rsidP="00CD74CD">
      <w:pPr>
        <w:pStyle w:val="ListParagraph"/>
        <w:numPr>
          <w:ilvl w:val="0"/>
          <w:numId w:val="1"/>
        </w:numPr>
        <w:jc w:val="both"/>
        <w:rPr>
          <w:rFonts w:eastAsia="Times New Roman"/>
        </w:rPr>
      </w:pPr>
      <w:r w:rsidRPr="00CD74CD">
        <w:t xml:space="preserve">With respect to the </w:t>
      </w:r>
      <w:proofErr w:type="gramStart"/>
      <w:r w:rsidRPr="00CD74CD">
        <w:t>aforementioned measure</w:t>
      </w:r>
      <w:proofErr w:type="gramEnd"/>
      <w:r w:rsidRPr="00CD74CD">
        <w:t>, in its Response, the country under review presented information and new developments. In this regard, the Committee notes the following as steps that lead it to conclude said measure has been satisfactorily considered</w:t>
      </w:r>
      <w:r w:rsidRPr="00804DBA">
        <w:t>:</w:t>
      </w:r>
      <w:r w:rsidRPr="00804DBA">
        <w:rPr>
          <w:rStyle w:val="FootnoteReference"/>
        </w:rPr>
        <w:footnoteReference w:id="19"/>
      </w:r>
    </w:p>
    <w:p w14:paraId="2C709936" w14:textId="77777777" w:rsidR="00A07740" w:rsidRDefault="00A07740" w:rsidP="00A07740">
      <w:pPr>
        <w:pStyle w:val="ListParagraph"/>
        <w:ind w:left="10"/>
        <w:jc w:val="both"/>
      </w:pPr>
    </w:p>
    <w:p w14:paraId="5FC866F1" w14:textId="1EB9C738" w:rsidR="00A07740" w:rsidRPr="006E2B73" w:rsidRDefault="00A07740" w:rsidP="00A07740">
      <w:pPr>
        <w:pStyle w:val="ListParagraph"/>
        <w:numPr>
          <w:ilvl w:val="0"/>
          <w:numId w:val="1"/>
        </w:numPr>
        <w:jc w:val="both"/>
        <w:rPr>
          <w:rFonts w:eastAsia="Times New Roman"/>
        </w:rPr>
      </w:pPr>
      <w:r>
        <w:rPr>
          <w:rFonts w:eastAsia="Times New Roman"/>
          <w:iCs/>
          <w:lang w:eastAsia="zh-CN"/>
        </w:rPr>
        <w:lastRenderedPageBreak/>
        <w:t xml:space="preserve">– </w:t>
      </w:r>
      <w:r w:rsidRPr="00A07740">
        <w:rPr>
          <w:rFonts w:eastAsia="Times New Roman"/>
          <w:iCs/>
          <w:lang w:eastAsia="zh-CN"/>
        </w:rPr>
        <w:t>The</w:t>
      </w:r>
      <w:r>
        <w:t xml:space="preserve"> IRM, Part 9, Chapter 4, Section 4 establishes special procedures for special agents to follow in requesting information, which must be followed in administrative investigations, and should be followed whenever possible in grand jury investigations. </w:t>
      </w:r>
      <w:r w:rsidR="00C97600">
        <w:t xml:space="preserve">In this respect, it provides the procedures for requesting information from government entities, </w:t>
      </w:r>
      <w:r w:rsidR="006E2B73">
        <w:t>foreign countries, as well as that from financial institutions.</w:t>
      </w:r>
      <w:r w:rsidR="006E2B73">
        <w:rPr>
          <w:rStyle w:val="FootnoteReference"/>
        </w:rPr>
        <w:footnoteReference w:id="20"/>
      </w:r>
      <w:r w:rsidR="00C97600">
        <w:t xml:space="preserve"> </w:t>
      </w:r>
    </w:p>
    <w:p w14:paraId="365D8680" w14:textId="77777777" w:rsidR="006E2B73" w:rsidRPr="006E2B73" w:rsidRDefault="006E2B73" w:rsidP="006E2B73">
      <w:pPr>
        <w:pStyle w:val="ListParagraph"/>
        <w:rPr>
          <w:rFonts w:eastAsia="Times New Roman"/>
        </w:rPr>
      </w:pPr>
    </w:p>
    <w:p w14:paraId="398F6BAB" w14:textId="3C07D7A5" w:rsidR="00A07740" w:rsidRPr="006E2B73" w:rsidRDefault="006E2B73" w:rsidP="006E2B73">
      <w:pPr>
        <w:pStyle w:val="ListParagraph"/>
        <w:numPr>
          <w:ilvl w:val="0"/>
          <w:numId w:val="1"/>
        </w:numPr>
        <w:jc w:val="both"/>
        <w:rPr>
          <w:rFonts w:eastAsia="Times New Roman"/>
        </w:rPr>
      </w:pPr>
      <w:r>
        <w:t>The Committee also</w:t>
      </w:r>
      <w:r w:rsidR="0020241F" w:rsidRPr="006E2B73">
        <w:t xml:space="preserve"> notes that Part 9, Chapter 4, Section 2, sets out the sources of information that </w:t>
      </w:r>
      <w:r w:rsidR="00FE1899">
        <w:t>are</w:t>
      </w:r>
      <w:r w:rsidR="0020241F" w:rsidRPr="006E2B73">
        <w:t xml:space="preserve"> available </w:t>
      </w:r>
      <w:r w:rsidR="00282115">
        <w:t>regarding the gathering of</w:t>
      </w:r>
      <w:r w:rsidR="0020241F" w:rsidRPr="0020241F">
        <w:t xml:space="preserve"> information </w:t>
      </w:r>
      <w:proofErr w:type="gramStart"/>
      <w:r w:rsidR="0020241F" w:rsidRPr="0020241F">
        <w:t>during the course of</w:t>
      </w:r>
      <w:proofErr w:type="gramEnd"/>
      <w:r w:rsidR="0020241F" w:rsidRPr="0020241F">
        <w:t xml:space="preserve"> an investigation, which include </w:t>
      </w:r>
      <w:proofErr w:type="spellStart"/>
      <w:r w:rsidR="0020241F" w:rsidRPr="0020241F">
        <w:t>i</w:t>
      </w:r>
      <w:proofErr w:type="spellEnd"/>
      <w:r w:rsidR="0020241F" w:rsidRPr="0020241F">
        <w:t>) governmental records; ii) business, financial, professional, and educational records; iii) investigative databases; and iv) informants.</w:t>
      </w:r>
      <w:r w:rsidR="0020241F">
        <w:rPr>
          <w:rStyle w:val="FootnoteReference"/>
        </w:rPr>
        <w:footnoteReference w:id="21"/>
      </w:r>
      <w:r w:rsidR="005E0AAF">
        <w:t xml:space="preserve"> </w:t>
      </w:r>
    </w:p>
    <w:p w14:paraId="2ED95807" w14:textId="77777777" w:rsidR="006E2B73" w:rsidRPr="006E2B73" w:rsidRDefault="006E2B73" w:rsidP="006E2B73">
      <w:pPr>
        <w:pStyle w:val="ListParagraph"/>
        <w:rPr>
          <w:rFonts w:eastAsia="Times New Roman"/>
        </w:rPr>
      </w:pPr>
    </w:p>
    <w:p w14:paraId="15A32544" w14:textId="0EA1E477" w:rsidR="006E2B73" w:rsidRPr="00B768D1" w:rsidRDefault="006E2B73" w:rsidP="006E2B73">
      <w:pPr>
        <w:pStyle w:val="ListParagraph"/>
        <w:numPr>
          <w:ilvl w:val="0"/>
          <w:numId w:val="1"/>
        </w:numPr>
        <w:jc w:val="both"/>
        <w:rPr>
          <w:rFonts w:eastAsia="Times New Roman"/>
        </w:rPr>
      </w:pPr>
      <w:r>
        <w:rPr>
          <w:rFonts w:eastAsia="Times New Roman"/>
        </w:rPr>
        <w:t xml:space="preserve">The country </w:t>
      </w:r>
      <w:r w:rsidR="00B768D1">
        <w:rPr>
          <w:rFonts w:eastAsia="Times New Roman"/>
        </w:rPr>
        <w:t xml:space="preserve">under review also </w:t>
      </w:r>
      <w:proofErr w:type="gramStart"/>
      <w:r w:rsidR="00B768D1">
        <w:rPr>
          <w:rFonts w:eastAsia="Times New Roman"/>
        </w:rPr>
        <w:t>makes reference</w:t>
      </w:r>
      <w:proofErr w:type="gramEnd"/>
      <w:r w:rsidR="00B768D1">
        <w:rPr>
          <w:rFonts w:eastAsia="Times New Roman"/>
        </w:rPr>
        <w:t xml:space="preserve"> to the </w:t>
      </w:r>
      <w:r w:rsidR="00B768D1">
        <w:t>Joint Chiefs of Global Tax Enforcement (know</w:t>
      </w:r>
      <w:r w:rsidR="00904756">
        <w:t>n</w:t>
      </w:r>
      <w:r w:rsidR="00B768D1">
        <w:t xml:space="preserve"> as the J5), which was established to combat transnational tax crime through increased enforcement collaboration. Made up of the taxation agencies of Australia, Canada, the Netherlands, the United Kingdom; and the United States, the J5 works together to gather information, share intelligence, conduct </w:t>
      </w:r>
      <w:proofErr w:type="gramStart"/>
      <w:r w:rsidR="00B768D1">
        <w:t>operations</w:t>
      </w:r>
      <w:proofErr w:type="gramEnd"/>
      <w:r w:rsidR="00B768D1">
        <w:t xml:space="preserve"> and build the capacity of tax crime enforcement officials.</w:t>
      </w:r>
      <w:r w:rsidR="00B768D1">
        <w:rPr>
          <w:rStyle w:val="FootnoteReference"/>
        </w:rPr>
        <w:footnoteReference w:id="22"/>
      </w:r>
    </w:p>
    <w:p w14:paraId="6B933FFA" w14:textId="77777777" w:rsidR="00B768D1" w:rsidRPr="00B768D1" w:rsidRDefault="00B768D1" w:rsidP="00B768D1">
      <w:pPr>
        <w:pStyle w:val="ListParagraph"/>
        <w:rPr>
          <w:rFonts w:eastAsia="Times New Roman"/>
        </w:rPr>
      </w:pPr>
    </w:p>
    <w:p w14:paraId="6575999E" w14:textId="6DAD8094" w:rsidR="00B768D1" w:rsidRPr="00B768D1" w:rsidRDefault="00B768D1" w:rsidP="006E2B73">
      <w:pPr>
        <w:pStyle w:val="ListParagraph"/>
        <w:numPr>
          <w:ilvl w:val="0"/>
          <w:numId w:val="1"/>
        </w:numPr>
        <w:jc w:val="both"/>
        <w:rPr>
          <w:rFonts w:eastAsia="Times New Roman"/>
        </w:rPr>
      </w:pPr>
      <w:r w:rsidRPr="00B768D1">
        <w:t>In view of the above, the Committee takes note of the satisfactory consideration by the country under review of measure (b)(ii).</w:t>
      </w:r>
    </w:p>
    <w:p w14:paraId="45858210" w14:textId="2423FBF6" w:rsidR="00B768D1" w:rsidRPr="00B768D1" w:rsidRDefault="00B768D1" w:rsidP="00B768D1">
      <w:pPr>
        <w:jc w:val="both"/>
        <w:rPr>
          <w:sz w:val="22"/>
          <w:szCs w:val="22"/>
        </w:rPr>
      </w:pPr>
    </w:p>
    <w:p w14:paraId="64590AEA" w14:textId="77777777" w:rsidR="00C6770B" w:rsidRPr="00804DBA" w:rsidRDefault="00C6770B" w:rsidP="00C6770B">
      <w:pPr>
        <w:ind w:right="35"/>
        <w:jc w:val="both"/>
        <w:rPr>
          <w:sz w:val="22"/>
          <w:szCs w:val="22"/>
          <w:u w:val="single"/>
        </w:rPr>
      </w:pPr>
      <w:r w:rsidRPr="00804DBA">
        <w:rPr>
          <w:sz w:val="22"/>
          <w:szCs w:val="22"/>
          <w:u w:val="single"/>
        </w:rPr>
        <w:t>Measure (b)</w:t>
      </w:r>
    </w:p>
    <w:p w14:paraId="47049B62" w14:textId="77777777" w:rsidR="00C6770B" w:rsidRPr="00804DBA" w:rsidRDefault="00C6770B" w:rsidP="00C6770B">
      <w:pPr>
        <w:jc w:val="both"/>
        <w:rPr>
          <w:i/>
          <w:iCs/>
          <w:sz w:val="22"/>
          <w:szCs w:val="22"/>
        </w:rPr>
      </w:pPr>
    </w:p>
    <w:p w14:paraId="09FD4B2E" w14:textId="77777777" w:rsidR="00C6770B" w:rsidRDefault="00C6770B" w:rsidP="00C6770B">
      <w:pPr>
        <w:jc w:val="both"/>
        <w:rPr>
          <w:i/>
          <w:iCs/>
          <w:sz w:val="22"/>
          <w:szCs w:val="22"/>
        </w:rPr>
      </w:pPr>
      <w:r w:rsidRPr="00110FD8">
        <w:rPr>
          <w:i/>
          <w:iCs/>
          <w:sz w:val="22"/>
          <w:szCs w:val="22"/>
        </w:rPr>
        <w:t xml:space="preserve">Continue to use, and consider the adoption of any measures deemed appropriate to make it easier for the appropriate authorities to detect sums paid for acts of corruption </w:t>
      </w:r>
      <w:proofErr w:type="gramStart"/>
      <w:r w:rsidRPr="00110FD8">
        <w:rPr>
          <w:i/>
          <w:iCs/>
          <w:sz w:val="22"/>
          <w:szCs w:val="22"/>
        </w:rPr>
        <w:t>in the event that</w:t>
      </w:r>
      <w:proofErr w:type="gramEnd"/>
      <w:r w:rsidRPr="00110FD8">
        <w:rPr>
          <w:i/>
          <w:iCs/>
          <w:sz w:val="22"/>
          <w:szCs w:val="22"/>
        </w:rPr>
        <w:t xml:space="preserve"> they are being used as grounds for obtaining such treatment, such as the following</w:t>
      </w:r>
      <w:r w:rsidRPr="00804DBA">
        <w:rPr>
          <w:i/>
          <w:iCs/>
          <w:sz w:val="22"/>
          <w:szCs w:val="22"/>
        </w:rPr>
        <w:t>:</w:t>
      </w:r>
    </w:p>
    <w:p w14:paraId="25FE69C0" w14:textId="77777777" w:rsidR="00C6770B" w:rsidRDefault="00C6770B" w:rsidP="00C6770B">
      <w:pPr>
        <w:jc w:val="both"/>
        <w:rPr>
          <w:i/>
          <w:iCs/>
          <w:sz w:val="22"/>
          <w:szCs w:val="22"/>
        </w:rPr>
      </w:pPr>
    </w:p>
    <w:p w14:paraId="63CE3B5C" w14:textId="5539D071" w:rsidR="00B768D1" w:rsidRPr="00B768D1" w:rsidRDefault="00B768D1" w:rsidP="00C6770B">
      <w:pPr>
        <w:jc w:val="both"/>
        <w:rPr>
          <w:sz w:val="22"/>
          <w:szCs w:val="22"/>
          <w:u w:val="single"/>
        </w:rPr>
      </w:pPr>
      <w:r w:rsidRPr="00B768D1">
        <w:rPr>
          <w:sz w:val="22"/>
          <w:szCs w:val="22"/>
          <w:u w:val="single"/>
        </w:rPr>
        <w:t>Measure b(iii) suggested by the Committee:</w:t>
      </w:r>
    </w:p>
    <w:p w14:paraId="0B7B77E8" w14:textId="77777777" w:rsidR="00B768D1" w:rsidRDefault="00B768D1" w:rsidP="00B768D1">
      <w:pPr>
        <w:jc w:val="both"/>
      </w:pPr>
    </w:p>
    <w:p w14:paraId="79CC7A6E" w14:textId="42F60C2B" w:rsidR="00B768D1" w:rsidRDefault="00B768D1" w:rsidP="00B768D1">
      <w:pPr>
        <w:jc w:val="both"/>
        <w:rPr>
          <w:i/>
          <w:iCs/>
          <w:sz w:val="22"/>
          <w:szCs w:val="22"/>
        </w:rPr>
      </w:pPr>
      <w:r w:rsidRPr="00B768D1">
        <w:rPr>
          <w:i/>
          <w:iCs/>
          <w:sz w:val="22"/>
          <w:szCs w:val="22"/>
        </w:rPr>
        <w:t>Computer programs that facilitate data consultation and cross-checking of information whenever necessary for the purpose of fulfilling their function</w:t>
      </w:r>
      <w:r>
        <w:rPr>
          <w:i/>
          <w:iCs/>
          <w:sz w:val="22"/>
          <w:szCs w:val="22"/>
        </w:rPr>
        <w:t>s.</w:t>
      </w:r>
    </w:p>
    <w:p w14:paraId="79B3498A" w14:textId="77777777" w:rsidR="00B768D1" w:rsidRDefault="00B768D1" w:rsidP="00B768D1">
      <w:pPr>
        <w:jc w:val="both"/>
        <w:rPr>
          <w:i/>
          <w:iCs/>
          <w:sz w:val="22"/>
          <w:szCs w:val="22"/>
        </w:rPr>
      </w:pPr>
    </w:p>
    <w:p w14:paraId="574F01F0" w14:textId="759F744C" w:rsidR="00B768D1" w:rsidRDefault="00B768D1" w:rsidP="00635F9C">
      <w:pPr>
        <w:pStyle w:val="ListParagraph"/>
        <w:numPr>
          <w:ilvl w:val="0"/>
          <w:numId w:val="1"/>
        </w:numPr>
        <w:jc w:val="both"/>
      </w:pPr>
      <w:r w:rsidRPr="00CD74CD">
        <w:t xml:space="preserve">With respect to the </w:t>
      </w:r>
      <w:proofErr w:type="gramStart"/>
      <w:r w:rsidRPr="00CD74CD">
        <w:t>aforementioned measure</w:t>
      </w:r>
      <w:proofErr w:type="gramEnd"/>
      <w:r w:rsidRPr="00CD74CD">
        <w:t>, in its Response, the country under review presented information and new developments. In this regard, the Committee notes the following as steps that lead it to conclude said measure has been satisfactorily considered</w:t>
      </w:r>
      <w:r w:rsidRPr="00804DBA">
        <w:t>:</w:t>
      </w:r>
      <w:r w:rsidRPr="00804DBA">
        <w:rPr>
          <w:rStyle w:val="FootnoteReference"/>
        </w:rPr>
        <w:footnoteReference w:id="23"/>
      </w:r>
    </w:p>
    <w:p w14:paraId="5436B897" w14:textId="77777777" w:rsidR="00635F9C" w:rsidRDefault="00635F9C" w:rsidP="00B768D1">
      <w:pPr>
        <w:jc w:val="both"/>
      </w:pPr>
    </w:p>
    <w:p w14:paraId="759AFC3C" w14:textId="420B5025" w:rsidR="00807A14" w:rsidRDefault="008414DE" w:rsidP="00B768D1">
      <w:pPr>
        <w:pStyle w:val="ListParagraph"/>
        <w:numPr>
          <w:ilvl w:val="0"/>
          <w:numId w:val="1"/>
        </w:numPr>
        <w:jc w:val="both"/>
      </w:pPr>
      <w:r>
        <w:t xml:space="preserve">– </w:t>
      </w:r>
      <w:r w:rsidR="003F78BD">
        <w:t xml:space="preserve">The US government employs a purpose-built data collection and analysis platform that is used to examine information </w:t>
      </w:r>
      <w:r w:rsidR="000A0572">
        <w:t>and</w:t>
      </w:r>
      <w:r w:rsidR="003F78BD">
        <w:t xml:space="preserve"> patterns of suspicious activities that will determine if a case should be created for further follow up. </w:t>
      </w:r>
      <w:r w:rsidR="004B0735">
        <w:t xml:space="preserve">Sensitive but Unclassified Information, as well as Personally Identifiable Information </w:t>
      </w:r>
      <w:r w:rsidR="003F78BD">
        <w:t xml:space="preserve">is used in </w:t>
      </w:r>
      <w:r w:rsidR="00807A14">
        <w:t>an agent’s</w:t>
      </w:r>
      <w:r w:rsidR="003F78BD">
        <w:t xml:space="preserve"> analysis. </w:t>
      </w:r>
      <w:r w:rsidR="00807A14">
        <w:t>In this respect, a taxpayer’s Social Security Number</w:t>
      </w:r>
      <w:r w:rsidR="00B8647A">
        <w:t xml:space="preserve"> and</w:t>
      </w:r>
      <w:r w:rsidR="003F78BD">
        <w:t xml:space="preserve"> Contact Information (name, address, phone numbers, </w:t>
      </w:r>
      <w:r w:rsidR="00807A14">
        <w:t>date of birth</w:t>
      </w:r>
      <w:r w:rsidR="003F78BD">
        <w:t xml:space="preserve"> and IP addresse</w:t>
      </w:r>
      <w:r w:rsidR="00807A14">
        <w:t>s</w:t>
      </w:r>
      <w:r w:rsidR="000A0572">
        <w:t>)</w:t>
      </w:r>
      <w:r w:rsidR="003F78BD">
        <w:t xml:space="preserve"> are used to identify individuals directly and indirectly related to </w:t>
      </w:r>
      <w:r w:rsidR="00807A14">
        <w:t>an</w:t>
      </w:r>
      <w:r w:rsidR="003F78BD">
        <w:t xml:space="preserve"> investigation. Viewing Financial Account numbers, and Tax Account Information </w:t>
      </w:r>
      <w:r w:rsidR="00B7505E">
        <w:t>as well as</w:t>
      </w:r>
      <w:r w:rsidR="003F78BD">
        <w:t xml:space="preserve"> retrieving Passport Numbers</w:t>
      </w:r>
      <w:r w:rsidR="000A0572">
        <w:t xml:space="preserve"> </w:t>
      </w:r>
      <w:r w:rsidR="00F05F2D">
        <w:t>(</w:t>
      </w:r>
      <w:r w:rsidR="003F78BD">
        <w:t>to gather travel tendencies</w:t>
      </w:r>
      <w:r w:rsidR="00F05F2D">
        <w:t>)</w:t>
      </w:r>
      <w:r w:rsidR="000A0572">
        <w:t xml:space="preserve"> </w:t>
      </w:r>
      <w:r w:rsidR="003F78BD">
        <w:t xml:space="preserve">also helps in identifying fraud, ID theft or tax evasion. </w:t>
      </w:r>
    </w:p>
    <w:p w14:paraId="70447F66" w14:textId="77777777" w:rsidR="00807A14" w:rsidRDefault="00807A14" w:rsidP="00807A14">
      <w:pPr>
        <w:pStyle w:val="ListParagraph"/>
      </w:pPr>
    </w:p>
    <w:p w14:paraId="5A2B3ECD" w14:textId="13C253EE" w:rsidR="00166AD2" w:rsidRDefault="00807A14" w:rsidP="00166AD2">
      <w:pPr>
        <w:pStyle w:val="ListParagraph"/>
        <w:numPr>
          <w:ilvl w:val="0"/>
          <w:numId w:val="1"/>
        </w:numPr>
        <w:jc w:val="both"/>
      </w:pPr>
      <w:r>
        <w:lastRenderedPageBreak/>
        <w:t xml:space="preserve">The Committee further notes that the IRS has been </w:t>
      </w:r>
      <w:r w:rsidR="001E16E5">
        <w:t xml:space="preserve">modernizing its tax processing system. In this regard, </w:t>
      </w:r>
      <w:r w:rsidR="005D4AB5">
        <w:t>it currently uses an Individual Master File</w:t>
      </w:r>
      <w:r w:rsidR="00ED117C">
        <w:t xml:space="preserve"> system</w:t>
      </w:r>
      <w:r w:rsidR="005D4AB5">
        <w:t>,</w:t>
      </w:r>
      <w:r w:rsidR="002A256C">
        <w:rPr>
          <w:rStyle w:val="FootnoteReference"/>
        </w:rPr>
        <w:footnoteReference w:id="24"/>
      </w:r>
      <w:r w:rsidR="005D4AB5">
        <w:t xml:space="preserve"> </w:t>
      </w:r>
      <w:r w:rsidR="002A256C">
        <w:t xml:space="preserve">for individual taxpayers, </w:t>
      </w:r>
      <w:r w:rsidR="005D4AB5">
        <w:t xml:space="preserve">which </w:t>
      </w:r>
      <w:r w:rsidR="00ED117C">
        <w:t xml:space="preserve">is being replaced by the Customer Account Data Engine 2 (CADE 2). </w:t>
      </w:r>
      <w:r w:rsidR="00166AD2">
        <w:t xml:space="preserve">CADE 2 is the IRS’ modernized core tax processing system that provides daily processing of taxpayer accounts to enable faster processing of tax refunds and more efficient operations, and improved fraud detection, as well as leverages modern-day database technology, programming languages and principles to determine refunds, </w:t>
      </w:r>
      <w:proofErr w:type="gramStart"/>
      <w:r w:rsidR="00166AD2">
        <w:t>penalty</w:t>
      </w:r>
      <w:proofErr w:type="gramEnd"/>
      <w:r w:rsidR="00166AD2">
        <w:t xml:space="preserve"> and interest calculations, monitor compliance, and track historical data for individual taxpayer accounts.</w:t>
      </w:r>
      <w:r w:rsidR="00166AD2">
        <w:rPr>
          <w:rStyle w:val="FootnoteReference"/>
        </w:rPr>
        <w:footnoteReference w:id="25"/>
      </w:r>
      <w:r w:rsidR="00166AD2">
        <w:t xml:space="preserve"> </w:t>
      </w:r>
    </w:p>
    <w:p w14:paraId="0FEBFC9A" w14:textId="77777777" w:rsidR="00166AD2" w:rsidRDefault="00166AD2" w:rsidP="00D6627D">
      <w:pPr>
        <w:pStyle w:val="ListParagraph"/>
        <w:ind w:left="10"/>
        <w:jc w:val="both"/>
      </w:pPr>
    </w:p>
    <w:p w14:paraId="59C6340C" w14:textId="06FD98CF" w:rsidR="00195575" w:rsidRDefault="00166AD2" w:rsidP="001653C6">
      <w:pPr>
        <w:pStyle w:val="ListParagraph"/>
        <w:numPr>
          <w:ilvl w:val="0"/>
          <w:numId w:val="1"/>
        </w:numPr>
        <w:jc w:val="both"/>
      </w:pPr>
      <w:r w:rsidRPr="00D6627D">
        <w:t xml:space="preserve">In addition, the Committee observes that the country under review is utilizing data and analytics to address potential fraud and protect </w:t>
      </w:r>
      <w:r w:rsidR="00D6627D" w:rsidRPr="00D6627D">
        <w:t>taxpayer data and IRS systems.</w:t>
      </w:r>
      <w:r w:rsidR="00D6627D">
        <w:rPr>
          <w:rStyle w:val="FootnoteReference"/>
        </w:rPr>
        <w:footnoteReference w:id="26"/>
      </w:r>
      <w:r w:rsidRPr="00D6627D">
        <w:t xml:space="preserve"> </w:t>
      </w:r>
      <w:r w:rsidR="00D6627D">
        <w:t>In this respect, the Return Review Program for Fraud Detection uses cutting-edge machine-learning technologies to detect, resolve, and prevent criminal and civil tax refund fraud and noncompliance. As a result, since the Return Review Program began in 2015, it has systemically detected almost $13 billion dollars of pre-refund fraud.</w:t>
      </w:r>
      <w:r w:rsidR="00D6627D">
        <w:rPr>
          <w:rStyle w:val="FootnoteReference"/>
        </w:rPr>
        <w:footnoteReference w:id="27"/>
      </w:r>
      <w:r w:rsidR="00195575">
        <w:t xml:space="preserve"> </w:t>
      </w:r>
    </w:p>
    <w:p w14:paraId="55CB7B63" w14:textId="77777777" w:rsidR="00807A14" w:rsidRDefault="00807A14" w:rsidP="00807A14">
      <w:pPr>
        <w:pStyle w:val="ListParagraph"/>
      </w:pPr>
    </w:p>
    <w:p w14:paraId="3EC822D0" w14:textId="1D25C9A4" w:rsidR="003F78BD" w:rsidRDefault="00D6627D" w:rsidP="00B768D1">
      <w:pPr>
        <w:pStyle w:val="ListParagraph"/>
        <w:numPr>
          <w:ilvl w:val="0"/>
          <w:numId w:val="1"/>
        </w:numPr>
        <w:jc w:val="both"/>
      </w:pPr>
      <w:r>
        <w:t>The Committee further notes that Part 2 of the IRM specifically addresses the use of Information Technology.</w:t>
      </w:r>
      <w:r>
        <w:rPr>
          <w:rStyle w:val="FootnoteReference"/>
        </w:rPr>
        <w:footnoteReference w:id="28"/>
      </w:r>
    </w:p>
    <w:p w14:paraId="79D85934" w14:textId="77777777" w:rsidR="00D6627D" w:rsidRDefault="00D6627D" w:rsidP="00D6627D">
      <w:pPr>
        <w:pStyle w:val="ListParagraph"/>
      </w:pPr>
    </w:p>
    <w:p w14:paraId="4A0D4042" w14:textId="15209309" w:rsidR="00D6627D" w:rsidRPr="00D6627D" w:rsidRDefault="00D6627D" w:rsidP="00D6627D">
      <w:pPr>
        <w:pStyle w:val="ListParagraph"/>
        <w:numPr>
          <w:ilvl w:val="0"/>
          <w:numId w:val="1"/>
        </w:numPr>
        <w:jc w:val="both"/>
        <w:rPr>
          <w:rFonts w:eastAsia="Times New Roman"/>
        </w:rPr>
      </w:pPr>
      <w:r w:rsidRPr="00B768D1">
        <w:t>In view of the above, the Committee takes note of the satisfactory consideration by the country under review of measure (b)(ii</w:t>
      </w:r>
      <w:r>
        <w:t>i</w:t>
      </w:r>
      <w:r w:rsidRPr="00B768D1">
        <w:t>).</w:t>
      </w:r>
    </w:p>
    <w:p w14:paraId="0C7E06E6" w14:textId="77777777" w:rsidR="00D6627D" w:rsidRPr="00D6627D" w:rsidRDefault="00D6627D" w:rsidP="00D6627D">
      <w:pPr>
        <w:pStyle w:val="ListParagraph"/>
        <w:rPr>
          <w:rFonts w:eastAsia="Times New Roman"/>
        </w:rPr>
      </w:pPr>
    </w:p>
    <w:p w14:paraId="2C2BB767" w14:textId="77777777" w:rsidR="00C6770B" w:rsidRPr="00804DBA" w:rsidRDefault="00C6770B" w:rsidP="00C6770B">
      <w:pPr>
        <w:ind w:right="35"/>
        <w:jc w:val="both"/>
        <w:rPr>
          <w:sz w:val="22"/>
          <w:szCs w:val="22"/>
          <w:u w:val="single"/>
        </w:rPr>
      </w:pPr>
      <w:r w:rsidRPr="00804DBA">
        <w:rPr>
          <w:sz w:val="22"/>
          <w:szCs w:val="22"/>
          <w:u w:val="single"/>
        </w:rPr>
        <w:t>Measure (b)</w:t>
      </w:r>
    </w:p>
    <w:p w14:paraId="2427BD4A" w14:textId="77777777" w:rsidR="00C6770B" w:rsidRPr="00804DBA" w:rsidRDefault="00C6770B" w:rsidP="00C6770B">
      <w:pPr>
        <w:jc w:val="both"/>
        <w:rPr>
          <w:i/>
          <w:iCs/>
          <w:sz w:val="22"/>
          <w:szCs w:val="22"/>
        </w:rPr>
      </w:pPr>
    </w:p>
    <w:p w14:paraId="43F47E08" w14:textId="77777777" w:rsidR="00C6770B" w:rsidRDefault="00C6770B" w:rsidP="00C6770B">
      <w:pPr>
        <w:jc w:val="both"/>
        <w:rPr>
          <w:i/>
          <w:iCs/>
          <w:sz w:val="22"/>
          <w:szCs w:val="22"/>
        </w:rPr>
      </w:pPr>
      <w:r w:rsidRPr="00110FD8">
        <w:rPr>
          <w:i/>
          <w:iCs/>
          <w:sz w:val="22"/>
          <w:szCs w:val="22"/>
        </w:rPr>
        <w:t xml:space="preserve">Continue to use, and consider the adoption of any measures deemed appropriate to make it easier for the appropriate authorities to detect sums paid for acts of corruption </w:t>
      </w:r>
      <w:proofErr w:type="gramStart"/>
      <w:r w:rsidRPr="00110FD8">
        <w:rPr>
          <w:i/>
          <w:iCs/>
          <w:sz w:val="22"/>
          <w:szCs w:val="22"/>
        </w:rPr>
        <w:t>in the event that</w:t>
      </w:r>
      <w:proofErr w:type="gramEnd"/>
      <w:r w:rsidRPr="00110FD8">
        <w:rPr>
          <w:i/>
          <w:iCs/>
          <w:sz w:val="22"/>
          <w:szCs w:val="22"/>
        </w:rPr>
        <w:t xml:space="preserve"> they are being used as grounds for obtaining such treatment, such as the following</w:t>
      </w:r>
      <w:r w:rsidRPr="00804DBA">
        <w:rPr>
          <w:i/>
          <w:iCs/>
          <w:sz w:val="22"/>
          <w:szCs w:val="22"/>
        </w:rPr>
        <w:t>:</w:t>
      </w:r>
    </w:p>
    <w:p w14:paraId="6402CFCE" w14:textId="77777777" w:rsidR="00C6770B" w:rsidRDefault="00C6770B" w:rsidP="00C6770B">
      <w:pPr>
        <w:jc w:val="both"/>
        <w:rPr>
          <w:i/>
          <w:iCs/>
          <w:sz w:val="22"/>
          <w:szCs w:val="22"/>
        </w:rPr>
      </w:pPr>
    </w:p>
    <w:p w14:paraId="33B9D219" w14:textId="1593D944" w:rsidR="00D6627D" w:rsidRPr="00B768D1" w:rsidRDefault="00D6627D" w:rsidP="00C6770B">
      <w:pPr>
        <w:jc w:val="both"/>
        <w:rPr>
          <w:sz w:val="22"/>
          <w:szCs w:val="22"/>
          <w:u w:val="single"/>
        </w:rPr>
      </w:pPr>
      <w:r w:rsidRPr="00B768D1">
        <w:rPr>
          <w:sz w:val="22"/>
          <w:szCs w:val="22"/>
          <w:u w:val="single"/>
        </w:rPr>
        <w:t>Measure b(i</w:t>
      </w:r>
      <w:r>
        <w:rPr>
          <w:sz w:val="22"/>
          <w:szCs w:val="22"/>
          <w:u w:val="single"/>
        </w:rPr>
        <w:t>v</w:t>
      </w:r>
      <w:r w:rsidRPr="00B768D1">
        <w:rPr>
          <w:sz w:val="22"/>
          <w:szCs w:val="22"/>
          <w:u w:val="single"/>
        </w:rPr>
        <w:t>) suggested by the Committee:</w:t>
      </w:r>
    </w:p>
    <w:p w14:paraId="579BBBBC" w14:textId="77777777" w:rsidR="00D6627D" w:rsidRDefault="00D6627D" w:rsidP="00D6627D">
      <w:pPr>
        <w:jc w:val="both"/>
      </w:pPr>
    </w:p>
    <w:p w14:paraId="3F36D9E2" w14:textId="7EC8B63F" w:rsidR="00D6627D" w:rsidRDefault="00D6627D" w:rsidP="00D6627D">
      <w:pPr>
        <w:jc w:val="both"/>
        <w:rPr>
          <w:i/>
          <w:iCs/>
          <w:sz w:val="22"/>
          <w:szCs w:val="22"/>
        </w:rPr>
      </w:pPr>
      <w:r w:rsidRPr="00D6627D">
        <w:rPr>
          <w:i/>
          <w:iCs/>
          <w:sz w:val="22"/>
          <w:szCs w:val="22"/>
        </w:rPr>
        <w:t>Institutional coordination mechanisms that will provide the timely collaboration needed from other authorities, on such aspects as certifying the authenticity of the documents in support of the application of favorable tax treatment</w:t>
      </w:r>
      <w:r>
        <w:rPr>
          <w:i/>
          <w:iCs/>
          <w:sz w:val="22"/>
          <w:szCs w:val="22"/>
        </w:rPr>
        <w:t>.</w:t>
      </w:r>
    </w:p>
    <w:p w14:paraId="49D5A3D5" w14:textId="77777777" w:rsidR="00D6627D" w:rsidRDefault="00D6627D" w:rsidP="00D6627D">
      <w:pPr>
        <w:jc w:val="both"/>
        <w:rPr>
          <w:i/>
          <w:iCs/>
          <w:sz w:val="22"/>
          <w:szCs w:val="22"/>
        </w:rPr>
      </w:pPr>
    </w:p>
    <w:p w14:paraId="6C82DAD8" w14:textId="02D68E7F" w:rsidR="00D6627D" w:rsidRPr="00D6627D" w:rsidRDefault="00D6627D" w:rsidP="00D6627D">
      <w:pPr>
        <w:pStyle w:val="ListParagraph"/>
        <w:numPr>
          <w:ilvl w:val="0"/>
          <w:numId w:val="1"/>
        </w:numPr>
        <w:jc w:val="both"/>
        <w:rPr>
          <w:rFonts w:eastAsia="Times New Roman"/>
        </w:rPr>
      </w:pPr>
      <w:r w:rsidRPr="00CD74CD">
        <w:t xml:space="preserve">With respect to the </w:t>
      </w:r>
      <w:proofErr w:type="gramStart"/>
      <w:r w:rsidRPr="00CD74CD">
        <w:t>aforementioned measure</w:t>
      </w:r>
      <w:proofErr w:type="gramEnd"/>
      <w:r w:rsidRPr="00CD74CD">
        <w:t>, in its Response, the country under review presented information and new developments. In this regard, the Committee notes the following as steps that lead it to conclude said measure has been satisfactorily considered</w:t>
      </w:r>
      <w:r w:rsidRPr="00804DBA">
        <w:t>:</w:t>
      </w:r>
      <w:r w:rsidRPr="00804DBA">
        <w:rPr>
          <w:rStyle w:val="FootnoteReference"/>
        </w:rPr>
        <w:footnoteReference w:id="29"/>
      </w:r>
    </w:p>
    <w:p w14:paraId="413E2628" w14:textId="77777777" w:rsidR="00D6627D" w:rsidRDefault="00D6627D" w:rsidP="00D6627D">
      <w:pPr>
        <w:pStyle w:val="ListParagraph"/>
        <w:ind w:left="10"/>
        <w:jc w:val="both"/>
      </w:pPr>
    </w:p>
    <w:p w14:paraId="2D35B41D" w14:textId="77BD8023" w:rsidR="005A46F6" w:rsidRPr="005A46F6" w:rsidRDefault="005A46F6" w:rsidP="005A46F6">
      <w:pPr>
        <w:pStyle w:val="ListParagraph"/>
        <w:numPr>
          <w:ilvl w:val="0"/>
          <w:numId w:val="1"/>
        </w:numPr>
        <w:jc w:val="both"/>
        <w:rPr>
          <w:rFonts w:eastAsia="Times New Roman"/>
        </w:rPr>
      </w:pPr>
      <w:r>
        <w:t xml:space="preserve">– The Criminal Investigation Division of the </w:t>
      </w:r>
      <w:r w:rsidR="00D6627D">
        <w:t>IRS</w:t>
      </w:r>
      <w:r>
        <w:t xml:space="preserve"> (IRS–CI) </w:t>
      </w:r>
      <w:r w:rsidR="00D6627D">
        <w:t>investigates potential criminal violations of the Internal Revenue Code and related financial crimes, such as fraud and money laundering</w:t>
      </w:r>
      <w:r>
        <w:t xml:space="preserve">, </w:t>
      </w:r>
      <w:r>
        <w:lastRenderedPageBreak/>
        <w:t xml:space="preserve">and it is the </w:t>
      </w:r>
      <w:r w:rsidR="00D6627D">
        <w:t xml:space="preserve">only federal agency that has statutory authority to investigate criminal violations of the </w:t>
      </w:r>
      <w:r>
        <w:t>Code</w:t>
      </w:r>
      <w:r w:rsidR="00D6627D">
        <w:t xml:space="preserve">, and to refer these cases for prosecution. IRS-CI receives suspicions of foreign bribery following tax audits, </w:t>
      </w:r>
      <w:r>
        <w:t>as well as</w:t>
      </w:r>
      <w:r w:rsidR="00D6627D">
        <w:t xml:space="preserve"> detected suspicions of foreign bribery in the context of criminal investigations. </w:t>
      </w:r>
      <w:r>
        <w:t>The country under review further notes:</w:t>
      </w:r>
      <w:r>
        <w:rPr>
          <w:rStyle w:val="FootnoteReference"/>
        </w:rPr>
        <w:footnoteReference w:id="30"/>
      </w:r>
    </w:p>
    <w:p w14:paraId="004B8F7C" w14:textId="77777777" w:rsidR="005A46F6" w:rsidRDefault="005A46F6" w:rsidP="005A46F6">
      <w:pPr>
        <w:pStyle w:val="ListParagraph"/>
      </w:pPr>
    </w:p>
    <w:p w14:paraId="3319B978" w14:textId="4FDD3526" w:rsidR="00D6627D" w:rsidRPr="00143C95" w:rsidRDefault="005A46F6" w:rsidP="005A46F6">
      <w:pPr>
        <w:pStyle w:val="ListParagraph"/>
        <w:numPr>
          <w:ilvl w:val="0"/>
          <w:numId w:val="1"/>
        </w:numPr>
        <w:jc w:val="both"/>
        <w:rPr>
          <w:rFonts w:eastAsia="Times New Roman"/>
        </w:rPr>
      </w:pPr>
      <w:r>
        <w:t>“</w:t>
      </w:r>
      <w:r w:rsidR="00D6627D" w:rsidRPr="00253B4E">
        <w:rPr>
          <w:i/>
          <w:iCs/>
        </w:rPr>
        <w:t>Once IRS-CI has opened an investigation, it is authorized to request permission to expand the investigation to other non-tax criminal violations arising out of the same facts and circumstances and request assistance from other law enforcement agencies that have jurisdiction to pursue those crimes. IRS-CI has a long history of cooperating with other U.S. law enforcement agencies on corruption-related matters. Between January 2013 and July 2019, the Department of Justice (DOJ) or the Securities and Exchange Commission (SEC) – which are responsible for enforcement of foreign bribery laws - have acknowledged assistance provided by the IRS-CI in at least 14 FCPA-related cases. The Internal Revenue Manual (IRM) also contains detailed guidance to IRS-CI investigators on how to request information from other sources, including other U.S. federal agencies. See IRM 9.4.4</w:t>
      </w:r>
      <w:r w:rsidR="00253B4E" w:rsidRPr="00253B4E">
        <w:rPr>
          <w:i/>
          <w:iCs/>
        </w:rPr>
        <w:t>.</w:t>
      </w:r>
      <w:r w:rsidR="00253B4E">
        <w:t>”</w:t>
      </w:r>
    </w:p>
    <w:p w14:paraId="1A50BEEE" w14:textId="77777777" w:rsidR="00143C95" w:rsidRPr="00143C95" w:rsidRDefault="00143C95" w:rsidP="00143C95">
      <w:pPr>
        <w:pStyle w:val="ListParagraph"/>
        <w:rPr>
          <w:rFonts w:eastAsia="Times New Roman"/>
        </w:rPr>
      </w:pPr>
    </w:p>
    <w:p w14:paraId="0AB917F2" w14:textId="2EFD3F8E" w:rsidR="00D6627D" w:rsidRDefault="00143C95" w:rsidP="004666A6">
      <w:pPr>
        <w:pStyle w:val="ListParagraph"/>
        <w:numPr>
          <w:ilvl w:val="0"/>
          <w:numId w:val="1"/>
        </w:numPr>
        <w:jc w:val="both"/>
      </w:pPr>
      <w:r w:rsidRPr="00E6104E">
        <w:t>The Committee further observes, as set out in the consideration of measure b(ii),</w:t>
      </w:r>
      <w:r w:rsidR="00E6104E">
        <w:t xml:space="preserve"> Part 9, Chapter 4, Section 4 of the IRM provides for the procedures or mechanisms for requesting information from government entities, foreign countries, as well as that from financial institutions.</w:t>
      </w:r>
      <w:r w:rsidR="00E6104E">
        <w:rPr>
          <w:rStyle w:val="FootnoteReference"/>
        </w:rPr>
        <w:footnoteReference w:id="31"/>
      </w:r>
      <w:r w:rsidR="00E6104E">
        <w:t xml:space="preserve"> </w:t>
      </w:r>
      <w:r>
        <w:t xml:space="preserve"> </w:t>
      </w:r>
      <w:r w:rsidR="00E6104E">
        <w:t xml:space="preserve">For example, </w:t>
      </w:r>
      <w:r w:rsidR="00DF7FD1">
        <w:t>it sets out the mechanisms for soliciting information from the Social Security Administration; the Department of Labor; the State Department;</w:t>
      </w:r>
      <w:r w:rsidR="008F2DDE">
        <w:t xml:space="preserve"> </w:t>
      </w:r>
      <w:r w:rsidR="00DF7FD1">
        <w:t>the Securities and Exchange Commission; the Department of Transportation; and the Financial Crimes Enforcement Network, among others</w:t>
      </w:r>
      <w:r w:rsidR="008F2DDE">
        <w:t>.</w:t>
      </w:r>
    </w:p>
    <w:p w14:paraId="7DC8847F" w14:textId="77777777" w:rsidR="008F2DDE" w:rsidRDefault="008F2DDE" w:rsidP="008F2DDE">
      <w:pPr>
        <w:pStyle w:val="ListParagraph"/>
      </w:pPr>
    </w:p>
    <w:p w14:paraId="3056675F" w14:textId="244079AA" w:rsidR="008F2DDE" w:rsidRDefault="008F2DDE" w:rsidP="004666A6">
      <w:pPr>
        <w:pStyle w:val="ListParagraph"/>
        <w:numPr>
          <w:ilvl w:val="0"/>
          <w:numId w:val="1"/>
        </w:numPr>
        <w:jc w:val="both"/>
      </w:pPr>
      <w:r w:rsidRPr="00B768D1">
        <w:t>In view of the above, the Committee takes note of the satisfactory consideration by the country under review of measure (b)(i</w:t>
      </w:r>
      <w:r>
        <w:t>v</w:t>
      </w:r>
      <w:r w:rsidRPr="00B768D1">
        <w:t>).</w:t>
      </w:r>
    </w:p>
    <w:p w14:paraId="3F40E744" w14:textId="77777777" w:rsidR="008F2DDE" w:rsidRDefault="008F2DDE" w:rsidP="008F2DDE">
      <w:pPr>
        <w:pStyle w:val="ListParagraph"/>
      </w:pPr>
    </w:p>
    <w:p w14:paraId="5AEB0453" w14:textId="77777777" w:rsidR="00C6770B" w:rsidRPr="00804DBA" w:rsidRDefault="00C6770B" w:rsidP="00C6770B">
      <w:pPr>
        <w:ind w:right="35"/>
        <w:jc w:val="both"/>
        <w:rPr>
          <w:sz w:val="22"/>
          <w:szCs w:val="22"/>
          <w:u w:val="single"/>
        </w:rPr>
      </w:pPr>
      <w:r w:rsidRPr="00804DBA">
        <w:rPr>
          <w:sz w:val="22"/>
          <w:szCs w:val="22"/>
          <w:u w:val="single"/>
        </w:rPr>
        <w:t>Measure (b)</w:t>
      </w:r>
    </w:p>
    <w:p w14:paraId="0511D2FA" w14:textId="77777777" w:rsidR="00C6770B" w:rsidRPr="00804DBA" w:rsidRDefault="00C6770B" w:rsidP="00C6770B">
      <w:pPr>
        <w:jc w:val="both"/>
        <w:rPr>
          <w:i/>
          <w:iCs/>
          <w:sz w:val="22"/>
          <w:szCs w:val="22"/>
        </w:rPr>
      </w:pPr>
    </w:p>
    <w:p w14:paraId="67C61A55" w14:textId="77777777" w:rsidR="00C6770B" w:rsidRDefault="00C6770B" w:rsidP="00C6770B">
      <w:pPr>
        <w:pStyle w:val="ListParagraph"/>
        <w:ind w:left="10"/>
        <w:jc w:val="both"/>
        <w:rPr>
          <w:i/>
          <w:iCs/>
        </w:rPr>
      </w:pPr>
      <w:r w:rsidRPr="00110FD8">
        <w:rPr>
          <w:i/>
          <w:iCs/>
        </w:rPr>
        <w:t xml:space="preserve">Continue to use, and consider the adoption of any measures deemed appropriate to make it easier for the appropriate authorities to detect sums paid for acts of corruption </w:t>
      </w:r>
      <w:proofErr w:type="gramStart"/>
      <w:r w:rsidRPr="00110FD8">
        <w:rPr>
          <w:i/>
          <w:iCs/>
        </w:rPr>
        <w:t>in the event that</w:t>
      </w:r>
      <w:proofErr w:type="gramEnd"/>
      <w:r w:rsidRPr="00110FD8">
        <w:rPr>
          <w:i/>
          <w:iCs/>
        </w:rPr>
        <w:t xml:space="preserve"> they are being used as grounds for obtaining such treatment, such as the following</w:t>
      </w:r>
      <w:r w:rsidRPr="00804DBA">
        <w:rPr>
          <w:i/>
          <w:iCs/>
        </w:rPr>
        <w:t>:</w:t>
      </w:r>
    </w:p>
    <w:p w14:paraId="66CC8EF4" w14:textId="77777777" w:rsidR="00C6770B" w:rsidRDefault="00C6770B" w:rsidP="00C6770B">
      <w:pPr>
        <w:pStyle w:val="ListParagraph"/>
        <w:ind w:left="10"/>
        <w:jc w:val="both"/>
        <w:rPr>
          <w:i/>
          <w:iCs/>
        </w:rPr>
      </w:pPr>
    </w:p>
    <w:p w14:paraId="7E2DD492" w14:textId="35ED2C62" w:rsidR="008F2DDE" w:rsidRDefault="008F2DDE" w:rsidP="00C6770B">
      <w:pPr>
        <w:pStyle w:val="ListParagraph"/>
        <w:ind w:left="10"/>
        <w:jc w:val="both"/>
        <w:rPr>
          <w:u w:val="single"/>
        </w:rPr>
      </w:pPr>
      <w:r w:rsidRPr="008F2DDE">
        <w:rPr>
          <w:u w:val="single"/>
        </w:rPr>
        <w:t>Measure b(v) suggested by the Committee:</w:t>
      </w:r>
    </w:p>
    <w:p w14:paraId="46C9CB0E" w14:textId="77777777" w:rsidR="008F2DDE" w:rsidRDefault="008F2DDE" w:rsidP="008F2DDE">
      <w:pPr>
        <w:pStyle w:val="ListParagraph"/>
        <w:ind w:left="10"/>
        <w:jc w:val="both"/>
        <w:rPr>
          <w:u w:val="single"/>
        </w:rPr>
      </w:pPr>
    </w:p>
    <w:p w14:paraId="2B44297F" w14:textId="378496BB" w:rsidR="008F2DDE" w:rsidRDefault="008F2DDE" w:rsidP="008F2DDE">
      <w:pPr>
        <w:jc w:val="both"/>
        <w:rPr>
          <w:i/>
          <w:iCs/>
          <w:sz w:val="22"/>
          <w:szCs w:val="22"/>
        </w:rPr>
      </w:pPr>
      <w:r w:rsidRPr="008F2DDE">
        <w:rPr>
          <w:i/>
          <w:iCs/>
          <w:sz w:val="22"/>
          <w:szCs w:val="22"/>
        </w:rPr>
        <w:t>Training programs designed specifically to alert officials to the methods used to disguise payments for corruption and to instruct them in ways of detecting such payments in the applications</w:t>
      </w:r>
      <w:r>
        <w:rPr>
          <w:i/>
          <w:iCs/>
          <w:sz w:val="22"/>
          <w:szCs w:val="22"/>
        </w:rPr>
        <w:t>.</w:t>
      </w:r>
    </w:p>
    <w:p w14:paraId="6A85AE2C" w14:textId="77777777" w:rsidR="008F2DDE" w:rsidRDefault="008F2DDE" w:rsidP="008F2DDE">
      <w:pPr>
        <w:jc w:val="both"/>
        <w:rPr>
          <w:i/>
          <w:iCs/>
          <w:sz w:val="22"/>
          <w:szCs w:val="22"/>
        </w:rPr>
      </w:pPr>
    </w:p>
    <w:p w14:paraId="7F5EE26B" w14:textId="22926475" w:rsidR="008F2DDE" w:rsidRDefault="008F2DDE" w:rsidP="0032785D">
      <w:pPr>
        <w:pStyle w:val="ListParagraph"/>
        <w:numPr>
          <w:ilvl w:val="0"/>
          <w:numId w:val="1"/>
        </w:numPr>
        <w:jc w:val="both"/>
      </w:pPr>
      <w:r w:rsidRPr="0032785D">
        <w:t xml:space="preserve">With respect to the </w:t>
      </w:r>
      <w:proofErr w:type="gramStart"/>
      <w:r w:rsidRPr="0032785D">
        <w:t>aforementioned measure</w:t>
      </w:r>
      <w:proofErr w:type="gramEnd"/>
      <w:r w:rsidRPr="0032785D">
        <w:t>, in its Response, the country under review presents information and new developments</w:t>
      </w:r>
      <w:r w:rsidRPr="00963C76">
        <w:t>, which the Committee notes as a step that contributes to progress in the implementation of the measure</w:t>
      </w:r>
      <w:r>
        <w:t>:</w:t>
      </w:r>
      <w:r w:rsidRPr="00804DBA">
        <w:rPr>
          <w:rStyle w:val="FootnoteReference"/>
        </w:rPr>
        <w:footnoteReference w:id="32"/>
      </w:r>
    </w:p>
    <w:p w14:paraId="52FAA950" w14:textId="77777777" w:rsidR="0032785D" w:rsidRDefault="0032785D" w:rsidP="008F2DDE">
      <w:pPr>
        <w:jc w:val="both"/>
        <w:rPr>
          <w:sz w:val="22"/>
          <w:szCs w:val="22"/>
        </w:rPr>
      </w:pPr>
    </w:p>
    <w:p w14:paraId="64591FA0" w14:textId="11123E03" w:rsidR="0032785D" w:rsidRDefault="0032785D" w:rsidP="0032785D">
      <w:pPr>
        <w:pStyle w:val="ListParagraph"/>
        <w:numPr>
          <w:ilvl w:val="0"/>
          <w:numId w:val="1"/>
        </w:numPr>
        <w:jc w:val="both"/>
      </w:pPr>
      <w:r>
        <w:t xml:space="preserve">– The </w:t>
      </w:r>
      <w:r w:rsidRPr="0032785D">
        <w:t xml:space="preserve">National Criminal Investigation Training Academy (NCITA) is responsible for conducting, developing, and staffing international, overseas, and/or foreign training. </w:t>
      </w:r>
      <w:r>
        <w:t>The country under review further notes:</w:t>
      </w:r>
      <w:r>
        <w:rPr>
          <w:rStyle w:val="FootnoteReference"/>
        </w:rPr>
        <w:footnoteReference w:id="33"/>
      </w:r>
      <w:r>
        <w:t xml:space="preserve"> </w:t>
      </w:r>
    </w:p>
    <w:p w14:paraId="4A1F322A" w14:textId="77777777" w:rsidR="0032785D" w:rsidRDefault="0032785D" w:rsidP="0032785D">
      <w:pPr>
        <w:pStyle w:val="ListParagraph"/>
      </w:pPr>
    </w:p>
    <w:p w14:paraId="1CAB1A2C" w14:textId="16E5D4F8" w:rsidR="0032785D" w:rsidRDefault="0032785D" w:rsidP="0032785D">
      <w:pPr>
        <w:pStyle w:val="ListParagraph"/>
        <w:numPr>
          <w:ilvl w:val="0"/>
          <w:numId w:val="1"/>
        </w:numPr>
        <w:jc w:val="both"/>
      </w:pPr>
      <w:r>
        <w:t>“</w:t>
      </w:r>
      <w:r w:rsidRPr="0032785D">
        <w:rPr>
          <w:i/>
          <w:iCs/>
        </w:rPr>
        <w:t xml:space="preserve">The NCITA International Training Team is used for international teaching assignments. When this is not possible, certified instructors from the NCITA staff will be requested through management </w:t>
      </w:r>
      <w:r w:rsidRPr="0032785D">
        <w:rPr>
          <w:i/>
          <w:iCs/>
        </w:rPr>
        <w:lastRenderedPageBreak/>
        <w:t xml:space="preserve">channels for these international teaching assignments. If certified instructors from NCITA are not available, certified instructors from CI </w:t>
      </w:r>
      <w:r w:rsidR="00497315">
        <w:t xml:space="preserve">[Criminal Investigation] </w:t>
      </w:r>
      <w:r w:rsidRPr="0032785D">
        <w:rPr>
          <w:i/>
          <w:iCs/>
        </w:rPr>
        <w:t>field offices will be requested through management channels for these international teaching assignments.  The NCITA International Training Team maintains a list of certified instructors, pre-approved by CI field office management, for international teaching assignments. The selection of these certified instructors is at the discretion of the Director</w:t>
      </w:r>
      <w:r w:rsidRPr="0032785D">
        <w:t>.</w:t>
      </w:r>
      <w:r>
        <w:t>”</w:t>
      </w:r>
    </w:p>
    <w:p w14:paraId="427BEF0A" w14:textId="77777777" w:rsidR="0032785D" w:rsidRDefault="0032785D" w:rsidP="0032785D">
      <w:pPr>
        <w:pStyle w:val="ListParagraph"/>
      </w:pPr>
    </w:p>
    <w:p w14:paraId="5B5AB91A" w14:textId="0D67C0F0" w:rsidR="0032785D" w:rsidRDefault="0032785D" w:rsidP="0032785D">
      <w:pPr>
        <w:pStyle w:val="ListParagraph"/>
        <w:numPr>
          <w:ilvl w:val="0"/>
          <w:numId w:val="1"/>
        </w:numPr>
        <w:jc w:val="both"/>
      </w:pPr>
      <w:r>
        <w:t>The country under review also note</w:t>
      </w:r>
      <w:r w:rsidR="00497315">
        <w:t xml:space="preserve">d during the on-site visit that the training covers issues of public corruption, money </w:t>
      </w:r>
      <w:r w:rsidR="00904756">
        <w:t>laundering</w:t>
      </w:r>
      <w:r w:rsidR="00497315">
        <w:t>, as well as international tax law.</w:t>
      </w:r>
    </w:p>
    <w:p w14:paraId="7071B9E0" w14:textId="77777777" w:rsidR="008976B9" w:rsidRDefault="008976B9" w:rsidP="008976B9">
      <w:pPr>
        <w:pStyle w:val="ListParagraph"/>
      </w:pPr>
    </w:p>
    <w:p w14:paraId="69BB27D8" w14:textId="7FE4EFDF" w:rsidR="008976B9" w:rsidRDefault="008976B9" w:rsidP="008976B9">
      <w:pPr>
        <w:pStyle w:val="ListParagraph"/>
        <w:numPr>
          <w:ilvl w:val="0"/>
          <w:numId w:val="1"/>
        </w:numPr>
        <w:jc w:val="both"/>
      </w:pPr>
      <w:r>
        <w:t>The Committee further notes that the NCITA is also responsible for</w:t>
      </w:r>
      <w:r w:rsidRPr="008976B9">
        <w:t xml:space="preserve"> developing and monitoring formalized training programs and on-the-job training, and for scheduling and conducting training, </w:t>
      </w:r>
      <w:r>
        <w:t>for</w:t>
      </w:r>
      <w:r w:rsidRPr="008976B9">
        <w:t xml:space="preserve"> </w:t>
      </w:r>
      <w:r>
        <w:t>the preparation of</w:t>
      </w:r>
      <w:r w:rsidRPr="008976B9">
        <w:t xml:space="preserve"> </w:t>
      </w:r>
      <w:r w:rsidR="00726289">
        <w:t xml:space="preserve">IRS </w:t>
      </w:r>
      <w:r w:rsidRPr="008976B9">
        <w:t>Criminal Investigation employees for their positions.</w:t>
      </w:r>
      <w:r>
        <w:rPr>
          <w:rStyle w:val="FootnoteReference"/>
        </w:rPr>
        <w:footnoteReference w:id="34"/>
      </w:r>
    </w:p>
    <w:p w14:paraId="03286BD1" w14:textId="77777777" w:rsidR="008976B9" w:rsidRDefault="008976B9" w:rsidP="008976B9">
      <w:pPr>
        <w:pStyle w:val="ListParagraph"/>
      </w:pPr>
    </w:p>
    <w:p w14:paraId="281926BF" w14:textId="2C6DA0E3" w:rsidR="00F11E9C" w:rsidRDefault="008976B9" w:rsidP="00F11E9C">
      <w:pPr>
        <w:pStyle w:val="ListParagraph"/>
        <w:numPr>
          <w:ilvl w:val="0"/>
          <w:numId w:val="1"/>
        </w:numPr>
        <w:jc w:val="both"/>
      </w:pPr>
      <w:r>
        <w:t xml:space="preserve">In this regard, </w:t>
      </w:r>
      <w:r w:rsidR="00F11E9C">
        <w:t xml:space="preserve">the training addresses areas such as: </w:t>
      </w:r>
      <w:r w:rsidR="00F11E9C" w:rsidRPr="00F11E9C">
        <w:t>Basic Training Program; Advanced and Specialized Training Program; International Training; Leadership Training Programs; Continuing Professional Education (CPE); Firearms Training and Qualification; Integrated Use of Force Training; Certified Public Accountant (CPA)/Attorney Professional Certifications; and Continuing Personal Development.</w:t>
      </w:r>
      <w:r w:rsidR="00F11E9C">
        <w:rPr>
          <w:rStyle w:val="FootnoteReference"/>
        </w:rPr>
        <w:footnoteReference w:id="35"/>
      </w:r>
    </w:p>
    <w:p w14:paraId="56BED90B" w14:textId="77777777" w:rsidR="00F11E9C" w:rsidRDefault="00F11E9C" w:rsidP="00F11E9C">
      <w:pPr>
        <w:pStyle w:val="ListParagraph"/>
      </w:pPr>
    </w:p>
    <w:p w14:paraId="47FC7D77" w14:textId="397BCBBC" w:rsidR="00A961A4" w:rsidRPr="00A961A4" w:rsidRDefault="00726289" w:rsidP="00A961A4">
      <w:pPr>
        <w:pStyle w:val="ListParagraph"/>
        <w:numPr>
          <w:ilvl w:val="0"/>
          <w:numId w:val="1"/>
        </w:numPr>
        <w:jc w:val="both"/>
        <w:rPr>
          <w:rFonts w:ascii="Source Sans Pro" w:hAnsi="Source Sans Pro"/>
          <w:color w:val="1B1B1B"/>
        </w:rPr>
      </w:pPr>
      <w:r>
        <w:t>The Committee notes that as part of the</w:t>
      </w:r>
      <w:r w:rsidR="00F11E9C">
        <w:t xml:space="preserve"> Training Program, all new trainees are to take the course, Criminal Investigator Program, which </w:t>
      </w:r>
      <w:r w:rsidR="00F11E9C" w:rsidRPr="00512FEA">
        <w:t xml:space="preserve">educates them in various federal law enforcement skills, including the fundamentals of criminal law, constitutional law, the rules of evidence and criminal procedures, trial practices, investigative techniques, vehicle operation, non-lethal control techniques, and firearms. Upon satisfactory completion of this course, trainees will then receive training on Special Agent Investigative Techniques, </w:t>
      </w:r>
      <w:r w:rsidR="00A961A4" w:rsidRPr="00512FEA">
        <w:t>which includes criminal violations of tax law</w:t>
      </w:r>
      <w:r>
        <w:t xml:space="preserve">, </w:t>
      </w:r>
      <w:proofErr w:type="gramStart"/>
      <w:r>
        <w:t>in order to</w:t>
      </w:r>
      <w:proofErr w:type="gramEnd"/>
      <w:r>
        <w:t xml:space="preserve"> </w:t>
      </w:r>
      <w:r w:rsidR="00A961A4" w:rsidRPr="00512FEA">
        <w:t>develop the skills necessary to investigate potential criminal violations of Internal Revenue laws and related offenses</w:t>
      </w:r>
      <w:r w:rsidR="00512FEA" w:rsidRPr="00512FEA">
        <w:t>. Trainees also work on tax training investigations, as well as on money laundering investigations, among other things</w:t>
      </w:r>
      <w:r w:rsidR="00512FEA">
        <w:rPr>
          <w:rFonts w:ascii="Source Sans Pro" w:hAnsi="Source Sans Pro"/>
          <w:color w:val="1B1B1B"/>
        </w:rPr>
        <w:t>.</w:t>
      </w:r>
      <w:r w:rsidR="00512FEA">
        <w:rPr>
          <w:rStyle w:val="FootnoteReference"/>
          <w:rFonts w:ascii="Source Sans Pro" w:hAnsi="Source Sans Pro"/>
          <w:color w:val="1B1B1B"/>
        </w:rPr>
        <w:footnoteReference w:id="36"/>
      </w:r>
    </w:p>
    <w:p w14:paraId="703556FB" w14:textId="77777777" w:rsidR="00F11E9C" w:rsidRPr="008976B9" w:rsidRDefault="00F11E9C" w:rsidP="00F11E9C">
      <w:pPr>
        <w:jc w:val="both"/>
      </w:pPr>
    </w:p>
    <w:p w14:paraId="709AE538" w14:textId="2A515F85" w:rsidR="00FE525F" w:rsidRDefault="00726289" w:rsidP="001E4CA3">
      <w:pPr>
        <w:pStyle w:val="ListParagraph"/>
        <w:numPr>
          <w:ilvl w:val="0"/>
          <w:numId w:val="1"/>
        </w:numPr>
      </w:pPr>
      <w:r>
        <w:t>In addition,</w:t>
      </w:r>
      <w:r w:rsidR="00F11E9C">
        <w:t xml:space="preserve"> t</w:t>
      </w:r>
      <w:r w:rsidR="001F62C4">
        <w:t>he country under review</w:t>
      </w:r>
      <w:r w:rsidR="00F11E9C">
        <w:t>, during the on-site visit,</w:t>
      </w:r>
      <w:r w:rsidR="001F62C4">
        <w:t xml:space="preserve"> further noted that </w:t>
      </w:r>
      <w:r w:rsidR="005702C6">
        <w:t>upon being hired, IRS Criminal Investigators receive Special Agent Basic Training at the Federal Law Enforcement Training Center (FLETC), which is approximate</w:t>
      </w:r>
      <w:r w:rsidR="00FE525F">
        <w:t>ly</w:t>
      </w:r>
      <w:r w:rsidR="005702C6">
        <w:t xml:space="preserve"> 6 month</w:t>
      </w:r>
      <w:r w:rsidR="00F05F2D">
        <w:t>s</w:t>
      </w:r>
      <w:r w:rsidR="005702C6">
        <w:t xml:space="preserve"> </w:t>
      </w:r>
      <w:r w:rsidR="004744D6">
        <w:t>lon</w:t>
      </w:r>
      <w:r w:rsidR="00FE525F">
        <w:t>g.</w:t>
      </w:r>
      <w:r w:rsidR="005702C6">
        <w:t xml:space="preserve"> </w:t>
      </w:r>
      <w:r w:rsidR="00FE525F">
        <w:t>Candidates receive training on relevant statutes</w:t>
      </w:r>
      <w:r>
        <w:t>,</w:t>
      </w:r>
      <w:r w:rsidR="00FE525F">
        <w:t xml:space="preserve"> money laundering, the bank secrecy act, as well as examine case studies, including anomalies of books and records. In addition, investigators are required to receive </w:t>
      </w:r>
      <w:r w:rsidR="00D3782A">
        <w:rPr>
          <w:b/>
          <w:bCs/>
          <w:u w:val="single"/>
        </w:rPr>
        <w:t xml:space="preserve">updated </w:t>
      </w:r>
      <w:r w:rsidR="00FF73A0">
        <w:rPr>
          <w:b/>
          <w:bCs/>
          <w:u w:val="single"/>
        </w:rPr>
        <w:t>and ongoing</w:t>
      </w:r>
      <w:r w:rsidR="007F033B">
        <w:rPr>
          <w:b/>
          <w:bCs/>
          <w:u w:val="single"/>
        </w:rPr>
        <w:t xml:space="preserve"> </w:t>
      </w:r>
      <w:r w:rsidR="00FE525F">
        <w:t xml:space="preserve">training </w:t>
      </w:r>
      <w:r w:rsidR="001E4CA3">
        <w:rPr>
          <w:b/>
          <w:bCs/>
          <w:u w:val="single"/>
        </w:rPr>
        <w:t xml:space="preserve">on these topics </w:t>
      </w:r>
      <w:r w:rsidR="00FE525F">
        <w:t>every 5 years at FLETC. The representative during the on-site visit also noted that speakers are also brought in to discuss new developments, and once a new program is put in place, investigators receive training that is a week or two</w:t>
      </w:r>
      <w:r w:rsidR="00356EA6">
        <w:t xml:space="preserve"> weeks</w:t>
      </w:r>
      <w:r w:rsidR="00FE525F">
        <w:t xml:space="preserve"> long.  </w:t>
      </w:r>
    </w:p>
    <w:p w14:paraId="351F939C" w14:textId="77777777" w:rsidR="00F11E9C" w:rsidRDefault="00F11E9C" w:rsidP="00F11E9C">
      <w:pPr>
        <w:pStyle w:val="ListParagraph"/>
      </w:pPr>
    </w:p>
    <w:p w14:paraId="5F4499E5" w14:textId="2CDD7809" w:rsidR="00FE525F" w:rsidRDefault="00FE525F" w:rsidP="00512FEA">
      <w:pPr>
        <w:pStyle w:val="ListParagraph"/>
        <w:numPr>
          <w:ilvl w:val="0"/>
          <w:numId w:val="1"/>
        </w:numPr>
        <w:jc w:val="both"/>
      </w:pPr>
      <w:r>
        <w:t xml:space="preserve">The country under review also noted that on the civil side of the IRS, which would include tax examiners, training is provided when starting a position </w:t>
      </w:r>
      <w:r w:rsidR="00C069CD">
        <w:t>with</w:t>
      </w:r>
      <w:r>
        <w:t xml:space="preserve">in the IRS, </w:t>
      </w:r>
      <w:r w:rsidR="00904756">
        <w:t xml:space="preserve">and continuous </w:t>
      </w:r>
      <w:r w:rsidR="00726289">
        <w:t xml:space="preserve">learning are provided </w:t>
      </w:r>
      <w:r w:rsidR="00904756">
        <w:t>as well</w:t>
      </w:r>
      <w:r>
        <w:t>.</w:t>
      </w:r>
    </w:p>
    <w:p w14:paraId="66F674F1" w14:textId="77777777" w:rsidR="00696058" w:rsidRDefault="00696058" w:rsidP="00696058">
      <w:pPr>
        <w:pStyle w:val="ListParagraph"/>
      </w:pPr>
    </w:p>
    <w:p w14:paraId="48E5E8A4" w14:textId="14F0A7F3" w:rsidR="00FE525F" w:rsidRPr="007A2E71" w:rsidRDefault="00FE525F" w:rsidP="00FE525F">
      <w:pPr>
        <w:pStyle w:val="ListParagraph"/>
        <w:numPr>
          <w:ilvl w:val="0"/>
          <w:numId w:val="1"/>
        </w:numPr>
        <w:jc w:val="both"/>
      </w:pPr>
      <w:r>
        <w:t>The Committee</w:t>
      </w:r>
      <w:r w:rsidR="00124E77">
        <w:t xml:space="preserve"> observes that </w:t>
      </w:r>
      <w:r>
        <w:t xml:space="preserve">the </w:t>
      </w:r>
      <w:r w:rsidR="00124E77">
        <w:t xml:space="preserve">country under review has continued to </w:t>
      </w:r>
      <w:r w:rsidR="00124E77" w:rsidRPr="007A2E71">
        <w:t xml:space="preserve">provide training programs to </w:t>
      </w:r>
      <w:r w:rsidR="00512FEA" w:rsidRPr="007A2E71">
        <w:t>criminal</w:t>
      </w:r>
      <w:r w:rsidR="00124E77" w:rsidRPr="007A2E71">
        <w:t xml:space="preserve"> investigators</w:t>
      </w:r>
      <w:r w:rsidR="00512FEA" w:rsidRPr="007A2E71">
        <w:t xml:space="preserve"> of the IRS</w:t>
      </w:r>
      <w:r w:rsidR="00124E77" w:rsidRPr="007A2E71">
        <w:t xml:space="preserve">. However, it is not apparent if training is provided to </w:t>
      </w:r>
      <w:r w:rsidR="000E02F4" w:rsidRPr="007A2E71">
        <w:t>tax examiners</w:t>
      </w:r>
      <w:r w:rsidR="00F26753" w:rsidRPr="007A2E71">
        <w:t xml:space="preserve"> </w:t>
      </w:r>
      <w:r w:rsidR="00512FEA" w:rsidRPr="007A2E71">
        <w:t>that</w:t>
      </w:r>
      <w:r w:rsidR="000E02F4" w:rsidRPr="007A2E71">
        <w:t xml:space="preserve"> </w:t>
      </w:r>
      <w:r w:rsidR="00124E77" w:rsidRPr="007A2E71">
        <w:t>specifically alert them on methods used to disguise payments for corruption and to instruct them in ways of detecting such payments in the applications</w:t>
      </w:r>
      <w:r w:rsidR="000641F0" w:rsidRPr="007A2E71">
        <w:t xml:space="preserve"> for tax benefits.</w:t>
      </w:r>
      <w:r w:rsidR="00124E77" w:rsidRPr="007A2E71">
        <w:t xml:space="preserve"> </w:t>
      </w:r>
      <w:r w:rsidR="003F7F80" w:rsidRPr="007A2E71">
        <w:t xml:space="preserve">In this regard, while the IRM has a Fraud Handbook that sets out the procedures for referring a case to the IRS-CI when there is a determination that </w:t>
      </w:r>
      <w:r w:rsidR="003F7F80" w:rsidRPr="007A2E71">
        <w:lastRenderedPageBreak/>
        <w:t>there is a firm indication of fraud, as well as indicators for identifying fraud, no further information is provided on training in this respect.</w:t>
      </w:r>
      <w:r w:rsidR="00904756" w:rsidRPr="007A2E71">
        <w:rPr>
          <w:rStyle w:val="FootnoteReference"/>
        </w:rPr>
        <w:footnoteReference w:id="37"/>
      </w:r>
      <w:r w:rsidR="003F7F80" w:rsidRPr="007A2E71">
        <w:t xml:space="preserve"> </w:t>
      </w:r>
    </w:p>
    <w:p w14:paraId="78566EC3" w14:textId="77777777" w:rsidR="003F7F80" w:rsidRPr="007A2E71" w:rsidRDefault="003F7F80" w:rsidP="003F7F80">
      <w:pPr>
        <w:pStyle w:val="ListParagraph"/>
      </w:pPr>
    </w:p>
    <w:p w14:paraId="41467BF1" w14:textId="608DF840" w:rsidR="000D5D9B" w:rsidRPr="007A2E71" w:rsidRDefault="000E02F4" w:rsidP="00666FE2">
      <w:pPr>
        <w:pStyle w:val="ListParagraph"/>
        <w:numPr>
          <w:ilvl w:val="0"/>
          <w:numId w:val="1"/>
        </w:numPr>
        <w:jc w:val="both"/>
      </w:pPr>
      <w:r w:rsidRPr="007A2E71">
        <w:t>The Committee notes that the duties of a tax examiner</w:t>
      </w:r>
      <w:r w:rsidR="000D5D9B" w:rsidRPr="007A2E71">
        <w:t xml:space="preserve"> </w:t>
      </w:r>
      <w:r w:rsidRPr="007A2E71">
        <w:t>include important functions that could be relevant for the detection of corruption when reviewing an application for a tax benefit. Th</w:t>
      </w:r>
      <w:r w:rsidR="000D5D9B" w:rsidRPr="007A2E71">
        <w:t>ese functions</w:t>
      </w:r>
      <w:r w:rsidRPr="007A2E71">
        <w:t xml:space="preserve"> include</w:t>
      </w:r>
      <w:r w:rsidR="000D5D9B" w:rsidRPr="007A2E71">
        <w:t>, among other things,</w:t>
      </w:r>
      <w:r w:rsidRPr="007A2E71">
        <w:t xml:space="preserve"> reviewing information received from taxpayers and/or other sources to determine corrective action; </w:t>
      </w:r>
      <w:r w:rsidR="00BA313A" w:rsidRPr="007A2E71">
        <w:t>and</w:t>
      </w:r>
      <w:r w:rsidRPr="007A2E71">
        <w:t xml:space="preserve"> identifying questionable entries on tax returns for referral to appropriate area for review.</w:t>
      </w:r>
      <w:r w:rsidRPr="007A2E71">
        <w:rPr>
          <w:rStyle w:val="FootnoteReference"/>
          <w:color w:val="1B1B1B"/>
        </w:rPr>
        <w:footnoteReference w:id="38"/>
      </w:r>
      <w:r w:rsidR="00512FEA" w:rsidRPr="007A2E71">
        <w:rPr>
          <w:rStyle w:val="FootnoteReference"/>
          <w:color w:val="1B1B1B"/>
        </w:rPr>
        <w:t xml:space="preserve"> </w:t>
      </w:r>
    </w:p>
    <w:p w14:paraId="70EB8DBD" w14:textId="77777777" w:rsidR="00D3219D" w:rsidRPr="007A2E71" w:rsidRDefault="00D3219D" w:rsidP="00D3219D">
      <w:pPr>
        <w:jc w:val="both"/>
      </w:pPr>
    </w:p>
    <w:p w14:paraId="699ACDCB" w14:textId="48A1CDC9" w:rsidR="003F7F80" w:rsidRPr="007A2E71" w:rsidRDefault="009D396F" w:rsidP="00DB527D">
      <w:pPr>
        <w:pStyle w:val="ListParagraph"/>
        <w:numPr>
          <w:ilvl w:val="0"/>
          <w:numId w:val="1"/>
        </w:numPr>
        <w:jc w:val="both"/>
        <w:rPr>
          <w:rFonts w:eastAsiaTheme="minorHAnsi"/>
          <w:bCs/>
          <w:iCs/>
        </w:rPr>
      </w:pPr>
      <w:r w:rsidRPr="007A2E71">
        <w:rPr>
          <w:rFonts w:eastAsiaTheme="minorHAnsi"/>
          <w:bCs/>
          <w:iCs/>
        </w:rPr>
        <w:t xml:space="preserve">In this </w:t>
      </w:r>
      <w:r w:rsidR="00987306" w:rsidRPr="007A2E71">
        <w:rPr>
          <w:rFonts w:eastAsiaTheme="minorHAnsi"/>
          <w:bCs/>
          <w:iCs/>
        </w:rPr>
        <w:t>respect</w:t>
      </w:r>
      <w:r w:rsidRPr="007A2E71">
        <w:rPr>
          <w:rFonts w:eastAsiaTheme="minorHAnsi"/>
          <w:bCs/>
          <w:iCs/>
        </w:rPr>
        <w:t xml:space="preserve">, the Committee notes that </w:t>
      </w:r>
      <w:r w:rsidR="007548E2" w:rsidRPr="007A2E71">
        <w:rPr>
          <w:rFonts w:eastAsiaTheme="minorHAnsi"/>
          <w:bCs/>
          <w:iCs/>
        </w:rPr>
        <w:t>tax examiners</w:t>
      </w:r>
      <w:r w:rsidRPr="007A2E71">
        <w:rPr>
          <w:rFonts w:eastAsiaTheme="minorHAnsi"/>
          <w:bCs/>
          <w:iCs/>
        </w:rPr>
        <w:t xml:space="preserve"> play an important role in identifying irregularities that may be indicative of corruption for possible referral to appropriate authorities. Providing training could help facilitate, for example, the making of referrals by </w:t>
      </w:r>
      <w:r w:rsidR="00743A0B" w:rsidRPr="007A2E71">
        <w:rPr>
          <w:rFonts w:eastAsiaTheme="minorHAnsi"/>
          <w:bCs/>
          <w:iCs/>
        </w:rPr>
        <w:t>tax examiners</w:t>
      </w:r>
      <w:r w:rsidR="00403781" w:rsidRPr="007A2E71">
        <w:rPr>
          <w:rFonts w:eastAsiaTheme="minorHAnsi"/>
          <w:bCs/>
          <w:iCs/>
        </w:rPr>
        <w:t xml:space="preserve"> to the IRS</w:t>
      </w:r>
      <w:r w:rsidR="00726289" w:rsidRPr="007A2E71">
        <w:rPr>
          <w:rFonts w:eastAsiaTheme="minorHAnsi"/>
          <w:bCs/>
          <w:iCs/>
        </w:rPr>
        <w:t>-</w:t>
      </w:r>
      <w:r w:rsidR="00403781" w:rsidRPr="007A2E71">
        <w:rPr>
          <w:rFonts w:eastAsiaTheme="minorHAnsi"/>
          <w:bCs/>
          <w:iCs/>
        </w:rPr>
        <w:t>CI</w:t>
      </w:r>
      <w:r w:rsidRPr="007A2E71">
        <w:rPr>
          <w:rFonts w:eastAsiaTheme="minorHAnsi"/>
          <w:bCs/>
          <w:iCs/>
        </w:rPr>
        <w:t>, when a favorable tax treatment for expenditures made in violation of anticorruption laws is detected.</w:t>
      </w:r>
      <w:r w:rsidR="003F7F80" w:rsidRPr="007A2E71">
        <w:rPr>
          <w:rFonts w:eastAsiaTheme="minorHAnsi"/>
          <w:bCs/>
          <w:iCs/>
        </w:rPr>
        <w:t xml:space="preserve"> </w:t>
      </w:r>
    </w:p>
    <w:p w14:paraId="3E8C3D2E" w14:textId="77777777" w:rsidR="00987306" w:rsidRPr="00987306" w:rsidRDefault="00987306" w:rsidP="00987306">
      <w:pPr>
        <w:jc w:val="both"/>
        <w:rPr>
          <w:rFonts w:eastAsiaTheme="minorHAnsi"/>
          <w:bCs/>
          <w:iCs/>
        </w:rPr>
      </w:pPr>
    </w:p>
    <w:p w14:paraId="4AE4542E" w14:textId="2784CF7C" w:rsidR="003F7F80" w:rsidRDefault="00987306" w:rsidP="009D396F">
      <w:pPr>
        <w:pStyle w:val="ListParagraph"/>
        <w:numPr>
          <w:ilvl w:val="0"/>
          <w:numId w:val="1"/>
        </w:numPr>
        <w:jc w:val="both"/>
        <w:rPr>
          <w:rFonts w:eastAsiaTheme="minorHAnsi"/>
          <w:bCs/>
          <w:iCs/>
        </w:rPr>
      </w:pPr>
      <w:r>
        <w:rPr>
          <w:rFonts w:eastAsiaTheme="minorHAnsi"/>
          <w:bCs/>
          <w:iCs/>
        </w:rPr>
        <w:t xml:space="preserve">To this end, the country under review during the on-site visit, and in a document submitted </w:t>
      </w:r>
      <w:proofErr w:type="gramStart"/>
      <w:r>
        <w:rPr>
          <w:rFonts w:eastAsiaTheme="minorHAnsi"/>
          <w:bCs/>
          <w:iCs/>
        </w:rPr>
        <w:t>subsequent to</w:t>
      </w:r>
      <w:proofErr w:type="gramEnd"/>
      <w:r>
        <w:rPr>
          <w:rFonts w:eastAsiaTheme="minorHAnsi"/>
          <w:bCs/>
          <w:iCs/>
        </w:rPr>
        <w:t xml:space="preserve"> the visit, noted that in the period covering January 1, 2013 – June 30, 2019, there were 4 fraud referrals received from IRS Civil functions, of which 3 were accepted and elevated to a criminal investigation. </w:t>
      </w:r>
    </w:p>
    <w:p w14:paraId="259DA1F4" w14:textId="77777777" w:rsidR="00697D2F" w:rsidRPr="00697D2F" w:rsidRDefault="00697D2F" w:rsidP="00697D2F">
      <w:pPr>
        <w:pStyle w:val="ListParagraph"/>
        <w:rPr>
          <w:rFonts w:eastAsiaTheme="minorHAnsi"/>
          <w:bCs/>
          <w:iCs/>
        </w:rPr>
      </w:pPr>
    </w:p>
    <w:p w14:paraId="74ECE3D7" w14:textId="56825C13" w:rsidR="003F7F80" w:rsidRDefault="00987306" w:rsidP="009D396F">
      <w:pPr>
        <w:pStyle w:val="ListParagraph"/>
        <w:numPr>
          <w:ilvl w:val="0"/>
          <w:numId w:val="1"/>
        </w:numPr>
        <w:jc w:val="both"/>
        <w:rPr>
          <w:rFonts w:eastAsiaTheme="minorHAnsi"/>
          <w:bCs/>
          <w:iCs/>
        </w:rPr>
      </w:pPr>
      <w:r>
        <w:rPr>
          <w:rFonts w:eastAsiaTheme="minorHAnsi"/>
          <w:bCs/>
          <w:iCs/>
        </w:rPr>
        <w:t xml:space="preserve">The Committee believes that the </w:t>
      </w:r>
      <w:r w:rsidR="00671C0D">
        <w:rPr>
          <w:rFonts w:eastAsiaTheme="minorHAnsi"/>
          <w:bCs/>
          <w:iCs/>
        </w:rPr>
        <w:t>relatively low</w:t>
      </w:r>
      <w:r>
        <w:rPr>
          <w:rFonts w:eastAsiaTheme="minorHAnsi"/>
          <w:bCs/>
          <w:iCs/>
        </w:rPr>
        <w:t xml:space="preserve"> number of referrals made on the topic over a </w:t>
      </w:r>
      <w:r w:rsidR="005C0718">
        <w:rPr>
          <w:rFonts w:eastAsiaTheme="minorHAnsi"/>
          <w:bCs/>
          <w:iCs/>
        </w:rPr>
        <w:t>six-year</w:t>
      </w:r>
      <w:r>
        <w:rPr>
          <w:rFonts w:eastAsiaTheme="minorHAnsi"/>
          <w:bCs/>
          <w:iCs/>
        </w:rPr>
        <w:t xml:space="preserve"> period may indicate the need for training on the issue</w:t>
      </w:r>
      <w:r w:rsidR="00726289">
        <w:rPr>
          <w:rFonts w:eastAsiaTheme="minorHAnsi"/>
          <w:bCs/>
          <w:iCs/>
        </w:rPr>
        <w:t>, which would facilitate further detections of fraud.</w:t>
      </w:r>
    </w:p>
    <w:p w14:paraId="4E3FF108" w14:textId="77777777" w:rsidR="00703820" w:rsidRDefault="00703820" w:rsidP="003F7F80">
      <w:pPr>
        <w:pStyle w:val="ListParagraph"/>
        <w:rPr>
          <w:rFonts w:eastAsiaTheme="minorHAnsi"/>
          <w:bCs/>
          <w:iCs/>
        </w:rPr>
      </w:pPr>
    </w:p>
    <w:p w14:paraId="5072C9AB" w14:textId="32F1B26C" w:rsidR="009D396F" w:rsidRPr="00E87C48" w:rsidRDefault="009D396F" w:rsidP="009D396F">
      <w:pPr>
        <w:pStyle w:val="ListParagraph"/>
        <w:numPr>
          <w:ilvl w:val="0"/>
          <w:numId w:val="1"/>
        </w:numPr>
        <w:jc w:val="both"/>
        <w:rPr>
          <w:rFonts w:eastAsiaTheme="minorHAnsi"/>
          <w:bCs/>
          <w:iCs/>
        </w:rPr>
      </w:pPr>
      <w:r w:rsidRPr="00E87C48">
        <w:rPr>
          <w:rFonts w:eastAsiaTheme="minorHAnsi"/>
          <w:bCs/>
          <w:iCs/>
        </w:rPr>
        <w:t xml:space="preserve">Given the foregoing, the Committee believes the country under review should consider requiring </w:t>
      </w:r>
      <w:r w:rsidR="00671C0D" w:rsidRPr="00E87C48">
        <w:rPr>
          <w:rFonts w:eastAsiaTheme="minorHAnsi"/>
          <w:bCs/>
          <w:iCs/>
        </w:rPr>
        <w:t>tax examiners</w:t>
      </w:r>
      <w:r w:rsidRPr="00E87C48">
        <w:rPr>
          <w:rFonts w:eastAsiaTheme="minorHAnsi"/>
          <w:bCs/>
          <w:iCs/>
        </w:rPr>
        <w:t xml:space="preserve"> receive mandatory training </w:t>
      </w:r>
      <w:r w:rsidR="005C0718" w:rsidRPr="00E87C48">
        <w:rPr>
          <w:rFonts w:eastAsiaTheme="minorHAnsi"/>
          <w:bCs/>
          <w:iCs/>
        </w:rPr>
        <w:t xml:space="preserve">that raises awareness </w:t>
      </w:r>
      <w:r w:rsidRPr="00E87C48">
        <w:rPr>
          <w:rFonts w:eastAsiaTheme="minorHAnsi"/>
          <w:bCs/>
          <w:iCs/>
        </w:rPr>
        <w:t xml:space="preserve">regarding </w:t>
      </w:r>
      <w:r w:rsidR="005C0718" w:rsidRPr="00E87C48">
        <w:rPr>
          <w:rFonts w:eastAsiaTheme="minorHAnsi"/>
          <w:bCs/>
          <w:iCs/>
        </w:rPr>
        <w:t xml:space="preserve">their role in combating </w:t>
      </w:r>
      <w:r w:rsidRPr="00E87C48">
        <w:rPr>
          <w:rFonts w:eastAsiaTheme="minorHAnsi"/>
          <w:bCs/>
          <w:iCs/>
        </w:rPr>
        <w:t>corruption</w:t>
      </w:r>
      <w:r w:rsidR="00240479" w:rsidRPr="00E87C48">
        <w:rPr>
          <w:rFonts w:eastAsiaTheme="minorHAnsi"/>
          <w:bCs/>
          <w:iCs/>
        </w:rPr>
        <w:t xml:space="preserve">, such as bribery, </w:t>
      </w:r>
      <w:proofErr w:type="gramStart"/>
      <w:r w:rsidR="005C0718" w:rsidRPr="00E87C48">
        <w:rPr>
          <w:rFonts w:eastAsiaTheme="minorHAnsi"/>
          <w:bCs/>
          <w:iCs/>
        </w:rPr>
        <w:t xml:space="preserve">in order </w:t>
      </w:r>
      <w:r w:rsidRPr="00E87C48">
        <w:rPr>
          <w:rFonts w:eastAsiaTheme="minorHAnsi"/>
          <w:bCs/>
          <w:iCs/>
        </w:rPr>
        <w:t>to</w:t>
      </w:r>
      <w:proofErr w:type="gramEnd"/>
      <w:r w:rsidRPr="00E87C48">
        <w:rPr>
          <w:rFonts w:eastAsiaTheme="minorHAnsi"/>
          <w:bCs/>
          <w:iCs/>
        </w:rPr>
        <w:t xml:space="preserve"> facilitate the possibility of referrals being made to </w:t>
      </w:r>
      <w:r w:rsidR="00671C0D" w:rsidRPr="00E87C48">
        <w:rPr>
          <w:rFonts w:eastAsiaTheme="minorHAnsi"/>
          <w:bCs/>
          <w:iCs/>
        </w:rPr>
        <w:t>IRS-CI</w:t>
      </w:r>
      <w:r w:rsidRPr="00E87C48">
        <w:rPr>
          <w:rFonts w:eastAsiaTheme="minorHAnsi"/>
          <w:bCs/>
          <w:iCs/>
        </w:rPr>
        <w:t xml:space="preserve"> on the matter. The Committee will formulate a recommendation in this regard. (See Recommendation 1.4.</w:t>
      </w:r>
      <w:r w:rsidR="005C0718" w:rsidRPr="00E87C48">
        <w:rPr>
          <w:rFonts w:eastAsiaTheme="minorHAnsi"/>
          <w:bCs/>
          <w:iCs/>
        </w:rPr>
        <w:t>2</w:t>
      </w:r>
      <w:r w:rsidRPr="00E87C48">
        <w:rPr>
          <w:bCs/>
        </w:rPr>
        <w:t xml:space="preserve"> in section 1.4 of Chapter II of this Report</w:t>
      </w:r>
      <w:r w:rsidRPr="00E87C48">
        <w:rPr>
          <w:rFonts w:eastAsiaTheme="minorHAnsi"/>
          <w:bCs/>
          <w:iCs/>
        </w:rPr>
        <w:t>)</w:t>
      </w:r>
    </w:p>
    <w:p w14:paraId="5EAF8B3F" w14:textId="77777777" w:rsidR="009D396F" w:rsidRPr="00E87C48" w:rsidRDefault="009D396F" w:rsidP="009D396F">
      <w:pPr>
        <w:pStyle w:val="ListParagraph"/>
        <w:ind w:left="10"/>
        <w:jc w:val="both"/>
        <w:rPr>
          <w:rFonts w:eastAsiaTheme="minorHAnsi"/>
          <w:bCs/>
          <w:iCs/>
        </w:rPr>
      </w:pPr>
    </w:p>
    <w:p w14:paraId="147047A9" w14:textId="55715E0C" w:rsidR="009D396F" w:rsidRPr="00804DBA" w:rsidRDefault="00671C0D" w:rsidP="009D396F">
      <w:pPr>
        <w:pStyle w:val="ListParagraph"/>
        <w:numPr>
          <w:ilvl w:val="0"/>
          <w:numId w:val="1"/>
        </w:numPr>
        <w:jc w:val="both"/>
        <w:rPr>
          <w:rFonts w:eastAsiaTheme="minorHAnsi"/>
          <w:bCs/>
          <w:iCs/>
        </w:rPr>
      </w:pPr>
      <w:r w:rsidRPr="00E87C48">
        <w:rPr>
          <w:rFonts w:eastAsiaTheme="minorHAnsi"/>
          <w:bCs/>
          <w:iCs/>
        </w:rPr>
        <w:t>The Committee also</w:t>
      </w:r>
      <w:r w:rsidR="009D396F" w:rsidRPr="00E87C48">
        <w:rPr>
          <w:rFonts w:eastAsiaTheme="minorHAnsi"/>
          <w:bCs/>
          <w:iCs/>
        </w:rPr>
        <w:t xml:space="preserve"> believes the country under review should consider requiring </w:t>
      </w:r>
      <w:r w:rsidRPr="00E87C48">
        <w:rPr>
          <w:rFonts w:eastAsiaTheme="minorHAnsi"/>
          <w:bCs/>
          <w:iCs/>
        </w:rPr>
        <w:t xml:space="preserve">tax examiners </w:t>
      </w:r>
      <w:r w:rsidR="009D396F" w:rsidRPr="00E87C48">
        <w:rPr>
          <w:rFonts w:eastAsiaTheme="minorHAnsi"/>
          <w:bCs/>
          <w:iCs/>
        </w:rPr>
        <w:t>receive mandatory</w:t>
      </w:r>
      <w:r w:rsidR="009D396F" w:rsidRPr="00E87C48">
        <w:rPr>
          <w:rFonts w:eastAsiaTheme="minorHAnsi"/>
          <w:b/>
          <w:iCs/>
        </w:rPr>
        <w:t xml:space="preserve"> </w:t>
      </w:r>
      <w:r w:rsidR="009D396F" w:rsidRPr="00E87C48">
        <w:rPr>
          <w:rFonts w:eastAsiaTheme="minorHAnsi"/>
          <w:bCs/>
          <w:iCs/>
        </w:rPr>
        <w:t>training on key indicators of bribery, when a tax benefit is claimed that is based on an act of corruption. This might also encourage further referrals for investigation or prosecution.</w:t>
      </w:r>
      <w:r w:rsidR="009D396F" w:rsidRPr="00804DBA">
        <w:rPr>
          <w:rFonts w:eastAsiaTheme="minorHAnsi"/>
          <w:bCs/>
          <w:iCs/>
        </w:rPr>
        <w:t xml:space="preserve"> The Committee will formulate a recommendation in this regard. (</w:t>
      </w:r>
      <w:r w:rsidR="009D396F" w:rsidRPr="00804DBA">
        <w:t>See Recommendation 1.4.</w:t>
      </w:r>
      <w:r w:rsidR="005C0718">
        <w:t>3</w:t>
      </w:r>
      <w:r w:rsidR="009D396F" w:rsidRPr="00804DBA">
        <w:t xml:space="preserve"> in section 1.4 of Chapter II of this Report)</w:t>
      </w:r>
    </w:p>
    <w:p w14:paraId="280B9ECB" w14:textId="77777777" w:rsidR="009D396F" w:rsidRPr="00593AC3" w:rsidRDefault="009D396F" w:rsidP="009D396F">
      <w:pPr>
        <w:jc w:val="both"/>
        <w:rPr>
          <w:rFonts w:eastAsiaTheme="minorEastAsia"/>
        </w:rPr>
      </w:pPr>
    </w:p>
    <w:p w14:paraId="5095214C" w14:textId="77777777" w:rsidR="00C6770B" w:rsidRPr="00804DBA" w:rsidRDefault="00C6770B" w:rsidP="00C6770B">
      <w:pPr>
        <w:ind w:right="35"/>
        <w:jc w:val="both"/>
        <w:rPr>
          <w:sz w:val="22"/>
          <w:szCs w:val="22"/>
          <w:u w:val="single"/>
        </w:rPr>
      </w:pPr>
      <w:r w:rsidRPr="00804DBA">
        <w:rPr>
          <w:sz w:val="22"/>
          <w:szCs w:val="22"/>
          <w:u w:val="single"/>
        </w:rPr>
        <w:t>Measure (b)</w:t>
      </w:r>
    </w:p>
    <w:p w14:paraId="042B47B7" w14:textId="77777777" w:rsidR="00C6770B" w:rsidRPr="00804DBA" w:rsidRDefault="00C6770B" w:rsidP="00C6770B">
      <w:pPr>
        <w:jc w:val="both"/>
        <w:rPr>
          <w:i/>
          <w:iCs/>
          <w:sz w:val="22"/>
          <w:szCs w:val="22"/>
        </w:rPr>
      </w:pPr>
    </w:p>
    <w:p w14:paraId="093BABBD" w14:textId="77777777" w:rsidR="00C6770B" w:rsidRDefault="00C6770B" w:rsidP="00C6770B">
      <w:pPr>
        <w:pStyle w:val="ListParagraph"/>
        <w:ind w:left="10"/>
        <w:jc w:val="both"/>
        <w:rPr>
          <w:i/>
          <w:iCs/>
        </w:rPr>
      </w:pPr>
      <w:r w:rsidRPr="00110FD8">
        <w:rPr>
          <w:i/>
          <w:iCs/>
        </w:rPr>
        <w:t xml:space="preserve">Continue to use, and consider the adoption of any measures deemed appropriate to make it easier for the appropriate authorities to detect sums paid for acts of corruption </w:t>
      </w:r>
      <w:proofErr w:type="gramStart"/>
      <w:r w:rsidRPr="00110FD8">
        <w:rPr>
          <w:i/>
          <w:iCs/>
        </w:rPr>
        <w:t>in the event that</w:t>
      </w:r>
      <w:proofErr w:type="gramEnd"/>
      <w:r w:rsidRPr="00110FD8">
        <w:rPr>
          <w:i/>
          <w:iCs/>
        </w:rPr>
        <w:t xml:space="preserve"> they are being used as grounds for obtaining such treatment, such as the following</w:t>
      </w:r>
      <w:r w:rsidRPr="00804DBA">
        <w:rPr>
          <w:i/>
          <w:iCs/>
        </w:rPr>
        <w:t>:</w:t>
      </w:r>
    </w:p>
    <w:p w14:paraId="742BC7E8" w14:textId="77777777" w:rsidR="00C6770B" w:rsidRDefault="00C6770B" w:rsidP="00C6770B">
      <w:pPr>
        <w:pStyle w:val="ListParagraph"/>
        <w:ind w:left="10"/>
        <w:jc w:val="both"/>
        <w:rPr>
          <w:i/>
          <w:iCs/>
        </w:rPr>
      </w:pPr>
    </w:p>
    <w:p w14:paraId="43A0BD90" w14:textId="513833E5" w:rsidR="00671C0D" w:rsidRDefault="00671C0D" w:rsidP="00C6770B">
      <w:pPr>
        <w:pStyle w:val="ListParagraph"/>
        <w:ind w:left="10"/>
        <w:jc w:val="both"/>
        <w:rPr>
          <w:u w:val="single"/>
        </w:rPr>
      </w:pPr>
      <w:r w:rsidRPr="008F2DDE">
        <w:rPr>
          <w:u w:val="single"/>
        </w:rPr>
        <w:t>Measure b(v</w:t>
      </w:r>
      <w:r>
        <w:rPr>
          <w:u w:val="single"/>
        </w:rPr>
        <w:t>i</w:t>
      </w:r>
      <w:r w:rsidRPr="008F2DDE">
        <w:rPr>
          <w:u w:val="single"/>
        </w:rPr>
        <w:t>) suggested by the Committee:</w:t>
      </w:r>
    </w:p>
    <w:p w14:paraId="089511FC" w14:textId="77777777" w:rsidR="00671C0D" w:rsidRDefault="00671C0D" w:rsidP="00671C0D">
      <w:pPr>
        <w:pStyle w:val="ListParagraph"/>
        <w:ind w:left="10"/>
        <w:jc w:val="both"/>
        <w:rPr>
          <w:u w:val="single"/>
        </w:rPr>
      </w:pPr>
    </w:p>
    <w:p w14:paraId="7158C9E5" w14:textId="2B97AA1C" w:rsidR="0032785D" w:rsidRDefault="00671C0D" w:rsidP="008F2DDE">
      <w:pPr>
        <w:jc w:val="both"/>
        <w:rPr>
          <w:i/>
          <w:iCs/>
          <w:sz w:val="22"/>
          <w:szCs w:val="22"/>
        </w:rPr>
      </w:pPr>
      <w:r w:rsidRPr="00671C0D">
        <w:rPr>
          <w:i/>
          <w:iCs/>
          <w:sz w:val="22"/>
          <w:szCs w:val="22"/>
        </w:rPr>
        <w:t>Channels of communication so that they may promptly report to tax authorities who decide on deductibility and warn them of the anomalies detected or of any irregularity that could affect the decision</w:t>
      </w:r>
      <w:r>
        <w:rPr>
          <w:i/>
          <w:iCs/>
          <w:sz w:val="22"/>
          <w:szCs w:val="22"/>
        </w:rPr>
        <w:t>.</w:t>
      </w:r>
    </w:p>
    <w:p w14:paraId="7D16835E" w14:textId="77777777" w:rsidR="00671C0D" w:rsidRDefault="00671C0D" w:rsidP="008F2DDE">
      <w:pPr>
        <w:jc w:val="both"/>
        <w:rPr>
          <w:i/>
          <w:iCs/>
          <w:sz w:val="22"/>
          <w:szCs w:val="22"/>
        </w:rPr>
      </w:pPr>
    </w:p>
    <w:p w14:paraId="09FB3A12" w14:textId="3498A43E" w:rsidR="00671C0D" w:rsidRDefault="005A2298" w:rsidP="005A2298">
      <w:pPr>
        <w:pStyle w:val="ListParagraph"/>
        <w:numPr>
          <w:ilvl w:val="0"/>
          <w:numId w:val="1"/>
        </w:numPr>
        <w:jc w:val="both"/>
        <w:rPr>
          <w:rFonts w:eastAsiaTheme="minorHAnsi"/>
          <w:bCs/>
          <w:iCs/>
        </w:rPr>
      </w:pPr>
      <w:r w:rsidRPr="005A2298">
        <w:rPr>
          <w:rFonts w:eastAsiaTheme="minorHAnsi"/>
          <w:bCs/>
          <w:iCs/>
        </w:rPr>
        <w:t xml:space="preserve">With respect to the </w:t>
      </w:r>
      <w:proofErr w:type="gramStart"/>
      <w:r w:rsidRPr="005A2298">
        <w:rPr>
          <w:rFonts w:eastAsiaTheme="minorHAnsi"/>
          <w:bCs/>
          <w:iCs/>
        </w:rPr>
        <w:t>aforementioned measure</w:t>
      </w:r>
      <w:proofErr w:type="gramEnd"/>
      <w:r w:rsidRPr="005A2298">
        <w:rPr>
          <w:rFonts w:eastAsiaTheme="minorHAnsi"/>
          <w:bCs/>
          <w:iCs/>
        </w:rPr>
        <w:t>, in its Response, the country under review presented information and new developments. In this regard, the Committee notes the following as steps that lead it to conclude said measure has been satisfactorily considered:</w:t>
      </w:r>
      <w:r w:rsidRPr="005A2298">
        <w:rPr>
          <w:rStyle w:val="FootnoteReference"/>
        </w:rPr>
        <w:footnoteReference w:id="39"/>
      </w:r>
    </w:p>
    <w:p w14:paraId="19184B1C" w14:textId="77777777" w:rsidR="00383E17" w:rsidRDefault="00383E17" w:rsidP="00383E17">
      <w:pPr>
        <w:pStyle w:val="ListParagraph"/>
        <w:ind w:left="10"/>
        <w:jc w:val="both"/>
        <w:rPr>
          <w:rFonts w:eastAsiaTheme="minorHAnsi"/>
          <w:bCs/>
          <w:iCs/>
        </w:rPr>
      </w:pPr>
    </w:p>
    <w:p w14:paraId="7123DD76" w14:textId="09394CDA" w:rsidR="00383E17" w:rsidRDefault="00383E17" w:rsidP="00383E17">
      <w:pPr>
        <w:pStyle w:val="ListParagraph"/>
        <w:numPr>
          <w:ilvl w:val="0"/>
          <w:numId w:val="1"/>
        </w:numPr>
        <w:jc w:val="both"/>
        <w:rPr>
          <w:rFonts w:eastAsiaTheme="minorHAnsi"/>
          <w:bCs/>
          <w:iCs/>
        </w:rPr>
      </w:pPr>
      <w:r>
        <w:rPr>
          <w:rFonts w:eastAsiaTheme="minorHAnsi"/>
          <w:bCs/>
          <w:iCs/>
        </w:rPr>
        <w:t xml:space="preserve">– </w:t>
      </w:r>
      <w:r w:rsidRPr="00383E17">
        <w:rPr>
          <w:rFonts w:eastAsiaTheme="minorHAnsi"/>
          <w:bCs/>
          <w:iCs/>
        </w:rPr>
        <w:t xml:space="preserve">The country under review notes that a whistleblower can submit a report through the IRS website, which can include, among the types of tax fraud listed on the IRS website are: false exemptions or deductions; kickbacks; a false or altered document; organized crime, and failure to follow the tax laws. Moreover, taxpayers can voluntarily disclose if they have committed tax or tax-related crimes and have criminal exposure due to willful violation of the law, which is carried out through the Voluntary Disclosure Practice. This is a longstanding practice of IRS-CI, which takes timely, accurate, and complete voluntary disclosures under consideration when determining whether to recommend criminal prosecution. Such </w:t>
      </w:r>
      <w:r w:rsidR="00DE6F7D" w:rsidRPr="00383E17">
        <w:rPr>
          <w:rFonts w:eastAsiaTheme="minorHAnsi"/>
          <w:bCs/>
          <w:iCs/>
        </w:rPr>
        <w:t>a disclosure</w:t>
      </w:r>
      <w:r w:rsidRPr="00383E17">
        <w:rPr>
          <w:rFonts w:eastAsiaTheme="minorHAnsi"/>
          <w:bCs/>
          <w:iCs/>
        </w:rPr>
        <w:t xml:space="preserve"> will not automatically guarantee immunity from prosecution; however, a voluntary disclosure may result in prosecution not being recommended.</w:t>
      </w:r>
      <w:r>
        <w:rPr>
          <w:rStyle w:val="FootnoteReference"/>
          <w:rFonts w:eastAsiaTheme="minorHAnsi"/>
          <w:bCs/>
          <w:iCs/>
        </w:rPr>
        <w:footnoteReference w:id="40"/>
      </w:r>
    </w:p>
    <w:p w14:paraId="54FBB226" w14:textId="77777777" w:rsidR="00383E17" w:rsidRPr="00383E17" w:rsidRDefault="00383E17" w:rsidP="00383E17">
      <w:pPr>
        <w:pStyle w:val="ListParagraph"/>
        <w:rPr>
          <w:rFonts w:eastAsiaTheme="minorHAnsi"/>
          <w:bCs/>
          <w:iCs/>
        </w:rPr>
      </w:pPr>
    </w:p>
    <w:p w14:paraId="097F6EFB" w14:textId="2021518F" w:rsidR="00032D25" w:rsidRPr="00032D25" w:rsidRDefault="00383E17" w:rsidP="00032D25">
      <w:pPr>
        <w:pStyle w:val="ListParagraph"/>
        <w:numPr>
          <w:ilvl w:val="0"/>
          <w:numId w:val="1"/>
        </w:numPr>
        <w:jc w:val="both"/>
        <w:rPr>
          <w:rFonts w:eastAsiaTheme="minorHAnsi"/>
          <w:bCs/>
          <w:iCs/>
        </w:rPr>
      </w:pPr>
      <w:r>
        <w:rPr>
          <w:rFonts w:eastAsiaTheme="minorHAnsi"/>
          <w:bCs/>
          <w:iCs/>
        </w:rPr>
        <w:t xml:space="preserve">The Committee also notes that in the IRM, procedures are set out for tax examiners or revenue agents to promptly report on the anomalies detected or of any irregularity that could affect the decision on a tax benefit. In this respect, </w:t>
      </w:r>
      <w:r w:rsidR="00032D25">
        <w:rPr>
          <w:rFonts w:eastAsiaTheme="minorHAnsi"/>
          <w:bCs/>
          <w:iCs/>
        </w:rPr>
        <w:t xml:space="preserve">when indicators of fraud are uncovered, </w:t>
      </w:r>
      <w:r w:rsidR="00032D25" w:rsidRPr="00032D25">
        <w:rPr>
          <w:rFonts w:eastAsiaTheme="minorHAnsi"/>
          <w:bCs/>
          <w:iCs/>
        </w:rPr>
        <w:t>the compliance employee must clearly document the potential fraud indicators and initiate a discussion with the compliance employee's group manager. If the compliance employee's group manager concurs there are indicators of fraud warranting fraud development, the compliance employee must contact the fraud enforcement advisor.</w:t>
      </w:r>
      <w:r w:rsidR="00032D25">
        <w:rPr>
          <w:rFonts w:eastAsiaTheme="minorHAnsi"/>
          <w:bCs/>
          <w:iCs/>
        </w:rPr>
        <w:t xml:space="preserve"> The IRM then sets out further steps to take, before referring to IRS-CI.</w:t>
      </w:r>
      <w:r w:rsidR="00032D25">
        <w:rPr>
          <w:rStyle w:val="FootnoteReference"/>
          <w:rFonts w:eastAsiaTheme="minorHAnsi"/>
          <w:bCs/>
          <w:iCs/>
        </w:rPr>
        <w:footnoteReference w:id="41"/>
      </w:r>
    </w:p>
    <w:p w14:paraId="44093D6C" w14:textId="77777777" w:rsidR="00032D25" w:rsidRPr="00032D25" w:rsidRDefault="00032D25" w:rsidP="00032D25">
      <w:pPr>
        <w:pStyle w:val="ListParagraph"/>
        <w:rPr>
          <w:rFonts w:eastAsiaTheme="minorHAnsi"/>
          <w:bCs/>
          <w:iCs/>
        </w:rPr>
      </w:pPr>
    </w:p>
    <w:p w14:paraId="2CF16700" w14:textId="0806AF14" w:rsidR="00032D25" w:rsidRPr="00ED4A39" w:rsidRDefault="00032D25" w:rsidP="00032D25">
      <w:pPr>
        <w:pStyle w:val="ListParagraph"/>
        <w:numPr>
          <w:ilvl w:val="0"/>
          <w:numId w:val="1"/>
        </w:numPr>
        <w:jc w:val="both"/>
        <w:rPr>
          <w:rFonts w:eastAsia="Times New Roman"/>
          <w:iCs/>
          <w:lang w:eastAsia="zh-CN"/>
        </w:rPr>
      </w:pPr>
      <w:r>
        <w:rPr>
          <w:rFonts w:eastAsiaTheme="minorHAnsi"/>
          <w:bCs/>
          <w:iCs/>
        </w:rPr>
        <w:t xml:space="preserve"> </w:t>
      </w:r>
      <w:r w:rsidR="00A10CEF">
        <w:rPr>
          <w:rFonts w:eastAsiaTheme="minorHAnsi"/>
          <w:bCs/>
          <w:iCs/>
        </w:rPr>
        <w:t>In</w:t>
      </w:r>
      <w:r w:rsidRPr="00A10CEF">
        <w:rPr>
          <w:rFonts w:eastAsiaTheme="minorHAnsi"/>
          <w:bCs/>
          <w:iCs/>
        </w:rPr>
        <w:t xml:space="preserve"> view of the above, the Committee takes note of the satisfactory consideration by the country under review of measure (b)(</w:t>
      </w:r>
      <w:r w:rsidR="00A10CEF">
        <w:rPr>
          <w:rFonts w:eastAsiaTheme="minorHAnsi"/>
          <w:bCs/>
          <w:iCs/>
        </w:rPr>
        <w:t>vi</w:t>
      </w:r>
      <w:r w:rsidRPr="00A10CEF">
        <w:rPr>
          <w:rFonts w:eastAsiaTheme="minorHAnsi"/>
          <w:bCs/>
          <w:iCs/>
        </w:rPr>
        <w:t>).</w:t>
      </w:r>
    </w:p>
    <w:p w14:paraId="01ED20B9" w14:textId="77777777" w:rsidR="00ED4A39" w:rsidRPr="00ED4A39" w:rsidRDefault="00ED4A39" w:rsidP="00ED4A39">
      <w:pPr>
        <w:pStyle w:val="ListParagraph"/>
        <w:rPr>
          <w:rFonts w:eastAsia="Times New Roman"/>
          <w:iCs/>
          <w:lang w:eastAsia="zh-CN"/>
        </w:rPr>
      </w:pPr>
    </w:p>
    <w:p w14:paraId="7EE806B8" w14:textId="77777777" w:rsidR="00ED4A39" w:rsidRPr="00ED4A39" w:rsidRDefault="00ED4A39" w:rsidP="00ED4A39">
      <w:pPr>
        <w:pStyle w:val="ListParagraph"/>
        <w:ind w:left="10"/>
        <w:jc w:val="both"/>
        <w:rPr>
          <w:u w:val="single"/>
        </w:rPr>
      </w:pPr>
      <w:r w:rsidRPr="00ED4A39">
        <w:rPr>
          <w:u w:val="single"/>
        </w:rPr>
        <w:t>Measure c) suggested by the Committee:</w:t>
      </w:r>
    </w:p>
    <w:p w14:paraId="68BD2097" w14:textId="77777777" w:rsidR="00ED4A39" w:rsidRDefault="00ED4A39" w:rsidP="00ED4A39">
      <w:pPr>
        <w:pStyle w:val="ListParagraph"/>
        <w:ind w:left="10"/>
        <w:jc w:val="both"/>
      </w:pPr>
    </w:p>
    <w:p w14:paraId="2C3ED7E4" w14:textId="5A7F3350" w:rsidR="00ED4A39" w:rsidRDefault="00ED4A39" w:rsidP="00ED4A39">
      <w:pPr>
        <w:jc w:val="both"/>
        <w:rPr>
          <w:i/>
          <w:iCs/>
          <w:sz w:val="22"/>
          <w:szCs w:val="22"/>
        </w:rPr>
      </w:pPr>
      <w:r w:rsidRPr="00ED4A39">
        <w:rPr>
          <w:i/>
          <w:iCs/>
          <w:sz w:val="22"/>
          <w:szCs w:val="22"/>
        </w:rPr>
        <w:t xml:space="preserve">Select and develop, through the tax authorities responsible for processing applications for favorable tax treatment and the other authorities or organs with jurisdiction in that respect, </w:t>
      </w:r>
      <w:proofErr w:type="gramStart"/>
      <w:r w:rsidRPr="00ED4A39">
        <w:rPr>
          <w:i/>
          <w:iCs/>
          <w:sz w:val="22"/>
          <w:szCs w:val="22"/>
        </w:rPr>
        <w:t>procedures</w:t>
      </w:r>
      <w:proofErr w:type="gramEnd"/>
      <w:r w:rsidRPr="00ED4A39">
        <w:rPr>
          <w:i/>
          <w:iCs/>
          <w:sz w:val="22"/>
          <w:szCs w:val="22"/>
        </w:rPr>
        <w:t xml:space="preserve"> and indicators, when appropriate and where they do not yet exist, to analyze objective results obtained in this regard and to follow up on the recommendations made in this report in relation thereto</w:t>
      </w:r>
      <w:r>
        <w:rPr>
          <w:i/>
          <w:iCs/>
          <w:sz w:val="22"/>
          <w:szCs w:val="22"/>
        </w:rPr>
        <w:t>.</w:t>
      </w:r>
    </w:p>
    <w:p w14:paraId="2B1CA370" w14:textId="77777777" w:rsidR="00ED4A39" w:rsidRDefault="00ED4A39" w:rsidP="00ED4A39">
      <w:pPr>
        <w:jc w:val="both"/>
        <w:rPr>
          <w:i/>
          <w:iCs/>
          <w:sz w:val="22"/>
          <w:szCs w:val="22"/>
        </w:rPr>
      </w:pPr>
    </w:p>
    <w:p w14:paraId="2972F163" w14:textId="074EA079" w:rsidR="00ED4A39" w:rsidRPr="00ED4A39" w:rsidRDefault="00ED4A39" w:rsidP="00ED4A39">
      <w:pPr>
        <w:pStyle w:val="ListParagraph"/>
        <w:numPr>
          <w:ilvl w:val="0"/>
          <w:numId w:val="1"/>
        </w:numPr>
        <w:jc w:val="both"/>
        <w:rPr>
          <w:rFonts w:eastAsia="Times New Roman"/>
        </w:rPr>
      </w:pPr>
      <w:r w:rsidRPr="00ED4A39">
        <w:rPr>
          <w:rFonts w:eastAsiaTheme="minorHAnsi"/>
          <w:bCs/>
          <w:iCs/>
        </w:rPr>
        <w:t>With</w:t>
      </w:r>
      <w:r w:rsidRPr="0032785D">
        <w:t xml:space="preserve"> respect to the </w:t>
      </w:r>
      <w:proofErr w:type="gramStart"/>
      <w:r w:rsidRPr="0032785D">
        <w:t>aforementioned measure</w:t>
      </w:r>
      <w:proofErr w:type="gramEnd"/>
      <w:r w:rsidRPr="0032785D">
        <w:t>, in its Response, the country under review presents information and new developments</w:t>
      </w:r>
      <w:r w:rsidRPr="00963C76">
        <w:t>, which the Committee notes as a step that contributes to progress in the implementation of the measure</w:t>
      </w:r>
      <w:r>
        <w:t>:</w:t>
      </w:r>
      <w:r>
        <w:rPr>
          <w:rStyle w:val="FootnoteReference"/>
        </w:rPr>
        <w:footnoteReference w:id="42"/>
      </w:r>
    </w:p>
    <w:p w14:paraId="4E5D313D" w14:textId="77777777" w:rsidR="00ED4A39" w:rsidRPr="00ED4A39" w:rsidRDefault="00ED4A39" w:rsidP="00ED4A39">
      <w:pPr>
        <w:pStyle w:val="ListParagraph"/>
        <w:ind w:left="10"/>
        <w:jc w:val="both"/>
        <w:rPr>
          <w:rFonts w:eastAsia="Times New Roman"/>
        </w:rPr>
      </w:pPr>
    </w:p>
    <w:p w14:paraId="3029A7C0" w14:textId="7AA54076" w:rsidR="00ED4A39" w:rsidRDefault="00ED4A39" w:rsidP="00ED4A39">
      <w:pPr>
        <w:pStyle w:val="ListParagraph"/>
        <w:numPr>
          <w:ilvl w:val="0"/>
          <w:numId w:val="1"/>
        </w:numPr>
        <w:jc w:val="both"/>
        <w:rPr>
          <w:rFonts w:eastAsia="Times New Roman"/>
        </w:rPr>
      </w:pPr>
      <w:r>
        <w:rPr>
          <w:rFonts w:eastAsia="Times New Roman"/>
        </w:rPr>
        <w:t xml:space="preserve">– The country under review notes that the IRS Criminal Investigation Division, in </w:t>
      </w:r>
      <w:r w:rsidR="00367962">
        <w:rPr>
          <w:rFonts w:eastAsia="Times New Roman"/>
        </w:rPr>
        <w:t>its</w:t>
      </w:r>
      <w:r>
        <w:rPr>
          <w:rFonts w:eastAsia="Times New Roman"/>
        </w:rPr>
        <w:t xml:space="preserve"> Annual Report, compiles the Division’s accomplishments and criminal enforcement actions taken in the past fiscal year. This Report summarizes a wide variety of the Division’s activities and includes case examples from </w:t>
      </w:r>
      <w:r>
        <w:rPr>
          <w:rFonts w:eastAsia="Times New Roman"/>
        </w:rPr>
        <w:lastRenderedPageBreak/>
        <w:t>each field office on a wide range of financial crimes. The country under review also provided the following table from the 2022 Annual Report:</w:t>
      </w:r>
      <w:r>
        <w:rPr>
          <w:rStyle w:val="FootnoteReference"/>
          <w:rFonts w:eastAsia="Times New Roman"/>
        </w:rPr>
        <w:footnoteReference w:id="43"/>
      </w:r>
    </w:p>
    <w:p w14:paraId="51F8666E" w14:textId="77777777" w:rsidR="00A51E14" w:rsidRDefault="00A51E14" w:rsidP="00A51E14">
      <w:pPr>
        <w:pStyle w:val="ListParagraph"/>
        <w:rPr>
          <w:rFonts w:eastAsia="Times New Roman"/>
        </w:rPr>
      </w:pPr>
    </w:p>
    <w:p w14:paraId="1BEBA2EE" w14:textId="7AB15E6A" w:rsidR="00A51E14" w:rsidRDefault="00A51E14" w:rsidP="00A51E14">
      <w:pPr>
        <w:pStyle w:val="ListParagraph"/>
        <w:rPr>
          <w:rFonts w:eastAsia="Times New Roman"/>
        </w:rPr>
      </w:pPr>
      <w:r w:rsidRPr="00087B9C">
        <w:rPr>
          <w:noProof/>
          <w:color w:val="2F5496" w:themeColor="accent1" w:themeShade="BF"/>
          <w:lang w:eastAsia="fr-CA"/>
        </w:rPr>
        <w:drawing>
          <wp:inline distT="0" distB="0" distL="0" distR="0" wp14:anchorId="018008A4" wp14:editId="27D81FEC">
            <wp:extent cx="4950620" cy="3336587"/>
            <wp:effectExtent l="0" t="0" r="2540" b="3810"/>
            <wp:docPr id="1"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repo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4775" cy="3373086"/>
                    </a:xfrm>
                    <a:prstGeom prst="rect">
                      <a:avLst/>
                    </a:prstGeom>
                    <a:noFill/>
                    <a:ln>
                      <a:noFill/>
                    </a:ln>
                  </pic:spPr>
                </pic:pic>
              </a:graphicData>
            </a:graphic>
          </wp:inline>
        </w:drawing>
      </w:r>
    </w:p>
    <w:p w14:paraId="6A538627" w14:textId="77777777" w:rsidR="00A51E14" w:rsidRDefault="00A51E14" w:rsidP="00A51E14">
      <w:pPr>
        <w:pStyle w:val="ListParagraph"/>
        <w:rPr>
          <w:rFonts w:eastAsia="Times New Roman"/>
        </w:rPr>
      </w:pPr>
    </w:p>
    <w:p w14:paraId="587AEABD" w14:textId="77777777" w:rsidR="00A51E14" w:rsidRDefault="00A51E14" w:rsidP="00A51E14">
      <w:pPr>
        <w:pStyle w:val="ListParagraph"/>
        <w:rPr>
          <w:rFonts w:eastAsia="Times New Roman"/>
        </w:rPr>
      </w:pPr>
    </w:p>
    <w:p w14:paraId="66AC4A75" w14:textId="77777777" w:rsidR="00A51E14" w:rsidRPr="00A51E14" w:rsidRDefault="00A51E14" w:rsidP="00A51E14">
      <w:pPr>
        <w:pStyle w:val="ListParagraph"/>
        <w:rPr>
          <w:rFonts w:eastAsia="Times New Roman"/>
        </w:rPr>
      </w:pPr>
    </w:p>
    <w:p w14:paraId="3549240A" w14:textId="79A74579" w:rsidR="00A51E14" w:rsidRPr="005D5522" w:rsidRDefault="00A51E14" w:rsidP="00ED4A39">
      <w:pPr>
        <w:pStyle w:val="ListParagraph"/>
        <w:numPr>
          <w:ilvl w:val="0"/>
          <w:numId w:val="1"/>
        </w:numPr>
        <w:jc w:val="both"/>
        <w:rPr>
          <w:rFonts w:eastAsia="Times New Roman"/>
        </w:rPr>
      </w:pPr>
      <w:r>
        <w:rPr>
          <w:rFonts w:eastAsia="Times New Roman"/>
        </w:rPr>
        <w:t>The Committee notes that the Annual Report sets out that IRS-</w:t>
      </w:r>
      <w:r>
        <w:t>CI investigates elected and appointed individuals from all levels of government including local, county, state, and federal, as well as foreign officials</w:t>
      </w:r>
      <w:r w:rsidR="005D5522">
        <w:t xml:space="preserve">, and </w:t>
      </w:r>
      <w:r>
        <w:t>include such criminal offenses as bribery, extortion, embezzlement, kickbacks, tax fraud, and money laundering.</w:t>
      </w:r>
      <w:r w:rsidR="005D5522">
        <w:rPr>
          <w:rStyle w:val="FootnoteReference"/>
        </w:rPr>
        <w:footnoteReference w:id="44"/>
      </w:r>
    </w:p>
    <w:p w14:paraId="14022344" w14:textId="42199ED8" w:rsidR="005D5522" w:rsidRPr="005D5522" w:rsidRDefault="005D5522" w:rsidP="005D5522">
      <w:pPr>
        <w:pStyle w:val="ListParagraph"/>
        <w:ind w:left="10"/>
        <w:jc w:val="both"/>
        <w:rPr>
          <w:rFonts w:eastAsia="Times New Roman"/>
        </w:rPr>
      </w:pPr>
    </w:p>
    <w:p w14:paraId="53573A8E" w14:textId="7E82F314" w:rsidR="00ED4A39" w:rsidRPr="009268C2" w:rsidRDefault="005D5522" w:rsidP="005D5522">
      <w:pPr>
        <w:pStyle w:val="ListParagraph"/>
        <w:numPr>
          <w:ilvl w:val="0"/>
          <w:numId w:val="1"/>
        </w:numPr>
        <w:jc w:val="both"/>
        <w:rPr>
          <w:rFonts w:eastAsia="Times New Roman"/>
        </w:rPr>
      </w:pPr>
      <w:r>
        <w:rPr>
          <w:rFonts w:eastAsiaTheme="minorHAnsi"/>
          <w:bCs/>
          <w:iCs/>
        </w:rPr>
        <w:t>The Committee observes</w:t>
      </w:r>
      <w:r w:rsidRPr="00804DBA">
        <w:rPr>
          <w:rFonts w:eastAsiaTheme="minorHAnsi"/>
          <w:bCs/>
          <w:iCs/>
        </w:rPr>
        <w:t xml:space="preserve"> that in the </w:t>
      </w:r>
      <w:r>
        <w:rPr>
          <w:rFonts w:eastAsiaTheme="minorHAnsi"/>
          <w:bCs/>
          <w:iCs/>
        </w:rPr>
        <w:t>United States</w:t>
      </w:r>
      <w:r w:rsidRPr="00804DBA">
        <w:rPr>
          <w:rFonts w:eastAsiaTheme="minorHAnsi"/>
          <w:bCs/>
          <w:iCs/>
        </w:rPr>
        <w:t xml:space="preserve"> Report of the Third Round, this recommendation was formulated, </w:t>
      </w:r>
      <w:r w:rsidR="009268C2">
        <w:rPr>
          <w:rFonts w:eastAsiaTheme="minorHAnsi"/>
          <w:bCs/>
          <w:iCs/>
        </w:rPr>
        <w:t xml:space="preserve">although it also considered that the information provided on </w:t>
      </w:r>
      <w:proofErr w:type="gramStart"/>
      <w:r w:rsidR="00420762">
        <w:rPr>
          <w:rFonts w:eastAsiaTheme="minorHAnsi"/>
          <w:bCs/>
          <w:iCs/>
        </w:rPr>
        <w:t xml:space="preserve">a </w:t>
      </w:r>
      <w:r w:rsidR="009268C2">
        <w:rPr>
          <w:rFonts w:eastAsiaTheme="minorHAnsi"/>
          <w:bCs/>
          <w:iCs/>
        </w:rPr>
        <w:t>number of</w:t>
      </w:r>
      <w:proofErr w:type="gramEnd"/>
      <w:r w:rsidR="009268C2">
        <w:rPr>
          <w:rFonts w:eastAsiaTheme="minorHAnsi"/>
          <w:bCs/>
          <w:iCs/>
        </w:rPr>
        <w:t xml:space="preserve"> criminal investigations</w:t>
      </w:r>
      <w:r w:rsidR="00DF088D">
        <w:rPr>
          <w:rFonts w:eastAsiaTheme="minorHAnsi"/>
          <w:b/>
          <w:iCs/>
          <w:u w:val="single"/>
        </w:rPr>
        <w:t>,</w:t>
      </w:r>
      <w:r w:rsidR="009268C2">
        <w:rPr>
          <w:rFonts w:eastAsiaTheme="minorHAnsi"/>
          <w:bCs/>
          <w:iCs/>
        </w:rPr>
        <w:t xml:space="preserve"> involving bribery or Foreign Corrupt Practices Act violations and their outcome</w:t>
      </w:r>
      <w:r w:rsidR="00DF088D">
        <w:rPr>
          <w:rFonts w:eastAsiaTheme="minorHAnsi"/>
          <w:b/>
          <w:iCs/>
          <w:u w:val="single"/>
        </w:rPr>
        <w:t>,</w:t>
      </w:r>
      <w:r w:rsidR="009268C2">
        <w:rPr>
          <w:rFonts w:eastAsiaTheme="minorHAnsi"/>
          <w:bCs/>
          <w:iCs/>
        </w:rPr>
        <w:t xml:space="preserve"> demonstrated that enforcement action has taken place with respect to the criminal offenses related to favorable tax treatment for payments made in violation of the anticorruption laws</w:t>
      </w:r>
      <w:r w:rsidRPr="00804DBA">
        <w:rPr>
          <w:rFonts w:eastAsiaTheme="minorHAnsi"/>
          <w:bCs/>
          <w:iCs/>
        </w:rPr>
        <w:t>.</w:t>
      </w:r>
      <w:r w:rsidRPr="00804DBA">
        <w:rPr>
          <w:rStyle w:val="FootnoteReference"/>
          <w:rFonts w:eastAsiaTheme="minorHAnsi"/>
          <w:bCs/>
          <w:iCs/>
        </w:rPr>
        <w:footnoteReference w:id="45"/>
      </w:r>
    </w:p>
    <w:p w14:paraId="3BEF7B6D" w14:textId="77777777" w:rsidR="009268C2" w:rsidRPr="009268C2" w:rsidRDefault="009268C2" w:rsidP="009268C2">
      <w:pPr>
        <w:pStyle w:val="ListParagraph"/>
        <w:rPr>
          <w:rFonts w:eastAsia="Times New Roman"/>
        </w:rPr>
      </w:pPr>
    </w:p>
    <w:p w14:paraId="42C477C3" w14:textId="36BD83E4" w:rsidR="0018250F" w:rsidRPr="0018250F" w:rsidRDefault="009268C2" w:rsidP="0018250F">
      <w:pPr>
        <w:pStyle w:val="ListParagraph"/>
        <w:numPr>
          <w:ilvl w:val="0"/>
          <w:numId w:val="1"/>
        </w:numPr>
        <w:jc w:val="both"/>
        <w:rPr>
          <w:rFonts w:eastAsia="Times New Roman"/>
        </w:rPr>
      </w:pPr>
      <w:r>
        <w:rPr>
          <w:rFonts w:eastAsiaTheme="minorHAnsi"/>
          <w:bCs/>
          <w:iCs/>
        </w:rPr>
        <w:t>In</w:t>
      </w:r>
      <w:r w:rsidRPr="00A10CEF">
        <w:rPr>
          <w:rFonts w:eastAsiaTheme="minorHAnsi"/>
          <w:bCs/>
          <w:iCs/>
        </w:rPr>
        <w:t xml:space="preserve"> view of the above, the Committee takes note of the satisfactory consideration by the country under review of measure (</w:t>
      </w:r>
      <w:r>
        <w:rPr>
          <w:rFonts w:eastAsiaTheme="minorHAnsi"/>
          <w:bCs/>
          <w:iCs/>
        </w:rPr>
        <w:t>c</w:t>
      </w:r>
      <w:r w:rsidRPr="00A10CEF">
        <w:rPr>
          <w:rFonts w:eastAsiaTheme="minorHAnsi"/>
          <w:bCs/>
          <w:iCs/>
        </w:rPr>
        <w:t>).</w:t>
      </w:r>
    </w:p>
    <w:p w14:paraId="0633473D" w14:textId="77777777" w:rsidR="0018250F" w:rsidRPr="00804DBA" w:rsidRDefault="0018250F" w:rsidP="0018250F">
      <w:pPr>
        <w:pStyle w:val="ListParagraph"/>
      </w:pPr>
    </w:p>
    <w:p w14:paraId="7840A900" w14:textId="77777777" w:rsidR="0018250F" w:rsidRPr="00804DBA" w:rsidRDefault="0018250F">
      <w:pPr>
        <w:numPr>
          <w:ilvl w:val="1"/>
          <w:numId w:val="6"/>
        </w:numPr>
        <w:jc w:val="both"/>
        <w:rPr>
          <w:b/>
          <w:bCs/>
          <w:sz w:val="22"/>
          <w:szCs w:val="22"/>
        </w:rPr>
      </w:pPr>
      <w:r w:rsidRPr="00804DBA">
        <w:rPr>
          <w:b/>
          <w:sz w:val="22"/>
          <w:szCs w:val="22"/>
        </w:rPr>
        <w:t>New</w:t>
      </w:r>
      <w:r w:rsidRPr="00804DBA">
        <w:rPr>
          <w:b/>
          <w:bCs/>
          <w:sz w:val="22"/>
          <w:szCs w:val="22"/>
        </w:rPr>
        <w:t xml:space="preserve"> Developments with respect to the provision of the Convention on Denial or Prevention of Favorable Tax Treatment for Expenditures made in Violation of the Anticorruption Laws. </w:t>
      </w:r>
    </w:p>
    <w:p w14:paraId="63A06DE4" w14:textId="77777777" w:rsidR="0018250F" w:rsidRPr="00804DBA" w:rsidRDefault="0018250F" w:rsidP="0018250F">
      <w:pPr>
        <w:jc w:val="both"/>
        <w:rPr>
          <w:i/>
          <w:iCs/>
          <w:sz w:val="22"/>
          <w:szCs w:val="22"/>
        </w:rPr>
      </w:pPr>
    </w:p>
    <w:p w14:paraId="1CA4BEA3" w14:textId="77777777" w:rsidR="0018250F" w:rsidRPr="00804DBA" w:rsidRDefault="0018250F">
      <w:pPr>
        <w:pStyle w:val="ListParagraph"/>
        <w:numPr>
          <w:ilvl w:val="2"/>
          <w:numId w:val="12"/>
        </w:numPr>
        <w:jc w:val="both"/>
        <w:rPr>
          <w:b/>
          <w:bCs/>
        </w:rPr>
      </w:pPr>
      <w:r w:rsidRPr="00804DBA">
        <w:rPr>
          <w:b/>
          <w:bCs/>
        </w:rPr>
        <w:t>New Developments with Respect to the Legal Framework. </w:t>
      </w:r>
    </w:p>
    <w:p w14:paraId="773241E3" w14:textId="77777777" w:rsidR="0018250F" w:rsidRPr="00804DBA" w:rsidRDefault="0018250F" w:rsidP="0018250F">
      <w:pPr>
        <w:pStyle w:val="paragraph"/>
        <w:spacing w:before="0" w:beforeAutospacing="0" w:after="0" w:afterAutospacing="0"/>
        <w:jc w:val="both"/>
        <w:textAlignment w:val="baseline"/>
        <w:rPr>
          <w:sz w:val="22"/>
          <w:szCs w:val="22"/>
        </w:rPr>
      </w:pPr>
      <w:r w:rsidRPr="00804DBA">
        <w:rPr>
          <w:rStyle w:val="eop"/>
          <w:sz w:val="22"/>
          <w:szCs w:val="22"/>
        </w:rPr>
        <w:t> </w:t>
      </w:r>
    </w:p>
    <w:p w14:paraId="041E6EFF" w14:textId="4487F86C" w:rsidR="0018250F" w:rsidRPr="00804DBA" w:rsidRDefault="0018250F" w:rsidP="0018250F">
      <w:pPr>
        <w:pStyle w:val="ListParagraph"/>
        <w:numPr>
          <w:ilvl w:val="0"/>
          <w:numId w:val="1"/>
        </w:numPr>
        <w:jc w:val="both"/>
      </w:pPr>
      <w:r>
        <w:lastRenderedPageBreak/>
        <w:t>The country under review notes that it does not have anything to report regarding new developments with respect to the legal framework.</w:t>
      </w:r>
      <w:r>
        <w:rPr>
          <w:rStyle w:val="FootnoteReference"/>
        </w:rPr>
        <w:footnoteReference w:id="46"/>
      </w:r>
    </w:p>
    <w:p w14:paraId="1E94EA61" w14:textId="77777777" w:rsidR="0018250F" w:rsidRPr="00804DBA" w:rsidRDefault="0018250F" w:rsidP="0018250F">
      <w:pPr>
        <w:pStyle w:val="ListParagraph"/>
        <w:ind w:left="10"/>
        <w:jc w:val="both"/>
        <w:rPr>
          <w:b/>
          <w:bCs/>
        </w:rPr>
      </w:pPr>
    </w:p>
    <w:p w14:paraId="51F0587D" w14:textId="77777777" w:rsidR="0018250F" w:rsidRPr="00804DBA" w:rsidRDefault="0018250F">
      <w:pPr>
        <w:pStyle w:val="ListParagraph"/>
        <w:numPr>
          <w:ilvl w:val="2"/>
          <w:numId w:val="12"/>
        </w:numPr>
        <w:jc w:val="both"/>
        <w:rPr>
          <w:b/>
          <w:bCs/>
        </w:rPr>
      </w:pPr>
      <w:r w:rsidRPr="00804DBA">
        <w:rPr>
          <w:b/>
          <w:bCs/>
        </w:rPr>
        <w:t xml:space="preserve"> New Developments with Respect to Technology </w:t>
      </w:r>
    </w:p>
    <w:p w14:paraId="0C7F97AB" w14:textId="77777777" w:rsidR="0018250F" w:rsidRPr="00804DBA" w:rsidRDefault="0018250F" w:rsidP="0018250F">
      <w:pPr>
        <w:ind w:left="720"/>
        <w:jc w:val="both"/>
        <w:rPr>
          <w:sz w:val="22"/>
          <w:szCs w:val="22"/>
        </w:rPr>
      </w:pPr>
    </w:p>
    <w:p w14:paraId="15EA2FF3" w14:textId="00CDC276" w:rsidR="0018250F" w:rsidRPr="00804DBA" w:rsidRDefault="0018250F" w:rsidP="0018250F">
      <w:pPr>
        <w:pStyle w:val="ListParagraph"/>
        <w:numPr>
          <w:ilvl w:val="0"/>
          <w:numId w:val="1"/>
        </w:numPr>
        <w:jc w:val="both"/>
      </w:pPr>
      <w:r>
        <w:t>The country under review notes that it does not have anything to report regarding new developments with respect to technology.</w:t>
      </w:r>
      <w:r>
        <w:rPr>
          <w:rStyle w:val="FootnoteReference"/>
        </w:rPr>
        <w:footnoteReference w:id="47"/>
      </w:r>
    </w:p>
    <w:p w14:paraId="543E32ED" w14:textId="77777777" w:rsidR="0018250F" w:rsidRPr="00804DBA" w:rsidRDefault="0018250F" w:rsidP="0018250F">
      <w:pPr>
        <w:pStyle w:val="ListParagraph"/>
        <w:ind w:left="10"/>
        <w:jc w:val="both"/>
      </w:pPr>
    </w:p>
    <w:p w14:paraId="71348A08" w14:textId="77777777" w:rsidR="0018250F" w:rsidRPr="00804DBA" w:rsidRDefault="0018250F">
      <w:pPr>
        <w:numPr>
          <w:ilvl w:val="1"/>
          <w:numId w:val="6"/>
        </w:numPr>
        <w:jc w:val="both"/>
        <w:rPr>
          <w:b/>
          <w:bCs/>
          <w:sz w:val="22"/>
          <w:szCs w:val="22"/>
        </w:rPr>
      </w:pPr>
      <w:r w:rsidRPr="00804DBA">
        <w:rPr>
          <w:b/>
          <w:sz w:val="22"/>
          <w:szCs w:val="22"/>
        </w:rPr>
        <w:t>Results</w:t>
      </w:r>
      <w:r w:rsidRPr="00804DBA">
        <w:rPr>
          <w:b/>
          <w:bCs/>
          <w:sz w:val="22"/>
          <w:szCs w:val="22"/>
        </w:rPr>
        <w:t xml:space="preserve"> </w:t>
      </w:r>
    </w:p>
    <w:p w14:paraId="07A0503E" w14:textId="77777777" w:rsidR="0018250F" w:rsidRPr="00804DBA" w:rsidRDefault="0018250F" w:rsidP="0018250F">
      <w:pPr>
        <w:jc w:val="both"/>
        <w:rPr>
          <w:sz w:val="22"/>
          <w:szCs w:val="22"/>
        </w:rPr>
      </w:pPr>
    </w:p>
    <w:p w14:paraId="2C330D40" w14:textId="77777777" w:rsidR="0018250F" w:rsidRPr="00804DBA" w:rsidRDefault="0018250F" w:rsidP="0018250F">
      <w:pPr>
        <w:pStyle w:val="ListParagraph"/>
        <w:numPr>
          <w:ilvl w:val="0"/>
          <w:numId w:val="1"/>
        </w:numPr>
        <w:jc w:val="both"/>
      </w:pPr>
      <w:r w:rsidRPr="00804DBA">
        <w:t>The country under review did not present any results regarding the denial or prevention of favorable tax treatment for expenditures made in violation of the anticorruption laws, either in its Response to the Questionnaire or during the on-site visit.</w:t>
      </w:r>
      <w:r w:rsidRPr="00804DBA">
        <w:rPr>
          <w:rStyle w:val="FootnoteReference"/>
        </w:rPr>
        <w:footnoteReference w:id="48"/>
      </w:r>
      <w:r w:rsidRPr="00804DBA">
        <w:t xml:space="preserve"> </w:t>
      </w:r>
    </w:p>
    <w:p w14:paraId="3D9028F7" w14:textId="77777777" w:rsidR="0018250F" w:rsidRPr="00804DBA" w:rsidRDefault="0018250F" w:rsidP="0018250F">
      <w:pPr>
        <w:pStyle w:val="ListParagraph"/>
        <w:ind w:left="10"/>
        <w:jc w:val="both"/>
      </w:pPr>
    </w:p>
    <w:p w14:paraId="5E8067F7" w14:textId="2B6998A9" w:rsidR="0018250F" w:rsidRPr="00804DBA" w:rsidRDefault="0018250F" w:rsidP="0018250F">
      <w:pPr>
        <w:pStyle w:val="ListParagraph"/>
        <w:numPr>
          <w:ilvl w:val="0"/>
          <w:numId w:val="1"/>
        </w:numPr>
        <w:jc w:val="both"/>
      </w:pPr>
      <w:r w:rsidRPr="00804DBA">
        <w:t xml:space="preserve">Given that the issue of results was reviewed in the consideration of measure (c) in section 1.1 above, the Committee reiterates </w:t>
      </w:r>
      <w:r>
        <w:t>observations made</w:t>
      </w:r>
      <w:r w:rsidRPr="00804DBA">
        <w:t xml:space="preserve"> therein.  </w:t>
      </w:r>
    </w:p>
    <w:p w14:paraId="7F215F92" w14:textId="77777777" w:rsidR="0018250F" w:rsidRPr="00804DBA" w:rsidRDefault="0018250F" w:rsidP="0018250F">
      <w:pPr>
        <w:pStyle w:val="ListParagraph"/>
        <w:ind w:left="10"/>
        <w:jc w:val="both"/>
      </w:pPr>
    </w:p>
    <w:p w14:paraId="3E5C5302" w14:textId="77777777" w:rsidR="0018250F" w:rsidRPr="00804DBA" w:rsidRDefault="0018250F">
      <w:pPr>
        <w:numPr>
          <w:ilvl w:val="1"/>
          <w:numId w:val="6"/>
        </w:numPr>
        <w:jc w:val="both"/>
        <w:rPr>
          <w:b/>
          <w:bCs/>
          <w:sz w:val="22"/>
          <w:szCs w:val="22"/>
        </w:rPr>
      </w:pPr>
      <w:r w:rsidRPr="00804DBA">
        <w:rPr>
          <w:b/>
          <w:bCs/>
          <w:sz w:val="22"/>
          <w:szCs w:val="22"/>
        </w:rPr>
        <w:t>Recommendations</w:t>
      </w:r>
    </w:p>
    <w:p w14:paraId="76E94E03" w14:textId="77777777" w:rsidR="0018250F" w:rsidRPr="00804DBA" w:rsidRDefault="0018250F" w:rsidP="0018250F">
      <w:pPr>
        <w:jc w:val="both"/>
        <w:rPr>
          <w:b/>
          <w:bCs/>
          <w:sz w:val="22"/>
          <w:szCs w:val="22"/>
        </w:rPr>
      </w:pPr>
    </w:p>
    <w:p w14:paraId="6F62C492" w14:textId="77777777" w:rsidR="0018250F" w:rsidRPr="00804DBA" w:rsidRDefault="0018250F" w:rsidP="0018250F">
      <w:pPr>
        <w:pStyle w:val="ListParagraph"/>
        <w:numPr>
          <w:ilvl w:val="0"/>
          <w:numId w:val="1"/>
        </w:numPr>
        <w:jc w:val="both"/>
      </w:pPr>
      <w:proofErr w:type="gramStart"/>
      <w:r w:rsidRPr="00804DBA">
        <w:t>In light of</w:t>
      </w:r>
      <w:proofErr w:type="gramEnd"/>
      <w:r w:rsidRPr="00804DBA">
        <w:t xml:space="preserve"> the observations formulated in section 1.1 of Chapter II of this Report, the Committee suggests that the country under review consider the following recommendations: </w:t>
      </w:r>
    </w:p>
    <w:p w14:paraId="3B1BFC11" w14:textId="77777777" w:rsidR="0018250F" w:rsidRDefault="0018250F" w:rsidP="0018250F">
      <w:pPr>
        <w:pStyle w:val="ListParagraph"/>
        <w:ind w:left="10"/>
        <w:jc w:val="both"/>
      </w:pPr>
    </w:p>
    <w:p w14:paraId="7288E11E" w14:textId="5A517294" w:rsidR="005C0718" w:rsidRPr="00691929" w:rsidRDefault="005C0718" w:rsidP="005C0718">
      <w:pPr>
        <w:ind w:left="1440" w:hanging="720"/>
        <w:jc w:val="both"/>
        <w:rPr>
          <w:sz w:val="22"/>
          <w:szCs w:val="22"/>
        </w:rPr>
      </w:pPr>
      <w:r>
        <w:rPr>
          <w:sz w:val="22"/>
          <w:szCs w:val="22"/>
        </w:rPr>
        <w:t>1.4.1</w:t>
      </w:r>
      <w:r>
        <w:rPr>
          <w:sz w:val="22"/>
          <w:szCs w:val="22"/>
        </w:rPr>
        <w:tab/>
      </w:r>
      <w:r w:rsidRPr="00691929">
        <w:rPr>
          <w:sz w:val="22"/>
          <w:szCs w:val="22"/>
        </w:rPr>
        <w:t xml:space="preserve">Consider continuing to make efforts to ensure that facilitation payments </w:t>
      </w:r>
      <w:r w:rsidR="00E658BF" w:rsidRPr="00691929">
        <w:rPr>
          <w:sz w:val="22"/>
          <w:szCs w:val="22"/>
        </w:rPr>
        <w:t xml:space="preserve">to foreign government officials </w:t>
      </w:r>
      <w:r w:rsidRPr="00691929">
        <w:rPr>
          <w:sz w:val="22"/>
          <w:szCs w:val="22"/>
        </w:rPr>
        <w:t xml:space="preserve">do not receive favorable tax treatment, taking into consideration that these payments are not criminalized in the country under review. </w:t>
      </w:r>
      <w:r w:rsidRPr="00691929">
        <w:rPr>
          <w:color w:val="000000" w:themeColor="text1"/>
          <w:sz w:val="22"/>
          <w:szCs w:val="22"/>
        </w:rPr>
        <w:t>(See paragraph 2</w:t>
      </w:r>
      <w:r w:rsidR="00526574" w:rsidRPr="00691929">
        <w:rPr>
          <w:color w:val="000000" w:themeColor="text1"/>
          <w:sz w:val="22"/>
          <w:szCs w:val="22"/>
        </w:rPr>
        <w:t>3</w:t>
      </w:r>
      <w:r w:rsidRPr="00691929">
        <w:rPr>
          <w:color w:val="000000" w:themeColor="text1"/>
          <w:sz w:val="22"/>
          <w:szCs w:val="22"/>
        </w:rPr>
        <w:t xml:space="preserve"> in section 1.1 of Chapter II of this Report)</w:t>
      </w:r>
    </w:p>
    <w:p w14:paraId="6085C986" w14:textId="77777777" w:rsidR="005C0718" w:rsidRPr="00691929" w:rsidRDefault="005C0718" w:rsidP="005C0718">
      <w:pPr>
        <w:ind w:left="1440" w:hanging="720"/>
        <w:jc w:val="both"/>
        <w:rPr>
          <w:sz w:val="22"/>
          <w:szCs w:val="22"/>
        </w:rPr>
      </w:pPr>
    </w:p>
    <w:p w14:paraId="6C67F12E" w14:textId="2E559C1F" w:rsidR="005C0718" w:rsidRPr="00691929" w:rsidRDefault="005C0718" w:rsidP="005C0718">
      <w:pPr>
        <w:ind w:left="1440" w:hanging="720"/>
        <w:jc w:val="both"/>
        <w:rPr>
          <w:sz w:val="22"/>
          <w:szCs w:val="22"/>
        </w:rPr>
      </w:pPr>
      <w:r w:rsidRPr="00691929">
        <w:rPr>
          <w:sz w:val="22"/>
          <w:szCs w:val="22"/>
        </w:rPr>
        <w:t>1.4.2</w:t>
      </w:r>
      <w:r w:rsidRPr="00691929">
        <w:rPr>
          <w:sz w:val="22"/>
          <w:szCs w:val="22"/>
        </w:rPr>
        <w:tab/>
        <w:t xml:space="preserve">Require tax examiners </w:t>
      </w:r>
      <w:r w:rsidR="0046513B" w:rsidRPr="00691929">
        <w:rPr>
          <w:sz w:val="22"/>
          <w:szCs w:val="22"/>
        </w:rPr>
        <w:t xml:space="preserve">to </w:t>
      </w:r>
      <w:r w:rsidRPr="00691929">
        <w:rPr>
          <w:sz w:val="22"/>
          <w:szCs w:val="22"/>
        </w:rPr>
        <w:t>receive mandatory training that raises awareness regarding their role in combating corruption</w:t>
      </w:r>
      <w:r w:rsidR="000A0572" w:rsidRPr="00691929">
        <w:rPr>
          <w:sz w:val="22"/>
          <w:szCs w:val="22"/>
        </w:rPr>
        <w:t xml:space="preserve">, such as </w:t>
      </w:r>
      <w:r w:rsidRPr="00691929">
        <w:rPr>
          <w:sz w:val="22"/>
          <w:szCs w:val="22"/>
        </w:rPr>
        <w:t>bribery</w:t>
      </w:r>
      <w:r w:rsidR="000A0572" w:rsidRPr="00691929">
        <w:rPr>
          <w:sz w:val="22"/>
          <w:szCs w:val="22"/>
        </w:rPr>
        <w:t>,</w:t>
      </w:r>
      <w:r w:rsidRPr="00691929">
        <w:rPr>
          <w:sz w:val="22"/>
          <w:szCs w:val="22"/>
        </w:rPr>
        <w:t xml:space="preserve"> </w:t>
      </w:r>
      <w:proofErr w:type="gramStart"/>
      <w:r w:rsidRPr="00691929">
        <w:rPr>
          <w:sz w:val="22"/>
          <w:szCs w:val="22"/>
        </w:rPr>
        <w:t>in order to</w:t>
      </w:r>
      <w:proofErr w:type="gramEnd"/>
      <w:r w:rsidRPr="00691929">
        <w:rPr>
          <w:sz w:val="22"/>
          <w:szCs w:val="22"/>
        </w:rPr>
        <w:t xml:space="preserve"> facilitate the possibility of referrals being made to IRS-CI on the matter. (See paragraph 5</w:t>
      </w:r>
      <w:r w:rsidR="00EE2F49" w:rsidRPr="00691929">
        <w:rPr>
          <w:sz w:val="22"/>
          <w:szCs w:val="22"/>
        </w:rPr>
        <w:t>9</w:t>
      </w:r>
      <w:r w:rsidRPr="00691929">
        <w:rPr>
          <w:sz w:val="22"/>
          <w:szCs w:val="22"/>
        </w:rPr>
        <w:t xml:space="preserve"> in section 1.1 of Chapter II of this Report) </w:t>
      </w:r>
    </w:p>
    <w:p w14:paraId="6A9C5CA2" w14:textId="77777777" w:rsidR="005C0718" w:rsidRPr="00691929" w:rsidRDefault="005C0718" w:rsidP="005C0718">
      <w:pPr>
        <w:ind w:left="1440" w:hanging="720"/>
        <w:jc w:val="both"/>
        <w:rPr>
          <w:rFonts w:eastAsiaTheme="minorHAnsi"/>
          <w:iCs/>
          <w:sz w:val="22"/>
          <w:szCs w:val="22"/>
        </w:rPr>
      </w:pPr>
    </w:p>
    <w:p w14:paraId="18B45A8F" w14:textId="52575479" w:rsidR="009268C2" w:rsidRDefault="005C0718" w:rsidP="005C0718">
      <w:pPr>
        <w:ind w:left="1440" w:hanging="720"/>
        <w:jc w:val="both"/>
        <w:rPr>
          <w:color w:val="000000" w:themeColor="text1"/>
          <w:sz w:val="22"/>
          <w:szCs w:val="22"/>
        </w:rPr>
      </w:pPr>
      <w:r w:rsidRPr="00691929">
        <w:rPr>
          <w:rFonts w:eastAsiaTheme="minorHAnsi"/>
          <w:iCs/>
          <w:sz w:val="22"/>
          <w:szCs w:val="22"/>
        </w:rPr>
        <w:t>1.4.3</w:t>
      </w:r>
      <w:r w:rsidRPr="00691929">
        <w:rPr>
          <w:rFonts w:eastAsiaTheme="minorHAnsi"/>
          <w:iCs/>
          <w:sz w:val="22"/>
          <w:szCs w:val="22"/>
        </w:rPr>
        <w:tab/>
        <w:t xml:space="preserve">Require tax examiners to receive mandatory training regarding key indicators of bribery when a tax benefit is claimed that is based on an act of corruption and transnational bribery, as set out in the Interamerican Convention against Corruption. </w:t>
      </w:r>
      <w:r w:rsidRPr="00691929">
        <w:rPr>
          <w:color w:val="000000" w:themeColor="text1"/>
          <w:sz w:val="22"/>
          <w:szCs w:val="22"/>
        </w:rPr>
        <w:t xml:space="preserve">(See paragraph </w:t>
      </w:r>
      <w:r w:rsidR="00EE2F49" w:rsidRPr="00691929">
        <w:rPr>
          <w:color w:val="000000" w:themeColor="text1"/>
          <w:sz w:val="22"/>
          <w:szCs w:val="22"/>
        </w:rPr>
        <w:t>60</w:t>
      </w:r>
      <w:r w:rsidRPr="00691929">
        <w:rPr>
          <w:color w:val="000000" w:themeColor="text1"/>
          <w:sz w:val="22"/>
          <w:szCs w:val="22"/>
        </w:rPr>
        <w:t xml:space="preserve"> in section 1.1 of Chapter II of this Report)</w:t>
      </w:r>
    </w:p>
    <w:p w14:paraId="6E3D1432" w14:textId="77777777" w:rsidR="000C7996" w:rsidRPr="00ED4A39" w:rsidRDefault="000C7996" w:rsidP="005C0718">
      <w:pPr>
        <w:ind w:left="1440" w:hanging="720"/>
        <w:jc w:val="both"/>
      </w:pPr>
    </w:p>
    <w:p w14:paraId="091CFD3E" w14:textId="77777777" w:rsidR="000C7996" w:rsidRPr="00804DBA" w:rsidRDefault="000C7996">
      <w:pPr>
        <w:pStyle w:val="ListParagraph"/>
        <w:numPr>
          <w:ilvl w:val="0"/>
          <w:numId w:val="6"/>
        </w:numPr>
        <w:jc w:val="both"/>
        <w:rPr>
          <w:rStyle w:val="eop"/>
          <w:b/>
          <w:bCs/>
        </w:rPr>
      </w:pPr>
      <w:r w:rsidRPr="000C7996">
        <w:rPr>
          <w:b/>
          <w:bCs/>
          <w:u w:color="000000"/>
        </w:rPr>
        <w:t>PREVENTION</w:t>
      </w:r>
      <w:r w:rsidRPr="00804DBA">
        <w:rPr>
          <w:rStyle w:val="normaltextrun"/>
          <w:b/>
          <w:bCs/>
        </w:rPr>
        <w:t xml:space="preserve"> OF BRIBERY OF DOMESTIC AND FOREIGN PUBLIC OFFICIALS (ARTICLE III, PARAGRAPH 10 OF THE CONVENTION).</w:t>
      </w:r>
      <w:r w:rsidRPr="00804DBA">
        <w:rPr>
          <w:rStyle w:val="eop"/>
        </w:rPr>
        <w:t> </w:t>
      </w:r>
    </w:p>
    <w:p w14:paraId="382BDD69" w14:textId="77777777" w:rsidR="000C7996" w:rsidRPr="00804DBA" w:rsidRDefault="000C7996" w:rsidP="000C7996">
      <w:pPr>
        <w:pStyle w:val="ListParagraph"/>
        <w:ind w:left="360"/>
        <w:jc w:val="both"/>
      </w:pPr>
    </w:p>
    <w:p w14:paraId="05D9CD3B" w14:textId="1855A18F" w:rsidR="000C7996" w:rsidRPr="00804DBA" w:rsidRDefault="000C7996">
      <w:pPr>
        <w:numPr>
          <w:ilvl w:val="1"/>
          <w:numId w:val="6"/>
        </w:numPr>
        <w:jc w:val="both"/>
        <w:rPr>
          <w:b/>
          <w:bCs/>
          <w:sz w:val="22"/>
          <w:szCs w:val="22"/>
        </w:rPr>
      </w:pPr>
      <w:r w:rsidRPr="00804DBA">
        <w:rPr>
          <w:rStyle w:val="normaltextrun"/>
          <w:b/>
          <w:bCs/>
          <w:sz w:val="22"/>
          <w:szCs w:val="22"/>
        </w:rPr>
        <w:t xml:space="preserve">Follow-Up to the Implementation of the </w:t>
      </w:r>
      <w:r w:rsidR="00853153">
        <w:rPr>
          <w:rStyle w:val="normaltextrun"/>
          <w:b/>
          <w:bCs/>
          <w:sz w:val="22"/>
          <w:szCs w:val="22"/>
        </w:rPr>
        <w:t>R</w:t>
      </w:r>
      <w:r w:rsidR="00E51567">
        <w:rPr>
          <w:rStyle w:val="normaltextrun"/>
          <w:b/>
          <w:bCs/>
          <w:sz w:val="22"/>
          <w:szCs w:val="22"/>
        </w:rPr>
        <w:t xml:space="preserve">ecommendations </w:t>
      </w:r>
      <w:r w:rsidR="00853153">
        <w:rPr>
          <w:rStyle w:val="normaltextrun"/>
          <w:b/>
          <w:bCs/>
          <w:sz w:val="22"/>
          <w:szCs w:val="22"/>
        </w:rPr>
        <w:t>F</w:t>
      </w:r>
      <w:r w:rsidRPr="00804DBA">
        <w:rPr>
          <w:rStyle w:val="normaltextrun"/>
          <w:b/>
          <w:bCs/>
          <w:sz w:val="22"/>
          <w:szCs w:val="22"/>
        </w:rPr>
        <w:t>ormulated in the Third Round.</w:t>
      </w:r>
      <w:r w:rsidRPr="00804DBA">
        <w:rPr>
          <w:rStyle w:val="eop"/>
          <w:sz w:val="22"/>
          <w:szCs w:val="22"/>
        </w:rPr>
        <w:t> </w:t>
      </w:r>
    </w:p>
    <w:p w14:paraId="0FA2F9DF" w14:textId="77777777" w:rsidR="000C7996" w:rsidRPr="00804DBA" w:rsidRDefault="000C7996" w:rsidP="000C7996">
      <w:pPr>
        <w:pStyle w:val="paragraph"/>
        <w:spacing w:before="0" w:beforeAutospacing="0" w:after="0" w:afterAutospacing="0"/>
        <w:jc w:val="both"/>
        <w:textAlignment w:val="baseline"/>
        <w:rPr>
          <w:rStyle w:val="normaltextrun"/>
          <w:sz w:val="22"/>
          <w:szCs w:val="22"/>
          <w:u w:val="single"/>
        </w:rPr>
      </w:pPr>
    </w:p>
    <w:p w14:paraId="7A58A4A5" w14:textId="77777777" w:rsidR="000C7996" w:rsidRPr="00804DBA" w:rsidRDefault="000C7996" w:rsidP="000C7996">
      <w:pPr>
        <w:pStyle w:val="paragraph"/>
        <w:spacing w:before="0" w:beforeAutospacing="0" w:after="0" w:afterAutospacing="0"/>
        <w:jc w:val="both"/>
        <w:textAlignment w:val="baseline"/>
        <w:rPr>
          <w:rStyle w:val="eop"/>
          <w:sz w:val="22"/>
          <w:szCs w:val="22"/>
        </w:rPr>
      </w:pPr>
      <w:r w:rsidRPr="00804DBA">
        <w:rPr>
          <w:rStyle w:val="normaltextrun"/>
          <w:sz w:val="22"/>
          <w:szCs w:val="22"/>
          <w:u w:val="single"/>
        </w:rPr>
        <w:t>Recommendation 2(a) suggested by the Committee:</w:t>
      </w:r>
      <w:r w:rsidRPr="00804DBA">
        <w:rPr>
          <w:rStyle w:val="normaltextrun"/>
          <w:sz w:val="22"/>
          <w:szCs w:val="22"/>
        </w:rPr>
        <w:t> </w:t>
      </w:r>
      <w:r w:rsidRPr="00804DBA">
        <w:rPr>
          <w:rStyle w:val="eop"/>
          <w:sz w:val="22"/>
          <w:szCs w:val="22"/>
        </w:rPr>
        <w:t> </w:t>
      </w:r>
    </w:p>
    <w:p w14:paraId="728E2CBD" w14:textId="49420CC4" w:rsidR="00ED4A39" w:rsidRDefault="00ED4A39" w:rsidP="00ED4A39">
      <w:pPr>
        <w:pStyle w:val="ListParagraph"/>
        <w:ind w:left="10"/>
        <w:jc w:val="both"/>
        <w:rPr>
          <w:rFonts w:eastAsia="Times New Roman"/>
        </w:rPr>
      </w:pPr>
    </w:p>
    <w:p w14:paraId="1D07C977" w14:textId="35D18DC0" w:rsidR="000C7996" w:rsidRDefault="000C7996" w:rsidP="000C7996">
      <w:pPr>
        <w:jc w:val="both"/>
        <w:rPr>
          <w:i/>
          <w:iCs/>
          <w:sz w:val="22"/>
          <w:szCs w:val="22"/>
        </w:rPr>
      </w:pPr>
      <w:r w:rsidRPr="000C7996">
        <w:rPr>
          <w:i/>
          <w:iCs/>
          <w:sz w:val="22"/>
          <w:szCs w:val="22"/>
        </w:rPr>
        <w:t xml:space="preserve">Consider adopting, through the means it deems appropriate, any additional measures that might be beneficial, to further promote that professional confidentiality is not an obstacle for auditors whose </w:t>
      </w:r>
      <w:r w:rsidRPr="000C7996">
        <w:rPr>
          <w:i/>
          <w:iCs/>
          <w:sz w:val="22"/>
          <w:szCs w:val="22"/>
        </w:rPr>
        <w:lastRenderedPageBreak/>
        <w:t>activities are governed by the AICPA and its Code of Conduct to bring to the attention of the appropriate authorities any acts of corruption of which they become aware in the performance of their duties</w:t>
      </w:r>
      <w:r>
        <w:rPr>
          <w:i/>
          <w:iCs/>
          <w:sz w:val="22"/>
          <w:szCs w:val="22"/>
        </w:rPr>
        <w:t>.</w:t>
      </w:r>
    </w:p>
    <w:p w14:paraId="4CCB3513" w14:textId="77777777" w:rsidR="000C7996" w:rsidRDefault="000C7996" w:rsidP="000C7996">
      <w:pPr>
        <w:jc w:val="both"/>
        <w:rPr>
          <w:i/>
          <w:iCs/>
          <w:sz w:val="22"/>
          <w:szCs w:val="22"/>
        </w:rPr>
      </w:pPr>
    </w:p>
    <w:p w14:paraId="22DC5BD7" w14:textId="4873D853" w:rsidR="000C7996" w:rsidRPr="00E658BF" w:rsidRDefault="00255325" w:rsidP="00D51BB6">
      <w:pPr>
        <w:pStyle w:val="ListParagraph"/>
        <w:numPr>
          <w:ilvl w:val="0"/>
          <w:numId w:val="1"/>
        </w:numPr>
        <w:jc w:val="both"/>
        <w:rPr>
          <w:rFonts w:eastAsia="Times New Roman"/>
        </w:rPr>
      </w:pPr>
      <w:r w:rsidRPr="00804DBA">
        <w:t xml:space="preserve">With respect to the </w:t>
      </w:r>
      <w:proofErr w:type="gramStart"/>
      <w:r w:rsidRPr="00804DBA">
        <w:t>aforementioned measure</w:t>
      </w:r>
      <w:proofErr w:type="gramEnd"/>
      <w:r w:rsidRPr="00804DBA">
        <w:t>, in its Response, the country under review presented information that it considers pertinent</w:t>
      </w:r>
      <w:r w:rsidR="00D51BB6" w:rsidRPr="005A2298">
        <w:rPr>
          <w:rFonts w:eastAsiaTheme="minorHAnsi"/>
          <w:bCs/>
          <w:iCs/>
        </w:rPr>
        <w:t>:</w:t>
      </w:r>
      <w:r w:rsidR="00D51BB6" w:rsidRPr="005A2298">
        <w:rPr>
          <w:rStyle w:val="FootnoteReference"/>
        </w:rPr>
        <w:footnoteReference w:id="49"/>
      </w:r>
    </w:p>
    <w:p w14:paraId="71A6F283" w14:textId="77777777" w:rsidR="00E658BF" w:rsidRDefault="00E658BF" w:rsidP="00E658BF">
      <w:pPr>
        <w:pStyle w:val="ListParagraph"/>
        <w:ind w:left="10"/>
        <w:jc w:val="both"/>
        <w:rPr>
          <w:rFonts w:eastAsiaTheme="minorHAnsi"/>
          <w:bCs/>
          <w:iCs/>
        </w:rPr>
      </w:pPr>
    </w:p>
    <w:p w14:paraId="35F1F5CA" w14:textId="63B20293" w:rsidR="00D51BB6" w:rsidRPr="004676A0" w:rsidRDefault="00255325" w:rsidP="00255325">
      <w:pPr>
        <w:pStyle w:val="ListParagraph"/>
        <w:numPr>
          <w:ilvl w:val="0"/>
          <w:numId w:val="1"/>
        </w:numPr>
        <w:jc w:val="both"/>
        <w:rPr>
          <w:rFonts w:eastAsia="Times New Roman"/>
        </w:rPr>
      </w:pPr>
      <w:r>
        <w:rPr>
          <w:rFonts w:eastAsia="Times New Roman"/>
        </w:rPr>
        <w:t xml:space="preserve">In this respect, the country under review notes the provisions of section 10A of the Securities and Exchange Act, which </w:t>
      </w:r>
      <w:r w:rsidRPr="00255325">
        <w:rPr>
          <w:rFonts w:eastAsia="Times New Roman"/>
        </w:rPr>
        <w:t xml:space="preserve">requires a company's board of directors or its auditor to notify the Securities and Exchange Commission about </w:t>
      </w:r>
      <w:r w:rsidRPr="004676A0">
        <w:rPr>
          <w:rFonts w:eastAsia="Times New Roman"/>
        </w:rPr>
        <w:t>possible illegal acts under certain conditions as well as the standards set out by the Public Company Accounting Oversight Board</w:t>
      </w:r>
      <w:r w:rsidR="00D84FB4" w:rsidRPr="004676A0">
        <w:rPr>
          <w:rFonts w:eastAsia="Times New Roman"/>
        </w:rPr>
        <w:t xml:space="preserve"> (PCAOB)</w:t>
      </w:r>
      <w:r w:rsidRPr="004676A0">
        <w:rPr>
          <w:rFonts w:eastAsia="Times New Roman"/>
        </w:rPr>
        <w:t>. The Committee observes that the provisions provided were already reviewed and considered by the Committee in the Report of the Third Round.</w:t>
      </w:r>
      <w:r w:rsidRPr="004676A0">
        <w:rPr>
          <w:rStyle w:val="FootnoteReference"/>
          <w:rFonts w:eastAsia="Times New Roman"/>
        </w:rPr>
        <w:footnoteReference w:id="50"/>
      </w:r>
    </w:p>
    <w:p w14:paraId="3ABFA90F" w14:textId="77777777" w:rsidR="00255325" w:rsidRPr="004676A0" w:rsidRDefault="00255325" w:rsidP="00255325">
      <w:pPr>
        <w:pStyle w:val="ListParagraph"/>
        <w:rPr>
          <w:rFonts w:eastAsia="Times New Roman"/>
        </w:rPr>
      </w:pPr>
    </w:p>
    <w:p w14:paraId="5C22B67C" w14:textId="4EBDC5CA" w:rsidR="00255325" w:rsidRDefault="00255325" w:rsidP="00255325">
      <w:pPr>
        <w:pStyle w:val="ListParagraph"/>
        <w:numPr>
          <w:ilvl w:val="0"/>
          <w:numId w:val="1"/>
        </w:numPr>
        <w:jc w:val="both"/>
        <w:rPr>
          <w:rFonts w:eastAsia="Times New Roman"/>
        </w:rPr>
      </w:pPr>
      <w:r w:rsidRPr="004676A0">
        <w:rPr>
          <w:rFonts w:eastAsia="Times New Roman"/>
        </w:rPr>
        <w:t xml:space="preserve">The Committee further observes that </w:t>
      </w:r>
      <w:r w:rsidR="005950F1" w:rsidRPr="004676A0">
        <w:rPr>
          <w:rFonts w:eastAsia="Times New Roman"/>
        </w:rPr>
        <w:t>a</w:t>
      </w:r>
      <w:r w:rsidRPr="004676A0">
        <w:rPr>
          <w:rFonts w:eastAsia="Times New Roman"/>
        </w:rPr>
        <w:t xml:space="preserve"> Code of Conduct of the American Institute of Certified Public Accountants (AICPA) was </w:t>
      </w:r>
      <w:r w:rsidR="00043650" w:rsidRPr="004676A0">
        <w:rPr>
          <w:rFonts w:eastAsia="Times New Roman"/>
        </w:rPr>
        <w:t xml:space="preserve">updated in 2014, </w:t>
      </w:r>
      <w:proofErr w:type="gramStart"/>
      <w:r w:rsidR="00043650" w:rsidRPr="004676A0">
        <w:rPr>
          <w:rFonts w:eastAsia="Times New Roman"/>
        </w:rPr>
        <w:t>subsequent to</w:t>
      </w:r>
      <w:proofErr w:type="gramEnd"/>
      <w:r w:rsidR="00043650" w:rsidRPr="004676A0">
        <w:rPr>
          <w:rFonts w:eastAsia="Times New Roman"/>
        </w:rPr>
        <w:t xml:space="preserve"> the adoption of the Report of the Third Round. In this respect, the Committee notes</w:t>
      </w:r>
      <w:r w:rsidR="003F1923" w:rsidRPr="004676A0">
        <w:rPr>
          <w:rFonts w:eastAsia="Times New Roman"/>
        </w:rPr>
        <w:t>, however,</w:t>
      </w:r>
      <w:r w:rsidR="00043650" w:rsidRPr="004676A0">
        <w:rPr>
          <w:rFonts w:eastAsia="Times New Roman"/>
        </w:rPr>
        <w:t xml:space="preserve"> that the provisions on client confidentiality are identical to the one reviewed by the Committee in the Third Round</w:t>
      </w:r>
      <w:r w:rsidR="003F1923" w:rsidRPr="004676A0">
        <w:rPr>
          <w:rFonts w:eastAsia="Times New Roman"/>
        </w:rPr>
        <w:t xml:space="preserve"> in the previous version</w:t>
      </w:r>
      <w:r w:rsidR="00ED565C" w:rsidRPr="004676A0">
        <w:rPr>
          <w:rFonts w:eastAsia="Times New Roman"/>
        </w:rPr>
        <w:t xml:space="preserve"> and it appears no further developments have been carried out to further promote that professional confidentiality is not an obstacle for</w:t>
      </w:r>
      <w:r w:rsidR="00A51139" w:rsidRPr="004676A0">
        <w:rPr>
          <w:rFonts w:eastAsia="Times New Roman"/>
        </w:rPr>
        <w:t xml:space="preserve"> private sector</w:t>
      </w:r>
      <w:r w:rsidR="00ED565C" w:rsidRPr="004676A0">
        <w:rPr>
          <w:rFonts w:eastAsia="Times New Roman"/>
        </w:rPr>
        <w:t xml:space="preserve"> auditors whose activities are</w:t>
      </w:r>
      <w:r w:rsidR="00ED565C" w:rsidRPr="00ED565C">
        <w:rPr>
          <w:rFonts w:eastAsia="Times New Roman"/>
        </w:rPr>
        <w:t xml:space="preserve"> governed by the AICPA and its Code of Conduct to bring to the attention of the appropriate authorities any acts of corruption of which they become aware in the performance of their duties</w:t>
      </w:r>
      <w:r w:rsidR="003F1923">
        <w:rPr>
          <w:rFonts w:eastAsia="Times New Roman"/>
        </w:rPr>
        <w:t>.</w:t>
      </w:r>
      <w:r w:rsidR="003F1923">
        <w:rPr>
          <w:rStyle w:val="FootnoteReference"/>
          <w:rFonts w:eastAsia="Times New Roman"/>
        </w:rPr>
        <w:footnoteReference w:id="51"/>
      </w:r>
    </w:p>
    <w:p w14:paraId="2C872E54" w14:textId="77777777" w:rsidR="003F1923" w:rsidRPr="003F1923" w:rsidRDefault="003F1923" w:rsidP="003F1923">
      <w:pPr>
        <w:pStyle w:val="ListParagraph"/>
        <w:rPr>
          <w:rFonts w:eastAsia="Times New Roman"/>
        </w:rPr>
      </w:pPr>
    </w:p>
    <w:p w14:paraId="24D578C7" w14:textId="5982C8A1" w:rsidR="003F1923" w:rsidRDefault="003F1923" w:rsidP="00255325">
      <w:pPr>
        <w:pStyle w:val="ListParagraph"/>
        <w:numPr>
          <w:ilvl w:val="0"/>
          <w:numId w:val="1"/>
        </w:numPr>
        <w:jc w:val="both"/>
        <w:rPr>
          <w:rFonts w:eastAsia="Times New Roman"/>
        </w:rPr>
      </w:pPr>
      <w:r>
        <w:rPr>
          <w:rFonts w:eastAsia="Times New Roman"/>
        </w:rPr>
        <w:t>Given the foregoing, the Committe</w:t>
      </w:r>
      <w:r w:rsidR="00ED565C">
        <w:rPr>
          <w:rFonts w:eastAsia="Times New Roman"/>
        </w:rPr>
        <w:t xml:space="preserve">e </w:t>
      </w:r>
      <w:r w:rsidR="00ED565C" w:rsidRPr="00ED565C">
        <w:rPr>
          <w:rFonts w:eastAsia="Times New Roman"/>
        </w:rPr>
        <w:t>takes note of the need for the country under review to give additional attention to implementation of recommendation 2(a). (See Recommendation 2.4.1 in section 2.4 of Chapter II of this Report)</w:t>
      </w:r>
    </w:p>
    <w:p w14:paraId="0CC311DF" w14:textId="77777777" w:rsidR="00ED565C" w:rsidRPr="00ED565C" w:rsidRDefault="00ED565C" w:rsidP="00ED565C">
      <w:pPr>
        <w:pStyle w:val="ListParagraph"/>
        <w:rPr>
          <w:rFonts w:eastAsia="Times New Roman"/>
        </w:rPr>
      </w:pPr>
    </w:p>
    <w:p w14:paraId="169FD535" w14:textId="733113BE" w:rsidR="00ED565C" w:rsidRDefault="00ED565C" w:rsidP="00ED565C">
      <w:pPr>
        <w:jc w:val="both"/>
      </w:pPr>
      <w:r w:rsidRPr="00804DBA">
        <w:rPr>
          <w:rStyle w:val="normaltextrun"/>
          <w:sz w:val="22"/>
          <w:szCs w:val="22"/>
          <w:u w:val="single"/>
        </w:rPr>
        <w:t>Recommendation 2(</w:t>
      </w:r>
      <w:r>
        <w:rPr>
          <w:rStyle w:val="normaltextrun"/>
          <w:sz w:val="22"/>
          <w:szCs w:val="22"/>
          <w:u w:val="single"/>
        </w:rPr>
        <w:t>b</w:t>
      </w:r>
      <w:r w:rsidRPr="00804DBA">
        <w:rPr>
          <w:rStyle w:val="normaltextrun"/>
          <w:sz w:val="22"/>
          <w:szCs w:val="22"/>
          <w:u w:val="single"/>
        </w:rPr>
        <w:t>) suggested by the Committee:</w:t>
      </w:r>
      <w:r w:rsidRPr="00804DBA">
        <w:rPr>
          <w:rStyle w:val="normaltextrun"/>
          <w:sz w:val="22"/>
          <w:szCs w:val="22"/>
        </w:rPr>
        <w:t> </w:t>
      </w:r>
    </w:p>
    <w:p w14:paraId="7B4F3B5E" w14:textId="77777777" w:rsidR="00ED565C" w:rsidRDefault="00ED565C" w:rsidP="00ED565C">
      <w:pPr>
        <w:jc w:val="both"/>
      </w:pPr>
    </w:p>
    <w:p w14:paraId="4D1D92E9" w14:textId="3CCF647F" w:rsidR="00ED565C" w:rsidRDefault="00ED565C" w:rsidP="00ED565C">
      <w:pPr>
        <w:pStyle w:val="ListParagraph"/>
        <w:ind w:left="10"/>
        <w:jc w:val="both"/>
      </w:pPr>
      <w:r w:rsidRPr="00ED565C">
        <w:rPr>
          <w:i/>
          <w:iCs/>
        </w:rPr>
        <w:t xml:space="preserve">Consider continuing its efforts regarding holding awareness campaigns that target the individuals responsible for the entry of accounting records and for accounting for their accuracy, on the importance of abiding by the standards in force to ensure the veracity of those records as well as on the consequences of their violation. The country under review could also consider continuing its efforts regarding the implementation of training programs specifically designed to instruct those who work </w:t>
      </w:r>
      <w:proofErr w:type="gramStart"/>
      <w:r w:rsidRPr="00ED565C">
        <w:rPr>
          <w:i/>
          <w:iCs/>
        </w:rPr>
        <w:t>in the area of</w:t>
      </w:r>
      <w:proofErr w:type="gramEnd"/>
      <w:r w:rsidRPr="00ED565C">
        <w:rPr>
          <w:i/>
          <w:iCs/>
        </w:rPr>
        <w:t xml:space="preserve"> internal control in publicly held companies and other types of associations required to keep accounting records, on how to detect acts of corruption in the course of their work</w:t>
      </w:r>
      <w:r>
        <w:t>.</w:t>
      </w:r>
    </w:p>
    <w:p w14:paraId="63791AAF" w14:textId="77777777" w:rsidR="00ED565C" w:rsidRDefault="00ED565C" w:rsidP="00ED565C">
      <w:pPr>
        <w:pStyle w:val="ListParagraph"/>
        <w:ind w:left="10"/>
        <w:jc w:val="both"/>
        <w:rPr>
          <w:rFonts w:eastAsia="Times New Roman"/>
        </w:rPr>
      </w:pPr>
    </w:p>
    <w:p w14:paraId="31EE7110" w14:textId="04D3EE99" w:rsidR="00ED565C" w:rsidRPr="0020512F" w:rsidRDefault="00BF01E2" w:rsidP="00ED565C">
      <w:pPr>
        <w:pStyle w:val="ListParagraph"/>
        <w:numPr>
          <w:ilvl w:val="0"/>
          <w:numId w:val="1"/>
        </w:numPr>
        <w:jc w:val="both"/>
        <w:rPr>
          <w:rFonts w:eastAsia="Times New Roman"/>
        </w:rPr>
      </w:pPr>
      <w:r w:rsidRPr="00ED4A39">
        <w:rPr>
          <w:rFonts w:eastAsiaTheme="minorHAnsi"/>
          <w:bCs/>
          <w:iCs/>
        </w:rPr>
        <w:lastRenderedPageBreak/>
        <w:t>With</w:t>
      </w:r>
      <w:r w:rsidRPr="0032785D">
        <w:t xml:space="preserve"> respect to the </w:t>
      </w:r>
      <w:proofErr w:type="gramStart"/>
      <w:r w:rsidRPr="0032785D">
        <w:t>aforementioned measure</w:t>
      </w:r>
      <w:proofErr w:type="gramEnd"/>
      <w:r w:rsidRPr="0032785D">
        <w:t>, in its Response, the country under review presents information and new developments</w:t>
      </w:r>
      <w:r w:rsidRPr="00963C76">
        <w:t>, which the Committee notes as a step that contributes to progress in the implementation of the measure</w:t>
      </w:r>
      <w:r w:rsidR="00ED565C">
        <w:rPr>
          <w:rFonts w:eastAsiaTheme="minorHAnsi"/>
          <w:bCs/>
          <w:iCs/>
        </w:rPr>
        <w:t>:</w:t>
      </w:r>
      <w:r w:rsidRPr="005A2298">
        <w:rPr>
          <w:rStyle w:val="FootnoteReference"/>
        </w:rPr>
        <w:footnoteReference w:id="52"/>
      </w:r>
    </w:p>
    <w:p w14:paraId="291D9170" w14:textId="77777777" w:rsidR="0020512F" w:rsidRPr="0020512F" w:rsidRDefault="0020512F" w:rsidP="0020512F">
      <w:pPr>
        <w:pStyle w:val="ListParagraph"/>
        <w:ind w:left="10"/>
        <w:jc w:val="both"/>
        <w:rPr>
          <w:rFonts w:eastAsia="Times New Roman"/>
        </w:rPr>
      </w:pPr>
    </w:p>
    <w:p w14:paraId="513383D1" w14:textId="308C6E1A" w:rsidR="0020512F" w:rsidRPr="0020512F" w:rsidRDefault="0020512F" w:rsidP="0020512F">
      <w:pPr>
        <w:pStyle w:val="ListParagraph"/>
        <w:numPr>
          <w:ilvl w:val="0"/>
          <w:numId w:val="1"/>
        </w:numPr>
        <w:jc w:val="both"/>
        <w:rPr>
          <w:rFonts w:eastAsia="Times New Roman"/>
        </w:rPr>
      </w:pPr>
      <w:r>
        <w:rPr>
          <w:rFonts w:eastAsia="Times New Roman"/>
        </w:rPr>
        <w:t xml:space="preserve">– The country under review notes that it has </w:t>
      </w:r>
      <w:proofErr w:type="gramStart"/>
      <w:r>
        <w:rPr>
          <w:rFonts w:eastAsia="Times New Roman"/>
        </w:rPr>
        <w:t>a number of</w:t>
      </w:r>
      <w:proofErr w:type="gramEnd"/>
      <w:r>
        <w:rPr>
          <w:rFonts w:eastAsia="Times New Roman"/>
        </w:rPr>
        <w:t xml:space="preserve"> useful materials for individuals wanting to learn more about US anticorruption </w:t>
      </w:r>
      <w:r w:rsidR="00ED34EF">
        <w:rPr>
          <w:rFonts w:eastAsia="Times New Roman"/>
        </w:rPr>
        <w:t>policies</w:t>
      </w:r>
      <w:r>
        <w:rPr>
          <w:rFonts w:eastAsia="Times New Roman"/>
        </w:rPr>
        <w:t xml:space="preserve"> and practices. In this respect, the country under review cites the Resource Guide to the US Foreign Corrupt Practices Act (FCPA), which is prepared by the US Department of Justice and the Securities and Exchange Commission. This Guide, originally released in 2012 and updated in July 2020, provides </w:t>
      </w:r>
      <w:r w:rsidRPr="0020512F">
        <w:rPr>
          <w:rFonts w:eastAsia="Times New Roman"/>
        </w:rPr>
        <w:t>a detailed compilation of information and analysis regarding the Foreign Corrupt Practices Act and related enforcement. It endeavors to provide helpful information to the public, including practitioners and enterprises of all shapes and sizes</w:t>
      </w:r>
      <w:r w:rsidR="00326889">
        <w:rPr>
          <w:rFonts w:eastAsia="Times New Roman"/>
        </w:rPr>
        <w:t>;</w:t>
      </w:r>
      <w:r w:rsidRPr="0020512F">
        <w:rPr>
          <w:rFonts w:eastAsia="Times New Roman"/>
        </w:rPr>
        <w:t xml:space="preserve"> from small businesses transacting abroad for the first time to multinational corporations with subsidiaries around the world. The country under review further notes:</w:t>
      </w:r>
      <w:r>
        <w:rPr>
          <w:rStyle w:val="FootnoteReference"/>
          <w:rFonts w:eastAsia="Times New Roman"/>
        </w:rPr>
        <w:footnoteReference w:id="53"/>
      </w:r>
      <w:r>
        <w:rPr>
          <w:rFonts w:eastAsia="Times New Roman"/>
        </w:rPr>
        <w:t xml:space="preserve"> </w:t>
      </w:r>
    </w:p>
    <w:p w14:paraId="35B3B6A1" w14:textId="77777777" w:rsidR="0020512F" w:rsidRPr="0020512F" w:rsidRDefault="0020512F" w:rsidP="0020512F">
      <w:pPr>
        <w:jc w:val="both"/>
      </w:pPr>
    </w:p>
    <w:p w14:paraId="472E69CD" w14:textId="288DC16D" w:rsidR="0020512F" w:rsidRDefault="0020512F" w:rsidP="0020512F">
      <w:pPr>
        <w:pStyle w:val="ListParagraph"/>
        <w:numPr>
          <w:ilvl w:val="0"/>
          <w:numId w:val="1"/>
        </w:numPr>
        <w:jc w:val="both"/>
        <w:rPr>
          <w:rFonts w:eastAsia="Times New Roman"/>
        </w:rPr>
      </w:pPr>
      <w:r>
        <w:rPr>
          <w:rFonts w:eastAsia="Times New Roman"/>
        </w:rPr>
        <w:t>“</w:t>
      </w:r>
      <w:r w:rsidRPr="0020512F">
        <w:rPr>
          <w:rFonts w:eastAsia="Times New Roman"/>
          <w:i/>
          <w:iCs/>
        </w:rPr>
        <w:t>[T]he Guide addresses a wide variety of topics, including who and what is covered by the FCPA’s anti-bribery and accounting provisions; the definition of a “foreign official”; the jurisdictional reach of the FCPA; types of proper and improper payments; application of successor liability in the mergers and acquisitions context; the hallmarks of an effective corporate compliance program; and the different types of civil and criminal resolutions available in the FCPA context. The Guide also sets out the factors considered by DOJ and SEC when deciding to open an investigation or bring charges, such as among others, voluntary self-disclosure, full cooperation, and timely and appropriate remediation, including implementation of an effective compliance and ethics program.  On these and other topics, the Guide provides detailed information about the statutory requirements as well as insight into DOJ and SEC enforcement policies and practices through hypotheticals, examples of enforcement actions and declinations, and summaries of applicable case law.  The Guide is also available in Spanish</w:t>
      </w:r>
      <w:r w:rsidRPr="0020512F">
        <w:rPr>
          <w:rFonts w:eastAsia="Times New Roman"/>
        </w:rPr>
        <w:t>.</w:t>
      </w:r>
      <w:r>
        <w:rPr>
          <w:rFonts w:eastAsia="Times New Roman"/>
        </w:rPr>
        <w:t>”</w:t>
      </w:r>
      <w:r w:rsidR="00CD5FDB">
        <w:rPr>
          <w:rStyle w:val="FootnoteReference"/>
          <w:rFonts w:eastAsia="Times New Roman"/>
        </w:rPr>
        <w:footnoteReference w:id="54"/>
      </w:r>
    </w:p>
    <w:p w14:paraId="46245C08" w14:textId="77777777" w:rsidR="0020512F" w:rsidRDefault="0020512F" w:rsidP="0020512F">
      <w:pPr>
        <w:pStyle w:val="ListParagraph"/>
        <w:rPr>
          <w:rFonts w:eastAsia="Times New Roman"/>
        </w:rPr>
      </w:pPr>
    </w:p>
    <w:p w14:paraId="686E8F8E" w14:textId="77777777" w:rsidR="007B6F79" w:rsidRPr="0020512F" w:rsidRDefault="007B6F79" w:rsidP="0020512F">
      <w:pPr>
        <w:pStyle w:val="ListParagraph"/>
        <w:rPr>
          <w:rFonts w:eastAsia="Times New Roman"/>
        </w:rPr>
      </w:pPr>
    </w:p>
    <w:p w14:paraId="769B7D57" w14:textId="36250378" w:rsidR="0020512F" w:rsidRDefault="0020512F" w:rsidP="0020512F">
      <w:pPr>
        <w:pStyle w:val="ListParagraph"/>
        <w:numPr>
          <w:ilvl w:val="0"/>
          <w:numId w:val="1"/>
        </w:numPr>
        <w:jc w:val="both"/>
        <w:rPr>
          <w:rFonts w:eastAsia="Times New Roman"/>
        </w:rPr>
      </w:pPr>
      <w:r>
        <w:rPr>
          <w:rFonts w:eastAsia="Times New Roman"/>
        </w:rPr>
        <w:t xml:space="preserve">The Committee notes that </w:t>
      </w:r>
      <w:r w:rsidR="007153A6">
        <w:rPr>
          <w:rFonts w:eastAsia="Times New Roman"/>
        </w:rPr>
        <w:t xml:space="preserve">the Guide provides </w:t>
      </w:r>
      <w:r w:rsidR="00AB1441">
        <w:rPr>
          <w:rFonts w:eastAsia="Times New Roman"/>
        </w:rPr>
        <w:t>an overview of the accounting provisions applicable to public companies</w:t>
      </w:r>
      <w:r w:rsidR="00F254DB">
        <w:rPr>
          <w:rFonts w:eastAsia="Times New Roman"/>
        </w:rPr>
        <w:t xml:space="preserve"> covered by</w:t>
      </w:r>
      <w:r w:rsidR="00AB1441">
        <w:rPr>
          <w:rFonts w:eastAsia="Times New Roman"/>
        </w:rPr>
        <w:t xml:space="preserve"> the FCPA</w:t>
      </w:r>
      <w:r w:rsidR="00F254DB">
        <w:rPr>
          <w:rFonts w:eastAsia="Times New Roman"/>
        </w:rPr>
        <w:t>.</w:t>
      </w:r>
      <w:r w:rsidR="00AB1441">
        <w:rPr>
          <w:rFonts w:eastAsia="Times New Roman"/>
        </w:rPr>
        <w:t xml:space="preserve"> These provisions are designed to strengthen the accuracy of the corporate books and records and the reliability of the audit process.</w:t>
      </w:r>
      <w:r w:rsidR="00AB1441">
        <w:rPr>
          <w:rStyle w:val="FootnoteReference"/>
          <w:rFonts w:eastAsia="Times New Roman"/>
        </w:rPr>
        <w:footnoteReference w:id="55"/>
      </w:r>
      <w:r w:rsidR="00AB1441">
        <w:rPr>
          <w:rFonts w:eastAsia="Times New Roman"/>
        </w:rPr>
        <w:t xml:space="preserve"> The Guide goes into greater detail on two primacy components of the FCPA. The first is the books and records provisions, by which issuers</w:t>
      </w:r>
      <w:r w:rsidR="00410334">
        <w:rPr>
          <w:rFonts w:eastAsia="Times New Roman"/>
        </w:rPr>
        <w:t xml:space="preserve">, </w:t>
      </w:r>
      <w:r w:rsidR="00410334">
        <w:t xml:space="preserve">companies that are required to file reports with the </w:t>
      </w:r>
      <w:r w:rsidR="003A0F19">
        <w:t>Securities and Exchange Commission (</w:t>
      </w:r>
      <w:r w:rsidR="00410334">
        <w:t>SEC</w:t>
      </w:r>
      <w:r w:rsidR="003A0F19">
        <w:t>)</w:t>
      </w:r>
      <w:r w:rsidR="00410334">
        <w:t xml:space="preserve"> or that have securities registered with the SEC,</w:t>
      </w:r>
      <w:r w:rsidR="00A2109B">
        <w:rPr>
          <w:rFonts w:eastAsia="Times New Roman"/>
        </w:rPr>
        <w:t xml:space="preserve"> </w:t>
      </w:r>
      <w:r w:rsidR="00AB1441">
        <w:rPr>
          <w:rFonts w:eastAsia="Times New Roman"/>
        </w:rPr>
        <w:t xml:space="preserve">must </w:t>
      </w:r>
      <w:proofErr w:type="gramStart"/>
      <w:r w:rsidR="00AB1441">
        <w:rPr>
          <w:rFonts w:eastAsia="Times New Roman"/>
        </w:rPr>
        <w:t>make</w:t>
      </w:r>
      <w:proofErr w:type="gramEnd"/>
      <w:r w:rsidR="00AB1441">
        <w:rPr>
          <w:rFonts w:eastAsia="Times New Roman"/>
        </w:rPr>
        <w:t xml:space="preserve"> and keep books, records and accounts that, in reasonable detail, accurately and fairly reflect the issuer’s transactions and dispositions of an issuer’s assets. Secondly, regarding internal controls, issuers must devise and maintain a system of internal accounting controls sufficient to assure management’s control, </w:t>
      </w:r>
      <w:proofErr w:type="gramStart"/>
      <w:r w:rsidR="00AB1441">
        <w:rPr>
          <w:rFonts w:eastAsia="Times New Roman"/>
        </w:rPr>
        <w:t>authority</w:t>
      </w:r>
      <w:proofErr w:type="gramEnd"/>
      <w:r w:rsidR="00AB1441">
        <w:rPr>
          <w:rFonts w:eastAsia="Times New Roman"/>
        </w:rPr>
        <w:t xml:space="preserve"> and responsibility over its assets.</w:t>
      </w:r>
      <w:r w:rsidR="00AB1441">
        <w:rPr>
          <w:rStyle w:val="FootnoteReference"/>
          <w:rFonts w:eastAsia="Times New Roman"/>
        </w:rPr>
        <w:footnoteReference w:id="56"/>
      </w:r>
      <w:r w:rsidR="00AB1441">
        <w:rPr>
          <w:rFonts w:eastAsia="Times New Roman"/>
        </w:rPr>
        <w:t xml:space="preserve"> The Guide also notes:</w:t>
      </w:r>
      <w:r w:rsidR="00AB1441">
        <w:rPr>
          <w:rStyle w:val="FootnoteReference"/>
          <w:rFonts w:eastAsia="Times New Roman"/>
        </w:rPr>
        <w:footnoteReference w:id="57"/>
      </w:r>
    </w:p>
    <w:p w14:paraId="1452067B" w14:textId="77777777" w:rsidR="00AB1441" w:rsidRPr="00AB1441" w:rsidRDefault="00AB1441" w:rsidP="00AB1441">
      <w:pPr>
        <w:pStyle w:val="ListParagraph"/>
        <w:rPr>
          <w:rFonts w:eastAsia="Times New Roman"/>
        </w:rPr>
      </w:pPr>
    </w:p>
    <w:p w14:paraId="2B165F48" w14:textId="13AB2969" w:rsidR="00AB1441" w:rsidRDefault="00AB1441" w:rsidP="0020512F">
      <w:pPr>
        <w:pStyle w:val="ListParagraph"/>
        <w:numPr>
          <w:ilvl w:val="0"/>
          <w:numId w:val="1"/>
        </w:numPr>
        <w:jc w:val="both"/>
        <w:rPr>
          <w:rFonts w:eastAsia="Times New Roman"/>
          <w:i/>
          <w:iCs/>
        </w:rPr>
      </w:pPr>
      <w:r>
        <w:rPr>
          <w:rFonts w:eastAsia="Times New Roman"/>
          <w:i/>
          <w:iCs/>
        </w:rPr>
        <w:t>“</w:t>
      </w:r>
      <w:r w:rsidRPr="00AB1441">
        <w:rPr>
          <w:rFonts w:eastAsia="Times New Roman"/>
          <w:i/>
          <w:iCs/>
        </w:rPr>
        <w:t xml:space="preserve">Although the accounting provisions were originally enacted as part of the FCPA, they do not apply only to bribery-related violations. Rather, the accounting provisions ensure that all public companies account for </w:t>
      </w:r>
      <w:proofErr w:type="gramStart"/>
      <w:r w:rsidRPr="00AB1441">
        <w:rPr>
          <w:rFonts w:eastAsia="Times New Roman"/>
          <w:i/>
          <w:iCs/>
        </w:rPr>
        <w:t>all of</w:t>
      </w:r>
      <w:proofErr w:type="gramEnd"/>
      <w:r w:rsidRPr="00AB1441">
        <w:rPr>
          <w:rFonts w:eastAsia="Times New Roman"/>
          <w:i/>
          <w:iCs/>
        </w:rPr>
        <w:t xml:space="preserve"> their assets and liabilities accurately and in reasonable detail, and they form the backbone for most accounting fraud and issuer disclosure cases brought by DOJ and SE</w:t>
      </w:r>
      <w:r>
        <w:rPr>
          <w:rFonts w:eastAsia="Times New Roman"/>
          <w:i/>
          <w:iCs/>
        </w:rPr>
        <w:t>C.”</w:t>
      </w:r>
    </w:p>
    <w:p w14:paraId="5CD4D4A7" w14:textId="77777777" w:rsidR="00AB1441" w:rsidRPr="00AB1441" w:rsidRDefault="00AB1441" w:rsidP="00AB1441">
      <w:pPr>
        <w:pStyle w:val="ListParagraph"/>
        <w:rPr>
          <w:rFonts w:eastAsia="Times New Roman"/>
          <w:i/>
          <w:iCs/>
        </w:rPr>
      </w:pPr>
    </w:p>
    <w:p w14:paraId="32EDC364" w14:textId="270902F4" w:rsidR="003047A3" w:rsidRPr="00633434" w:rsidRDefault="00652E61" w:rsidP="003047A3">
      <w:pPr>
        <w:pStyle w:val="ListParagraph"/>
        <w:numPr>
          <w:ilvl w:val="0"/>
          <w:numId w:val="1"/>
        </w:numPr>
        <w:jc w:val="both"/>
        <w:rPr>
          <w:rFonts w:eastAsia="Times New Roman"/>
          <w:i/>
          <w:iCs/>
        </w:rPr>
      </w:pPr>
      <w:r>
        <w:rPr>
          <w:rFonts w:eastAsia="Times New Roman"/>
        </w:rPr>
        <w:t>During the on-site visit, the representatives of US</w:t>
      </w:r>
      <w:r w:rsidR="003A0F19">
        <w:rPr>
          <w:rFonts w:eastAsia="Times New Roman"/>
        </w:rPr>
        <w:t xml:space="preserve"> Department of Justice (US</w:t>
      </w:r>
      <w:r>
        <w:rPr>
          <w:rFonts w:eastAsia="Times New Roman"/>
        </w:rPr>
        <w:t>DOJ</w:t>
      </w:r>
      <w:r w:rsidR="003A0F19">
        <w:rPr>
          <w:rFonts w:eastAsia="Times New Roman"/>
        </w:rPr>
        <w:t>)</w:t>
      </w:r>
      <w:r>
        <w:rPr>
          <w:rFonts w:eastAsia="Times New Roman"/>
        </w:rPr>
        <w:t xml:space="preserve"> also mentioned a memorandum </w:t>
      </w:r>
      <w:r w:rsidR="005B1BF9">
        <w:rPr>
          <w:rFonts w:eastAsia="Times New Roman"/>
        </w:rPr>
        <w:t>on evaluating internal controls and corporate compliance that was issued in 2020</w:t>
      </w:r>
      <w:r w:rsidR="003047A3">
        <w:rPr>
          <w:rFonts w:eastAsia="Times New Roman"/>
        </w:rPr>
        <w:t xml:space="preserve"> that sets </w:t>
      </w:r>
      <w:r w:rsidR="003047A3">
        <w:rPr>
          <w:rFonts w:eastAsia="Times New Roman"/>
        </w:rPr>
        <w:lastRenderedPageBreak/>
        <w:t>out the expectations and practical questions for effective corporate compliance programs</w:t>
      </w:r>
      <w:r w:rsidR="005B1BF9">
        <w:rPr>
          <w:rFonts w:eastAsia="Times New Roman"/>
        </w:rPr>
        <w:t xml:space="preserve">. </w:t>
      </w:r>
      <w:r w:rsidR="00806427">
        <w:rPr>
          <w:rFonts w:eastAsia="Times New Roman"/>
        </w:rPr>
        <w:t xml:space="preserve">In this regard, the Committee notes that </w:t>
      </w:r>
      <w:r w:rsidR="00723617">
        <w:rPr>
          <w:rFonts w:eastAsia="Times New Roman"/>
        </w:rPr>
        <w:t>th</w:t>
      </w:r>
      <w:r w:rsidR="003047A3">
        <w:rPr>
          <w:rFonts w:eastAsia="Times New Roman"/>
        </w:rPr>
        <w:t>e objective of this</w:t>
      </w:r>
      <w:r w:rsidR="00723617">
        <w:rPr>
          <w:rFonts w:eastAsia="Times New Roman"/>
        </w:rPr>
        <w:t xml:space="preserve"> document, </w:t>
      </w:r>
      <w:r w:rsidR="00806427">
        <w:rPr>
          <w:rFonts w:eastAsia="Times New Roman"/>
        </w:rPr>
        <w:t>the Evaluation of Corporate Compliance Programs,</w:t>
      </w:r>
      <w:r w:rsidR="000D4DF9">
        <w:rPr>
          <w:rFonts w:eastAsia="Times New Roman"/>
        </w:rPr>
        <w:t xml:space="preserve"> </w:t>
      </w:r>
      <w:r w:rsidR="00723617">
        <w:rPr>
          <w:rFonts w:eastAsia="Times New Roman"/>
        </w:rPr>
        <w:t xml:space="preserve">which </w:t>
      </w:r>
      <w:r w:rsidR="000D4DF9">
        <w:rPr>
          <w:rFonts w:eastAsia="Times New Roman"/>
        </w:rPr>
        <w:t>was updated in March 2023</w:t>
      </w:r>
      <w:r w:rsidR="005B1BF9">
        <w:rPr>
          <w:rFonts w:eastAsia="Times New Roman"/>
        </w:rPr>
        <w:t xml:space="preserve">, </w:t>
      </w:r>
      <w:r w:rsidR="003047A3">
        <w:rPr>
          <w:rFonts w:eastAsia="Times New Roman"/>
        </w:rPr>
        <w:t>assists prosecutors</w:t>
      </w:r>
      <w:r w:rsidR="003047A3">
        <w:t xml:space="preserve"> in making informed decisions as to whether, and to what extent, the corporation’s compliance program are effective at the time of an offense, and is effective at the time of a charging decision or resolution, for purposes of determining the appropriate form of any resolution or prosecution; monetary penalty, if any; and compliance obligations contained in any corporate criminal resolution (e.g., monitorship or reporting obligations).</w:t>
      </w:r>
      <w:r w:rsidR="003047A3">
        <w:rPr>
          <w:rStyle w:val="FootnoteReference"/>
        </w:rPr>
        <w:footnoteReference w:id="58"/>
      </w:r>
    </w:p>
    <w:p w14:paraId="5BF739B4" w14:textId="77777777" w:rsidR="0077116C" w:rsidRDefault="0077116C" w:rsidP="00633434">
      <w:pPr>
        <w:rPr>
          <w:i/>
          <w:iCs/>
        </w:rPr>
      </w:pPr>
    </w:p>
    <w:p w14:paraId="04A3E120" w14:textId="4E529164" w:rsidR="00E54CB6" w:rsidRPr="00C622C5" w:rsidRDefault="00A2109B" w:rsidP="00E54CB6">
      <w:pPr>
        <w:pStyle w:val="ListParagraph"/>
        <w:numPr>
          <w:ilvl w:val="0"/>
          <w:numId w:val="1"/>
        </w:numPr>
        <w:jc w:val="both"/>
        <w:rPr>
          <w:rFonts w:eastAsia="Times New Roman"/>
        </w:rPr>
      </w:pPr>
      <w:r w:rsidRPr="00C622C5">
        <w:rPr>
          <w:rFonts w:eastAsia="Times New Roman"/>
        </w:rPr>
        <w:t>In addition, d</w:t>
      </w:r>
      <w:r w:rsidR="00CD5FDB" w:rsidRPr="00C622C5">
        <w:rPr>
          <w:rFonts w:eastAsia="Times New Roman"/>
        </w:rPr>
        <w:t xml:space="preserve">uring the on-site visit, the representatives of the USDOJ and the SEC noted that </w:t>
      </w:r>
      <w:r w:rsidR="0077116C" w:rsidRPr="00C622C5">
        <w:rPr>
          <w:rFonts w:eastAsia="Times New Roman"/>
        </w:rPr>
        <w:t>outreach is carried out to the private sector and civil society, such as accounting firms, in forums, conferences and meetings</w:t>
      </w:r>
      <w:r w:rsidR="00633434" w:rsidRPr="00C622C5">
        <w:rPr>
          <w:rFonts w:eastAsia="Times New Roman"/>
        </w:rPr>
        <w:t xml:space="preserve">, as well as through press </w:t>
      </w:r>
      <w:r w:rsidR="0003371A" w:rsidRPr="00C622C5">
        <w:rPr>
          <w:rFonts w:eastAsia="Times New Roman"/>
        </w:rPr>
        <w:t xml:space="preserve">releases. In this respect, the Committee notes the participation by the USDOJ and the SEC in an annual </w:t>
      </w:r>
      <w:r w:rsidR="00E54CB6" w:rsidRPr="00C622C5">
        <w:rPr>
          <w:rFonts w:eastAsia="Times New Roman"/>
        </w:rPr>
        <w:t xml:space="preserve">international </w:t>
      </w:r>
      <w:r w:rsidR="0003371A" w:rsidRPr="00C622C5">
        <w:rPr>
          <w:rFonts w:eastAsia="Times New Roman"/>
        </w:rPr>
        <w:t>conference on the FCPA</w:t>
      </w:r>
      <w:r w:rsidR="00E71B10" w:rsidRPr="00C622C5">
        <w:rPr>
          <w:rFonts w:eastAsia="Times New Roman"/>
        </w:rPr>
        <w:t xml:space="preserve"> with the private sector, where they discuss key developments and other issues, and receive questions from participants.</w:t>
      </w:r>
      <w:r w:rsidR="00E54CB6" w:rsidRPr="00C622C5">
        <w:rPr>
          <w:rFonts w:eastAsia="Times New Roman"/>
        </w:rPr>
        <w:t xml:space="preserve"> In addition, the Committee notes</w:t>
      </w:r>
      <w:r w:rsidR="00EF016D" w:rsidRPr="00C622C5">
        <w:rPr>
          <w:rFonts w:eastAsia="Times New Roman"/>
        </w:rPr>
        <w:t xml:space="preserve"> </w:t>
      </w:r>
      <w:r w:rsidR="00E54CB6" w:rsidRPr="00C622C5">
        <w:rPr>
          <w:rFonts w:eastAsia="Times New Roman"/>
        </w:rPr>
        <w:t>the participation by SEC</w:t>
      </w:r>
      <w:r w:rsidR="005A0EE0" w:rsidRPr="00C622C5">
        <w:rPr>
          <w:rFonts w:eastAsia="Times New Roman"/>
        </w:rPr>
        <w:t xml:space="preserve"> Commissioners or staff</w:t>
      </w:r>
      <w:r w:rsidR="00E54CB6" w:rsidRPr="00C622C5">
        <w:rPr>
          <w:rFonts w:eastAsia="Times New Roman"/>
        </w:rPr>
        <w:t xml:space="preserve"> in </w:t>
      </w:r>
      <w:r w:rsidR="005A0EE0" w:rsidRPr="00C622C5">
        <w:rPr>
          <w:rFonts w:eastAsia="Times New Roman"/>
        </w:rPr>
        <w:t xml:space="preserve">an </w:t>
      </w:r>
      <w:r w:rsidR="00E54CB6" w:rsidRPr="00C622C5">
        <w:rPr>
          <w:rFonts w:eastAsia="Times New Roman"/>
        </w:rPr>
        <w:t xml:space="preserve">annual conference hosted by the AICPA on SEC developments, which, among other things, </w:t>
      </w:r>
      <w:r w:rsidR="001F32EE" w:rsidRPr="00C622C5">
        <w:rPr>
          <w:rFonts w:eastAsia="Times New Roman"/>
        </w:rPr>
        <w:t xml:space="preserve">often includes discussions </w:t>
      </w:r>
      <w:r w:rsidR="00527120" w:rsidRPr="00C622C5">
        <w:rPr>
          <w:rFonts w:eastAsia="Times New Roman"/>
        </w:rPr>
        <w:t xml:space="preserve">of </w:t>
      </w:r>
      <w:r w:rsidR="00E54CB6" w:rsidRPr="00C622C5">
        <w:rPr>
          <w:rFonts w:eastAsia="Times New Roman"/>
        </w:rPr>
        <w:t>cases brought by the SEC in the areas of accounting, auditing, financial reporting, and issuer disclosure.</w:t>
      </w:r>
      <w:r w:rsidR="007C628E" w:rsidRPr="00C622C5">
        <w:rPr>
          <w:rFonts w:eastAsia="Times New Roman"/>
        </w:rPr>
        <w:t xml:space="preserve"> The Committee also notes that</w:t>
      </w:r>
      <w:r w:rsidR="00303618" w:rsidRPr="00C622C5">
        <w:rPr>
          <w:rFonts w:eastAsia="Times New Roman"/>
        </w:rPr>
        <w:t xml:space="preserve"> both the USDOJ and</w:t>
      </w:r>
      <w:r w:rsidR="007C628E" w:rsidRPr="00C622C5">
        <w:rPr>
          <w:rFonts w:eastAsia="Times New Roman"/>
        </w:rPr>
        <w:t xml:space="preserve"> the SEC Enforcement Division </w:t>
      </w:r>
      <w:r w:rsidR="00303618" w:rsidRPr="00C622C5">
        <w:rPr>
          <w:rFonts w:eastAsia="Times New Roman"/>
        </w:rPr>
        <w:t>have</w:t>
      </w:r>
      <w:r w:rsidR="007C628E" w:rsidRPr="00C622C5">
        <w:rPr>
          <w:rFonts w:eastAsia="Times New Roman"/>
        </w:rPr>
        <w:t xml:space="preserve"> created </w:t>
      </w:r>
      <w:r w:rsidR="007C628E" w:rsidRPr="00C622C5">
        <w:rPr>
          <w:rFonts w:eastAsia="Times New Roman"/>
          <w:strike/>
        </w:rPr>
        <w:t>a</w:t>
      </w:r>
      <w:r w:rsidR="007C628E" w:rsidRPr="00C622C5">
        <w:rPr>
          <w:rFonts w:eastAsia="Times New Roman"/>
        </w:rPr>
        <w:t xml:space="preserve"> specialized FCPA </w:t>
      </w:r>
      <w:r w:rsidR="00713DC9" w:rsidRPr="00C622C5">
        <w:rPr>
          <w:rFonts w:eastAsia="Times New Roman"/>
        </w:rPr>
        <w:t>units</w:t>
      </w:r>
      <w:r w:rsidR="007C628E" w:rsidRPr="00C622C5">
        <w:rPr>
          <w:rFonts w:eastAsia="Times New Roman"/>
        </w:rPr>
        <w:t xml:space="preserve">, to focus on FCPA enforcement. In addition to investigating potential FCPA violations, such as the books and records provisions in the Act, </w:t>
      </w:r>
      <w:r w:rsidR="004A472C" w:rsidRPr="00C622C5">
        <w:rPr>
          <w:rFonts w:eastAsia="Times New Roman"/>
        </w:rPr>
        <w:t xml:space="preserve">these units </w:t>
      </w:r>
      <w:r w:rsidR="00B458F5" w:rsidRPr="00C622C5">
        <w:rPr>
          <w:rFonts w:eastAsia="Times New Roman"/>
        </w:rPr>
        <w:t>conduct</w:t>
      </w:r>
      <w:r w:rsidR="007C628E" w:rsidRPr="00C622C5">
        <w:rPr>
          <w:rFonts w:eastAsia="Times New Roman"/>
        </w:rPr>
        <w:t xml:space="preserve"> public outreach to raise awareness of anticorruption efforts and good corporate governance programs.</w:t>
      </w:r>
      <w:r w:rsidR="007C628E" w:rsidRPr="00C622C5">
        <w:rPr>
          <w:rStyle w:val="FootnoteReference"/>
          <w:rFonts w:eastAsia="Times New Roman"/>
        </w:rPr>
        <w:footnoteReference w:id="59"/>
      </w:r>
    </w:p>
    <w:p w14:paraId="2E479C1D" w14:textId="77777777" w:rsidR="007C628E" w:rsidRPr="007C628E" w:rsidRDefault="007C628E" w:rsidP="007C628E">
      <w:pPr>
        <w:pStyle w:val="ListParagraph"/>
        <w:rPr>
          <w:rFonts w:eastAsia="Times New Roman"/>
        </w:rPr>
      </w:pPr>
    </w:p>
    <w:p w14:paraId="10AE9971" w14:textId="55150BB2" w:rsidR="00E54CB6" w:rsidRDefault="00E54CB6" w:rsidP="00E54CB6">
      <w:pPr>
        <w:pStyle w:val="ListParagraph"/>
        <w:numPr>
          <w:ilvl w:val="0"/>
          <w:numId w:val="1"/>
        </w:numPr>
        <w:jc w:val="both"/>
        <w:rPr>
          <w:rFonts w:eastAsia="Times New Roman"/>
        </w:rPr>
      </w:pPr>
      <w:r>
        <w:rPr>
          <w:rFonts w:eastAsia="Times New Roman"/>
        </w:rPr>
        <w:t>The country under review</w:t>
      </w:r>
      <w:r w:rsidR="00E84072">
        <w:rPr>
          <w:rFonts w:eastAsia="Times New Roman"/>
        </w:rPr>
        <w:t>, during the on-site visit,</w:t>
      </w:r>
      <w:r>
        <w:rPr>
          <w:rFonts w:eastAsia="Times New Roman"/>
        </w:rPr>
        <w:t xml:space="preserve"> also noted that with respect to training, the State Department</w:t>
      </w:r>
      <w:r w:rsidR="00E84072">
        <w:rPr>
          <w:rFonts w:eastAsia="Times New Roman"/>
        </w:rPr>
        <w:t xml:space="preserve"> provides training on the provisions of the FCPA, including those on books and records, to members of the foreign service, so that they may also provide direction to US companies overseas. </w:t>
      </w:r>
    </w:p>
    <w:p w14:paraId="6BF38FA0" w14:textId="77777777" w:rsidR="00E84072" w:rsidRDefault="00E84072" w:rsidP="00E84072">
      <w:pPr>
        <w:pStyle w:val="ListParagraph"/>
        <w:rPr>
          <w:rFonts w:eastAsia="Times New Roman"/>
        </w:rPr>
      </w:pPr>
    </w:p>
    <w:p w14:paraId="5723B670" w14:textId="02E1E34D" w:rsidR="0084771A" w:rsidRPr="0084771A" w:rsidRDefault="00E84072" w:rsidP="0084771A">
      <w:pPr>
        <w:pStyle w:val="ListParagraph"/>
        <w:numPr>
          <w:ilvl w:val="0"/>
          <w:numId w:val="1"/>
        </w:numPr>
        <w:jc w:val="both"/>
        <w:rPr>
          <w:rFonts w:eastAsia="Times New Roman"/>
        </w:rPr>
      </w:pPr>
      <w:r w:rsidRPr="008D2395">
        <w:rPr>
          <w:rFonts w:eastAsia="Times New Roman"/>
          <w:b/>
          <w:bCs/>
          <w:u w:val="single"/>
        </w:rPr>
        <w:t xml:space="preserve">The country under review further noted, during the on-site visit, that training </w:t>
      </w:r>
      <w:r w:rsidR="00B13FCA" w:rsidRPr="008D2395">
        <w:rPr>
          <w:rFonts w:eastAsia="Times New Roman"/>
          <w:b/>
          <w:bCs/>
          <w:u w:val="single"/>
        </w:rPr>
        <w:t>targeting</w:t>
      </w:r>
      <w:r w:rsidRPr="008D2395">
        <w:rPr>
          <w:rFonts w:eastAsia="Times New Roman"/>
          <w:b/>
          <w:bCs/>
          <w:u w:val="single"/>
        </w:rPr>
        <w:t xml:space="preserve"> individuals responsible for the entry of accounting records and for accounting for their accurac</w:t>
      </w:r>
      <w:r w:rsidR="00B13FCA" w:rsidRPr="008D2395">
        <w:rPr>
          <w:rFonts w:eastAsia="Times New Roman"/>
          <w:b/>
          <w:bCs/>
          <w:u w:val="single"/>
        </w:rPr>
        <w:t>y</w:t>
      </w:r>
      <w:r w:rsidRPr="008D2395">
        <w:rPr>
          <w:rFonts w:eastAsia="Times New Roman"/>
          <w:b/>
          <w:bCs/>
          <w:u w:val="single"/>
        </w:rPr>
        <w:t xml:space="preserve"> is carried out by accounting firms, </w:t>
      </w:r>
      <w:r w:rsidR="00DA50A2" w:rsidRPr="008D2395">
        <w:rPr>
          <w:rFonts w:eastAsia="Times New Roman"/>
          <w:b/>
          <w:bCs/>
          <w:u w:val="single"/>
        </w:rPr>
        <w:t>as well as</w:t>
      </w:r>
      <w:r w:rsidRPr="008D2395">
        <w:rPr>
          <w:rFonts w:eastAsia="Times New Roman"/>
          <w:b/>
          <w:bCs/>
          <w:u w:val="single"/>
        </w:rPr>
        <w:t xml:space="preserve"> by professional </w:t>
      </w:r>
      <w:r w:rsidR="00BF42DA" w:rsidRPr="008D2395">
        <w:rPr>
          <w:rFonts w:eastAsia="Times New Roman"/>
          <w:b/>
          <w:bCs/>
          <w:u w:val="single"/>
        </w:rPr>
        <w:t>associations</w:t>
      </w:r>
      <w:r>
        <w:rPr>
          <w:rFonts w:eastAsia="Times New Roman"/>
        </w:rPr>
        <w:t xml:space="preserve">. </w:t>
      </w:r>
      <w:r w:rsidR="00B73C97">
        <w:rPr>
          <w:rFonts w:eastAsia="Times New Roman"/>
        </w:rPr>
        <w:t>In this respect, the AICPA provides training on Forensic Services, the objective of which is to deepen the skills on forensic accounting and litigation support, as well as fraud detection and prevention.</w:t>
      </w:r>
      <w:r w:rsidR="00B73C97">
        <w:rPr>
          <w:rStyle w:val="FootnoteReference"/>
          <w:rFonts w:eastAsia="Times New Roman"/>
        </w:rPr>
        <w:footnoteReference w:id="60"/>
      </w:r>
      <w:r w:rsidR="00B73C97">
        <w:rPr>
          <w:rFonts w:eastAsia="Times New Roman"/>
        </w:rPr>
        <w:t xml:space="preserve"> </w:t>
      </w:r>
      <w:r w:rsidR="0084771A">
        <w:rPr>
          <w:rFonts w:eastAsia="Times New Roman"/>
        </w:rPr>
        <w:t xml:space="preserve">As an example, the course,  Financial Statement Fraud, Corruption and Asset Misappropriation, identifies steps of a financial statement fraud investigation and the internal controls needed in place to deter and prevent fraud; and the course, Financial Statement Fraud and Asset Misappropriation, </w:t>
      </w:r>
      <w:r w:rsidR="0084771A" w:rsidRPr="0084771A">
        <w:rPr>
          <w:rFonts w:eastAsia="Times New Roman"/>
        </w:rPr>
        <w:t>describes some of the issues that allow financial statement fraud to occur, including a lack of adequate internal controls over the accounting processes.</w:t>
      </w:r>
      <w:r w:rsidR="0084771A">
        <w:rPr>
          <w:rStyle w:val="FootnoteReference"/>
          <w:rFonts w:eastAsia="Times New Roman"/>
        </w:rPr>
        <w:footnoteReference w:id="61"/>
      </w:r>
    </w:p>
    <w:p w14:paraId="160607D4" w14:textId="101AD49C" w:rsidR="0084771A" w:rsidRDefault="0084771A" w:rsidP="0084771A">
      <w:pPr>
        <w:pStyle w:val="ListParagraph"/>
        <w:ind w:left="10"/>
        <w:jc w:val="both"/>
        <w:rPr>
          <w:rFonts w:eastAsia="Times New Roman"/>
        </w:rPr>
      </w:pPr>
    </w:p>
    <w:p w14:paraId="15BAEBAD" w14:textId="12F797FA" w:rsidR="00E84072" w:rsidRDefault="00B73C97" w:rsidP="00E54CB6">
      <w:pPr>
        <w:pStyle w:val="ListParagraph"/>
        <w:numPr>
          <w:ilvl w:val="0"/>
          <w:numId w:val="1"/>
        </w:numPr>
        <w:jc w:val="both"/>
        <w:rPr>
          <w:rFonts w:eastAsia="Times New Roman"/>
        </w:rPr>
      </w:pPr>
      <w:r>
        <w:rPr>
          <w:rFonts w:eastAsia="Times New Roman"/>
        </w:rPr>
        <w:t xml:space="preserve">The Committee notes the efforts by the country under review to continue </w:t>
      </w:r>
      <w:r w:rsidRPr="00B73C97">
        <w:rPr>
          <w:rFonts w:eastAsia="Times New Roman"/>
        </w:rPr>
        <w:t>its efforts regarding holding awareness campaigns</w:t>
      </w:r>
      <w:r w:rsidR="00BF42DA">
        <w:rPr>
          <w:rFonts w:eastAsia="Times New Roman"/>
        </w:rPr>
        <w:t xml:space="preserve"> as well as training</w:t>
      </w:r>
      <w:r w:rsidRPr="00B73C97">
        <w:rPr>
          <w:rFonts w:eastAsia="Times New Roman"/>
        </w:rPr>
        <w:t xml:space="preserve"> that target the individuals responsible for the entry of accounting records and for accounting for their accuracy, on the importance of abiding by the standards in force to ensure the veracity of those records as well as on the consequences of their violation</w:t>
      </w:r>
      <w:r>
        <w:rPr>
          <w:rFonts w:eastAsia="Times New Roman"/>
        </w:rPr>
        <w:t xml:space="preserve">. </w:t>
      </w:r>
    </w:p>
    <w:p w14:paraId="1B73849F" w14:textId="77777777" w:rsidR="00BF42DA" w:rsidRPr="00BF42DA" w:rsidRDefault="00BF42DA" w:rsidP="00BF42DA">
      <w:pPr>
        <w:pStyle w:val="ListParagraph"/>
        <w:rPr>
          <w:rFonts w:eastAsia="Times New Roman"/>
        </w:rPr>
      </w:pPr>
    </w:p>
    <w:p w14:paraId="1E6B74FB" w14:textId="77FDD832" w:rsidR="00BF42DA" w:rsidRPr="00E54CB6" w:rsidRDefault="00BF42DA" w:rsidP="00E54CB6">
      <w:pPr>
        <w:pStyle w:val="ListParagraph"/>
        <w:numPr>
          <w:ilvl w:val="0"/>
          <w:numId w:val="1"/>
        </w:numPr>
        <w:jc w:val="both"/>
        <w:rPr>
          <w:rFonts w:eastAsia="Times New Roman"/>
        </w:rPr>
      </w:pPr>
      <w:r>
        <w:rPr>
          <w:rFonts w:eastAsiaTheme="minorHAnsi"/>
          <w:bCs/>
          <w:iCs/>
        </w:rPr>
        <w:t>In</w:t>
      </w:r>
      <w:r w:rsidRPr="00A10CEF">
        <w:rPr>
          <w:rFonts w:eastAsiaTheme="minorHAnsi"/>
          <w:bCs/>
          <w:iCs/>
        </w:rPr>
        <w:t xml:space="preserve"> view of the above, the Committee takes note of the satisfactory consideration by the country under review of </w:t>
      </w:r>
      <w:r>
        <w:rPr>
          <w:rFonts w:eastAsiaTheme="minorHAnsi"/>
          <w:bCs/>
          <w:iCs/>
        </w:rPr>
        <w:t>recommendation 2(b</w:t>
      </w:r>
      <w:r w:rsidRPr="00A10CEF">
        <w:rPr>
          <w:rFonts w:eastAsiaTheme="minorHAnsi"/>
          <w:bCs/>
          <w:iCs/>
        </w:rPr>
        <w:t>)</w:t>
      </w:r>
      <w:r>
        <w:rPr>
          <w:rFonts w:eastAsiaTheme="minorHAnsi"/>
          <w:bCs/>
          <w:iCs/>
        </w:rPr>
        <w:t>.</w:t>
      </w:r>
    </w:p>
    <w:p w14:paraId="3655AD1B" w14:textId="77777777" w:rsidR="00E71B10" w:rsidRPr="00B73C97" w:rsidRDefault="00E71B10" w:rsidP="00B73C97">
      <w:pPr>
        <w:ind w:left="10"/>
        <w:jc w:val="both"/>
      </w:pPr>
    </w:p>
    <w:p w14:paraId="7605A565" w14:textId="3AB11BC9" w:rsidR="00BF42DA" w:rsidRDefault="00BF42DA" w:rsidP="00BF42DA">
      <w:pPr>
        <w:jc w:val="both"/>
      </w:pPr>
      <w:r w:rsidRPr="00804DBA">
        <w:rPr>
          <w:rStyle w:val="normaltextrun"/>
          <w:sz w:val="22"/>
          <w:szCs w:val="22"/>
          <w:u w:val="single"/>
        </w:rPr>
        <w:t>Recommendation 2(</w:t>
      </w:r>
      <w:r>
        <w:rPr>
          <w:rStyle w:val="normaltextrun"/>
          <w:sz w:val="22"/>
          <w:szCs w:val="22"/>
          <w:u w:val="single"/>
        </w:rPr>
        <w:t>c</w:t>
      </w:r>
      <w:r w:rsidRPr="00804DBA">
        <w:rPr>
          <w:rStyle w:val="normaltextrun"/>
          <w:sz w:val="22"/>
          <w:szCs w:val="22"/>
          <w:u w:val="single"/>
        </w:rPr>
        <w:t>) suggested by the Committee:</w:t>
      </w:r>
      <w:r w:rsidRPr="00804DBA">
        <w:rPr>
          <w:rStyle w:val="normaltextrun"/>
          <w:sz w:val="22"/>
          <w:szCs w:val="22"/>
        </w:rPr>
        <w:t> </w:t>
      </w:r>
    </w:p>
    <w:p w14:paraId="51A714A4" w14:textId="77777777" w:rsidR="00BF42DA" w:rsidRDefault="00BF42DA" w:rsidP="00BF42DA">
      <w:pPr>
        <w:jc w:val="both"/>
      </w:pPr>
    </w:p>
    <w:p w14:paraId="106CBB2F" w14:textId="2AE085AB" w:rsidR="00E71B10" w:rsidRDefault="00BF42DA" w:rsidP="00BF42DA">
      <w:pPr>
        <w:pStyle w:val="ListParagraph"/>
        <w:ind w:left="10"/>
        <w:jc w:val="both"/>
        <w:rPr>
          <w:i/>
          <w:iCs/>
        </w:rPr>
      </w:pPr>
      <w:r w:rsidRPr="00BF42DA">
        <w:rPr>
          <w:i/>
          <w:iCs/>
        </w:rPr>
        <w:t>Consider continuing its efforts regarding holding awareness and integrity promotion campaigns that target the private sector. In this regard, the country under review could consider continuing to adopt measures such as the production of manuals and guidelines for companies on best practices that should be implemented to prevent corruption.</w:t>
      </w:r>
    </w:p>
    <w:p w14:paraId="18ADEDE9" w14:textId="77777777" w:rsidR="00DC3F8E" w:rsidRDefault="00DC3F8E" w:rsidP="00BF42DA">
      <w:pPr>
        <w:pStyle w:val="ListParagraph"/>
        <w:ind w:left="10"/>
        <w:jc w:val="both"/>
        <w:rPr>
          <w:i/>
          <w:iCs/>
        </w:rPr>
      </w:pPr>
    </w:p>
    <w:p w14:paraId="2C1FC67B" w14:textId="65388EDA" w:rsidR="00DC3F8E" w:rsidRPr="00DC3F8E" w:rsidRDefault="00DC3F8E" w:rsidP="00DC3F8E">
      <w:pPr>
        <w:pStyle w:val="ListParagraph"/>
        <w:numPr>
          <w:ilvl w:val="0"/>
          <w:numId w:val="1"/>
        </w:numPr>
        <w:jc w:val="both"/>
      </w:pPr>
      <w:r w:rsidRPr="005A2298">
        <w:rPr>
          <w:rFonts w:eastAsiaTheme="minorHAnsi"/>
          <w:bCs/>
          <w:iCs/>
        </w:rPr>
        <w:t xml:space="preserve">With respect to the </w:t>
      </w:r>
      <w:proofErr w:type="gramStart"/>
      <w:r w:rsidRPr="005A2298">
        <w:rPr>
          <w:rFonts w:eastAsiaTheme="minorHAnsi"/>
          <w:bCs/>
          <w:iCs/>
        </w:rPr>
        <w:t>aforementioned measure</w:t>
      </w:r>
      <w:proofErr w:type="gramEnd"/>
      <w:r w:rsidRPr="005A2298">
        <w:rPr>
          <w:rFonts w:eastAsiaTheme="minorHAnsi"/>
          <w:bCs/>
          <w:iCs/>
        </w:rPr>
        <w:t>, in its Response, the country under review presented information and new developments. In this regard, the Committee notes the following as steps that lead it to conclude said measure has been satisfactorily considered</w:t>
      </w:r>
      <w:r>
        <w:rPr>
          <w:rFonts w:eastAsiaTheme="minorHAnsi"/>
          <w:bCs/>
          <w:iCs/>
        </w:rPr>
        <w:t>:</w:t>
      </w:r>
      <w:r w:rsidRPr="005A2298">
        <w:rPr>
          <w:rStyle w:val="FootnoteReference"/>
        </w:rPr>
        <w:footnoteReference w:id="62"/>
      </w:r>
    </w:p>
    <w:p w14:paraId="2F06588E" w14:textId="77777777" w:rsidR="00DC3F8E" w:rsidRPr="00DC3F8E" w:rsidRDefault="00DC3F8E" w:rsidP="00DC3F8E">
      <w:pPr>
        <w:pStyle w:val="ListParagraph"/>
        <w:ind w:left="10"/>
        <w:jc w:val="both"/>
      </w:pPr>
    </w:p>
    <w:p w14:paraId="289237AC" w14:textId="4353C2FE" w:rsidR="00DC3F8E" w:rsidRPr="00496F54" w:rsidRDefault="00DC3F8E" w:rsidP="00DC3F8E">
      <w:pPr>
        <w:pStyle w:val="ListParagraph"/>
        <w:numPr>
          <w:ilvl w:val="0"/>
          <w:numId w:val="1"/>
        </w:numPr>
        <w:jc w:val="both"/>
      </w:pPr>
      <w:r>
        <w:t xml:space="preserve">The country under review notes that US authorities have taken steps to raise awareness and promote integrity within the private sector. In this regard, it cites the resources related to foreign bribery </w:t>
      </w:r>
      <w:r w:rsidR="00E36047">
        <w:t>o</w:t>
      </w:r>
      <w:r>
        <w:t>n the Department of Justice website, which includes</w:t>
      </w:r>
      <w:r w:rsidRPr="00496F54">
        <w:t xml:space="preserve"> charging documents, plea agreements, deferred prosecution agreements, non-prosecution agreements, press releases, and other relevant pleadings and court decisions.  The country under review also notes that the website provides copies of opinions issued in response to requests by companies and individuals under </w:t>
      </w:r>
      <w:r w:rsidR="00282BB9">
        <w:t>US</w:t>
      </w:r>
      <w:r w:rsidRPr="00496F54">
        <w:t>DOJ’s FCPA opinion procedure.</w:t>
      </w:r>
      <w:r w:rsidR="007C628E">
        <w:rPr>
          <w:rStyle w:val="FootnoteReference"/>
        </w:rPr>
        <w:footnoteReference w:id="63"/>
      </w:r>
    </w:p>
    <w:p w14:paraId="47130464" w14:textId="77777777" w:rsidR="00496F54" w:rsidRDefault="00496F54" w:rsidP="00496F54">
      <w:pPr>
        <w:ind w:left="10"/>
        <w:jc w:val="both"/>
      </w:pPr>
    </w:p>
    <w:p w14:paraId="3D3154E2" w14:textId="6B72719D" w:rsidR="00DC3F8E" w:rsidRDefault="00496F54" w:rsidP="00496F54">
      <w:pPr>
        <w:pStyle w:val="ListParagraph"/>
        <w:numPr>
          <w:ilvl w:val="0"/>
          <w:numId w:val="1"/>
        </w:numPr>
        <w:jc w:val="both"/>
      </w:pPr>
      <w:r>
        <w:t xml:space="preserve">Moreover, the country under review reports that the website of the </w:t>
      </w:r>
      <w:r w:rsidR="00DC3F8E" w:rsidRPr="00496F54">
        <w:t xml:space="preserve">Securities and Exchange Commission’s also provides </w:t>
      </w:r>
      <w:proofErr w:type="gramStart"/>
      <w:r w:rsidR="00DC3F8E" w:rsidRPr="00496F54">
        <w:t>a number of</w:t>
      </w:r>
      <w:proofErr w:type="gramEnd"/>
      <w:r w:rsidR="00DC3F8E" w:rsidRPr="00496F54">
        <w:t xml:space="preserve"> useful resources for the public. </w:t>
      </w:r>
      <w:r w:rsidRPr="00496F54">
        <w:t>In this regard, t</w:t>
      </w:r>
      <w:r w:rsidR="00DC3F8E" w:rsidRPr="00496F54">
        <w:t>he SEC’s FCPA Unit maintains a “Spotlight on FCPA” section on SEC’s website</w:t>
      </w:r>
      <w:r>
        <w:t xml:space="preserve">, </w:t>
      </w:r>
      <w:r w:rsidR="00DC3F8E" w:rsidRPr="00496F54">
        <w:t>which is updated regularly, provides general information about the Act and links to all SEC enforcement actions involving the FCPA, including both federal court actions and administrative proceedings, and contains other useful information.</w:t>
      </w:r>
      <w:r w:rsidR="007C628E">
        <w:rPr>
          <w:rStyle w:val="FootnoteReference"/>
        </w:rPr>
        <w:footnoteReference w:id="64"/>
      </w:r>
    </w:p>
    <w:p w14:paraId="2C817F2B" w14:textId="77777777" w:rsidR="006D2F34" w:rsidRDefault="006D2F34" w:rsidP="006D2F34">
      <w:pPr>
        <w:pStyle w:val="ListParagraph"/>
      </w:pPr>
    </w:p>
    <w:p w14:paraId="49981A01" w14:textId="34A26F92" w:rsidR="006D2F34" w:rsidRPr="006D2F34" w:rsidRDefault="006D2F34" w:rsidP="006D2F34">
      <w:pPr>
        <w:pStyle w:val="ListParagraph"/>
        <w:numPr>
          <w:ilvl w:val="0"/>
          <w:numId w:val="1"/>
        </w:numPr>
        <w:jc w:val="both"/>
        <w:rPr>
          <w:rFonts w:eastAsia="Times New Roman"/>
        </w:rPr>
      </w:pPr>
      <w:r>
        <w:t>The Committee also observes the information provided in the review of recommendation 2(b), with respect to the guidance provided in the FCPA Resource Guide, with respect to the books and records provisions of that Act. As noted in that section, t</w:t>
      </w:r>
      <w:r>
        <w:rPr>
          <w:rFonts w:eastAsia="Times New Roman"/>
        </w:rPr>
        <w:t>he Guide goes into greater detail on the books and records provisions, which assists in</w:t>
      </w:r>
      <w:r w:rsidRPr="006D2F34">
        <w:rPr>
          <w:rFonts w:eastAsia="Times New Roman"/>
        </w:rPr>
        <w:t xml:space="preserve"> ensur</w:t>
      </w:r>
      <w:r>
        <w:rPr>
          <w:rFonts w:eastAsia="Times New Roman"/>
        </w:rPr>
        <w:t xml:space="preserve">ing </w:t>
      </w:r>
      <w:r w:rsidRPr="006D2F34">
        <w:rPr>
          <w:rFonts w:eastAsia="Times New Roman"/>
        </w:rPr>
        <w:t xml:space="preserve">that all public companies account for </w:t>
      </w:r>
      <w:proofErr w:type="gramStart"/>
      <w:r w:rsidRPr="006D2F34">
        <w:rPr>
          <w:rFonts w:eastAsia="Times New Roman"/>
        </w:rPr>
        <w:t>all of</w:t>
      </w:r>
      <w:proofErr w:type="gramEnd"/>
      <w:r w:rsidRPr="006D2F34">
        <w:rPr>
          <w:rFonts w:eastAsia="Times New Roman"/>
        </w:rPr>
        <w:t xml:space="preserve"> their assets and liabilities accurately and in reasonable detail, and they form the backbone for most accounting fraud and issuer disclosure cases brought by </w:t>
      </w:r>
      <w:r>
        <w:rPr>
          <w:rFonts w:eastAsia="Times New Roman"/>
        </w:rPr>
        <w:t>US</w:t>
      </w:r>
      <w:r w:rsidRPr="006D2F34">
        <w:rPr>
          <w:rFonts w:eastAsia="Times New Roman"/>
        </w:rPr>
        <w:t>DOJ and SEC.</w:t>
      </w:r>
    </w:p>
    <w:p w14:paraId="624CFA74" w14:textId="77777777" w:rsidR="006D2F34" w:rsidRPr="006D2F34" w:rsidRDefault="006D2F34" w:rsidP="006D2F34">
      <w:pPr>
        <w:pStyle w:val="ListParagraph"/>
        <w:rPr>
          <w:rFonts w:eastAsia="Times New Roman"/>
        </w:rPr>
      </w:pPr>
    </w:p>
    <w:p w14:paraId="53D660D0" w14:textId="3B584671" w:rsidR="006D2F34" w:rsidRDefault="006D2F34" w:rsidP="00367D7C">
      <w:pPr>
        <w:pStyle w:val="ListParagraph"/>
        <w:numPr>
          <w:ilvl w:val="0"/>
          <w:numId w:val="1"/>
        </w:numPr>
        <w:jc w:val="both"/>
        <w:rPr>
          <w:rFonts w:eastAsia="Times New Roman"/>
        </w:rPr>
      </w:pPr>
      <w:r>
        <w:rPr>
          <w:rFonts w:eastAsia="Times New Roman"/>
        </w:rPr>
        <w:t>The Committee also notes the outreach undertaken by the USDOJ and the SEC, as set out in the review of recommendation 2(b) above.</w:t>
      </w:r>
    </w:p>
    <w:p w14:paraId="0E7CB9BB" w14:textId="77777777" w:rsidR="006D2F34" w:rsidRPr="006D2F34" w:rsidRDefault="006D2F34" w:rsidP="006D2F34">
      <w:pPr>
        <w:pStyle w:val="ListParagraph"/>
        <w:rPr>
          <w:rFonts w:eastAsia="Times New Roman"/>
        </w:rPr>
      </w:pPr>
    </w:p>
    <w:p w14:paraId="18123B61" w14:textId="6970DE13" w:rsidR="006D2F34" w:rsidRPr="006D2F34" w:rsidRDefault="006D2F34" w:rsidP="00367D7C">
      <w:pPr>
        <w:pStyle w:val="ListParagraph"/>
        <w:numPr>
          <w:ilvl w:val="0"/>
          <w:numId w:val="1"/>
        </w:numPr>
        <w:jc w:val="both"/>
        <w:rPr>
          <w:rFonts w:eastAsia="Times New Roman"/>
        </w:rPr>
      </w:pPr>
      <w:r>
        <w:rPr>
          <w:rFonts w:eastAsiaTheme="minorHAnsi"/>
          <w:bCs/>
          <w:iCs/>
        </w:rPr>
        <w:t>In</w:t>
      </w:r>
      <w:r w:rsidRPr="00A10CEF">
        <w:rPr>
          <w:rFonts w:eastAsiaTheme="minorHAnsi"/>
          <w:bCs/>
          <w:iCs/>
        </w:rPr>
        <w:t xml:space="preserve"> view of the above, the Committee takes note of the satisfactory consideration by the country under review of </w:t>
      </w:r>
      <w:r>
        <w:rPr>
          <w:rFonts w:eastAsiaTheme="minorHAnsi"/>
          <w:bCs/>
          <w:iCs/>
        </w:rPr>
        <w:t>recommendation 2(c</w:t>
      </w:r>
      <w:r w:rsidRPr="00A10CEF">
        <w:rPr>
          <w:rFonts w:eastAsiaTheme="minorHAnsi"/>
          <w:bCs/>
          <w:iCs/>
        </w:rPr>
        <w:t>)</w:t>
      </w:r>
      <w:r>
        <w:rPr>
          <w:rFonts w:eastAsiaTheme="minorHAnsi"/>
          <w:bCs/>
          <w:iCs/>
        </w:rPr>
        <w:t>.</w:t>
      </w:r>
    </w:p>
    <w:p w14:paraId="27229D7A" w14:textId="77777777" w:rsidR="006D2F34" w:rsidRPr="006D2F34" w:rsidRDefault="006D2F34" w:rsidP="006D2F34">
      <w:pPr>
        <w:pStyle w:val="ListParagraph"/>
        <w:rPr>
          <w:rFonts w:eastAsia="Times New Roman"/>
        </w:rPr>
      </w:pPr>
    </w:p>
    <w:p w14:paraId="3308D9C4" w14:textId="582BCC24" w:rsidR="006D2F34" w:rsidRDefault="006D2F34" w:rsidP="006D2F34">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3BB861F2" w14:textId="77777777" w:rsidR="006D2F34" w:rsidRDefault="006D2F34" w:rsidP="006D2F34">
      <w:pPr>
        <w:jc w:val="both"/>
        <w:rPr>
          <w:rStyle w:val="normaltextrun"/>
          <w:sz w:val="22"/>
          <w:szCs w:val="22"/>
          <w:u w:val="single"/>
        </w:rPr>
      </w:pPr>
    </w:p>
    <w:p w14:paraId="2FECB683" w14:textId="70409718" w:rsidR="006D2F34" w:rsidRDefault="006D2F34" w:rsidP="006D2F34">
      <w:pPr>
        <w:pStyle w:val="ListParagraph"/>
        <w:ind w:left="10"/>
        <w:jc w:val="both"/>
        <w:rPr>
          <w:i/>
          <w:iCs/>
        </w:rPr>
      </w:pPr>
      <w:r w:rsidRPr="006D2F34">
        <w:rPr>
          <w:i/>
          <w:iCs/>
        </w:rPr>
        <w:t>Consider continuing the application of and the adoption of the instruments necessary to facilitate the detection, by the organs and entities responsible for preventing and/or investigating violations of measures designed to ensure the accuracy of accounting records, of sums paid for acts of corruption that are concealed in those records, such as the following</w:t>
      </w:r>
      <w:r>
        <w:rPr>
          <w:i/>
          <w:iCs/>
        </w:rPr>
        <w:t>:</w:t>
      </w:r>
    </w:p>
    <w:p w14:paraId="6E424A28" w14:textId="77777777" w:rsidR="006D2F34" w:rsidRDefault="006D2F34" w:rsidP="006D2F34">
      <w:pPr>
        <w:pStyle w:val="ListParagraph"/>
        <w:ind w:left="10"/>
        <w:jc w:val="both"/>
        <w:rPr>
          <w:i/>
          <w:iCs/>
        </w:rPr>
      </w:pPr>
    </w:p>
    <w:p w14:paraId="77E506E8" w14:textId="7922C163" w:rsidR="006D2F34" w:rsidRPr="006D2F34" w:rsidRDefault="006D2F34" w:rsidP="006D2F34">
      <w:pPr>
        <w:pStyle w:val="ListParagraph"/>
        <w:ind w:left="10"/>
        <w:jc w:val="both"/>
        <w:rPr>
          <w:u w:val="single"/>
        </w:rPr>
      </w:pPr>
      <w:r w:rsidRPr="006D2F34">
        <w:rPr>
          <w:u w:val="single"/>
        </w:rPr>
        <w:t xml:space="preserve">Measure </w:t>
      </w:r>
      <w:proofErr w:type="spellStart"/>
      <w:r w:rsidRPr="006D2F34">
        <w:rPr>
          <w:u w:val="single"/>
        </w:rPr>
        <w:t>i</w:t>
      </w:r>
      <w:proofErr w:type="spellEnd"/>
      <w:r w:rsidRPr="006D2F34">
        <w:rPr>
          <w:u w:val="single"/>
        </w:rPr>
        <w:t>) suggested by the Committee:</w:t>
      </w:r>
    </w:p>
    <w:p w14:paraId="7DA99D0C" w14:textId="77777777" w:rsidR="006D2F34" w:rsidRPr="006D2F34" w:rsidRDefault="006D2F34" w:rsidP="006D2F34">
      <w:pPr>
        <w:pStyle w:val="ListParagraph"/>
        <w:rPr>
          <w:rFonts w:eastAsia="Times New Roman"/>
        </w:rPr>
      </w:pPr>
    </w:p>
    <w:p w14:paraId="08033234" w14:textId="40243C56" w:rsidR="006D2F34" w:rsidRDefault="006D2F34" w:rsidP="006D2F34">
      <w:pPr>
        <w:pStyle w:val="ListParagraph"/>
        <w:ind w:left="10"/>
        <w:jc w:val="both"/>
        <w:rPr>
          <w:i/>
          <w:iCs/>
        </w:rPr>
      </w:pPr>
      <w:r w:rsidRPr="006D2F34">
        <w:rPr>
          <w:i/>
          <w:iCs/>
        </w:rPr>
        <w:t>Review methods, including account inspections and analysis of periodically requested information, by which to detect anomalies in accounting records that could indicate the payment of sums for corruption</w:t>
      </w:r>
      <w:r>
        <w:rPr>
          <w:i/>
          <w:iCs/>
        </w:rPr>
        <w:t>.</w:t>
      </w:r>
    </w:p>
    <w:p w14:paraId="2719D216" w14:textId="77777777" w:rsidR="006D2F34" w:rsidRDefault="006D2F34" w:rsidP="006D2F34">
      <w:pPr>
        <w:pStyle w:val="ListParagraph"/>
        <w:ind w:left="10"/>
        <w:jc w:val="both"/>
        <w:rPr>
          <w:i/>
          <w:iCs/>
        </w:rPr>
      </w:pPr>
    </w:p>
    <w:p w14:paraId="43FB1107" w14:textId="33491292" w:rsidR="006D2F34" w:rsidRPr="00B7262A" w:rsidRDefault="000C333F" w:rsidP="000C333F">
      <w:pPr>
        <w:pStyle w:val="ListParagraph"/>
        <w:numPr>
          <w:ilvl w:val="0"/>
          <w:numId w:val="1"/>
        </w:numPr>
        <w:jc w:val="both"/>
        <w:rPr>
          <w:rStyle w:val="FootnoteReference"/>
          <w:vertAlign w:val="baseline"/>
        </w:rPr>
      </w:pPr>
      <w:r w:rsidRPr="000C333F">
        <w:rPr>
          <w:rFonts w:eastAsiaTheme="minorHAnsi"/>
          <w:bCs/>
          <w:iCs/>
        </w:rPr>
        <w:t>With</w:t>
      </w:r>
      <w:r w:rsidRPr="00804DBA">
        <w:t xml:space="preserve"> respect to the </w:t>
      </w:r>
      <w:proofErr w:type="gramStart"/>
      <w:r w:rsidRPr="00804DBA">
        <w:t>aforementioned measure</w:t>
      </w:r>
      <w:proofErr w:type="gramEnd"/>
      <w:r w:rsidRPr="00804DBA">
        <w:t>, in its Response, the country under review presented information that it considers pertinent:</w:t>
      </w:r>
      <w:r w:rsidRPr="000C333F">
        <w:rPr>
          <w:rStyle w:val="FootnoteReference"/>
        </w:rPr>
        <w:t xml:space="preserve"> </w:t>
      </w:r>
      <w:r w:rsidRPr="005A2298">
        <w:rPr>
          <w:rStyle w:val="FootnoteReference"/>
        </w:rPr>
        <w:footnoteReference w:id="65"/>
      </w:r>
    </w:p>
    <w:p w14:paraId="00D705F5" w14:textId="77777777" w:rsidR="00B7262A" w:rsidRDefault="00B7262A" w:rsidP="00B7262A">
      <w:pPr>
        <w:pStyle w:val="ListParagraph"/>
        <w:ind w:left="10"/>
        <w:jc w:val="both"/>
      </w:pPr>
    </w:p>
    <w:p w14:paraId="1B0E72EF" w14:textId="56AA594B" w:rsidR="00B7262A" w:rsidRPr="00B7262A" w:rsidRDefault="00B7262A" w:rsidP="00B7262A">
      <w:pPr>
        <w:pStyle w:val="ListParagraph"/>
        <w:numPr>
          <w:ilvl w:val="0"/>
          <w:numId w:val="1"/>
        </w:numPr>
        <w:jc w:val="both"/>
        <w:rPr>
          <w:rFonts w:eastAsia="Times New Roman"/>
        </w:rPr>
      </w:pPr>
      <w:r>
        <w:rPr>
          <w:rFonts w:eastAsia="Times New Roman"/>
        </w:rPr>
        <w:t xml:space="preserve">In this respect, the country under review notes section 404 of the Sarbanes-Oxley Act, by which </w:t>
      </w:r>
      <w:r w:rsidRPr="00B7262A">
        <w:rPr>
          <w:rFonts w:eastAsia="Times New Roman"/>
        </w:rPr>
        <w:t>issuers are required to present in their annual reports management’s conclusion regarding the effectiveness of the company’s internal controls over financial reporting. In this regard, the country under review observes:</w:t>
      </w:r>
      <w:r>
        <w:rPr>
          <w:rStyle w:val="FootnoteReference"/>
          <w:rFonts w:eastAsia="Times New Roman"/>
        </w:rPr>
        <w:footnoteReference w:id="66"/>
      </w:r>
      <w:r w:rsidRPr="00B7262A">
        <w:rPr>
          <w:rFonts w:eastAsia="Times New Roman"/>
        </w:rPr>
        <w:t xml:space="preserve"> </w:t>
      </w:r>
    </w:p>
    <w:p w14:paraId="145C00F6" w14:textId="77777777" w:rsidR="00B7262A" w:rsidRPr="00B7262A" w:rsidRDefault="00B7262A" w:rsidP="00B7262A">
      <w:pPr>
        <w:pStyle w:val="ListParagraph"/>
        <w:ind w:left="10"/>
        <w:jc w:val="both"/>
        <w:rPr>
          <w:rFonts w:eastAsia="Times New Roman"/>
        </w:rPr>
      </w:pPr>
    </w:p>
    <w:p w14:paraId="5FDBFF32" w14:textId="0659ECD2" w:rsidR="00B7262A" w:rsidRPr="00B7262A" w:rsidRDefault="00B7262A" w:rsidP="00B7262A">
      <w:pPr>
        <w:pStyle w:val="ListParagraph"/>
        <w:numPr>
          <w:ilvl w:val="0"/>
          <w:numId w:val="1"/>
        </w:numPr>
        <w:jc w:val="both"/>
        <w:rPr>
          <w:rFonts w:eastAsia="Times New Roman"/>
        </w:rPr>
      </w:pPr>
      <w:r>
        <w:rPr>
          <w:rFonts w:eastAsia="Times New Roman"/>
        </w:rPr>
        <w:t>“</w:t>
      </w:r>
      <w:r w:rsidRPr="00B7262A">
        <w:rPr>
          <w:rFonts w:eastAsia="Times New Roman"/>
          <w:i/>
          <w:iCs/>
        </w:rPr>
        <w:t>This statement must also assess the effectiveness of such internal controls and procedures. In addition, the company’s independent auditor must attest to and report on its assessment of the effectiveness of the company’s internal controls over financial reporting. As directed by Section 404, SEC has adopted rules requiring issuers and their independent auditors to report to the public on the effectiveness of the company’s internal control over financial reporting.  These internal controls include those related to illegal acts and fraud—including acts of bribery—that could result in a material misstatement of the company’s financial statements.”</w:t>
      </w:r>
    </w:p>
    <w:p w14:paraId="15DA03B3" w14:textId="77777777" w:rsidR="00B7262A" w:rsidRPr="00B7262A" w:rsidRDefault="00B7262A" w:rsidP="00B7262A">
      <w:pPr>
        <w:pStyle w:val="ListParagraph"/>
        <w:rPr>
          <w:rFonts w:eastAsia="Times New Roman"/>
        </w:rPr>
      </w:pPr>
    </w:p>
    <w:p w14:paraId="13807179" w14:textId="68C0EDF4" w:rsidR="000C333F" w:rsidRDefault="00B7262A" w:rsidP="00B966B7">
      <w:pPr>
        <w:pStyle w:val="ListParagraph"/>
        <w:numPr>
          <w:ilvl w:val="0"/>
          <w:numId w:val="1"/>
        </w:numPr>
        <w:jc w:val="both"/>
        <w:rPr>
          <w:rFonts w:eastAsia="Times New Roman"/>
        </w:rPr>
      </w:pPr>
      <w:r>
        <w:rPr>
          <w:rFonts w:eastAsia="Times New Roman"/>
        </w:rPr>
        <w:t xml:space="preserve">The country under review also </w:t>
      </w:r>
      <w:proofErr w:type="gramStart"/>
      <w:r>
        <w:rPr>
          <w:rFonts w:eastAsia="Times New Roman"/>
        </w:rPr>
        <w:t>makes reference</w:t>
      </w:r>
      <w:proofErr w:type="gramEnd"/>
      <w:r>
        <w:rPr>
          <w:rFonts w:eastAsia="Times New Roman"/>
        </w:rPr>
        <w:t xml:space="preserve"> </w:t>
      </w:r>
      <w:r w:rsidR="00FC1DB0">
        <w:rPr>
          <w:rFonts w:eastAsia="Times New Roman"/>
        </w:rPr>
        <w:t>to section</w:t>
      </w:r>
      <w:r w:rsidR="000C333F" w:rsidRPr="00B7262A">
        <w:rPr>
          <w:rFonts w:eastAsia="Times New Roman"/>
        </w:rPr>
        <w:t xml:space="preserve"> 10A(a)(1</w:t>
      </w:r>
      <w:r w:rsidR="00245FB8" w:rsidRPr="00B7262A">
        <w:rPr>
          <w:rFonts w:eastAsia="Times New Roman"/>
        </w:rPr>
        <w:t>) of</w:t>
      </w:r>
      <w:r w:rsidR="000C333F" w:rsidRPr="00B7262A">
        <w:rPr>
          <w:rFonts w:eastAsia="Times New Roman"/>
        </w:rPr>
        <w:t xml:space="preserve"> the Securities and Exchange Act </w:t>
      </w:r>
      <w:r w:rsidRPr="00B7262A">
        <w:rPr>
          <w:rFonts w:eastAsia="Times New Roman"/>
        </w:rPr>
        <w:t xml:space="preserve">which provides </w:t>
      </w:r>
      <w:r w:rsidRPr="00252372">
        <w:rPr>
          <w:rFonts w:eastAsia="Times New Roman"/>
        </w:rPr>
        <w:t>that</w:t>
      </w:r>
      <w:r w:rsidR="000C333F" w:rsidRPr="00252372">
        <w:rPr>
          <w:rFonts w:eastAsia="Times New Roman"/>
        </w:rPr>
        <w:t xml:space="preserve"> </w:t>
      </w:r>
      <w:r w:rsidR="00BD259E" w:rsidRPr="00252372">
        <w:rPr>
          <w:rFonts w:eastAsia="Times New Roman"/>
        </w:rPr>
        <w:t xml:space="preserve">private sector </w:t>
      </w:r>
      <w:r w:rsidRPr="00252372">
        <w:rPr>
          <w:rFonts w:eastAsia="Times New Roman"/>
        </w:rPr>
        <w:t>a</w:t>
      </w:r>
      <w:r w:rsidR="000C333F" w:rsidRPr="00252372">
        <w:rPr>
          <w:rFonts w:eastAsia="Times New Roman"/>
        </w:rPr>
        <w:t>uditors</w:t>
      </w:r>
      <w:r w:rsidR="000C333F" w:rsidRPr="00B7262A">
        <w:rPr>
          <w:rFonts w:eastAsia="Times New Roman"/>
        </w:rPr>
        <w:t xml:space="preserve"> have an obligation to design procedures to provide reasonable assurance of detecting illegal acts that would have a direct and material effect on the determination of financial statement amounts.</w:t>
      </w:r>
    </w:p>
    <w:p w14:paraId="00020BED" w14:textId="77777777" w:rsidR="00556CFD" w:rsidRPr="00556CFD" w:rsidRDefault="00556CFD" w:rsidP="00556CFD">
      <w:pPr>
        <w:pStyle w:val="ListParagraph"/>
        <w:rPr>
          <w:rFonts w:eastAsia="Times New Roman"/>
        </w:rPr>
      </w:pPr>
    </w:p>
    <w:p w14:paraId="1A31B539" w14:textId="49048951" w:rsidR="00556CFD" w:rsidRPr="00C60137" w:rsidRDefault="00556CFD" w:rsidP="00B966B7">
      <w:pPr>
        <w:pStyle w:val="ListParagraph"/>
        <w:numPr>
          <w:ilvl w:val="0"/>
          <w:numId w:val="1"/>
        </w:numPr>
        <w:jc w:val="both"/>
        <w:rPr>
          <w:rFonts w:eastAsia="Times New Roman"/>
        </w:rPr>
      </w:pPr>
      <w:r w:rsidRPr="00C60137">
        <w:rPr>
          <w:rFonts w:eastAsia="Times New Roman"/>
        </w:rPr>
        <w:t xml:space="preserve">In addition, the country under review notes that </w:t>
      </w:r>
      <w:r w:rsidRPr="00C60137">
        <w:rPr>
          <w:lang w:eastAsia="es-ES"/>
        </w:rPr>
        <w:t>the PCAOB inspects registered public accounting firms to assess compliance with the Sarbanes-Oxley Act, the rules of the PCAOB, the rules of the SEC, and professional standards, in connection with the firms’ performance of audits, issuance of audit reports, and related matters involving U.S. public companies and broker-dealers.  In general, the PCAOB inspects accounting firms at least triennially, and if a firm provides audit opinions for more than 100 issuers, on an annual basis.  In 2023, PCAOB inspectors outlined their priorities, which included increased focus on fraud-related audit procedures, among other things.</w:t>
      </w:r>
      <w:r w:rsidR="00213BE6" w:rsidRPr="00C60137">
        <w:rPr>
          <w:rStyle w:val="FootnoteReference"/>
          <w:lang w:eastAsia="es-ES"/>
        </w:rPr>
        <w:footnoteReference w:id="67"/>
      </w:r>
      <w:r w:rsidR="00213BE6" w:rsidRPr="00C60137">
        <w:rPr>
          <w:lang w:eastAsia="es-ES"/>
        </w:rPr>
        <w:t xml:space="preserve"> In addition, other public accounting firms are enrolled in the AICPA’s Peer Review Program, in which peer reviewers are directed to focus on higher risk audit engagements and on significant risk areas.</w:t>
      </w:r>
      <w:r w:rsidR="00213BE6" w:rsidRPr="00C60137">
        <w:rPr>
          <w:rStyle w:val="FootnoteReference"/>
          <w:lang w:eastAsia="es-ES"/>
        </w:rPr>
        <w:footnoteReference w:id="68"/>
      </w:r>
    </w:p>
    <w:p w14:paraId="6A6264A1" w14:textId="77777777" w:rsidR="00B7262A" w:rsidRPr="00B7262A" w:rsidRDefault="00B7262A" w:rsidP="00B7262A">
      <w:pPr>
        <w:pStyle w:val="ListParagraph"/>
        <w:rPr>
          <w:rFonts w:eastAsia="Times New Roman"/>
        </w:rPr>
      </w:pPr>
    </w:p>
    <w:p w14:paraId="1A27227A" w14:textId="5262EBB8" w:rsidR="00B7262A" w:rsidRPr="00C60137" w:rsidRDefault="00B7262A" w:rsidP="00B966B7">
      <w:pPr>
        <w:pStyle w:val="ListParagraph"/>
        <w:numPr>
          <w:ilvl w:val="0"/>
          <w:numId w:val="1"/>
        </w:numPr>
        <w:jc w:val="both"/>
        <w:rPr>
          <w:rFonts w:eastAsia="Times New Roman"/>
        </w:rPr>
      </w:pPr>
      <w:r>
        <w:rPr>
          <w:rFonts w:eastAsia="Times New Roman"/>
        </w:rPr>
        <w:t xml:space="preserve">The </w:t>
      </w:r>
      <w:r w:rsidRPr="00C60137">
        <w:rPr>
          <w:rFonts w:eastAsia="Times New Roman"/>
        </w:rPr>
        <w:t xml:space="preserve">Committee observes that </w:t>
      </w:r>
      <w:r w:rsidR="002825A4" w:rsidRPr="00C60137">
        <w:rPr>
          <w:rFonts w:eastAsia="Times New Roman"/>
        </w:rPr>
        <w:t xml:space="preserve">much of the information </w:t>
      </w:r>
      <w:r w:rsidRPr="00C60137">
        <w:rPr>
          <w:rFonts w:eastAsia="Times New Roman"/>
        </w:rPr>
        <w:t xml:space="preserve">provided </w:t>
      </w:r>
      <w:r w:rsidR="002825A4" w:rsidRPr="00C60137">
        <w:rPr>
          <w:rFonts w:eastAsia="Times New Roman"/>
        </w:rPr>
        <w:t>was</w:t>
      </w:r>
      <w:r w:rsidRPr="00C60137">
        <w:rPr>
          <w:rFonts w:eastAsia="Times New Roman"/>
        </w:rPr>
        <w:t xml:space="preserve"> already reviewed and considered by the Committee in the Report of the Third Round.</w:t>
      </w:r>
      <w:r w:rsidRPr="00C60137">
        <w:rPr>
          <w:rStyle w:val="FootnoteReference"/>
          <w:rFonts w:eastAsia="Times New Roman"/>
        </w:rPr>
        <w:footnoteReference w:id="69"/>
      </w:r>
    </w:p>
    <w:p w14:paraId="346316E6" w14:textId="77777777" w:rsidR="00443BDF" w:rsidRPr="00443BDF" w:rsidRDefault="00443BDF" w:rsidP="00443BDF">
      <w:pPr>
        <w:pStyle w:val="ListParagraph"/>
        <w:rPr>
          <w:rFonts w:eastAsia="Times New Roman"/>
        </w:rPr>
      </w:pPr>
    </w:p>
    <w:p w14:paraId="011C43D6" w14:textId="0323353B" w:rsidR="00443BDF" w:rsidRDefault="00443BDF" w:rsidP="00B966B7">
      <w:pPr>
        <w:pStyle w:val="ListParagraph"/>
        <w:numPr>
          <w:ilvl w:val="0"/>
          <w:numId w:val="1"/>
        </w:numPr>
        <w:jc w:val="both"/>
        <w:rPr>
          <w:rFonts w:eastAsia="Times New Roman"/>
        </w:rPr>
      </w:pPr>
      <w:r>
        <w:rPr>
          <w:rFonts w:eastAsia="Times New Roman"/>
        </w:rPr>
        <w:t xml:space="preserve">Given the foregoing, the Committee </w:t>
      </w:r>
      <w:r w:rsidRPr="00ED565C">
        <w:rPr>
          <w:rFonts w:eastAsia="Times New Roman"/>
        </w:rPr>
        <w:t xml:space="preserve">takes note of the need for the country under review to give attention to implementation of </w:t>
      </w:r>
      <w:r>
        <w:rPr>
          <w:rFonts w:eastAsia="Times New Roman"/>
        </w:rPr>
        <w:t xml:space="preserve">measure </w:t>
      </w:r>
      <w:proofErr w:type="spellStart"/>
      <w:r>
        <w:rPr>
          <w:rFonts w:eastAsia="Times New Roman"/>
        </w:rPr>
        <w:t>i</w:t>
      </w:r>
      <w:proofErr w:type="spellEnd"/>
      <w:r w:rsidRPr="00ED565C">
        <w:rPr>
          <w:rFonts w:eastAsia="Times New Roman"/>
        </w:rPr>
        <w:t>)</w:t>
      </w:r>
      <w:r>
        <w:rPr>
          <w:rFonts w:eastAsia="Times New Roman"/>
        </w:rPr>
        <w:t xml:space="preserve">, given that no further developments have been reported, and will be reformulated </w:t>
      </w:r>
      <w:proofErr w:type="gramStart"/>
      <w:r>
        <w:rPr>
          <w:rFonts w:eastAsia="Times New Roman"/>
        </w:rPr>
        <w:t>in order to</w:t>
      </w:r>
      <w:proofErr w:type="gramEnd"/>
      <w:r>
        <w:rPr>
          <w:rFonts w:eastAsia="Times New Roman"/>
        </w:rPr>
        <w:t xml:space="preserve"> better capture its scope and content</w:t>
      </w:r>
      <w:r w:rsidRPr="00ED565C">
        <w:rPr>
          <w:rFonts w:eastAsia="Times New Roman"/>
        </w:rPr>
        <w:t>. (See Recommendation 2.4.</w:t>
      </w:r>
      <w:r>
        <w:rPr>
          <w:rFonts w:eastAsia="Times New Roman"/>
        </w:rPr>
        <w:t>2</w:t>
      </w:r>
      <w:r w:rsidRPr="00ED565C">
        <w:rPr>
          <w:rFonts w:eastAsia="Times New Roman"/>
        </w:rPr>
        <w:t xml:space="preserve"> in section 2.4 of Chapter II of this Report)</w:t>
      </w:r>
    </w:p>
    <w:p w14:paraId="54DE2096" w14:textId="77777777" w:rsidR="00443BDF" w:rsidRPr="00443BDF" w:rsidRDefault="00443BDF" w:rsidP="00443BDF">
      <w:pPr>
        <w:pStyle w:val="ListParagraph"/>
        <w:rPr>
          <w:rFonts w:eastAsia="Times New Roman"/>
        </w:rPr>
      </w:pPr>
    </w:p>
    <w:p w14:paraId="24798724" w14:textId="77777777" w:rsidR="00443BDF" w:rsidRDefault="00443BDF" w:rsidP="00443BDF">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65422A4C" w14:textId="77777777" w:rsidR="00443BDF" w:rsidRDefault="00443BDF" w:rsidP="00443BDF">
      <w:pPr>
        <w:jc w:val="both"/>
        <w:rPr>
          <w:rStyle w:val="normaltextrun"/>
          <w:sz w:val="22"/>
          <w:szCs w:val="22"/>
          <w:u w:val="single"/>
        </w:rPr>
      </w:pPr>
    </w:p>
    <w:p w14:paraId="365D849F" w14:textId="6C7C3960" w:rsidR="00443BDF" w:rsidRDefault="00443BDF" w:rsidP="00443BDF">
      <w:pPr>
        <w:pStyle w:val="ListParagraph"/>
        <w:ind w:left="10"/>
        <w:jc w:val="both"/>
        <w:rPr>
          <w:i/>
          <w:iCs/>
        </w:rPr>
      </w:pPr>
      <w:r w:rsidRPr="006D2F34">
        <w:rPr>
          <w:i/>
          <w:iCs/>
        </w:rPr>
        <w:t xml:space="preserve">Consider continuing the application of and the adoption of the instruments necessary to facilitate the detection, by the organs and entities responsible for preventing and/or investigating violations of measures </w:t>
      </w:r>
      <w:r w:rsidRPr="006D2F34">
        <w:rPr>
          <w:i/>
          <w:iCs/>
        </w:rPr>
        <w:lastRenderedPageBreak/>
        <w:t>designed to ensure the accuracy of accounting records, of sums paid for acts of corruption that are concealed in those records, such as the following</w:t>
      </w:r>
      <w:r>
        <w:rPr>
          <w:i/>
          <w:iCs/>
        </w:rPr>
        <w:t>:</w:t>
      </w:r>
    </w:p>
    <w:p w14:paraId="3CB58787" w14:textId="77777777" w:rsidR="00443BDF" w:rsidRDefault="00443BDF" w:rsidP="00443BDF">
      <w:pPr>
        <w:pStyle w:val="ListParagraph"/>
        <w:ind w:left="10"/>
        <w:jc w:val="both"/>
        <w:rPr>
          <w:i/>
          <w:iCs/>
        </w:rPr>
      </w:pPr>
    </w:p>
    <w:p w14:paraId="1B1D0FA0" w14:textId="4F65E3DF" w:rsidR="00443BDF" w:rsidRPr="006D2F34" w:rsidRDefault="00443BDF" w:rsidP="00443BDF">
      <w:pPr>
        <w:pStyle w:val="ListParagraph"/>
        <w:ind w:left="10"/>
        <w:jc w:val="both"/>
        <w:rPr>
          <w:u w:val="single"/>
        </w:rPr>
      </w:pPr>
      <w:r w:rsidRPr="006D2F34">
        <w:rPr>
          <w:u w:val="single"/>
        </w:rPr>
        <w:t>Measure i</w:t>
      </w:r>
      <w:r>
        <w:rPr>
          <w:u w:val="single"/>
        </w:rPr>
        <w:t>i</w:t>
      </w:r>
      <w:r w:rsidRPr="006D2F34">
        <w:rPr>
          <w:u w:val="single"/>
        </w:rPr>
        <w:t>) suggested by the Committee:</w:t>
      </w:r>
    </w:p>
    <w:p w14:paraId="44ED2ED6" w14:textId="77777777" w:rsidR="00443BDF" w:rsidRPr="006D2F34" w:rsidRDefault="00443BDF" w:rsidP="00443BDF">
      <w:pPr>
        <w:pStyle w:val="ListParagraph"/>
        <w:rPr>
          <w:rFonts w:eastAsia="Times New Roman"/>
        </w:rPr>
      </w:pPr>
    </w:p>
    <w:p w14:paraId="5A2AAD0B" w14:textId="00920362" w:rsidR="00443BDF" w:rsidRDefault="00443BDF" w:rsidP="00443BDF">
      <w:pPr>
        <w:pStyle w:val="ListParagraph"/>
        <w:ind w:left="10"/>
        <w:jc w:val="both"/>
        <w:rPr>
          <w:i/>
          <w:iCs/>
        </w:rPr>
      </w:pPr>
      <w:r w:rsidRPr="00443BDF">
        <w:rPr>
          <w:i/>
          <w:iCs/>
        </w:rPr>
        <w:t xml:space="preserve">Investigation tactics, such as follow-up on expenditures, crosschecking of information and accounts, and requests for information from financial entities </w:t>
      </w:r>
      <w:proofErr w:type="gramStart"/>
      <w:r w:rsidRPr="00443BDF">
        <w:rPr>
          <w:i/>
          <w:iCs/>
        </w:rPr>
        <w:t>in order to</w:t>
      </w:r>
      <w:proofErr w:type="gramEnd"/>
      <w:r w:rsidRPr="00443BDF">
        <w:rPr>
          <w:i/>
          <w:iCs/>
        </w:rPr>
        <w:t xml:space="preserve"> determine if such payments occurred</w:t>
      </w:r>
      <w:r w:rsidRPr="006D2F34">
        <w:rPr>
          <w:i/>
          <w:iCs/>
        </w:rPr>
        <w:t>, by which to detect anomalies in accounting records that could indicate the payment of sums for corruption</w:t>
      </w:r>
      <w:r>
        <w:rPr>
          <w:i/>
          <w:iCs/>
        </w:rPr>
        <w:t>.</w:t>
      </w:r>
    </w:p>
    <w:p w14:paraId="5E3F639B" w14:textId="77777777" w:rsidR="0057139B" w:rsidRDefault="0057139B" w:rsidP="00443BDF">
      <w:pPr>
        <w:pStyle w:val="ListParagraph"/>
        <w:ind w:left="10"/>
        <w:jc w:val="both"/>
        <w:rPr>
          <w:i/>
          <w:iCs/>
        </w:rPr>
      </w:pPr>
    </w:p>
    <w:p w14:paraId="71AEAADF" w14:textId="79D8B521" w:rsidR="00443BDF" w:rsidRPr="00443BDF" w:rsidRDefault="00443BDF" w:rsidP="00443BDF">
      <w:pPr>
        <w:pStyle w:val="ListParagraph"/>
        <w:numPr>
          <w:ilvl w:val="0"/>
          <w:numId w:val="1"/>
        </w:numPr>
        <w:jc w:val="both"/>
        <w:rPr>
          <w:rStyle w:val="FootnoteReference"/>
          <w:rFonts w:eastAsia="Times New Roman"/>
          <w:vertAlign w:val="baseline"/>
        </w:rPr>
      </w:pPr>
      <w:r w:rsidRPr="00443BDF">
        <w:rPr>
          <w:rFonts w:eastAsia="Times New Roman"/>
        </w:rPr>
        <w:t>With</w:t>
      </w:r>
      <w:r w:rsidRPr="00804DBA">
        <w:t xml:space="preserve"> respect to the </w:t>
      </w:r>
      <w:proofErr w:type="gramStart"/>
      <w:r w:rsidRPr="00804DBA">
        <w:t>aforementioned measure</w:t>
      </w:r>
      <w:proofErr w:type="gramEnd"/>
      <w:r w:rsidRPr="00804DBA">
        <w:t>, in its Response, the country under review presented information that it considers pertinent:</w:t>
      </w:r>
      <w:r w:rsidRPr="000C333F">
        <w:rPr>
          <w:rStyle w:val="FootnoteReference"/>
        </w:rPr>
        <w:t xml:space="preserve"> </w:t>
      </w:r>
      <w:r w:rsidRPr="005A2298">
        <w:rPr>
          <w:rStyle w:val="FootnoteReference"/>
        </w:rPr>
        <w:footnoteReference w:id="70"/>
      </w:r>
    </w:p>
    <w:p w14:paraId="66A2B88D" w14:textId="77777777" w:rsidR="00443BDF" w:rsidRPr="00443BDF" w:rsidRDefault="00443BDF" w:rsidP="00443BDF">
      <w:pPr>
        <w:pStyle w:val="ListParagraph"/>
        <w:ind w:left="10"/>
        <w:jc w:val="both"/>
        <w:rPr>
          <w:rFonts w:eastAsia="Times New Roman"/>
        </w:rPr>
      </w:pPr>
    </w:p>
    <w:p w14:paraId="2B005AC4" w14:textId="6EA31F2E" w:rsidR="00443BDF" w:rsidRDefault="00443BDF" w:rsidP="00443BDF">
      <w:pPr>
        <w:pStyle w:val="ListParagraph"/>
        <w:numPr>
          <w:ilvl w:val="0"/>
          <w:numId w:val="1"/>
        </w:numPr>
        <w:jc w:val="both"/>
        <w:rPr>
          <w:rFonts w:eastAsia="Times New Roman"/>
        </w:rPr>
      </w:pPr>
      <w:r>
        <w:rPr>
          <w:rFonts w:eastAsia="Times New Roman"/>
        </w:rPr>
        <w:t xml:space="preserve">In this respect, the country under review refers to the information provided with respect to </w:t>
      </w:r>
      <w:r w:rsidR="002523D0">
        <w:rPr>
          <w:rFonts w:eastAsia="Times New Roman"/>
        </w:rPr>
        <w:t xml:space="preserve">measure </w:t>
      </w:r>
      <w:proofErr w:type="spellStart"/>
      <w:r w:rsidR="002523D0">
        <w:rPr>
          <w:rFonts w:eastAsia="Times New Roman"/>
        </w:rPr>
        <w:t>i</w:t>
      </w:r>
      <w:proofErr w:type="spellEnd"/>
      <w:r w:rsidR="002523D0">
        <w:rPr>
          <w:rFonts w:eastAsia="Times New Roman"/>
        </w:rPr>
        <w:t xml:space="preserve">). </w:t>
      </w:r>
    </w:p>
    <w:p w14:paraId="16831D7E" w14:textId="77777777" w:rsidR="002523D0" w:rsidRPr="002523D0" w:rsidRDefault="002523D0" w:rsidP="002523D0">
      <w:pPr>
        <w:pStyle w:val="ListParagraph"/>
        <w:rPr>
          <w:rFonts w:eastAsia="Times New Roman"/>
        </w:rPr>
      </w:pPr>
    </w:p>
    <w:p w14:paraId="0792AD92" w14:textId="0B6A0B75" w:rsidR="002523D0" w:rsidRDefault="002523D0" w:rsidP="002523D0">
      <w:pPr>
        <w:pStyle w:val="ListParagraph"/>
        <w:numPr>
          <w:ilvl w:val="0"/>
          <w:numId w:val="1"/>
        </w:numPr>
        <w:jc w:val="both"/>
        <w:rPr>
          <w:rFonts w:eastAsia="Times New Roman"/>
        </w:rPr>
      </w:pPr>
      <w:r>
        <w:rPr>
          <w:rFonts w:eastAsia="Times New Roman"/>
        </w:rPr>
        <w:t xml:space="preserve">The Committee observes </w:t>
      </w:r>
      <w:r w:rsidRPr="002825A4">
        <w:rPr>
          <w:rFonts w:eastAsia="Times New Roman"/>
        </w:rPr>
        <w:t xml:space="preserve">that </w:t>
      </w:r>
      <w:r>
        <w:rPr>
          <w:rFonts w:eastAsia="Times New Roman"/>
        </w:rPr>
        <w:t xml:space="preserve">the </w:t>
      </w:r>
      <w:r w:rsidR="00E2108F">
        <w:rPr>
          <w:rFonts w:eastAsia="Times New Roman"/>
        </w:rPr>
        <w:t>information provided</w:t>
      </w:r>
      <w:r>
        <w:rPr>
          <w:rFonts w:eastAsia="Times New Roman"/>
        </w:rPr>
        <w:t xml:space="preserve"> w</w:t>
      </w:r>
      <w:r w:rsidR="00E2108F">
        <w:rPr>
          <w:rFonts w:eastAsia="Times New Roman"/>
        </w:rPr>
        <w:t>as</w:t>
      </w:r>
      <w:r>
        <w:rPr>
          <w:rFonts w:eastAsia="Times New Roman"/>
        </w:rPr>
        <w:t xml:space="preserve"> already reviewed and considered by the Committee in the Report of the Third Round.</w:t>
      </w:r>
      <w:r>
        <w:rPr>
          <w:rStyle w:val="FootnoteReference"/>
          <w:rFonts w:eastAsia="Times New Roman"/>
        </w:rPr>
        <w:footnoteReference w:id="71"/>
      </w:r>
    </w:p>
    <w:p w14:paraId="21197981" w14:textId="77777777" w:rsidR="002523D0" w:rsidRPr="00443BDF" w:rsidRDefault="002523D0" w:rsidP="002523D0">
      <w:pPr>
        <w:pStyle w:val="ListParagraph"/>
        <w:rPr>
          <w:rFonts w:eastAsia="Times New Roman"/>
        </w:rPr>
      </w:pPr>
    </w:p>
    <w:p w14:paraId="50CAFE1A" w14:textId="68E7FB40" w:rsidR="002523D0" w:rsidRDefault="002523D0" w:rsidP="002523D0">
      <w:pPr>
        <w:pStyle w:val="ListParagraph"/>
        <w:numPr>
          <w:ilvl w:val="0"/>
          <w:numId w:val="1"/>
        </w:numPr>
        <w:jc w:val="both"/>
        <w:rPr>
          <w:rFonts w:eastAsia="Times New Roman"/>
        </w:rPr>
      </w:pPr>
      <w:r>
        <w:rPr>
          <w:rFonts w:eastAsia="Times New Roman"/>
        </w:rPr>
        <w:t xml:space="preserve">Given the foregoing, the Committee </w:t>
      </w:r>
      <w:r w:rsidRPr="00ED565C">
        <w:rPr>
          <w:rFonts w:eastAsia="Times New Roman"/>
        </w:rPr>
        <w:t xml:space="preserve">takes note of the need for the country under review to give attention to implementation of </w:t>
      </w:r>
      <w:r>
        <w:rPr>
          <w:rFonts w:eastAsia="Times New Roman"/>
        </w:rPr>
        <w:t>measure ii</w:t>
      </w:r>
      <w:r w:rsidRPr="00ED565C">
        <w:rPr>
          <w:rFonts w:eastAsia="Times New Roman"/>
        </w:rPr>
        <w:t>)</w:t>
      </w:r>
      <w:r>
        <w:rPr>
          <w:rFonts w:eastAsia="Times New Roman"/>
        </w:rPr>
        <w:t xml:space="preserve">, </w:t>
      </w:r>
      <w:r w:rsidR="004A1F3F" w:rsidRPr="009F7CCB">
        <w:rPr>
          <w:rFonts w:eastAsia="Times New Roman"/>
        </w:rPr>
        <w:t xml:space="preserve">as it pertains to private sector auditors, </w:t>
      </w:r>
      <w:r>
        <w:rPr>
          <w:rFonts w:eastAsia="Times New Roman"/>
        </w:rPr>
        <w:t xml:space="preserve">given that no further developments have been reported, and will be reformulated </w:t>
      </w:r>
      <w:proofErr w:type="gramStart"/>
      <w:r>
        <w:rPr>
          <w:rFonts w:eastAsia="Times New Roman"/>
        </w:rPr>
        <w:t>in order to</w:t>
      </w:r>
      <w:proofErr w:type="gramEnd"/>
      <w:r>
        <w:rPr>
          <w:rFonts w:eastAsia="Times New Roman"/>
        </w:rPr>
        <w:t xml:space="preserve"> better capture its scope and content</w:t>
      </w:r>
      <w:r w:rsidRPr="00ED565C">
        <w:rPr>
          <w:rFonts w:eastAsia="Times New Roman"/>
        </w:rPr>
        <w:t>. (See Recommendation 2.4.</w:t>
      </w:r>
      <w:r>
        <w:rPr>
          <w:rFonts w:eastAsia="Times New Roman"/>
        </w:rPr>
        <w:t>3</w:t>
      </w:r>
      <w:r w:rsidRPr="00ED565C">
        <w:rPr>
          <w:rFonts w:eastAsia="Times New Roman"/>
        </w:rPr>
        <w:t xml:space="preserve"> in section 2.4 of Chapter II of this Report)</w:t>
      </w:r>
    </w:p>
    <w:p w14:paraId="5F3D628F" w14:textId="77777777" w:rsidR="002523D0" w:rsidRPr="002523D0" w:rsidRDefault="002523D0" w:rsidP="002523D0">
      <w:pPr>
        <w:pStyle w:val="ListParagraph"/>
        <w:rPr>
          <w:rFonts w:eastAsia="Times New Roman"/>
        </w:rPr>
      </w:pPr>
    </w:p>
    <w:p w14:paraId="22A7EA1E" w14:textId="77777777" w:rsidR="002523D0" w:rsidRDefault="002523D0" w:rsidP="002523D0">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1ECD3B7F" w14:textId="77777777" w:rsidR="002523D0" w:rsidRDefault="002523D0" w:rsidP="002523D0">
      <w:pPr>
        <w:jc w:val="both"/>
        <w:rPr>
          <w:rStyle w:val="normaltextrun"/>
          <w:sz w:val="22"/>
          <w:szCs w:val="22"/>
          <w:u w:val="single"/>
        </w:rPr>
      </w:pPr>
    </w:p>
    <w:p w14:paraId="42702C43" w14:textId="74B21946" w:rsidR="002523D0" w:rsidRDefault="002523D0" w:rsidP="002523D0">
      <w:pPr>
        <w:pStyle w:val="ListParagraph"/>
        <w:ind w:left="10"/>
        <w:jc w:val="both"/>
        <w:rPr>
          <w:i/>
          <w:iCs/>
        </w:rPr>
      </w:pPr>
      <w:r w:rsidRPr="006D2F34">
        <w:rPr>
          <w:i/>
          <w:iCs/>
        </w:rPr>
        <w:t>Consider continuing the application of and the adoption of the instruments necessary to facilitate the detection, by the organs and entities responsible for preventing and/or investigating violations of measures designed to ensure the accuracy of accounting records, of sums paid for acts of corruption that are concealed in those records, such as the following</w:t>
      </w:r>
      <w:r>
        <w:rPr>
          <w:i/>
          <w:iCs/>
        </w:rPr>
        <w:t>:</w:t>
      </w:r>
    </w:p>
    <w:p w14:paraId="645ED7DC" w14:textId="77777777" w:rsidR="002523D0" w:rsidRDefault="002523D0" w:rsidP="002523D0">
      <w:pPr>
        <w:pStyle w:val="ListParagraph"/>
        <w:ind w:left="10"/>
        <w:jc w:val="both"/>
        <w:rPr>
          <w:i/>
          <w:iCs/>
        </w:rPr>
      </w:pPr>
    </w:p>
    <w:p w14:paraId="258C04BD" w14:textId="461AC8B7" w:rsidR="002523D0" w:rsidRPr="006D2F34" w:rsidRDefault="002523D0" w:rsidP="002523D0">
      <w:pPr>
        <w:pStyle w:val="ListParagraph"/>
        <w:ind w:left="10"/>
        <w:jc w:val="both"/>
        <w:rPr>
          <w:u w:val="single"/>
        </w:rPr>
      </w:pPr>
      <w:r w:rsidRPr="006D2F34">
        <w:rPr>
          <w:u w:val="single"/>
        </w:rPr>
        <w:t>Measure i</w:t>
      </w:r>
      <w:r>
        <w:rPr>
          <w:u w:val="single"/>
        </w:rPr>
        <w:t>ii</w:t>
      </w:r>
      <w:r w:rsidRPr="006D2F34">
        <w:rPr>
          <w:u w:val="single"/>
        </w:rPr>
        <w:t>) suggested by the Committee:</w:t>
      </w:r>
    </w:p>
    <w:p w14:paraId="079E9D22" w14:textId="77777777" w:rsidR="002523D0" w:rsidRPr="006D2F34" w:rsidRDefault="002523D0" w:rsidP="002523D0">
      <w:pPr>
        <w:pStyle w:val="ListParagraph"/>
        <w:rPr>
          <w:rFonts w:eastAsia="Times New Roman"/>
        </w:rPr>
      </w:pPr>
    </w:p>
    <w:p w14:paraId="6AFEC5FD" w14:textId="4A574CE0" w:rsidR="002523D0" w:rsidRDefault="002523D0" w:rsidP="002523D0">
      <w:pPr>
        <w:pStyle w:val="ListParagraph"/>
        <w:ind w:left="10"/>
        <w:jc w:val="both"/>
        <w:rPr>
          <w:i/>
          <w:iCs/>
        </w:rPr>
      </w:pPr>
      <w:r w:rsidRPr="002523D0">
        <w:rPr>
          <w:i/>
          <w:iCs/>
        </w:rPr>
        <w:t xml:space="preserve">Manuals, guidelines or directives for those organs and agencies that do not yet have them, on how to review accounting records </w:t>
      </w:r>
      <w:proofErr w:type="gramStart"/>
      <w:r w:rsidRPr="002523D0">
        <w:rPr>
          <w:i/>
          <w:iCs/>
        </w:rPr>
        <w:t>in order to</w:t>
      </w:r>
      <w:proofErr w:type="gramEnd"/>
      <w:r w:rsidRPr="002523D0">
        <w:rPr>
          <w:i/>
          <w:iCs/>
        </w:rPr>
        <w:t xml:space="preserve"> detect sums paid for corruption.</w:t>
      </w:r>
    </w:p>
    <w:p w14:paraId="4AFE744B" w14:textId="77777777" w:rsidR="002523D0" w:rsidRDefault="002523D0" w:rsidP="002523D0">
      <w:pPr>
        <w:pStyle w:val="ListParagraph"/>
        <w:ind w:left="10"/>
        <w:jc w:val="both"/>
        <w:rPr>
          <w:i/>
          <w:iCs/>
        </w:rPr>
      </w:pPr>
    </w:p>
    <w:p w14:paraId="5B0162EF" w14:textId="45C233AA" w:rsidR="002523D0" w:rsidRDefault="002523D0" w:rsidP="002561AD">
      <w:pPr>
        <w:pStyle w:val="ListParagraph"/>
        <w:numPr>
          <w:ilvl w:val="0"/>
          <w:numId w:val="1"/>
        </w:numPr>
        <w:jc w:val="both"/>
      </w:pPr>
      <w:r w:rsidRPr="00443BDF">
        <w:rPr>
          <w:rFonts w:eastAsia="Times New Roman"/>
        </w:rPr>
        <w:t>With</w:t>
      </w:r>
      <w:r w:rsidRPr="00804DBA">
        <w:t xml:space="preserve"> respect to the </w:t>
      </w:r>
      <w:proofErr w:type="gramStart"/>
      <w:r w:rsidRPr="00804DBA">
        <w:t>aforementioned measure</w:t>
      </w:r>
      <w:proofErr w:type="gramEnd"/>
      <w:r w:rsidRPr="00804DBA">
        <w:t>, in its Response, the country under review presented information that it considers pertinent:</w:t>
      </w:r>
      <w:r w:rsidRPr="005A2298">
        <w:rPr>
          <w:rStyle w:val="FootnoteReference"/>
        </w:rPr>
        <w:footnoteReference w:id="72"/>
      </w:r>
    </w:p>
    <w:p w14:paraId="25CC8B49" w14:textId="77777777" w:rsidR="00B4008A" w:rsidRDefault="00B4008A" w:rsidP="00B4008A">
      <w:pPr>
        <w:pStyle w:val="ListParagraph"/>
        <w:ind w:left="10"/>
        <w:jc w:val="both"/>
      </w:pPr>
    </w:p>
    <w:p w14:paraId="6E21A83E" w14:textId="49A379AD" w:rsidR="002561AD" w:rsidRPr="009C1FC0" w:rsidRDefault="00B4008A" w:rsidP="006D3AD1">
      <w:pPr>
        <w:pStyle w:val="ListParagraph"/>
        <w:numPr>
          <w:ilvl w:val="0"/>
          <w:numId w:val="1"/>
        </w:numPr>
        <w:jc w:val="both"/>
      </w:pPr>
      <w:r>
        <w:t>– The country notes that all public companies in the United States must file financial statements that have been prepared in conformity with US Generally Accepted Accounting Principles (</w:t>
      </w:r>
      <w:r w:rsidR="009C1FC0">
        <w:t xml:space="preserve">US </w:t>
      </w:r>
      <w:r>
        <w:t xml:space="preserve">GAAP). The country under review observes that these </w:t>
      </w:r>
      <w:r w:rsidR="002561AD" w:rsidRPr="009C1FC0">
        <w:t>principles are among the most comprehensive in the world</w:t>
      </w:r>
      <w:r w:rsidRPr="009C1FC0">
        <w:t xml:space="preserve">, and they require </w:t>
      </w:r>
      <w:r w:rsidR="002561AD" w:rsidRPr="009C1FC0">
        <w:t xml:space="preserve">an accounting of all assets, liabilities, revenue, and expenses as well as extensive disclosures concerning the company’s operations and financial condition. </w:t>
      </w:r>
      <w:r w:rsidR="009C1FC0" w:rsidRPr="009C1FC0">
        <w:t>As t</w:t>
      </w:r>
      <w:r w:rsidRPr="009C1FC0">
        <w:t>hese</w:t>
      </w:r>
      <w:r w:rsidR="002561AD" w:rsidRPr="009C1FC0">
        <w:t xml:space="preserve"> financial statements should be complete and fairly represent the company’s financial condition</w:t>
      </w:r>
      <w:r w:rsidR="009C1FC0" w:rsidRPr="009C1FC0">
        <w:t>, under</w:t>
      </w:r>
      <w:r w:rsidR="002561AD" w:rsidRPr="009C1FC0">
        <w:t xml:space="preserve"> </w:t>
      </w:r>
      <w:r w:rsidR="009C1FC0" w:rsidRPr="009C1FC0">
        <w:t xml:space="preserve">US </w:t>
      </w:r>
      <w:r w:rsidR="002561AD" w:rsidRPr="009C1FC0">
        <w:t>GAAP, any payments to foreign government officials must be properly accounted for in a company’s books, records, and financial statements.</w:t>
      </w:r>
    </w:p>
    <w:p w14:paraId="512C10C3" w14:textId="77777777" w:rsidR="009C1FC0" w:rsidRPr="009C1FC0" w:rsidRDefault="009C1FC0" w:rsidP="009C1FC0">
      <w:pPr>
        <w:pStyle w:val="ListParagraph"/>
        <w:ind w:left="10"/>
        <w:jc w:val="both"/>
      </w:pPr>
    </w:p>
    <w:p w14:paraId="78D837A9" w14:textId="71DC45C7" w:rsidR="009C1FC0" w:rsidRPr="009C1FC0" w:rsidRDefault="009C1FC0" w:rsidP="009C1FC0">
      <w:pPr>
        <w:pStyle w:val="ListParagraph"/>
        <w:numPr>
          <w:ilvl w:val="0"/>
          <w:numId w:val="1"/>
        </w:numPr>
        <w:jc w:val="both"/>
      </w:pPr>
      <w:r w:rsidRPr="009C1FC0">
        <w:lastRenderedPageBreak/>
        <w:t xml:space="preserve">The country under review also refers to the SEC Rules that requires issuers </w:t>
      </w:r>
      <w:r w:rsidR="002561AD" w:rsidRPr="009C1FC0">
        <w:t xml:space="preserve">to undergo an annual external audit of their financial statements and to make those audited financial statements available to the public by filing them with </w:t>
      </w:r>
      <w:r w:rsidRPr="009C1FC0">
        <w:t xml:space="preserve">the </w:t>
      </w:r>
      <w:r w:rsidR="002561AD" w:rsidRPr="009C1FC0">
        <w:t>SEC.</w:t>
      </w:r>
      <w:r w:rsidR="00C75920" w:rsidRPr="004E51AC">
        <w:rPr>
          <w:rStyle w:val="FootnoteReference"/>
          <w:b/>
          <w:bCs/>
          <w:u w:val="single"/>
        </w:rPr>
        <w:footnoteReference w:id="73"/>
      </w:r>
      <w:r w:rsidR="002561AD" w:rsidRPr="004E51AC">
        <w:rPr>
          <w:b/>
          <w:bCs/>
          <w:u w:val="single"/>
        </w:rPr>
        <w:t xml:space="preserve"> </w:t>
      </w:r>
      <w:r w:rsidRPr="009C1FC0">
        <w:t xml:space="preserve">In this regard, the </w:t>
      </w:r>
      <w:r w:rsidR="002561AD" w:rsidRPr="009C1FC0">
        <w:t xml:space="preserve">SEC Rules and the rules and standards issued by the </w:t>
      </w:r>
      <w:r w:rsidR="002561AD" w:rsidRPr="00B13BC2">
        <w:t>PCAOB</w:t>
      </w:r>
      <w:r w:rsidR="002561AD" w:rsidRPr="009C1FC0">
        <w:t xml:space="preserve"> under SEC oversight, require external auditors to be independent of the companies that they audit</w:t>
      </w:r>
      <w:r w:rsidRPr="009C1FC0">
        <w:t xml:space="preserve">, and they </w:t>
      </w:r>
      <w:r w:rsidR="002561AD" w:rsidRPr="009C1FC0">
        <w:t xml:space="preserve">must comply with the rules and standards set forth by the PCAOB when they perform an audit of a public company. </w:t>
      </w:r>
      <w:r w:rsidRPr="009C1FC0">
        <w:t>The country under review further notes:</w:t>
      </w:r>
      <w:r>
        <w:rPr>
          <w:rStyle w:val="FootnoteReference"/>
        </w:rPr>
        <w:footnoteReference w:id="74"/>
      </w:r>
    </w:p>
    <w:p w14:paraId="19DC5232" w14:textId="77777777" w:rsidR="009C1FC0" w:rsidRPr="009C1FC0" w:rsidRDefault="009C1FC0" w:rsidP="009C1FC0">
      <w:pPr>
        <w:pStyle w:val="ListParagraph"/>
        <w:ind w:left="10"/>
        <w:jc w:val="both"/>
      </w:pPr>
    </w:p>
    <w:p w14:paraId="691A4DAE" w14:textId="7A4CAD33" w:rsidR="002561AD" w:rsidRPr="009C1FC0" w:rsidRDefault="009C1FC0" w:rsidP="009C1FC0">
      <w:pPr>
        <w:pStyle w:val="ListParagraph"/>
        <w:numPr>
          <w:ilvl w:val="0"/>
          <w:numId w:val="1"/>
        </w:numPr>
        <w:jc w:val="both"/>
      </w:pPr>
      <w:r w:rsidRPr="009C1FC0">
        <w:t>“</w:t>
      </w:r>
      <w:r w:rsidR="002561AD" w:rsidRPr="009C1FC0">
        <w:rPr>
          <w:i/>
          <w:iCs/>
        </w:rPr>
        <w:t>The audit standards govern, for example, the auditor’s responsibility concerning material errors, irregularities, or illegal acts by a client and its officers, directors, and employees. Additionally, the auditor has a responsibility to obtain an understanding of an entity’s internal control over financial reporting as part of its audit and must communicate all significant deficiencies and material weaknesses identified during the audit to management and the audit committee</w:t>
      </w:r>
      <w:r w:rsidR="002561AD" w:rsidRPr="009C1FC0">
        <w:t>.</w:t>
      </w:r>
      <w:r w:rsidRPr="009C1FC0">
        <w:t>”</w:t>
      </w:r>
    </w:p>
    <w:p w14:paraId="3122F650" w14:textId="77777777" w:rsidR="002561AD" w:rsidRPr="00725080" w:rsidRDefault="002561AD" w:rsidP="002561AD">
      <w:pPr>
        <w:pStyle w:val="ListParagraph"/>
        <w:jc w:val="both"/>
        <w:rPr>
          <w:color w:val="2F5496" w:themeColor="accent1" w:themeShade="BF"/>
          <w:lang w:eastAsia="fr-CA"/>
        </w:rPr>
      </w:pPr>
    </w:p>
    <w:p w14:paraId="25501655" w14:textId="17203775" w:rsidR="002561AD" w:rsidRDefault="009C1FC0" w:rsidP="00B31B11">
      <w:pPr>
        <w:pStyle w:val="ListParagraph"/>
        <w:numPr>
          <w:ilvl w:val="0"/>
          <w:numId w:val="1"/>
        </w:numPr>
        <w:jc w:val="both"/>
      </w:pPr>
      <w:r w:rsidRPr="00B31B11">
        <w:t>The country under review further notes that under</w:t>
      </w:r>
      <w:r w:rsidR="002561AD" w:rsidRPr="00B31B11">
        <w:t xml:space="preserve"> Section 10A of the Exchange Act, independent auditors who discover an illegal act, such as the payment of bribes to domestic or foreign government officials, have certain obligations in connection with their audits of public companies</w:t>
      </w:r>
      <w:r w:rsidR="00B31B11" w:rsidRPr="00B31B11">
        <w:t xml:space="preserve">, </w:t>
      </w:r>
      <w:r w:rsidR="002561AD" w:rsidRPr="00B31B11">
        <w:t>requir</w:t>
      </w:r>
      <w:r w:rsidR="00B31B11" w:rsidRPr="00B31B11">
        <w:t>ing</w:t>
      </w:r>
      <w:r w:rsidR="002561AD" w:rsidRPr="00B31B11">
        <w:t xml:space="preserve"> auditors who become aware of illegal acts to report such acts to appropriate levels within the company and, if the company fails to take appropriate action, to notify SEC.</w:t>
      </w:r>
    </w:p>
    <w:p w14:paraId="6A7747CD" w14:textId="77777777" w:rsidR="00B31B11" w:rsidRDefault="00B31B11" w:rsidP="00B31B11">
      <w:pPr>
        <w:pStyle w:val="ListParagraph"/>
      </w:pPr>
    </w:p>
    <w:p w14:paraId="4F682C46" w14:textId="2C214A3C" w:rsidR="00B31B11" w:rsidRDefault="00B31B11" w:rsidP="00B31B11">
      <w:pPr>
        <w:pStyle w:val="ListParagraph"/>
        <w:numPr>
          <w:ilvl w:val="0"/>
          <w:numId w:val="1"/>
        </w:numPr>
        <w:jc w:val="both"/>
      </w:pPr>
      <w:r>
        <w:rPr>
          <w:rFonts w:eastAsia="Times New Roman"/>
        </w:rPr>
        <w:t>The Committee observes that the provisions provided were already reviewed and considered by the Committee in the Report of the Third Round.</w:t>
      </w:r>
      <w:r>
        <w:rPr>
          <w:rStyle w:val="FootnoteReference"/>
          <w:rFonts w:eastAsia="Times New Roman"/>
        </w:rPr>
        <w:footnoteReference w:id="75"/>
      </w:r>
      <w:r>
        <w:t xml:space="preserve"> </w:t>
      </w:r>
    </w:p>
    <w:p w14:paraId="4109474E" w14:textId="77777777" w:rsidR="004A6D31" w:rsidRDefault="004A6D31" w:rsidP="004A6D31">
      <w:pPr>
        <w:pStyle w:val="ListParagraph"/>
      </w:pPr>
    </w:p>
    <w:p w14:paraId="55B94E9A" w14:textId="0B1CABFC" w:rsidR="004A6D31" w:rsidRPr="004A6D31" w:rsidRDefault="004A6D31" w:rsidP="00B31B11">
      <w:pPr>
        <w:pStyle w:val="ListParagraph"/>
        <w:numPr>
          <w:ilvl w:val="0"/>
          <w:numId w:val="1"/>
        </w:numPr>
        <w:jc w:val="both"/>
      </w:pPr>
      <w:r>
        <w:rPr>
          <w:rFonts w:eastAsia="Times New Roman"/>
        </w:rPr>
        <w:t xml:space="preserve">Given the foregoing, the Committee </w:t>
      </w:r>
      <w:r w:rsidRPr="00ED565C">
        <w:rPr>
          <w:rFonts w:eastAsia="Times New Roman"/>
        </w:rPr>
        <w:t xml:space="preserve">takes note of the need for the country under review to give attention to implementation of </w:t>
      </w:r>
      <w:r>
        <w:rPr>
          <w:rFonts w:eastAsia="Times New Roman"/>
        </w:rPr>
        <w:t>measure iii</w:t>
      </w:r>
      <w:r w:rsidRPr="00ED565C">
        <w:rPr>
          <w:rFonts w:eastAsia="Times New Roman"/>
        </w:rPr>
        <w:t>)</w:t>
      </w:r>
      <w:r>
        <w:rPr>
          <w:rFonts w:eastAsia="Times New Roman"/>
        </w:rPr>
        <w:t xml:space="preserve">, given that no further developments have been reported, and will be reformulated </w:t>
      </w:r>
      <w:proofErr w:type="gramStart"/>
      <w:r>
        <w:rPr>
          <w:rFonts w:eastAsia="Times New Roman"/>
        </w:rPr>
        <w:t>in order to</w:t>
      </w:r>
      <w:proofErr w:type="gramEnd"/>
      <w:r>
        <w:rPr>
          <w:rFonts w:eastAsia="Times New Roman"/>
        </w:rPr>
        <w:t xml:space="preserve"> better capture its scope and content</w:t>
      </w:r>
      <w:r w:rsidRPr="00ED565C">
        <w:rPr>
          <w:rFonts w:eastAsia="Times New Roman"/>
        </w:rPr>
        <w:t>. (See Recommendation 2.4.</w:t>
      </w:r>
      <w:r w:rsidR="00D35F7E">
        <w:rPr>
          <w:rFonts w:eastAsia="Times New Roman"/>
        </w:rPr>
        <w:t>4</w:t>
      </w:r>
      <w:r w:rsidRPr="00ED565C">
        <w:rPr>
          <w:rFonts w:eastAsia="Times New Roman"/>
        </w:rPr>
        <w:t xml:space="preserve"> in section 2.4 of Chapter II of this Report)</w:t>
      </w:r>
    </w:p>
    <w:p w14:paraId="70A4DA97" w14:textId="77777777" w:rsidR="004A6D31" w:rsidRDefault="004A6D31" w:rsidP="004A6D31">
      <w:pPr>
        <w:pStyle w:val="ListParagraph"/>
      </w:pPr>
    </w:p>
    <w:p w14:paraId="2F477325" w14:textId="77777777" w:rsidR="004A6D31" w:rsidRDefault="004A6D31" w:rsidP="004A6D31">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63193186" w14:textId="77777777" w:rsidR="004A6D31" w:rsidRDefault="004A6D31" w:rsidP="004A6D31">
      <w:pPr>
        <w:jc w:val="both"/>
        <w:rPr>
          <w:rStyle w:val="normaltextrun"/>
          <w:sz w:val="22"/>
          <w:szCs w:val="22"/>
          <w:u w:val="single"/>
        </w:rPr>
      </w:pPr>
    </w:p>
    <w:p w14:paraId="588DCEC6" w14:textId="7610B291" w:rsidR="004A6D31" w:rsidRDefault="004A6D31" w:rsidP="004A6D31">
      <w:pPr>
        <w:pStyle w:val="ListParagraph"/>
        <w:ind w:left="10"/>
        <w:jc w:val="both"/>
        <w:rPr>
          <w:i/>
          <w:iCs/>
        </w:rPr>
      </w:pPr>
      <w:r w:rsidRPr="006D2F34">
        <w:rPr>
          <w:i/>
          <w:iCs/>
        </w:rPr>
        <w:t>Consider continuing the application of and the adoption of the instruments necessary to facilitate the detection, by the organs and entities responsible for preventing and/or investigating violations of measures designed to ensure the accuracy of accounting records, of sums paid for acts of corruption that are concealed in those records, such as the following</w:t>
      </w:r>
      <w:r>
        <w:rPr>
          <w:i/>
          <w:iCs/>
        </w:rPr>
        <w:t>:</w:t>
      </w:r>
    </w:p>
    <w:p w14:paraId="53426DC0" w14:textId="77777777" w:rsidR="004A6D31" w:rsidRDefault="004A6D31" w:rsidP="004A6D31">
      <w:pPr>
        <w:pStyle w:val="ListParagraph"/>
        <w:ind w:left="10"/>
        <w:jc w:val="both"/>
        <w:rPr>
          <w:i/>
          <w:iCs/>
        </w:rPr>
      </w:pPr>
    </w:p>
    <w:p w14:paraId="36794733" w14:textId="6530A465" w:rsidR="004A6D31" w:rsidRPr="006D2F34" w:rsidRDefault="004A6D31" w:rsidP="004A6D31">
      <w:pPr>
        <w:pStyle w:val="ListParagraph"/>
        <w:ind w:left="10"/>
        <w:jc w:val="both"/>
        <w:rPr>
          <w:u w:val="single"/>
        </w:rPr>
      </w:pPr>
      <w:r w:rsidRPr="006D2F34">
        <w:rPr>
          <w:u w:val="single"/>
        </w:rPr>
        <w:t>Measure i</w:t>
      </w:r>
      <w:r w:rsidR="00273918">
        <w:rPr>
          <w:u w:val="single"/>
        </w:rPr>
        <w:t>v</w:t>
      </w:r>
      <w:r w:rsidRPr="006D2F34">
        <w:rPr>
          <w:u w:val="single"/>
        </w:rPr>
        <w:t>) suggested by the Committee:</w:t>
      </w:r>
    </w:p>
    <w:p w14:paraId="65AD514F" w14:textId="77777777" w:rsidR="004A6D31" w:rsidRPr="006D2F34" w:rsidRDefault="004A6D31" w:rsidP="004A6D31">
      <w:pPr>
        <w:pStyle w:val="ListParagraph"/>
        <w:rPr>
          <w:rFonts w:eastAsia="Times New Roman"/>
        </w:rPr>
      </w:pPr>
    </w:p>
    <w:p w14:paraId="4A6D9619" w14:textId="69CA96C4" w:rsidR="00B31B11" w:rsidRDefault="004A6D31" w:rsidP="004A6D31">
      <w:pPr>
        <w:pStyle w:val="ListParagraph"/>
        <w:ind w:left="10"/>
        <w:jc w:val="both"/>
        <w:rPr>
          <w:i/>
          <w:iCs/>
        </w:rPr>
      </w:pPr>
      <w:r w:rsidRPr="004A6D31">
        <w:rPr>
          <w:i/>
          <w:iCs/>
        </w:rPr>
        <w:t>Computer programs that provide easy access to the necessary information to verify the veracity of accounting records and of the supporting documents on which they are based</w:t>
      </w:r>
      <w:r>
        <w:rPr>
          <w:i/>
          <w:iCs/>
        </w:rPr>
        <w:t>.</w:t>
      </w:r>
    </w:p>
    <w:p w14:paraId="4DB3989A" w14:textId="77777777" w:rsidR="004A6D31" w:rsidRDefault="004A6D31" w:rsidP="004A6D31">
      <w:pPr>
        <w:pStyle w:val="ListParagraph"/>
        <w:ind w:left="10"/>
        <w:jc w:val="both"/>
        <w:rPr>
          <w:i/>
          <w:iCs/>
        </w:rPr>
      </w:pPr>
    </w:p>
    <w:p w14:paraId="6253DB85" w14:textId="5E4B1D57" w:rsidR="004A6D31" w:rsidRDefault="004A6D31" w:rsidP="004A6D31">
      <w:pPr>
        <w:pStyle w:val="ListParagraph"/>
        <w:numPr>
          <w:ilvl w:val="0"/>
          <w:numId w:val="1"/>
        </w:numPr>
        <w:jc w:val="both"/>
      </w:pPr>
      <w:r w:rsidRPr="00443BDF">
        <w:rPr>
          <w:rFonts w:eastAsia="Times New Roman"/>
        </w:rPr>
        <w:t>With</w:t>
      </w:r>
      <w:r w:rsidRPr="00804DBA">
        <w:t xml:space="preserve"> respect to the </w:t>
      </w:r>
      <w:proofErr w:type="gramStart"/>
      <w:r w:rsidRPr="00804DBA">
        <w:t>aforementioned measure</w:t>
      </w:r>
      <w:proofErr w:type="gramEnd"/>
      <w:r w:rsidRPr="00804DBA">
        <w:t xml:space="preserve">, in its Response, the country under review </w:t>
      </w:r>
      <w:r>
        <w:t>noted that it did not have anything to report.</w:t>
      </w:r>
      <w:r w:rsidRPr="005A2298">
        <w:rPr>
          <w:rStyle w:val="FootnoteReference"/>
        </w:rPr>
        <w:footnoteReference w:id="76"/>
      </w:r>
    </w:p>
    <w:p w14:paraId="4498C092" w14:textId="77777777" w:rsidR="004A6D31" w:rsidRDefault="004A6D31" w:rsidP="004A6D31">
      <w:pPr>
        <w:pStyle w:val="ListParagraph"/>
        <w:ind w:left="10"/>
        <w:jc w:val="both"/>
      </w:pPr>
    </w:p>
    <w:p w14:paraId="6669A634" w14:textId="0800A628" w:rsidR="004A6D31" w:rsidRDefault="004A6D31" w:rsidP="004A6D31">
      <w:pPr>
        <w:pStyle w:val="ListParagraph"/>
        <w:numPr>
          <w:ilvl w:val="0"/>
          <w:numId w:val="1"/>
        </w:numPr>
        <w:jc w:val="both"/>
      </w:pPr>
      <w:r>
        <w:lastRenderedPageBreak/>
        <w:t xml:space="preserve">The Committee notes, however, that </w:t>
      </w:r>
      <w:proofErr w:type="gramStart"/>
      <w:r>
        <w:t>subsequent to</w:t>
      </w:r>
      <w:proofErr w:type="gramEnd"/>
      <w:r>
        <w:t xml:space="preserve"> the on-site visit, the country under review</w:t>
      </w:r>
      <w:r w:rsidR="00DE4B99">
        <w:t xml:space="preserve"> provided information on </w:t>
      </w:r>
      <w:r w:rsidR="00FF41BE">
        <w:t xml:space="preserve">the issue. In this respect, the country under review </w:t>
      </w:r>
      <w:r w:rsidR="00963B59">
        <w:t>noted the following</w:t>
      </w:r>
      <w:r w:rsidR="00FF41BE">
        <w:t>:</w:t>
      </w:r>
      <w:r w:rsidR="0033406F">
        <w:rPr>
          <w:rStyle w:val="FootnoteReference"/>
        </w:rPr>
        <w:footnoteReference w:id="77"/>
      </w:r>
    </w:p>
    <w:p w14:paraId="5E15FC1D" w14:textId="77777777" w:rsidR="00FF41BE" w:rsidRDefault="00FF41BE" w:rsidP="00FF41BE">
      <w:pPr>
        <w:pStyle w:val="ListParagraph"/>
      </w:pPr>
    </w:p>
    <w:p w14:paraId="6CAA589A" w14:textId="6EF0316A" w:rsidR="00FF41BE" w:rsidRPr="0033406F" w:rsidRDefault="0033406F" w:rsidP="004A6D31">
      <w:pPr>
        <w:pStyle w:val="ListParagraph"/>
        <w:numPr>
          <w:ilvl w:val="0"/>
          <w:numId w:val="1"/>
        </w:numPr>
        <w:jc w:val="both"/>
      </w:pPr>
      <w:r>
        <w:rPr>
          <w:color w:val="000000"/>
        </w:rPr>
        <w:t>“</w:t>
      </w:r>
      <w:r w:rsidRPr="0033406F">
        <w:rPr>
          <w:i/>
          <w:iCs/>
          <w:color w:val="000000"/>
        </w:rPr>
        <w:t xml:space="preserve">This is a developing area </w:t>
      </w:r>
      <w:proofErr w:type="gramStart"/>
      <w:r w:rsidRPr="0033406F">
        <w:rPr>
          <w:i/>
          <w:iCs/>
          <w:color w:val="000000"/>
        </w:rPr>
        <w:t>in light of</w:t>
      </w:r>
      <w:proofErr w:type="gramEnd"/>
      <w:r w:rsidRPr="0033406F">
        <w:rPr>
          <w:i/>
          <w:iCs/>
          <w:color w:val="000000"/>
        </w:rPr>
        <w:t xml:space="preserve"> continued advancements in data analytics, but there are a number of tools available to auditors, some of which may be developed in-house, particularly at larger accounting firms. Obtaining data requires the auditor to become sufficiently familiar with the audit client’s systems and is often an iterative process. Once obtained, some of the generalized audit software used for data analysis includes IDEA, ACL, and </w:t>
      </w:r>
      <w:proofErr w:type="spellStart"/>
      <w:r w:rsidRPr="0033406F">
        <w:rPr>
          <w:i/>
          <w:iCs/>
          <w:color w:val="000000"/>
        </w:rPr>
        <w:t>TeamMate</w:t>
      </w:r>
      <w:proofErr w:type="spellEnd"/>
      <w:r w:rsidRPr="0033406F">
        <w:rPr>
          <w:i/>
          <w:iCs/>
          <w:color w:val="000000"/>
        </w:rPr>
        <w:t>, among others</w:t>
      </w:r>
      <w:r>
        <w:rPr>
          <w:color w:val="000000"/>
        </w:rPr>
        <w:t>.”</w:t>
      </w:r>
    </w:p>
    <w:p w14:paraId="5127A607" w14:textId="77777777" w:rsidR="0033406F" w:rsidRDefault="0033406F" w:rsidP="0033406F">
      <w:pPr>
        <w:pStyle w:val="ListParagraph"/>
      </w:pPr>
    </w:p>
    <w:p w14:paraId="2458572C" w14:textId="40A9AD40" w:rsidR="006D7F2F" w:rsidRDefault="0033406F" w:rsidP="00273918">
      <w:pPr>
        <w:pStyle w:val="ListParagraph"/>
        <w:numPr>
          <w:ilvl w:val="0"/>
          <w:numId w:val="1"/>
        </w:numPr>
        <w:jc w:val="both"/>
      </w:pPr>
      <w:r>
        <w:t>In this regard, the Committee notes that the AICPA</w:t>
      </w:r>
      <w:r w:rsidR="006D7F2F">
        <w:t xml:space="preserve"> has a Technology hub page</w:t>
      </w:r>
      <w:r w:rsidR="00273918" w:rsidRPr="00273918">
        <w:t xml:space="preserve"> </w:t>
      </w:r>
      <w:r w:rsidR="00273918">
        <w:t xml:space="preserve">which provides </w:t>
      </w:r>
      <w:r w:rsidR="00273918" w:rsidRPr="00273918">
        <w:t xml:space="preserve">the latest technology information, tools and resources </w:t>
      </w:r>
      <w:r w:rsidR="006D7F2F">
        <w:t>to assist its members, on issues such as digital assets, artificial intelligence, and data analytics.</w:t>
      </w:r>
      <w:r w:rsidR="006D7F2F">
        <w:rPr>
          <w:rStyle w:val="FootnoteReference"/>
        </w:rPr>
        <w:footnoteReference w:id="78"/>
      </w:r>
      <w:r w:rsidR="006D7F2F">
        <w:t xml:space="preserve">  </w:t>
      </w:r>
      <w:r w:rsidR="00273918">
        <w:t xml:space="preserve">The Committee also notes that the AICPA has issued a </w:t>
      </w:r>
      <w:r w:rsidR="006D7F2F">
        <w:t xml:space="preserve">Guide to Audit Data Analytics, which </w:t>
      </w:r>
      <w:r w:rsidR="006D7F2F" w:rsidRPr="006D7F2F">
        <w:t>sets out how audit data analytics can be applied to the current financial statement audit to gather audit evidence.</w:t>
      </w:r>
      <w:r w:rsidR="006D7F2F">
        <w:rPr>
          <w:rStyle w:val="FootnoteReference"/>
        </w:rPr>
        <w:footnoteReference w:id="79"/>
      </w:r>
      <w:r w:rsidR="006D7F2F" w:rsidRPr="006D7F2F">
        <w:t> </w:t>
      </w:r>
      <w:r w:rsidR="006D7F2F">
        <w:t xml:space="preserve">It notes that, among other things, audit data analytics can improve an </w:t>
      </w:r>
      <w:r w:rsidR="006D7F2F" w:rsidRPr="006D7F2F">
        <w:t>understanding of an entity’s operations and associated risks, including the risk of fraud; increased potential for detecting material misstatements; and improved communications with those charged with governance of audited entities</w:t>
      </w:r>
      <w:r w:rsidR="006D7F2F">
        <w:t>.</w:t>
      </w:r>
    </w:p>
    <w:p w14:paraId="33A42BD2" w14:textId="77777777" w:rsidR="00273918" w:rsidRDefault="00273918" w:rsidP="00273918">
      <w:pPr>
        <w:pStyle w:val="ListParagraph"/>
      </w:pPr>
    </w:p>
    <w:p w14:paraId="62821673" w14:textId="4383BFA0" w:rsidR="00273918" w:rsidRPr="00963B59" w:rsidRDefault="00273918" w:rsidP="00273918">
      <w:pPr>
        <w:pStyle w:val="ListParagraph"/>
        <w:numPr>
          <w:ilvl w:val="0"/>
          <w:numId w:val="1"/>
        </w:numPr>
        <w:jc w:val="both"/>
      </w:pPr>
      <w:r>
        <w:rPr>
          <w:rFonts w:eastAsiaTheme="minorHAnsi"/>
          <w:bCs/>
          <w:iCs/>
        </w:rPr>
        <w:t>In</w:t>
      </w:r>
      <w:r w:rsidRPr="00A10CEF">
        <w:rPr>
          <w:rFonts w:eastAsiaTheme="minorHAnsi"/>
          <w:bCs/>
          <w:iCs/>
        </w:rPr>
        <w:t xml:space="preserve"> view of the above, the Committee takes note of the satisfactory consideration by the country under review of </w:t>
      </w:r>
      <w:r>
        <w:rPr>
          <w:rFonts w:eastAsiaTheme="minorHAnsi"/>
          <w:bCs/>
          <w:iCs/>
        </w:rPr>
        <w:t>measure (d)(iv).</w:t>
      </w:r>
    </w:p>
    <w:p w14:paraId="4208B3D6" w14:textId="77777777" w:rsidR="00963B59" w:rsidRDefault="00963B59" w:rsidP="00963B59">
      <w:pPr>
        <w:pStyle w:val="ListParagraph"/>
      </w:pPr>
    </w:p>
    <w:p w14:paraId="2D5875D0" w14:textId="77777777" w:rsidR="00963B59" w:rsidRDefault="00963B59" w:rsidP="00963B59">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35AC770B" w14:textId="77777777" w:rsidR="00963B59" w:rsidRDefault="00963B59" w:rsidP="00963B59">
      <w:pPr>
        <w:jc w:val="both"/>
        <w:rPr>
          <w:rStyle w:val="normaltextrun"/>
          <w:sz w:val="22"/>
          <w:szCs w:val="22"/>
          <w:u w:val="single"/>
        </w:rPr>
      </w:pPr>
    </w:p>
    <w:p w14:paraId="345FA99A" w14:textId="2D2B7D71" w:rsidR="00963B59" w:rsidRDefault="00963B59" w:rsidP="00963B59">
      <w:pPr>
        <w:pStyle w:val="ListParagraph"/>
        <w:ind w:left="10"/>
        <w:jc w:val="both"/>
        <w:rPr>
          <w:i/>
          <w:iCs/>
        </w:rPr>
      </w:pPr>
      <w:r w:rsidRPr="006D2F34">
        <w:rPr>
          <w:i/>
          <w:iCs/>
        </w:rPr>
        <w:t>Consider continuing the application of and the adoption of the instruments necessary to facilitate the detection, by the organs and entities responsible for preventing and/or investigating violations of measures designed to ensure the accuracy of accounting records, of sums paid for acts of corruption that are concealed in those records, such as the following</w:t>
      </w:r>
      <w:r>
        <w:rPr>
          <w:i/>
          <w:iCs/>
        </w:rPr>
        <w:t>:</w:t>
      </w:r>
    </w:p>
    <w:p w14:paraId="54FA5328" w14:textId="77777777" w:rsidR="00963B59" w:rsidRDefault="00963B59" w:rsidP="00963B59">
      <w:pPr>
        <w:pStyle w:val="ListParagraph"/>
        <w:ind w:left="10"/>
        <w:jc w:val="both"/>
        <w:rPr>
          <w:i/>
          <w:iCs/>
        </w:rPr>
      </w:pPr>
    </w:p>
    <w:p w14:paraId="22551A0C" w14:textId="722E266D" w:rsidR="00963B59" w:rsidRPr="006D2F34" w:rsidRDefault="00963B59" w:rsidP="00963B59">
      <w:pPr>
        <w:pStyle w:val="ListParagraph"/>
        <w:ind w:left="10"/>
        <w:jc w:val="both"/>
        <w:rPr>
          <w:u w:val="single"/>
        </w:rPr>
      </w:pPr>
      <w:r w:rsidRPr="006D2F34">
        <w:rPr>
          <w:u w:val="single"/>
        </w:rPr>
        <w:t xml:space="preserve">Measure </w:t>
      </w:r>
      <w:r>
        <w:rPr>
          <w:u w:val="single"/>
        </w:rPr>
        <w:t>v</w:t>
      </w:r>
      <w:r w:rsidRPr="006D2F34">
        <w:rPr>
          <w:u w:val="single"/>
        </w:rPr>
        <w:t>) suggested by the Committee:</w:t>
      </w:r>
    </w:p>
    <w:p w14:paraId="35D50325" w14:textId="77777777" w:rsidR="00963B59" w:rsidRPr="006D2F34" w:rsidRDefault="00963B59" w:rsidP="00963B59">
      <w:pPr>
        <w:pStyle w:val="ListParagraph"/>
        <w:rPr>
          <w:rFonts w:eastAsia="Times New Roman"/>
        </w:rPr>
      </w:pPr>
    </w:p>
    <w:p w14:paraId="0CB976A1" w14:textId="7DEB46BA" w:rsidR="00963B59" w:rsidRDefault="00963B59" w:rsidP="00963B59">
      <w:pPr>
        <w:pStyle w:val="ListParagraph"/>
        <w:ind w:left="10"/>
        <w:jc w:val="both"/>
        <w:rPr>
          <w:i/>
          <w:iCs/>
        </w:rPr>
      </w:pPr>
      <w:r w:rsidRPr="00963B59">
        <w:rPr>
          <w:i/>
          <w:iCs/>
        </w:rPr>
        <w:t>Institutional coordination mechanisms that enable these organs or entities to easily obtain the timely necessary collaboration from other institutions to verify the veracity of accounting records and of the supporting documents on which they are based or to establish their authenticity.</w:t>
      </w:r>
    </w:p>
    <w:p w14:paraId="00C93F4C" w14:textId="77777777" w:rsidR="00264B71" w:rsidRDefault="00264B71" w:rsidP="00963B59">
      <w:pPr>
        <w:pStyle w:val="ListParagraph"/>
        <w:ind w:left="10"/>
        <w:jc w:val="both"/>
        <w:rPr>
          <w:i/>
          <w:iCs/>
        </w:rPr>
      </w:pPr>
    </w:p>
    <w:p w14:paraId="109B4877" w14:textId="77777777" w:rsidR="00963B59" w:rsidRDefault="00963B59" w:rsidP="00963B59">
      <w:pPr>
        <w:pStyle w:val="ListParagraph"/>
        <w:numPr>
          <w:ilvl w:val="0"/>
          <w:numId w:val="1"/>
        </w:numPr>
        <w:jc w:val="both"/>
      </w:pPr>
      <w:r w:rsidRPr="00443BDF">
        <w:rPr>
          <w:rFonts w:eastAsia="Times New Roman"/>
        </w:rPr>
        <w:t>With</w:t>
      </w:r>
      <w:r w:rsidRPr="00804DBA">
        <w:t xml:space="preserve"> respect to the </w:t>
      </w:r>
      <w:proofErr w:type="gramStart"/>
      <w:r w:rsidRPr="00804DBA">
        <w:t>aforementioned measure</w:t>
      </w:r>
      <w:proofErr w:type="gramEnd"/>
      <w:r w:rsidRPr="00804DBA">
        <w:t xml:space="preserve">, in its Response, the country under review </w:t>
      </w:r>
      <w:r>
        <w:t>noted that it did not have anything to report.</w:t>
      </w:r>
      <w:r w:rsidRPr="005A2298">
        <w:rPr>
          <w:rStyle w:val="FootnoteReference"/>
        </w:rPr>
        <w:footnoteReference w:id="80"/>
      </w:r>
    </w:p>
    <w:p w14:paraId="3037AEE9" w14:textId="77777777" w:rsidR="00963B59" w:rsidRDefault="00963B59" w:rsidP="00963B59">
      <w:pPr>
        <w:pStyle w:val="ListParagraph"/>
        <w:ind w:left="10"/>
        <w:jc w:val="both"/>
      </w:pPr>
    </w:p>
    <w:p w14:paraId="19CC4F33" w14:textId="10392D39" w:rsidR="00963B59" w:rsidRDefault="00963B59" w:rsidP="00963B59">
      <w:pPr>
        <w:pStyle w:val="ListParagraph"/>
        <w:numPr>
          <w:ilvl w:val="0"/>
          <w:numId w:val="1"/>
        </w:numPr>
        <w:jc w:val="both"/>
      </w:pPr>
      <w:r w:rsidRPr="00963B59">
        <w:rPr>
          <w:rFonts w:eastAsiaTheme="minorHAnsi"/>
          <w:bCs/>
          <w:iCs/>
        </w:rPr>
        <w:t>The</w:t>
      </w:r>
      <w:r>
        <w:t xml:space="preserve"> Committee notes, however, that </w:t>
      </w:r>
      <w:proofErr w:type="gramStart"/>
      <w:r>
        <w:t>subsequent to</w:t>
      </w:r>
      <w:proofErr w:type="gramEnd"/>
      <w:r>
        <w:t xml:space="preserve"> the on-site visit, the country under review provided information on the issue. In this respect, the country under review noted the following:</w:t>
      </w:r>
      <w:r>
        <w:rPr>
          <w:rStyle w:val="FootnoteReference"/>
        </w:rPr>
        <w:footnoteReference w:id="81"/>
      </w:r>
    </w:p>
    <w:p w14:paraId="6F2CADAA" w14:textId="77777777" w:rsidR="00963B59" w:rsidRDefault="00963B59" w:rsidP="00963B59">
      <w:pPr>
        <w:pStyle w:val="ListParagraph"/>
      </w:pPr>
    </w:p>
    <w:p w14:paraId="33144C30" w14:textId="310E81C8" w:rsidR="00963B59" w:rsidRDefault="00963B59" w:rsidP="00963B59">
      <w:pPr>
        <w:pStyle w:val="ListParagraph"/>
        <w:numPr>
          <w:ilvl w:val="0"/>
          <w:numId w:val="1"/>
        </w:numPr>
        <w:jc w:val="both"/>
      </w:pPr>
      <w:r>
        <w:t>“</w:t>
      </w:r>
      <w:r w:rsidRPr="00963B59">
        <w:rPr>
          <w:i/>
          <w:iCs/>
        </w:rPr>
        <w:t>Information obtained directly from third parties can be valuable to auditors in providing independent corroboration of the company’s own records and ultimately in obtaining sufficient appropriate audit evidence. Such confirmation requests can relate to a debtor’s confirmation of receivables, a bank’s confirmation of account balances, or a counterparty’s confirmation of the terms of a contract, for instance. AICPA standards addressing this confirmation process include AU-C Section 330, Performing Audit Procedures in Response to Assessed Risks and Evaluating the Audit Evidence Obtained.</w:t>
      </w:r>
      <w:r w:rsidRPr="00963B59">
        <w:rPr>
          <w:rStyle w:val="FootnoteReference"/>
        </w:rPr>
        <w:footnoteReference w:id="82"/>
      </w:r>
      <w:r w:rsidRPr="00963B59">
        <w:rPr>
          <w:i/>
          <w:iCs/>
        </w:rPr>
        <w:t xml:space="preserve"> Additionally, the PCAOB has recently filed with the Commission certain proposed rules for approval, including AS 2310, The Auditor’s Use of Confirmation, which would replace current standard AS 2310, The Confirmation Process.</w:t>
      </w:r>
      <w:r>
        <w:rPr>
          <w:rStyle w:val="FootnoteReference"/>
        </w:rPr>
        <w:footnoteReference w:id="83"/>
      </w:r>
      <w:r>
        <w:t>”</w:t>
      </w:r>
      <w:r w:rsidRPr="00963B59">
        <w:t xml:space="preserve"> </w:t>
      </w:r>
    </w:p>
    <w:p w14:paraId="502882BF" w14:textId="77777777" w:rsidR="00963B59" w:rsidRDefault="00963B59" w:rsidP="00963B59">
      <w:pPr>
        <w:pStyle w:val="ListParagraph"/>
      </w:pPr>
    </w:p>
    <w:p w14:paraId="284087B9" w14:textId="0C6620FB" w:rsidR="005F4CF0" w:rsidRDefault="001E507C" w:rsidP="005F4CF0">
      <w:pPr>
        <w:pStyle w:val="ListParagraph"/>
        <w:numPr>
          <w:ilvl w:val="0"/>
          <w:numId w:val="1"/>
        </w:numPr>
        <w:jc w:val="both"/>
      </w:pPr>
      <w:r>
        <w:t xml:space="preserve">In this respect, the Committee notes that AU-C Section 330, Performing Audit Procedures in Response to Assessed Risks and Evaluating the Audit Evidence Obtained, sets out, among other things, that </w:t>
      </w:r>
      <w:r w:rsidR="000173B1">
        <w:t>importance of</w:t>
      </w:r>
      <w:r>
        <w:t xml:space="preserve"> </w:t>
      </w:r>
      <w:r w:rsidR="000173B1">
        <w:t xml:space="preserve">obtaining </w:t>
      </w:r>
      <w:r>
        <w:t>audit evidence</w:t>
      </w:r>
      <w:r w:rsidR="000173B1">
        <w:t xml:space="preserve"> in the form of external confirmations received directly by the auditor from appropriate confirming parties, </w:t>
      </w:r>
      <w:r w:rsidR="00191FCB">
        <w:t xml:space="preserve">which </w:t>
      </w:r>
      <w:r w:rsidR="000173B1">
        <w:t xml:space="preserve">may assist the auditor in obtaining audit evidence </w:t>
      </w:r>
      <w:r w:rsidR="00191FCB">
        <w:t xml:space="preserve">to </w:t>
      </w:r>
      <w:r w:rsidR="000173B1">
        <w:t>respond to significant risks of material misstatement, whether due to fraud or error.</w:t>
      </w:r>
      <w:r w:rsidR="00886FB2">
        <w:rPr>
          <w:rStyle w:val="FootnoteReference"/>
        </w:rPr>
        <w:footnoteReference w:id="84"/>
      </w:r>
      <w:r w:rsidR="000173B1">
        <w:t xml:space="preserve"> </w:t>
      </w:r>
      <w:r w:rsidR="005F4CF0">
        <w:t xml:space="preserve">The Committee observes, however, that it has not received additional information, to determine how auditors receive from </w:t>
      </w:r>
      <w:r w:rsidR="00720296">
        <w:t xml:space="preserve"> </w:t>
      </w:r>
      <w:r w:rsidR="00614C17">
        <w:t>other institutions, information to verify the veracity of accounting records and the supporting documents on</w:t>
      </w:r>
      <w:r w:rsidR="005F4CF0">
        <w:t xml:space="preserve"> which they are based or to establish their authenticity.</w:t>
      </w:r>
    </w:p>
    <w:p w14:paraId="41116939" w14:textId="77777777" w:rsidR="00B34F33" w:rsidRDefault="00B34F33" w:rsidP="00B34F33">
      <w:pPr>
        <w:pStyle w:val="ListParagraph"/>
      </w:pPr>
    </w:p>
    <w:p w14:paraId="37FA9458" w14:textId="0EFDA2FB" w:rsidR="005F4CF0" w:rsidRDefault="005F4CF0" w:rsidP="005F4CF0">
      <w:pPr>
        <w:pStyle w:val="ListParagraph"/>
        <w:numPr>
          <w:ilvl w:val="0"/>
          <w:numId w:val="1"/>
        </w:numPr>
        <w:jc w:val="both"/>
      </w:pPr>
      <w:r>
        <w:t xml:space="preserve">In addition, the PCAOB filed a proposal to </w:t>
      </w:r>
      <w:r w:rsidRPr="004F0A7F">
        <w:t>update the rules on auditor’s use of confirmation,</w:t>
      </w:r>
      <w:r w:rsidR="00F71E8B" w:rsidRPr="004F0A7F">
        <w:t xml:space="preserve"> relating to AS2310</w:t>
      </w:r>
      <w:r w:rsidR="00FE7319" w:rsidRPr="004F0A7F">
        <w:t>,</w:t>
      </w:r>
      <w:r w:rsidRPr="004F0A7F">
        <w:t xml:space="preserve"> </w:t>
      </w:r>
      <w:r w:rsidR="00B93ACE" w:rsidRPr="004F0A7F">
        <w:t xml:space="preserve">which was approved by </w:t>
      </w:r>
      <w:r w:rsidR="00F71E8B" w:rsidRPr="004F0A7F">
        <w:t>the SEC</w:t>
      </w:r>
      <w:r w:rsidR="00FE7319" w:rsidRPr="004F0A7F">
        <w:t xml:space="preserve"> on December 1, 2023</w:t>
      </w:r>
      <w:r w:rsidR="00F04B92" w:rsidRPr="004F0A7F">
        <w:t>, and which will be effective</w:t>
      </w:r>
      <w:r w:rsidR="00707678" w:rsidRPr="004F0A7F">
        <w:t xml:space="preserve"> for all financial statements for fiscal years ending on or after </w:t>
      </w:r>
      <w:r w:rsidR="00F04B92" w:rsidRPr="004F0A7F">
        <w:t>June 15, 2025</w:t>
      </w:r>
      <w:r>
        <w:t>.</w:t>
      </w:r>
      <w:r>
        <w:rPr>
          <w:rStyle w:val="FootnoteReference"/>
        </w:rPr>
        <w:footnoteReference w:id="85"/>
      </w:r>
      <w:r>
        <w:t xml:space="preserve"> </w:t>
      </w:r>
    </w:p>
    <w:p w14:paraId="034F336D" w14:textId="77777777" w:rsidR="00886FB2" w:rsidRDefault="00886FB2" w:rsidP="00886FB2">
      <w:pPr>
        <w:pStyle w:val="ListParagraph"/>
      </w:pPr>
    </w:p>
    <w:p w14:paraId="2DA971F0" w14:textId="24E86B00" w:rsidR="006D7F2F" w:rsidRDefault="005F4CF0" w:rsidP="00D313CF">
      <w:pPr>
        <w:pStyle w:val="ListParagraph"/>
        <w:numPr>
          <w:ilvl w:val="0"/>
          <w:numId w:val="1"/>
        </w:numPr>
        <w:jc w:val="both"/>
      </w:pPr>
      <w:r>
        <w:t xml:space="preserve">The Committee takes note of the steps taken by the country under review to advance in its implementation of measure (b)(v) and reiterates the need for the country under review to continue to give </w:t>
      </w:r>
      <w:r w:rsidR="00A2109B">
        <w:t xml:space="preserve">additional </w:t>
      </w:r>
      <w:r>
        <w:t>attention thereto given that the Committee has not received additional information, to determine how</w:t>
      </w:r>
      <w:r w:rsidR="00686BD5">
        <w:t xml:space="preserve"> </w:t>
      </w:r>
      <w:r w:rsidR="00686BD5" w:rsidRPr="00F35C8B">
        <w:t>private sector</w:t>
      </w:r>
      <w:r w:rsidRPr="00F35C8B">
        <w:t xml:space="preserve"> auditors</w:t>
      </w:r>
      <w:r>
        <w:t xml:space="preserve"> receive from other institutions, information to verify the veracity of accounting records and of the supporting documents on which they are based or to establish their authenticity. In this regard, the Committee considers it advisable to reformulate the recommendation </w:t>
      </w:r>
      <w:proofErr w:type="gramStart"/>
      <w:r>
        <w:t>so as to</w:t>
      </w:r>
      <w:proofErr w:type="gramEnd"/>
      <w:r>
        <w:t xml:space="preserve"> clarify its scope and content. (See Recommendation 2.4.</w:t>
      </w:r>
      <w:r w:rsidR="00D35F7E">
        <w:t>5</w:t>
      </w:r>
      <w:r>
        <w:t xml:space="preserve"> in section 2.4 of Chapter II of this Report)</w:t>
      </w:r>
    </w:p>
    <w:p w14:paraId="5AA40C64" w14:textId="77777777" w:rsidR="005F4CF0" w:rsidRDefault="005F4CF0" w:rsidP="005F4CF0">
      <w:pPr>
        <w:pStyle w:val="ListParagraph"/>
      </w:pPr>
    </w:p>
    <w:p w14:paraId="224CB738" w14:textId="77777777" w:rsidR="005F4CF0" w:rsidRDefault="005F4CF0" w:rsidP="005F4CF0">
      <w:pPr>
        <w:jc w:val="both"/>
        <w:rPr>
          <w:rStyle w:val="normaltextrun"/>
          <w:sz w:val="22"/>
          <w:szCs w:val="22"/>
          <w:u w:val="single"/>
        </w:rPr>
      </w:pPr>
      <w:r w:rsidRPr="00804DBA">
        <w:rPr>
          <w:rStyle w:val="normaltextrun"/>
          <w:sz w:val="22"/>
          <w:szCs w:val="22"/>
          <w:u w:val="single"/>
        </w:rPr>
        <w:t>Recommendation 2(</w:t>
      </w:r>
      <w:r>
        <w:rPr>
          <w:rStyle w:val="normaltextrun"/>
          <w:sz w:val="22"/>
          <w:szCs w:val="22"/>
          <w:u w:val="single"/>
        </w:rPr>
        <w:t>d</w:t>
      </w:r>
      <w:r w:rsidRPr="00804DBA">
        <w:rPr>
          <w:rStyle w:val="normaltextrun"/>
          <w:sz w:val="22"/>
          <w:szCs w:val="22"/>
          <w:u w:val="single"/>
        </w:rPr>
        <w:t>)</w:t>
      </w:r>
      <w:r>
        <w:rPr>
          <w:rStyle w:val="normaltextrun"/>
          <w:sz w:val="22"/>
          <w:szCs w:val="22"/>
          <w:u w:val="single"/>
        </w:rPr>
        <w:t>:</w:t>
      </w:r>
    </w:p>
    <w:p w14:paraId="741D9E5B" w14:textId="77777777" w:rsidR="005F4CF0" w:rsidRDefault="005F4CF0" w:rsidP="005F4CF0">
      <w:pPr>
        <w:jc w:val="both"/>
        <w:rPr>
          <w:rStyle w:val="normaltextrun"/>
          <w:sz w:val="22"/>
          <w:szCs w:val="22"/>
          <w:u w:val="single"/>
        </w:rPr>
      </w:pPr>
    </w:p>
    <w:p w14:paraId="2F51000C" w14:textId="01EE7829" w:rsidR="005F4CF0" w:rsidRDefault="005F4CF0" w:rsidP="005F4CF0">
      <w:pPr>
        <w:pStyle w:val="ListParagraph"/>
        <w:ind w:left="10"/>
        <w:jc w:val="both"/>
        <w:rPr>
          <w:i/>
          <w:iCs/>
        </w:rPr>
      </w:pPr>
      <w:r w:rsidRPr="006D2F34">
        <w:rPr>
          <w:i/>
          <w:iCs/>
        </w:rPr>
        <w:t>Consider continuing the application of and the adoption of the instruments necessary to facilitate the detection, by the organs and entities responsible for preventing and/or investigating violations of measures designed to ensure the accuracy of accounting records, of sums paid for acts of corruption that are concealed in those records, such as the following</w:t>
      </w:r>
      <w:r>
        <w:rPr>
          <w:i/>
          <w:iCs/>
        </w:rPr>
        <w:t>:</w:t>
      </w:r>
    </w:p>
    <w:p w14:paraId="517B90EB" w14:textId="77777777" w:rsidR="005F4CF0" w:rsidRDefault="005F4CF0" w:rsidP="005F4CF0">
      <w:pPr>
        <w:pStyle w:val="ListParagraph"/>
        <w:ind w:left="10"/>
        <w:jc w:val="both"/>
        <w:rPr>
          <w:i/>
          <w:iCs/>
        </w:rPr>
      </w:pPr>
    </w:p>
    <w:p w14:paraId="0C7368EE" w14:textId="3396968A" w:rsidR="005F4CF0" w:rsidRPr="006D2F34" w:rsidRDefault="005F4CF0" w:rsidP="005F4CF0">
      <w:pPr>
        <w:pStyle w:val="ListParagraph"/>
        <w:ind w:left="10"/>
        <w:jc w:val="both"/>
        <w:rPr>
          <w:u w:val="single"/>
        </w:rPr>
      </w:pPr>
      <w:r w:rsidRPr="006D2F34">
        <w:rPr>
          <w:u w:val="single"/>
        </w:rPr>
        <w:t xml:space="preserve">Measure </w:t>
      </w:r>
      <w:r>
        <w:rPr>
          <w:u w:val="single"/>
        </w:rPr>
        <w:t>vi</w:t>
      </w:r>
      <w:r w:rsidRPr="006D2F34">
        <w:rPr>
          <w:u w:val="single"/>
        </w:rPr>
        <w:t>) suggested by the Committee:</w:t>
      </w:r>
    </w:p>
    <w:p w14:paraId="428D38F8" w14:textId="77777777" w:rsidR="005F4CF0" w:rsidRDefault="005F4CF0" w:rsidP="006D14F5"/>
    <w:p w14:paraId="3ECF5903" w14:textId="317C1797" w:rsidR="005F4CF0" w:rsidRDefault="006D14F5" w:rsidP="006D14F5">
      <w:pPr>
        <w:pStyle w:val="ListParagraph"/>
        <w:ind w:left="10"/>
        <w:jc w:val="both"/>
        <w:rPr>
          <w:i/>
          <w:iCs/>
        </w:rPr>
      </w:pPr>
      <w:r w:rsidRPr="006D14F5">
        <w:rPr>
          <w:i/>
          <w:iCs/>
        </w:rPr>
        <w:lastRenderedPageBreak/>
        <w:t>Training programs for the officials of these organs and entities, specifically designed to alert them to the methods used to disguise payments for corruption in those records and to instruct them on how to detect them</w:t>
      </w:r>
      <w:r>
        <w:rPr>
          <w:i/>
          <w:iCs/>
        </w:rPr>
        <w:t>.</w:t>
      </w:r>
    </w:p>
    <w:p w14:paraId="58E97DDB" w14:textId="77777777" w:rsidR="006D14F5" w:rsidRDefault="006D14F5" w:rsidP="006D14F5">
      <w:pPr>
        <w:pStyle w:val="ListParagraph"/>
        <w:ind w:left="10"/>
        <w:jc w:val="both"/>
        <w:rPr>
          <w:i/>
          <w:iCs/>
        </w:rPr>
      </w:pPr>
    </w:p>
    <w:p w14:paraId="7FA5238B" w14:textId="7D5181A8" w:rsidR="006D14F5" w:rsidRDefault="006D14F5" w:rsidP="006D14F5">
      <w:pPr>
        <w:pStyle w:val="ListParagraph"/>
        <w:numPr>
          <w:ilvl w:val="0"/>
          <w:numId w:val="1"/>
        </w:numPr>
        <w:jc w:val="both"/>
      </w:pPr>
      <w:r w:rsidRPr="00443BDF">
        <w:rPr>
          <w:rFonts w:eastAsia="Times New Roman"/>
        </w:rPr>
        <w:t>With</w:t>
      </w:r>
      <w:r w:rsidRPr="00804DBA">
        <w:t xml:space="preserve"> respect to the </w:t>
      </w:r>
      <w:proofErr w:type="gramStart"/>
      <w:r w:rsidRPr="00804DBA">
        <w:t>aforementioned measure</w:t>
      </w:r>
      <w:proofErr w:type="gramEnd"/>
      <w:r w:rsidRPr="00804DBA">
        <w:t xml:space="preserve">, in its Response, the country under review </w:t>
      </w:r>
      <w:r>
        <w:t>noted that it did not have anything to report.</w:t>
      </w:r>
      <w:r w:rsidRPr="005A2298">
        <w:rPr>
          <w:rStyle w:val="FootnoteReference"/>
        </w:rPr>
        <w:footnoteReference w:id="86"/>
      </w:r>
    </w:p>
    <w:p w14:paraId="786096E9" w14:textId="77777777" w:rsidR="006D14F5" w:rsidRDefault="006D14F5" w:rsidP="006D14F5">
      <w:pPr>
        <w:pStyle w:val="ListParagraph"/>
        <w:ind w:left="10"/>
        <w:jc w:val="both"/>
      </w:pPr>
    </w:p>
    <w:p w14:paraId="5E04A7DC" w14:textId="73A88FCA" w:rsidR="006D14F5" w:rsidRDefault="006D14F5" w:rsidP="006D14F5">
      <w:pPr>
        <w:pStyle w:val="ListParagraph"/>
        <w:numPr>
          <w:ilvl w:val="0"/>
          <w:numId w:val="1"/>
        </w:numPr>
        <w:jc w:val="both"/>
      </w:pPr>
      <w:r w:rsidRPr="00963B59">
        <w:rPr>
          <w:rFonts w:eastAsiaTheme="minorHAnsi"/>
          <w:bCs/>
          <w:iCs/>
        </w:rPr>
        <w:t>The</w:t>
      </w:r>
      <w:r>
        <w:t xml:space="preserve"> Committee notes, however, that </w:t>
      </w:r>
      <w:proofErr w:type="gramStart"/>
      <w:r>
        <w:t>subsequent to</w:t>
      </w:r>
      <w:proofErr w:type="gramEnd"/>
      <w:r>
        <w:t xml:space="preserve"> the on-site visit, the country under review provided information on the issue. In this respect, the country under review noted the following:</w:t>
      </w:r>
      <w:r>
        <w:rPr>
          <w:rStyle w:val="FootnoteReference"/>
        </w:rPr>
        <w:footnoteReference w:id="87"/>
      </w:r>
    </w:p>
    <w:p w14:paraId="308E2E64" w14:textId="77777777" w:rsidR="006D14F5" w:rsidRDefault="006D14F5" w:rsidP="006D14F5">
      <w:pPr>
        <w:pStyle w:val="ListParagraph"/>
      </w:pPr>
    </w:p>
    <w:p w14:paraId="50F70BD8" w14:textId="3FE9655D" w:rsidR="006D14F5" w:rsidRDefault="006D14F5" w:rsidP="006D14F5">
      <w:pPr>
        <w:pStyle w:val="ListParagraph"/>
        <w:numPr>
          <w:ilvl w:val="0"/>
          <w:numId w:val="1"/>
        </w:numPr>
        <w:jc w:val="both"/>
      </w:pPr>
      <w:r>
        <w:t>“</w:t>
      </w:r>
      <w:r w:rsidRPr="006D14F5">
        <w:rPr>
          <w:i/>
          <w:iCs/>
        </w:rPr>
        <w:t>Some accounting firms have created in-house training programs addressing fraud and corruption. Additionally, various continuing professional education programs, approved by state boards of accountancy, have addressed fraud and corruption</w:t>
      </w:r>
      <w:r>
        <w:t>.”</w:t>
      </w:r>
    </w:p>
    <w:p w14:paraId="3C068161" w14:textId="77777777" w:rsidR="00E55F07" w:rsidRDefault="00E55F07" w:rsidP="00E55F07">
      <w:pPr>
        <w:pStyle w:val="ListParagraph"/>
      </w:pPr>
    </w:p>
    <w:p w14:paraId="5E97D3DC" w14:textId="223EB9CC" w:rsidR="00112F2A" w:rsidRPr="00C0672C" w:rsidRDefault="00E55F07" w:rsidP="00112F2A">
      <w:pPr>
        <w:pStyle w:val="ListParagraph"/>
        <w:numPr>
          <w:ilvl w:val="0"/>
          <w:numId w:val="1"/>
        </w:numPr>
        <w:jc w:val="both"/>
        <w:rPr>
          <w:rFonts w:eastAsia="Times New Roman"/>
        </w:rPr>
      </w:pPr>
      <w:r>
        <w:rPr>
          <w:rFonts w:eastAsia="Times New Roman"/>
        </w:rPr>
        <w:t>The Committee also notes, as set out in the consideration of Recommendation 2(b), that the AICPA provides training on Forensic Services, the objective of which is to deepen the skills on forensic accounting and litigation support, as well as fraud detection and prevention.</w:t>
      </w:r>
      <w:r>
        <w:rPr>
          <w:rStyle w:val="FootnoteReference"/>
          <w:rFonts w:eastAsia="Times New Roman"/>
        </w:rPr>
        <w:footnoteReference w:id="88"/>
      </w:r>
      <w:r>
        <w:rPr>
          <w:rFonts w:eastAsia="Times New Roman"/>
        </w:rPr>
        <w:t xml:space="preserve"> Courses such as  Financial Statement Fraud, Corruption and Asset Misappropriation, provides auditors with steps in carrying out a financial statement fraud investigation and the internal controls needed in place to deter and prevent fraud</w:t>
      </w:r>
      <w:r w:rsidR="00112F2A">
        <w:rPr>
          <w:rFonts w:eastAsia="Times New Roman"/>
        </w:rPr>
        <w:t xml:space="preserve">. The course helps participants in </w:t>
      </w:r>
      <w:r w:rsidR="00112F2A" w:rsidRPr="00112F2A">
        <w:t xml:space="preserve">identifying the different types of financial statement fraud; the concepts related to and instances of asset misappropriation; </w:t>
      </w:r>
      <w:r w:rsidR="00A471FE">
        <w:t>to</w:t>
      </w:r>
      <w:r w:rsidR="00112F2A" w:rsidRPr="00112F2A">
        <w:t xml:space="preserve"> identify the common characteristics of fraudsters; and the examples and key characteristics of certain types of financial statement fraud.</w:t>
      </w:r>
      <w:r w:rsidR="00C0672C">
        <w:rPr>
          <w:rStyle w:val="FootnoteReference"/>
        </w:rPr>
        <w:footnoteReference w:id="89"/>
      </w:r>
      <w:r w:rsidR="00C0672C">
        <w:t xml:space="preserve"> </w:t>
      </w:r>
    </w:p>
    <w:p w14:paraId="211EFC73" w14:textId="77777777" w:rsidR="00C0672C" w:rsidRPr="00C0672C" w:rsidRDefault="00C0672C" w:rsidP="00C0672C">
      <w:pPr>
        <w:pStyle w:val="ListParagraph"/>
        <w:rPr>
          <w:rFonts w:eastAsia="Times New Roman"/>
        </w:rPr>
      </w:pPr>
    </w:p>
    <w:p w14:paraId="444383E2" w14:textId="03AAA899" w:rsidR="00E55F07" w:rsidRPr="00C0672C" w:rsidRDefault="00C0672C" w:rsidP="00C0672C">
      <w:pPr>
        <w:pStyle w:val="ListParagraph"/>
        <w:numPr>
          <w:ilvl w:val="0"/>
          <w:numId w:val="1"/>
        </w:numPr>
        <w:jc w:val="both"/>
        <w:rPr>
          <w:vertAlign w:val="superscript"/>
        </w:rPr>
      </w:pPr>
      <w:r>
        <w:rPr>
          <w:rFonts w:eastAsia="Times New Roman"/>
        </w:rPr>
        <w:t xml:space="preserve">In addition, the Committee notes the </w:t>
      </w:r>
      <w:r w:rsidR="00E55F07" w:rsidRPr="00C0672C">
        <w:rPr>
          <w:rFonts w:eastAsia="Times New Roman"/>
        </w:rPr>
        <w:t xml:space="preserve">course, Financial Statement Fraud and Asset Misappropriation, </w:t>
      </w:r>
      <w:r>
        <w:rPr>
          <w:rFonts w:eastAsia="Times New Roman"/>
        </w:rPr>
        <w:t xml:space="preserve">which </w:t>
      </w:r>
      <w:r w:rsidR="00E55F07" w:rsidRPr="00C0672C">
        <w:rPr>
          <w:rFonts w:eastAsia="Times New Roman"/>
        </w:rPr>
        <w:t>describes some of the issues that allow financial statement fraud to occur, including a lack of adequate internal controls over the accounting processes</w:t>
      </w:r>
      <w:r>
        <w:rPr>
          <w:rFonts w:eastAsia="Times New Roman"/>
        </w:rPr>
        <w:t>.</w:t>
      </w:r>
      <w:r w:rsidR="00E55F07" w:rsidRPr="00C0672C">
        <w:rPr>
          <w:rStyle w:val="FootnoteReference"/>
          <w:rFonts w:eastAsia="Times New Roman"/>
        </w:rPr>
        <w:footnoteReference w:id="90"/>
      </w:r>
      <w:r>
        <w:rPr>
          <w:rFonts w:eastAsia="Times New Roman"/>
        </w:rPr>
        <w:t xml:space="preserve">   </w:t>
      </w:r>
    </w:p>
    <w:p w14:paraId="45FC9433" w14:textId="77777777" w:rsidR="00C0672C" w:rsidRPr="00C0672C" w:rsidRDefault="00C0672C" w:rsidP="00C0672C">
      <w:pPr>
        <w:pStyle w:val="ListParagraph"/>
        <w:rPr>
          <w:vertAlign w:val="superscript"/>
        </w:rPr>
      </w:pPr>
    </w:p>
    <w:p w14:paraId="52EF6B84" w14:textId="7DC8BE2A" w:rsidR="00C0672C" w:rsidRPr="00C0672C" w:rsidRDefault="00C0672C" w:rsidP="00C0672C">
      <w:pPr>
        <w:pStyle w:val="ListParagraph"/>
        <w:numPr>
          <w:ilvl w:val="0"/>
          <w:numId w:val="1"/>
        </w:numPr>
        <w:jc w:val="both"/>
        <w:rPr>
          <w:vertAlign w:val="superscript"/>
        </w:rPr>
      </w:pPr>
      <w:r>
        <w:rPr>
          <w:rFonts w:eastAsiaTheme="minorHAnsi"/>
          <w:bCs/>
          <w:iCs/>
        </w:rPr>
        <w:t>In</w:t>
      </w:r>
      <w:r w:rsidRPr="00A10CEF">
        <w:rPr>
          <w:rFonts w:eastAsiaTheme="minorHAnsi"/>
          <w:bCs/>
          <w:iCs/>
        </w:rPr>
        <w:t xml:space="preserve"> view of the above, the Committee takes note of the satisfactory consideration by the country under review of </w:t>
      </w:r>
      <w:r>
        <w:rPr>
          <w:rFonts w:eastAsiaTheme="minorHAnsi"/>
          <w:bCs/>
          <w:iCs/>
        </w:rPr>
        <w:t>measure (d)(vi).</w:t>
      </w:r>
    </w:p>
    <w:p w14:paraId="6F80D208" w14:textId="77777777" w:rsidR="00E55F07" w:rsidRPr="006D14F5" w:rsidRDefault="00E55F07" w:rsidP="00E55F07">
      <w:pPr>
        <w:ind w:left="10"/>
        <w:jc w:val="both"/>
      </w:pPr>
    </w:p>
    <w:p w14:paraId="1B916FCE" w14:textId="7D6A2182" w:rsidR="00C0672C" w:rsidRPr="00804DBA" w:rsidRDefault="008958AF">
      <w:pPr>
        <w:numPr>
          <w:ilvl w:val="1"/>
          <w:numId w:val="6"/>
        </w:numPr>
        <w:jc w:val="both"/>
        <w:rPr>
          <w:b/>
          <w:bCs/>
          <w:sz w:val="22"/>
          <w:szCs w:val="22"/>
        </w:rPr>
      </w:pPr>
      <w:r w:rsidRPr="008958AF">
        <w:rPr>
          <w:b/>
          <w:sz w:val="22"/>
          <w:szCs w:val="22"/>
        </w:rPr>
        <w:t>New Developments with respect to the Provisions of the Convention on the Prevention of Bribery of Domestic and Foreign Government Officials</w:t>
      </w:r>
      <w:r w:rsidR="00C0672C" w:rsidRPr="00804DBA">
        <w:rPr>
          <w:b/>
          <w:bCs/>
          <w:sz w:val="22"/>
          <w:szCs w:val="22"/>
        </w:rPr>
        <w:t xml:space="preserve">. </w:t>
      </w:r>
    </w:p>
    <w:p w14:paraId="357AF08D" w14:textId="77777777" w:rsidR="00C0672C" w:rsidRPr="00804DBA" w:rsidRDefault="00C0672C" w:rsidP="00C0672C">
      <w:pPr>
        <w:jc w:val="both"/>
        <w:rPr>
          <w:i/>
          <w:iCs/>
          <w:sz w:val="22"/>
          <w:szCs w:val="22"/>
        </w:rPr>
      </w:pPr>
    </w:p>
    <w:p w14:paraId="486B2C56" w14:textId="63E177B7" w:rsidR="00C0672C" w:rsidRPr="00C0672C" w:rsidRDefault="00C0672C">
      <w:pPr>
        <w:pStyle w:val="ListParagraph"/>
        <w:numPr>
          <w:ilvl w:val="2"/>
          <w:numId w:val="16"/>
        </w:numPr>
        <w:ind w:left="1440"/>
        <w:jc w:val="both"/>
        <w:rPr>
          <w:b/>
          <w:bCs/>
        </w:rPr>
      </w:pPr>
      <w:r w:rsidRPr="00C0672C">
        <w:rPr>
          <w:b/>
          <w:bCs/>
        </w:rPr>
        <w:t>New Developments with Respect to the Legal Framework. </w:t>
      </w:r>
    </w:p>
    <w:p w14:paraId="5290B449" w14:textId="77777777" w:rsidR="00C0672C" w:rsidRPr="00804DBA" w:rsidRDefault="00C0672C" w:rsidP="00C0672C">
      <w:pPr>
        <w:pStyle w:val="paragraph"/>
        <w:spacing w:before="0" w:beforeAutospacing="0" w:after="0" w:afterAutospacing="0"/>
        <w:jc w:val="both"/>
        <w:textAlignment w:val="baseline"/>
        <w:rPr>
          <w:sz w:val="22"/>
          <w:szCs w:val="22"/>
        </w:rPr>
      </w:pPr>
      <w:r w:rsidRPr="00804DBA">
        <w:rPr>
          <w:rStyle w:val="eop"/>
          <w:sz w:val="22"/>
          <w:szCs w:val="22"/>
        </w:rPr>
        <w:t> </w:t>
      </w:r>
    </w:p>
    <w:p w14:paraId="14613495" w14:textId="77777777" w:rsidR="00C0672C" w:rsidRPr="00804DBA" w:rsidRDefault="00C0672C" w:rsidP="00C0672C">
      <w:pPr>
        <w:pStyle w:val="ListParagraph"/>
        <w:numPr>
          <w:ilvl w:val="0"/>
          <w:numId w:val="1"/>
        </w:numPr>
        <w:jc w:val="both"/>
      </w:pPr>
      <w:r>
        <w:t>The country under review notes that it does not have anything to report regarding new developments with respect to the legal framework.</w:t>
      </w:r>
      <w:r>
        <w:rPr>
          <w:rStyle w:val="FootnoteReference"/>
        </w:rPr>
        <w:footnoteReference w:id="91"/>
      </w:r>
    </w:p>
    <w:p w14:paraId="702AE65B" w14:textId="77777777" w:rsidR="00C0672C" w:rsidRPr="00804DBA" w:rsidRDefault="00C0672C" w:rsidP="00C0672C">
      <w:pPr>
        <w:pStyle w:val="ListParagraph"/>
        <w:ind w:left="10"/>
        <w:jc w:val="both"/>
        <w:rPr>
          <w:b/>
          <w:bCs/>
        </w:rPr>
      </w:pPr>
    </w:p>
    <w:p w14:paraId="38D43409" w14:textId="540CEDAA" w:rsidR="00C0672C" w:rsidRPr="00C0672C" w:rsidRDefault="00C0672C">
      <w:pPr>
        <w:pStyle w:val="ListParagraph"/>
        <w:numPr>
          <w:ilvl w:val="2"/>
          <w:numId w:val="16"/>
        </w:numPr>
        <w:ind w:left="1440"/>
        <w:jc w:val="both"/>
        <w:rPr>
          <w:b/>
          <w:bCs/>
        </w:rPr>
      </w:pPr>
      <w:r w:rsidRPr="00C0672C">
        <w:rPr>
          <w:b/>
          <w:bCs/>
        </w:rPr>
        <w:t xml:space="preserve">New Developments with Respect to Technology </w:t>
      </w:r>
    </w:p>
    <w:p w14:paraId="3FDD043A" w14:textId="77777777" w:rsidR="00C0672C" w:rsidRPr="00804DBA" w:rsidRDefault="00C0672C" w:rsidP="00C0672C">
      <w:pPr>
        <w:ind w:left="720"/>
        <w:jc w:val="both"/>
        <w:rPr>
          <w:sz w:val="22"/>
          <w:szCs w:val="22"/>
        </w:rPr>
      </w:pPr>
    </w:p>
    <w:p w14:paraId="1CF7FF70" w14:textId="77777777" w:rsidR="00C0672C" w:rsidRPr="00804DBA" w:rsidRDefault="00C0672C" w:rsidP="00C0672C">
      <w:pPr>
        <w:pStyle w:val="ListParagraph"/>
        <w:numPr>
          <w:ilvl w:val="0"/>
          <w:numId w:val="1"/>
        </w:numPr>
        <w:jc w:val="both"/>
      </w:pPr>
      <w:r>
        <w:t>The country under review notes that it does not have anything to report regarding new developments with respect to technology.</w:t>
      </w:r>
      <w:r>
        <w:rPr>
          <w:rStyle w:val="FootnoteReference"/>
        </w:rPr>
        <w:footnoteReference w:id="92"/>
      </w:r>
    </w:p>
    <w:p w14:paraId="37A593B0" w14:textId="77777777" w:rsidR="006D14F5" w:rsidRPr="006D14F5" w:rsidRDefault="006D14F5" w:rsidP="006D14F5">
      <w:pPr>
        <w:pStyle w:val="ListParagraph"/>
        <w:ind w:left="10"/>
        <w:jc w:val="both"/>
      </w:pPr>
    </w:p>
    <w:p w14:paraId="49F11322" w14:textId="77777777" w:rsidR="00C0672C" w:rsidRPr="00804DBA" w:rsidRDefault="00C0672C">
      <w:pPr>
        <w:numPr>
          <w:ilvl w:val="1"/>
          <w:numId w:val="6"/>
        </w:numPr>
        <w:jc w:val="both"/>
        <w:rPr>
          <w:b/>
          <w:bCs/>
          <w:sz w:val="22"/>
          <w:szCs w:val="22"/>
        </w:rPr>
      </w:pPr>
      <w:r w:rsidRPr="00804DBA">
        <w:rPr>
          <w:b/>
          <w:sz w:val="22"/>
          <w:szCs w:val="22"/>
        </w:rPr>
        <w:t>Results</w:t>
      </w:r>
      <w:r w:rsidRPr="00804DBA">
        <w:rPr>
          <w:b/>
          <w:bCs/>
          <w:sz w:val="22"/>
          <w:szCs w:val="22"/>
        </w:rPr>
        <w:t xml:space="preserve"> </w:t>
      </w:r>
    </w:p>
    <w:p w14:paraId="4077E421" w14:textId="77777777" w:rsidR="00C0672C" w:rsidRPr="00804DBA" w:rsidRDefault="00C0672C" w:rsidP="00C0672C">
      <w:pPr>
        <w:jc w:val="both"/>
        <w:rPr>
          <w:sz w:val="22"/>
          <w:szCs w:val="22"/>
        </w:rPr>
      </w:pPr>
    </w:p>
    <w:p w14:paraId="5277AB97" w14:textId="79FD1615" w:rsidR="00C0672C" w:rsidRDefault="00C0672C" w:rsidP="00C0672C">
      <w:pPr>
        <w:pStyle w:val="ListParagraph"/>
        <w:numPr>
          <w:ilvl w:val="0"/>
          <w:numId w:val="1"/>
        </w:numPr>
        <w:jc w:val="both"/>
      </w:pPr>
      <w:r w:rsidRPr="00804DBA">
        <w:t>The country under review</w:t>
      </w:r>
      <w:r>
        <w:t>, in its Response to the Questionnaire,</w:t>
      </w:r>
      <w:r w:rsidRPr="00804DBA">
        <w:t xml:space="preserve"> did not present any results regarding the </w:t>
      </w:r>
      <w:r>
        <w:t>prevention of bribery of domestic and foreign government officials.</w:t>
      </w:r>
      <w:r w:rsidRPr="00804DBA">
        <w:rPr>
          <w:rStyle w:val="FootnoteReference"/>
        </w:rPr>
        <w:footnoteReference w:id="93"/>
      </w:r>
      <w:r w:rsidRPr="00804DBA">
        <w:t xml:space="preserve"> </w:t>
      </w:r>
    </w:p>
    <w:p w14:paraId="62A98878" w14:textId="77777777" w:rsidR="008C6E89" w:rsidRDefault="008C6E89" w:rsidP="008C6E89">
      <w:pPr>
        <w:pStyle w:val="ListParagraph"/>
        <w:ind w:left="10"/>
        <w:jc w:val="both"/>
      </w:pPr>
    </w:p>
    <w:p w14:paraId="48B17C4F" w14:textId="510B70F8" w:rsidR="00E848C2" w:rsidRPr="002A6BA4" w:rsidRDefault="00E848C2" w:rsidP="00C0672C">
      <w:pPr>
        <w:pStyle w:val="ListParagraph"/>
        <w:numPr>
          <w:ilvl w:val="0"/>
          <w:numId w:val="1"/>
        </w:numPr>
        <w:jc w:val="both"/>
      </w:pPr>
      <w:r>
        <w:t xml:space="preserve">During the on-site visit, however, the representatives of the SEC noted that there are results available regarding the enforcement of the books and records provision set out in the FCPA, and which are available online. In this respect, </w:t>
      </w:r>
      <w:r w:rsidR="00F71526">
        <w:t>the SEC</w:t>
      </w:r>
      <w:r w:rsidR="004325B1">
        <w:t xml:space="preserve"> maintains a publicly available list</w:t>
      </w:r>
      <w:r w:rsidR="004325B1" w:rsidRPr="004325B1">
        <w:t xml:space="preserve"> of the </w:t>
      </w:r>
      <w:proofErr w:type="gramStart"/>
      <w:r w:rsidR="004325B1" w:rsidRPr="004325B1">
        <w:t>SEC's</w:t>
      </w:r>
      <w:proofErr w:type="gramEnd"/>
      <w:r w:rsidR="004325B1" w:rsidRPr="004325B1">
        <w:t xml:space="preserve"> FCPA enforcement actions listed by calendar year</w:t>
      </w:r>
      <w:r w:rsidR="004325B1" w:rsidRPr="002A6BA4">
        <w:t>, which identifies the companies receiving the fine, a short description of the case, as well as setting out the fine imposed.</w:t>
      </w:r>
      <w:r w:rsidR="004325B1" w:rsidRPr="002A6BA4">
        <w:rPr>
          <w:rStyle w:val="FootnoteReference"/>
        </w:rPr>
        <w:footnoteReference w:id="94"/>
      </w:r>
      <w:r w:rsidR="004325B1" w:rsidRPr="002A6BA4">
        <w:t xml:space="preserve"> In this respect, the list of enforcement actions extend from the 1978 to the present. For the last five years, the Committee </w:t>
      </w:r>
      <w:r w:rsidR="00B11437">
        <w:t>compiled t</w:t>
      </w:r>
      <w:r w:rsidR="004325B1" w:rsidRPr="002A6BA4">
        <w:t>he following</w:t>
      </w:r>
      <w:r w:rsidR="00B11437">
        <w:t xml:space="preserve"> information</w:t>
      </w:r>
      <w:r w:rsidR="00520198" w:rsidRPr="002A6BA4">
        <w:t>, taken from the SEC website</w:t>
      </w:r>
      <w:r w:rsidR="004325B1" w:rsidRPr="002A6BA4">
        <w:t>:</w:t>
      </w:r>
    </w:p>
    <w:p w14:paraId="470C848D" w14:textId="77777777" w:rsidR="004325B1" w:rsidRPr="002A6BA4" w:rsidRDefault="004325B1" w:rsidP="004325B1">
      <w:pPr>
        <w:pStyle w:val="ListParagraph"/>
      </w:pPr>
    </w:p>
    <w:p w14:paraId="7645463A" w14:textId="6F600F41" w:rsidR="005F4CF0" w:rsidRPr="002A6BA4" w:rsidRDefault="004325B1" w:rsidP="004325B1">
      <w:pPr>
        <w:pStyle w:val="ListParagraph"/>
        <w:rPr>
          <w:b/>
          <w:bCs/>
        </w:rPr>
      </w:pPr>
      <w:r w:rsidRPr="002A6BA4">
        <w:rPr>
          <w:b/>
          <w:bCs/>
        </w:rPr>
        <w:t>SEC FCPA Enforcement Actions</w:t>
      </w:r>
    </w:p>
    <w:p w14:paraId="01D8F99B" w14:textId="77777777" w:rsidR="004325B1" w:rsidRPr="002A6BA4" w:rsidRDefault="004325B1" w:rsidP="004325B1">
      <w:pPr>
        <w:pStyle w:val="ListParagraph"/>
        <w:rPr>
          <w:b/>
          <w:bCs/>
        </w:rPr>
      </w:pPr>
    </w:p>
    <w:tbl>
      <w:tblPr>
        <w:tblStyle w:val="TableGrid"/>
        <w:tblW w:w="0" w:type="auto"/>
        <w:tblLook w:val="04A0" w:firstRow="1" w:lastRow="0" w:firstColumn="1" w:lastColumn="0" w:noHBand="0" w:noVBand="1"/>
      </w:tblPr>
      <w:tblGrid>
        <w:gridCol w:w="1531"/>
        <w:gridCol w:w="1591"/>
        <w:gridCol w:w="1591"/>
        <w:gridCol w:w="1555"/>
        <w:gridCol w:w="1541"/>
        <w:gridCol w:w="1541"/>
      </w:tblGrid>
      <w:tr w:rsidR="00B11437" w:rsidRPr="002A6BA4" w14:paraId="52B14896" w14:textId="77777777" w:rsidTr="004325B1">
        <w:tc>
          <w:tcPr>
            <w:tcW w:w="1558" w:type="dxa"/>
          </w:tcPr>
          <w:p w14:paraId="01362E06" w14:textId="06F65112" w:rsidR="004325B1" w:rsidRPr="002A6BA4" w:rsidRDefault="004325B1" w:rsidP="004325B1">
            <w:pPr>
              <w:pStyle w:val="ListParagraph"/>
              <w:ind w:left="0"/>
              <w:rPr>
                <w:rFonts w:ascii="Times New Roman" w:hAnsi="Times New Roman" w:cs="Times New Roman"/>
              </w:rPr>
            </w:pPr>
            <w:r w:rsidRPr="002A6BA4">
              <w:rPr>
                <w:rFonts w:ascii="Times New Roman" w:hAnsi="Times New Roman" w:cs="Times New Roman"/>
              </w:rPr>
              <w:t>Year</w:t>
            </w:r>
          </w:p>
        </w:tc>
        <w:tc>
          <w:tcPr>
            <w:tcW w:w="1558" w:type="dxa"/>
          </w:tcPr>
          <w:p w14:paraId="16904877" w14:textId="03806F58"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2019</w:t>
            </w:r>
          </w:p>
        </w:tc>
        <w:tc>
          <w:tcPr>
            <w:tcW w:w="1558" w:type="dxa"/>
          </w:tcPr>
          <w:p w14:paraId="3838BE1F" w14:textId="1F6C892D"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2020</w:t>
            </w:r>
          </w:p>
        </w:tc>
        <w:tc>
          <w:tcPr>
            <w:tcW w:w="1558" w:type="dxa"/>
          </w:tcPr>
          <w:p w14:paraId="73E275C6" w14:textId="3A0BADD5"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2021</w:t>
            </w:r>
          </w:p>
        </w:tc>
        <w:tc>
          <w:tcPr>
            <w:tcW w:w="1559" w:type="dxa"/>
          </w:tcPr>
          <w:p w14:paraId="51CD329A" w14:textId="7975CEA3"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2022</w:t>
            </w:r>
          </w:p>
        </w:tc>
        <w:tc>
          <w:tcPr>
            <w:tcW w:w="1559" w:type="dxa"/>
          </w:tcPr>
          <w:p w14:paraId="481B1995" w14:textId="0AD5576F"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2023</w:t>
            </w:r>
          </w:p>
        </w:tc>
      </w:tr>
      <w:tr w:rsidR="00B11437" w:rsidRPr="002A6BA4" w14:paraId="07BCE873" w14:textId="77777777" w:rsidTr="004325B1">
        <w:tc>
          <w:tcPr>
            <w:tcW w:w="1558" w:type="dxa"/>
          </w:tcPr>
          <w:p w14:paraId="763A8C10" w14:textId="490327FF" w:rsidR="004325B1" w:rsidRPr="002A6BA4" w:rsidRDefault="00B11437" w:rsidP="004325B1">
            <w:pPr>
              <w:pStyle w:val="ListParagraph"/>
              <w:ind w:left="0"/>
              <w:rPr>
                <w:rFonts w:ascii="Times New Roman" w:hAnsi="Times New Roman" w:cs="Times New Roman"/>
              </w:rPr>
            </w:pPr>
            <w:r>
              <w:rPr>
                <w:rFonts w:ascii="Times New Roman" w:hAnsi="Times New Roman" w:cs="Times New Roman"/>
              </w:rPr>
              <w:t xml:space="preserve">Enforcement </w:t>
            </w:r>
            <w:r w:rsidR="004325B1" w:rsidRPr="002A6BA4">
              <w:rPr>
                <w:rFonts w:ascii="Times New Roman" w:hAnsi="Times New Roman" w:cs="Times New Roman"/>
              </w:rPr>
              <w:t>Actions</w:t>
            </w:r>
          </w:p>
        </w:tc>
        <w:tc>
          <w:tcPr>
            <w:tcW w:w="1558" w:type="dxa"/>
          </w:tcPr>
          <w:p w14:paraId="3F1C3F65" w14:textId="1089D174"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17</w:t>
            </w:r>
          </w:p>
        </w:tc>
        <w:tc>
          <w:tcPr>
            <w:tcW w:w="1558" w:type="dxa"/>
          </w:tcPr>
          <w:p w14:paraId="39B8C9A7" w14:textId="12351487"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8</w:t>
            </w:r>
          </w:p>
        </w:tc>
        <w:tc>
          <w:tcPr>
            <w:tcW w:w="1558" w:type="dxa"/>
          </w:tcPr>
          <w:p w14:paraId="011CDBD8" w14:textId="19613A2A"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5</w:t>
            </w:r>
          </w:p>
        </w:tc>
        <w:tc>
          <w:tcPr>
            <w:tcW w:w="1559" w:type="dxa"/>
          </w:tcPr>
          <w:p w14:paraId="4B2AAE95" w14:textId="42011CCC"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7</w:t>
            </w:r>
          </w:p>
        </w:tc>
        <w:tc>
          <w:tcPr>
            <w:tcW w:w="1559" w:type="dxa"/>
          </w:tcPr>
          <w:p w14:paraId="3F785E0D" w14:textId="3FBA9926" w:rsidR="004325B1" w:rsidRPr="002A6BA4" w:rsidRDefault="004325B1" w:rsidP="00B11437">
            <w:pPr>
              <w:pStyle w:val="ListParagraph"/>
              <w:ind w:left="0"/>
              <w:jc w:val="center"/>
              <w:rPr>
                <w:rFonts w:ascii="Times New Roman" w:hAnsi="Times New Roman" w:cs="Times New Roman"/>
              </w:rPr>
            </w:pPr>
            <w:r w:rsidRPr="002A6BA4">
              <w:rPr>
                <w:rFonts w:ascii="Times New Roman" w:hAnsi="Times New Roman" w:cs="Times New Roman"/>
              </w:rPr>
              <w:t>9</w:t>
            </w:r>
          </w:p>
        </w:tc>
      </w:tr>
      <w:tr w:rsidR="00B11437" w:rsidRPr="002A6BA4" w14:paraId="0E06529A" w14:textId="77777777" w:rsidTr="004325B1">
        <w:tc>
          <w:tcPr>
            <w:tcW w:w="1558" w:type="dxa"/>
          </w:tcPr>
          <w:p w14:paraId="752E4171" w14:textId="63066C58" w:rsidR="004325B1" w:rsidRPr="002A6BA4" w:rsidRDefault="00520198" w:rsidP="004325B1">
            <w:pPr>
              <w:pStyle w:val="ListParagraph"/>
              <w:ind w:left="0"/>
              <w:rPr>
                <w:rFonts w:ascii="Times New Roman" w:hAnsi="Times New Roman" w:cs="Times New Roman"/>
              </w:rPr>
            </w:pPr>
            <w:r w:rsidRPr="002A6BA4">
              <w:rPr>
                <w:rFonts w:ascii="Times New Roman" w:hAnsi="Times New Roman" w:cs="Times New Roman"/>
              </w:rPr>
              <w:t>Penalties</w:t>
            </w:r>
            <w:r w:rsidR="004325B1" w:rsidRPr="002A6BA4">
              <w:rPr>
                <w:rFonts w:ascii="Times New Roman" w:hAnsi="Times New Roman" w:cs="Times New Roman"/>
              </w:rPr>
              <w:t xml:space="preserve"> Imposed</w:t>
            </w:r>
            <w:r w:rsidRPr="002A6BA4">
              <w:rPr>
                <w:rStyle w:val="FootnoteReference"/>
                <w:rFonts w:ascii="Times New Roman" w:hAnsi="Times New Roman" w:cs="Times New Roman"/>
              </w:rPr>
              <w:footnoteReference w:id="95"/>
            </w:r>
          </w:p>
        </w:tc>
        <w:tc>
          <w:tcPr>
            <w:tcW w:w="1558" w:type="dxa"/>
          </w:tcPr>
          <w:p w14:paraId="0A9178B3" w14:textId="408C74E2" w:rsidR="004325B1" w:rsidRPr="002A6BA4" w:rsidRDefault="00425F88" w:rsidP="00B11437">
            <w:pPr>
              <w:pStyle w:val="ListParagraph"/>
              <w:ind w:left="0"/>
              <w:jc w:val="center"/>
              <w:rPr>
                <w:rFonts w:ascii="Times New Roman" w:hAnsi="Times New Roman" w:cs="Times New Roman"/>
              </w:rPr>
            </w:pPr>
            <w:r w:rsidRPr="002A6BA4">
              <w:rPr>
                <w:rFonts w:ascii="Times New Roman" w:hAnsi="Times New Roman" w:cs="Times New Roman"/>
              </w:rPr>
              <w:t>$2,515,975,000</w:t>
            </w:r>
          </w:p>
        </w:tc>
        <w:tc>
          <w:tcPr>
            <w:tcW w:w="1558" w:type="dxa"/>
          </w:tcPr>
          <w:p w14:paraId="6F707CB8" w14:textId="0AF77E14" w:rsidR="00520198" w:rsidRPr="002A6BA4" w:rsidRDefault="00520198" w:rsidP="00B11437">
            <w:pPr>
              <w:pStyle w:val="ListParagraph"/>
              <w:ind w:left="0"/>
              <w:jc w:val="center"/>
              <w:rPr>
                <w:rFonts w:ascii="Times New Roman" w:hAnsi="Times New Roman" w:cs="Times New Roman"/>
              </w:rPr>
            </w:pPr>
            <w:r w:rsidRPr="002A6BA4">
              <w:rPr>
                <w:rFonts w:ascii="Times New Roman" w:hAnsi="Times New Roman" w:cs="Times New Roman"/>
              </w:rPr>
              <w:t>$1,508,050,000</w:t>
            </w:r>
          </w:p>
          <w:p w14:paraId="09D02D0B" w14:textId="496D8E43" w:rsidR="004325B1" w:rsidRPr="002A6BA4" w:rsidRDefault="004325B1" w:rsidP="00B11437">
            <w:pPr>
              <w:pStyle w:val="ListParagraph"/>
              <w:ind w:left="0"/>
              <w:jc w:val="center"/>
              <w:rPr>
                <w:rFonts w:ascii="Times New Roman" w:hAnsi="Times New Roman" w:cs="Times New Roman"/>
              </w:rPr>
            </w:pPr>
          </w:p>
        </w:tc>
        <w:tc>
          <w:tcPr>
            <w:tcW w:w="1558" w:type="dxa"/>
          </w:tcPr>
          <w:p w14:paraId="125CB373" w14:textId="39A57013" w:rsidR="004325B1" w:rsidRPr="002A6BA4" w:rsidRDefault="00520198" w:rsidP="00B11437">
            <w:pPr>
              <w:pStyle w:val="ListParagraph"/>
              <w:ind w:left="0"/>
              <w:jc w:val="center"/>
              <w:rPr>
                <w:rFonts w:ascii="Times New Roman" w:hAnsi="Times New Roman" w:cs="Times New Roman"/>
              </w:rPr>
            </w:pPr>
            <w:r w:rsidRPr="002A6BA4">
              <w:rPr>
                <w:rFonts w:ascii="Times New Roman" w:hAnsi="Times New Roman" w:cs="Times New Roman"/>
              </w:rPr>
              <w:t>$185,029,0000</w:t>
            </w:r>
          </w:p>
        </w:tc>
        <w:tc>
          <w:tcPr>
            <w:tcW w:w="1559" w:type="dxa"/>
          </w:tcPr>
          <w:p w14:paraId="095CFBF4" w14:textId="7A43170D" w:rsidR="00520198" w:rsidRPr="002A6BA4" w:rsidRDefault="00520198" w:rsidP="00B11437">
            <w:pPr>
              <w:pStyle w:val="ListParagraph"/>
              <w:ind w:left="0"/>
              <w:jc w:val="center"/>
              <w:rPr>
                <w:rFonts w:ascii="Times New Roman" w:hAnsi="Times New Roman" w:cs="Times New Roman"/>
              </w:rPr>
            </w:pPr>
            <w:r w:rsidRPr="002A6BA4">
              <w:rPr>
                <w:rFonts w:ascii="Times New Roman" w:hAnsi="Times New Roman" w:cs="Times New Roman"/>
              </w:rPr>
              <w:t>$523,300,000</w:t>
            </w:r>
          </w:p>
        </w:tc>
        <w:tc>
          <w:tcPr>
            <w:tcW w:w="1559" w:type="dxa"/>
          </w:tcPr>
          <w:p w14:paraId="4F3A6375" w14:textId="6BE0D90A" w:rsidR="004325B1" w:rsidRPr="002A6BA4" w:rsidRDefault="00520198" w:rsidP="00B11437">
            <w:pPr>
              <w:pStyle w:val="ListParagraph"/>
              <w:ind w:left="0"/>
              <w:jc w:val="center"/>
              <w:rPr>
                <w:rFonts w:ascii="Times New Roman" w:hAnsi="Times New Roman" w:cs="Times New Roman"/>
              </w:rPr>
            </w:pPr>
            <w:r w:rsidRPr="002A6BA4">
              <w:rPr>
                <w:rFonts w:ascii="Times New Roman" w:hAnsi="Times New Roman" w:cs="Times New Roman"/>
              </w:rPr>
              <w:t>$267,650,000</w:t>
            </w:r>
          </w:p>
        </w:tc>
      </w:tr>
    </w:tbl>
    <w:p w14:paraId="380C39E2" w14:textId="77777777" w:rsidR="004325B1" w:rsidRDefault="004325B1" w:rsidP="004325B1">
      <w:pPr>
        <w:pStyle w:val="ListParagraph"/>
        <w:rPr>
          <w:b/>
          <w:bCs/>
        </w:rPr>
      </w:pPr>
    </w:p>
    <w:p w14:paraId="5413B72E" w14:textId="1A3C9E0D" w:rsidR="00425F88" w:rsidRDefault="00425F88" w:rsidP="00425F88">
      <w:pPr>
        <w:pStyle w:val="ListParagraph"/>
        <w:numPr>
          <w:ilvl w:val="0"/>
          <w:numId w:val="1"/>
        </w:numPr>
        <w:jc w:val="both"/>
      </w:pPr>
      <w:r>
        <w:t>The Committee also observes that the SEC releases press or litigation releases on its website, on the enforcement actions undertaken</w:t>
      </w:r>
      <w:r w:rsidR="00A6697C">
        <w:t xml:space="preserve"> by the SEC, including for FCPA violations</w:t>
      </w:r>
      <w:r>
        <w:t xml:space="preserve">, of which a list of relevant cases were provided as part of the </w:t>
      </w:r>
      <w:r w:rsidR="00A6697C">
        <w:t>Response</w:t>
      </w:r>
      <w:r>
        <w:t xml:space="preserve"> to the Questionnaire.</w:t>
      </w:r>
      <w:r>
        <w:rPr>
          <w:rStyle w:val="FootnoteReference"/>
        </w:rPr>
        <w:footnoteReference w:id="96"/>
      </w:r>
    </w:p>
    <w:p w14:paraId="532F61D4" w14:textId="77777777" w:rsidR="00A6697C" w:rsidRDefault="00A6697C" w:rsidP="00A6697C">
      <w:pPr>
        <w:pStyle w:val="ListParagraph"/>
        <w:ind w:left="10"/>
        <w:jc w:val="both"/>
      </w:pPr>
    </w:p>
    <w:p w14:paraId="2E3202A7" w14:textId="77777777" w:rsidR="00C01CCE" w:rsidRDefault="00A6697C" w:rsidP="00425F88">
      <w:pPr>
        <w:pStyle w:val="ListParagraph"/>
        <w:numPr>
          <w:ilvl w:val="0"/>
          <w:numId w:val="1"/>
        </w:numPr>
        <w:jc w:val="both"/>
      </w:pPr>
      <w:r>
        <w:t xml:space="preserve">In this respect, the Committee acknowledges that the country under review maintains results on the enforcement for violation of the books and records offense, as it relates to foreign bribery. The Committee observes, however, that the provision on books and records introduced by the FCPA, has not solely been used </w:t>
      </w:r>
      <w:r w:rsidR="00C01CCE">
        <w:t>in instances of</w:t>
      </w:r>
      <w:r>
        <w:t xml:space="preserve"> foreign bribery, but also for cases that did not involve bribery, and were related to domestic transactions</w:t>
      </w:r>
      <w:r w:rsidR="00C01CCE">
        <w:t>, as noted in the examples set out in litigation releases by the SEC available online.</w:t>
      </w:r>
    </w:p>
    <w:p w14:paraId="4F9C9111" w14:textId="77777777" w:rsidR="00C01CCE" w:rsidRDefault="00C01CCE" w:rsidP="00C01CCE">
      <w:pPr>
        <w:pStyle w:val="ListParagraph"/>
      </w:pPr>
    </w:p>
    <w:p w14:paraId="1EF923E5" w14:textId="55DDDCF9" w:rsidR="00A6697C" w:rsidRDefault="00C01CCE" w:rsidP="00C01CCE">
      <w:pPr>
        <w:pStyle w:val="ListParagraph"/>
        <w:numPr>
          <w:ilvl w:val="0"/>
          <w:numId w:val="1"/>
        </w:numPr>
        <w:jc w:val="both"/>
      </w:pPr>
      <w:r>
        <w:t>In this respect, the Committee observes the relevant provisions are found in section 13(b)(2)(A) of the Securities and Exchange Act</w:t>
      </w:r>
      <w:r w:rsidR="00DA4CF9">
        <w:t xml:space="preserve"> of 1934,</w:t>
      </w:r>
      <w:r>
        <w:t xml:space="preserve"> which provides that issuers, companies that are required to file reports with the SEC or that have securities registered with the SEC, are to “</w:t>
      </w:r>
      <w:r w:rsidRPr="00C01CCE">
        <w:rPr>
          <w:i/>
          <w:iCs/>
        </w:rPr>
        <w:t>make and keep books, records, and accounts, which, in reasonable detail, accurately and fairly reflect the transactions and dispositions of the assets of the issuer</w:t>
      </w:r>
      <w:r>
        <w:t>.” Moreover, section 13(b)(2)(</w:t>
      </w:r>
      <w:r w:rsidR="00802243">
        <w:t>B</w:t>
      </w:r>
      <w:r>
        <w:t>) provides that issuers are to also devise and maintain a system of internal accounting controls to provide sufficient reasonable assurances that:</w:t>
      </w:r>
      <w:r w:rsidR="00DA4CF9">
        <w:rPr>
          <w:rStyle w:val="FootnoteReference"/>
        </w:rPr>
        <w:footnoteReference w:id="97"/>
      </w:r>
    </w:p>
    <w:p w14:paraId="6D4FC952" w14:textId="77777777" w:rsidR="00C01CCE" w:rsidRDefault="00C01CCE" w:rsidP="00C01CCE">
      <w:pPr>
        <w:pStyle w:val="ListParagraph"/>
      </w:pPr>
    </w:p>
    <w:p w14:paraId="3F04DCA2" w14:textId="77777777" w:rsidR="00C01CCE" w:rsidRDefault="00C01CCE">
      <w:pPr>
        <w:pStyle w:val="ListParagraph"/>
        <w:numPr>
          <w:ilvl w:val="0"/>
          <w:numId w:val="17"/>
        </w:numPr>
        <w:jc w:val="both"/>
      </w:pPr>
      <w:r>
        <w:t xml:space="preserve">transactions are executed in accordance with management's general or specific </w:t>
      </w:r>
      <w:proofErr w:type="gramStart"/>
      <w:r>
        <w:t>authorization;</w:t>
      </w:r>
      <w:proofErr w:type="gramEnd"/>
    </w:p>
    <w:p w14:paraId="2EEB9C1F" w14:textId="7B497FBF" w:rsidR="00C01CCE" w:rsidRDefault="00C01CCE">
      <w:pPr>
        <w:pStyle w:val="ListParagraph"/>
        <w:numPr>
          <w:ilvl w:val="0"/>
          <w:numId w:val="17"/>
        </w:numPr>
        <w:jc w:val="both"/>
      </w:pPr>
      <w:r>
        <w:t xml:space="preserve">transactions are recorded as necessary (I) to permit preparation of financial statements in conformity with generally accepted accounting principles or any other criteria applicable to such statements, and (II) to maintain accountability for </w:t>
      </w:r>
      <w:proofErr w:type="gramStart"/>
      <w:r>
        <w:t>assets;</w:t>
      </w:r>
      <w:proofErr w:type="gramEnd"/>
    </w:p>
    <w:p w14:paraId="35080649" w14:textId="1EB3DE57" w:rsidR="00C01CCE" w:rsidRDefault="00C01CCE">
      <w:pPr>
        <w:pStyle w:val="ListParagraph"/>
        <w:numPr>
          <w:ilvl w:val="0"/>
          <w:numId w:val="17"/>
        </w:numPr>
        <w:jc w:val="both"/>
      </w:pPr>
      <w:r>
        <w:lastRenderedPageBreak/>
        <w:t xml:space="preserve"> access to assets is permitted only in accordance with management's general or specific authorization; and </w:t>
      </w:r>
    </w:p>
    <w:p w14:paraId="3F9FB782" w14:textId="20EB04B5" w:rsidR="00C01CCE" w:rsidRDefault="00C01CCE">
      <w:pPr>
        <w:pStyle w:val="ListParagraph"/>
        <w:numPr>
          <w:ilvl w:val="0"/>
          <w:numId w:val="17"/>
        </w:numPr>
        <w:jc w:val="both"/>
      </w:pPr>
      <w:r>
        <w:t>the recorded accountability for assets is compared with the existing assets at reasonable intervals and appropriate action is taken with respect to any differences.</w:t>
      </w:r>
    </w:p>
    <w:p w14:paraId="2B26589B" w14:textId="77777777" w:rsidR="00C01CCE" w:rsidRDefault="00C01CCE" w:rsidP="00C01CCE">
      <w:pPr>
        <w:jc w:val="both"/>
      </w:pPr>
    </w:p>
    <w:p w14:paraId="26EB3614" w14:textId="3409D20D" w:rsidR="00795A82" w:rsidRDefault="00C01CCE" w:rsidP="00795A82">
      <w:pPr>
        <w:pStyle w:val="ListParagraph"/>
        <w:numPr>
          <w:ilvl w:val="0"/>
          <w:numId w:val="1"/>
        </w:numPr>
        <w:jc w:val="both"/>
      </w:pPr>
      <w:r>
        <w:t xml:space="preserve">The </w:t>
      </w:r>
      <w:r w:rsidRPr="00DA4CF9">
        <w:t xml:space="preserve">Committee also notes there are relevant provisions in </w:t>
      </w:r>
      <w:r w:rsidR="00795A82" w:rsidRPr="00DA4CF9">
        <w:t>the Sarbanes Oxley Act, notably, section 802(a), which provides for criminal penalties, including fines and/or imprisonment, for anyone who, “</w:t>
      </w:r>
      <w:r w:rsidR="00795A82" w:rsidRPr="00DA4CF9">
        <w:rPr>
          <w:i/>
          <w:iCs/>
        </w:rPr>
        <w:t xml:space="preserve">knowingly alters, destroys, mutilates, conceals, covers  up, falsifies, or makes a false entry in any record, document, or tangible object with the intent to impede, obstruct, or influence the investigation or proper </w:t>
      </w:r>
      <w:r w:rsidR="00795A82" w:rsidRPr="00875899">
        <w:rPr>
          <w:i/>
          <w:iCs/>
        </w:rPr>
        <w:t>administration of any matter within the jurisdiction of any department or agency of the United States…</w:t>
      </w:r>
      <w:r w:rsidR="00795A82" w:rsidRPr="00875899">
        <w:t>”</w:t>
      </w:r>
      <w:r w:rsidR="00DA4CF9" w:rsidRPr="00875899">
        <w:rPr>
          <w:rStyle w:val="FootnoteReference"/>
        </w:rPr>
        <w:footnoteReference w:id="98"/>
      </w:r>
    </w:p>
    <w:p w14:paraId="44EF04AD" w14:textId="4BE5FC1C" w:rsidR="003A0F19" w:rsidRDefault="003A0F19" w:rsidP="003A0F19">
      <w:pPr>
        <w:pStyle w:val="ListParagraph"/>
        <w:ind w:left="10"/>
        <w:jc w:val="both"/>
      </w:pPr>
    </w:p>
    <w:p w14:paraId="3A9A4F45" w14:textId="1D0460F9" w:rsidR="003A0F19" w:rsidRPr="00875899" w:rsidRDefault="003A0F19" w:rsidP="00795A82">
      <w:pPr>
        <w:pStyle w:val="ListParagraph"/>
        <w:numPr>
          <w:ilvl w:val="0"/>
          <w:numId w:val="1"/>
        </w:numPr>
        <w:jc w:val="both"/>
      </w:pPr>
      <w:r>
        <w:t xml:space="preserve">During </w:t>
      </w:r>
      <w:r w:rsidRPr="00085244">
        <w:t xml:space="preserve">the on-site visit, the representatives by </w:t>
      </w:r>
      <w:r w:rsidR="00DB406D" w:rsidRPr="00085244">
        <w:t>t</w:t>
      </w:r>
      <w:r w:rsidRPr="00085244">
        <w:t xml:space="preserve">he USDOJ noted the difficulties in maintaining results on domestic violations of the books </w:t>
      </w:r>
      <w:r w:rsidR="00337018" w:rsidRPr="00085244">
        <w:t xml:space="preserve">and records offense. </w:t>
      </w:r>
      <w:r w:rsidR="00ED708C" w:rsidRPr="00085244">
        <w:t>It was also</w:t>
      </w:r>
      <w:r w:rsidR="00337018" w:rsidRPr="00085244">
        <w:t xml:space="preserve"> noted that violations of the books and records offense involving domestic bribery may not be classified as such, but rather as fraud. With respect to the USDOJ, while all investigations of FCPA offenses go through the </w:t>
      </w:r>
      <w:r w:rsidR="00F227BE" w:rsidRPr="00085244">
        <w:t xml:space="preserve">Fraud </w:t>
      </w:r>
      <w:r w:rsidR="00337018" w:rsidRPr="00085244">
        <w:t>Section in Washington DC, domestic bribery offenses involving books and records are not centralized</w:t>
      </w:r>
      <w:r w:rsidR="00337018">
        <w:t>, and cases can occur in any of the 93 US Attorney Offices located in the United States, and statistics would be found locally in those Offices.</w:t>
      </w:r>
    </w:p>
    <w:p w14:paraId="11667AF4" w14:textId="77777777" w:rsidR="00DA4CF9" w:rsidRPr="00875899" w:rsidRDefault="00DA4CF9" w:rsidP="00DA4CF9">
      <w:pPr>
        <w:pStyle w:val="ListParagraph"/>
        <w:ind w:left="10"/>
        <w:jc w:val="both"/>
      </w:pPr>
    </w:p>
    <w:p w14:paraId="48B5B783" w14:textId="69665811" w:rsidR="00DA4CF9" w:rsidRPr="00875899" w:rsidRDefault="00337018" w:rsidP="00795A82">
      <w:pPr>
        <w:pStyle w:val="ListParagraph"/>
        <w:numPr>
          <w:ilvl w:val="0"/>
          <w:numId w:val="1"/>
        </w:numPr>
        <w:jc w:val="both"/>
      </w:pPr>
      <w:r>
        <w:t xml:space="preserve">The Committee believes, however, that the country under review should </w:t>
      </w:r>
      <w:r w:rsidR="00FB1185">
        <w:t>consider</w:t>
      </w:r>
      <w:r w:rsidR="004B3DDA">
        <w:t xml:space="preserve"> </w:t>
      </w:r>
      <w:r w:rsidR="004B3DDA" w:rsidRPr="00BA1ECE">
        <w:rPr>
          <w:b/>
          <w:bCs/>
          <w:u w:val="single"/>
        </w:rPr>
        <w:t>pu</w:t>
      </w:r>
      <w:r w:rsidR="004B3DDA">
        <w:rPr>
          <w:b/>
          <w:bCs/>
          <w:u w:val="single"/>
        </w:rPr>
        <w:t>blish</w:t>
      </w:r>
      <w:r w:rsidR="00BA1ECE">
        <w:rPr>
          <w:b/>
          <w:bCs/>
          <w:u w:val="single"/>
        </w:rPr>
        <w:t>ing</w:t>
      </w:r>
      <w:r w:rsidR="004B3DDA">
        <w:rPr>
          <w:b/>
          <w:bCs/>
          <w:u w:val="single"/>
        </w:rPr>
        <w:t xml:space="preserve"> information on cases involving </w:t>
      </w:r>
      <w:r>
        <w:t xml:space="preserve">violations of books and records offenses that involve acts of corruption carried out domestically, such as bribery, </w:t>
      </w:r>
      <w:proofErr w:type="gramStart"/>
      <w:r w:rsidRPr="00804DBA">
        <w:rPr>
          <w:rFonts w:eastAsiaTheme="minorHAnsi"/>
          <w:bCs/>
          <w:iCs/>
        </w:rPr>
        <w:t>in order to</w:t>
      </w:r>
      <w:proofErr w:type="gramEnd"/>
      <w:r w:rsidRPr="00804DBA">
        <w:rPr>
          <w:rFonts w:eastAsiaTheme="minorHAnsi"/>
          <w:bCs/>
          <w:iCs/>
        </w:rPr>
        <w:t xml:space="preserve"> identify challenges and recommend corrective measures where appropriate</w:t>
      </w:r>
      <w:r>
        <w:t>.</w:t>
      </w:r>
      <w:r w:rsidR="00DA4CF9" w:rsidRPr="00875899">
        <w:t xml:space="preserve"> The Committee will formulate recommendations. (See Recommendations 2.4.</w:t>
      </w:r>
      <w:r w:rsidR="00D35F7E">
        <w:t>6</w:t>
      </w:r>
      <w:r w:rsidR="00DA4CF9" w:rsidRPr="00875899">
        <w:t>, 2.4.</w:t>
      </w:r>
      <w:r w:rsidR="00D35F7E">
        <w:t>7</w:t>
      </w:r>
      <w:r w:rsidR="00DA4CF9" w:rsidRPr="00875899">
        <w:t xml:space="preserve"> and 2.4.</w:t>
      </w:r>
      <w:r w:rsidR="00D35F7E">
        <w:t>8</w:t>
      </w:r>
      <w:r w:rsidR="00DA4CF9" w:rsidRPr="00875899">
        <w:t xml:space="preserve"> in section 2.4 of Chapter II of this Report)</w:t>
      </w:r>
    </w:p>
    <w:p w14:paraId="62153681" w14:textId="77777777" w:rsidR="00DA4CF9" w:rsidRPr="00875899" w:rsidRDefault="00DA4CF9" w:rsidP="00DA4CF9">
      <w:pPr>
        <w:pStyle w:val="ListParagraph"/>
      </w:pPr>
    </w:p>
    <w:p w14:paraId="2615A8B9" w14:textId="28BC7588" w:rsidR="00875899" w:rsidRPr="00875899" w:rsidRDefault="00875899">
      <w:pPr>
        <w:numPr>
          <w:ilvl w:val="1"/>
          <w:numId w:val="6"/>
        </w:numPr>
        <w:jc w:val="both"/>
        <w:rPr>
          <w:sz w:val="22"/>
          <w:szCs w:val="22"/>
        </w:rPr>
      </w:pPr>
      <w:r w:rsidRPr="00875899">
        <w:rPr>
          <w:b/>
          <w:sz w:val="22"/>
          <w:szCs w:val="22"/>
        </w:rPr>
        <w:t xml:space="preserve"> Recommendations</w:t>
      </w:r>
      <w:r w:rsidRPr="00875899">
        <w:rPr>
          <w:sz w:val="22"/>
          <w:szCs w:val="22"/>
        </w:rPr>
        <w:t xml:space="preserve"> </w:t>
      </w:r>
    </w:p>
    <w:p w14:paraId="3A1FD31C" w14:textId="77777777" w:rsidR="00875899" w:rsidRPr="00875899" w:rsidRDefault="00875899" w:rsidP="00DA4CF9">
      <w:pPr>
        <w:pStyle w:val="ListParagraph"/>
        <w:ind w:left="10"/>
        <w:jc w:val="both"/>
      </w:pPr>
    </w:p>
    <w:p w14:paraId="181B1584" w14:textId="0700E94F" w:rsidR="00DA4CF9" w:rsidRDefault="00875899" w:rsidP="00875899">
      <w:pPr>
        <w:pStyle w:val="ListParagraph"/>
        <w:numPr>
          <w:ilvl w:val="0"/>
          <w:numId w:val="1"/>
        </w:numPr>
        <w:jc w:val="both"/>
      </w:pPr>
      <w:proofErr w:type="gramStart"/>
      <w:r w:rsidRPr="00875899">
        <w:t>In light of</w:t>
      </w:r>
      <w:proofErr w:type="gramEnd"/>
      <w:r w:rsidRPr="00875899">
        <w:t xml:space="preserve"> the observations formulated in sections 2.1 and 2.3 of Chapter II of this Report, the Committee suggests that the country under review consider the following recommendations:</w:t>
      </w:r>
    </w:p>
    <w:p w14:paraId="0112F4AC" w14:textId="77777777" w:rsidR="00875899" w:rsidRDefault="00875899" w:rsidP="00875899">
      <w:pPr>
        <w:pStyle w:val="ListParagraph"/>
        <w:ind w:left="10"/>
        <w:jc w:val="both"/>
      </w:pPr>
    </w:p>
    <w:p w14:paraId="1282DCE3" w14:textId="5AD9000E" w:rsidR="00875899" w:rsidRDefault="00875899" w:rsidP="00875899">
      <w:pPr>
        <w:pStyle w:val="ListParagraph"/>
        <w:ind w:left="690" w:hanging="680"/>
        <w:jc w:val="both"/>
      </w:pPr>
      <w:r>
        <w:t>2.4.1</w:t>
      </w:r>
      <w:r>
        <w:tab/>
      </w:r>
      <w:r w:rsidRPr="00875899">
        <w:t xml:space="preserve">Consider adopting, through the means it deems appropriate, any additional measures that might be beneficial, to further promote that professional confidentiality is not an obstacle </w:t>
      </w:r>
      <w:r w:rsidRPr="0067663D">
        <w:t xml:space="preserve">for </w:t>
      </w:r>
      <w:r w:rsidR="00192C2F" w:rsidRPr="0067663D">
        <w:t xml:space="preserve">private sector </w:t>
      </w:r>
      <w:r w:rsidRPr="0067663D">
        <w:t>auditors</w:t>
      </w:r>
      <w:r w:rsidRPr="00875899">
        <w:t xml:space="preserve"> whose activities are governed by the AICPA and its Code of Conduct to bring to the attention of the appropriate authorities any acts of corruption of which they become aware in the performance of their duties</w:t>
      </w:r>
      <w:r>
        <w:t xml:space="preserve">. </w:t>
      </w:r>
      <w:r w:rsidR="002A6BA4">
        <w:t>(See paragraph 7</w:t>
      </w:r>
      <w:r w:rsidR="00EE2F49">
        <w:t>8</w:t>
      </w:r>
      <w:r w:rsidR="002A6BA4">
        <w:t xml:space="preserve"> in section 2.1 of Chapter II of this Report)</w:t>
      </w:r>
    </w:p>
    <w:p w14:paraId="0AE1BFDF" w14:textId="77777777" w:rsidR="002A6BA4" w:rsidRDefault="002A6BA4" w:rsidP="00875899">
      <w:pPr>
        <w:pStyle w:val="ListParagraph"/>
        <w:ind w:left="690" w:hanging="680"/>
        <w:jc w:val="both"/>
      </w:pPr>
    </w:p>
    <w:p w14:paraId="09FDE56E" w14:textId="08C24C68" w:rsidR="002A6BA4" w:rsidRDefault="002A6BA4" w:rsidP="00875899">
      <w:pPr>
        <w:pStyle w:val="ListParagraph"/>
        <w:ind w:left="690" w:hanging="680"/>
        <w:jc w:val="both"/>
      </w:pPr>
      <w:r>
        <w:t>2.4.2</w:t>
      </w:r>
      <w:r>
        <w:tab/>
      </w:r>
      <w:r w:rsidR="00717977" w:rsidRPr="0067663D">
        <w:t>Encourage the adoption of</w:t>
      </w:r>
      <w:r>
        <w:t xml:space="preserve"> r</w:t>
      </w:r>
      <w:r w:rsidRPr="002A6BA4">
        <w:t>eview methods, including account inspections and analysis of periodically requested information</w:t>
      </w:r>
      <w:r>
        <w:t xml:space="preserve"> </w:t>
      </w:r>
      <w:r w:rsidRPr="002A6BA4">
        <w:t xml:space="preserve">to </w:t>
      </w:r>
      <w:r>
        <w:t xml:space="preserve">help facilitate the detection by </w:t>
      </w:r>
      <w:r w:rsidR="00192C2F" w:rsidRPr="0067663D">
        <w:t xml:space="preserve">private sector </w:t>
      </w:r>
      <w:r w:rsidRPr="0067663D">
        <w:t>auditors</w:t>
      </w:r>
      <w:r>
        <w:t xml:space="preserve"> of</w:t>
      </w:r>
      <w:r w:rsidRPr="002A6BA4">
        <w:t xml:space="preserve"> anomalies in accounting records that could indicate the payment of sums for corruption</w:t>
      </w:r>
      <w:r>
        <w:t>. (See paragraph 10</w:t>
      </w:r>
      <w:r w:rsidR="00EE2F49">
        <w:t>2</w:t>
      </w:r>
      <w:r>
        <w:t xml:space="preserve"> in section 2.1 of Chapter II of this Report)</w:t>
      </w:r>
    </w:p>
    <w:p w14:paraId="06CEE6BA" w14:textId="77777777" w:rsidR="002A6BA4" w:rsidRDefault="002A6BA4" w:rsidP="00875899">
      <w:pPr>
        <w:pStyle w:val="ListParagraph"/>
        <w:ind w:left="690" w:hanging="680"/>
        <w:jc w:val="both"/>
      </w:pPr>
    </w:p>
    <w:p w14:paraId="2E3279D0" w14:textId="20AB3A6C" w:rsidR="002A6BA4" w:rsidRDefault="002A6BA4" w:rsidP="00875899">
      <w:pPr>
        <w:pStyle w:val="ListParagraph"/>
        <w:ind w:left="690" w:hanging="680"/>
        <w:jc w:val="both"/>
      </w:pPr>
      <w:r>
        <w:t>2.4.3</w:t>
      </w:r>
      <w:r>
        <w:tab/>
      </w:r>
      <w:r w:rsidR="00717977" w:rsidRPr="0067663D">
        <w:t>Encourage the adoption of</w:t>
      </w:r>
      <w:r>
        <w:t xml:space="preserve"> </w:t>
      </w:r>
      <w:r w:rsidRPr="002A6BA4">
        <w:t xml:space="preserve">investigation tactics, such as follow-up on expenditures, crosschecking of information and accounts, and requests for information from financial entities </w:t>
      </w:r>
      <w:proofErr w:type="gramStart"/>
      <w:r w:rsidRPr="002A6BA4">
        <w:t>in order to</w:t>
      </w:r>
      <w:proofErr w:type="gramEnd"/>
      <w:r w:rsidRPr="002A6BA4">
        <w:t xml:space="preserve"> help </w:t>
      </w:r>
      <w:r w:rsidR="00A43B26" w:rsidRPr="0067663D">
        <w:t xml:space="preserve">private sector </w:t>
      </w:r>
      <w:r w:rsidRPr="0067663D">
        <w:t>auditors</w:t>
      </w:r>
      <w:r w:rsidRPr="002A6BA4">
        <w:t xml:space="preserve"> detect anomalies in accounting records that could indicate the payment of sums for corruption.</w:t>
      </w:r>
      <w:r>
        <w:t xml:space="preserve"> (See paragraph 1</w:t>
      </w:r>
      <w:r w:rsidR="00D35F7E">
        <w:t>0</w:t>
      </w:r>
      <w:r w:rsidR="009E4090">
        <w:t>6</w:t>
      </w:r>
      <w:r>
        <w:t xml:space="preserve"> in section 2.1 of Chapter II of this Report)</w:t>
      </w:r>
    </w:p>
    <w:p w14:paraId="614A5990" w14:textId="77777777" w:rsidR="00D35F7E" w:rsidRDefault="00D35F7E" w:rsidP="00875899">
      <w:pPr>
        <w:pStyle w:val="ListParagraph"/>
        <w:ind w:left="690" w:hanging="680"/>
        <w:jc w:val="both"/>
      </w:pPr>
    </w:p>
    <w:p w14:paraId="43228824" w14:textId="16C20148" w:rsidR="00D35F7E" w:rsidRDefault="00D35F7E" w:rsidP="00875899">
      <w:pPr>
        <w:pStyle w:val="ListParagraph"/>
        <w:ind w:left="690" w:hanging="680"/>
        <w:jc w:val="both"/>
      </w:pPr>
      <w:r>
        <w:t>2.4.4</w:t>
      </w:r>
      <w:r>
        <w:tab/>
        <w:t xml:space="preserve">Adopt </w:t>
      </w:r>
      <w:r w:rsidRPr="00D35F7E">
        <w:t xml:space="preserve">manuals, guidelines or directives for those organs and agencies that do not yet have them, on how to review accounting records </w:t>
      </w:r>
      <w:proofErr w:type="gramStart"/>
      <w:r w:rsidRPr="00D35F7E">
        <w:t>in order to</w:t>
      </w:r>
      <w:proofErr w:type="gramEnd"/>
      <w:r w:rsidRPr="00D35F7E">
        <w:t xml:space="preserve"> detect sums paid for corruption. </w:t>
      </w:r>
      <w:r>
        <w:t>(See paragraph 11</w:t>
      </w:r>
      <w:r w:rsidR="009E4090">
        <w:t>3</w:t>
      </w:r>
      <w:r>
        <w:t xml:space="preserve"> in section 2.1 of Chapter II of this Report)</w:t>
      </w:r>
    </w:p>
    <w:p w14:paraId="3E257BCF" w14:textId="77777777" w:rsidR="002A6BA4" w:rsidRDefault="002A6BA4" w:rsidP="00875899">
      <w:pPr>
        <w:pStyle w:val="ListParagraph"/>
        <w:ind w:left="690" w:hanging="680"/>
        <w:jc w:val="both"/>
      </w:pPr>
    </w:p>
    <w:p w14:paraId="39FB9FCE" w14:textId="471A6CB9" w:rsidR="002A6BA4" w:rsidRDefault="002A6BA4" w:rsidP="00875899">
      <w:pPr>
        <w:pStyle w:val="ListParagraph"/>
        <w:ind w:left="690" w:hanging="680"/>
        <w:jc w:val="both"/>
      </w:pPr>
      <w:r>
        <w:t>2.4.</w:t>
      </w:r>
      <w:r w:rsidR="00D35F7E">
        <w:t>5</w:t>
      </w:r>
      <w:r>
        <w:tab/>
      </w:r>
      <w:r w:rsidR="00DE3A2E" w:rsidRPr="0067663D">
        <w:t>Encourage, as necessary</w:t>
      </w:r>
      <w:r w:rsidR="00DE3A2E">
        <w:t xml:space="preserve">, </w:t>
      </w:r>
      <w:r w:rsidR="009C1E1F" w:rsidRPr="009C1E1F">
        <w:t xml:space="preserve">institutional coordination mechanisms that enable </w:t>
      </w:r>
      <w:r w:rsidR="00F005BA" w:rsidRPr="0067663D">
        <w:t xml:space="preserve">private sector </w:t>
      </w:r>
      <w:r w:rsidR="009C1E1F" w:rsidRPr="0067663D">
        <w:t>auditors</w:t>
      </w:r>
      <w:r w:rsidR="009C1E1F" w:rsidRPr="009C1E1F">
        <w:t xml:space="preserve"> to easily obtain the timely necessary collaboration from other institutions to verify the veracity of accounting records and of the supporting documents on which they are based or to establish their authenticity. </w:t>
      </w:r>
      <w:r w:rsidR="009C1E1F">
        <w:t>(See paragraph 12</w:t>
      </w:r>
      <w:r w:rsidR="009E4090">
        <w:t>4</w:t>
      </w:r>
      <w:r w:rsidR="009C1E1F">
        <w:t xml:space="preserve"> in section 2.1 of Chapter II of this Report)</w:t>
      </w:r>
    </w:p>
    <w:p w14:paraId="7B67C4A5" w14:textId="77777777" w:rsidR="009C1E1F" w:rsidRDefault="009C1E1F" w:rsidP="00875899">
      <w:pPr>
        <w:pStyle w:val="ListParagraph"/>
        <w:ind w:left="690" w:hanging="680"/>
        <w:jc w:val="both"/>
      </w:pPr>
    </w:p>
    <w:p w14:paraId="4EC92504" w14:textId="2855BF50" w:rsidR="009C1E1F" w:rsidRDefault="009C1E1F" w:rsidP="00875899">
      <w:pPr>
        <w:pStyle w:val="ListParagraph"/>
        <w:ind w:left="690" w:hanging="680"/>
        <w:jc w:val="both"/>
      </w:pPr>
      <w:r>
        <w:t>2.4.</w:t>
      </w:r>
      <w:r w:rsidR="00D35F7E">
        <w:t>6</w:t>
      </w:r>
      <w:r>
        <w:tab/>
      </w:r>
      <w:r w:rsidR="00B7433B">
        <w:rPr>
          <w:b/>
          <w:bCs/>
          <w:u w:val="single"/>
        </w:rPr>
        <w:t xml:space="preserve">Publish information on cases involving </w:t>
      </w:r>
      <w:r w:rsidR="00802243">
        <w:t>violation</w:t>
      </w:r>
      <w:r w:rsidR="00B7433B">
        <w:t>s</w:t>
      </w:r>
      <w:r w:rsidR="00802243">
        <w:t xml:space="preserve"> of section 13(b)(2)(A) of the Securities and Exchange Act of 1934, which provides that issuers are to </w:t>
      </w:r>
      <w:r w:rsidR="00802243" w:rsidRPr="00802243">
        <w:t>make and keep books, records, and accounts, which, in reasonable detail, accurately and fairly reflect the transactions and dispositions of the assets of the issuer</w:t>
      </w:r>
      <w:r w:rsidR="00802243">
        <w:t xml:space="preserve">, as it relates to </w:t>
      </w:r>
      <w:r w:rsidR="00D70C72" w:rsidRPr="0067663D">
        <w:t>criminal</w:t>
      </w:r>
      <w:r w:rsidR="00802243">
        <w:t xml:space="preserve"> domestic act</w:t>
      </w:r>
      <w:r w:rsidR="00D70C72">
        <w:t>s</w:t>
      </w:r>
      <w:r w:rsidR="00802243">
        <w:t xml:space="preserve"> of corruption, such as bribery</w:t>
      </w:r>
      <w:r w:rsidR="00E165C4">
        <w:t xml:space="preserve">, </w:t>
      </w:r>
      <w:r w:rsidR="00E165C4" w:rsidRPr="00804DBA">
        <w:rPr>
          <w:rFonts w:eastAsiaTheme="minorHAnsi"/>
          <w:bCs/>
          <w:iCs/>
        </w:rPr>
        <w:t>in order to identify challenges and recommend corrective measures where appropriate</w:t>
      </w:r>
      <w:r w:rsidR="00E165C4">
        <w:t>.</w:t>
      </w:r>
      <w:r w:rsidR="00802243">
        <w:t xml:space="preserve"> (See paragraph 1</w:t>
      </w:r>
      <w:r w:rsidR="009E4090">
        <w:t>40</w:t>
      </w:r>
      <w:r w:rsidR="00802243">
        <w:t xml:space="preserve"> in section 2.3 of Chapter II of this Report)</w:t>
      </w:r>
    </w:p>
    <w:p w14:paraId="3AE164C2" w14:textId="77777777" w:rsidR="00D35F7E" w:rsidRDefault="00D35F7E" w:rsidP="00875899">
      <w:pPr>
        <w:pStyle w:val="ListParagraph"/>
        <w:ind w:left="690" w:hanging="680"/>
        <w:jc w:val="both"/>
      </w:pPr>
    </w:p>
    <w:p w14:paraId="38FED5D9" w14:textId="0551B53A" w:rsidR="00802243" w:rsidRDefault="00802243" w:rsidP="00875899">
      <w:pPr>
        <w:pStyle w:val="ListParagraph"/>
        <w:ind w:left="690" w:hanging="680"/>
        <w:jc w:val="both"/>
      </w:pPr>
      <w:r>
        <w:t>2.4.</w:t>
      </w:r>
      <w:r w:rsidR="00D35F7E">
        <w:t>7</w:t>
      </w:r>
      <w:r>
        <w:tab/>
      </w:r>
      <w:r w:rsidR="00B7433B">
        <w:rPr>
          <w:b/>
          <w:bCs/>
          <w:u w:val="single"/>
        </w:rPr>
        <w:t xml:space="preserve">Publish information on cases involving </w:t>
      </w:r>
      <w:r w:rsidR="00B7433B">
        <w:t xml:space="preserve">violations </w:t>
      </w:r>
      <w:r>
        <w:t xml:space="preserve">of section 13(b)(2)(B) of the Securities and Exchange Act of 1934, which provides that issuers are to devise and maintain a system of internal accounting controls, as it relates to </w:t>
      </w:r>
      <w:r w:rsidR="00D70C72" w:rsidRPr="0067663D">
        <w:t>criminal</w:t>
      </w:r>
      <w:r w:rsidRPr="0067663D">
        <w:t xml:space="preserve"> domestic act</w:t>
      </w:r>
      <w:r w:rsidR="00D70C72" w:rsidRPr="0067663D">
        <w:t>s</w:t>
      </w:r>
      <w:r w:rsidRPr="0067663D">
        <w:t xml:space="preserve"> of</w:t>
      </w:r>
      <w:r>
        <w:t xml:space="preserve"> corruption, such as bribery</w:t>
      </w:r>
      <w:r w:rsidR="00E165C4">
        <w:t xml:space="preserve">, </w:t>
      </w:r>
      <w:proofErr w:type="gramStart"/>
      <w:r w:rsidR="00E165C4" w:rsidRPr="00804DBA">
        <w:rPr>
          <w:rFonts w:eastAsiaTheme="minorHAnsi"/>
          <w:bCs/>
          <w:iCs/>
        </w:rPr>
        <w:t>in order to</w:t>
      </w:r>
      <w:proofErr w:type="gramEnd"/>
      <w:r w:rsidR="00E165C4" w:rsidRPr="00804DBA">
        <w:rPr>
          <w:rFonts w:eastAsiaTheme="minorHAnsi"/>
          <w:bCs/>
          <w:iCs/>
        </w:rPr>
        <w:t xml:space="preserve"> identify challenges and recommend corrective measures where appropriate</w:t>
      </w:r>
      <w:r w:rsidR="00E165C4">
        <w:t>.</w:t>
      </w:r>
      <w:r>
        <w:t xml:space="preserve"> (See paragraph 1</w:t>
      </w:r>
      <w:r w:rsidR="009E4090">
        <w:t>40</w:t>
      </w:r>
      <w:r>
        <w:t xml:space="preserve"> in section 2.3 of Chapter II of this Report)</w:t>
      </w:r>
    </w:p>
    <w:p w14:paraId="782BB1FB" w14:textId="77777777" w:rsidR="00802243" w:rsidRDefault="00802243" w:rsidP="00875899">
      <w:pPr>
        <w:pStyle w:val="ListParagraph"/>
        <w:ind w:left="690" w:hanging="680"/>
        <w:jc w:val="both"/>
      </w:pPr>
    </w:p>
    <w:p w14:paraId="6F8A85C8" w14:textId="28060EDD" w:rsidR="00A30424" w:rsidRDefault="00802243" w:rsidP="00A30424">
      <w:pPr>
        <w:pStyle w:val="ListParagraph"/>
        <w:ind w:left="690" w:hanging="680"/>
        <w:jc w:val="both"/>
      </w:pPr>
      <w:r>
        <w:t>2.4.</w:t>
      </w:r>
      <w:r w:rsidR="00D35F7E">
        <w:t>8</w:t>
      </w:r>
      <w:r>
        <w:tab/>
      </w:r>
      <w:r w:rsidR="00B7433B">
        <w:rPr>
          <w:b/>
          <w:bCs/>
          <w:u w:val="single"/>
        </w:rPr>
        <w:t xml:space="preserve">Publish information on cases involving </w:t>
      </w:r>
      <w:r w:rsidR="00B7433B">
        <w:t xml:space="preserve">violations </w:t>
      </w:r>
      <w:r>
        <w:t>of section 802(a) of the Sarbanes Oxley Act, which provides for</w:t>
      </w:r>
      <w:r w:rsidRPr="00DA4CF9">
        <w:t xml:space="preserve"> criminal penalties, including fines and/or imprisonment, for anyone who, </w:t>
      </w:r>
      <w:r w:rsidRPr="00A30424">
        <w:t>knowingly alters, destroys, mutilates, conceals, covers  up, falsifies, or makes a false entry in any record, document, or tangible object with the intent to impede, obstruct, or influence the investigation or proper administration of any matter within the jurisdiction of any department or agency of the United States</w:t>
      </w:r>
      <w:r w:rsidR="00A30424">
        <w:t>, as it relates to a domestic act of corruption, such as bribery</w:t>
      </w:r>
      <w:r w:rsidR="00E165C4">
        <w:t xml:space="preserve">, </w:t>
      </w:r>
      <w:r w:rsidR="00E165C4" w:rsidRPr="00804DBA">
        <w:rPr>
          <w:rFonts w:eastAsiaTheme="minorHAnsi"/>
          <w:bCs/>
          <w:iCs/>
        </w:rPr>
        <w:t>in order to identify challenges and recommend corrective measures where appropriate</w:t>
      </w:r>
      <w:r w:rsidR="00E165C4">
        <w:t>.</w:t>
      </w:r>
      <w:r w:rsidR="00A30424">
        <w:t xml:space="preserve"> (See paragraph 1</w:t>
      </w:r>
      <w:r w:rsidR="009E4090">
        <w:t>40</w:t>
      </w:r>
      <w:r w:rsidR="00A30424">
        <w:t xml:space="preserve"> in section 2.3 of Chapter II of this Report)</w:t>
      </w:r>
    </w:p>
    <w:p w14:paraId="79F68B38" w14:textId="77777777" w:rsidR="00A30424" w:rsidRPr="0020140B" w:rsidRDefault="00A30424" w:rsidP="00A30424">
      <w:pPr>
        <w:pStyle w:val="ListParagraph"/>
        <w:ind w:left="10"/>
        <w:jc w:val="both"/>
      </w:pPr>
    </w:p>
    <w:p w14:paraId="0247DF21" w14:textId="77777777" w:rsidR="00A30424" w:rsidRPr="00346AAE" w:rsidRDefault="00A30424">
      <w:pPr>
        <w:pStyle w:val="ListParagraph"/>
        <w:numPr>
          <w:ilvl w:val="0"/>
          <w:numId w:val="6"/>
        </w:numPr>
        <w:jc w:val="both"/>
        <w:rPr>
          <w:rFonts w:eastAsia="Times New Roman"/>
          <w:b/>
          <w:lang w:eastAsia="es-ES"/>
        </w:rPr>
      </w:pPr>
      <w:r w:rsidRPr="00346AAE">
        <w:rPr>
          <w:rStyle w:val="normaltextrun"/>
          <w:b/>
          <w:bCs/>
        </w:rPr>
        <w:t>TRANSNATIONAL</w:t>
      </w:r>
      <w:r w:rsidRPr="00346AAE">
        <w:rPr>
          <w:b/>
          <w:bCs/>
        </w:rPr>
        <w:t xml:space="preserve"> BRIBERY (ARTICLE VIII OF THE CONVENTION</w:t>
      </w:r>
      <w:r w:rsidRPr="00346AAE">
        <w:rPr>
          <w:b/>
        </w:rPr>
        <w:t>).</w:t>
      </w:r>
    </w:p>
    <w:p w14:paraId="1A47AB2A" w14:textId="77777777" w:rsidR="00A30424" w:rsidRPr="00346AAE" w:rsidRDefault="00A30424" w:rsidP="00A30424">
      <w:pPr>
        <w:pStyle w:val="ListParagraph"/>
        <w:ind w:left="360"/>
        <w:jc w:val="both"/>
        <w:rPr>
          <w:rFonts w:eastAsia="Times New Roman"/>
          <w:b/>
          <w:lang w:eastAsia="es-ES"/>
        </w:rPr>
      </w:pPr>
    </w:p>
    <w:p w14:paraId="4A7E2A40" w14:textId="256BD28C" w:rsidR="00A30424" w:rsidRPr="00346AAE" w:rsidRDefault="00A30424">
      <w:pPr>
        <w:pStyle w:val="ListParagraph"/>
        <w:numPr>
          <w:ilvl w:val="1"/>
          <w:numId w:val="13"/>
        </w:numPr>
        <w:ind w:left="720"/>
        <w:jc w:val="both"/>
        <w:rPr>
          <w:b/>
          <w:lang w:eastAsia="es-ES"/>
        </w:rPr>
      </w:pPr>
      <w:r w:rsidRPr="00346AAE">
        <w:rPr>
          <w:b/>
          <w:bCs/>
        </w:rPr>
        <w:t xml:space="preserve">Follow-up to the </w:t>
      </w:r>
      <w:r w:rsidR="00A17A4E">
        <w:rPr>
          <w:b/>
          <w:bCs/>
        </w:rPr>
        <w:t>I</w:t>
      </w:r>
      <w:r w:rsidRPr="00346AAE">
        <w:rPr>
          <w:b/>
          <w:bCs/>
        </w:rPr>
        <w:t xml:space="preserve">mplementation of the </w:t>
      </w:r>
      <w:r w:rsidR="00A17A4E">
        <w:rPr>
          <w:b/>
          <w:bCs/>
        </w:rPr>
        <w:t>R</w:t>
      </w:r>
      <w:r w:rsidRPr="00346AAE">
        <w:rPr>
          <w:b/>
          <w:bCs/>
        </w:rPr>
        <w:t xml:space="preserve">ecommendations </w:t>
      </w:r>
      <w:r w:rsidR="00A17A4E">
        <w:rPr>
          <w:b/>
          <w:bCs/>
        </w:rPr>
        <w:t>F</w:t>
      </w:r>
      <w:r w:rsidRPr="00346AAE">
        <w:rPr>
          <w:b/>
          <w:bCs/>
        </w:rPr>
        <w:t>ormulated in the Third Round</w:t>
      </w:r>
      <w:r w:rsidRPr="00346AAE">
        <w:rPr>
          <w:b/>
          <w:lang w:eastAsia="es-ES"/>
        </w:rPr>
        <w:t>.</w:t>
      </w:r>
    </w:p>
    <w:p w14:paraId="6527A85F" w14:textId="77777777" w:rsidR="00A30424" w:rsidRPr="00346AAE" w:rsidRDefault="00A30424" w:rsidP="00A30424">
      <w:pPr>
        <w:jc w:val="both"/>
        <w:rPr>
          <w:b/>
          <w:sz w:val="22"/>
          <w:szCs w:val="22"/>
          <w:lang w:eastAsia="es-ES"/>
        </w:rPr>
      </w:pPr>
    </w:p>
    <w:p w14:paraId="3D733D85" w14:textId="1E5A0A56" w:rsidR="00A30424" w:rsidRPr="00346AAE" w:rsidRDefault="00A30424" w:rsidP="00A30424">
      <w:pPr>
        <w:jc w:val="both"/>
        <w:textAlignment w:val="baseline"/>
        <w:rPr>
          <w:bCs/>
          <w:sz w:val="22"/>
          <w:szCs w:val="22"/>
          <w:u w:val="single"/>
        </w:rPr>
      </w:pPr>
      <w:r w:rsidRPr="00346AAE">
        <w:rPr>
          <w:sz w:val="22"/>
          <w:szCs w:val="22"/>
          <w:u w:val="single"/>
          <w:lang w:eastAsia="fr-CA"/>
        </w:rPr>
        <w:t>Recommendation</w:t>
      </w:r>
      <w:r w:rsidRPr="00346AAE">
        <w:rPr>
          <w:bCs/>
          <w:sz w:val="22"/>
          <w:szCs w:val="22"/>
          <w:u w:val="single"/>
        </w:rPr>
        <w:t xml:space="preserve"> suggested by the Committee: </w:t>
      </w:r>
      <w:r>
        <w:rPr>
          <w:bCs/>
          <w:sz w:val="22"/>
          <w:szCs w:val="22"/>
          <w:u w:val="single"/>
        </w:rPr>
        <w:t xml:space="preserve"> </w:t>
      </w:r>
    </w:p>
    <w:p w14:paraId="090BFE92" w14:textId="77777777" w:rsidR="00A30424" w:rsidRPr="00346AAE" w:rsidRDefault="00A30424" w:rsidP="00A30424">
      <w:pPr>
        <w:jc w:val="both"/>
        <w:textAlignment w:val="baseline"/>
        <w:rPr>
          <w:bCs/>
          <w:sz w:val="22"/>
          <w:szCs w:val="22"/>
          <w:u w:val="single"/>
        </w:rPr>
      </w:pPr>
    </w:p>
    <w:p w14:paraId="2C31E60E" w14:textId="54FE7BE8" w:rsidR="00A30424" w:rsidRPr="00A30424" w:rsidRDefault="00A30424" w:rsidP="00A30424">
      <w:pPr>
        <w:pStyle w:val="ListParagraph"/>
        <w:ind w:left="10"/>
        <w:jc w:val="both"/>
        <w:rPr>
          <w:i/>
          <w:iCs/>
        </w:rPr>
      </w:pPr>
      <w:r w:rsidRPr="00A30424">
        <w:rPr>
          <w:i/>
          <w:iCs/>
        </w:rPr>
        <w:t xml:space="preserve">Consider undertaking to periodically review its policies and approach on facilitation payments </w:t>
      </w:r>
      <w:proofErr w:type="gramStart"/>
      <w:r w:rsidRPr="00A30424">
        <w:rPr>
          <w:i/>
          <w:iCs/>
        </w:rPr>
        <w:t>in order to</w:t>
      </w:r>
      <w:proofErr w:type="gramEnd"/>
      <w:r w:rsidRPr="00A30424">
        <w:rPr>
          <w:i/>
          <w:iCs/>
        </w:rPr>
        <w:t xml:space="preserve"> effectively combat the phenomenon and continue to encourage companies to prohibit or discourage the use of facilitation payments in internal company controls, ethics and compliance programs or measures.</w:t>
      </w:r>
    </w:p>
    <w:p w14:paraId="115377B6" w14:textId="77777777" w:rsidR="00A30424" w:rsidRPr="00346AAE" w:rsidRDefault="00A30424" w:rsidP="00A30424">
      <w:pPr>
        <w:pStyle w:val="Cuerpo"/>
        <w:jc w:val="both"/>
        <w:rPr>
          <w:rFonts w:cs="Times New Roman"/>
          <w:i/>
          <w:sz w:val="22"/>
          <w:szCs w:val="22"/>
          <w:lang w:val="en-US"/>
        </w:rPr>
      </w:pPr>
      <w:r w:rsidRPr="00346AAE">
        <w:rPr>
          <w:rFonts w:cs="Times New Roman"/>
          <w:i/>
          <w:sz w:val="22"/>
          <w:szCs w:val="22"/>
          <w:lang w:val="en-US"/>
        </w:rPr>
        <w:t xml:space="preserve">  </w:t>
      </w:r>
    </w:p>
    <w:p w14:paraId="4A2445AD" w14:textId="34156F41" w:rsidR="00A30424" w:rsidRPr="00A07412" w:rsidRDefault="0044463E" w:rsidP="00A30424">
      <w:pPr>
        <w:pStyle w:val="ListParagraph"/>
        <w:numPr>
          <w:ilvl w:val="0"/>
          <w:numId w:val="1"/>
        </w:numPr>
        <w:jc w:val="both"/>
      </w:pPr>
      <w:r w:rsidRPr="005A2298">
        <w:rPr>
          <w:rFonts w:eastAsiaTheme="minorHAnsi"/>
          <w:bCs/>
          <w:iCs/>
        </w:rPr>
        <w:t xml:space="preserve">With respect to the </w:t>
      </w:r>
      <w:proofErr w:type="gramStart"/>
      <w:r w:rsidRPr="005A2298">
        <w:rPr>
          <w:rFonts w:eastAsiaTheme="minorHAnsi"/>
          <w:bCs/>
          <w:iCs/>
        </w:rPr>
        <w:t>aforementioned measure</w:t>
      </w:r>
      <w:proofErr w:type="gramEnd"/>
      <w:r w:rsidRPr="005A2298">
        <w:rPr>
          <w:rFonts w:eastAsiaTheme="minorHAnsi"/>
          <w:bCs/>
          <w:iCs/>
        </w:rPr>
        <w:t>, in its Response, the country under review presented information and new developments. In this regard, the Committee notes the following as steps that lead it to conclude said measure has been satisfactorily considered</w:t>
      </w:r>
      <w:r>
        <w:rPr>
          <w:rFonts w:eastAsiaTheme="minorHAnsi"/>
          <w:bCs/>
          <w:iCs/>
        </w:rPr>
        <w:t>:</w:t>
      </w:r>
      <w:r w:rsidRPr="005A2298">
        <w:rPr>
          <w:rStyle w:val="FootnoteReference"/>
        </w:rPr>
        <w:footnoteReference w:id="99"/>
      </w:r>
    </w:p>
    <w:p w14:paraId="76FBA299" w14:textId="77777777" w:rsidR="00A07412" w:rsidRPr="00A07412" w:rsidRDefault="00A07412" w:rsidP="00A07412">
      <w:pPr>
        <w:pStyle w:val="ListParagraph"/>
        <w:ind w:left="10"/>
        <w:jc w:val="both"/>
      </w:pPr>
    </w:p>
    <w:p w14:paraId="1FCC2687" w14:textId="445F374F" w:rsidR="00CF638C" w:rsidRPr="00CF638C" w:rsidRDefault="00CF638C" w:rsidP="00CF638C">
      <w:pPr>
        <w:pStyle w:val="ListParagraph"/>
        <w:numPr>
          <w:ilvl w:val="0"/>
          <w:numId w:val="1"/>
        </w:numPr>
        <w:jc w:val="both"/>
        <w:rPr>
          <w:rFonts w:eastAsiaTheme="minorHAnsi"/>
          <w:bCs/>
          <w:iCs/>
        </w:rPr>
      </w:pPr>
      <w:r w:rsidRPr="00CF638C">
        <w:rPr>
          <w:rFonts w:eastAsiaTheme="minorHAnsi"/>
          <w:bCs/>
          <w:iCs/>
        </w:rPr>
        <w:t>–</w:t>
      </w:r>
      <w:r w:rsidR="00A07412" w:rsidRPr="00CF638C">
        <w:rPr>
          <w:rFonts w:eastAsiaTheme="minorHAnsi"/>
          <w:bCs/>
          <w:iCs/>
        </w:rPr>
        <w:t xml:space="preserve"> </w:t>
      </w:r>
      <w:r w:rsidRPr="00CF638C">
        <w:rPr>
          <w:rFonts w:eastAsiaTheme="minorHAnsi"/>
          <w:bCs/>
          <w:iCs/>
        </w:rPr>
        <w:t xml:space="preserve">The United States-Mexico-Canada Trade Agreement, which was signed on November 30, 2018, has a chapter dedicated to anticorruption including language that states that “the Parties recognize the harmful effects of facilitation payments”. The agreement commits each party to, “in accordance with its laws and regulations: (a) encourage enterprises to prohibit or discourage the use of facilitation payments; </w:t>
      </w:r>
      <w:r w:rsidRPr="00CF638C">
        <w:rPr>
          <w:rFonts w:eastAsiaTheme="minorHAnsi"/>
          <w:bCs/>
          <w:iCs/>
        </w:rPr>
        <w:lastRenderedPageBreak/>
        <w:t>and (b) take steps to raise awareness among its public officials of its bribery laws, with a view to stopping the solicitation and the acceptance of facilitation payments.”</w:t>
      </w:r>
      <w:r>
        <w:rPr>
          <w:rStyle w:val="FootnoteReference"/>
          <w:rFonts w:eastAsiaTheme="minorHAnsi"/>
          <w:bCs/>
          <w:iCs/>
        </w:rPr>
        <w:footnoteReference w:id="100"/>
      </w:r>
    </w:p>
    <w:p w14:paraId="0C617E59" w14:textId="77777777" w:rsidR="00CF638C" w:rsidRDefault="00CF638C" w:rsidP="00CF638C">
      <w:pPr>
        <w:pStyle w:val="ListParagraph"/>
      </w:pPr>
    </w:p>
    <w:p w14:paraId="66E4DC65" w14:textId="74977782" w:rsidR="00CF638C" w:rsidRDefault="00282BB9" w:rsidP="00282BB9">
      <w:pPr>
        <w:pStyle w:val="ListParagraph"/>
        <w:numPr>
          <w:ilvl w:val="0"/>
          <w:numId w:val="1"/>
        </w:numPr>
        <w:jc w:val="both"/>
        <w:rPr>
          <w:rFonts w:eastAsiaTheme="minorHAnsi"/>
          <w:bCs/>
          <w:iCs/>
        </w:rPr>
      </w:pPr>
      <w:r>
        <w:t>–</w:t>
      </w:r>
      <w:r w:rsidR="00CF638C">
        <w:t xml:space="preserve"> </w:t>
      </w:r>
      <w:r>
        <w:rPr>
          <w:rFonts w:eastAsiaTheme="minorHAnsi"/>
          <w:bCs/>
          <w:iCs/>
        </w:rPr>
        <w:t>USDOJ</w:t>
      </w:r>
      <w:r w:rsidR="00CF638C" w:rsidRPr="00282BB9">
        <w:rPr>
          <w:rFonts w:eastAsiaTheme="minorHAnsi"/>
          <w:bCs/>
          <w:iCs/>
        </w:rPr>
        <w:t xml:space="preserve"> personnel have spoken at public conferences at which they consistently emphasize that, although facilitation payments are excepted under the FCPA anti-bribery provisions, such payments may form the basis for another violation of law, including wire fraud or, if they are not properly recorded, the books and records provisions of the FCPA. The Department of Commerce conveys the same message to companies during FCPA trainings. </w:t>
      </w:r>
    </w:p>
    <w:p w14:paraId="15388DB9" w14:textId="77777777" w:rsidR="00282BB9" w:rsidRPr="00282BB9" w:rsidRDefault="00282BB9" w:rsidP="00282BB9">
      <w:pPr>
        <w:pStyle w:val="ListParagraph"/>
        <w:rPr>
          <w:rFonts w:eastAsiaTheme="minorHAnsi"/>
          <w:bCs/>
          <w:iCs/>
        </w:rPr>
      </w:pPr>
    </w:p>
    <w:p w14:paraId="02711CD2" w14:textId="04838962" w:rsidR="00CF638C" w:rsidRPr="00282BB9" w:rsidRDefault="00282BB9" w:rsidP="00282BB9">
      <w:pPr>
        <w:pStyle w:val="ListParagraph"/>
        <w:numPr>
          <w:ilvl w:val="0"/>
          <w:numId w:val="1"/>
        </w:numPr>
        <w:jc w:val="both"/>
        <w:rPr>
          <w:color w:val="2F5496" w:themeColor="accent1" w:themeShade="BF"/>
          <w:lang w:eastAsia="fr-CA"/>
        </w:rPr>
      </w:pPr>
      <w:r>
        <w:rPr>
          <w:rFonts w:eastAsiaTheme="minorHAnsi"/>
          <w:bCs/>
          <w:iCs/>
        </w:rPr>
        <w:t xml:space="preserve">- </w:t>
      </w:r>
      <w:r w:rsidR="00CF638C" w:rsidRPr="00282BB9">
        <w:rPr>
          <w:rFonts w:eastAsiaTheme="minorHAnsi"/>
          <w:bCs/>
          <w:iCs/>
        </w:rPr>
        <w:t xml:space="preserve">Discussion of facilitation payments </w:t>
      </w:r>
      <w:r w:rsidRPr="00282BB9">
        <w:rPr>
          <w:rFonts w:eastAsiaTheme="minorHAnsi"/>
          <w:bCs/>
          <w:iCs/>
        </w:rPr>
        <w:t>come</w:t>
      </w:r>
      <w:r w:rsidR="00CF638C" w:rsidRPr="00282BB9">
        <w:rPr>
          <w:rFonts w:eastAsiaTheme="minorHAnsi"/>
          <w:bCs/>
          <w:iCs/>
        </w:rPr>
        <w:t xml:space="preserve"> up in the normal course of panel discussions or presentations delivered by government personnel at FCPA conferences. For example, the </w:t>
      </w:r>
      <w:r w:rsidRPr="00282BB9">
        <w:rPr>
          <w:rFonts w:eastAsiaTheme="minorHAnsi"/>
          <w:bCs/>
          <w:iCs/>
        </w:rPr>
        <w:t>US</w:t>
      </w:r>
      <w:r w:rsidR="00CF638C" w:rsidRPr="00282BB9">
        <w:rPr>
          <w:rFonts w:eastAsiaTheme="minorHAnsi"/>
          <w:bCs/>
          <w:iCs/>
        </w:rPr>
        <w:t>DOJ and SEC typically participate in the annual American Conference Institute’s FCPA Conference in National Harbor, Maryland, which is attended by approximately 800 people, including white-collar attorneys, in-house attorneys and compliance personnel, corporate executives, government attorneys, and representatives of non-governmental organizations.</w:t>
      </w:r>
      <w:r w:rsidR="00CF638C" w:rsidRPr="00725080">
        <w:rPr>
          <w:rFonts w:eastAsiaTheme="minorHAnsi"/>
          <w:color w:val="2F5496" w:themeColor="accent1" w:themeShade="BF"/>
          <w:sz w:val="14"/>
          <w:szCs w:val="14"/>
        </w:rPr>
        <w:t xml:space="preserve"> </w:t>
      </w:r>
    </w:p>
    <w:p w14:paraId="0D250FA8" w14:textId="77777777" w:rsidR="00282BB9" w:rsidRPr="00282BB9" w:rsidRDefault="00282BB9" w:rsidP="00282BB9">
      <w:pPr>
        <w:pStyle w:val="ListParagraph"/>
        <w:rPr>
          <w:color w:val="2F5496" w:themeColor="accent1" w:themeShade="BF"/>
          <w:lang w:eastAsia="fr-CA"/>
        </w:rPr>
      </w:pPr>
    </w:p>
    <w:p w14:paraId="7271A71E" w14:textId="4FDB0047" w:rsidR="00282BB9" w:rsidRDefault="00282BB9" w:rsidP="00282BB9">
      <w:pPr>
        <w:pStyle w:val="ListParagraph"/>
        <w:numPr>
          <w:ilvl w:val="0"/>
          <w:numId w:val="1"/>
        </w:numPr>
        <w:jc w:val="both"/>
        <w:rPr>
          <w:rFonts w:eastAsiaTheme="minorHAnsi"/>
          <w:bCs/>
          <w:iCs/>
        </w:rPr>
      </w:pPr>
      <w:r w:rsidRPr="003E3F37">
        <w:rPr>
          <w:rFonts w:eastAsiaTheme="minorHAnsi"/>
          <w:b/>
          <w:iCs/>
          <w:u w:val="single"/>
        </w:rPr>
        <w:t xml:space="preserve">Moreover, during the on-site visit, the representatives of USDOJ and the SEC emphasized that facilitation payments </w:t>
      </w:r>
      <w:r w:rsidR="003E3F37" w:rsidRPr="003E3F37">
        <w:rPr>
          <w:rFonts w:eastAsiaTheme="minorHAnsi"/>
          <w:b/>
          <w:iCs/>
          <w:u w:val="single"/>
        </w:rPr>
        <w:t>are</w:t>
      </w:r>
      <w:r w:rsidRPr="003E3F37">
        <w:rPr>
          <w:rFonts w:eastAsiaTheme="minorHAnsi"/>
          <w:b/>
          <w:iCs/>
          <w:u w:val="single"/>
        </w:rPr>
        <w:t xml:space="preserve"> discouraged by most companies, and </w:t>
      </w:r>
      <w:r w:rsidR="00080C5D">
        <w:rPr>
          <w:rFonts w:eastAsiaTheme="minorHAnsi"/>
          <w:b/>
          <w:iCs/>
          <w:u w:val="single"/>
        </w:rPr>
        <w:t>the issue does</w:t>
      </w:r>
      <w:r w:rsidRPr="003E3F37">
        <w:rPr>
          <w:rFonts w:eastAsiaTheme="minorHAnsi"/>
          <w:b/>
          <w:iCs/>
          <w:u w:val="single"/>
        </w:rPr>
        <w:t xml:space="preserve"> not come up very often.</w:t>
      </w:r>
      <w:r w:rsidR="00F86361">
        <w:rPr>
          <w:rStyle w:val="FootnoteReference"/>
          <w:rFonts w:eastAsiaTheme="minorHAnsi"/>
          <w:b/>
          <w:iCs/>
          <w:u w:val="single"/>
        </w:rPr>
        <w:footnoteReference w:id="101"/>
      </w:r>
      <w:r>
        <w:rPr>
          <w:rFonts w:eastAsiaTheme="minorHAnsi"/>
          <w:bCs/>
          <w:iCs/>
        </w:rPr>
        <w:t xml:space="preserve"> In this respect, the representatives noted that it used to be an issue, but most companies have a prohibition on facilitation payments, as the risks of violating the FCPA are not worth carrying out this type of payment. It was also observed, as noted in the Response, that if a facilitation payment is carried out, it would have to be recorded in the books and records of the company and be well justified, because of the risk of passing the fine line of what is permitted in the FCPA. </w:t>
      </w:r>
    </w:p>
    <w:p w14:paraId="0C4ED685" w14:textId="77777777" w:rsidR="00A30658" w:rsidRPr="00080C5D" w:rsidRDefault="00A30658" w:rsidP="00080C5D">
      <w:pPr>
        <w:rPr>
          <w:rFonts w:eastAsiaTheme="minorHAnsi"/>
          <w:bCs/>
          <w:iCs/>
        </w:rPr>
      </w:pPr>
    </w:p>
    <w:p w14:paraId="6B83EACC" w14:textId="055620A2" w:rsidR="00A30658" w:rsidRPr="00A30658" w:rsidRDefault="00A30658" w:rsidP="00A30658">
      <w:pPr>
        <w:pStyle w:val="ListParagraph"/>
        <w:numPr>
          <w:ilvl w:val="0"/>
          <w:numId w:val="1"/>
        </w:numPr>
        <w:jc w:val="both"/>
        <w:rPr>
          <w:vertAlign w:val="superscript"/>
        </w:rPr>
      </w:pPr>
      <w:r>
        <w:rPr>
          <w:rFonts w:eastAsiaTheme="minorHAnsi"/>
          <w:bCs/>
          <w:iCs/>
        </w:rPr>
        <w:t>In</w:t>
      </w:r>
      <w:r w:rsidRPr="00A10CEF">
        <w:rPr>
          <w:rFonts w:eastAsiaTheme="minorHAnsi"/>
          <w:bCs/>
          <w:iCs/>
        </w:rPr>
        <w:t xml:space="preserve"> view of the above, the Committee takes note of the satisfactory consideration by the country under review of </w:t>
      </w:r>
      <w:r>
        <w:rPr>
          <w:rFonts w:eastAsiaTheme="minorHAnsi"/>
          <w:bCs/>
          <w:iCs/>
        </w:rPr>
        <w:t>the recommendation.</w:t>
      </w:r>
    </w:p>
    <w:p w14:paraId="77697128" w14:textId="77777777" w:rsidR="00A30658" w:rsidRPr="00A30658" w:rsidRDefault="00A30658" w:rsidP="00A30658">
      <w:pPr>
        <w:pStyle w:val="ListParagraph"/>
        <w:rPr>
          <w:vertAlign w:val="superscript"/>
        </w:rPr>
      </w:pPr>
    </w:p>
    <w:p w14:paraId="3F7258E4" w14:textId="5CF9829C" w:rsidR="00A30658" w:rsidRPr="00A30658" w:rsidRDefault="00A30658" w:rsidP="00A30658">
      <w:pPr>
        <w:pStyle w:val="ListParagraph"/>
        <w:numPr>
          <w:ilvl w:val="0"/>
          <w:numId w:val="1"/>
        </w:numPr>
        <w:jc w:val="both"/>
        <w:rPr>
          <w:rFonts w:eastAsiaTheme="minorHAnsi"/>
          <w:bCs/>
          <w:iCs/>
        </w:rPr>
      </w:pPr>
      <w:r>
        <w:rPr>
          <w:rFonts w:eastAsiaTheme="minorHAnsi"/>
          <w:bCs/>
          <w:iCs/>
        </w:rPr>
        <w:t xml:space="preserve">The Committee does have additional observations on the matter. As noted in the </w:t>
      </w:r>
      <w:r w:rsidR="009B791A">
        <w:rPr>
          <w:rFonts w:eastAsiaTheme="minorHAnsi"/>
          <w:bCs/>
          <w:iCs/>
        </w:rPr>
        <w:t xml:space="preserve">Report of the </w:t>
      </w:r>
      <w:r>
        <w:rPr>
          <w:rFonts w:eastAsiaTheme="minorHAnsi"/>
          <w:bCs/>
          <w:iCs/>
        </w:rPr>
        <w:t>Third Round of the United States, Article VIII of the Inter-American Convention against Corruption contains no exceptions for facilitation payments. In this regard, the Committee reiterates the observation made</w:t>
      </w:r>
      <w:r w:rsidR="00F80692">
        <w:rPr>
          <w:rFonts w:eastAsiaTheme="minorHAnsi"/>
          <w:bCs/>
          <w:iCs/>
        </w:rPr>
        <w:t xml:space="preserve"> on the matter, as it related to the issue of </w:t>
      </w:r>
      <w:r>
        <w:rPr>
          <w:rFonts w:eastAsiaTheme="minorHAnsi"/>
          <w:bCs/>
          <w:iCs/>
        </w:rPr>
        <w:t>tax deduction:</w:t>
      </w:r>
      <w:r>
        <w:rPr>
          <w:rStyle w:val="FootnoteReference"/>
        </w:rPr>
        <w:footnoteReference w:id="102"/>
      </w:r>
    </w:p>
    <w:p w14:paraId="20C8F447" w14:textId="77777777" w:rsidR="00A30658" w:rsidRDefault="00A30658" w:rsidP="00A30658">
      <w:pPr>
        <w:pStyle w:val="ListParagraph"/>
      </w:pPr>
    </w:p>
    <w:p w14:paraId="1C4AAA06" w14:textId="6CB85882" w:rsidR="00A30658" w:rsidRPr="00A30658" w:rsidRDefault="00A30658" w:rsidP="00A30658">
      <w:pPr>
        <w:pStyle w:val="ListParagraph"/>
        <w:numPr>
          <w:ilvl w:val="0"/>
          <w:numId w:val="1"/>
        </w:numPr>
        <w:jc w:val="both"/>
        <w:rPr>
          <w:rFonts w:eastAsiaTheme="minorHAnsi"/>
          <w:bCs/>
          <w:iCs/>
        </w:rPr>
      </w:pPr>
      <w:r>
        <w:t>“</w:t>
      </w:r>
      <w:r w:rsidRPr="00E322DE">
        <w:rPr>
          <w:i/>
          <w:iCs/>
        </w:rPr>
        <w:t>[T]he Committee notes that facilitation payments are generally considered an illegal bribe in the countries in which they are paid. In a similar sense, the Committee notes that the principal domestic bribery statute in the country under review, 18 U.S.C. Section 201, which was examined in the Report on the United States for Second Round of Review, contains no such exception for facilitation or expediting payments made to domestic government officials or employees</w:t>
      </w:r>
      <w:r>
        <w:rPr>
          <w:i/>
          <w:iCs/>
        </w:rPr>
        <w:t>.”</w:t>
      </w:r>
    </w:p>
    <w:p w14:paraId="5E84D23D" w14:textId="77777777" w:rsidR="00A30658" w:rsidRPr="00A30658" w:rsidRDefault="00A30658" w:rsidP="00A30658">
      <w:pPr>
        <w:pStyle w:val="ListParagraph"/>
        <w:rPr>
          <w:rFonts w:eastAsiaTheme="minorHAnsi"/>
          <w:bCs/>
          <w:iCs/>
        </w:rPr>
      </w:pPr>
    </w:p>
    <w:p w14:paraId="2C6DC44A" w14:textId="30850F76" w:rsidR="00C23DFD" w:rsidRDefault="00A30658" w:rsidP="00A30658">
      <w:pPr>
        <w:pStyle w:val="ListParagraph"/>
        <w:numPr>
          <w:ilvl w:val="0"/>
          <w:numId w:val="1"/>
        </w:numPr>
        <w:jc w:val="both"/>
        <w:rPr>
          <w:rFonts w:eastAsiaTheme="minorHAnsi"/>
          <w:bCs/>
          <w:iCs/>
        </w:rPr>
      </w:pPr>
      <w:r>
        <w:rPr>
          <w:rFonts w:eastAsiaTheme="minorHAnsi"/>
          <w:bCs/>
          <w:iCs/>
        </w:rPr>
        <w:t>During the on-site visit, the representatives of the USDOJ and the SEC noted that they were unaware if there were any legislative proposals</w:t>
      </w:r>
      <w:r w:rsidR="00F80692">
        <w:rPr>
          <w:rFonts w:eastAsiaTheme="minorHAnsi"/>
          <w:bCs/>
          <w:iCs/>
        </w:rPr>
        <w:t xml:space="preserve"> or intention</w:t>
      </w:r>
      <w:r>
        <w:rPr>
          <w:rFonts w:eastAsiaTheme="minorHAnsi"/>
          <w:bCs/>
          <w:iCs/>
        </w:rPr>
        <w:t xml:space="preserve"> to eliminate the facilitation payment exception. In this respect, the representatives noted </w:t>
      </w:r>
      <w:r w:rsidR="00A041C4">
        <w:rPr>
          <w:rFonts w:eastAsiaTheme="minorHAnsi"/>
          <w:bCs/>
          <w:iCs/>
        </w:rPr>
        <w:t>that the</w:t>
      </w:r>
      <w:r>
        <w:rPr>
          <w:rFonts w:eastAsiaTheme="minorHAnsi"/>
          <w:bCs/>
          <w:iCs/>
        </w:rPr>
        <w:t xml:space="preserve"> FCPA was the first legislation of its kind in the </w:t>
      </w:r>
      <w:r w:rsidR="00F80692">
        <w:rPr>
          <w:rFonts w:eastAsiaTheme="minorHAnsi"/>
          <w:bCs/>
          <w:iCs/>
        </w:rPr>
        <w:t>world and</w:t>
      </w:r>
      <w:r w:rsidR="00C23DFD">
        <w:rPr>
          <w:rFonts w:eastAsiaTheme="minorHAnsi"/>
          <w:bCs/>
          <w:iCs/>
        </w:rPr>
        <w:t xml:space="preserve"> given that most national jurisdictions </w:t>
      </w:r>
      <w:r w:rsidR="00F80692">
        <w:rPr>
          <w:rFonts w:eastAsiaTheme="minorHAnsi"/>
          <w:bCs/>
          <w:iCs/>
        </w:rPr>
        <w:t xml:space="preserve">at that time </w:t>
      </w:r>
      <w:r w:rsidR="00C23DFD">
        <w:rPr>
          <w:rFonts w:eastAsiaTheme="minorHAnsi"/>
          <w:bCs/>
          <w:iCs/>
        </w:rPr>
        <w:t xml:space="preserve">did not have antibribery legislation in place, </w:t>
      </w:r>
      <w:r w:rsidR="00F80692">
        <w:rPr>
          <w:rFonts w:eastAsiaTheme="minorHAnsi"/>
          <w:bCs/>
          <w:iCs/>
        </w:rPr>
        <w:t>the exclusion of the facilitation payment</w:t>
      </w:r>
      <w:r w:rsidR="00C23DFD">
        <w:rPr>
          <w:rFonts w:eastAsiaTheme="minorHAnsi"/>
          <w:bCs/>
          <w:iCs/>
        </w:rPr>
        <w:t xml:space="preserve"> could </w:t>
      </w:r>
      <w:r w:rsidR="00F80692">
        <w:rPr>
          <w:rFonts w:eastAsiaTheme="minorHAnsi"/>
          <w:bCs/>
          <w:iCs/>
        </w:rPr>
        <w:t>leave</w:t>
      </w:r>
      <w:r w:rsidR="00C23DFD">
        <w:rPr>
          <w:rFonts w:eastAsiaTheme="minorHAnsi"/>
          <w:bCs/>
          <w:iCs/>
        </w:rPr>
        <w:t xml:space="preserve"> US companies </w:t>
      </w:r>
      <w:r w:rsidR="00F80692">
        <w:rPr>
          <w:rFonts w:eastAsiaTheme="minorHAnsi"/>
          <w:bCs/>
          <w:iCs/>
        </w:rPr>
        <w:t>in a disadvantage in conducting business overseas</w:t>
      </w:r>
      <w:r w:rsidR="00C23DFD">
        <w:rPr>
          <w:rFonts w:eastAsiaTheme="minorHAnsi"/>
          <w:bCs/>
          <w:iCs/>
        </w:rPr>
        <w:t>.</w:t>
      </w:r>
    </w:p>
    <w:p w14:paraId="0A101285" w14:textId="77777777" w:rsidR="00C23DFD" w:rsidRPr="00C23DFD" w:rsidRDefault="00C23DFD" w:rsidP="00C23DFD">
      <w:pPr>
        <w:pStyle w:val="ListParagraph"/>
        <w:rPr>
          <w:rFonts w:eastAsiaTheme="minorHAnsi"/>
          <w:bCs/>
          <w:iCs/>
        </w:rPr>
      </w:pPr>
    </w:p>
    <w:p w14:paraId="7F64F12A" w14:textId="194FE4B3" w:rsidR="00A30658" w:rsidRDefault="00C23DFD" w:rsidP="00A30658">
      <w:pPr>
        <w:pStyle w:val="ListParagraph"/>
        <w:numPr>
          <w:ilvl w:val="0"/>
          <w:numId w:val="1"/>
        </w:numPr>
        <w:jc w:val="both"/>
        <w:rPr>
          <w:rFonts w:eastAsiaTheme="minorHAnsi"/>
          <w:bCs/>
          <w:iCs/>
        </w:rPr>
      </w:pPr>
      <w:r>
        <w:rPr>
          <w:rFonts w:eastAsiaTheme="minorHAnsi"/>
          <w:bCs/>
          <w:iCs/>
        </w:rPr>
        <w:t>In this regard, the Committee notes that in the Report by the US House of Representatives, when considering the FCPA</w:t>
      </w:r>
      <w:r w:rsidR="000972F5">
        <w:rPr>
          <w:rFonts w:eastAsiaTheme="minorHAnsi"/>
          <w:bCs/>
          <w:iCs/>
        </w:rPr>
        <w:t>, noted, with respect to facilitation payments:</w:t>
      </w:r>
      <w:r w:rsidR="000972F5">
        <w:rPr>
          <w:rStyle w:val="FootnoteReference"/>
          <w:rFonts w:eastAsiaTheme="minorHAnsi"/>
          <w:bCs/>
          <w:iCs/>
        </w:rPr>
        <w:footnoteReference w:id="103"/>
      </w:r>
    </w:p>
    <w:p w14:paraId="6003C791" w14:textId="77777777" w:rsidR="000972F5" w:rsidRPr="000972F5" w:rsidRDefault="000972F5" w:rsidP="000972F5">
      <w:pPr>
        <w:pStyle w:val="ListParagraph"/>
        <w:rPr>
          <w:rFonts w:eastAsiaTheme="minorHAnsi"/>
          <w:bCs/>
          <w:iCs/>
        </w:rPr>
      </w:pPr>
    </w:p>
    <w:p w14:paraId="340C8980" w14:textId="48BCB032" w:rsidR="000972F5" w:rsidRDefault="000972F5" w:rsidP="00A30658">
      <w:pPr>
        <w:pStyle w:val="ListParagraph"/>
        <w:numPr>
          <w:ilvl w:val="0"/>
          <w:numId w:val="1"/>
        </w:numPr>
        <w:jc w:val="both"/>
        <w:rPr>
          <w:rFonts w:eastAsiaTheme="minorHAnsi"/>
          <w:bCs/>
          <w:iCs/>
        </w:rPr>
      </w:pPr>
      <w:r>
        <w:rPr>
          <w:rFonts w:eastAsiaTheme="minorHAnsi"/>
          <w:bCs/>
          <w:iCs/>
        </w:rPr>
        <w:t>“</w:t>
      </w:r>
      <w:r w:rsidRPr="000972F5">
        <w:rPr>
          <w:rFonts w:eastAsiaTheme="minorHAnsi"/>
          <w:bCs/>
          <w:i/>
        </w:rPr>
        <w:t>While payments made to assure or to speed the proper performance of a foreign official's duties may be reprehensible in the United States, the committee recognizes that they are not necessarily so viewed elsewhere in the world and that it is not feasible for the United States to attempt unilaterally to eradicate all such payments</w:t>
      </w:r>
      <w:r w:rsidRPr="000972F5">
        <w:rPr>
          <w:rFonts w:eastAsiaTheme="minorHAnsi"/>
          <w:bCs/>
          <w:iCs/>
        </w:rPr>
        <w:t>.</w:t>
      </w:r>
      <w:r>
        <w:rPr>
          <w:rFonts w:eastAsiaTheme="minorHAnsi"/>
          <w:bCs/>
          <w:iCs/>
        </w:rPr>
        <w:t>”</w:t>
      </w:r>
    </w:p>
    <w:p w14:paraId="775CF0E1" w14:textId="77777777" w:rsidR="000972F5" w:rsidRPr="000972F5" w:rsidRDefault="000972F5" w:rsidP="000972F5">
      <w:pPr>
        <w:pStyle w:val="ListParagraph"/>
        <w:rPr>
          <w:rFonts w:eastAsiaTheme="minorHAnsi"/>
          <w:bCs/>
          <w:iCs/>
        </w:rPr>
      </w:pPr>
    </w:p>
    <w:p w14:paraId="32014FBE" w14:textId="40DA7121" w:rsidR="000972F5" w:rsidRDefault="000972F5" w:rsidP="00A30658">
      <w:pPr>
        <w:pStyle w:val="ListParagraph"/>
        <w:numPr>
          <w:ilvl w:val="0"/>
          <w:numId w:val="1"/>
        </w:numPr>
        <w:jc w:val="both"/>
        <w:rPr>
          <w:rFonts w:eastAsiaTheme="minorHAnsi"/>
          <w:bCs/>
          <w:iCs/>
        </w:rPr>
      </w:pPr>
      <w:r>
        <w:rPr>
          <w:rFonts w:eastAsiaTheme="minorHAnsi"/>
          <w:bCs/>
          <w:iCs/>
        </w:rPr>
        <w:t xml:space="preserve">The Committee notes, however, that since the passage of the FCPA, </w:t>
      </w:r>
      <w:r w:rsidR="001F254C">
        <w:rPr>
          <w:rFonts w:eastAsiaTheme="minorHAnsi"/>
          <w:bCs/>
          <w:iCs/>
        </w:rPr>
        <w:t xml:space="preserve">there have been significant </w:t>
      </w:r>
      <w:r w:rsidR="00A96B83">
        <w:rPr>
          <w:rFonts w:eastAsiaTheme="minorHAnsi"/>
          <w:bCs/>
          <w:iCs/>
        </w:rPr>
        <w:t xml:space="preserve">national, </w:t>
      </w:r>
      <w:proofErr w:type="gramStart"/>
      <w:r w:rsidR="00A96B83">
        <w:rPr>
          <w:rFonts w:eastAsiaTheme="minorHAnsi"/>
          <w:bCs/>
          <w:iCs/>
        </w:rPr>
        <w:t>regional</w:t>
      </w:r>
      <w:proofErr w:type="gramEnd"/>
      <w:r w:rsidR="00A96B83">
        <w:rPr>
          <w:rFonts w:eastAsiaTheme="minorHAnsi"/>
          <w:bCs/>
          <w:iCs/>
        </w:rPr>
        <w:t xml:space="preserve"> and international developments</w:t>
      </w:r>
      <w:r w:rsidR="001F254C">
        <w:rPr>
          <w:rFonts w:eastAsiaTheme="minorHAnsi"/>
          <w:bCs/>
          <w:iCs/>
        </w:rPr>
        <w:t xml:space="preserve"> in this respect, that has made the </w:t>
      </w:r>
      <w:r w:rsidR="001C7E9D">
        <w:rPr>
          <w:rFonts w:eastAsiaTheme="minorHAnsi"/>
          <w:bCs/>
          <w:iCs/>
        </w:rPr>
        <w:t xml:space="preserve">rationale for </w:t>
      </w:r>
      <w:r w:rsidR="001F254C">
        <w:rPr>
          <w:rFonts w:eastAsiaTheme="minorHAnsi"/>
          <w:bCs/>
          <w:iCs/>
        </w:rPr>
        <w:t>th</w:t>
      </w:r>
      <w:r w:rsidR="004F4E5B">
        <w:rPr>
          <w:rFonts w:eastAsiaTheme="minorHAnsi"/>
          <w:bCs/>
          <w:iCs/>
        </w:rPr>
        <w:t>is</w:t>
      </w:r>
      <w:r w:rsidR="001F254C">
        <w:rPr>
          <w:rFonts w:eastAsiaTheme="minorHAnsi"/>
          <w:bCs/>
          <w:iCs/>
        </w:rPr>
        <w:t xml:space="preserve"> exception, </w:t>
      </w:r>
      <w:r w:rsidR="001C7E9D">
        <w:rPr>
          <w:rFonts w:eastAsiaTheme="minorHAnsi"/>
          <w:bCs/>
          <w:iCs/>
        </w:rPr>
        <w:t>no longer valid</w:t>
      </w:r>
      <w:r w:rsidR="001F254C">
        <w:rPr>
          <w:rFonts w:eastAsiaTheme="minorHAnsi"/>
          <w:bCs/>
          <w:iCs/>
        </w:rPr>
        <w:t xml:space="preserve">. </w:t>
      </w:r>
    </w:p>
    <w:p w14:paraId="19129278" w14:textId="77777777" w:rsidR="001F254C" w:rsidRPr="001F254C" w:rsidRDefault="001F254C" w:rsidP="001F254C">
      <w:pPr>
        <w:pStyle w:val="ListParagraph"/>
        <w:rPr>
          <w:rFonts w:eastAsiaTheme="minorHAnsi"/>
          <w:bCs/>
          <w:iCs/>
        </w:rPr>
      </w:pPr>
    </w:p>
    <w:p w14:paraId="4AE0470D" w14:textId="2657D6C6" w:rsidR="001F254C" w:rsidRDefault="001F254C" w:rsidP="00A30658">
      <w:pPr>
        <w:pStyle w:val="ListParagraph"/>
        <w:numPr>
          <w:ilvl w:val="0"/>
          <w:numId w:val="1"/>
        </w:numPr>
        <w:jc w:val="both"/>
        <w:rPr>
          <w:rFonts w:eastAsiaTheme="minorHAnsi"/>
          <w:bCs/>
          <w:iCs/>
        </w:rPr>
      </w:pPr>
      <w:r>
        <w:rPr>
          <w:rFonts w:eastAsiaTheme="minorHAnsi"/>
          <w:bCs/>
          <w:iCs/>
        </w:rPr>
        <w:t>Within the inter-</w:t>
      </w:r>
      <w:r w:rsidR="00994590">
        <w:rPr>
          <w:rFonts w:eastAsiaTheme="minorHAnsi"/>
          <w:bCs/>
          <w:iCs/>
        </w:rPr>
        <w:t>American</w:t>
      </w:r>
      <w:r>
        <w:rPr>
          <w:rFonts w:eastAsiaTheme="minorHAnsi"/>
          <w:bCs/>
          <w:iCs/>
        </w:rPr>
        <w:t xml:space="preserve"> system alone, the Inter-American Convention against Corruption, the first treaty of its kind, and ratified by all 34 </w:t>
      </w:r>
      <w:r w:rsidR="005D5E99">
        <w:rPr>
          <w:rFonts w:eastAsiaTheme="minorHAnsi"/>
          <w:bCs/>
          <w:iCs/>
        </w:rPr>
        <w:t>member States of the OAS</w:t>
      </w:r>
      <w:r>
        <w:rPr>
          <w:rFonts w:eastAsiaTheme="minorHAnsi"/>
          <w:bCs/>
          <w:iCs/>
        </w:rPr>
        <w:t xml:space="preserve">, requires the criminalization of acts corruption, including that of bribery, </w:t>
      </w:r>
      <w:r w:rsidR="004F4E5B">
        <w:rPr>
          <w:rFonts w:eastAsiaTheme="minorHAnsi"/>
          <w:bCs/>
          <w:iCs/>
        </w:rPr>
        <w:t>making</w:t>
      </w:r>
      <w:r w:rsidR="00994590">
        <w:rPr>
          <w:rFonts w:eastAsiaTheme="minorHAnsi"/>
          <w:bCs/>
          <w:iCs/>
        </w:rPr>
        <w:t xml:space="preserve"> facilitation</w:t>
      </w:r>
      <w:r>
        <w:rPr>
          <w:rFonts w:eastAsiaTheme="minorHAnsi"/>
          <w:bCs/>
          <w:iCs/>
        </w:rPr>
        <w:t xml:space="preserve"> payment</w:t>
      </w:r>
      <w:r w:rsidR="004F4E5B">
        <w:rPr>
          <w:rFonts w:eastAsiaTheme="minorHAnsi"/>
          <w:bCs/>
          <w:iCs/>
        </w:rPr>
        <w:t xml:space="preserve">s </w:t>
      </w:r>
      <w:r>
        <w:rPr>
          <w:rFonts w:eastAsiaTheme="minorHAnsi"/>
          <w:bCs/>
          <w:iCs/>
        </w:rPr>
        <w:t>illegal</w:t>
      </w:r>
      <w:r w:rsidR="004F4E5B">
        <w:rPr>
          <w:rFonts w:eastAsiaTheme="minorHAnsi"/>
          <w:bCs/>
          <w:iCs/>
        </w:rPr>
        <w:t xml:space="preserve"> if carried out in the countries in which they are paid</w:t>
      </w:r>
      <w:r w:rsidR="005D5E99">
        <w:rPr>
          <w:rFonts w:eastAsiaTheme="minorHAnsi"/>
          <w:bCs/>
          <w:iCs/>
        </w:rPr>
        <w:t>, including, as noted previously, in the United States.</w:t>
      </w:r>
    </w:p>
    <w:p w14:paraId="724F374F" w14:textId="77777777" w:rsidR="001F254C" w:rsidRPr="001F254C" w:rsidRDefault="001F254C" w:rsidP="001F254C">
      <w:pPr>
        <w:pStyle w:val="ListParagraph"/>
        <w:rPr>
          <w:rFonts w:eastAsiaTheme="minorHAnsi"/>
          <w:bCs/>
          <w:iCs/>
        </w:rPr>
      </w:pPr>
    </w:p>
    <w:p w14:paraId="7B7C8034" w14:textId="67151069" w:rsidR="001F254C" w:rsidRDefault="001F254C" w:rsidP="00A30658">
      <w:pPr>
        <w:pStyle w:val="ListParagraph"/>
        <w:numPr>
          <w:ilvl w:val="0"/>
          <w:numId w:val="1"/>
        </w:numPr>
        <w:jc w:val="both"/>
        <w:rPr>
          <w:rFonts w:eastAsiaTheme="minorHAnsi"/>
          <w:bCs/>
          <w:iCs/>
        </w:rPr>
      </w:pPr>
      <w:r>
        <w:rPr>
          <w:rFonts w:eastAsiaTheme="minorHAnsi"/>
          <w:bCs/>
          <w:iCs/>
        </w:rPr>
        <w:t xml:space="preserve">As demonstrated in the MESICIC Hemispheric Report of the Second and Fifth Round, which addressed the issue of Acts of Corruption, all countries have criminalized bribery within their national legislation, with the most common recommendations being adjustments to those provisions to meet the </w:t>
      </w:r>
      <w:r w:rsidR="005D5E99">
        <w:rPr>
          <w:rFonts w:eastAsiaTheme="minorHAnsi"/>
          <w:bCs/>
          <w:iCs/>
        </w:rPr>
        <w:t>elements found in</w:t>
      </w:r>
      <w:r w:rsidR="00994590">
        <w:rPr>
          <w:rFonts w:eastAsiaTheme="minorHAnsi"/>
          <w:bCs/>
          <w:iCs/>
        </w:rPr>
        <w:t xml:space="preserve"> </w:t>
      </w:r>
      <w:r w:rsidR="005D5E99">
        <w:rPr>
          <w:rFonts w:eastAsiaTheme="minorHAnsi"/>
          <w:bCs/>
          <w:iCs/>
        </w:rPr>
        <w:t xml:space="preserve">Article VI </w:t>
      </w:r>
      <w:r w:rsidR="00994590">
        <w:rPr>
          <w:rFonts w:eastAsiaTheme="minorHAnsi"/>
          <w:bCs/>
          <w:iCs/>
        </w:rPr>
        <w:t>of the Convention.</w:t>
      </w:r>
      <w:r w:rsidR="005D5E99">
        <w:rPr>
          <w:rStyle w:val="FootnoteReference"/>
          <w:rFonts w:eastAsiaTheme="minorHAnsi"/>
          <w:bCs/>
          <w:iCs/>
        </w:rPr>
        <w:footnoteReference w:id="104"/>
      </w:r>
      <w:r w:rsidR="00994590">
        <w:rPr>
          <w:rFonts w:eastAsiaTheme="minorHAnsi"/>
          <w:bCs/>
          <w:iCs/>
        </w:rPr>
        <w:t xml:space="preserve"> </w:t>
      </w:r>
    </w:p>
    <w:p w14:paraId="45038187" w14:textId="77777777" w:rsidR="00994590" w:rsidRPr="00994590" w:rsidRDefault="00994590" w:rsidP="00994590">
      <w:pPr>
        <w:pStyle w:val="ListParagraph"/>
        <w:rPr>
          <w:rFonts w:eastAsiaTheme="minorHAnsi"/>
          <w:bCs/>
          <w:iCs/>
        </w:rPr>
      </w:pPr>
    </w:p>
    <w:p w14:paraId="0DA9C552" w14:textId="43E5C79B" w:rsidR="00994590" w:rsidRDefault="00994590" w:rsidP="00A30658">
      <w:pPr>
        <w:pStyle w:val="ListParagraph"/>
        <w:numPr>
          <w:ilvl w:val="0"/>
          <w:numId w:val="1"/>
        </w:numPr>
        <w:jc w:val="both"/>
        <w:rPr>
          <w:rFonts w:eastAsiaTheme="minorHAnsi"/>
          <w:bCs/>
          <w:iCs/>
        </w:rPr>
      </w:pPr>
      <w:r>
        <w:rPr>
          <w:rFonts w:eastAsiaTheme="minorHAnsi"/>
          <w:bCs/>
          <w:iCs/>
        </w:rPr>
        <w:t xml:space="preserve">The Committee also notes that no other country in the region has such an exception in place. </w:t>
      </w:r>
      <w:r w:rsidR="001C7E9D">
        <w:rPr>
          <w:rFonts w:eastAsiaTheme="minorHAnsi"/>
          <w:bCs/>
          <w:iCs/>
        </w:rPr>
        <w:t>In this respect</w:t>
      </w:r>
      <w:r>
        <w:rPr>
          <w:rFonts w:eastAsiaTheme="minorHAnsi"/>
          <w:bCs/>
          <w:iCs/>
        </w:rPr>
        <w:t xml:space="preserve">, while the </w:t>
      </w:r>
      <w:r w:rsidRPr="00CF638C">
        <w:rPr>
          <w:rFonts w:eastAsiaTheme="minorHAnsi"/>
          <w:bCs/>
          <w:iCs/>
        </w:rPr>
        <w:t xml:space="preserve">United States-Mexico-Canada Trade Agreement, </w:t>
      </w:r>
      <w:r>
        <w:rPr>
          <w:rFonts w:eastAsiaTheme="minorHAnsi"/>
          <w:bCs/>
          <w:iCs/>
        </w:rPr>
        <w:t>notes</w:t>
      </w:r>
      <w:r w:rsidRPr="00CF638C">
        <w:rPr>
          <w:rFonts w:eastAsiaTheme="minorHAnsi"/>
          <w:bCs/>
          <w:iCs/>
        </w:rPr>
        <w:t xml:space="preserve"> the harmful effects of facilitation payments</w:t>
      </w:r>
      <w:r>
        <w:rPr>
          <w:rFonts w:eastAsiaTheme="minorHAnsi"/>
          <w:bCs/>
          <w:iCs/>
        </w:rPr>
        <w:t xml:space="preserve">, and commits each party </w:t>
      </w:r>
      <w:r w:rsidRPr="00CF638C">
        <w:rPr>
          <w:rFonts w:eastAsiaTheme="minorHAnsi"/>
          <w:bCs/>
          <w:iCs/>
        </w:rPr>
        <w:t>to</w:t>
      </w:r>
      <w:r>
        <w:rPr>
          <w:rFonts w:eastAsiaTheme="minorHAnsi"/>
          <w:bCs/>
          <w:iCs/>
        </w:rPr>
        <w:t xml:space="preserve"> </w:t>
      </w:r>
      <w:r w:rsidRPr="00CF638C">
        <w:rPr>
          <w:rFonts w:eastAsiaTheme="minorHAnsi"/>
          <w:bCs/>
          <w:iCs/>
        </w:rPr>
        <w:t>encourage enterprises to prohibit or discourage the use of facilitation payments; and take steps to raise awareness among its public officials of its bribery laws, with a view to stopping the solicitation and the acceptance of facilitation payments</w:t>
      </w:r>
      <w:r>
        <w:rPr>
          <w:rFonts w:eastAsiaTheme="minorHAnsi"/>
          <w:bCs/>
          <w:iCs/>
        </w:rPr>
        <w:t>, in practice</w:t>
      </w:r>
      <w:r w:rsidR="001C7E9D">
        <w:rPr>
          <w:rFonts w:eastAsiaTheme="minorHAnsi"/>
          <w:bCs/>
          <w:iCs/>
        </w:rPr>
        <w:t>, this</w:t>
      </w:r>
      <w:r>
        <w:rPr>
          <w:rFonts w:eastAsiaTheme="minorHAnsi"/>
          <w:bCs/>
          <w:iCs/>
        </w:rPr>
        <w:t xml:space="preserve"> is solely applicable to the United States, given it is the only country that allows such an exception.</w:t>
      </w:r>
    </w:p>
    <w:p w14:paraId="56083E39" w14:textId="77777777" w:rsidR="00994590" w:rsidRPr="00994590" w:rsidRDefault="00994590" w:rsidP="00994590">
      <w:pPr>
        <w:pStyle w:val="ListParagraph"/>
        <w:rPr>
          <w:rFonts w:eastAsiaTheme="minorHAnsi"/>
          <w:bCs/>
          <w:iCs/>
        </w:rPr>
      </w:pPr>
    </w:p>
    <w:p w14:paraId="7A1A1799" w14:textId="316F2056" w:rsidR="00994590" w:rsidRPr="00994590" w:rsidRDefault="00994590" w:rsidP="00A30658">
      <w:pPr>
        <w:pStyle w:val="ListParagraph"/>
        <w:numPr>
          <w:ilvl w:val="0"/>
          <w:numId w:val="1"/>
        </w:numPr>
        <w:jc w:val="both"/>
        <w:rPr>
          <w:rFonts w:eastAsiaTheme="minorHAnsi"/>
          <w:bCs/>
          <w:iCs/>
        </w:rPr>
      </w:pPr>
      <w:r>
        <w:rPr>
          <w:rFonts w:eastAsiaTheme="minorHAnsi"/>
          <w:bCs/>
          <w:iCs/>
        </w:rPr>
        <w:t xml:space="preserve">Given the foregoing, with national, regional and international developments that have overtaken the initial </w:t>
      </w:r>
      <w:r w:rsidR="001C7E9D">
        <w:rPr>
          <w:rFonts w:eastAsiaTheme="minorHAnsi"/>
          <w:bCs/>
          <w:iCs/>
        </w:rPr>
        <w:t>rationale</w:t>
      </w:r>
      <w:r>
        <w:rPr>
          <w:rFonts w:eastAsiaTheme="minorHAnsi"/>
          <w:bCs/>
          <w:iCs/>
        </w:rPr>
        <w:t xml:space="preserve"> for the inclusion of facilitation payments as an exception in the FCPA, whereby all the countries in the region treat these payments as a criminal offense, and the </w:t>
      </w:r>
      <w:r w:rsidR="00575634">
        <w:rPr>
          <w:rFonts w:eastAsiaTheme="minorHAnsi"/>
          <w:bCs/>
          <w:iCs/>
        </w:rPr>
        <w:t>position</w:t>
      </w:r>
      <w:r>
        <w:rPr>
          <w:rFonts w:eastAsiaTheme="minorHAnsi"/>
          <w:bCs/>
          <w:iCs/>
        </w:rPr>
        <w:t xml:space="preserve"> of the country under review </w:t>
      </w:r>
      <w:r w:rsidR="004F4E5B">
        <w:rPr>
          <w:rFonts w:eastAsiaTheme="minorHAnsi"/>
          <w:bCs/>
          <w:iCs/>
        </w:rPr>
        <w:t>in</w:t>
      </w:r>
      <w:r w:rsidR="001C7E9D">
        <w:rPr>
          <w:rFonts w:eastAsiaTheme="minorHAnsi"/>
          <w:bCs/>
          <w:iCs/>
        </w:rPr>
        <w:t xml:space="preserve"> discouraging</w:t>
      </w:r>
      <w:r>
        <w:rPr>
          <w:rFonts w:eastAsiaTheme="minorHAnsi"/>
          <w:bCs/>
          <w:iCs/>
        </w:rPr>
        <w:t xml:space="preserve"> the use of such payments as well, the Committee </w:t>
      </w:r>
      <w:r w:rsidR="00800EA5">
        <w:rPr>
          <w:rFonts w:eastAsiaTheme="minorHAnsi"/>
          <w:bCs/>
          <w:iCs/>
        </w:rPr>
        <w:t>believes</w:t>
      </w:r>
      <w:r>
        <w:rPr>
          <w:rFonts w:eastAsiaTheme="minorHAnsi"/>
          <w:bCs/>
          <w:iCs/>
        </w:rPr>
        <w:t xml:space="preserve"> that the country under review may consider legislative steps to remove the exception in its legislation. The Committee will formulate a recommendation. </w:t>
      </w:r>
      <w:r>
        <w:t>(See Recommendation 3.4.1 in section 3.4 of Chapter II of this Report)</w:t>
      </w:r>
    </w:p>
    <w:p w14:paraId="434092C1" w14:textId="77777777" w:rsidR="00994590" w:rsidRPr="00994590" w:rsidRDefault="00994590" w:rsidP="00994590">
      <w:pPr>
        <w:pStyle w:val="ListParagraph"/>
        <w:rPr>
          <w:rFonts w:eastAsiaTheme="minorHAnsi"/>
          <w:bCs/>
          <w:iCs/>
        </w:rPr>
      </w:pPr>
    </w:p>
    <w:p w14:paraId="7EB0B20E" w14:textId="35E5F486" w:rsidR="008C43BD" w:rsidRPr="008C43BD" w:rsidRDefault="008C43BD" w:rsidP="008C43BD">
      <w:pPr>
        <w:pStyle w:val="ListParagraph"/>
        <w:numPr>
          <w:ilvl w:val="1"/>
          <w:numId w:val="4"/>
        </w:numPr>
        <w:jc w:val="both"/>
        <w:rPr>
          <w:b/>
          <w:lang w:eastAsia="es-ES"/>
        </w:rPr>
      </w:pPr>
      <w:r w:rsidRPr="008C43BD">
        <w:rPr>
          <w:b/>
          <w:bCs/>
        </w:rPr>
        <w:t>New Developments with respect to the Provision of the Convention on Transnational Bribery</w:t>
      </w:r>
      <w:r w:rsidRPr="008C43BD">
        <w:rPr>
          <w:b/>
          <w:lang w:eastAsia="es-ES"/>
        </w:rPr>
        <w:t>.</w:t>
      </w:r>
    </w:p>
    <w:p w14:paraId="5BABB0A1" w14:textId="77777777" w:rsidR="008C43BD" w:rsidRPr="00346AAE" w:rsidRDefault="008C43BD" w:rsidP="008C43BD">
      <w:pPr>
        <w:jc w:val="both"/>
        <w:rPr>
          <w:b/>
          <w:sz w:val="22"/>
          <w:szCs w:val="22"/>
          <w:lang w:eastAsia="es-ES"/>
        </w:rPr>
      </w:pPr>
    </w:p>
    <w:p w14:paraId="64A3FFC1" w14:textId="77777777" w:rsidR="008C43BD" w:rsidRPr="00346AAE" w:rsidRDefault="008C43BD" w:rsidP="008C43BD">
      <w:pPr>
        <w:pStyle w:val="ListParagraph"/>
        <w:numPr>
          <w:ilvl w:val="2"/>
          <w:numId w:val="4"/>
        </w:numPr>
        <w:ind w:left="1440"/>
        <w:jc w:val="both"/>
        <w:rPr>
          <w:rFonts w:eastAsia="Times New Roman"/>
          <w:b/>
          <w:lang w:eastAsia="es-ES"/>
        </w:rPr>
      </w:pPr>
      <w:r w:rsidRPr="00346AAE">
        <w:rPr>
          <w:b/>
          <w:bCs/>
        </w:rPr>
        <w:t>New Developments with Respect to the Legal Framework.</w:t>
      </w:r>
    </w:p>
    <w:p w14:paraId="29948F0C" w14:textId="77777777" w:rsidR="00994590" w:rsidRPr="00A30658" w:rsidRDefault="00994590" w:rsidP="00994590">
      <w:pPr>
        <w:pStyle w:val="ListParagraph"/>
        <w:ind w:left="10"/>
        <w:jc w:val="both"/>
        <w:rPr>
          <w:rFonts w:eastAsiaTheme="minorHAnsi"/>
          <w:bCs/>
          <w:iCs/>
        </w:rPr>
      </w:pPr>
    </w:p>
    <w:p w14:paraId="3FC452EF" w14:textId="52ACAEB2" w:rsidR="00A30424" w:rsidRPr="00A30658" w:rsidRDefault="008C43BD" w:rsidP="008C43BD">
      <w:pPr>
        <w:pStyle w:val="ListParagraph"/>
        <w:numPr>
          <w:ilvl w:val="0"/>
          <w:numId w:val="1"/>
        </w:numPr>
        <w:jc w:val="both"/>
        <w:rPr>
          <w:rFonts w:eastAsiaTheme="minorHAnsi"/>
          <w:bCs/>
          <w:iCs/>
        </w:rPr>
      </w:pPr>
      <w:r>
        <w:lastRenderedPageBreak/>
        <w:t>The country under review notes that it does not have anything to report regarding new developments with respect to the legal framework.</w:t>
      </w:r>
      <w:r>
        <w:rPr>
          <w:rStyle w:val="FootnoteReference"/>
        </w:rPr>
        <w:footnoteReference w:id="105"/>
      </w:r>
    </w:p>
    <w:p w14:paraId="598965E0" w14:textId="77777777" w:rsidR="00802243" w:rsidRDefault="00802243" w:rsidP="00A30658">
      <w:pPr>
        <w:ind w:left="10"/>
        <w:jc w:val="both"/>
        <w:rPr>
          <w:rFonts w:eastAsiaTheme="minorHAnsi"/>
          <w:bCs/>
          <w:iCs/>
        </w:rPr>
      </w:pPr>
    </w:p>
    <w:p w14:paraId="4B0FDC6B" w14:textId="77777777" w:rsidR="008C43BD" w:rsidRDefault="008C43BD" w:rsidP="008C43BD">
      <w:pPr>
        <w:pStyle w:val="ListParagraph"/>
        <w:numPr>
          <w:ilvl w:val="2"/>
          <w:numId w:val="4"/>
        </w:numPr>
        <w:ind w:left="1440"/>
        <w:jc w:val="both"/>
        <w:rPr>
          <w:b/>
          <w:u w:color="000000"/>
        </w:rPr>
      </w:pPr>
      <w:r w:rsidRPr="00346AAE">
        <w:rPr>
          <w:b/>
          <w:bCs/>
        </w:rPr>
        <w:t>New</w:t>
      </w:r>
      <w:r w:rsidRPr="00346AAE">
        <w:rPr>
          <w:b/>
        </w:rPr>
        <w:t xml:space="preserve"> Developments with Respect to Technology</w:t>
      </w:r>
      <w:r w:rsidRPr="00346AAE">
        <w:rPr>
          <w:b/>
          <w:u w:color="000000"/>
        </w:rPr>
        <w:t xml:space="preserve">. </w:t>
      </w:r>
    </w:p>
    <w:p w14:paraId="214697E2" w14:textId="77777777" w:rsidR="008C43BD" w:rsidRPr="008C43BD" w:rsidRDefault="008C43BD" w:rsidP="008C43BD">
      <w:pPr>
        <w:jc w:val="both"/>
        <w:rPr>
          <w:b/>
          <w:sz w:val="22"/>
          <w:szCs w:val="22"/>
          <w:u w:color="000000"/>
        </w:rPr>
      </w:pPr>
    </w:p>
    <w:p w14:paraId="66D808F2" w14:textId="77777777" w:rsidR="008C43BD" w:rsidRPr="00804DBA" w:rsidRDefault="008C43BD" w:rsidP="008C43BD">
      <w:pPr>
        <w:pStyle w:val="ListParagraph"/>
        <w:numPr>
          <w:ilvl w:val="0"/>
          <w:numId w:val="1"/>
        </w:numPr>
        <w:jc w:val="both"/>
      </w:pPr>
      <w:r>
        <w:t>The country under review notes that it does not have anything to report regarding new developments with respect to technology.</w:t>
      </w:r>
      <w:r>
        <w:rPr>
          <w:rStyle w:val="FootnoteReference"/>
        </w:rPr>
        <w:footnoteReference w:id="106"/>
      </w:r>
    </w:p>
    <w:p w14:paraId="181DD20C" w14:textId="77777777" w:rsidR="008C43BD" w:rsidRDefault="008C43BD" w:rsidP="00A30658">
      <w:pPr>
        <w:ind w:left="10"/>
        <w:jc w:val="both"/>
        <w:rPr>
          <w:rFonts w:eastAsiaTheme="minorHAnsi"/>
          <w:bCs/>
          <w:iCs/>
        </w:rPr>
      </w:pPr>
    </w:p>
    <w:p w14:paraId="4E415941" w14:textId="77777777" w:rsidR="008C43BD" w:rsidRPr="008C43BD" w:rsidRDefault="008C43BD" w:rsidP="008C43BD">
      <w:pPr>
        <w:pStyle w:val="ListParagraph"/>
        <w:numPr>
          <w:ilvl w:val="1"/>
          <w:numId w:val="4"/>
        </w:numPr>
        <w:jc w:val="both"/>
        <w:rPr>
          <w:b/>
          <w:lang w:eastAsia="es-ES"/>
        </w:rPr>
      </w:pPr>
      <w:r w:rsidRPr="008C43BD">
        <w:rPr>
          <w:b/>
          <w:bCs/>
        </w:rPr>
        <w:t>Results</w:t>
      </w:r>
      <w:r w:rsidRPr="00346AAE">
        <w:rPr>
          <w:b/>
          <w:iCs/>
          <w:lang w:eastAsia="es-ES"/>
        </w:rPr>
        <w:t>.</w:t>
      </w:r>
    </w:p>
    <w:p w14:paraId="3408B978" w14:textId="77777777" w:rsidR="008C43BD" w:rsidRDefault="008C43BD" w:rsidP="008C43BD">
      <w:pPr>
        <w:jc w:val="both"/>
        <w:rPr>
          <w:b/>
          <w:lang w:eastAsia="es-ES"/>
        </w:rPr>
      </w:pPr>
    </w:p>
    <w:p w14:paraId="51D965C1" w14:textId="7A8C06A5" w:rsidR="008C43BD" w:rsidRDefault="008C43BD" w:rsidP="008C43BD">
      <w:pPr>
        <w:pStyle w:val="ListParagraph"/>
        <w:numPr>
          <w:ilvl w:val="0"/>
          <w:numId w:val="1"/>
        </w:numPr>
        <w:jc w:val="both"/>
        <w:rPr>
          <w:rFonts w:eastAsiaTheme="minorHAnsi"/>
          <w:bCs/>
          <w:iCs/>
        </w:rPr>
      </w:pPr>
      <w:r>
        <w:rPr>
          <w:rFonts w:eastAsiaTheme="minorHAnsi"/>
          <w:bCs/>
          <w:iCs/>
        </w:rPr>
        <w:t>In its Response to the Questionnaire, the country under review noted that it did not have anything to report.</w:t>
      </w:r>
      <w:r>
        <w:rPr>
          <w:rStyle w:val="FootnoteReference"/>
          <w:rFonts w:eastAsiaTheme="minorHAnsi"/>
          <w:bCs/>
          <w:iCs/>
        </w:rPr>
        <w:footnoteReference w:id="107"/>
      </w:r>
    </w:p>
    <w:p w14:paraId="7B59A2FA" w14:textId="77777777" w:rsidR="008C43BD" w:rsidRDefault="008C43BD" w:rsidP="008C43BD">
      <w:pPr>
        <w:pStyle w:val="ListParagraph"/>
        <w:ind w:left="10"/>
        <w:jc w:val="both"/>
        <w:rPr>
          <w:rFonts w:eastAsiaTheme="minorHAnsi"/>
          <w:bCs/>
          <w:iCs/>
        </w:rPr>
      </w:pPr>
    </w:p>
    <w:p w14:paraId="5B1447C8" w14:textId="04421EEC" w:rsidR="00F80692" w:rsidRDefault="008C43BD" w:rsidP="00F80692">
      <w:pPr>
        <w:pStyle w:val="ListParagraph"/>
        <w:numPr>
          <w:ilvl w:val="0"/>
          <w:numId w:val="1"/>
        </w:numPr>
        <w:jc w:val="both"/>
        <w:rPr>
          <w:rFonts w:eastAsiaTheme="minorHAnsi"/>
          <w:bCs/>
          <w:iCs/>
        </w:rPr>
      </w:pPr>
      <w:r>
        <w:rPr>
          <w:rFonts w:eastAsiaTheme="minorHAnsi"/>
          <w:bCs/>
          <w:iCs/>
        </w:rPr>
        <w:t>During the on-site visit, however the representative of the SEC and the USDOJ noted that they do publish the outcomes of their enforcement actions and prosecutions online. In this respect, the Committee notes the results of the SEC FCPA enforcement actions that were set out in section 2.3 on results of the chapter on the Article III, Paragraph 10 of the Convention, Prevention of Bribery of Domestic and Foreign Public Officials.</w:t>
      </w:r>
      <w:r>
        <w:rPr>
          <w:rStyle w:val="FootnoteReference"/>
          <w:rFonts w:eastAsiaTheme="minorHAnsi"/>
          <w:bCs/>
          <w:iCs/>
        </w:rPr>
        <w:footnoteReference w:id="108"/>
      </w:r>
    </w:p>
    <w:p w14:paraId="16CAE018" w14:textId="77777777" w:rsidR="005A3560" w:rsidRPr="005A3560" w:rsidRDefault="005A3560" w:rsidP="005A3560">
      <w:pPr>
        <w:pStyle w:val="ListParagraph"/>
        <w:rPr>
          <w:rFonts w:eastAsiaTheme="minorHAnsi"/>
          <w:bCs/>
          <w:iCs/>
        </w:rPr>
      </w:pPr>
    </w:p>
    <w:p w14:paraId="32080A18" w14:textId="15FA3A8F" w:rsidR="00A66642" w:rsidRDefault="00F80692" w:rsidP="00A66642">
      <w:pPr>
        <w:pStyle w:val="ListParagraph"/>
        <w:numPr>
          <w:ilvl w:val="0"/>
          <w:numId w:val="1"/>
        </w:numPr>
        <w:jc w:val="both"/>
        <w:rPr>
          <w:rFonts w:eastAsiaTheme="minorHAnsi"/>
          <w:bCs/>
          <w:iCs/>
        </w:rPr>
      </w:pPr>
      <w:r>
        <w:rPr>
          <w:rFonts w:eastAsiaTheme="minorHAnsi"/>
          <w:bCs/>
          <w:iCs/>
        </w:rPr>
        <w:t xml:space="preserve">Regarding the results maintained by USDOJ, it was noted that </w:t>
      </w:r>
      <w:r w:rsidR="001C7E9D">
        <w:rPr>
          <w:rFonts w:eastAsiaTheme="minorHAnsi"/>
          <w:bCs/>
          <w:iCs/>
        </w:rPr>
        <w:t>its Fraud section</w:t>
      </w:r>
      <w:r w:rsidR="00995DFC">
        <w:rPr>
          <w:rFonts w:eastAsiaTheme="minorHAnsi"/>
          <w:bCs/>
          <w:iCs/>
        </w:rPr>
        <w:t xml:space="preserve"> of the Criminal Division of the USDOJ</w:t>
      </w:r>
      <w:r w:rsidR="001C7E9D">
        <w:rPr>
          <w:rFonts w:eastAsiaTheme="minorHAnsi"/>
          <w:bCs/>
          <w:iCs/>
        </w:rPr>
        <w:t xml:space="preserve"> </w:t>
      </w:r>
      <w:r w:rsidR="00995DFC">
        <w:rPr>
          <w:rFonts w:eastAsiaTheme="minorHAnsi"/>
          <w:bCs/>
          <w:iCs/>
        </w:rPr>
        <w:t>issues a</w:t>
      </w:r>
      <w:r w:rsidR="001C7E9D">
        <w:rPr>
          <w:rFonts w:eastAsiaTheme="minorHAnsi"/>
          <w:bCs/>
          <w:iCs/>
        </w:rPr>
        <w:t xml:space="preserve"> yearly </w:t>
      </w:r>
      <w:r w:rsidR="00995DFC">
        <w:rPr>
          <w:rFonts w:eastAsiaTheme="minorHAnsi"/>
          <w:bCs/>
          <w:iCs/>
        </w:rPr>
        <w:t>Fraud Section Year in Review report on the work carried out, including that of the FCPA</w:t>
      </w:r>
      <w:r w:rsidR="00A66642">
        <w:rPr>
          <w:rFonts w:eastAsiaTheme="minorHAnsi"/>
          <w:bCs/>
          <w:iCs/>
        </w:rPr>
        <w:t xml:space="preserve"> Unit</w:t>
      </w:r>
      <w:r w:rsidR="00995DFC">
        <w:rPr>
          <w:rFonts w:eastAsiaTheme="minorHAnsi"/>
          <w:bCs/>
          <w:iCs/>
        </w:rPr>
        <w:t>.</w:t>
      </w:r>
      <w:r w:rsidR="00995DFC">
        <w:rPr>
          <w:rStyle w:val="FootnoteReference"/>
          <w:rFonts w:eastAsiaTheme="minorHAnsi"/>
          <w:bCs/>
          <w:iCs/>
        </w:rPr>
        <w:footnoteReference w:id="109"/>
      </w:r>
      <w:r w:rsidR="00995DFC">
        <w:rPr>
          <w:rFonts w:eastAsiaTheme="minorHAnsi"/>
          <w:bCs/>
          <w:iCs/>
        </w:rPr>
        <w:t xml:space="preserve"> </w:t>
      </w:r>
      <w:r w:rsidR="00A66642">
        <w:rPr>
          <w:rFonts w:eastAsiaTheme="minorHAnsi"/>
          <w:bCs/>
          <w:iCs/>
        </w:rPr>
        <w:t xml:space="preserve">In this respect, the last report published </w:t>
      </w:r>
      <w:r w:rsidR="00974D56">
        <w:rPr>
          <w:rFonts w:eastAsiaTheme="minorHAnsi"/>
          <w:bCs/>
          <w:iCs/>
        </w:rPr>
        <w:t>is</w:t>
      </w:r>
      <w:r w:rsidR="00A66642">
        <w:rPr>
          <w:rFonts w:eastAsiaTheme="minorHAnsi"/>
          <w:bCs/>
          <w:iCs/>
        </w:rPr>
        <w:t xml:space="preserve"> for the year 2022.</w:t>
      </w:r>
      <w:r w:rsidR="00A66642">
        <w:rPr>
          <w:rStyle w:val="FootnoteReference"/>
          <w:rFonts w:eastAsiaTheme="minorHAnsi"/>
          <w:bCs/>
          <w:iCs/>
        </w:rPr>
        <w:footnoteReference w:id="110"/>
      </w:r>
      <w:r w:rsidR="00A66642">
        <w:rPr>
          <w:rFonts w:eastAsiaTheme="minorHAnsi"/>
          <w:bCs/>
          <w:iCs/>
        </w:rPr>
        <w:t xml:space="preserve"> </w:t>
      </w:r>
    </w:p>
    <w:p w14:paraId="4725B9D6" w14:textId="77777777" w:rsidR="00A66642" w:rsidRDefault="00A66642" w:rsidP="00A66642">
      <w:pPr>
        <w:pStyle w:val="ListParagraph"/>
        <w:ind w:left="10"/>
        <w:jc w:val="both"/>
        <w:rPr>
          <w:rFonts w:eastAsiaTheme="minorHAnsi"/>
          <w:bCs/>
          <w:iCs/>
        </w:rPr>
      </w:pPr>
    </w:p>
    <w:p w14:paraId="7DA1DC8C" w14:textId="2EEF3A40" w:rsidR="00A66642" w:rsidRDefault="00A66642" w:rsidP="00A66642">
      <w:pPr>
        <w:pStyle w:val="ListParagraph"/>
        <w:numPr>
          <w:ilvl w:val="0"/>
          <w:numId w:val="1"/>
        </w:numPr>
        <w:jc w:val="both"/>
        <w:rPr>
          <w:rFonts w:eastAsiaTheme="minorHAnsi"/>
          <w:bCs/>
          <w:iCs/>
        </w:rPr>
      </w:pPr>
      <w:r>
        <w:rPr>
          <w:rFonts w:eastAsiaTheme="minorHAnsi"/>
          <w:bCs/>
          <w:iCs/>
        </w:rPr>
        <w:t xml:space="preserve">In this </w:t>
      </w:r>
      <w:r w:rsidR="00575634">
        <w:rPr>
          <w:rFonts w:eastAsiaTheme="minorHAnsi"/>
          <w:bCs/>
          <w:iCs/>
        </w:rPr>
        <w:t>regard</w:t>
      </w:r>
      <w:r>
        <w:rPr>
          <w:rFonts w:eastAsiaTheme="minorHAnsi"/>
          <w:bCs/>
          <w:iCs/>
        </w:rPr>
        <w:t>, the report noted that the FCPA Unit charged 22 individuals, convicted 18, by</w:t>
      </w:r>
      <w:r w:rsidR="00F36687">
        <w:rPr>
          <w:rFonts w:eastAsiaTheme="minorHAnsi"/>
          <w:bCs/>
          <w:iCs/>
        </w:rPr>
        <w:t xml:space="preserve"> which 15 pleaded</w:t>
      </w:r>
      <w:r>
        <w:rPr>
          <w:rFonts w:eastAsiaTheme="minorHAnsi"/>
          <w:bCs/>
          <w:iCs/>
        </w:rPr>
        <w:t xml:space="preserve"> guilty </w:t>
      </w:r>
      <w:r w:rsidR="00F36687">
        <w:rPr>
          <w:rFonts w:eastAsiaTheme="minorHAnsi"/>
          <w:bCs/>
          <w:iCs/>
        </w:rPr>
        <w:t xml:space="preserve">and 3 </w:t>
      </w:r>
      <w:r w:rsidR="00974D56">
        <w:rPr>
          <w:rFonts w:eastAsiaTheme="minorHAnsi"/>
          <w:bCs/>
          <w:iCs/>
        </w:rPr>
        <w:t xml:space="preserve">were </w:t>
      </w:r>
      <w:r w:rsidR="00F36687">
        <w:rPr>
          <w:rFonts w:eastAsiaTheme="minorHAnsi"/>
          <w:bCs/>
          <w:iCs/>
        </w:rPr>
        <w:t>convicted at trial</w:t>
      </w:r>
      <w:r>
        <w:rPr>
          <w:rFonts w:eastAsiaTheme="minorHAnsi"/>
          <w:bCs/>
          <w:iCs/>
        </w:rPr>
        <w:t>.</w:t>
      </w:r>
      <w:r>
        <w:rPr>
          <w:rStyle w:val="FootnoteReference"/>
          <w:rFonts w:eastAsiaTheme="minorHAnsi"/>
          <w:bCs/>
          <w:iCs/>
        </w:rPr>
        <w:footnoteReference w:id="111"/>
      </w:r>
      <w:r w:rsidR="00E71351">
        <w:rPr>
          <w:rFonts w:eastAsiaTheme="minorHAnsi"/>
          <w:bCs/>
          <w:iCs/>
        </w:rPr>
        <w:t xml:space="preserve"> It also noted that there were 5 corporate resolutions that imposed fines of more than $1.36 billion dollars with respect to total global monetary amounts; more than $859.6 million dollars with respect to total US monetary amounts; and  more than $606.5 million dollars with respect to total US criminal monetary amounts.</w:t>
      </w:r>
      <w:r w:rsidR="00E71351">
        <w:rPr>
          <w:rStyle w:val="FootnoteReference"/>
          <w:rFonts w:eastAsiaTheme="minorHAnsi"/>
          <w:bCs/>
          <w:iCs/>
        </w:rPr>
        <w:footnoteReference w:id="112"/>
      </w:r>
    </w:p>
    <w:p w14:paraId="63C892D6" w14:textId="77777777" w:rsidR="00974D56" w:rsidRPr="00974D56" w:rsidRDefault="00974D56" w:rsidP="00974D56">
      <w:pPr>
        <w:pStyle w:val="ListParagraph"/>
        <w:rPr>
          <w:rFonts w:eastAsiaTheme="minorHAnsi"/>
          <w:bCs/>
          <w:iCs/>
        </w:rPr>
      </w:pPr>
    </w:p>
    <w:p w14:paraId="304AB18F" w14:textId="77777777" w:rsidR="003D1E8F" w:rsidRDefault="00974D56" w:rsidP="003D1E8F">
      <w:pPr>
        <w:pStyle w:val="ListParagraph"/>
        <w:numPr>
          <w:ilvl w:val="0"/>
          <w:numId w:val="1"/>
        </w:numPr>
        <w:jc w:val="both"/>
        <w:rPr>
          <w:rFonts w:eastAsiaTheme="minorHAnsi"/>
          <w:bCs/>
          <w:iCs/>
        </w:rPr>
      </w:pPr>
      <w:r>
        <w:rPr>
          <w:rFonts w:eastAsiaTheme="minorHAnsi"/>
          <w:bCs/>
          <w:iCs/>
        </w:rPr>
        <w:t xml:space="preserve">It also provides detailed information on significant corporate resolutions; </w:t>
      </w:r>
      <w:r w:rsidR="003D1E8F">
        <w:rPr>
          <w:rFonts w:eastAsiaTheme="minorHAnsi"/>
          <w:bCs/>
          <w:iCs/>
        </w:rPr>
        <w:t>corporate enforcement policy</w:t>
      </w:r>
      <w:r>
        <w:rPr>
          <w:rFonts w:eastAsiaTheme="minorHAnsi"/>
          <w:bCs/>
          <w:iCs/>
        </w:rPr>
        <w:t xml:space="preserve"> declinations; </w:t>
      </w:r>
      <w:r w:rsidR="003D1E8F">
        <w:rPr>
          <w:rFonts w:eastAsiaTheme="minorHAnsi"/>
          <w:bCs/>
          <w:iCs/>
        </w:rPr>
        <w:t xml:space="preserve">significant trials, pleas, and sentences; </w:t>
      </w:r>
      <w:r>
        <w:rPr>
          <w:rFonts w:eastAsiaTheme="minorHAnsi"/>
          <w:bCs/>
          <w:iCs/>
        </w:rPr>
        <w:t>and significant individual indictments and guilty pleas.</w:t>
      </w:r>
      <w:r w:rsidR="003D1E8F">
        <w:rPr>
          <w:rStyle w:val="FootnoteReference"/>
          <w:rFonts w:eastAsiaTheme="minorHAnsi"/>
          <w:bCs/>
          <w:iCs/>
        </w:rPr>
        <w:footnoteReference w:id="113"/>
      </w:r>
      <w:r>
        <w:rPr>
          <w:rFonts w:eastAsiaTheme="minorHAnsi"/>
          <w:bCs/>
          <w:iCs/>
        </w:rPr>
        <w:t xml:space="preserve">  </w:t>
      </w:r>
    </w:p>
    <w:p w14:paraId="3C8A8C66" w14:textId="77777777" w:rsidR="003D1E8F" w:rsidRPr="003D1E8F" w:rsidRDefault="003D1E8F" w:rsidP="003D1E8F">
      <w:pPr>
        <w:pStyle w:val="ListParagraph"/>
        <w:rPr>
          <w:rFonts w:eastAsiaTheme="minorHAnsi"/>
          <w:bCs/>
          <w:iCs/>
        </w:rPr>
      </w:pPr>
    </w:p>
    <w:p w14:paraId="09421EDF" w14:textId="7BE52531" w:rsidR="008C43BD" w:rsidRPr="003D1E8F" w:rsidRDefault="003D1E8F" w:rsidP="003D1E8F">
      <w:pPr>
        <w:pStyle w:val="ListParagraph"/>
        <w:numPr>
          <w:ilvl w:val="0"/>
          <w:numId w:val="1"/>
        </w:numPr>
        <w:jc w:val="both"/>
        <w:rPr>
          <w:rFonts w:eastAsiaTheme="minorHAnsi"/>
          <w:bCs/>
          <w:iCs/>
        </w:rPr>
      </w:pPr>
      <w:r>
        <w:rPr>
          <w:rFonts w:eastAsiaTheme="minorHAnsi"/>
          <w:bCs/>
          <w:iCs/>
        </w:rPr>
        <w:lastRenderedPageBreak/>
        <w:t>Moreover, the Fraud section maintains a</w:t>
      </w:r>
      <w:r w:rsidR="00995DFC" w:rsidRPr="003D1E8F">
        <w:rPr>
          <w:rFonts w:eastAsiaTheme="minorHAnsi"/>
          <w:bCs/>
          <w:iCs/>
        </w:rPr>
        <w:t xml:space="preserve"> website </w:t>
      </w:r>
      <w:r>
        <w:rPr>
          <w:rFonts w:eastAsiaTheme="minorHAnsi"/>
          <w:bCs/>
          <w:iCs/>
        </w:rPr>
        <w:t>on</w:t>
      </w:r>
      <w:r w:rsidR="00995DFC" w:rsidRPr="003D1E8F">
        <w:rPr>
          <w:rFonts w:eastAsiaTheme="minorHAnsi"/>
          <w:bCs/>
          <w:iCs/>
        </w:rPr>
        <w:t xml:space="preserve"> the FCPA</w:t>
      </w:r>
      <w:r>
        <w:rPr>
          <w:rFonts w:eastAsiaTheme="minorHAnsi"/>
          <w:bCs/>
          <w:iCs/>
        </w:rPr>
        <w:t>,</w:t>
      </w:r>
      <w:r w:rsidR="00995DFC">
        <w:rPr>
          <w:rStyle w:val="FootnoteReference"/>
          <w:rFonts w:eastAsiaTheme="minorHAnsi"/>
          <w:bCs/>
          <w:iCs/>
        </w:rPr>
        <w:footnoteReference w:id="114"/>
      </w:r>
      <w:r w:rsidR="00995DFC" w:rsidRPr="003D1E8F">
        <w:rPr>
          <w:rFonts w:eastAsiaTheme="minorHAnsi"/>
          <w:bCs/>
          <w:iCs/>
        </w:rPr>
        <w:t xml:space="preserve"> </w:t>
      </w:r>
      <w:r>
        <w:rPr>
          <w:rFonts w:eastAsiaTheme="minorHAnsi"/>
          <w:bCs/>
          <w:iCs/>
        </w:rPr>
        <w:t xml:space="preserve">including that for </w:t>
      </w:r>
      <w:r w:rsidR="00DB750E" w:rsidRPr="003D1E8F">
        <w:rPr>
          <w:rFonts w:eastAsiaTheme="minorHAnsi"/>
          <w:bCs/>
          <w:iCs/>
        </w:rPr>
        <w:t>FCPA Enforcement Actions. These</w:t>
      </w:r>
      <w:r w:rsidR="00995DFC" w:rsidRPr="003D1E8F">
        <w:rPr>
          <w:rFonts w:eastAsiaTheme="minorHAnsi"/>
          <w:bCs/>
          <w:iCs/>
        </w:rPr>
        <w:t xml:space="preserve"> enforcement actions</w:t>
      </w:r>
      <w:r w:rsidR="00DB750E" w:rsidRPr="003D1E8F">
        <w:rPr>
          <w:rFonts w:eastAsiaTheme="minorHAnsi"/>
          <w:bCs/>
          <w:iCs/>
        </w:rPr>
        <w:t xml:space="preserve"> are listed alphabetically, </w:t>
      </w:r>
      <w:r w:rsidR="00995DFC" w:rsidRPr="003D1E8F">
        <w:rPr>
          <w:rFonts w:eastAsiaTheme="minorHAnsi"/>
          <w:bCs/>
          <w:iCs/>
        </w:rPr>
        <w:t xml:space="preserve">as well as </w:t>
      </w:r>
      <w:r w:rsidR="00DB750E" w:rsidRPr="003D1E8F">
        <w:rPr>
          <w:rFonts w:eastAsiaTheme="minorHAnsi"/>
          <w:bCs/>
          <w:iCs/>
        </w:rPr>
        <w:t xml:space="preserve">chronologically, and can also be </w:t>
      </w:r>
      <w:r w:rsidR="007F2107" w:rsidRPr="003D1E8F">
        <w:rPr>
          <w:rFonts w:eastAsiaTheme="minorHAnsi"/>
          <w:bCs/>
          <w:iCs/>
        </w:rPr>
        <w:t>consulted by</w:t>
      </w:r>
      <w:r w:rsidR="00995DFC" w:rsidRPr="003D1E8F">
        <w:rPr>
          <w:rFonts w:eastAsiaTheme="minorHAnsi"/>
          <w:bCs/>
          <w:iCs/>
        </w:rPr>
        <w:t xml:space="preserve"> </w:t>
      </w:r>
      <w:r w:rsidR="00DB750E" w:rsidRPr="003D1E8F">
        <w:rPr>
          <w:rFonts w:eastAsiaTheme="minorHAnsi"/>
          <w:bCs/>
          <w:iCs/>
        </w:rPr>
        <w:t xml:space="preserve">corporate enforcement actions </w:t>
      </w:r>
      <w:r w:rsidR="00995DFC" w:rsidRPr="003D1E8F">
        <w:rPr>
          <w:rFonts w:eastAsiaTheme="minorHAnsi"/>
          <w:bCs/>
          <w:iCs/>
        </w:rPr>
        <w:t>or</w:t>
      </w:r>
      <w:r w:rsidR="00DB750E" w:rsidRPr="003D1E8F">
        <w:rPr>
          <w:rFonts w:eastAsiaTheme="minorHAnsi"/>
          <w:bCs/>
          <w:iCs/>
        </w:rPr>
        <w:t xml:space="preserve"> individual </w:t>
      </w:r>
      <w:r w:rsidR="00995DFC" w:rsidRPr="003D1E8F">
        <w:rPr>
          <w:rFonts w:eastAsiaTheme="minorHAnsi"/>
          <w:bCs/>
          <w:iCs/>
        </w:rPr>
        <w:t>enforcement</w:t>
      </w:r>
      <w:r w:rsidR="00DB750E" w:rsidRPr="003D1E8F">
        <w:rPr>
          <w:rFonts w:eastAsiaTheme="minorHAnsi"/>
          <w:bCs/>
          <w:iCs/>
        </w:rPr>
        <w:t xml:space="preserve"> actions.</w:t>
      </w:r>
      <w:r w:rsidR="00995DFC">
        <w:rPr>
          <w:rStyle w:val="FootnoteReference"/>
          <w:rFonts w:eastAsiaTheme="minorHAnsi"/>
          <w:bCs/>
          <w:iCs/>
        </w:rPr>
        <w:footnoteReference w:id="115"/>
      </w:r>
    </w:p>
    <w:p w14:paraId="249DB8B5" w14:textId="77777777" w:rsidR="00995DFC" w:rsidRDefault="00995DFC" w:rsidP="00995DFC">
      <w:pPr>
        <w:pStyle w:val="ListParagraph"/>
        <w:ind w:left="10"/>
        <w:jc w:val="both"/>
        <w:rPr>
          <w:rFonts w:eastAsiaTheme="minorHAnsi"/>
          <w:bCs/>
          <w:iCs/>
        </w:rPr>
      </w:pPr>
    </w:p>
    <w:p w14:paraId="261FF84E" w14:textId="3AC6772A" w:rsidR="00995DFC" w:rsidRPr="00A04F43" w:rsidRDefault="00995DFC" w:rsidP="008C43BD">
      <w:pPr>
        <w:pStyle w:val="ListParagraph"/>
        <w:numPr>
          <w:ilvl w:val="0"/>
          <w:numId w:val="1"/>
        </w:numPr>
        <w:jc w:val="both"/>
        <w:rPr>
          <w:rFonts w:eastAsiaTheme="minorHAnsi"/>
          <w:bCs/>
          <w:iCs/>
        </w:rPr>
      </w:pPr>
      <w:r>
        <w:rPr>
          <w:rFonts w:eastAsiaTheme="minorHAnsi"/>
          <w:bCs/>
          <w:iCs/>
        </w:rPr>
        <w:t xml:space="preserve">In </w:t>
      </w:r>
      <w:r w:rsidR="003D1E8F">
        <w:rPr>
          <w:rFonts w:eastAsiaTheme="minorHAnsi"/>
          <w:bCs/>
          <w:iCs/>
        </w:rPr>
        <w:t xml:space="preserve">this regard, the Committee </w:t>
      </w:r>
      <w:r w:rsidR="003D1E8F" w:rsidRPr="00983246">
        <w:t xml:space="preserve">acknowledges the efforts by the country under review to enforce the </w:t>
      </w:r>
      <w:r w:rsidR="003D1E8F">
        <w:t xml:space="preserve">FCPA. </w:t>
      </w:r>
    </w:p>
    <w:p w14:paraId="3803570E" w14:textId="77777777" w:rsidR="00A04F43" w:rsidRPr="00A04F43" w:rsidRDefault="00A04F43" w:rsidP="00A04F43">
      <w:pPr>
        <w:pStyle w:val="ListParagraph"/>
        <w:rPr>
          <w:rFonts w:eastAsiaTheme="minorHAnsi"/>
          <w:bCs/>
          <w:iCs/>
        </w:rPr>
      </w:pPr>
    </w:p>
    <w:p w14:paraId="006EBA6F" w14:textId="44A9F334" w:rsidR="00AC4721" w:rsidRPr="000C40A3" w:rsidRDefault="000A77DA" w:rsidP="00AC4721">
      <w:pPr>
        <w:pStyle w:val="ListParagraph"/>
        <w:numPr>
          <w:ilvl w:val="0"/>
          <w:numId w:val="1"/>
        </w:numPr>
        <w:jc w:val="both"/>
        <w:rPr>
          <w:rFonts w:eastAsiaTheme="minorHAnsi"/>
          <w:bCs/>
          <w:iCs/>
        </w:rPr>
      </w:pPr>
      <w:r w:rsidRPr="000C40A3">
        <w:rPr>
          <w:rFonts w:eastAsiaTheme="minorHAnsi"/>
          <w:bCs/>
          <w:iCs/>
        </w:rPr>
        <w:t xml:space="preserve">The Committee also </w:t>
      </w:r>
      <w:r w:rsidR="000C40A3" w:rsidRPr="000C40A3">
        <w:rPr>
          <w:rFonts w:eastAsiaTheme="minorHAnsi"/>
          <w:bCs/>
          <w:iCs/>
        </w:rPr>
        <w:t>notes</w:t>
      </w:r>
      <w:r w:rsidRPr="000C40A3">
        <w:rPr>
          <w:rFonts w:eastAsiaTheme="minorHAnsi"/>
          <w:bCs/>
          <w:iCs/>
        </w:rPr>
        <w:t xml:space="preserve"> that the country</w:t>
      </w:r>
      <w:r w:rsidR="00AC4721" w:rsidRPr="000C40A3">
        <w:rPr>
          <w:rFonts w:eastAsiaTheme="minorHAnsi" w:hint="eastAsia"/>
          <w:bCs/>
          <w:iCs/>
        </w:rPr>
        <w:t xml:space="preserve"> under review observes that due to other available instruments, the United States rarely relies on or receives requests for mutual legal assistance or extradition pursuant to the Inter-American Convention against Corruption.  Typically, assistance in corruption matters is sought under bilateral treaties, the UN Convention against Corruption, or the Anti-Bribery Convention of the Organization for Economic Cooperation and Development.</w:t>
      </w:r>
    </w:p>
    <w:p w14:paraId="0FBBA41F" w14:textId="77777777" w:rsidR="003D1E8F" w:rsidRPr="00C03937" w:rsidRDefault="003D1E8F" w:rsidP="00C03937">
      <w:pPr>
        <w:rPr>
          <w:rFonts w:eastAsiaTheme="minorHAnsi"/>
          <w:bCs/>
          <w:iCs/>
        </w:rPr>
      </w:pPr>
    </w:p>
    <w:p w14:paraId="3A0C94F7" w14:textId="1A8B8933" w:rsidR="003D1E8F" w:rsidRDefault="003D1E8F" w:rsidP="00F51830">
      <w:pPr>
        <w:pStyle w:val="ListParagraph"/>
        <w:numPr>
          <w:ilvl w:val="0"/>
          <w:numId w:val="1"/>
        </w:numPr>
        <w:jc w:val="both"/>
        <w:rPr>
          <w:rFonts w:eastAsiaTheme="minorHAnsi"/>
          <w:bCs/>
          <w:iCs/>
        </w:rPr>
      </w:pPr>
      <w:r>
        <w:rPr>
          <w:rFonts w:eastAsiaTheme="minorHAnsi"/>
          <w:bCs/>
          <w:iCs/>
        </w:rPr>
        <w:t>The Committee notes, however, that the country under review, during the on-site visit, set out difficulties in maintaining results with respect to the assistance and cooperation provided to other member States</w:t>
      </w:r>
      <w:r w:rsidR="006A4156">
        <w:rPr>
          <w:rFonts w:eastAsiaTheme="minorHAnsi"/>
          <w:bCs/>
          <w:iCs/>
        </w:rPr>
        <w:t xml:space="preserve"> </w:t>
      </w:r>
      <w:r w:rsidR="00ED2D4D">
        <w:rPr>
          <w:rFonts w:eastAsiaTheme="minorHAnsi"/>
          <w:bCs/>
          <w:iCs/>
        </w:rPr>
        <w:t xml:space="preserve">with respect to </w:t>
      </w:r>
      <w:r w:rsidR="006A4156">
        <w:rPr>
          <w:rFonts w:eastAsiaTheme="minorHAnsi"/>
          <w:bCs/>
          <w:iCs/>
        </w:rPr>
        <w:t xml:space="preserve">transnational bribery. Representatives from </w:t>
      </w:r>
      <w:r w:rsidR="00ED2D4D">
        <w:rPr>
          <w:rFonts w:eastAsiaTheme="minorHAnsi"/>
          <w:bCs/>
          <w:iCs/>
        </w:rPr>
        <w:t>the Office of International Affairs</w:t>
      </w:r>
      <w:r w:rsidR="007F1DBE">
        <w:rPr>
          <w:rFonts w:eastAsiaTheme="minorHAnsi"/>
          <w:bCs/>
          <w:iCs/>
        </w:rPr>
        <w:t xml:space="preserve"> </w:t>
      </w:r>
      <w:r w:rsidR="007F1DBE" w:rsidRPr="00726018">
        <w:rPr>
          <w:rFonts w:eastAsiaTheme="minorHAnsi"/>
          <w:bCs/>
          <w:iCs/>
        </w:rPr>
        <w:t>(OIA)</w:t>
      </w:r>
      <w:r w:rsidR="00ED2D4D">
        <w:rPr>
          <w:rFonts w:eastAsiaTheme="minorHAnsi"/>
          <w:bCs/>
          <w:iCs/>
        </w:rPr>
        <w:t xml:space="preserve"> of the USDOJ</w:t>
      </w:r>
      <w:r w:rsidR="006A4156">
        <w:rPr>
          <w:rFonts w:eastAsiaTheme="minorHAnsi"/>
          <w:bCs/>
          <w:iCs/>
        </w:rPr>
        <w:t xml:space="preserve"> noted </w:t>
      </w:r>
      <w:r w:rsidR="00ED2D4D">
        <w:rPr>
          <w:rFonts w:eastAsiaTheme="minorHAnsi"/>
          <w:bCs/>
          <w:iCs/>
        </w:rPr>
        <w:t xml:space="preserve">that </w:t>
      </w:r>
      <w:r w:rsidR="00DF64AB" w:rsidRPr="00726018">
        <w:rPr>
          <w:rFonts w:eastAsiaTheme="minorHAnsi"/>
          <w:bCs/>
          <w:iCs/>
        </w:rPr>
        <w:t>mutual legal assistance requests in furtherance of</w:t>
      </w:r>
      <w:r w:rsidR="00DF64AB" w:rsidRPr="00DF64AB">
        <w:rPr>
          <w:rFonts w:eastAsiaTheme="minorHAnsi"/>
          <w:bCs/>
          <w:iCs/>
        </w:rPr>
        <w:t xml:space="preserve"> </w:t>
      </w:r>
      <w:r w:rsidR="00ED2D4D">
        <w:rPr>
          <w:rFonts w:eastAsiaTheme="minorHAnsi"/>
          <w:bCs/>
          <w:iCs/>
        </w:rPr>
        <w:t>corruption cases are not tracked</w:t>
      </w:r>
      <w:r w:rsidR="00F51830">
        <w:rPr>
          <w:rFonts w:eastAsiaTheme="minorHAnsi"/>
          <w:bCs/>
          <w:iCs/>
        </w:rPr>
        <w:t xml:space="preserve"> </w:t>
      </w:r>
      <w:r w:rsidR="00B1034F" w:rsidRPr="00726018">
        <w:rPr>
          <w:rFonts w:eastAsiaTheme="minorHAnsi"/>
          <w:bCs/>
          <w:iCs/>
        </w:rPr>
        <w:t>because: (1) there is no</w:t>
      </w:r>
      <w:r w:rsidR="00755187" w:rsidRPr="00726018">
        <w:rPr>
          <w:rFonts w:eastAsiaTheme="minorHAnsi"/>
          <w:bCs/>
          <w:iCs/>
        </w:rPr>
        <w:t xml:space="preserve"> legal</w:t>
      </w:r>
      <w:r w:rsidR="00B1034F" w:rsidRPr="00726018">
        <w:rPr>
          <w:rFonts w:eastAsiaTheme="minorHAnsi"/>
          <w:bCs/>
          <w:iCs/>
        </w:rPr>
        <w:t xml:space="preserve"> requirement for such tracking</w:t>
      </w:r>
      <w:r w:rsidR="00755187" w:rsidRPr="00726018">
        <w:rPr>
          <w:rFonts w:eastAsiaTheme="minorHAnsi"/>
          <w:bCs/>
          <w:iCs/>
        </w:rPr>
        <w:t xml:space="preserve"> under domestic law</w:t>
      </w:r>
      <w:r w:rsidR="00B1034F" w:rsidRPr="00726018">
        <w:rPr>
          <w:rFonts w:eastAsiaTheme="minorHAnsi"/>
          <w:bCs/>
          <w:iCs/>
        </w:rPr>
        <w:t>; (2) this type of tracking would require significant resources; (3) there is no specific guidance on what should be tracked, which would lead to inaccurate statistics; and (4) such statistics, especially if inaccurate, would not be indicative of the assistance provided or received through MLA requests.  With respect to the inaccuracy of statistics, OIA noted, for example, that many corruption cases investigate fraud, false statements, and money laundering offenses, but not all fraud, false statements, and money laundering cases are corruption matters and, therefore, a database search for all requests involving such offenses would result in inaccurate statistics. Identification of corruption cases with any accuracy would necessitate a manual review of each case individually, which OIA does not have the resources to conduct.</w:t>
      </w:r>
      <w:r w:rsidR="00B1034F" w:rsidRPr="00755187">
        <w:rPr>
          <w:rFonts w:eastAsiaTheme="minorHAnsi"/>
          <w:bCs/>
          <w:iCs/>
        </w:rPr>
        <w:t xml:space="preserve"> </w:t>
      </w:r>
      <w:r w:rsidR="00F51830" w:rsidRPr="00726018">
        <w:rPr>
          <w:rFonts w:eastAsiaTheme="minorHAnsi"/>
          <w:bCs/>
          <w:iCs/>
        </w:rPr>
        <w:t>As a result, there were no</w:t>
      </w:r>
      <w:r w:rsidR="009B1FA8" w:rsidRPr="00726018">
        <w:rPr>
          <w:rFonts w:eastAsiaTheme="minorHAnsi"/>
          <w:bCs/>
          <w:iCs/>
        </w:rPr>
        <w:t xml:space="preserve"> </w:t>
      </w:r>
      <w:r w:rsidR="00F51830" w:rsidRPr="00726018">
        <w:rPr>
          <w:rFonts w:eastAsiaTheme="minorHAnsi"/>
          <w:bCs/>
          <w:iCs/>
        </w:rPr>
        <w:t xml:space="preserve">results </w:t>
      </w:r>
      <w:r w:rsidR="009B1FA8" w:rsidRPr="00726018">
        <w:rPr>
          <w:rFonts w:eastAsiaTheme="minorHAnsi"/>
          <w:bCs/>
          <w:iCs/>
        </w:rPr>
        <w:t>that could be provided on the number of requests for assistance and cooperation received from</w:t>
      </w:r>
      <w:r w:rsidR="00F51830" w:rsidRPr="00726018">
        <w:rPr>
          <w:rFonts w:eastAsiaTheme="minorHAnsi"/>
          <w:bCs/>
          <w:iCs/>
        </w:rPr>
        <w:t xml:space="preserve"> member States of the Convention on </w:t>
      </w:r>
      <w:r w:rsidR="009B1FA8" w:rsidRPr="00726018">
        <w:rPr>
          <w:rFonts w:eastAsiaTheme="minorHAnsi"/>
          <w:bCs/>
          <w:iCs/>
        </w:rPr>
        <w:t>t</w:t>
      </w:r>
      <w:r w:rsidR="00F51830" w:rsidRPr="00726018">
        <w:rPr>
          <w:rFonts w:eastAsiaTheme="minorHAnsi"/>
          <w:bCs/>
          <w:iCs/>
        </w:rPr>
        <w:t>his offense</w:t>
      </w:r>
      <w:r w:rsidR="009B1FA8" w:rsidRPr="00726018">
        <w:rPr>
          <w:rFonts w:eastAsiaTheme="minorHAnsi"/>
          <w:bCs/>
          <w:iCs/>
        </w:rPr>
        <w:t>, nor for assistance and cooperation requests made by the country under review to member States of the Convention.</w:t>
      </w:r>
    </w:p>
    <w:p w14:paraId="51740A1F" w14:textId="77777777" w:rsidR="00F51830" w:rsidRDefault="00F51830" w:rsidP="00F51830">
      <w:pPr>
        <w:pStyle w:val="ListParagraph"/>
        <w:rPr>
          <w:rFonts w:eastAsiaTheme="minorHAnsi"/>
          <w:bCs/>
          <w:iCs/>
        </w:rPr>
      </w:pPr>
    </w:p>
    <w:p w14:paraId="375CA680" w14:textId="0F5169B5" w:rsidR="00E64E36" w:rsidRDefault="007870FD" w:rsidP="0045493C">
      <w:pPr>
        <w:pStyle w:val="ListParagraph"/>
        <w:numPr>
          <w:ilvl w:val="0"/>
          <w:numId w:val="1"/>
        </w:numPr>
        <w:jc w:val="both"/>
        <w:rPr>
          <w:rFonts w:eastAsiaTheme="minorHAnsi"/>
          <w:bCs/>
          <w:iCs/>
        </w:rPr>
      </w:pPr>
      <w:r w:rsidRPr="00726018">
        <w:rPr>
          <w:rFonts w:eastAsiaTheme="minorHAnsi"/>
          <w:bCs/>
          <w:iCs/>
        </w:rPr>
        <w:t>The</w:t>
      </w:r>
      <w:r w:rsidR="00575634" w:rsidRPr="00726018">
        <w:rPr>
          <w:rFonts w:eastAsiaTheme="minorHAnsi"/>
          <w:bCs/>
          <w:iCs/>
        </w:rPr>
        <w:t xml:space="preserve"> Committee</w:t>
      </w:r>
      <w:r w:rsidRPr="00726018">
        <w:rPr>
          <w:rFonts w:eastAsiaTheme="minorHAnsi"/>
          <w:bCs/>
          <w:iCs/>
        </w:rPr>
        <w:t xml:space="preserve"> notes</w:t>
      </w:r>
      <w:r w:rsidR="008E2909" w:rsidRPr="00726018">
        <w:rPr>
          <w:rFonts w:eastAsiaTheme="minorHAnsi"/>
          <w:bCs/>
          <w:iCs/>
        </w:rPr>
        <w:t xml:space="preserve">, however, </w:t>
      </w:r>
      <w:r w:rsidR="00E64E36" w:rsidRPr="00726018">
        <w:rPr>
          <w:rFonts w:eastAsiaTheme="minorHAnsi"/>
          <w:bCs/>
          <w:iCs/>
        </w:rPr>
        <w:t xml:space="preserve">that the country under review </w:t>
      </w:r>
      <w:r w:rsidRPr="00726018">
        <w:rPr>
          <w:rFonts w:eastAsiaTheme="minorHAnsi"/>
          <w:bCs/>
          <w:iCs/>
        </w:rPr>
        <w:t>has been</w:t>
      </w:r>
      <w:r w:rsidR="00E64E36" w:rsidRPr="00726018">
        <w:rPr>
          <w:rFonts w:eastAsiaTheme="minorHAnsi"/>
          <w:bCs/>
          <w:iCs/>
        </w:rPr>
        <w:t xml:space="preserve"> able to track the assistance and cooperation provided, or requested, for corruption or bribery offenses, and in particular those that fall under the FCPA</w:t>
      </w:r>
      <w:r w:rsidRPr="00726018">
        <w:rPr>
          <w:rFonts w:eastAsiaTheme="minorHAnsi"/>
          <w:bCs/>
          <w:iCs/>
        </w:rPr>
        <w:t>, in other international anticorruption mechanisms</w:t>
      </w:r>
      <w:r>
        <w:rPr>
          <w:rFonts w:eastAsiaTheme="minorHAnsi"/>
          <w:bCs/>
          <w:iCs/>
        </w:rPr>
        <w:t>.</w:t>
      </w:r>
      <w:r w:rsidR="00846567">
        <w:rPr>
          <w:rStyle w:val="FootnoteReference"/>
          <w:rFonts w:eastAsiaTheme="minorHAnsi"/>
          <w:bCs/>
          <w:iCs/>
        </w:rPr>
        <w:footnoteReference w:id="116"/>
      </w:r>
      <w:r w:rsidR="00E64E36">
        <w:rPr>
          <w:rFonts w:eastAsiaTheme="minorHAnsi"/>
          <w:bCs/>
          <w:iCs/>
        </w:rPr>
        <w:t xml:space="preserve"> </w:t>
      </w:r>
    </w:p>
    <w:p w14:paraId="5CC3CF8D" w14:textId="77777777" w:rsidR="00E64E36" w:rsidRPr="00E64E36" w:rsidRDefault="00E64E36" w:rsidP="00E64E36">
      <w:pPr>
        <w:pStyle w:val="ListParagraph"/>
        <w:rPr>
          <w:rFonts w:eastAsiaTheme="minorHAnsi"/>
          <w:bCs/>
          <w:iCs/>
        </w:rPr>
      </w:pPr>
    </w:p>
    <w:p w14:paraId="10566094" w14:textId="6D560E22" w:rsidR="00E64E36" w:rsidRDefault="00E64E36" w:rsidP="0045493C">
      <w:pPr>
        <w:pStyle w:val="ListParagraph"/>
        <w:numPr>
          <w:ilvl w:val="0"/>
          <w:numId w:val="1"/>
        </w:numPr>
        <w:jc w:val="both"/>
        <w:rPr>
          <w:rFonts w:eastAsiaTheme="minorHAnsi"/>
          <w:bCs/>
          <w:iCs/>
        </w:rPr>
      </w:pPr>
      <w:r>
        <w:rPr>
          <w:rFonts w:eastAsiaTheme="minorHAnsi"/>
          <w:bCs/>
          <w:iCs/>
        </w:rPr>
        <w:t xml:space="preserve">Given the foregoing, the Committee considers that the country under review should consider maintaining </w:t>
      </w:r>
      <w:r w:rsidR="00D26BAA">
        <w:rPr>
          <w:rFonts w:eastAsiaTheme="minorHAnsi"/>
          <w:b/>
          <w:iCs/>
          <w:u w:val="single"/>
        </w:rPr>
        <w:t>statistics</w:t>
      </w:r>
      <w:r>
        <w:rPr>
          <w:rFonts w:eastAsiaTheme="minorHAnsi"/>
          <w:bCs/>
          <w:iCs/>
        </w:rPr>
        <w:t xml:space="preserve"> on the number of assistance and cooperation requests received from </w:t>
      </w:r>
      <w:r w:rsidR="009E194C">
        <w:rPr>
          <w:rFonts w:eastAsiaTheme="minorHAnsi"/>
          <w:bCs/>
          <w:iCs/>
        </w:rPr>
        <w:t>State Parties</w:t>
      </w:r>
      <w:r>
        <w:rPr>
          <w:rFonts w:eastAsiaTheme="minorHAnsi"/>
          <w:bCs/>
          <w:iCs/>
        </w:rPr>
        <w:t xml:space="preserve"> to the Convention with respect to the offense of transnational bribery. Similarly, the country under review should also consider maintaining </w:t>
      </w:r>
      <w:r w:rsidR="00EF0A1A">
        <w:rPr>
          <w:rFonts w:eastAsiaTheme="minorHAnsi"/>
          <w:b/>
          <w:iCs/>
          <w:u w:val="single"/>
        </w:rPr>
        <w:t>statistics</w:t>
      </w:r>
      <w:r>
        <w:rPr>
          <w:rFonts w:eastAsiaTheme="minorHAnsi"/>
          <w:bCs/>
          <w:iCs/>
        </w:rPr>
        <w:t xml:space="preserve"> on the number of assistance and cooperation requests made to </w:t>
      </w:r>
      <w:r w:rsidR="009E194C">
        <w:rPr>
          <w:rFonts w:eastAsiaTheme="minorHAnsi"/>
          <w:bCs/>
          <w:iCs/>
        </w:rPr>
        <w:t>State Parties</w:t>
      </w:r>
      <w:r>
        <w:rPr>
          <w:rFonts w:eastAsiaTheme="minorHAnsi"/>
          <w:bCs/>
          <w:iCs/>
        </w:rPr>
        <w:t xml:space="preserve"> to the Convention with respect to the offense of transnational bribery. The Committee will formulate recommendations. </w:t>
      </w:r>
      <w:r>
        <w:t>See Recommendations 3.4.2 and 3.4.3 in section 3.4 of Chapter II of this Report)</w:t>
      </w:r>
      <w:r>
        <w:rPr>
          <w:rFonts w:eastAsiaTheme="minorHAnsi"/>
          <w:bCs/>
          <w:iCs/>
        </w:rPr>
        <w:t xml:space="preserve"> </w:t>
      </w:r>
    </w:p>
    <w:p w14:paraId="1C74BCBE" w14:textId="77777777" w:rsidR="00984667" w:rsidRPr="0061740C" w:rsidRDefault="00984667" w:rsidP="0061740C">
      <w:pPr>
        <w:rPr>
          <w:rFonts w:eastAsiaTheme="minorHAnsi"/>
          <w:bCs/>
          <w:iCs/>
          <w:sz w:val="22"/>
          <w:szCs w:val="22"/>
        </w:rPr>
      </w:pPr>
    </w:p>
    <w:p w14:paraId="33AA590B" w14:textId="77777777" w:rsidR="00984667" w:rsidRPr="00983246" w:rsidRDefault="00984667" w:rsidP="00984667">
      <w:pPr>
        <w:pStyle w:val="ListParagraph"/>
        <w:numPr>
          <w:ilvl w:val="1"/>
          <w:numId w:val="4"/>
        </w:numPr>
        <w:jc w:val="both"/>
        <w:rPr>
          <w:b/>
          <w:lang w:eastAsia="es-ES"/>
        </w:rPr>
      </w:pPr>
      <w:r w:rsidRPr="00983246">
        <w:rPr>
          <w:b/>
          <w:iCs/>
          <w:lang w:eastAsia="es-ES"/>
        </w:rPr>
        <w:t>Recommendations</w:t>
      </w:r>
      <w:r w:rsidRPr="00983246">
        <w:rPr>
          <w:b/>
          <w:lang w:eastAsia="es-ES"/>
        </w:rPr>
        <w:t>.</w:t>
      </w:r>
    </w:p>
    <w:p w14:paraId="2926D79C" w14:textId="77777777" w:rsidR="00984667" w:rsidRPr="00983246" w:rsidRDefault="00984667" w:rsidP="00984667">
      <w:pPr>
        <w:ind w:left="900"/>
        <w:jc w:val="both"/>
        <w:rPr>
          <w:b/>
          <w:sz w:val="22"/>
          <w:szCs w:val="22"/>
          <w:lang w:eastAsia="es-ES"/>
        </w:rPr>
      </w:pPr>
    </w:p>
    <w:p w14:paraId="522A42A1" w14:textId="5A5184F8" w:rsidR="00984667" w:rsidRDefault="00984667" w:rsidP="00984667">
      <w:pPr>
        <w:pStyle w:val="ListParagraph"/>
        <w:numPr>
          <w:ilvl w:val="0"/>
          <w:numId w:val="1"/>
        </w:numPr>
        <w:suppressAutoHyphens/>
        <w:jc w:val="both"/>
      </w:pPr>
      <w:proofErr w:type="gramStart"/>
      <w:r w:rsidRPr="00983246">
        <w:t xml:space="preserve">In </w:t>
      </w:r>
      <w:r w:rsidRPr="008D00CA">
        <w:t>light of</w:t>
      </w:r>
      <w:proofErr w:type="gramEnd"/>
      <w:r w:rsidRPr="008D00CA">
        <w:t xml:space="preserve"> the observations made in sections 3.</w:t>
      </w:r>
      <w:r>
        <w:t>1</w:t>
      </w:r>
      <w:r w:rsidRPr="008D00CA">
        <w:t>, and 3.3 of Chapter II of this Report, the Committee suggests that the country under review consider the following recommendations:</w:t>
      </w:r>
    </w:p>
    <w:p w14:paraId="144BEE13" w14:textId="77777777" w:rsidR="00E64E36" w:rsidRDefault="00E64E36" w:rsidP="00E64E36">
      <w:pPr>
        <w:pStyle w:val="ListParagraph"/>
        <w:suppressAutoHyphens/>
        <w:ind w:left="10"/>
        <w:jc w:val="both"/>
      </w:pPr>
    </w:p>
    <w:p w14:paraId="527AAB44" w14:textId="0C2221E5" w:rsidR="00E64E36" w:rsidRDefault="00E64E36" w:rsidP="00E64E36">
      <w:pPr>
        <w:pStyle w:val="ListParagraph"/>
        <w:numPr>
          <w:ilvl w:val="2"/>
          <w:numId w:val="4"/>
        </w:numPr>
        <w:suppressAutoHyphens/>
        <w:jc w:val="both"/>
        <w:rPr>
          <w:color w:val="000000" w:themeColor="text1"/>
        </w:rPr>
      </w:pPr>
      <w:r>
        <w:t xml:space="preserve">Consider taking the legislative steps to remove the facilitation payment exception in the Foreign Corrupt Practices Act. </w:t>
      </w:r>
      <w:r w:rsidRPr="0020140B">
        <w:rPr>
          <w:color w:val="000000" w:themeColor="text1"/>
        </w:rPr>
        <w:t>(See paragraph 15</w:t>
      </w:r>
      <w:r w:rsidR="006D4A46">
        <w:rPr>
          <w:color w:val="000000" w:themeColor="text1"/>
        </w:rPr>
        <w:t>7</w:t>
      </w:r>
      <w:r w:rsidRPr="0020140B">
        <w:rPr>
          <w:color w:val="000000" w:themeColor="text1"/>
        </w:rPr>
        <w:t xml:space="preserve"> in section 3.</w:t>
      </w:r>
      <w:r>
        <w:rPr>
          <w:color w:val="000000" w:themeColor="text1"/>
        </w:rPr>
        <w:t>1</w:t>
      </w:r>
      <w:r w:rsidRPr="0020140B">
        <w:rPr>
          <w:color w:val="000000" w:themeColor="text1"/>
        </w:rPr>
        <w:t xml:space="preserve"> of Chapter II of this Report)</w:t>
      </w:r>
    </w:p>
    <w:p w14:paraId="3EE398D0" w14:textId="77777777" w:rsidR="00E64E36" w:rsidRDefault="00E64E36" w:rsidP="00E64E36">
      <w:pPr>
        <w:pStyle w:val="ListParagraph"/>
        <w:suppressAutoHyphens/>
        <w:ind w:left="1620"/>
        <w:jc w:val="both"/>
        <w:rPr>
          <w:color w:val="000000" w:themeColor="text1"/>
        </w:rPr>
      </w:pPr>
    </w:p>
    <w:p w14:paraId="0C1BFC3F" w14:textId="4FCF3DE4" w:rsidR="00E64E36" w:rsidRPr="009E194C" w:rsidRDefault="00E64E36" w:rsidP="00E64E36">
      <w:pPr>
        <w:pStyle w:val="ListParagraph"/>
        <w:numPr>
          <w:ilvl w:val="2"/>
          <w:numId w:val="4"/>
        </w:numPr>
        <w:suppressAutoHyphens/>
        <w:jc w:val="both"/>
      </w:pPr>
      <w:r>
        <w:t xml:space="preserve">Maintain </w:t>
      </w:r>
      <w:r w:rsidR="002968CF" w:rsidRPr="002968CF">
        <w:rPr>
          <w:b/>
          <w:bCs/>
          <w:u w:val="single"/>
        </w:rPr>
        <w:t>statistics</w:t>
      </w:r>
      <w:r>
        <w:t xml:space="preserve"> on </w:t>
      </w:r>
      <w:r w:rsidR="009E194C">
        <w:t xml:space="preserve">the number of assistance and cooperation requests received from States Parties of the Inter-American against Corruption, with respect to the offense of transnational bribery. </w:t>
      </w:r>
      <w:r w:rsidR="009E194C" w:rsidRPr="0020140B">
        <w:rPr>
          <w:color w:val="000000" w:themeColor="text1"/>
        </w:rPr>
        <w:t>(See paragraph 1</w:t>
      </w:r>
      <w:r w:rsidR="000C40A3">
        <w:rPr>
          <w:color w:val="000000" w:themeColor="text1"/>
        </w:rPr>
        <w:t>70</w:t>
      </w:r>
      <w:r w:rsidR="009E194C" w:rsidRPr="0020140B">
        <w:rPr>
          <w:color w:val="000000" w:themeColor="text1"/>
        </w:rPr>
        <w:t xml:space="preserve"> in section 3.</w:t>
      </w:r>
      <w:r w:rsidR="009A0D53">
        <w:rPr>
          <w:color w:val="000000" w:themeColor="text1"/>
        </w:rPr>
        <w:t>3</w:t>
      </w:r>
      <w:r w:rsidR="009E194C" w:rsidRPr="0020140B">
        <w:rPr>
          <w:color w:val="000000" w:themeColor="text1"/>
        </w:rPr>
        <w:t xml:space="preserve"> of Chapter II of this Report)</w:t>
      </w:r>
    </w:p>
    <w:p w14:paraId="366EB45B" w14:textId="77777777" w:rsidR="009E194C" w:rsidRDefault="009E194C" w:rsidP="009E194C">
      <w:pPr>
        <w:pStyle w:val="ListParagraph"/>
      </w:pPr>
    </w:p>
    <w:p w14:paraId="779551C4" w14:textId="0399D209" w:rsidR="009E194C" w:rsidRDefault="009E194C" w:rsidP="009E194C">
      <w:pPr>
        <w:pStyle w:val="ListParagraph"/>
        <w:numPr>
          <w:ilvl w:val="2"/>
          <w:numId w:val="4"/>
        </w:numPr>
        <w:suppressAutoHyphens/>
        <w:jc w:val="both"/>
      </w:pPr>
      <w:r>
        <w:t xml:space="preserve">Maintain </w:t>
      </w:r>
      <w:r w:rsidR="002968CF" w:rsidRPr="002968CF">
        <w:rPr>
          <w:b/>
          <w:bCs/>
          <w:u w:val="single"/>
        </w:rPr>
        <w:t>statistics</w:t>
      </w:r>
      <w:r>
        <w:t xml:space="preserve"> on the number of assistance and cooperation requests made to State Parties of the Inter-American against Corruption, with respect to the offense of transnational bribery. </w:t>
      </w:r>
      <w:r w:rsidRPr="0020140B">
        <w:rPr>
          <w:color w:val="000000" w:themeColor="text1"/>
        </w:rPr>
        <w:t>(See paragraph 1</w:t>
      </w:r>
      <w:r w:rsidR="000C40A3">
        <w:rPr>
          <w:color w:val="000000" w:themeColor="text1"/>
        </w:rPr>
        <w:t>70</w:t>
      </w:r>
      <w:r w:rsidRPr="0020140B">
        <w:rPr>
          <w:color w:val="000000" w:themeColor="text1"/>
        </w:rPr>
        <w:t xml:space="preserve"> in section 3.</w:t>
      </w:r>
      <w:r w:rsidR="009A0D53">
        <w:rPr>
          <w:color w:val="000000" w:themeColor="text1"/>
        </w:rPr>
        <w:t>3</w:t>
      </w:r>
      <w:r w:rsidRPr="0020140B">
        <w:rPr>
          <w:color w:val="000000" w:themeColor="text1"/>
        </w:rPr>
        <w:t xml:space="preserve"> of Chapter II of this Report)</w:t>
      </w:r>
    </w:p>
    <w:p w14:paraId="78FF1E94" w14:textId="77777777" w:rsidR="009E194C" w:rsidRDefault="009E194C" w:rsidP="009E194C">
      <w:pPr>
        <w:suppressAutoHyphens/>
        <w:jc w:val="both"/>
      </w:pPr>
    </w:p>
    <w:p w14:paraId="5B82D1BE" w14:textId="77777777" w:rsidR="009E194C" w:rsidRDefault="009E194C" w:rsidP="009E194C">
      <w:pPr>
        <w:suppressAutoHyphens/>
        <w:jc w:val="both"/>
      </w:pPr>
    </w:p>
    <w:p w14:paraId="39AE6024" w14:textId="77777777" w:rsidR="00984667" w:rsidRPr="00983246" w:rsidRDefault="00984667">
      <w:pPr>
        <w:pStyle w:val="ListParagraph"/>
        <w:numPr>
          <w:ilvl w:val="0"/>
          <w:numId w:val="7"/>
        </w:numPr>
        <w:ind w:left="360"/>
        <w:jc w:val="both"/>
        <w:rPr>
          <w:rFonts w:eastAsia="Times New Roman"/>
          <w:b/>
          <w:lang w:eastAsia="es-ES"/>
        </w:rPr>
      </w:pPr>
      <w:r w:rsidRPr="00983246">
        <w:rPr>
          <w:b/>
        </w:rPr>
        <w:t>ILLICIT ENRICHMENT (ARTICLE IX OF THE CONVENTION)</w:t>
      </w:r>
      <w:r w:rsidRPr="00983246">
        <w:rPr>
          <w:b/>
          <w:spacing w:val="-2"/>
        </w:rPr>
        <w:t>.</w:t>
      </w:r>
    </w:p>
    <w:p w14:paraId="71AB0AD5" w14:textId="77777777" w:rsidR="00984667" w:rsidRPr="00983246" w:rsidRDefault="00984667" w:rsidP="00984667">
      <w:pPr>
        <w:pStyle w:val="ListParagraph"/>
        <w:ind w:left="360"/>
        <w:jc w:val="both"/>
        <w:rPr>
          <w:rFonts w:eastAsia="Times New Roman"/>
          <w:b/>
          <w:lang w:eastAsia="es-ES"/>
        </w:rPr>
      </w:pPr>
    </w:p>
    <w:p w14:paraId="49CB91B4" w14:textId="0EAB6C37" w:rsidR="00984667" w:rsidRPr="00983246" w:rsidRDefault="00984667">
      <w:pPr>
        <w:pStyle w:val="ListParagraph"/>
        <w:numPr>
          <w:ilvl w:val="1"/>
          <w:numId w:val="7"/>
        </w:numPr>
        <w:jc w:val="both"/>
        <w:rPr>
          <w:b/>
          <w:lang w:eastAsia="es-ES"/>
        </w:rPr>
      </w:pPr>
      <w:r w:rsidRPr="00983246">
        <w:rPr>
          <w:b/>
        </w:rPr>
        <w:t>Follow</w:t>
      </w:r>
      <w:r w:rsidR="00A17A4E">
        <w:rPr>
          <w:b/>
        </w:rPr>
        <w:t>-U</w:t>
      </w:r>
      <w:r w:rsidRPr="00983246">
        <w:rPr>
          <w:b/>
        </w:rPr>
        <w:t>p to the Implementation of the Recommendations Formulated in the Third Round.</w:t>
      </w:r>
    </w:p>
    <w:p w14:paraId="21A177B1" w14:textId="77777777" w:rsidR="00984667" w:rsidRPr="00983246" w:rsidRDefault="00984667" w:rsidP="00984667">
      <w:pPr>
        <w:pStyle w:val="ListParagraph"/>
        <w:ind w:left="10"/>
        <w:jc w:val="both"/>
      </w:pPr>
    </w:p>
    <w:p w14:paraId="4A7977D9" w14:textId="661AA260" w:rsidR="00984667" w:rsidRPr="00983246" w:rsidRDefault="00984667" w:rsidP="00337CBC">
      <w:pPr>
        <w:pStyle w:val="ListParagraph"/>
        <w:numPr>
          <w:ilvl w:val="0"/>
          <w:numId w:val="1"/>
        </w:numPr>
        <w:suppressAutoHyphens/>
        <w:jc w:val="both"/>
      </w:pPr>
      <w:r w:rsidRPr="009E194C">
        <w:rPr>
          <w:rFonts w:eastAsiaTheme="minorHAnsi"/>
          <w:bCs/>
          <w:iCs/>
        </w:rPr>
        <w:t>The United States</w:t>
      </w:r>
      <w:r w:rsidRPr="00983246">
        <w:t xml:space="preserve"> has not criminalized illicit enrichment as provided in Article IX of the Convention, on the ground that </w:t>
      </w:r>
      <w:r w:rsidR="009E194C">
        <w:t xml:space="preserve">it places the burden of proof on the defendant, which is inconsistent with the United States constitution and fundamental principles of the United States legal system, and therefore </w:t>
      </w:r>
      <w:r w:rsidRPr="00983246">
        <w:t>made a reservation with respect to this Article of the Convention upon deposit of its instrument of ratification. The Committee took note of the explanation offered by the country under review in the Report of the Third Round, and no recommendations were formulated on this topic.</w:t>
      </w:r>
      <w:r w:rsidRPr="00983246">
        <w:rPr>
          <w:rStyle w:val="FootnoteReference"/>
        </w:rPr>
        <w:footnoteReference w:id="117"/>
      </w:r>
    </w:p>
    <w:p w14:paraId="30F7A2AA" w14:textId="77777777" w:rsidR="00984667" w:rsidRPr="00983246" w:rsidRDefault="00984667" w:rsidP="00984667">
      <w:pPr>
        <w:pStyle w:val="ListParagraph"/>
        <w:ind w:left="10"/>
        <w:jc w:val="both"/>
      </w:pPr>
    </w:p>
    <w:p w14:paraId="27281DA4" w14:textId="77777777" w:rsidR="00984667" w:rsidRPr="00983246" w:rsidRDefault="00984667">
      <w:pPr>
        <w:pStyle w:val="ListParagraph"/>
        <w:numPr>
          <w:ilvl w:val="1"/>
          <w:numId w:val="7"/>
        </w:numPr>
        <w:jc w:val="both"/>
        <w:rPr>
          <w:rFonts w:eastAsia="Times New Roman"/>
          <w:b/>
          <w:lang w:eastAsia="es-ES"/>
        </w:rPr>
      </w:pPr>
      <w:r w:rsidRPr="00983246">
        <w:rPr>
          <w:b/>
        </w:rPr>
        <w:t xml:space="preserve">New Developments with respect to the provision of the Convention on Illicit Enrichment. </w:t>
      </w:r>
    </w:p>
    <w:p w14:paraId="4905D3CD" w14:textId="77777777" w:rsidR="00984667" w:rsidRPr="00983246" w:rsidRDefault="00984667" w:rsidP="00984667">
      <w:pPr>
        <w:jc w:val="both"/>
        <w:rPr>
          <w:rFonts w:eastAsiaTheme="minorEastAsia"/>
          <w:color w:val="000000" w:themeColor="text1"/>
          <w:sz w:val="22"/>
          <w:szCs w:val="22"/>
        </w:rPr>
      </w:pPr>
    </w:p>
    <w:p w14:paraId="7F9B344A" w14:textId="77777777" w:rsidR="00984667" w:rsidRPr="00983246" w:rsidRDefault="00984667">
      <w:pPr>
        <w:pStyle w:val="ListParagraph"/>
        <w:numPr>
          <w:ilvl w:val="2"/>
          <w:numId w:val="7"/>
        </w:numPr>
        <w:ind w:left="1440"/>
        <w:jc w:val="both"/>
        <w:rPr>
          <w:rFonts w:eastAsia="Times New Roman"/>
          <w:b/>
          <w:lang w:eastAsia="es-ES"/>
        </w:rPr>
      </w:pPr>
      <w:r w:rsidRPr="00983246">
        <w:rPr>
          <w:b/>
        </w:rPr>
        <w:t>New Developments with Respect to the Legal Framework</w:t>
      </w:r>
      <w:r w:rsidRPr="00983246">
        <w:rPr>
          <w:b/>
          <w:lang w:eastAsia="es-ES"/>
        </w:rPr>
        <w:t>.</w:t>
      </w:r>
    </w:p>
    <w:p w14:paraId="0031EC67" w14:textId="77777777" w:rsidR="00984667" w:rsidRPr="00983246" w:rsidRDefault="00984667" w:rsidP="00984667">
      <w:pPr>
        <w:jc w:val="both"/>
        <w:rPr>
          <w:b/>
          <w:sz w:val="22"/>
          <w:szCs w:val="22"/>
          <w:lang w:eastAsia="es-ES"/>
        </w:rPr>
      </w:pPr>
    </w:p>
    <w:p w14:paraId="1646E617" w14:textId="77777777" w:rsidR="00984667" w:rsidRPr="00983246" w:rsidRDefault="00984667" w:rsidP="00984667">
      <w:pPr>
        <w:pStyle w:val="ListParagraph"/>
        <w:numPr>
          <w:ilvl w:val="0"/>
          <w:numId w:val="1"/>
        </w:numPr>
        <w:suppressAutoHyphens/>
        <w:jc w:val="both"/>
      </w:pPr>
      <w:r w:rsidRPr="00983246">
        <w:rPr>
          <w:rFonts w:eastAsiaTheme="minorHAnsi"/>
          <w:bCs/>
          <w:iCs/>
        </w:rPr>
        <w:t>The</w:t>
      </w:r>
      <w:r w:rsidRPr="00983246">
        <w:t xml:space="preserve"> country under review did not present new developments with respect to the legal framework in relation to illicit enrichment.</w:t>
      </w:r>
      <w:r w:rsidRPr="00983246">
        <w:rPr>
          <w:rStyle w:val="FootnoteReference"/>
        </w:rPr>
        <w:footnoteReference w:id="118"/>
      </w:r>
      <w:r w:rsidRPr="00983246">
        <w:t xml:space="preserve"> </w:t>
      </w:r>
    </w:p>
    <w:p w14:paraId="38F5BC73" w14:textId="77777777" w:rsidR="00984667" w:rsidRPr="00983246" w:rsidRDefault="00984667" w:rsidP="00984667">
      <w:pPr>
        <w:pStyle w:val="ListParagraph"/>
        <w:ind w:left="10"/>
        <w:jc w:val="both"/>
      </w:pPr>
    </w:p>
    <w:p w14:paraId="464B638C" w14:textId="77777777" w:rsidR="00984667" w:rsidRPr="00983246" w:rsidRDefault="00984667" w:rsidP="00984667">
      <w:pPr>
        <w:suppressAutoHyphens/>
        <w:autoSpaceDE w:val="0"/>
        <w:autoSpaceDN w:val="0"/>
        <w:adjustRightInd w:val="0"/>
        <w:ind w:left="1440" w:hanging="720"/>
        <w:contextualSpacing/>
        <w:jc w:val="both"/>
        <w:rPr>
          <w:b/>
          <w:sz w:val="22"/>
          <w:szCs w:val="22"/>
        </w:rPr>
      </w:pPr>
      <w:r w:rsidRPr="00983246">
        <w:rPr>
          <w:b/>
          <w:sz w:val="22"/>
          <w:szCs w:val="22"/>
        </w:rPr>
        <w:t xml:space="preserve">4.2.2. New Developments with Respect to Technology. </w:t>
      </w:r>
    </w:p>
    <w:p w14:paraId="5536C0C2" w14:textId="77777777" w:rsidR="00984667" w:rsidRPr="00983246" w:rsidRDefault="00984667" w:rsidP="00984667">
      <w:pPr>
        <w:suppressAutoHyphens/>
        <w:autoSpaceDE w:val="0"/>
        <w:autoSpaceDN w:val="0"/>
        <w:adjustRightInd w:val="0"/>
        <w:contextualSpacing/>
        <w:jc w:val="both"/>
        <w:rPr>
          <w:sz w:val="22"/>
          <w:szCs w:val="22"/>
        </w:rPr>
      </w:pPr>
    </w:p>
    <w:p w14:paraId="308DB695" w14:textId="77777777" w:rsidR="00984667" w:rsidRPr="00983246" w:rsidRDefault="00984667" w:rsidP="00984667">
      <w:pPr>
        <w:pStyle w:val="ListParagraph"/>
        <w:numPr>
          <w:ilvl w:val="0"/>
          <w:numId w:val="1"/>
        </w:numPr>
        <w:suppressAutoHyphens/>
        <w:jc w:val="both"/>
      </w:pPr>
      <w:r w:rsidRPr="00983246">
        <w:rPr>
          <w:rFonts w:eastAsiaTheme="minorHAnsi"/>
          <w:bCs/>
          <w:iCs/>
        </w:rPr>
        <w:t>The</w:t>
      </w:r>
      <w:r w:rsidRPr="00983246">
        <w:t xml:space="preserve"> country under review did not present new developments with respect to technology in relation to illicit enrichment.</w:t>
      </w:r>
      <w:r w:rsidRPr="00983246">
        <w:rPr>
          <w:rStyle w:val="FootnoteReference"/>
        </w:rPr>
        <w:footnoteReference w:id="119"/>
      </w:r>
    </w:p>
    <w:p w14:paraId="47A23F61" w14:textId="77777777" w:rsidR="00984667" w:rsidRPr="00983246" w:rsidRDefault="00984667" w:rsidP="00984667">
      <w:pPr>
        <w:pStyle w:val="ListParagraph"/>
        <w:ind w:left="10"/>
        <w:jc w:val="both"/>
      </w:pPr>
    </w:p>
    <w:p w14:paraId="3666507E" w14:textId="77777777" w:rsidR="00984667" w:rsidRPr="00983246" w:rsidRDefault="00984667">
      <w:pPr>
        <w:pStyle w:val="ListParagraph"/>
        <w:numPr>
          <w:ilvl w:val="1"/>
          <w:numId w:val="7"/>
        </w:numPr>
        <w:jc w:val="both"/>
        <w:rPr>
          <w:b/>
          <w:lang w:eastAsia="es-ES"/>
        </w:rPr>
      </w:pPr>
      <w:r w:rsidRPr="00983246">
        <w:rPr>
          <w:b/>
          <w:lang w:eastAsia="es-ES"/>
        </w:rPr>
        <w:t>Results.</w:t>
      </w:r>
    </w:p>
    <w:p w14:paraId="0E2ACCF7" w14:textId="77777777" w:rsidR="00984667" w:rsidRDefault="00984667" w:rsidP="00984667">
      <w:pPr>
        <w:suppressAutoHyphens/>
        <w:contextualSpacing/>
        <w:jc w:val="both"/>
        <w:rPr>
          <w:sz w:val="22"/>
          <w:szCs w:val="22"/>
        </w:rPr>
      </w:pPr>
    </w:p>
    <w:p w14:paraId="1B05D562" w14:textId="5E796772" w:rsidR="00984667" w:rsidRPr="00983246" w:rsidRDefault="00984667" w:rsidP="00984667">
      <w:pPr>
        <w:pStyle w:val="ListParagraph"/>
        <w:numPr>
          <w:ilvl w:val="0"/>
          <w:numId w:val="1"/>
        </w:numPr>
        <w:suppressAutoHyphens/>
        <w:jc w:val="both"/>
      </w:pPr>
      <w:r w:rsidRPr="00983246">
        <w:t>In its Response to the Questionnaire the country under review did not provide any results.</w:t>
      </w:r>
      <w:r w:rsidRPr="00983246">
        <w:rPr>
          <w:rStyle w:val="FootnoteReference"/>
        </w:rPr>
        <w:footnoteReference w:id="120"/>
      </w:r>
      <w:r w:rsidRPr="00983246">
        <w:rPr>
          <w:rStyle w:val="FootnoteReference"/>
        </w:rPr>
        <w:t xml:space="preserve"> </w:t>
      </w:r>
      <w:r w:rsidRPr="00983246">
        <w:t>The Committee observes, however, that</w:t>
      </w:r>
      <w:r w:rsidR="003B179A">
        <w:t xml:space="preserve"> </w:t>
      </w:r>
      <w:r w:rsidR="003B179A" w:rsidRPr="00EE4ED5">
        <w:t xml:space="preserve">Article </w:t>
      </w:r>
      <w:r w:rsidR="001A7148" w:rsidRPr="00EE4ED5">
        <w:t>IX</w:t>
      </w:r>
      <w:r w:rsidR="00924A08" w:rsidRPr="00EE4ED5">
        <w:t xml:space="preserve"> of</w:t>
      </w:r>
      <w:r w:rsidRPr="00983246">
        <w:t xml:space="preserve"> the Convention provide</w:t>
      </w:r>
      <w:r w:rsidR="00924A08" w:rsidRPr="00EE4ED5">
        <w:t>s</w:t>
      </w:r>
      <w:r w:rsidR="00924A08">
        <w:t xml:space="preserve"> </w:t>
      </w:r>
      <w:r w:rsidRPr="00983246">
        <w:t xml:space="preserve">that any State Party that has not established illicit enrichment as an offense, as in the case of </w:t>
      </w:r>
      <w:r w:rsidR="00AB4B39">
        <w:t>that United States</w:t>
      </w:r>
      <w:r w:rsidRPr="00983246">
        <w:t xml:space="preserve">, </w:t>
      </w:r>
      <w:r w:rsidR="0069275B" w:rsidRPr="00EE4ED5">
        <w:t>“</w:t>
      </w:r>
      <w:r w:rsidRPr="00983246">
        <w:t>shall, insofar as its laws permit, provide assistance and cooperation with respect to this offense</w:t>
      </w:r>
      <w:r w:rsidR="00924A08">
        <w:t xml:space="preserve"> </w:t>
      </w:r>
      <w:r w:rsidR="0069275B" w:rsidRPr="00EE4ED5">
        <w:t>as provided in this Convention.”</w:t>
      </w:r>
    </w:p>
    <w:p w14:paraId="49D7C62D" w14:textId="77777777" w:rsidR="00984667" w:rsidRPr="00983246" w:rsidRDefault="00984667" w:rsidP="00984667">
      <w:pPr>
        <w:suppressAutoHyphens/>
        <w:ind w:left="10"/>
        <w:contextualSpacing/>
        <w:jc w:val="both"/>
        <w:rPr>
          <w:sz w:val="22"/>
          <w:szCs w:val="22"/>
        </w:rPr>
      </w:pPr>
    </w:p>
    <w:p w14:paraId="75DA8150" w14:textId="75269310" w:rsidR="00984667" w:rsidRPr="00983246" w:rsidRDefault="00984667" w:rsidP="00984667">
      <w:pPr>
        <w:pStyle w:val="ListParagraph"/>
        <w:numPr>
          <w:ilvl w:val="0"/>
          <w:numId w:val="1"/>
        </w:numPr>
        <w:suppressAutoHyphens/>
        <w:jc w:val="both"/>
      </w:pPr>
      <w:r w:rsidRPr="00983246">
        <w:lastRenderedPageBreak/>
        <w:t xml:space="preserve">The Committee observes that in the </w:t>
      </w:r>
      <w:r w:rsidR="00AB4B39">
        <w:t>Report</w:t>
      </w:r>
      <w:r w:rsidRPr="00983246">
        <w:t xml:space="preserve"> of the Third Round, the country under review noted the following, which remains relevant:</w:t>
      </w:r>
      <w:r w:rsidRPr="00983246">
        <w:rPr>
          <w:rStyle w:val="FootnoteReference"/>
        </w:rPr>
        <w:footnoteReference w:id="121"/>
      </w:r>
    </w:p>
    <w:p w14:paraId="5A9FD984" w14:textId="77777777" w:rsidR="00984667" w:rsidRPr="00983246" w:rsidRDefault="00984667" w:rsidP="00984667">
      <w:pPr>
        <w:pStyle w:val="ListParagraph"/>
      </w:pPr>
    </w:p>
    <w:p w14:paraId="416875BE" w14:textId="1B33006B" w:rsidR="00984667" w:rsidRPr="00983246" w:rsidRDefault="00984667" w:rsidP="00984667">
      <w:pPr>
        <w:pStyle w:val="ListParagraph"/>
        <w:numPr>
          <w:ilvl w:val="0"/>
          <w:numId w:val="1"/>
        </w:numPr>
        <w:suppressAutoHyphens/>
        <w:jc w:val="both"/>
      </w:pPr>
      <w:r w:rsidRPr="00983246">
        <w:t>“</w:t>
      </w:r>
      <w:r w:rsidR="00AB4B39" w:rsidRPr="00AB4B39">
        <w:rPr>
          <w:i/>
          <w:iCs/>
        </w:rPr>
        <w:t>The United States of America intends to assist and cooperate with other States Parties pursuant to paragraph 3 of Article IX of the Convention to the extent permitted by its domestic law</w:t>
      </w:r>
      <w:r w:rsidR="00AB4B39">
        <w:rPr>
          <w:i/>
          <w:iCs/>
        </w:rPr>
        <w:t>…</w:t>
      </w:r>
      <w:r w:rsidR="00E13BDE" w:rsidRPr="00E13BDE">
        <w:t xml:space="preserve"> </w:t>
      </w:r>
      <w:r w:rsidR="00E13BDE" w:rsidRPr="00E13BDE">
        <w:rPr>
          <w:i/>
          <w:iCs/>
        </w:rPr>
        <w:t>The Central Authority for the United States in mutual legal assistance in criminal matters is DOJ’s Office of International Affairs (OIA) in the Criminal Division. OIA maintains records of more than 50,000 mutual legal assistance matters, over 40,000 of which are completed and closed. Many codes in the system could encompass bribery of a public official and illicit enrichment, and it is not clear from the database which cases specifically address those offenses covered under the corruption provisions of the Convention. Those offenses could be coded as bribery, embezzlement, tax evasion, official corruption, foreign corrupt public officials, and the Foreign Corrupt Practices Act</w:t>
      </w:r>
      <w:r w:rsidR="00E13BDE">
        <w:t>.</w:t>
      </w:r>
      <w:r w:rsidRPr="00983246">
        <w:t>”</w:t>
      </w:r>
    </w:p>
    <w:p w14:paraId="5F79DD3A" w14:textId="77777777" w:rsidR="00984667" w:rsidRPr="00983246" w:rsidRDefault="00984667" w:rsidP="00984667">
      <w:pPr>
        <w:pStyle w:val="ListParagraph"/>
      </w:pPr>
    </w:p>
    <w:p w14:paraId="6128E6CA" w14:textId="75210917" w:rsidR="00984667" w:rsidRPr="00983246" w:rsidRDefault="00E13BDE" w:rsidP="00984667">
      <w:pPr>
        <w:pStyle w:val="ListParagraph"/>
        <w:numPr>
          <w:ilvl w:val="0"/>
          <w:numId w:val="1"/>
        </w:numPr>
        <w:suppressAutoHyphens/>
        <w:jc w:val="both"/>
      </w:pPr>
      <w:r>
        <w:t xml:space="preserve">The Committee notes that the difficulty set out in the Report of the Third Round was also </w:t>
      </w:r>
      <w:r w:rsidR="00A041C4">
        <w:t>observed by</w:t>
      </w:r>
      <w:r>
        <w:t xml:space="preserve"> the representatives of the USDOJ Office of International Affairs during the on-site visit, </w:t>
      </w:r>
      <w:r w:rsidR="00EC692D">
        <w:t xml:space="preserve">regarding maintaining </w:t>
      </w:r>
      <w:r w:rsidR="00E06DD3">
        <w:rPr>
          <w:b/>
          <w:bCs/>
          <w:u w:val="single"/>
        </w:rPr>
        <w:t>statistics</w:t>
      </w:r>
      <w:r w:rsidR="00EC692D">
        <w:t xml:space="preserve"> on assistance and cooperation. The Committee observes, however, that the country under review, despite these challenges, was able to compile statistics as it related to transnational bribery</w:t>
      </w:r>
      <w:r w:rsidR="000F7320">
        <w:t xml:space="preserve">, as noted in the consideration of the topic above, and could also </w:t>
      </w:r>
      <w:r w:rsidR="00FB1185">
        <w:t>undertake</w:t>
      </w:r>
      <w:r w:rsidR="000F7320">
        <w:t xml:space="preserve"> to maintain </w:t>
      </w:r>
      <w:r w:rsidR="00E06DD3">
        <w:rPr>
          <w:b/>
          <w:bCs/>
          <w:u w:val="single"/>
        </w:rPr>
        <w:t>statistics</w:t>
      </w:r>
      <w:r w:rsidR="000F7320">
        <w:t xml:space="preserve"> on assistance and cooperation as it relates to illicit enrichment</w:t>
      </w:r>
      <w:r w:rsidR="00EC692D">
        <w:t xml:space="preserve">. </w:t>
      </w:r>
      <w:r w:rsidR="00984667" w:rsidRPr="00983246">
        <w:t>Given the foregoing, the Committee will formulate a recommendation in this regard. (See the sole Recommendation in section 4.4 of Chapter II of this Report)</w:t>
      </w:r>
    </w:p>
    <w:p w14:paraId="792AC2B9" w14:textId="77777777" w:rsidR="00984667" w:rsidRPr="00983246" w:rsidRDefault="00984667" w:rsidP="00984667">
      <w:pPr>
        <w:pStyle w:val="ListParagraph"/>
      </w:pPr>
    </w:p>
    <w:p w14:paraId="787D3042" w14:textId="77777777" w:rsidR="00984667" w:rsidRPr="00983246" w:rsidRDefault="00984667">
      <w:pPr>
        <w:pStyle w:val="ListParagraph"/>
        <w:numPr>
          <w:ilvl w:val="1"/>
          <w:numId w:val="7"/>
        </w:numPr>
        <w:jc w:val="both"/>
        <w:rPr>
          <w:b/>
          <w:bCs/>
        </w:rPr>
      </w:pPr>
      <w:r w:rsidRPr="00983246">
        <w:rPr>
          <w:b/>
          <w:lang w:eastAsia="es-ES"/>
        </w:rPr>
        <w:t>Recommendations</w:t>
      </w:r>
    </w:p>
    <w:p w14:paraId="75B15A52" w14:textId="77777777" w:rsidR="00984667" w:rsidRPr="00983246" w:rsidRDefault="00984667" w:rsidP="00984667">
      <w:pPr>
        <w:jc w:val="both"/>
        <w:rPr>
          <w:b/>
          <w:bCs/>
          <w:sz w:val="22"/>
          <w:szCs w:val="22"/>
        </w:rPr>
      </w:pPr>
    </w:p>
    <w:p w14:paraId="2FE2EFDB" w14:textId="77777777" w:rsidR="00984667" w:rsidRPr="00983246" w:rsidRDefault="00984667" w:rsidP="00984667">
      <w:pPr>
        <w:pStyle w:val="ListParagraph"/>
        <w:numPr>
          <w:ilvl w:val="0"/>
          <w:numId w:val="1"/>
        </w:numPr>
        <w:suppressAutoHyphens/>
        <w:jc w:val="both"/>
      </w:pPr>
      <w:proofErr w:type="gramStart"/>
      <w:r w:rsidRPr="00983246">
        <w:t>In light of</w:t>
      </w:r>
      <w:proofErr w:type="gramEnd"/>
      <w:r w:rsidRPr="00983246">
        <w:t xml:space="preserve"> the observations formulated in section 4.3 of Chapter II of this Report, the Committee suggests that the country under review consider the following recommendation: </w:t>
      </w:r>
    </w:p>
    <w:p w14:paraId="301865F9" w14:textId="77777777" w:rsidR="00984667" w:rsidRPr="00983246" w:rsidRDefault="00984667" w:rsidP="00984667">
      <w:pPr>
        <w:pStyle w:val="ListParagraph"/>
        <w:suppressAutoHyphens/>
        <w:ind w:left="10"/>
        <w:jc w:val="both"/>
      </w:pPr>
    </w:p>
    <w:p w14:paraId="036AFC03" w14:textId="26926974" w:rsidR="00984667" w:rsidRDefault="00984667" w:rsidP="00EC692D">
      <w:pPr>
        <w:pStyle w:val="ListParagraph"/>
        <w:numPr>
          <w:ilvl w:val="1"/>
          <w:numId w:val="1"/>
        </w:numPr>
        <w:suppressAutoHyphens/>
        <w:jc w:val="both"/>
        <w:rPr>
          <w:color w:val="000000" w:themeColor="text1"/>
        </w:rPr>
      </w:pPr>
      <w:r w:rsidRPr="00983246">
        <w:t xml:space="preserve">Maintain </w:t>
      </w:r>
      <w:r w:rsidR="00EF0A1A">
        <w:rPr>
          <w:b/>
          <w:bCs/>
          <w:u w:val="single"/>
        </w:rPr>
        <w:t>statistics</w:t>
      </w:r>
      <w:r w:rsidRPr="00983246">
        <w:t xml:space="preserve"> on the provision of assistance and cooperation to States Parties of the Inter-American Convention against Corruption, with respect to the offense of illicit enrichment. </w:t>
      </w:r>
      <w:r w:rsidRPr="00983246">
        <w:rPr>
          <w:color w:val="000000" w:themeColor="text1"/>
        </w:rPr>
        <w:t xml:space="preserve">(See paragraph </w:t>
      </w:r>
      <w:r>
        <w:rPr>
          <w:color w:val="000000" w:themeColor="text1"/>
        </w:rPr>
        <w:t>17</w:t>
      </w:r>
      <w:r w:rsidR="000C40A3">
        <w:rPr>
          <w:color w:val="000000" w:themeColor="text1"/>
        </w:rPr>
        <w:t>8</w:t>
      </w:r>
      <w:r w:rsidRPr="00983246">
        <w:rPr>
          <w:color w:val="000000" w:themeColor="text1"/>
        </w:rPr>
        <w:t xml:space="preserve"> in section 4.3 of Chapter II of this Report)</w:t>
      </w:r>
    </w:p>
    <w:p w14:paraId="3445E9E2" w14:textId="77777777" w:rsidR="00984667" w:rsidRDefault="00984667" w:rsidP="00984667">
      <w:pPr>
        <w:pStyle w:val="ListParagraph"/>
        <w:suppressAutoHyphens/>
        <w:ind w:left="10"/>
        <w:jc w:val="both"/>
        <w:rPr>
          <w:color w:val="000000" w:themeColor="text1"/>
        </w:rPr>
      </w:pPr>
    </w:p>
    <w:p w14:paraId="3E641645" w14:textId="77777777" w:rsidR="00984667" w:rsidRPr="00346AAE" w:rsidRDefault="00984667">
      <w:pPr>
        <w:pStyle w:val="ListParagraph"/>
        <w:numPr>
          <w:ilvl w:val="0"/>
          <w:numId w:val="8"/>
        </w:numPr>
        <w:ind w:left="360"/>
        <w:jc w:val="both"/>
        <w:rPr>
          <w:bCs/>
        </w:rPr>
      </w:pPr>
      <w:r w:rsidRPr="00346AAE">
        <w:rPr>
          <w:b/>
        </w:rPr>
        <w:t>NOTIFICATION OF CRIMINALIZATION OF TRANSNATIONAL BRIBERY AND ILLICIT ENRICHMENT (ARTICLE X OF THE CONVENTION)</w:t>
      </w:r>
    </w:p>
    <w:p w14:paraId="20B723D1" w14:textId="77777777" w:rsidR="00984667" w:rsidRPr="00346AAE" w:rsidRDefault="00984667" w:rsidP="00984667">
      <w:pPr>
        <w:jc w:val="both"/>
        <w:rPr>
          <w:bCs/>
          <w:sz w:val="22"/>
          <w:szCs w:val="22"/>
        </w:rPr>
      </w:pPr>
    </w:p>
    <w:p w14:paraId="2CE5DF18" w14:textId="77777777" w:rsidR="00984667" w:rsidRDefault="00984667" w:rsidP="00984667">
      <w:pPr>
        <w:pStyle w:val="ListParagraph"/>
        <w:numPr>
          <w:ilvl w:val="0"/>
          <w:numId w:val="1"/>
        </w:numPr>
        <w:suppressAutoHyphens/>
        <w:jc w:val="both"/>
        <w:rPr>
          <w:color w:val="000000" w:themeColor="text1"/>
        </w:rPr>
      </w:pPr>
      <w:r w:rsidRPr="00346AAE">
        <w:t>No recommendations were made to the country under review regarding this provision of the Convention</w:t>
      </w:r>
      <w:r w:rsidRPr="00346AAE">
        <w:rPr>
          <w:color w:val="000000" w:themeColor="text1"/>
        </w:rPr>
        <w:t xml:space="preserve">. </w:t>
      </w:r>
    </w:p>
    <w:p w14:paraId="2131DC1D" w14:textId="77777777" w:rsidR="00984667" w:rsidRDefault="00984667" w:rsidP="00984667">
      <w:pPr>
        <w:pStyle w:val="ListParagraph"/>
        <w:suppressAutoHyphens/>
        <w:ind w:left="10"/>
        <w:jc w:val="both"/>
        <w:rPr>
          <w:color w:val="000000" w:themeColor="text1"/>
        </w:rPr>
      </w:pPr>
    </w:p>
    <w:p w14:paraId="17005BB6" w14:textId="77777777" w:rsidR="00984667" w:rsidRPr="00346AAE" w:rsidRDefault="00984667">
      <w:pPr>
        <w:pStyle w:val="ListParagraph"/>
        <w:numPr>
          <w:ilvl w:val="0"/>
          <w:numId w:val="8"/>
        </w:numPr>
        <w:ind w:left="360"/>
        <w:jc w:val="both"/>
        <w:rPr>
          <w:b/>
          <w:spacing w:val="-2"/>
        </w:rPr>
      </w:pPr>
      <w:r w:rsidRPr="00346AAE">
        <w:rPr>
          <w:b/>
        </w:rPr>
        <w:t>EXTRADITION (ARTICLE XIII OF THE CONVENTION).</w:t>
      </w:r>
    </w:p>
    <w:p w14:paraId="03CB2106" w14:textId="77777777" w:rsidR="00984667" w:rsidRPr="00346AAE" w:rsidRDefault="00984667" w:rsidP="00984667">
      <w:pPr>
        <w:pStyle w:val="ListParagraph"/>
        <w:ind w:left="360"/>
        <w:jc w:val="both"/>
        <w:rPr>
          <w:b/>
          <w:spacing w:val="-2"/>
        </w:rPr>
      </w:pPr>
    </w:p>
    <w:p w14:paraId="22BE96BC" w14:textId="77B1C420" w:rsidR="00984667" w:rsidRPr="00346AAE" w:rsidRDefault="00984667">
      <w:pPr>
        <w:pStyle w:val="ListParagraph"/>
        <w:numPr>
          <w:ilvl w:val="1"/>
          <w:numId w:val="9"/>
        </w:numPr>
        <w:ind w:left="720"/>
        <w:jc w:val="both"/>
        <w:rPr>
          <w:b/>
          <w:lang w:eastAsia="es-ES"/>
        </w:rPr>
      </w:pPr>
      <w:r w:rsidRPr="00346AAE">
        <w:rPr>
          <w:b/>
          <w:bCs/>
        </w:rPr>
        <w:t xml:space="preserve">Follow-Up to the Implementation of the </w:t>
      </w:r>
      <w:r w:rsidR="00A17A4E">
        <w:rPr>
          <w:b/>
          <w:bCs/>
        </w:rPr>
        <w:t>R</w:t>
      </w:r>
      <w:r w:rsidRPr="00346AAE">
        <w:rPr>
          <w:b/>
          <w:bCs/>
        </w:rPr>
        <w:t xml:space="preserve">ecommendations </w:t>
      </w:r>
      <w:r w:rsidR="00A17A4E">
        <w:rPr>
          <w:b/>
          <w:bCs/>
        </w:rPr>
        <w:t>F</w:t>
      </w:r>
      <w:r w:rsidRPr="00346AAE">
        <w:rPr>
          <w:b/>
          <w:bCs/>
        </w:rPr>
        <w:t>ormulated in the Third Round.</w:t>
      </w:r>
    </w:p>
    <w:p w14:paraId="04A95C94" w14:textId="77777777" w:rsidR="00984667" w:rsidRPr="00346AAE" w:rsidRDefault="00984667" w:rsidP="00984667">
      <w:pPr>
        <w:jc w:val="both"/>
        <w:rPr>
          <w:b/>
          <w:sz w:val="22"/>
          <w:szCs w:val="22"/>
          <w:lang w:eastAsia="es-ES"/>
        </w:rPr>
      </w:pPr>
    </w:p>
    <w:p w14:paraId="59F92FBB" w14:textId="77777777" w:rsidR="00984667" w:rsidRDefault="00984667" w:rsidP="00984667">
      <w:pPr>
        <w:pStyle w:val="ListParagraph"/>
        <w:numPr>
          <w:ilvl w:val="0"/>
          <w:numId w:val="1"/>
        </w:numPr>
        <w:suppressAutoHyphens/>
        <w:jc w:val="both"/>
        <w:rPr>
          <w:color w:val="000000" w:themeColor="text1"/>
        </w:rPr>
      </w:pPr>
      <w:r w:rsidRPr="00346AAE">
        <w:t>No recommendations were made to the country under review regarding this provision of the Convention</w:t>
      </w:r>
      <w:r w:rsidRPr="00346AAE">
        <w:rPr>
          <w:color w:val="000000" w:themeColor="text1"/>
        </w:rPr>
        <w:t xml:space="preserve">. </w:t>
      </w:r>
    </w:p>
    <w:p w14:paraId="3D4AD0C6" w14:textId="69E1ABC8" w:rsidR="00984667" w:rsidRPr="00984667" w:rsidRDefault="00984667" w:rsidP="00984667">
      <w:pPr>
        <w:suppressAutoHyphens/>
        <w:ind w:left="10"/>
        <w:jc w:val="both"/>
        <w:rPr>
          <w:rFonts w:eastAsiaTheme="minorHAnsi"/>
          <w:bCs/>
          <w:iCs/>
        </w:rPr>
      </w:pPr>
      <w:r w:rsidRPr="00984667">
        <w:rPr>
          <w:rFonts w:eastAsiaTheme="minorHAnsi"/>
          <w:bCs/>
          <w:iCs/>
        </w:rPr>
        <w:t xml:space="preserve"> </w:t>
      </w:r>
    </w:p>
    <w:p w14:paraId="7A3815EA" w14:textId="77777777" w:rsidR="00984667" w:rsidRPr="00346AAE" w:rsidRDefault="00984667">
      <w:pPr>
        <w:pStyle w:val="ListParagraph"/>
        <w:numPr>
          <w:ilvl w:val="1"/>
          <w:numId w:val="10"/>
        </w:numPr>
        <w:ind w:left="720"/>
        <w:jc w:val="both"/>
        <w:rPr>
          <w:rFonts w:eastAsia="Times New Roman"/>
          <w:b/>
          <w:lang w:eastAsia="es-ES"/>
        </w:rPr>
      </w:pPr>
      <w:r w:rsidRPr="00346AAE">
        <w:rPr>
          <w:b/>
          <w:bCs/>
        </w:rPr>
        <w:t>New Developments with respect to the Provision of the Convention on Extradition</w:t>
      </w:r>
      <w:r w:rsidRPr="00346AAE">
        <w:rPr>
          <w:b/>
        </w:rPr>
        <w:t xml:space="preserve">. </w:t>
      </w:r>
    </w:p>
    <w:p w14:paraId="54ADB7FB" w14:textId="77777777" w:rsidR="00984667" w:rsidRPr="00346AAE" w:rsidRDefault="00984667" w:rsidP="00984667">
      <w:pPr>
        <w:jc w:val="both"/>
        <w:rPr>
          <w:rFonts w:eastAsiaTheme="minorEastAsia"/>
          <w:color w:val="000000" w:themeColor="text1"/>
          <w:sz w:val="22"/>
          <w:szCs w:val="22"/>
        </w:rPr>
      </w:pPr>
    </w:p>
    <w:p w14:paraId="2777E955" w14:textId="77777777" w:rsidR="00984667" w:rsidRPr="00346AAE" w:rsidRDefault="00984667">
      <w:pPr>
        <w:pStyle w:val="ListParagraph"/>
        <w:numPr>
          <w:ilvl w:val="2"/>
          <w:numId w:val="10"/>
        </w:numPr>
        <w:ind w:left="1440"/>
        <w:jc w:val="both"/>
        <w:rPr>
          <w:rFonts w:eastAsia="Times New Roman"/>
          <w:b/>
          <w:lang w:eastAsia="es-ES"/>
        </w:rPr>
      </w:pPr>
      <w:r w:rsidRPr="00346AAE">
        <w:rPr>
          <w:b/>
          <w:bCs/>
        </w:rPr>
        <w:t>New Developments with respect to the Legal Framework</w:t>
      </w:r>
      <w:r w:rsidRPr="00346AAE">
        <w:rPr>
          <w:b/>
          <w:lang w:eastAsia="es-ES"/>
        </w:rPr>
        <w:t>.</w:t>
      </w:r>
    </w:p>
    <w:p w14:paraId="3E3F30DB" w14:textId="77777777" w:rsidR="00984667" w:rsidRPr="00346AAE" w:rsidRDefault="00984667" w:rsidP="00984667">
      <w:pPr>
        <w:jc w:val="both"/>
        <w:rPr>
          <w:b/>
          <w:sz w:val="22"/>
          <w:szCs w:val="22"/>
          <w:lang w:eastAsia="es-ES"/>
        </w:rPr>
      </w:pPr>
    </w:p>
    <w:p w14:paraId="19420645" w14:textId="77777777" w:rsidR="00984667" w:rsidRPr="00346AAE" w:rsidRDefault="00984667" w:rsidP="00984667">
      <w:pPr>
        <w:pStyle w:val="ListParagraph"/>
        <w:numPr>
          <w:ilvl w:val="0"/>
          <w:numId w:val="1"/>
        </w:numPr>
        <w:suppressAutoHyphens/>
        <w:jc w:val="both"/>
      </w:pPr>
      <w:r w:rsidRPr="00346AAE">
        <w:rPr>
          <w:rFonts w:eastAsiaTheme="minorHAnsi"/>
          <w:bCs/>
          <w:iCs/>
        </w:rPr>
        <w:t>The</w:t>
      </w:r>
      <w:r w:rsidRPr="00346AAE">
        <w:t xml:space="preserve"> country under review did not present new developments with respect to the legal framework in relation to extradition.</w:t>
      </w:r>
    </w:p>
    <w:p w14:paraId="14F74E33" w14:textId="77777777" w:rsidR="00984667" w:rsidRPr="00346AAE" w:rsidRDefault="00984667" w:rsidP="00984667">
      <w:pPr>
        <w:suppressAutoHyphens/>
        <w:contextualSpacing/>
        <w:jc w:val="both"/>
        <w:rPr>
          <w:sz w:val="22"/>
          <w:szCs w:val="22"/>
        </w:rPr>
      </w:pPr>
    </w:p>
    <w:p w14:paraId="6E7FB8CA" w14:textId="77777777" w:rsidR="00984667" w:rsidRPr="00346AAE" w:rsidRDefault="00984667">
      <w:pPr>
        <w:pStyle w:val="ListParagraph"/>
        <w:numPr>
          <w:ilvl w:val="2"/>
          <w:numId w:val="10"/>
        </w:numPr>
        <w:ind w:left="1440"/>
        <w:jc w:val="both"/>
        <w:rPr>
          <w:b/>
          <w:lang w:eastAsia="es-ES"/>
        </w:rPr>
      </w:pPr>
      <w:r w:rsidRPr="00346AAE">
        <w:rPr>
          <w:b/>
          <w:bCs/>
        </w:rPr>
        <w:t>New Developments with respect to Technology</w:t>
      </w:r>
      <w:r w:rsidRPr="00346AAE">
        <w:rPr>
          <w:b/>
          <w:lang w:eastAsia="es-ES"/>
        </w:rPr>
        <w:t>.</w:t>
      </w:r>
    </w:p>
    <w:p w14:paraId="34E11B6A" w14:textId="77777777" w:rsidR="00984667" w:rsidRPr="00346AAE" w:rsidRDefault="00984667" w:rsidP="00984667">
      <w:pPr>
        <w:suppressAutoHyphens/>
        <w:contextualSpacing/>
        <w:jc w:val="both"/>
        <w:rPr>
          <w:sz w:val="22"/>
          <w:szCs w:val="22"/>
        </w:rPr>
      </w:pPr>
    </w:p>
    <w:p w14:paraId="3AE578EA" w14:textId="77777777" w:rsidR="00984667" w:rsidRPr="00346AAE" w:rsidRDefault="00984667" w:rsidP="00984667">
      <w:pPr>
        <w:pStyle w:val="ListParagraph"/>
        <w:numPr>
          <w:ilvl w:val="0"/>
          <w:numId w:val="1"/>
        </w:numPr>
        <w:suppressAutoHyphens/>
        <w:jc w:val="both"/>
      </w:pPr>
      <w:r w:rsidRPr="00346AAE">
        <w:rPr>
          <w:rFonts w:eastAsiaTheme="minorHAnsi"/>
          <w:bCs/>
          <w:iCs/>
        </w:rPr>
        <w:t>The</w:t>
      </w:r>
      <w:r w:rsidRPr="00346AAE">
        <w:t xml:space="preserve"> country under review did not present new developments with respect to technology in relation to extradition.</w:t>
      </w:r>
    </w:p>
    <w:p w14:paraId="105C86D2" w14:textId="77777777" w:rsidR="00984667" w:rsidRPr="00346AAE" w:rsidRDefault="00984667" w:rsidP="00984667">
      <w:pPr>
        <w:suppressAutoHyphens/>
        <w:ind w:left="10"/>
        <w:contextualSpacing/>
        <w:jc w:val="both"/>
        <w:rPr>
          <w:sz w:val="22"/>
          <w:szCs w:val="22"/>
        </w:rPr>
      </w:pPr>
    </w:p>
    <w:p w14:paraId="48ACE9A6" w14:textId="77777777" w:rsidR="00984667" w:rsidRPr="00346AAE" w:rsidRDefault="00984667">
      <w:pPr>
        <w:pStyle w:val="ListParagraph"/>
        <w:numPr>
          <w:ilvl w:val="1"/>
          <w:numId w:val="10"/>
        </w:numPr>
        <w:ind w:left="720"/>
        <w:jc w:val="both"/>
        <w:rPr>
          <w:b/>
          <w:lang w:eastAsia="es-ES"/>
        </w:rPr>
      </w:pPr>
      <w:r w:rsidRPr="00346AAE">
        <w:rPr>
          <w:b/>
          <w:lang w:eastAsia="es-ES"/>
        </w:rPr>
        <w:t>Results.</w:t>
      </w:r>
    </w:p>
    <w:p w14:paraId="2C8C6A76" w14:textId="77777777" w:rsidR="00984667" w:rsidRPr="00346AAE" w:rsidRDefault="00984667" w:rsidP="00984667">
      <w:pPr>
        <w:jc w:val="both"/>
        <w:rPr>
          <w:b/>
          <w:sz w:val="22"/>
          <w:szCs w:val="22"/>
          <w:lang w:eastAsia="es-ES"/>
        </w:rPr>
      </w:pPr>
    </w:p>
    <w:p w14:paraId="21DCEC96" w14:textId="229D8CEF" w:rsidR="00984667" w:rsidRDefault="00EC692D" w:rsidP="00984667">
      <w:pPr>
        <w:pStyle w:val="ListParagraph"/>
        <w:numPr>
          <w:ilvl w:val="0"/>
          <w:numId w:val="1"/>
        </w:numPr>
        <w:suppressAutoHyphens/>
        <w:jc w:val="both"/>
        <w:rPr>
          <w:iCs/>
        </w:rPr>
      </w:pPr>
      <w:r>
        <w:rPr>
          <w:iCs/>
        </w:rPr>
        <w:t xml:space="preserve">The committee notes that no results were provided by the country under review with respect to extradition. In this respect, during the on-site visit, the representative from the USDOJ Office of International Affairs noted the difficulty in tracking extradition requests for acts of corruption, given </w:t>
      </w:r>
      <w:r w:rsidR="000F7320">
        <w:rPr>
          <w:iCs/>
        </w:rPr>
        <w:t>the</w:t>
      </w:r>
      <w:r>
        <w:rPr>
          <w:iCs/>
        </w:rPr>
        <w:t xml:space="preserve"> manner requests are entered into their case management system</w:t>
      </w:r>
      <w:r w:rsidR="00984667" w:rsidRPr="00346AAE">
        <w:rPr>
          <w:iCs/>
        </w:rPr>
        <w:t>.</w:t>
      </w:r>
      <w:r>
        <w:rPr>
          <w:iCs/>
        </w:rPr>
        <w:t xml:space="preserve"> This was noted in the Report of the Third Round, where the country under review observed:</w:t>
      </w:r>
      <w:r w:rsidR="00074A1E">
        <w:rPr>
          <w:rStyle w:val="FootnoteReference"/>
          <w:iCs/>
        </w:rPr>
        <w:footnoteReference w:id="122"/>
      </w:r>
    </w:p>
    <w:p w14:paraId="3B6CF500" w14:textId="77777777" w:rsidR="004C7563" w:rsidRDefault="004C7563" w:rsidP="004C7563">
      <w:pPr>
        <w:pStyle w:val="ListParagraph"/>
        <w:suppressAutoHyphens/>
        <w:ind w:left="10"/>
        <w:jc w:val="both"/>
        <w:rPr>
          <w:iCs/>
        </w:rPr>
      </w:pPr>
    </w:p>
    <w:p w14:paraId="665C7B8E" w14:textId="1484AA36" w:rsidR="00EC692D" w:rsidRPr="00772D61" w:rsidRDefault="00EC692D" w:rsidP="00984667">
      <w:pPr>
        <w:pStyle w:val="ListParagraph"/>
        <w:numPr>
          <w:ilvl w:val="0"/>
          <w:numId w:val="1"/>
        </w:numPr>
        <w:suppressAutoHyphens/>
        <w:jc w:val="both"/>
        <w:rPr>
          <w:iCs/>
        </w:rPr>
      </w:pPr>
      <w:r>
        <w:t>“[</w:t>
      </w:r>
      <w:r w:rsidRPr="00074A1E">
        <w:rPr>
          <w:i/>
          <w:iCs/>
        </w:rPr>
        <w:t>C]</w:t>
      </w:r>
      <w:proofErr w:type="spellStart"/>
      <w:r w:rsidRPr="00074A1E">
        <w:rPr>
          <w:i/>
          <w:iCs/>
        </w:rPr>
        <w:t>orruption</w:t>
      </w:r>
      <w:proofErr w:type="spellEnd"/>
      <w:r w:rsidRPr="00074A1E">
        <w:rPr>
          <w:i/>
          <w:iCs/>
        </w:rPr>
        <w:t xml:space="preserve"> offenses can be coded in OIA’s [Office of International Affairs] electronic case management system as bribery, embezzlement, tax evasion, official corruption, foreign corrupt public official, and Foreign Corrupt Practices Act cases. The universe of corruption offenses handled by OIA may be larger than the statistics included herein indicate, because the cases may be coded as fraud, of which there are more than 800 pending extradition cases</w:t>
      </w:r>
      <w:r w:rsidR="00074A1E">
        <w:t>.”</w:t>
      </w:r>
    </w:p>
    <w:p w14:paraId="568C6E61" w14:textId="77777777" w:rsidR="00772D61" w:rsidRPr="00772D61" w:rsidRDefault="00772D61" w:rsidP="00772D61">
      <w:pPr>
        <w:pStyle w:val="ListParagraph"/>
        <w:suppressAutoHyphens/>
        <w:ind w:left="10"/>
        <w:jc w:val="both"/>
        <w:rPr>
          <w:iCs/>
        </w:rPr>
      </w:pPr>
    </w:p>
    <w:p w14:paraId="192C16D5" w14:textId="5E1A4F3B" w:rsidR="00772D61" w:rsidRPr="001856A4" w:rsidRDefault="00F27868" w:rsidP="00984667">
      <w:pPr>
        <w:pStyle w:val="ListParagraph"/>
        <w:numPr>
          <w:ilvl w:val="0"/>
          <w:numId w:val="1"/>
        </w:numPr>
        <w:suppressAutoHyphens/>
        <w:jc w:val="both"/>
        <w:rPr>
          <w:iCs/>
        </w:rPr>
      </w:pPr>
      <w:r w:rsidRPr="001856A4">
        <w:rPr>
          <w:iCs/>
        </w:rPr>
        <w:t>The</w:t>
      </w:r>
      <w:r w:rsidR="00772D61" w:rsidRPr="001856A4">
        <w:rPr>
          <w:iCs/>
        </w:rPr>
        <w:t xml:space="preserve"> country under review also noted that since the </w:t>
      </w:r>
      <w:r w:rsidR="005C358B" w:rsidRPr="001856A4">
        <w:rPr>
          <w:iCs/>
        </w:rPr>
        <w:t>Report of the Third Round</w:t>
      </w:r>
      <w:r w:rsidR="00772D61" w:rsidRPr="001856A4">
        <w:rPr>
          <w:iCs/>
        </w:rPr>
        <w:t>, the case-tracking system maintained by USDOJ’s Office of International Affairs has changed and cannot reliably capture corruption cases</w:t>
      </w:r>
      <w:r w:rsidR="00576988" w:rsidRPr="001856A4">
        <w:rPr>
          <w:iCs/>
        </w:rPr>
        <w:t>.</w:t>
      </w:r>
    </w:p>
    <w:p w14:paraId="6F8E64CB" w14:textId="77777777" w:rsidR="008A19CC" w:rsidRPr="00FF1FB7" w:rsidRDefault="008A19CC" w:rsidP="00074A1E">
      <w:pPr>
        <w:pStyle w:val="ListParagraph"/>
        <w:rPr>
          <w:iCs/>
          <w:highlight w:val="yellow"/>
        </w:rPr>
      </w:pPr>
    </w:p>
    <w:p w14:paraId="21821235" w14:textId="0535664C" w:rsidR="00074A1E" w:rsidRPr="00983246" w:rsidRDefault="00FF1FB7" w:rsidP="00074A1E">
      <w:pPr>
        <w:pStyle w:val="ListParagraph"/>
        <w:numPr>
          <w:ilvl w:val="0"/>
          <w:numId w:val="1"/>
        </w:numPr>
        <w:suppressAutoHyphens/>
        <w:jc w:val="both"/>
      </w:pPr>
      <w:r w:rsidRPr="001856A4">
        <w:rPr>
          <w:iCs/>
        </w:rPr>
        <w:t>Despite these difficulties</w:t>
      </w:r>
      <w:r w:rsidR="00074A1E" w:rsidRPr="001856A4">
        <w:rPr>
          <w:iCs/>
        </w:rPr>
        <w:t>,</w:t>
      </w:r>
      <w:r w:rsidR="00074A1E">
        <w:rPr>
          <w:iCs/>
        </w:rPr>
        <w:t xml:space="preserve"> the Committee </w:t>
      </w:r>
      <w:r w:rsidR="00800EA5">
        <w:rPr>
          <w:iCs/>
        </w:rPr>
        <w:t>believes</w:t>
      </w:r>
      <w:r w:rsidR="00074A1E">
        <w:rPr>
          <w:iCs/>
        </w:rPr>
        <w:t xml:space="preserve"> the country under review </w:t>
      </w:r>
      <w:r w:rsidR="000F7320">
        <w:rPr>
          <w:iCs/>
        </w:rPr>
        <w:t>should consider</w:t>
      </w:r>
      <w:r w:rsidR="00074A1E">
        <w:rPr>
          <w:iCs/>
        </w:rPr>
        <w:t xml:space="preserve"> maintain</w:t>
      </w:r>
      <w:r w:rsidR="004C3313">
        <w:rPr>
          <w:iCs/>
        </w:rPr>
        <w:t>ing</w:t>
      </w:r>
      <w:r w:rsidR="00074A1E">
        <w:rPr>
          <w:iCs/>
        </w:rPr>
        <w:t xml:space="preserve"> </w:t>
      </w:r>
      <w:r w:rsidR="0020356F">
        <w:rPr>
          <w:b/>
          <w:bCs/>
          <w:iCs/>
          <w:u w:val="single"/>
        </w:rPr>
        <w:t>statistics</w:t>
      </w:r>
      <w:r w:rsidR="00074A1E">
        <w:rPr>
          <w:iCs/>
        </w:rPr>
        <w:t xml:space="preserve">, as provided in the Third Round, on extradition requests received from State Parties of the Convention, as well as those made to State Parties to the Convention. The Committee will </w:t>
      </w:r>
      <w:r w:rsidR="00074A1E" w:rsidRPr="00983246">
        <w:t>formulate</w:t>
      </w:r>
      <w:r w:rsidR="00074A1E">
        <w:t xml:space="preserve"> </w:t>
      </w:r>
      <w:r w:rsidR="00074A1E" w:rsidRPr="00983246">
        <w:t>recommendation</w:t>
      </w:r>
      <w:r w:rsidR="00074A1E">
        <w:t>s</w:t>
      </w:r>
      <w:r w:rsidR="00074A1E" w:rsidRPr="00983246">
        <w:t xml:space="preserve"> in this regard. (See Recommendation</w:t>
      </w:r>
      <w:r w:rsidR="00074A1E">
        <w:t>s 6.4.1 and 6.4.2</w:t>
      </w:r>
      <w:r w:rsidR="00074A1E" w:rsidRPr="00983246">
        <w:t xml:space="preserve"> in section 4.4 of Chapter II of this Report)</w:t>
      </w:r>
    </w:p>
    <w:p w14:paraId="336D076A" w14:textId="77777777" w:rsidR="00984667" w:rsidRPr="00346AAE" w:rsidRDefault="00984667" w:rsidP="00984667">
      <w:pPr>
        <w:rPr>
          <w:rFonts w:eastAsiaTheme="minorEastAsia"/>
          <w:color w:val="000000" w:themeColor="text1"/>
          <w:sz w:val="22"/>
          <w:szCs w:val="22"/>
        </w:rPr>
      </w:pPr>
    </w:p>
    <w:p w14:paraId="78C24DF0" w14:textId="77777777" w:rsidR="00984667" w:rsidRPr="00346AAE" w:rsidRDefault="00984667">
      <w:pPr>
        <w:pStyle w:val="ListParagraph"/>
        <w:numPr>
          <w:ilvl w:val="1"/>
          <w:numId w:val="10"/>
        </w:numPr>
        <w:ind w:left="720"/>
        <w:jc w:val="both"/>
        <w:rPr>
          <w:b/>
          <w:lang w:eastAsia="es-ES"/>
        </w:rPr>
      </w:pPr>
      <w:r w:rsidRPr="00346AAE">
        <w:rPr>
          <w:b/>
          <w:lang w:eastAsia="es-ES"/>
        </w:rPr>
        <w:t>Recommendations.</w:t>
      </w:r>
    </w:p>
    <w:p w14:paraId="5134E79F" w14:textId="77777777" w:rsidR="00984667" w:rsidRPr="00346AAE" w:rsidRDefault="00984667" w:rsidP="00984667">
      <w:pPr>
        <w:pStyle w:val="ListParagraph"/>
        <w:rPr>
          <w:color w:val="000000" w:themeColor="text1"/>
        </w:rPr>
      </w:pPr>
    </w:p>
    <w:p w14:paraId="75A6AD21" w14:textId="64DFF8FD" w:rsidR="00984667" w:rsidRPr="00346AAE" w:rsidRDefault="00984667" w:rsidP="00984667">
      <w:pPr>
        <w:pStyle w:val="ListParagraph"/>
        <w:numPr>
          <w:ilvl w:val="0"/>
          <w:numId w:val="1"/>
        </w:numPr>
        <w:suppressAutoHyphens/>
        <w:jc w:val="both"/>
        <w:rPr>
          <w:bCs/>
        </w:rPr>
      </w:pPr>
      <w:proofErr w:type="gramStart"/>
      <w:r w:rsidRPr="00346AAE">
        <w:rPr>
          <w:iCs/>
        </w:rPr>
        <w:t>In</w:t>
      </w:r>
      <w:r w:rsidRPr="00346AAE">
        <w:t xml:space="preserve"> light of</w:t>
      </w:r>
      <w:proofErr w:type="gramEnd"/>
      <w:r w:rsidRPr="00346AAE">
        <w:t xml:space="preserve"> the observations formulated in section</w:t>
      </w:r>
      <w:r w:rsidR="00074A1E">
        <w:t xml:space="preserve"> </w:t>
      </w:r>
      <w:r w:rsidRPr="00346AAE">
        <w:t>6.3 of Chapter II of this Report, the Committee suggests that the country under review consider the following recommendations:</w:t>
      </w:r>
    </w:p>
    <w:p w14:paraId="164CBA2F" w14:textId="77777777" w:rsidR="00984667" w:rsidRPr="00346AAE" w:rsidRDefault="00984667" w:rsidP="00984667">
      <w:pPr>
        <w:pStyle w:val="ListParagraph"/>
        <w:ind w:left="10"/>
        <w:jc w:val="both"/>
      </w:pPr>
    </w:p>
    <w:p w14:paraId="188F65D5" w14:textId="3BD44574" w:rsidR="00984667" w:rsidRPr="00827350" w:rsidRDefault="00984667">
      <w:pPr>
        <w:pStyle w:val="ListParagraph"/>
        <w:numPr>
          <w:ilvl w:val="2"/>
          <w:numId w:val="15"/>
        </w:numPr>
        <w:ind w:left="1440"/>
        <w:jc w:val="both"/>
        <w:rPr>
          <w:bCs/>
        </w:rPr>
      </w:pPr>
      <w:r w:rsidRPr="00827350">
        <w:t xml:space="preserve">Maintain </w:t>
      </w:r>
      <w:r w:rsidR="0020356F">
        <w:rPr>
          <w:b/>
          <w:bCs/>
          <w:u w:val="single"/>
        </w:rPr>
        <w:t>statistics</w:t>
      </w:r>
      <w:r w:rsidRPr="00827350">
        <w:t xml:space="preserve"> </w:t>
      </w:r>
      <w:r w:rsidR="00074A1E" w:rsidRPr="00827350">
        <w:rPr>
          <w:iCs/>
        </w:rPr>
        <w:t>when the United States receives an extradition request from a State Party of the Inter-American Convention against Corruption</w:t>
      </w:r>
      <w:r w:rsidRPr="00827350">
        <w:t xml:space="preserve">. </w:t>
      </w:r>
      <w:r w:rsidRPr="00827350">
        <w:rPr>
          <w:color w:val="000000" w:themeColor="text1"/>
        </w:rPr>
        <w:t xml:space="preserve">(See paragraph </w:t>
      </w:r>
      <w:r w:rsidR="00074A1E" w:rsidRPr="00827350">
        <w:rPr>
          <w:color w:val="000000" w:themeColor="text1"/>
        </w:rPr>
        <w:t>18</w:t>
      </w:r>
      <w:r w:rsidR="000C40A3">
        <w:rPr>
          <w:color w:val="000000" w:themeColor="text1"/>
        </w:rPr>
        <w:t>7</w:t>
      </w:r>
      <w:r w:rsidRPr="00827350">
        <w:rPr>
          <w:color w:val="000000" w:themeColor="text1"/>
        </w:rPr>
        <w:t xml:space="preserve"> in section 6.</w:t>
      </w:r>
      <w:r w:rsidR="006A36E1" w:rsidRPr="00827350">
        <w:rPr>
          <w:color w:val="000000" w:themeColor="text1"/>
        </w:rPr>
        <w:t>3</w:t>
      </w:r>
      <w:r w:rsidRPr="00827350">
        <w:rPr>
          <w:color w:val="000000" w:themeColor="text1"/>
        </w:rPr>
        <w:t xml:space="preserve"> of Chapter II of this Report)</w:t>
      </w:r>
    </w:p>
    <w:p w14:paraId="50425E2A" w14:textId="77777777" w:rsidR="00984667" w:rsidRPr="00827350" w:rsidRDefault="00984667" w:rsidP="00984667">
      <w:pPr>
        <w:pStyle w:val="ListParagraph"/>
        <w:ind w:left="1440"/>
        <w:jc w:val="both"/>
        <w:rPr>
          <w:bCs/>
        </w:rPr>
      </w:pPr>
    </w:p>
    <w:p w14:paraId="5289C58A" w14:textId="0AF05943" w:rsidR="00074A1E" w:rsidRPr="00827350" w:rsidRDefault="00074A1E">
      <w:pPr>
        <w:pStyle w:val="ListParagraph"/>
        <w:numPr>
          <w:ilvl w:val="2"/>
          <w:numId w:val="15"/>
        </w:numPr>
        <w:ind w:left="1440"/>
        <w:jc w:val="both"/>
        <w:rPr>
          <w:bCs/>
        </w:rPr>
      </w:pPr>
      <w:r w:rsidRPr="00827350">
        <w:t xml:space="preserve">Maintain </w:t>
      </w:r>
      <w:r w:rsidR="0020356F">
        <w:rPr>
          <w:b/>
          <w:bCs/>
          <w:u w:val="single"/>
        </w:rPr>
        <w:t>statistics</w:t>
      </w:r>
      <w:r w:rsidRPr="00827350">
        <w:t xml:space="preserve"> </w:t>
      </w:r>
      <w:r w:rsidRPr="00827350">
        <w:rPr>
          <w:iCs/>
        </w:rPr>
        <w:t>when the United States makes an extradition request to a State Party of the Inter-American Convention against Corruption</w:t>
      </w:r>
      <w:r w:rsidRPr="00827350">
        <w:t xml:space="preserve">. </w:t>
      </w:r>
      <w:r w:rsidRPr="00827350">
        <w:rPr>
          <w:color w:val="000000" w:themeColor="text1"/>
        </w:rPr>
        <w:t>(See paragraph 18</w:t>
      </w:r>
      <w:r w:rsidR="000C40A3">
        <w:rPr>
          <w:color w:val="000000" w:themeColor="text1"/>
        </w:rPr>
        <w:t>7</w:t>
      </w:r>
      <w:r w:rsidRPr="00827350">
        <w:rPr>
          <w:color w:val="000000" w:themeColor="text1"/>
        </w:rPr>
        <w:t xml:space="preserve"> in section 6.</w:t>
      </w:r>
      <w:r w:rsidR="006A36E1" w:rsidRPr="00827350">
        <w:rPr>
          <w:color w:val="000000" w:themeColor="text1"/>
        </w:rPr>
        <w:t>3</w:t>
      </w:r>
      <w:r w:rsidRPr="00827350">
        <w:rPr>
          <w:color w:val="000000" w:themeColor="text1"/>
        </w:rPr>
        <w:t xml:space="preserve"> of Chapter II of this Report)</w:t>
      </w:r>
    </w:p>
    <w:p w14:paraId="1D235D88" w14:textId="10E8EAF0" w:rsidR="00984667" w:rsidRPr="00074A1E" w:rsidRDefault="00984667" w:rsidP="00074A1E">
      <w:pPr>
        <w:ind w:left="720"/>
        <w:jc w:val="both"/>
        <w:rPr>
          <w:bCs/>
        </w:rPr>
      </w:pPr>
    </w:p>
    <w:p w14:paraId="70C7EFF0" w14:textId="77777777" w:rsidR="00984667" w:rsidRPr="00346AAE" w:rsidRDefault="00984667" w:rsidP="00984667">
      <w:pPr>
        <w:rPr>
          <w:iCs/>
          <w:sz w:val="22"/>
          <w:szCs w:val="22"/>
        </w:rPr>
      </w:pPr>
    </w:p>
    <w:p w14:paraId="319F5268" w14:textId="77777777" w:rsidR="009A5A72" w:rsidRPr="00346AAE" w:rsidRDefault="009A5A72" w:rsidP="009A5A72">
      <w:pPr>
        <w:numPr>
          <w:ilvl w:val="0"/>
          <w:numId w:val="3"/>
        </w:numPr>
        <w:tabs>
          <w:tab w:val="clear" w:pos="1080"/>
          <w:tab w:val="num" w:pos="360"/>
        </w:tabs>
        <w:ind w:left="360" w:hanging="360"/>
        <w:jc w:val="both"/>
        <w:rPr>
          <w:b/>
          <w:sz w:val="22"/>
          <w:szCs w:val="22"/>
        </w:rPr>
      </w:pPr>
      <w:r w:rsidRPr="00346AAE">
        <w:rPr>
          <w:b/>
          <w:sz w:val="22"/>
          <w:szCs w:val="22"/>
        </w:rPr>
        <w:t>ANALYSIS</w:t>
      </w:r>
      <w:r w:rsidRPr="00346AAE">
        <w:rPr>
          <w:b/>
          <w:bCs/>
          <w:sz w:val="22"/>
          <w:szCs w:val="22"/>
        </w:rPr>
        <w:t>, CONCLUSIONS AND RECOMMENDATIONS ON IMPLEMENTATION BY THE COUNTRY UNDER REVIEW OF THE CONVENTION PROVISION SELECTED FOR THE SIXTH ROUND</w:t>
      </w:r>
      <w:r w:rsidRPr="00346AAE">
        <w:rPr>
          <w:b/>
          <w:sz w:val="22"/>
          <w:szCs w:val="22"/>
        </w:rPr>
        <w:t xml:space="preserve"> </w:t>
      </w:r>
    </w:p>
    <w:p w14:paraId="48293067" w14:textId="08DAE9A1" w:rsidR="009A5A72" w:rsidRPr="00346AAE" w:rsidRDefault="009A5A72" w:rsidP="009A5A72">
      <w:pPr>
        <w:suppressAutoHyphens/>
        <w:spacing w:before="220" w:after="220"/>
        <w:ind w:right="-29"/>
        <w:jc w:val="both"/>
        <w:rPr>
          <w:b/>
          <w:sz w:val="22"/>
          <w:szCs w:val="22"/>
        </w:rPr>
      </w:pPr>
      <w:r w:rsidRPr="00346AAE">
        <w:rPr>
          <w:b/>
          <w:sz w:val="22"/>
          <w:szCs w:val="22"/>
        </w:rPr>
        <w:lastRenderedPageBreak/>
        <w:t xml:space="preserve">1. BANK SECRECY (ARTICLE XVI OF THE CONVENTION) </w:t>
      </w:r>
    </w:p>
    <w:p w14:paraId="6F32CA57" w14:textId="77777777" w:rsidR="009A5A72" w:rsidRPr="00346AAE" w:rsidRDefault="009A5A72" w:rsidP="009A5A72">
      <w:pPr>
        <w:suppressAutoHyphens/>
        <w:spacing w:before="220" w:after="220"/>
        <w:ind w:left="720" w:right="-29" w:hanging="360"/>
        <w:jc w:val="both"/>
        <w:rPr>
          <w:sz w:val="22"/>
          <w:szCs w:val="22"/>
          <w:u w:val="single"/>
        </w:rPr>
      </w:pPr>
      <w:r w:rsidRPr="00346AAE">
        <w:rPr>
          <w:b/>
          <w:sz w:val="22"/>
          <w:szCs w:val="22"/>
        </w:rPr>
        <w:t xml:space="preserve">1.1 </w:t>
      </w:r>
      <w:r w:rsidRPr="00346AAE">
        <w:rPr>
          <w:b/>
          <w:bCs/>
          <w:sz w:val="22"/>
          <w:szCs w:val="22"/>
        </w:rPr>
        <w:t>Existence of provisions in the legal framework and/or other measures</w:t>
      </w:r>
    </w:p>
    <w:p w14:paraId="0A894D2A" w14:textId="2E12F821" w:rsidR="009A5A72" w:rsidRPr="00346AAE" w:rsidRDefault="009A5A72" w:rsidP="009A5A72">
      <w:pPr>
        <w:pStyle w:val="ListParagraph"/>
        <w:numPr>
          <w:ilvl w:val="0"/>
          <w:numId w:val="1"/>
        </w:numPr>
        <w:suppressAutoHyphens/>
        <w:jc w:val="both"/>
      </w:pPr>
      <w:r>
        <w:t>The United States</w:t>
      </w:r>
      <w:r w:rsidRPr="00346AAE">
        <w:t xml:space="preserve"> has a set of provisions related to bank secrecy, most notably the following:</w:t>
      </w:r>
      <w:r w:rsidRPr="00346AAE">
        <w:rPr>
          <w:rStyle w:val="FootnoteReference"/>
        </w:rPr>
        <w:footnoteReference w:id="123"/>
      </w:r>
    </w:p>
    <w:p w14:paraId="50620AC4" w14:textId="77777777" w:rsidR="009A5A72" w:rsidRPr="00346AAE" w:rsidRDefault="009A5A72" w:rsidP="009A5A72">
      <w:pPr>
        <w:pStyle w:val="ListParagraph"/>
        <w:suppressAutoHyphens/>
        <w:ind w:left="10"/>
        <w:jc w:val="both"/>
      </w:pPr>
    </w:p>
    <w:p w14:paraId="34F9404B" w14:textId="0CA45CF6" w:rsidR="008F1B5A" w:rsidRDefault="009A5A72" w:rsidP="0025276D">
      <w:pPr>
        <w:pStyle w:val="ListParagraph"/>
        <w:numPr>
          <w:ilvl w:val="0"/>
          <w:numId w:val="1"/>
        </w:numPr>
        <w:suppressAutoHyphens/>
        <w:jc w:val="both"/>
      </w:pPr>
      <w:r w:rsidRPr="00346AAE">
        <w:t xml:space="preserve">– The </w:t>
      </w:r>
      <w:r w:rsidR="008F1B5A">
        <w:t>Right to Financial Privacy Act,</w:t>
      </w:r>
      <w:r w:rsidR="00BD697E">
        <w:rPr>
          <w:rStyle w:val="FootnoteReference"/>
        </w:rPr>
        <w:footnoteReference w:id="124"/>
      </w:r>
      <w:r w:rsidR="008F1B5A">
        <w:t xml:space="preserve"> </w:t>
      </w:r>
      <w:r w:rsidR="00BD697E">
        <w:t>under 12 U.S.C. Section 3402, provides that n</w:t>
      </w:r>
      <w:r w:rsidR="0025276D">
        <w:t xml:space="preserve">o </w:t>
      </w:r>
      <w:r w:rsidR="000C064F">
        <w:t>G</w:t>
      </w:r>
      <w:r w:rsidR="0025276D">
        <w:t>overnment authority may have access or obtain copies of, or the information contained in financial records of any customer from a financial institution, unless the financial records are reasonably described and authorized by the customer, or obtained through an a</w:t>
      </w:r>
      <w:r w:rsidR="008F1B5A">
        <w:t>dministrative subpoena, a search warrant, a judicial subpoena or by making a formal</w:t>
      </w:r>
      <w:r w:rsidR="00102C07">
        <w:t xml:space="preserve"> written</w:t>
      </w:r>
      <w:r w:rsidR="008F1B5A">
        <w:t xml:space="preserve"> request.</w:t>
      </w:r>
      <w:r w:rsidR="0025276D">
        <w:rPr>
          <w:rStyle w:val="FootnoteReference"/>
        </w:rPr>
        <w:footnoteReference w:id="125"/>
      </w:r>
      <w:r w:rsidR="00BD697E">
        <w:t xml:space="preserve"> </w:t>
      </w:r>
    </w:p>
    <w:p w14:paraId="79A584E2" w14:textId="77777777" w:rsidR="0020356F" w:rsidRDefault="0020356F" w:rsidP="0020356F">
      <w:pPr>
        <w:pStyle w:val="ListParagraph"/>
      </w:pPr>
    </w:p>
    <w:p w14:paraId="29FACCFB" w14:textId="77777777" w:rsidR="0020356F" w:rsidRPr="00713072" w:rsidRDefault="0020356F" w:rsidP="0020356F">
      <w:pPr>
        <w:pStyle w:val="ListParagraph"/>
        <w:numPr>
          <w:ilvl w:val="0"/>
          <w:numId w:val="1"/>
        </w:numPr>
        <w:suppressAutoHyphens/>
        <w:spacing w:before="60" w:after="60"/>
        <w:jc w:val="both"/>
      </w:pPr>
      <w:r w:rsidRPr="00713072">
        <w:t>In this regard, the country under review notes that it has taken the position before its courts that assistance may not be declined as a result of privacy provisions of banking law,</w:t>
      </w:r>
      <w:r w:rsidRPr="00713072">
        <w:rPr>
          <w:rStyle w:val="FootnoteReference"/>
        </w:rPr>
        <w:footnoteReference w:id="126"/>
      </w:r>
      <w:r w:rsidRPr="00713072">
        <w:t xml:space="preserve"> as case law holds that the Right to Financial Privacy Act does not apply to the execution of foreign requests for legal assistance: Young v. U.S. Dept. of Justice, 882 F.2d 633, 639 (2d Cir. 1989), cert. denied, 493 U.S. 1072 (1990); and In re Letters of Request from the Supreme Court of Hong Kong, 821 F. Supp. 204, 211 (S.D.N.Y. 1993); In re Letter of Request for Judicial Assistance from the Tribunal Civil de Port-Au Prince, Republic of Haiti, 669 F. Supp. 403, 407 (S.D. Fla. 1987).</w:t>
      </w:r>
      <w:r w:rsidRPr="00713072">
        <w:rPr>
          <w:rStyle w:val="FootnoteReference"/>
        </w:rPr>
        <w:footnoteReference w:id="127"/>
      </w:r>
    </w:p>
    <w:p w14:paraId="16452AB0" w14:textId="77777777" w:rsidR="00584AC6" w:rsidRPr="00F86386" w:rsidRDefault="00584AC6" w:rsidP="00F86386">
      <w:pPr>
        <w:rPr>
          <w:sz w:val="22"/>
          <w:szCs w:val="22"/>
        </w:rPr>
      </w:pPr>
    </w:p>
    <w:p w14:paraId="56C14A30" w14:textId="19009608" w:rsidR="008162B4" w:rsidRPr="00837DF0" w:rsidRDefault="000628A8" w:rsidP="003F0765">
      <w:pPr>
        <w:pStyle w:val="ListParagraph"/>
        <w:numPr>
          <w:ilvl w:val="0"/>
          <w:numId w:val="1"/>
        </w:numPr>
        <w:suppressAutoHyphens/>
        <w:spacing w:before="60" w:after="60"/>
        <w:jc w:val="both"/>
      </w:pPr>
      <w:r w:rsidRPr="00837DF0">
        <w:t>–</w:t>
      </w:r>
      <w:r w:rsidR="00584AC6" w:rsidRPr="00837DF0">
        <w:t xml:space="preserve"> </w:t>
      </w:r>
      <w:r w:rsidR="008162B4" w:rsidRPr="00837DF0">
        <w:t xml:space="preserve">The </w:t>
      </w:r>
      <w:r w:rsidR="00A06D96" w:rsidRPr="00837DF0">
        <w:t xml:space="preserve">Foreign Evidence Efficiency Act, </w:t>
      </w:r>
      <w:r w:rsidR="00DC15F1" w:rsidRPr="00837DF0">
        <w:t xml:space="preserve">under </w:t>
      </w:r>
      <w:r w:rsidR="008162B4" w:rsidRPr="00837DF0">
        <w:t>18 U.S.C. Section 35</w:t>
      </w:r>
      <w:r w:rsidR="00574155" w:rsidRPr="00837DF0">
        <w:t>1</w:t>
      </w:r>
      <w:r w:rsidR="008162B4" w:rsidRPr="00837DF0">
        <w:t>2</w:t>
      </w:r>
      <w:r w:rsidR="00A06D96" w:rsidRPr="00837DF0">
        <w:t>,</w:t>
      </w:r>
      <w:r w:rsidR="00DC15F1" w:rsidRPr="00837DF0">
        <w:t xml:space="preserve"> </w:t>
      </w:r>
      <w:r w:rsidR="005B6E45" w:rsidRPr="00837DF0">
        <w:rPr>
          <w:iCs/>
        </w:rPr>
        <w:t xml:space="preserve">which authorizes a federal judge to issue “such orders as may be necessary to execute [the] request,” including:  (1) search warrants under </w:t>
      </w:r>
      <w:r w:rsidR="00837376" w:rsidRPr="00837DF0">
        <w:rPr>
          <w:iCs/>
        </w:rPr>
        <w:t>Rule 41 of the Federal Rules of Criminal Procedure</w:t>
      </w:r>
      <w:r w:rsidR="005B6E45" w:rsidRPr="00837DF0">
        <w:rPr>
          <w:iCs/>
        </w:rPr>
        <w:t xml:space="preserve">; (2) orders for electronic records under 18 U.S.C. </w:t>
      </w:r>
      <w:r w:rsidR="00F3661A" w:rsidRPr="00837DF0">
        <w:rPr>
          <w:iCs/>
        </w:rPr>
        <w:t>Section</w:t>
      </w:r>
      <w:r w:rsidR="005B6E45" w:rsidRPr="00837DF0">
        <w:rPr>
          <w:iCs/>
        </w:rPr>
        <w:t xml:space="preserve"> 2703; (3) orders for pen registers or trap and trace devices under 18 U.S.C. </w:t>
      </w:r>
      <w:r w:rsidR="00F3661A" w:rsidRPr="00837DF0">
        <w:rPr>
          <w:iCs/>
        </w:rPr>
        <w:t>Section</w:t>
      </w:r>
      <w:r w:rsidR="005B6E45" w:rsidRPr="00837DF0">
        <w:rPr>
          <w:iCs/>
        </w:rPr>
        <w:t xml:space="preserve"> 3123; and (4) orders appointing a person to direct the taking of testimony or statements and/or the production of documents or other things.</w:t>
      </w:r>
      <w:r w:rsidR="0035754B" w:rsidRPr="00837DF0">
        <w:rPr>
          <w:rStyle w:val="FootnoteReference"/>
          <w:iCs/>
        </w:rPr>
        <w:footnoteReference w:id="128"/>
      </w:r>
      <w:r w:rsidR="00EF16BD" w:rsidRPr="00837DF0">
        <w:rPr>
          <w:rFonts w:eastAsia="Times New Roman"/>
          <w:iCs/>
        </w:rPr>
        <w:t xml:space="preserve"> </w:t>
      </w:r>
      <w:r w:rsidR="00EF16BD" w:rsidRPr="00837DF0">
        <w:rPr>
          <w:iCs/>
        </w:rPr>
        <w:t>In addition, a federal judge may order any necessary procedures to facilitate the execution of the request, including any procedures requested by the foreign authority to facilitate its use of the evidence</w:t>
      </w:r>
      <w:r w:rsidR="00C504F9" w:rsidRPr="00837DF0">
        <w:rPr>
          <w:iCs/>
        </w:rPr>
        <w:t xml:space="preserve"> (</w:t>
      </w:r>
      <w:r w:rsidR="00EF16BD" w:rsidRPr="00837DF0">
        <w:rPr>
          <w:iCs/>
        </w:rPr>
        <w:t xml:space="preserve">18 U.S.C. </w:t>
      </w:r>
      <w:r w:rsidR="00F3661A" w:rsidRPr="00837DF0">
        <w:rPr>
          <w:iCs/>
        </w:rPr>
        <w:t>Section</w:t>
      </w:r>
      <w:r w:rsidR="00EF16BD" w:rsidRPr="00837DF0">
        <w:rPr>
          <w:iCs/>
        </w:rPr>
        <w:t xml:space="preserve"> 3512(a)(1)</w:t>
      </w:r>
      <w:r w:rsidR="00C504F9" w:rsidRPr="00837DF0">
        <w:rPr>
          <w:iCs/>
        </w:rPr>
        <w:t>)</w:t>
      </w:r>
      <w:r w:rsidR="00EF16BD" w:rsidRPr="00837DF0">
        <w:rPr>
          <w:iCs/>
        </w:rPr>
        <w:t>. Section 3512 also authorizes any person appointed to direct the taking of testimony or statements and/or the production of documents.  The appointed person has the authority: (1) to issue an order requiring a person to appear and/or to produce documents or other things; (2) to administer any necessary oaths; and (3) to take testimony or statements and to receive documents or other things</w:t>
      </w:r>
      <w:r w:rsidR="00C504F9" w:rsidRPr="00837DF0">
        <w:rPr>
          <w:iCs/>
        </w:rPr>
        <w:t xml:space="preserve"> (</w:t>
      </w:r>
      <w:r w:rsidR="00EF16BD" w:rsidRPr="00837DF0">
        <w:rPr>
          <w:iCs/>
        </w:rPr>
        <w:t xml:space="preserve">18 U.S.C. </w:t>
      </w:r>
      <w:r w:rsidR="00F3661A" w:rsidRPr="00837DF0">
        <w:rPr>
          <w:iCs/>
        </w:rPr>
        <w:t>Section</w:t>
      </w:r>
      <w:r w:rsidR="00EF16BD" w:rsidRPr="00837DF0">
        <w:rPr>
          <w:iCs/>
        </w:rPr>
        <w:t xml:space="preserve"> 3512(b)(2)</w:t>
      </w:r>
      <w:r w:rsidR="00C504F9" w:rsidRPr="00837DF0">
        <w:rPr>
          <w:iCs/>
        </w:rPr>
        <w:t>)</w:t>
      </w:r>
      <w:r w:rsidR="00EF16BD" w:rsidRPr="00837DF0">
        <w:rPr>
          <w:iCs/>
        </w:rPr>
        <w:t>.  In ordering a person to appear and/or to produce documents or other things, the person appointed, commonly referred to as the “commissioner,” typically uses a subpoena entitled “Commissioner’s Subpoena.”  Any such subpoena may be served or executed anywhere in the United States</w:t>
      </w:r>
      <w:r w:rsidR="00C504F9" w:rsidRPr="00837DF0">
        <w:rPr>
          <w:iCs/>
        </w:rPr>
        <w:t xml:space="preserve"> (</w:t>
      </w:r>
      <w:r w:rsidR="00EF16BD" w:rsidRPr="00837DF0">
        <w:rPr>
          <w:iCs/>
        </w:rPr>
        <w:t xml:space="preserve">18 U.S.C. </w:t>
      </w:r>
      <w:r w:rsidR="00F3661A" w:rsidRPr="00837DF0">
        <w:rPr>
          <w:iCs/>
        </w:rPr>
        <w:t>Section</w:t>
      </w:r>
      <w:r w:rsidR="00EF16BD" w:rsidRPr="00837DF0">
        <w:rPr>
          <w:iCs/>
        </w:rPr>
        <w:t xml:space="preserve"> 3512(f)</w:t>
      </w:r>
      <w:r w:rsidR="00C504F9" w:rsidRPr="00837DF0">
        <w:rPr>
          <w:iCs/>
        </w:rPr>
        <w:t>)</w:t>
      </w:r>
      <w:r w:rsidR="00EF16BD" w:rsidRPr="00837DF0">
        <w:rPr>
          <w:iCs/>
        </w:rPr>
        <w:t>.</w:t>
      </w:r>
    </w:p>
    <w:p w14:paraId="33613923" w14:textId="77777777" w:rsidR="000D32C5" w:rsidRPr="0020356F" w:rsidRDefault="000D32C5" w:rsidP="0020356F">
      <w:pPr>
        <w:rPr>
          <w:sz w:val="22"/>
          <w:szCs w:val="22"/>
        </w:rPr>
      </w:pPr>
    </w:p>
    <w:p w14:paraId="37501AA5" w14:textId="4C0D652F" w:rsidR="000A7991" w:rsidRDefault="00CC2B78" w:rsidP="00593F85">
      <w:pPr>
        <w:pStyle w:val="ListParagraph"/>
        <w:numPr>
          <w:ilvl w:val="0"/>
          <w:numId w:val="1"/>
        </w:numPr>
        <w:suppressAutoHyphens/>
        <w:spacing w:before="60" w:after="60"/>
        <w:jc w:val="both"/>
      </w:pPr>
      <w:r>
        <w:lastRenderedPageBreak/>
        <w:t xml:space="preserve">– Regarding assistance provided to other State Parties to the Inter-American Convention against Corruption, the general rule is that a formal mutual legal assistance request is required to obtain </w:t>
      </w:r>
      <w:r w:rsidR="00352BB1">
        <w:t>bank account records</w:t>
      </w:r>
      <w:r w:rsidR="00B0338A">
        <w:t xml:space="preserve"> located in the United States</w:t>
      </w:r>
      <w:r>
        <w:t>.</w:t>
      </w:r>
      <w:r w:rsidR="0063496B">
        <w:rPr>
          <w:rStyle w:val="FootnoteReference"/>
        </w:rPr>
        <w:footnoteReference w:id="129"/>
      </w:r>
      <w:r w:rsidR="00B0338A">
        <w:t xml:space="preserve"> </w:t>
      </w:r>
      <w:r w:rsidR="0063496B">
        <w:t>F</w:t>
      </w:r>
      <w:r w:rsidR="00C95E71">
        <w:t xml:space="preserve">or countries that have a Mutual Legal Assistance Treaty with the country under review, requests </w:t>
      </w:r>
      <w:r w:rsidR="004F51F2">
        <w:t>must be</w:t>
      </w:r>
      <w:r w:rsidR="00C95E71">
        <w:t xml:space="preserve"> made to </w:t>
      </w:r>
      <w:r w:rsidR="00B0338A">
        <w:t xml:space="preserve">the </w:t>
      </w:r>
      <w:r w:rsidR="00C95E71">
        <w:t>designated Central Authority, which is the USDOJ Office of International Affairs</w:t>
      </w:r>
      <w:r w:rsidR="004F51F2">
        <w:t>, who is responsible for assisting foreign prosecutors, investigating judges and law enforcement authorities to secure information and evidence located in the United States for use in criminal investigations, trials and related proceedings in a foreign country</w:t>
      </w:r>
      <w:r w:rsidR="00C95E71">
        <w:t>.</w:t>
      </w:r>
      <w:r w:rsidR="0063496B">
        <w:rPr>
          <w:rStyle w:val="FootnoteReference"/>
        </w:rPr>
        <w:footnoteReference w:id="130"/>
      </w:r>
      <w:r w:rsidR="00C95E71">
        <w:t xml:space="preserve"> </w:t>
      </w:r>
      <w:r w:rsidR="0063496B">
        <w:t>In this regard, the country under review has mutual legal assistance treaties with the following State Parties to the Convention: Antigua and Barbuda, Argentina, The Bahamas, Barbados, Belize, Brazil, Canada, Dominica, Grenada, Jamaica, Mexico, Panama, Saint Kitts and Nevis, Saint Lucia, Saint Vincent and the Grenadines, Trinidad and Tobago, Uruguay, and Venezuela.</w:t>
      </w:r>
      <w:r w:rsidR="0063496B">
        <w:rPr>
          <w:rStyle w:val="FootnoteReference"/>
        </w:rPr>
        <w:footnoteReference w:id="131"/>
      </w:r>
    </w:p>
    <w:p w14:paraId="02B4AA93" w14:textId="77777777" w:rsidR="004F51F2" w:rsidRDefault="004F51F2" w:rsidP="004F51F2">
      <w:pPr>
        <w:pStyle w:val="ListParagraph"/>
      </w:pPr>
    </w:p>
    <w:p w14:paraId="618D3EF2" w14:textId="4245F4A0" w:rsidR="004F51F2" w:rsidRDefault="004F51F2" w:rsidP="00593F85">
      <w:pPr>
        <w:pStyle w:val="ListParagraph"/>
        <w:numPr>
          <w:ilvl w:val="0"/>
          <w:numId w:val="1"/>
        </w:numPr>
        <w:suppressAutoHyphens/>
        <w:spacing w:before="60" w:after="60"/>
        <w:jc w:val="both"/>
      </w:pPr>
      <w:r>
        <w:t xml:space="preserve">Regarding those State Parties that have not </w:t>
      </w:r>
      <w:proofErr w:type="gramStart"/>
      <w:r>
        <w:t>entered into</w:t>
      </w:r>
      <w:proofErr w:type="gramEnd"/>
      <w:r>
        <w:t xml:space="preserve"> a mutual legal assistance treaty with the United States, the USDOJ Office of International Affairs may also execute non-treaty requests for assistance based on comity and reciprocity. In the absence of a bilateral mutual legal assistance treaty or an applicable multilateral convention to which the United States and the requesting country are parties, the Office accepts non-treaty requests in form of letters rogatory and letters of request.</w:t>
      </w:r>
      <w:r>
        <w:rPr>
          <w:rStyle w:val="FootnoteReference"/>
        </w:rPr>
        <w:footnoteReference w:id="132"/>
      </w:r>
      <w:r>
        <w:t xml:space="preserve"> </w:t>
      </w:r>
    </w:p>
    <w:p w14:paraId="5A07CD20" w14:textId="77777777" w:rsidR="00C95E71" w:rsidRDefault="00C95E71" w:rsidP="00C95E71">
      <w:pPr>
        <w:pStyle w:val="ListParagraph"/>
      </w:pPr>
    </w:p>
    <w:p w14:paraId="30211AE9" w14:textId="281094FA" w:rsidR="00C95E71" w:rsidRDefault="004F51F2" w:rsidP="00593F85">
      <w:pPr>
        <w:pStyle w:val="ListParagraph"/>
        <w:numPr>
          <w:ilvl w:val="0"/>
          <w:numId w:val="1"/>
        </w:numPr>
        <w:suppressAutoHyphens/>
        <w:spacing w:before="60" w:after="60"/>
        <w:jc w:val="both"/>
      </w:pPr>
      <w:r>
        <w:t>The country under review also has online a document containing frequently asked questions regarding legal assistance in criminal matters.</w:t>
      </w:r>
      <w:r>
        <w:rPr>
          <w:rStyle w:val="FootnoteReference"/>
        </w:rPr>
        <w:footnoteReference w:id="133"/>
      </w:r>
      <w:r>
        <w:t xml:space="preserve"> </w:t>
      </w:r>
      <w:r w:rsidR="003F5055">
        <w:t xml:space="preserve">This document, which is </w:t>
      </w:r>
      <w:r w:rsidR="00A478CF">
        <w:t>also available</w:t>
      </w:r>
      <w:r w:rsidR="003F5055">
        <w:t xml:space="preserve"> in Frenc</w:t>
      </w:r>
      <w:r w:rsidR="000F7320">
        <w:t xml:space="preserve">h, Portuguese, </w:t>
      </w:r>
      <w:r w:rsidR="003F5055">
        <w:t xml:space="preserve">and Spanish, </w:t>
      </w:r>
      <w:r w:rsidR="00E826CF">
        <w:t>sets out the role of the USDOJ Office of International Affairs, and the type of assistance that is available from the United States, and the manner to make a request, among other things.</w:t>
      </w:r>
      <w:r w:rsidR="003F5055">
        <w:rPr>
          <w:rStyle w:val="FootnoteReference"/>
        </w:rPr>
        <w:footnoteReference w:id="134"/>
      </w:r>
      <w:r w:rsidR="00E826CF">
        <w:t xml:space="preserve"> </w:t>
      </w:r>
    </w:p>
    <w:p w14:paraId="68175F4D" w14:textId="77777777" w:rsidR="00E826CF" w:rsidRDefault="00E826CF" w:rsidP="00E826CF">
      <w:pPr>
        <w:pStyle w:val="ListParagraph"/>
      </w:pPr>
    </w:p>
    <w:p w14:paraId="489F4DD5" w14:textId="4B55F1F1" w:rsidR="00E826CF" w:rsidRDefault="00E826CF" w:rsidP="006125D2">
      <w:pPr>
        <w:pStyle w:val="ListParagraph"/>
        <w:numPr>
          <w:ilvl w:val="0"/>
          <w:numId w:val="1"/>
        </w:numPr>
        <w:suppressAutoHyphens/>
        <w:spacing w:before="60" w:after="60"/>
        <w:jc w:val="both"/>
      </w:pPr>
      <w:r>
        <w:t xml:space="preserve">Regarding the type of assistance available from the United States, it includes, but not limited to producing documents, </w:t>
      </w:r>
      <w:proofErr w:type="gramStart"/>
      <w:r>
        <w:t>records</w:t>
      </w:r>
      <w:proofErr w:type="gramEnd"/>
      <w:r>
        <w:t xml:space="preserve"> or other items. With respect to the manner to make a request to the United States, it provides a list of information required </w:t>
      </w:r>
      <w:r w:rsidR="003F5055">
        <w:t>when</w:t>
      </w:r>
      <w:r>
        <w:t xml:space="preserve"> a country lacks a bilateral mutual legal assistance treaty, and no multilateral convention applies, which </w:t>
      </w:r>
      <w:r w:rsidR="003F5055">
        <w:t>is also typically</w:t>
      </w:r>
      <w:r>
        <w:t xml:space="preserve"> required for requests submitted pursuant to a mutual legal assistance treaty.</w:t>
      </w:r>
      <w:r>
        <w:rPr>
          <w:rStyle w:val="FootnoteReference"/>
        </w:rPr>
        <w:footnoteReference w:id="135"/>
      </w:r>
      <w:r>
        <w:t xml:space="preserve"> </w:t>
      </w:r>
      <w:r w:rsidR="003F5055">
        <w:t>The information required includes, among other things: identification of the competent authority conducting the investigation or proceeding to which the request for assistance relates, including the name, official position, and contact information of that authority; the description of the offense to which the request relates, including the text of the relevant laws and the applicable penalty; a description of the facts that are alleged to constitute the offense; and a statement of the purpose for which the evidence, information, or other assistance is sought, including the nexus between the assistance sought and the offense. To the extent applicable, it should also provide, among other things: information on the identity and location of any person from whom evidence is sought; identity and location of a person to be served with notice or legal documents, the person’s relationship to the proceeding, and a description of how service is to be made; and a precise description of the place or person to be searched and of the items to be seized.</w:t>
      </w:r>
      <w:r w:rsidR="003F5055">
        <w:rPr>
          <w:rStyle w:val="FootnoteReference"/>
        </w:rPr>
        <w:footnoteReference w:id="136"/>
      </w:r>
    </w:p>
    <w:p w14:paraId="15206B3D" w14:textId="77777777" w:rsidR="005329CC" w:rsidRDefault="005329CC" w:rsidP="005329CC">
      <w:pPr>
        <w:pStyle w:val="ListParagraph"/>
        <w:suppressAutoHyphens/>
        <w:spacing w:before="60" w:after="60"/>
        <w:ind w:left="10"/>
        <w:jc w:val="both"/>
      </w:pPr>
    </w:p>
    <w:p w14:paraId="40EFBFD6" w14:textId="1ABDE0A6" w:rsidR="00E826CF" w:rsidRDefault="005329CC" w:rsidP="00593F85">
      <w:pPr>
        <w:pStyle w:val="ListParagraph"/>
        <w:numPr>
          <w:ilvl w:val="0"/>
          <w:numId w:val="1"/>
        </w:numPr>
        <w:suppressAutoHyphens/>
        <w:spacing w:before="60" w:after="60"/>
        <w:jc w:val="both"/>
      </w:pPr>
      <w:r>
        <w:t xml:space="preserve">It also provides that the USDOJ Office of International Affairs will review the foreign assistance request to determine if it complies with a bilateral mutual legal assistance treaty, if applicable; contains all </w:t>
      </w:r>
      <w:r>
        <w:lastRenderedPageBreak/>
        <w:t>the required information to allow identification and location of the assistance or evidence requested; is not subject to a ground for refusal; and contains sufficient information to meet the US legal standards for execution. In the case of bank and business records, the US legal standard is relevance, and it is carried out by subpoena approved by a court.</w:t>
      </w:r>
      <w:r>
        <w:rPr>
          <w:rStyle w:val="FootnoteReference"/>
        </w:rPr>
        <w:footnoteReference w:id="137"/>
      </w:r>
      <w:r>
        <w:t xml:space="preserve"> </w:t>
      </w:r>
    </w:p>
    <w:p w14:paraId="77331B8D" w14:textId="77777777" w:rsidR="005329CC" w:rsidRDefault="005329CC" w:rsidP="005329CC">
      <w:pPr>
        <w:pStyle w:val="ListParagraph"/>
      </w:pPr>
    </w:p>
    <w:p w14:paraId="2574DD88" w14:textId="63423D63" w:rsidR="009A5A72" w:rsidRDefault="005329CC" w:rsidP="00BE4A7A">
      <w:pPr>
        <w:pStyle w:val="ListParagraph"/>
        <w:numPr>
          <w:ilvl w:val="0"/>
          <w:numId w:val="1"/>
        </w:numPr>
        <w:suppressAutoHyphens/>
        <w:spacing w:before="60" w:after="60"/>
        <w:jc w:val="both"/>
      </w:pPr>
      <w:r>
        <w:t xml:space="preserve">Regarding the obligation not to use any information received by the United States for any purpose other than the proceeding for which the information was requested, the country under review notes that </w:t>
      </w:r>
      <w:r w:rsidR="00BE4A7A">
        <w:t>the USDOJ Office of International Affairs, in transmitting the evidence to the prosecutors in the field, reminds them of the use limitation and the need to have the Office reach out to their foreign counterparts to obtain consent of the requested State if they want to use the evidence for another matter.</w:t>
      </w:r>
      <w:r w:rsidR="00F67301">
        <w:rPr>
          <w:rStyle w:val="FootnoteReference"/>
        </w:rPr>
        <w:footnoteReference w:id="138"/>
      </w:r>
      <w:r w:rsidR="00BE4A7A">
        <w:t xml:space="preserve"> In addition, the United States also is guided by the provisions found in the bilateral mutual legal assistance treaties.</w:t>
      </w:r>
      <w:r w:rsidR="00BE4A7A" w:rsidRPr="00BE4A7A">
        <w:rPr>
          <w:rStyle w:val="FootnoteReference"/>
        </w:rPr>
        <w:t xml:space="preserve"> </w:t>
      </w:r>
      <w:r w:rsidR="00BE4A7A">
        <w:rPr>
          <w:rStyle w:val="FootnoteReference"/>
        </w:rPr>
        <w:footnoteReference w:id="139"/>
      </w:r>
      <w:r w:rsidR="00F90039">
        <w:t xml:space="preserve"> In this respect, the Committee notes that the bilateral mutual legal assistance treaties entered into by the United States all have a provision on the limitation of use of information received, whereby, in general terms, the requesting State shall not use any information or evidence obtained under a treaty in any investigation, prosecution, or proceeding other than that described in the request, without the prior consent of the requested State.</w:t>
      </w:r>
    </w:p>
    <w:p w14:paraId="312B1755" w14:textId="77777777" w:rsidR="00F90039" w:rsidRDefault="00F90039" w:rsidP="00F90039">
      <w:pPr>
        <w:pStyle w:val="ListParagraph"/>
      </w:pPr>
    </w:p>
    <w:p w14:paraId="5795AB25" w14:textId="77777777" w:rsidR="00F90039" w:rsidRPr="00346AAE" w:rsidRDefault="00F90039" w:rsidP="00F90039">
      <w:pPr>
        <w:pStyle w:val="ListParagraph"/>
        <w:ind w:hanging="360"/>
        <w:jc w:val="both"/>
        <w:rPr>
          <w:b/>
          <w:color w:val="000000" w:themeColor="text1"/>
        </w:rPr>
      </w:pPr>
      <w:r w:rsidRPr="00346AAE">
        <w:rPr>
          <w:b/>
        </w:rPr>
        <w:t xml:space="preserve">1.2. </w:t>
      </w:r>
      <w:r w:rsidRPr="00346AAE">
        <w:rPr>
          <w:b/>
          <w:bCs/>
        </w:rPr>
        <w:t>Adequacy</w:t>
      </w:r>
      <w:r w:rsidRPr="00346AAE">
        <w:rPr>
          <w:b/>
        </w:rPr>
        <w:t xml:space="preserve"> of the legal framework and/or other measures</w:t>
      </w:r>
    </w:p>
    <w:p w14:paraId="23D3966B" w14:textId="77777777" w:rsidR="00F90039" w:rsidRPr="00346AAE" w:rsidRDefault="00F90039" w:rsidP="00F90039">
      <w:pPr>
        <w:ind w:left="10"/>
        <w:jc w:val="both"/>
        <w:rPr>
          <w:color w:val="000000" w:themeColor="text1"/>
          <w:sz w:val="22"/>
          <w:szCs w:val="22"/>
        </w:rPr>
      </w:pPr>
    </w:p>
    <w:p w14:paraId="073E478A" w14:textId="77777777" w:rsidR="00F90039" w:rsidRPr="00A601A9" w:rsidRDefault="00F90039" w:rsidP="00F90039">
      <w:pPr>
        <w:pStyle w:val="ListParagraph"/>
        <w:numPr>
          <w:ilvl w:val="0"/>
          <w:numId w:val="1"/>
        </w:numPr>
        <w:suppressAutoHyphens/>
        <w:jc w:val="both"/>
        <w:rPr>
          <w:color w:val="000000" w:themeColor="text1"/>
        </w:rPr>
      </w:pPr>
      <w:r w:rsidRPr="00346AAE">
        <w:t xml:space="preserve">With respect to the provisions on bank secrecy that the Committee has reviewed </w:t>
      </w:r>
      <w:proofErr w:type="gramStart"/>
      <w:r w:rsidRPr="00346AAE">
        <w:t>on the basis of</w:t>
      </w:r>
      <w:proofErr w:type="gramEnd"/>
      <w:r w:rsidRPr="00346AAE">
        <w:t xml:space="preserve"> the information available to it, they constitute a set of measures that are pertinent for promoting the purposes of the Convention. However, the Committee considers it appropriate to formulate the following observations:</w:t>
      </w:r>
    </w:p>
    <w:p w14:paraId="2C323BED" w14:textId="77777777" w:rsidR="00A601A9" w:rsidRDefault="00A601A9" w:rsidP="00A601A9">
      <w:pPr>
        <w:pStyle w:val="ListParagraph"/>
        <w:suppressAutoHyphens/>
        <w:ind w:left="10"/>
        <w:jc w:val="both"/>
      </w:pPr>
    </w:p>
    <w:p w14:paraId="3964A247" w14:textId="56BE6A7C" w:rsidR="00F90039" w:rsidRDefault="000D1087" w:rsidP="00F90039">
      <w:pPr>
        <w:pStyle w:val="ListParagraph"/>
        <w:numPr>
          <w:ilvl w:val="0"/>
          <w:numId w:val="1"/>
        </w:numPr>
        <w:suppressAutoHyphens/>
        <w:jc w:val="both"/>
        <w:rPr>
          <w:color w:val="000000" w:themeColor="text1"/>
        </w:rPr>
      </w:pPr>
      <w:r>
        <w:rPr>
          <w:color w:val="000000" w:themeColor="text1"/>
        </w:rPr>
        <w:t>The Committee observes that the use of banking or financial information received by the country under review is limited, in that it cannot be used for any purpose, other than described in the request</w:t>
      </w:r>
      <w:r w:rsidR="00D4116D">
        <w:rPr>
          <w:color w:val="000000" w:themeColor="text1"/>
        </w:rPr>
        <w:t xml:space="preserve"> </w:t>
      </w:r>
      <w:r w:rsidR="00BA0961" w:rsidRPr="0061036E">
        <w:rPr>
          <w:color w:val="000000" w:themeColor="text1"/>
        </w:rPr>
        <w:t>without prior consent from the central authority of the requested State</w:t>
      </w:r>
      <w:r w:rsidRPr="0061036E">
        <w:rPr>
          <w:color w:val="000000" w:themeColor="text1"/>
        </w:rPr>
        <w:t>.</w:t>
      </w:r>
      <w:r>
        <w:rPr>
          <w:color w:val="000000" w:themeColor="text1"/>
        </w:rPr>
        <w:t xml:space="preserve"> The Committee notes that the country under review also is </w:t>
      </w:r>
      <w:r w:rsidR="00F67301">
        <w:rPr>
          <w:color w:val="000000" w:themeColor="text1"/>
        </w:rPr>
        <w:t xml:space="preserve">a </w:t>
      </w:r>
      <w:r>
        <w:rPr>
          <w:color w:val="000000" w:themeColor="text1"/>
        </w:rPr>
        <w:t>State Part</w:t>
      </w:r>
      <w:r w:rsidR="00F67301">
        <w:rPr>
          <w:color w:val="000000" w:themeColor="text1"/>
        </w:rPr>
        <w:t>y</w:t>
      </w:r>
      <w:r>
        <w:rPr>
          <w:color w:val="000000" w:themeColor="text1"/>
        </w:rPr>
        <w:t xml:space="preserve"> to various multilateral conventions that also limit the use of information received in this respect, such as the Interamerican Convention against Corruption and the Interamerican Convention on Mutual Assistance in Criminal Matters; among others.</w:t>
      </w:r>
      <w:r>
        <w:rPr>
          <w:rStyle w:val="FootnoteReference"/>
          <w:color w:val="000000" w:themeColor="text1"/>
        </w:rPr>
        <w:footnoteReference w:id="140"/>
      </w:r>
    </w:p>
    <w:p w14:paraId="3F2EA124" w14:textId="77777777" w:rsidR="00F67301" w:rsidRPr="00F67301" w:rsidRDefault="00F67301" w:rsidP="00F67301">
      <w:pPr>
        <w:pStyle w:val="ListParagraph"/>
        <w:rPr>
          <w:color w:val="000000" w:themeColor="text1"/>
        </w:rPr>
      </w:pPr>
    </w:p>
    <w:p w14:paraId="6051DA40" w14:textId="31BAD314" w:rsidR="00F67301" w:rsidRPr="00837905" w:rsidRDefault="00F67301" w:rsidP="00F90039">
      <w:pPr>
        <w:pStyle w:val="ListParagraph"/>
        <w:numPr>
          <w:ilvl w:val="0"/>
          <w:numId w:val="1"/>
        </w:numPr>
        <w:suppressAutoHyphens/>
        <w:jc w:val="both"/>
        <w:rPr>
          <w:color w:val="000000" w:themeColor="text1"/>
        </w:rPr>
      </w:pPr>
      <w:r w:rsidRPr="00837905">
        <w:rPr>
          <w:color w:val="000000" w:themeColor="text1"/>
        </w:rPr>
        <w:t>Moreover, the country under review, in transmitting the evidence obtained abroad, reminds prosecutors of the use of limitation, and the need to reach out to their foreign counterparts to obtain consent to use the evidence for another matter.</w:t>
      </w:r>
    </w:p>
    <w:p w14:paraId="6FC95BCB" w14:textId="77777777" w:rsidR="00F67301" w:rsidRDefault="00F67301" w:rsidP="00F67301">
      <w:pPr>
        <w:pStyle w:val="ListParagraph"/>
        <w:rPr>
          <w:color w:val="000000" w:themeColor="text1"/>
        </w:rPr>
      </w:pPr>
    </w:p>
    <w:p w14:paraId="79092B26" w14:textId="7AF292CD" w:rsidR="00F67301" w:rsidRDefault="0042308C" w:rsidP="00F90039">
      <w:pPr>
        <w:pStyle w:val="ListParagraph"/>
        <w:numPr>
          <w:ilvl w:val="0"/>
          <w:numId w:val="1"/>
        </w:numPr>
        <w:suppressAutoHyphens/>
        <w:jc w:val="both"/>
        <w:rPr>
          <w:color w:val="000000" w:themeColor="text1"/>
        </w:rPr>
      </w:pPr>
      <w:r w:rsidRPr="00B051D3">
        <w:rPr>
          <w:color w:val="000000" w:themeColor="text1"/>
        </w:rPr>
        <w:t>The</w:t>
      </w:r>
      <w:r w:rsidRPr="00346AAE">
        <w:rPr>
          <w:color w:val="000000" w:themeColor="text1"/>
        </w:rPr>
        <w:t xml:space="preserve"> Committee observes that while this </w:t>
      </w:r>
      <w:r>
        <w:rPr>
          <w:color w:val="000000" w:themeColor="text1"/>
        </w:rPr>
        <w:t>process</w:t>
      </w:r>
      <w:r w:rsidRPr="00346AAE">
        <w:rPr>
          <w:color w:val="000000" w:themeColor="text1"/>
        </w:rPr>
        <w:t xml:space="preserve"> helps ensure that the banking information received by </w:t>
      </w:r>
      <w:r>
        <w:rPr>
          <w:color w:val="000000" w:themeColor="text1"/>
        </w:rPr>
        <w:t>the United States</w:t>
      </w:r>
      <w:r w:rsidRPr="00346AAE">
        <w:rPr>
          <w:color w:val="000000" w:themeColor="text1"/>
        </w:rPr>
        <w:t xml:space="preserve"> is only used for the purpose for which the information was requested, the country under review may </w:t>
      </w:r>
      <w:r w:rsidRPr="00AA11F3">
        <w:rPr>
          <w:color w:val="000000" w:themeColor="text1"/>
        </w:rPr>
        <w:t xml:space="preserve">consider </w:t>
      </w:r>
      <w:r w:rsidR="007714F2" w:rsidRPr="00AA11F3">
        <w:rPr>
          <w:rFonts w:hint="eastAsia"/>
          <w:color w:val="000000" w:themeColor="text1"/>
        </w:rPr>
        <w:t>evaluating if current practices sufficiently protect the confidentiality of applicable banking information as required</w:t>
      </w:r>
      <w:r w:rsidR="007714F2" w:rsidRPr="007714F2">
        <w:rPr>
          <w:rFonts w:hint="eastAsia"/>
          <w:color w:val="000000" w:themeColor="text1"/>
        </w:rPr>
        <w:t> </w:t>
      </w:r>
      <w:r w:rsidRPr="00346AAE">
        <w:rPr>
          <w:color w:val="000000" w:themeColor="text1"/>
        </w:rPr>
        <w:t>under Article XVI(2) of the Convention. The Committee will formulate a recommendation in this regard. (See Recommendation 1.4.1 in section 1.4 of Chapter III of this Report)</w:t>
      </w:r>
    </w:p>
    <w:p w14:paraId="68FD0226" w14:textId="77777777" w:rsidR="00FC70B9" w:rsidRDefault="00FC70B9" w:rsidP="00FC70B9">
      <w:pPr>
        <w:pStyle w:val="ListParagraph"/>
        <w:suppressAutoHyphens/>
        <w:ind w:left="10"/>
        <w:jc w:val="both"/>
        <w:rPr>
          <w:color w:val="000000" w:themeColor="text1"/>
        </w:rPr>
      </w:pPr>
    </w:p>
    <w:p w14:paraId="2079583C" w14:textId="5D9E02B3" w:rsidR="00AA5688" w:rsidRDefault="0042308C" w:rsidP="00FE7390">
      <w:pPr>
        <w:pStyle w:val="ListParagraph"/>
        <w:numPr>
          <w:ilvl w:val="0"/>
          <w:numId w:val="1"/>
        </w:numPr>
        <w:suppressAutoHyphens/>
        <w:jc w:val="both"/>
        <w:rPr>
          <w:rStyle w:val="eop"/>
        </w:rPr>
      </w:pPr>
      <w:r w:rsidRPr="00346AAE">
        <w:rPr>
          <w:rStyle w:val="normaltextrun"/>
        </w:rPr>
        <w:t>The Committee also observes the absence of deadlines for processing and responding to requests.</w:t>
      </w:r>
      <w:r w:rsidRPr="00346AAE">
        <w:rPr>
          <w:rStyle w:val="eop"/>
        </w:rPr>
        <w:t xml:space="preserve">  </w:t>
      </w:r>
      <w:r>
        <w:rPr>
          <w:rStyle w:val="eop"/>
        </w:rPr>
        <w:t xml:space="preserve">During the on-site </w:t>
      </w:r>
      <w:r w:rsidR="00771E8E">
        <w:rPr>
          <w:rStyle w:val="eop"/>
        </w:rPr>
        <w:t>visit</w:t>
      </w:r>
      <w:r>
        <w:rPr>
          <w:rStyle w:val="eop"/>
        </w:rPr>
        <w:t xml:space="preserve">, the representative from the USDOJ Office of International Affairs </w:t>
      </w:r>
      <w:r w:rsidR="00771E8E">
        <w:rPr>
          <w:rStyle w:val="eop"/>
        </w:rPr>
        <w:t xml:space="preserve">noted that under US law, there are no deadlines in place, rather, there are internal ones, which the Office attempts to meet. It was also noted that once a request is received, </w:t>
      </w:r>
      <w:r w:rsidR="00FE7390">
        <w:rPr>
          <w:rStyle w:val="eop"/>
        </w:rPr>
        <w:t>th</w:t>
      </w:r>
      <w:r w:rsidR="00771E8E">
        <w:rPr>
          <w:rStyle w:val="eop"/>
        </w:rPr>
        <w:t xml:space="preserve">e request is reviewed, </w:t>
      </w:r>
      <w:r w:rsidR="00FE7390">
        <w:rPr>
          <w:rStyle w:val="eop"/>
        </w:rPr>
        <w:t xml:space="preserve">a notification sent to the </w:t>
      </w:r>
      <w:r w:rsidR="00FE7390">
        <w:rPr>
          <w:rStyle w:val="eop"/>
        </w:rPr>
        <w:lastRenderedPageBreak/>
        <w:t xml:space="preserve">Requesting State, and </w:t>
      </w:r>
      <w:r w:rsidR="00AA5688">
        <w:rPr>
          <w:rStyle w:val="eop"/>
        </w:rPr>
        <w:t>u</w:t>
      </w:r>
      <w:r w:rsidR="00771E8E">
        <w:rPr>
          <w:rStyle w:val="eop"/>
        </w:rPr>
        <w:t xml:space="preserve">pdates may be provided if one is requested. </w:t>
      </w:r>
      <w:r w:rsidR="00FE7390">
        <w:rPr>
          <w:rStyle w:val="eop"/>
        </w:rPr>
        <w:t>D</w:t>
      </w:r>
      <w:r w:rsidR="00AA5688">
        <w:rPr>
          <w:rStyle w:val="eop"/>
        </w:rPr>
        <w:t xml:space="preserve">uring the on-site visit, mention was also made that urgent requests can be made, and a justification is required, and deadlines are considered if one is made in a request. </w:t>
      </w:r>
      <w:r w:rsidR="00BF7C72" w:rsidRPr="00FC65D8">
        <w:rPr>
          <w:rStyle w:val="eop"/>
        </w:rPr>
        <w:t>Subpoenas issued to f</w:t>
      </w:r>
      <w:r w:rsidR="00AA5688" w:rsidRPr="00FC65D8">
        <w:rPr>
          <w:rStyle w:val="eop"/>
        </w:rPr>
        <w:t xml:space="preserve">inancial institutions </w:t>
      </w:r>
      <w:r w:rsidR="00707793" w:rsidRPr="00FC65D8">
        <w:rPr>
          <w:rStyle w:val="eop"/>
        </w:rPr>
        <w:t xml:space="preserve">may demand production of records within </w:t>
      </w:r>
      <w:r w:rsidR="00AA5688" w:rsidRPr="00FC65D8">
        <w:rPr>
          <w:rStyle w:val="eop"/>
        </w:rPr>
        <w:t xml:space="preserve">approximately 3 – 4 weeks, and the USDOJ may provide an extension </w:t>
      </w:r>
      <w:r w:rsidR="00D003B8" w:rsidRPr="00FC65D8">
        <w:rPr>
          <w:rStyle w:val="eop"/>
        </w:rPr>
        <w:t>of time</w:t>
      </w:r>
      <w:r w:rsidR="004D46C8" w:rsidRPr="00FC65D8">
        <w:rPr>
          <w:rStyle w:val="eop"/>
        </w:rPr>
        <w:t xml:space="preserve"> </w:t>
      </w:r>
      <w:r w:rsidR="00AA5688" w:rsidRPr="00FC65D8">
        <w:rPr>
          <w:rStyle w:val="eop"/>
        </w:rPr>
        <w:t xml:space="preserve">to the financial institution </w:t>
      </w:r>
      <w:r w:rsidR="004D46C8" w:rsidRPr="00FC65D8">
        <w:rPr>
          <w:rStyle w:val="eop"/>
        </w:rPr>
        <w:t>upon request,</w:t>
      </w:r>
      <w:r w:rsidR="00165E7E" w:rsidRPr="00FC65D8">
        <w:rPr>
          <w:rStyle w:val="eop"/>
        </w:rPr>
        <w:t xml:space="preserve"> </w:t>
      </w:r>
      <w:proofErr w:type="gramStart"/>
      <w:r w:rsidR="004D46C8" w:rsidRPr="00FC65D8">
        <w:rPr>
          <w:rStyle w:val="eop"/>
        </w:rPr>
        <w:t>in particular when</w:t>
      </w:r>
      <w:proofErr w:type="gramEnd"/>
      <w:r w:rsidR="00165E7E" w:rsidRPr="00FC65D8">
        <w:rPr>
          <w:rStyle w:val="eop"/>
        </w:rPr>
        <w:t xml:space="preserve"> </w:t>
      </w:r>
      <w:r w:rsidR="00AA5688" w:rsidRPr="00FC65D8">
        <w:rPr>
          <w:rStyle w:val="eop"/>
        </w:rPr>
        <w:t>is the information requested is extensive.</w:t>
      </w:r>
      <w:r w:rsidR="00AA5688">
        <w:rPr>
          <w:rStyle w:val="eop"/>
        </w:rPr>
        <w:t xml:space="preserve"> </w:t>
      </w:r>
    </w:p>
    <w:p w14:paraId="18984CC1" w14:textId="77777777" w:rsidR="00FE7390" w:rsidRDefault="00FE7390" w:rsidP="00FE7390">
      <w:pPr>
        <w:pStyle w:val="ListParagraph"/>
        <w:rPr>
          <w:rStyle w:val="eop"/>
        </w:rPr>
      </w:pPr>
    </w:p>
    <w:p w14:paraId="0C5C1876" w14:textId="2E153F1C" w:rsidR="00FE7390" w:rsidRDefault="00FE7390" w:rsidP="00FE7390">
      <w:pPr>
        <w:pStyle w:val="ListParagraph"/>
        <w:numPr>
          <w:ilvl w:val="0"/>
          <w:numId w:val="1"/>
        </w:numPr>
        <w:suppressAutoHyphens/>
        <w:jc w:val="both"/>
        <w:rPr>
          <w:rStyle w:val="eop"/>
        </w:rPr>
      </w:pPr>
      <w:r>
        <w:rPr>
          <w:rStyle w:val="eop"/>
        </w:rPr>
        <w:t xml:space="preserve">The Committee notes, that during the on-site visit, mention was made that it was difficult for the USDOJ Office of International Affairs to meet its internal deadlines to respond to requests, given that they are understaffed. Mention was also made that there were approximately 13000 requests currently pending. </w:t>
      </w:r>
      <w:r w:rsidR="00342CC2" w:rsidRPr="00FC65D8">
        <w:rPr>
          <w:rStyle w:val="eop"/>
        </w:rPr>
        <w:t xml:space="preserve">Additionally, it should also be noted that delays in execution of requests are attributable to </w:t>
      </w:r>
      <w:proofErr w:type="gramStart"/>
      <w:r w:rsidR="00342CC2" w:rsidRPr="00FC65D8">
        <w:rPr>
          <w:rStyle w:val="eop"/>
        </w:rPr>
        <w:t>a number of</w:t>
      </w:r>
      <w:proofErr w:type="gramEnd"/>
      <w:r w:rsidR="00342CC2" w:rsidRPr="00FC65D8">
        <w:rPr>
          <w:rStyle w:val="eop"/>
        </w:rPr>
        <w:t xml:space="preserve"> factors, including requests without sufficient information to meet U.S. legal standards, missing or poor translations, and references to attachments that are not provided.</w:t>
      </w:r>
    </w:p>
    <w:p w14:paraId="44231E64" w14:textId="77777777" w:rsidR="00FE7390" w:rsidRDefault="00FE7390" w:rsidP="00FE7390">
      <w:pPr>
        <w:pStyle w:val="ListParagraph"/>
        <w:rPr>
          <w:rStyle w:val="normaltextrun"/>
        </w:rPr>
      </w:pPr>
    </w:p>
    <w:p w14:paraId="4239EA91" w14:textId="05DA6C6F" w:rsidR="0042308C" w:rsidRDefault="0042308C" w:rsidP="00FE7390">
      <w:pPr>
        <w:pStyle w:val="ListParagraph"/>
        <w:numPr>
          <w:ilvl w:val="0"/>
          <w:numId w:val="1"/>
        </w:numPr>
        <w:suppressAutoHyphens/>
        <w:jc w:val="both"/>
        <w:rPr>
          <w:rStyle w:val="normaltextrun"/>
        </w:rPr>
      </w:pPr>
      <w:r w:rsidRPr="00346AAE">
        <w:rPr>
          <w:rStyle w:val="normaltextrun"/>
        </w:rPr>
        <w:t xml:space="preserve">In view of the foregoing, </w:t>
      </w:r>
      <w:r w:rsidRPr="00FE7390">
        <w:rPr>
          <w:rStyle w:val="normaltextrun"/>
          <w:color w:val="0E101A"/>
        </w:rPr>
        <w:t xml:space="preserve">the Committee deems it beneficial for the country under review to consider </w:t>
      </w:r>
      <w:r w:rsidR="00FE7390">
        <w:rPr>
          <w:rStyle w:val="normaltextrun"/>
          <w:color w:val="0E101A"/>
        </w:rPr>
        <w:t xml:space="preserve">providing the necessary human resources to the USDOJ Office of International Affairs, so that they might be able to fully carry out its functions of responding to and carrying out request for assistance, in general, but specifically with respect to requests for </w:t>
      </w:r>
      <w:r w:rsidR="0034328B">
        <w:rPr>
          <w:rStyle w:val="normaltextrun"/>
          <w:color w:val="0E101A"/>
        </w:rPr>
        <w:t xml:space="preserve">banking and </w:t>
      </w:r>
      <w:r w:rsidR="00FE7390">
        <w:rPr>
          <w:rStyle w:val="normaltextrun"/>
          <w:color w:val="0E101A"/>
        </w:rPr>
        <w:t xml:space="preserve">financial information, within available resources. In addition, it would be beneficial to consider </w:t>
      </w:r>
      <w:r w:rsidRPr="00346AAE">
        <w:rPr>
          <w:rStyle w:val="normaltextrun"/>
        </w:rPr>
        <w:t>regularly evaluat</w:t>
      </w:r>
      <w:r w:rsidR="00160EF5">
        <w:rPr>
          <w:rStyle w:val="normaltextrun"/>
        </w:rPr>
        <w:t>ing</w:t>
      </w:r>
      <w:r w:rsidRPr="00346AAE">
        <w:rPr>
          <w:rStyle w:val="normaltextrun"/>
        </w:rPr>
        <w:t xml:space="preserve"> if existing policies and practices allow for the response to requests for assistance in a timely manner. (See Recommendation</w:t>
      </w:r>
      <w:r w:rsidR="00A85452">
        <w:rPr>
          <w:rStyle w:val="normaltextrun"/>
        </w:rPr>
        <w:t>s</w:t>
      </w:r>
      <w:r w:rsidRPr="00346AAE">
        <w:rPr>
          <w:rStyle w:val="normaltextrun"/>
        </w:rPr>
        <w:t xml:space="preserve"> 1.4.2</w:t>
      </w:r>
      <w:r w:rsidR="00A85452">
        <w:rPr>
          <w:rStyle w:val="normaltextrun"/>
        </w:rPr>
        <w:t xml:space="preserve"> and 1.4.3</w:t>
      </w:r>
      <w:r w:rsidRPr="00346AAE">
        <w:rPr>
          <w:rStyle w:val="normaltextrun"/>
        </w:rPr>
        <w:t xml:space="preserve"> in section 1.4 of Chapter III of this Report).</w:t>
      </w:r>
    </w:p>
    <w:p w14:paraId="2C420B31" w14:textId="77777777" w:rsidR="00A85452" w:rsidRDefault="00A85452" w:rsidP="00A85452">
      <w:pPr>
        <w:pStyle w:val="ListParagraph"/>
      </w:pPr>
    </w:p>
    <w:p w14:paraId="5DFF7540" w14:textId="7146D828" w:rsidR="00A85452" w:rsidRPr="00B957C8" w:rsidRDefault="00A85452" w:rsidP="00FE7390">
      <w:pPr>
        <w:pStyle w:val="ListParagraph"/>
        <w:numPr>
          <w:ilvl w:val="0"/>
          <w:numId w:val="1"/>
        </w:numPr>
        <w:suppressAutoHyphens/>
        <w:jc w:val="both"/>
        <w:rPr>
          <w:color w:val="0E101A"/>
        </w:rPr>
      </w:pPr>
      <w:r>
        <w:t xml:space="preserve">The Committee also notes </w:t>
      </w:r>
      <w:r>
        <w:rPr>
          <w:rStyle w:val="normaltextrun"/>
          <w:color w:val="0E101A"/>
        </w:rPr>
        <w:t>that the USDOJ Office of International Affairs provide</w:t>
      </w:r>
      <w:r w:rsidR="000F7320">
        <w:rPr>
          <w:rStyle w:val="normaltextrun"/>
          <w:color w:val="0E101A"/>
        </w:rPr>
        <w:t>d</w:t>
      </w:r>
      <w:r>
        <w:rPr>
          <w:rStyle w:val="normaltextrun"/>
          <w:color w:val="0E101A"/>
        </w:rPr>
        <w:t xml:space="preserve"> the previously cited document online, ‘</w:t>
      </w:r>
      <w:r w:rsidRPr="00A85452">
        <w:rPr>
          <w:rStyle w:val="normaltextrun"/>
          <w:color w:val="0E101A"/>
        </w:rPr>
        <w:t>Frequently Asked Questions Regarding Legal Assistance in Criminal Matters</w:t>
      </w:r>
      <w:r>
        <w:rPr>
          <w:rStyle w:val="normaltextrun"/>
          <w:color w:val="0E101A"/>
        </w:rPr>
        <w:t xml:space="preserve">,’ </w:t>
      </w:r>
      <w:r w:rsidR="000F7320">
        <w:rPr>
          <w:rStyle w:val="normaltextrun"/>
          <w:color w:val="0E101A"/>
        </w:rPr>
        <w:t xml:space="preserve">which is also </w:t>
      </w:r>
      <w:r w:rsidR="00B957C8">
        <w:rPr>
          <w:rStyle w:val="normaltextrun"/>
          <w:color w:val="0E101A"/>
        </w:rPr>
        <w:t>available in</w:t>
      </w:r>
      <w:r>
        <w:rPr>
          <w:rStyle w:val="normaltextrun"/>
          <w:color w:val="0E101A"/>
        </w:rPr>
        <w:t xml:space="preserve"> French</w:t>
      </w:r>
      <w:r w:rsidR="000F7320">
        <w:rPr>
          <w:rStyle w:val="normaltextrun"/>
          <w:color w:val="0E101A"/>
        </w:rPr>
        <w:t>, Portuguese, and</w:t>
      </w:r>
      <w:r>
        <w:rPr>
          <w:rStyle w:val="normaltextrun"/>
          <w:color w:val="0E101A"/>
        </w:rPr>
        <w:t xml:space="preserve"> Spanish</w:t>
      </w:r>
      <w:r w:rsidR="00B957C8">
        <w:rPr>
          <w:rStyle w:val="normaltextrun"/>
          <w:color w:val="0E101A"/>
        </w:rPr>
        <w:t>, to assist requesting states with a mutual legal assistance request. This document sets out</w:t>
      </w:r>
      <w:r w:rsidR="00B957C8">
        <w:t xml:space="preserve"> the type of assistance that is available from the United States, and the manner to make a request, among other things, and in the case of bank and business records, provides that the US legal standard to meet is relevance, and receiving this information is carried out by subpoena approved by a court.</w:t>
      </w:r>
      <w:r w:rsidR="00B957C8">
        <w:rPr>
          <w:rStyle w:val="FootnoteReference"/>
        </w:rPr>
        <w:footnoteReference w:id="141"/>
      </w:r>
    </w:p>
    <w:p w14:paraId="79AB864A" w14:textId="77777777" w:rsidR="00B957C8" w:rsidRPr="00B957C8" w:rsidRDefault="00B957C8" w:rsidP="00B957C8">
      <w:pPr>
        <w:pStyle w:val="ListParagraph"/>
        <w:rPr>
          <w:rStyle w:val="normaltextrun"/>
          <w:color w:val="0E101A"/>
        </w:rPr>
      </w:pPr>
    </w:p>
    <w:p w14:paraId="1DBA440D" w14:textId="12E9D7EE" w:rsidR="00B327E9" w:rsidRDefault="00B957C8" w:rsidP="00CA3354">
      <w:pPr>
        <w:pStyle w:val="ListParagraph"/>
        <w:numPr>
          <w:ilvl w:val="0"/>
          <w:numId w:val="1"/>
        </w:numPr>
        <w:suppressAutoHyphens/>
        <w:jc w:val="both"/>
      </w:pPr>
      <w:r>
        <w:t xml:space="preserve">Although this resource is available online, during the onsite visit, the representative from the </w:t>
      </w:r>
      <w:r w:rsidRPr="00B327E9">
        <w:rPr>
          <w:rStyle w:val="normaltextrun"/>
          <w:color w:val="0E101A"/>
        </w:rPr>
        <w:t xml:space="preserve">USDOJ Office of International Affairs noted that one challenge in responding to requests is the lack of sufficient information received from Requesting states, such as not </w:t>
      </w:r>
      <w:r w:rsidR="000F7320">
        <w:rPr>
          <w:rStyle w:val="normaltextrun"/>
          <w:color w:val="0E101A"/>
        </w:rPr>
        <w:t>providing the name of</w:t>
      </w:r>
      <w:r w:rsidRPr="00B327E9">
        <w:rPr>
          <w:rStyle w:val="normaltextrun"/>
          <w:color w:val="0E101A"/>
        </w:rPr>
        <w:t xml:space="preserve"> the financial institution where the requested information is contained. In this respect, the Committee believes that the </w:t>
      </w:r>
      <w:r w:rsidR="00B327E9" w:rsidRPr="00B327E9">
        <w:rPr>
          <w:rStyle w:val="normaltextrun"/>
          <w:color w:val="0E101A"/>
        </w:rPr>
        <w:t xml:space="preserve">country under review could consider providing more detailed information in the resources offered to requesting States. For example, it could further specify, in its Frequently Asked Questions document, that requesting States should specifically </w:t>
      </w:r>
      <w:r w:rsidR="00B327E9" w:rsidRPr="00346AAE">
        <w:t xml:space="preserve">identify the nature of the </w:t>
      </w:r>
      <w:r w:rsidR="00B327E9">
        <w:t xml:space="preserve">banking or financial </w:t>
      </w:r>
      <w:r w:rsidR="00B327E9" w:rsidRPr="00346AAE">
        <w:t>records</w:t>
      </w:r>
      <w:r w:rsidR="00B327E9">
        <w:t xml:space="preserve"> sought</w:t>
      </w:r>
      <w:r w:rsidR="00B327E9" w:rsidRPr="00346AAE">
        <w:t xml:space="preserve">, the name and location of the financial institution where the records are believed to be located, the account number pertaining to the records, and why the records will assist in advancing </w:t>
      </w:r>
      <w:r w:rsidR="00B327E9">
        <w:t>a</w:t>
      </w:r>
      <w:r w:rsidR="00B327E9" w:rsidRPr="00346AAE">
        <w:t xml:space="preserve"> case. </w:t>
      </w:r>
      <w:r w:rsidR="00B327E9">
        <w:t>In this manner, requesting States will be provided further guidance on what is required by the United States to carry out a mutual legal assistance request as it pertains to bank or financial records, and may help in reducing the overall timeframe for carrying out such a request. The Committee will formulate a recommendation in this regard. (See Recommendation 1.4.4. in section 1.4 of Chapter II of this Report).</w:t>
      </w:r>
    </w:p>
    <w:p w14:paraId="55C5764D" w14:textId="77777777" w:rsidR="00B327E9" w:rsidRDefault="00B327E9" w:rsidP="00B327E9">
      <w:pPr>
        <w:pStyle w:val="ListParagraph"/>
        <w:suppressAutoHyphens/>
        <w:ind w:left="10"/>
        <w:jc w:val="both"/>
      </w:pPr>
    </w:p>
    <w:p w14:paraId="3C65D449" w14:textId="298DD029" w:rsidR="00B327E9" w:rsidRDefault="00B327E9" w:rsidP="00B327E9">
      <w:pPr>
        <w:pStyle w:val="ListParagraph"/>
        <w:ind w:hanging="360"/>
        <w:jc w:val="both"/>
      </w:pPr>
      <w:r w:rsidRPr="00346AAE">
        <w:rPr>
          <w:b/>
        </w:rPr>
        <w:t xml:space="preserve">1.3 </w:t>
      </w:r>
      <w:r w:rsidRPr="00346AAE">
        <w:rPr>
          <w:b/>
          <w:bCs/>
        </w:rPr>
        <w:t>Results</w:t>
      </w:r>
      <w:r w:rsidRPr="00346AAE">
        <w:rPr>
          <w:b/>
        </w:rPr>
        <w:t xml:space="preserve"> of the legal framework and/or other measures</w:t>
      </w:r>
    </w:p>
    <w:p w14:paraId="798141F4" w14:textId="77777777" w:rsidR="00B327E9" w:rsidRDefault="00B327E9" w:rsidP="00B327E9">
      <w:pPr>
        <w:pStyle w:val="ListParagraph"/>
        <w:suppressAutoHyphens/>
        <w:ind w:left="10"/>
        <w:jc w:val="both"/>
      </w:pPr>
    </w:p>
    <w:p w14:paraId="7431B101" w14:textId="77777777" w:rsidR="00B327E9" w:rsidRPr="00346AAE" w:rsidRDefault="00B327E9" w:rsidP="00B327E9">
      <w:pPr>
        <w:pStyle w:val="ListParagraph"/>
        <w:numPr>
          <w:ilvl w:val="0"/>
          <w:numId w:val="1"/>
        </w:numPr>
        <w:suppressAutoHyphens/>
        <w:jc w:val="both"/>
        <w:rPr>
          <w:color w:val="000000" w:themeColor="text1"/>
        </w:rPr>
      </w:pPr>
      <w:r w:rsidRPr="00346AAE">
        <w:rPr>
          <w:rStyle w:val="normaltextrun"/>
        </w:rPr>
        <w:t>The</w:t>
      </w:r>
      <w:r w:rsidRPr="00346AAE">
        <w:rPr>
          <w:color w:val="000000" w:themeColor="text1"/>
        </w:rPr>
        <w:t xml:space="preserve"> country under review, in its Response to the Questionnaire, noted the following with respect to results:</w:t>
      </w:r>
      <w:r w:rsidRPr="00346AAE">
        <w:rPr>
          <w:rStyle w:val="FootnoteReference"/>
          <w:color w:val="000000" w:themeColor="text1"/>
        </w:rPr>
        <w:footnoteReference w:id="142"/>
      </w:r>
    </w:p>
    <w:p w14:paraId="3160651B" w14:textId="77777777" w:rsidR="00B327E9" w:rsidRPr="00346AAE" w:rsidRDefault="00B327E9" w:rsidP="00B327E9">
      <w:pPr>
        <w:suppressAutoHyphens/>
        <w:contextualSpacing/>
        <w:jc w:val="both"/>
        <w:rPr>
          <w:color w:val="000000" w:themeColor="text1"/>
          <w:sz w:val="22"/>
          <w:szCs w:val="22"/>
        </w:rPr>
      </w:pPr>
    </w:p>
    <w:p w14:paraId="5A138C4E" w14:textId="0502FF62" w:rsidR="00B327E9" w:rsidRPr="00346AAE" w:rsidRDefault="00B327E9" w:rsidP="00B327E9">
      <w:pPr>
        <w:pStyle w:val="ListParagraph"/>
        <w:numPr>
          <w:ilvl w:val="0"/>
          <w:numId w:val="1"/>
        </w:numPr>
        <w:suppressAutoHyphens/>
        <w:jc w:val="both"/>
        <w:rPr>
          <w:color w:val="000000" w:themeColor="text1"/>
        </w:rPr>
      </w:pPr>
      <w:r w:rsidRPr="00346AAE">
        <w:rPr>
          <w:color w:val="000000" w:themeColor="text1"/>
        </w:rPr>
        <w:lastRenderedPageBreak/>
        <w:t>“</w:t>
      </w:r>
      <w:r w:rsidR="00EF2A26" w:rsidRPr="00EF2A26">
        <w:rPr>
          <w:i/>
          <w:iCs/>
          <w:color w:val="000000" w:themeColor="text1"/>
        </w:rPr>
        <w:t xml:space="preserve">Because confidentiality is invoked in </w:t>
      </w:r>
      <w:proofErr w:type="gramStart"/>
      <w:r w:rsidR="00EF2A26" w:rsidRPr="00EF2A26">
        <w:rPr>
          <w:i/>
          <w:iCs/>
          <w:color w:val="000000" w:themeColor="text1"/>
        </w:rPr>
        <w:t>the majority of</w:t>
      </w:r>
      <w:proofErr w:type="gramEnd"/>
      <w:r w:rsidR="00EF2A26" w:rsidRPr="00EF2A26">
        <w:rPr>
          <w:i/>
          <w:iCs/>
          <w:color w:val="000000" w:themeColor="text1"/>
        </w:rPr>
        <w:t xml:space="preserve"> cases, the United States is not in a position to provide information regarding the requests received.  In any event, the United States does not track requests implicating bank secrecy</w:t>
      </w:r>
      <w:r w:rsidRPr="00346AAE">
        <w:rPr>
          <w:color w:val="000000" w:themeColor="text1"/>
        </w:rPr>
        <w:t>.”</w:t>
      </w:r>
    </w:p>
    <w:p w14:paraId="3AFA81D3" w14:textId="77777777" w:rsidR="00B327E9" w:rsidRPr="00346AAE" w:rsidRDefault="00B327E9" w:rsidP="00B327E9">
      <w:pPr>
        <w:pStyle w:val="ListParagraph"/>
        <w:rPr>
          <w:color w:val="000000" w:themeColor="text1"/>
        </w:rPr>
      </w:pPr>
    </w:p>
    <w:p w14:paraId="2A5E2CB9" w14:textId="7B2AE076" w:rsidR="00BF6DE4" w:rsidRDefault="00BF6DE4" w:rsidP="00B327E9">
      <w:pPr>
        <w:pStyle w:val="ListParagraph"/>
        <w:numPr>
          <w:ilvl w:val="0"/>
          <w:numId w:val="1"/>
        </w:numPr>
        <w:suppressAutoHyphens/>
        <w:jc w:val="both"/>
        <w:rPr>
          <w:rFonts w:eastAsia="Times New Roman"/>
          <w:color w:val="000000" w:themeColor="text1"/>
        </w:rPr>
      </w:pPr>
      <w:r>
        <w:rPr>
          <w:rFonts w:eastAsia="Times New Roman"/>
          <w:color w:val="000000" w:themeColor="text1"/>
        </w:rPr>
        <w:t xml:space="preserve">During the on-site visit, it was further explained that requests for financial information could possibly be tracked, however, not broken down if it was related to an act of corruption. </w:t>
      </w:r>
      <w:r w:rsidR="00AF6A05">
        <w:rPr>
          <w:rFonts w:eastAsia="Times New Roman"/>
          <w:color w:val="000000" w:themeColor="text1"/>
        </w:rPr>
        <w:t>It was noted, as set out in the discussion of results in transnational bribery and illicit enrichment, corruption cases are not tracked</w:t>
      </w:r>
      <w:r w:rsidR="009C21AA">
        <w:rPr>
          <w:rFonts w:eastAsia="Times New Roman"/>
          <w:color w:val="000000" w:themeColor="text1"/>
        </w:rPr>
        <w:t xml:space="preserve">, and many cases are classified as bribery, fraud, or embezzlement. </w:t>
      </w:r>
    </w:p>
    <w:p w14:paraId="1E4BB378" w14:textId="77777777" w:rsidR="009C21AA" w:rsidRPr="009C21AA" w:rsidRDefault="009C21AA" w:rsidP="009C21AA">
      <w:pPr>
        <w:pStyle w:val="ListParagraph"/>
        <w:rPr>
          <w:rFonts w:eastAsia="Times New Roman"/>
          <w:color w:val="000000" w:themeColor="text1"/>
        </w:rPr>
      </w:pPr>
    </w:p>
    <w:p w14:paraId="7E0844FE" w14:textId="5691E044" w:rsidR="009C21AA" w:rsidRDefault="009C21AA" w:rsidP="00B327E9">
      <w:pPr>
        <w:pStyle w:val="ListParagraph"/>
        <w:numPr>
          <w:ilvl w:val="0"/>
          <w:numId w:val="1"/>
        </w:numPr>
        <w:suppressAutoHyphens/>
        <w:jc w:val="both"/>
        <w:rPr>
          <w:rFonts w:eastAsia="Times New Roman"/>
          <w:color w:val="000000" w:themeColor="text1"/>
        </w:rPr>
      </w:pPr>
      <w:r>
        <w:rPr>
          <w:rFonts w:eastAsia="Times New Roman"/>
          <w:color w:val="000000" w:themeColor="text1"/>
        </w:rPr>
        <w:t xml:space="preserve">With respect to sanctions imposed on financial institutions for not complying with a court order to provide financial information on a request for assistance, the country under review noted the following, </w:t>
      </w:r>
      <w:proofErr w:type="gramStart"/>
      <w:r>
        <w:rPr>
          <w:rFonts w:eastAsia="Times New Roman"/>
          <w:color w:val="000000" w:themeColor="text1"/>
        </w:rPr>
        <w:t>subsequent to</w:t>
      </w:r>
      <w:proofErr w:type="gramEnd"/>
      <w:r>
        <w:rPr>
          <w:rFonts w:eastAsia="Times New Roman"/>
          <w:color w:val="000000" w:themeColor="text1"/>
        </w:rPr>
        <w:t xml:space="preserve"> the on-site visit:</w:t>
      </w:r>
      <w:r>
        <w:rPr>
          <w:rStyle w:val="FootnoteReference"/>
          <w:rFonts w:eastAsia="Times New Roman"/>
          <w:color w:val="000000" w:themeColor="text1"/>
        </w:rPr>
        <w:footnoteReference w:id="143"/>
      </w:r>
      <w:r>
        <w:rPr>
          <w:rFonts w:eastAsia="Times New Roman"/>
          <w:color w:val="000000" w:themeColor="text1"/>
        </w:rPr>
        <w:t xml:space="preserve"> </w:t>
      </w:r>
    </w:p>
    <w:p w14:paraId="6F7E9F37" w14:textId="77777777" w:rsidR="009C21AA" w:rsidRPr="009C21AA" w:rsidRDefault="009C21AA" w:rsidP="009C21AA">
      <w:pPr>
        <w:pStyle w:val="ListParagraph"/>
        <w:rPr>
          <w:rFonts w:eastAsia="Times New Roman"/>
          <w:color w:val="000000" w:themeColor="text1"/>
        </w:rPr>
      </w:pPr>
    </w:p>
    <w:p w14:paraId="713092DA" w14:textId="46490804" w:rsidR="009C21AA" w:rsidRPr="00BF6DE4" w:rsidRDefault="009C21AA" w:rsidP="00B327E9">
      <w:pPr>
        <w:pStyle w:val="ListParagraph"/>
        <w:numPr>
          <w:ilvl w:val="0"/>
          <w:numId w:val="1"/>
        </w:numPr>
        <w:suppressAutoHyphens/>
        <w:jc w:val="both"/>
        <w:rPr>
          <w:rFonts w:eastAsia="Times New Roman"/>
          <w:color w:val="000000" w:themeColor="text1"/>
        </w:rPr>
      </w:pPr>
      <w:r>
        <w:t>“</w:t>
      </w:r>
      <w:r w:rsidRPr="009C21AA">
        <w:rPr>
          <w:i/>
          <w:iCs/>
        </w:rPr>
        <w:t>The United States does not track this as it has never been an issue. As explained during the meeting, the U.S. Department of Justice representative was not aware of any instances where a financial institution has failed to comply with a subpoena for a production of records. Although Department of Justice’s Office of International Affairs has had instances where we have had to explain our use of a commissioner’s subpoena under 18 USC 3512 to financial institution, it has ultimately been able to convince financial institutions to produce records short of a show cause hearing in court. As a result, the Department of Justice has never reached a point where sanctions were needed</w:t>
      </w:r>
      <w:r>
        <w:t>.”</w:t>
      </w:r>
    </w:p>
    <w:p w14:paraId="79E66D8D" w14:textId="77777777" w:rsidR="00BF6DE4" w:rsidRPr="00BF6DE4" w:rsidRDefault="00BF6DE4" w:rsidP="00BF6DE4">
      <w:pPr>
        <w:pStyle w:val="ListParagraph"/>
        <w:rPr>
          <w:color w:val="000000" w:themeColor="text1"/>
        </w:rPr>
      </w:pPr>
    </w:p>
    <w:p w14:paraId="1F7E4DB6" w14:textId="74E96A91" w:rsidR="00BC6CEB" w:rsidRPr="00BC6CEB" w:rsidRDefault="009C21AA" w:rsidP="00BC6CEB">
      <w:pPr>
        <w:pStyle w:val="ListParagraph"/>
        <w:numPr>
          <w:ilvl w:val="0"/>
          <w:numId w:val="1"/>
        </w:numPr>
        <w:suppressAutoHyphens/>
        <w:jc w:val="both"/>
        <w:rPr>
          <w:rFonts w:eastAsia="Times New Roman"/>
          <w:color w:val="000000" w:themeColor="text1"/>
        </w:rPr>
      </w:pPr>
      <w:r>
        <w:rPr>
          <w:color w:val="000000" w:themeColor="text1"/>
        </w:rPr>
        <w:t xml:space="preserve">The Committee notes the challenges to the country under review to maintain specific results on requests for assistance as it relates to an act of corruption. However, it further observes that despite these challenges, it has been able to provide these kinds of results in past rounds of review of the MESICIC, as well as in other important international anticorruption review mechanisms. The Committee </w:t>
      </w:r>
      <w:r w:rsidR="000F7320">
        <w:rPr>
          <w:color w:val="000000" w:themeColor="text1"/>
        </w:rPr>
        <w:t xml:space="preserve">also </w:t>
      </w:r>
      <w:r w:rsidR="00A041C4">
        <w:rPr>
          <w:color w:val="000000" w:themeColor="text1"/>
        </w:rPr>
        <w:t>notes that</w:t>
      </w:r>
      <w:r>
        <w:rPr>
          <w:color w:val="000000" w:themeColor="text1"/>
        </w:rPr>
        <w:t xml:space="preserve"> confidentiality may be invoked in the requests for banking information. </w:t>
      </w:r>
      <w:r w:rsidR="000F7320" w:rsidRPr="00BC6CEB">
        <w:rPr>
          <w:color w:val="000000" w:themeColor="text1"/>
        </w:rPr>
        <w:t xml:space="preserve">The Committee </w:t>
      </w:r>
      <w:r w:rsidRPr="00BC6CEB">
        <w:rPr>
          <w:color w:val="000000" w:themeColor="text1"/>
        </w:rPr>
        <w:t>would like to highlight</w:t>
      </w:r>
      <w:r w:rsidR="000F7320" w:rsidRPr="00BC6CEB">
        <w:rPr>
          <w:color w:val="000000" w:themeColor="text1"/>
        </w:rPr>
        <w:t xml:space="preserve">, however, that </w:t>
      </w:r>
      <w:r w:rsidRPr="00BC6CEB">
        <w:rPr>
          <w:color w:val="000000" w:themeColor="text1"/>
        </w:rPr>
        <w:t xml:space="preserve">the information requested </w:t>
      </w:r>
      <w:r w:rsidR="000F7320" w:rsidRPr="00BC6CEB">
        <w:rPr>
          <w:color w:val="000000" w:themeColor="text1"/>
        </w:rPr>
        <w:t>regarding results for Bank Secrecy in the Questionnaire for the Sixth Round of Review is general in nature and</w:t>
      </w:r>
      <w:r w:rsidR="00BC6CEB" w:rsidRPr="00BC6CEB">
        <w:rPr>
          <w:color w:val="000000" w:themeColor="text1"/>
        </w:rPr>
        <w:t xml:space="preserve"> </w:t>
      </w:r>
      <w:r w:rsidR="00BC6CEB">
        <w:rPr>
          <w:color w:val="000000" w:themeColor="text1"/>
        </w:rPr>
        <w:t xml:space="preserve">does </w:t>
      </w:r>
      <w:r w:rsidR="00BC6CEB" w:rsidRPr="00BC6CEB">
        <w:rPr>
          <w:color w:val="000000" w:themeColor="text1"/>
        </w:rPr>
        <w:t>not require detailed information on the particulars of a request</w:t>
      </w:r>
      <w:r w:rsidRPr="00BC6CEB">
        <w:rPr>
          <w:color w:val="000000" w:themeColor="text1"/>
        </w:rPr>
        <w:t xml:space="preserve">. </w:t>
      </w:r>
    </w:p>
    <w:p w14:paraId="4B780300" w14:textId="77777777" w:rsidR="00BC6CEB" w:rsidRPr="00BC6CEB" w:rsidRDefault="00BC6CEB" w:rsidP="00BC6CEB">
      <w:pPr>
        <w:pStyle w:val="ListParagraph"/>
        <w:rPr>
          <w:color w:val="000000" w:themeColor="text1"/>
        </w:rPr>
      </w:pPr>
    </w:p>
    <w:p w14:paraId="37534E4D" w14:textId="3FC9941C" w:rsidR="00B327E9" w:rsidRPr="00BC6CEB" w:rsidRDefault="009C21AA" w:rsidP="00BC6CEB">
      <w:pPr>
        <w:pStyle w:val="ListParagraph"/>
        <w:numPr>
          <w:ilvl w:val="0"/>
          <w:numId w:val="1"/>
        </w:numPr>
        <w:suppressAutoHyphens/>
        <w:jc w:val="both"/>
        <w:rPr>
          <w:rFonts w:eastAsia="Times New Roman"/>
          <w:color w:val="000000" w:themeColor="text1"/>
        </w:rPr>
      </w:pPr>
      <w:r w:rsidRPr="00BC6CEB">
        <w:rPr>
          <w:color w:val="000000" w:themeColor="text1"/>
        </w:rPr>
        <w:t>In that respect, c</w:t>
      </w:r>
      <w:r w:rsidR="00B327E9" w:rsidRPr="00BC6CEB">
        <w:rPr>
          <w:color w:val="000000" w:themeColor="text1"/>
        </w:rPr>
        <w:t xml:space="preserve">onsidering that the Committee does not have additional information other than that referred above that might enable it to make a comprehensive evaluation of the results on providing assistance and cooperation with respect to information held by financial institutions located in </w:t>
      </w:r>
      <w:r w:rsidR="0034328B" w:rsidRPr="00BC6CEB">
        <w:rPr>
          <w:color w:val="000000" w:themeColor="text1"/>
        </w:rPr>
        <w:t>the United States</w:t>
      </w:r>
      <w:r w:rsidR="00B327E9" w:rsidRPr="00BC6CEB">
        <w:rPr>
          <w:color w:val="000000" w:themeColor="text1"/>
        </w:rPr>
        <w:t xml:space="preserve"> related to an investigation or prosecution of an act of corruption, the Committee believes the country under review may consider maintaining </w:t>
      </w:r>
      <w:r w:rsidR="00EF07E6">
        <w:rPr>
          <w:b/>
          <w:bCs/>
          <w:color w:val="000000" w:themeColor="text1"/>
          <w:u w:val="single"/>
        </w:rPr>
        <w:t>statistics</w:t>
      </w:r>
      <w:r w:rsidR="00B327E9" w:rsidRPr="00BC6CEB">
        <w:rPr>
          <w:color w:val="000000" w:themeColor="text1"/>
        </w:rPr>
        <w:t xml:space="preserve"> on the number of requests for assistance </w:t>
      </w:r>
      <w:r w:rsidR="00B327E9" w:rsidRPr="00BC6CEB">
        <w:rPr>
          <w:rFonts w:eastAsia="Times New Roman"/>
          <w:color w:val="000000" w:themeColor="text1"/>
        </w:rPr>
        <w:t>received from a State Party to the Convention</w:t>
      </w:r>
      <w:r w:rsidR="00BC6CEB">
        <w:rPr>
          <w:rFonts w:eastAsia="Times New Roman"/>
          <w:color w:val="000000" w:themeColor="text1"/>
        </w:rPr>
        <w:t xml:space="preserve"> that implicated information protected by bank secrecy for the purposes of Article XVI of the Convention</w:t>
      </w:r>
      <w:r w:rsidR="00B327E9" w:rsidRPr="00BC6CEB">
        <w:rPr>
          <w:rFonts w:eastAsia="Times New Roman"/>
          <w:color w:val="000000" w:themeColor="text1"/>
        </w:rPr>
        <w:t>. </w:t>
      </w:r>
      <w:r w:rsidR="00B327E9" w:rsidRPr="00BC6CEB">
        <w:rPr>
          <w:color w:val="000000" w:themeColor="text1"/>
        </w:rPr>
        <w:t>(See Recommendation 1.4.</w:t>
      </w:r>
      <w:r w:rsidR="0034328B" w:rsidRPr="00BC6CEB">
        <w:rPr>
          <w:color w:val="000000" w:themeColor="text1"/>
        </w:rPr>
        <w:t>5</w:t>
      </w:r>
      <w:r w:rsidR="00B327E9" w:rsidRPr="00BC6CEB">
        <w:rPr>
          <w:color w:val="000000" w:themeColor="text1"/>
        </w:rPr>
        <w:t xml:space="preserve"> in section 1.4 of Chapter III of this Report)</w:t>
      </w:r>
    </w:p>
    <w:p w14:paraId="11EFA0DD" w14:textId="77777777" w:rsidR="00B327E9" w:rsidRPr="00346AAE" w:rsidRDefault="00B327E9" w:rsidP="00B327E9">
      <w:pPr>
        <w:suppressAutoHyphens/>
        <w:ind w:left="10"/>
        <w:contextualSpacing/>
        <w:jc w:val="both"/>
        <w:rPr>
          <w:color w:val="000000" w:themeColor="text1"/>
          <w:sz w:val="22"/>
          <w:szCs w:val="22"/>
        </w:rPr>
      </w:pPr>
    </w:p>
    <w:p w14:paraId="7C1E4B62" w14:textId="2F08502B" w:rsidR="0034328B" w:rsidRPr="0034328B" w:rsidRDefault="00B327E9" w:rsidP="0034328B">
      <w:pPr>
        <w:pStyle w:val="ListParagraph"/>
        <w:numPr>
          <w:ilvl w:val="0"/>
          <w:numId w:val="1"/>
        </w:numPr>
        <w:suppressAutoHyphens/>
        <w:jc w:val="both"/>
        <w:rPr>
          <w:color w:val="000000" w:themeColor="text1"/>
        </w:rPr>
      </w:pPr>
      <w:r w:rsidRPr="00346AAE">
        <w:rPr>
          <w:rFonts w:eastAsia="Times New Roman"/>
          <w:color w:val="000000" w:themeColor="text1"/>
        </w:rPr>
        <w:t xml:space="preserve">Likewise, the country under review could also consider maintaining </w:t>
      </w:r>
      <w:r w:rsidR="00EF07E6">
        <w:rPr>
          <w:rFonts w:eastAsia="Times New Roman"/>
          <w:b/>
          <w:bCs/>
          <w:color w:val="000000" w:themeColor="text1"/>
          <w:u w:val="single"/>
        </w:rPr>
        <w:t>statistics</w:t>
      </w:r>
      <w:r w:rsidRPr="00346AAE">
        <w:rPr>
          <w:rFonts w:eastAsia="Times New Roman"/>
          <w:color w:val="000000" w:themeColor="text1"/>
        </w:rPr>
        <w:t xml:space="preserve"> on the number of requests made to other States Parties</w:t>
      </w:r>
      <w:r w:rsidRPr="00346AAE">
        <w:rPr>
          <w:color w:val="000000" w:themeColor="text1"/>
        </w:rPr>
        <w:t xml:space="preserve"> of the Convention</w:t>
      </w:r>
      <w:r w:rsidRPr="00346AAE">
        <w:rPr>
          <w:rFonts w:eastAsia="Times New Roman"/>
          <w:color w:val="000000" w:themeColor="text1"/>
        </w:rPr>
        <w:t>, on information held by financial institutions located in a requested State, related to an investigation of an act of corruption, and, if available, the number of requests denied by the requested state solely because of bank secrecy laws.</w:t>
      </w:r>
      <w:r w:rsidRPr="00346AAE">
        <w:rPr>
          <w:color w:val="000000" w:themeColor="text1"/>
        </w:rPr>
        <w:t xml:space="preserve"> (See Recommendation 1.4.</w:t>
      </w:r>
      <w:r w:rsidR="0034328B">
        <w:rPr>
          <w:color w:val="000000" w:themeColor="text1"/>
        </w:rPr>
        <w:t xml:space="preserve">6 </w:t>
      </w:r>
      <w:r w:rsidRPr="00346AAE">
        <w:rPr>
          <w:color w:val="000000" w:themeColor="text1"/>
        </w:rPr>
        <w:t>in section 1.4 of Chapter III of this Report)</w:t>
      </w:r>
    </w:p>
    <w:p w14:paraId="313EDD46" w14:textId="77777777" w:rsidR="0034328B" w:rsidRPr="00346AAE" w:rsidRDefault="0034328B" w:rsidP="0034328B">
      <w:pPr>
        <w:pStyle w:val="ListParagraph"/>
        <w:rPr>
          <w:color w:val="000000" w:themeColor="text1"/>
        </w:rPr>
      </w:pPr>
    </w:p>
    <w:p w14:paraId="53BB84D8" w14:textId="77777777" w:rsidR="0034328B" w:rsidRPr="00346AAE" w:rsidRDefault="0034328B">
      <w:pPr>
        <w:pStyle w:val="ListParagraph"/>
        <w:numPr>
          <w:ilvl w:val="1"/>
          <w:numId w:val="11"/>
        </w:numPr>
        <w:ind w:left="720"/>
        <w:rPr>
          <w:b/>
        </w:rPr>
      </w:pPr>
      <w:r w:rsidRPr="00346AAE">
        <w:rPr>
          <w:b/>
          <w:bCs/>
        </w:rPr>
        <w:t>Conclusions</w:t>
      </w:r>
      <w:r w:rsidRPr="00346AAE">
        <w:rPr>
          <w:b/>
        </w:rPr>
        <w:t xml:space="preserve"> and recommendations</w:t>
      </w:r>
    </w:p>
    <w:p w14:paraId="5BE43812" w14:textId="77777777" w:rsidR="0034328B" w:rsidRPr="00346AAE" w:rsidRDefault="0034328B" w:rsidP="0034328B">
      <w:pPr>
        <w:rPr>
          <w:sz w:val="22"/>
          <w:szCs w:val="22"/>
        </w:rPr>
      </w:pPr>
    </w:p>
    <w:p w14:paraId="5D47F011" w14:textId="77777777" w:rsidR="0034328B" w:rsidRPr="00346AAE" w:rsidRDefault="0034328B" w:rsidP="0034328B">
      <w:pPr>
        <w:pStyle w:val="ListParagraph"/>
        <w:numPr>
          <w:ilvl w:val="0"/>
          <w:numId w:val="1"/>
        </w:numPr>
        <w:suppressAutoHyphens/>
        <w:jc w:val="both"/>
      </w:pPr>
      <w:r w:rsidRPr="00346AAE">
        <w:rPr>
          <w:color w:val="000000" w:themeColor="text1"/>
        </w:rPr>
        <w:t>Based on its review of the implementation of Article XVI of the Convention in the country under review, the Committee offers the following conclusion</w:t>
      </w:r>
      <w:r w:rsidRPr="00346AAE">
        <w:t xml:space="preserve">: </w:t>
      </w:r>
    </w:p>
    <w:p w14:paraId="2BD19ABD" w14:textId="77777777" w:rsidR="0034328B" w:rsidRPr="00346AAE" w:rsidRDefault="0034328B" w:rsidP="0034328B">
      <w:pPr>
        <w:pStyle w:val="BodyTextIndent2"/>
        <w:tabs>
          <w:tab w:val="left" w:pos="540"/>
        </w:tabs>
        <w:autoSpaceDE w:val="0"/>
        <w:autoSpaceDN w:val="0"/>
        <w:adjustRightInd w:val="0"/>
        <w:ind w:left="10"/>
        <w:rPr>
          <w:rFonts w:ascii="Times New Roman" w:hAnsi="Times New Roman"/>
          <w:lang w:val="en-US"/>
        </w:rPr>
      </w:pPr>
    </w:p>
    <w:p w14:paraId="232A00FB" w14:textId="05BE0591" w:rsidR="0034328B" w:rsidRPr="00346AAE" w:rsidRDefault="0034328B" w:rsidP="0034328B">
      <w:pPr>
        <w:pStyle w:val="ListParagraph"/>
        <w:numPr>
          <w:ilvl w:val="0"/>
          <w:numId w:val="1"/>
        </w:numPr>
        <w:suppressAutoHyphens/>
        <w:jc w:val="both"/>
      </w:pPr>
      <w:r>
        <w:rPr>
          <w:b/>
        </w:rPr>
        <w:lastRenderedPageBreak/>
        <w:t>The United States</w:t>
      </w:r>
      <w:r w:rsidRPr="00346AAE">
        <w:rPr>
          <w:b/>
        </w:rPr>
        <w:t xml:space="preserve"> has adopted measures regarding assistance with respect to Bank Secrecy, as described in Chapter III, Section 1 of this Report.</w:t>
      </w:r>
    </w:p>
    <w:p w14:paraId="1D745921" w14:textId="77777777" w:rsidR="0034328B" w:rsidRPr="00346AAE" w:rsidRDefault="0034328B" w:rsidP="0034328B">
      <w:pPr>
        <w:pStyle w:val="ListParagraph"/>
        <w:jc w:val="both"/>
      </w:pPr>
    </w:p>
    <w:p w14:paraId="138C0675" w14:textId="77777777" w:rsidR="0034328B" w:rsidRPr="00346AAE" w:rsidRDefault="0034328B" w:rsidP="0034328B">
      <w:pPr>
        <w:pStyle w:val="ListParagraph"/>
        <w:numPr>
          <w:ilvl w:val="0"/>
          <w:numId w:val="1"/>
        </w:numPr>
        <w:suppressAutoHyphens/>
        <w:jc w:val="both"/>
      </w:pPr>
      <w:proofErr w:type="gramStart"/>
      <w:r w:rsidRPr="00346AAE">
        <w:t>In light of</w:t>
      </w:r>
      <w:proofErr w:type="gramEnd"/>
      <w:r w:rsidRPr="00346AAE">
        <w:t xml:space="preserve"> the observations made in that section, the Committee suggests that the country under review consider the following recommendations:</w:t>
      </w:r>
    </w:p>
    <w:p w14:paraId="7DE06435" w14:textId="77777777" w:rsidR="0034328B" w:rsidRPr="00346AAE" w:rsidRDefault="0034328B" w:rsidP="0034328B">
      <w:pPr>
        <w:pStyle w:val="ListParagraph"/>
      </w:pPr>
    </w:p>
    <w:p w14:paraId="24713DD1" w14:textId="0B5835EF" w:rsidR="0034328B" w:rsidRPr="00025E4E" w:rsidRDefault="00E4499E">
      <w:pPr>
        <w:pStyle w:val="ListParagraph"/>
        <w:numPr>
          <w:ilvl w:val="2"/>
          <w:numId w:val="11"/>
        </w:numPr>
        <w:suppressAutoHyphens/>
        <w:ind w:left="1440"/>
        <w:jc w:val="both"/>
        <w:rPr>
          <w:rStyle w:val="normaltextrun"/>
          <w:color w:val="0E101A"/>
        </w:rPr>
      </w:pPr>
      <w:r w:rsidRPr="00025E4E">
        <w:rPr>
          <w:rStyle w:val="normaltextrun"/>
          <w:rFonts w:hint="eastAsia"/>
          <w:color w:val="0E101A"/>
        </w:rPr>
        <w:t xml:space="preserve">Routinely evaluate practices used to ensure </w:t>
      </w:r>
      <w:r w:rsidR="0034328B" w:rsidRPr="00025E4E">
        <w:rPr>
          <w:rStyle w:val="normaltextrun"/>
          <w:color w:val="0E101A"/>
        </w:rPr>
        <w:t xml:space="preserve">that banking information received by the United States </w:t>
      </w:r>
      <w:r w:rsidRPr="00025E4E">
        <w:rPr>
          <w:rStyle w:val="normaltextrun"/>
          <w:color w:val="0E101A"/>
        </w:rPr>
        <w:t>is</w:t>
      </w:r>
      <w:r w:rsidR="0034328B" w:rsidRPr="00025E4E">
        <w:rPr>
          <w:rStyle w:val="normaltextrun"/>
          <w:color w:val="0E101A"/>
        </w:rPr>
        <w:t xml:space="preserve"> only used for the purpose for which the information was requested, pursuant to Article XVI (2) of the Convention. (See paragraph 2</w:t>
      </w:r>
      <w:r w:rsidR="000C40A3">
        <w:rPr>
          <w:rStyle w:val="normaltextrun"/>
          <w:color w:val="0E101A"/>
        </w:rPr>
        <w:t>10</w:t>
      </w:r>
      <w:r w:rsidR="0034328B" w:rsidRPr="00025E4E">
        <w:rPr>
          <w:rStyle w:val="normaltextrun"/>
          <w:color w:val="0E101A"/>
        </w:rPr>
        <w:t xml:space="preserve"> in section 1.2 of Chapter III of this Report)</w:t>
      </w:r>
    </w:p>
    <w:p w14:paraId="23EA96A1" w14:textId="77777777" w:rsidR="00E4499E" w:rsidRDefault="00E4499E" w:rsidP="00E4499E">
      <w:pPr>
        <w:pStyle w:val="ListParagraph"/>
        <w:suppressAutoHyphens/>
        <w:ind w:left="1440"/>
        <w:jc w:val="both"/>
      </w:pPr>
    </w:p>
    <w:p w14:paraId="1E610F47" w14:textId="4322DC17" w:rsidR="0034328B" w:rsidRPr="0034328B" w:rsidRDefault="0034328B">
      <w:pPr>
        <w:pStyle w:val="ListParagraph"/>
        <w:numPr>
          <w:ilvl w:val="2"/>
          <w:numId w:val="11"/>
        </w:numPr>
        <w:suppressAutoHyphens/>
        <w:ind w:left="1440"/>
        <w:jc w:val="both"/>
        <w:rPr>
          <w:rStyle w:val="normaltextrun"/>
        </w:rPr>
      </w:pPr>
      <w:r>
        <w:rPr>
          <w:rStyle w:val="normaltextrun"/>
          <w:color w:val="0E101A"/>
        </w:rPr>
        <w:t xml:space="preserve">Provide the necessary human resources to the USDOJ Office of International Affairs, so that they might be able to fully carry out its functions of responding to and carrying out request for assistance, in general, but specifically with respect to requests for banking and financial information, within available resources. </w:t>
      </w:r>
      <w:r w:rsidRPr="00346AAE">
        <w:t>(See paragraph 2</w:t>
      </w:r>
      <w:r>
        <w:t>1</w:t>
      </w:r>
      <w:r w:rsidR="000C40A3">
        <w:t>3</w:t>
      </w:r>
      <w:r w:rsidRPr="00346AAE">
        <w:t xml:space="preserve"> in section 1.2 of Chapter III of this Report)</w:t>
      </w:r>
    </w:p>
    <w:p w14:paraId="0C93C7CD" w14:textId="77777777" w:rsidR="0034328B" w:rsidRPr="0034328B" w:rsidRDefault="0034328B" w:rsidP="0034328B">
      <w:pPr>
        <w:pStyle w:val="ListParagraph"/>
        <w:rPr>
          <w:rStyle w:val="normaltextrun"/>
          <w:rFonts w:eastAsia="Calibri"/>
          <w:iCs/>
        </w:rPr>
      </w:pPr>
    </w:p>
    <w:p w14:paraId="3E4B25C3" w14:textId="7371580E" w:rsidR="0034328B" w:rsidRDefault="0034328B">
      <w:pPr>
        <w:pStyle w:val="ListParagraph"/>
        <w:numPr>
          <w:ilvl w:val="2"/>
          <w:numId w:val="11"/>
        </w:numPr>
        <w:suppressAutoHyphens/>
        <w:ind w:left="1440"/>
        <w:jc w:val="both"/>
      </w:pPr>
      <w:r w:rsidRPr="00346AAE">
        <w:rPr>
          <w:rStyle w:val="normaltextrun"/>
          <w:rFonts w:eastAsia="Calibri"/>
          <w:iCs/>
        </w:rPr>
        <w:t>Regularly evaluate if existing policies and practices allow</w:t>
      </w:r>
      <w:r w:rsidRPr="00346AAE">
        <w:rPr>
          <w:rStyle w:val="normaltextrun"/>
          <w:rFonts w:eastAsia="Calibri"/>
          <w:i/>
        </w:rPr>
        <w:t xml:space="preserve"> </w:t>
      </w:r>
      <w:r w:rsidRPr="00346AAE">
        <w:rPr>
          <w:rStyle w:val="normaltextrun"/>
          <w:rFonts w:eastAsia="Calibri"/>
        </w:rPr>
        <w:t xml:space="preserve">for processing and responding to requests for assistance by another State Party for banking information related to an act of corruption </w:t>
      </w:r>
      <w:r w:rsidRPr="00346AAE">
        <w:rPr>
          <w:rStyle w:val="normaltextrun"/>
          <w:rFonts w:eastAsia="Calibri"/>
          <w:iCs/>
        </w:rPr>
        <w:t>in a timely manner</w:t>
      </w:r>
      <w:r w:rsidRPr="00346AAE">
        <w:rPr>
          <w:rStyle w:val="normaltextrun"/>
          <w:color w:val="0E101A"/>
        </w:rPr>
        <w:t xml:space="preserve">. </w:t>
      </w:r>
      <w:r w:rsidRPr="00346AAE">
        <w:t>(See paragraph 2</w:t>
      </w:r>
      <w:r>
        <w:t>1</w:t>
      </w:r>
      <w:r w:rsidR="000C40A3">
        <w:t>3</w:t>
      </w:r>
      <w:r w:rsidRPr="00346AAE">
        <w:t xml:space="preserve"> in section 1.2 of Chapter III of this Report)</w:t>
      </w:r>
    </w:p>
    <w:p w14:paraId="4FF01641" w14:textId="77777777" w:rsidR="0034328B" w:rsidRDefault="0034328B" w:rsidP="0034328B">
      <w:pPr>
        <w:pStyle w:val="ListParagraph"/>
        <w:rPr>
          <w:rStyle w:val="normaltextrun"/>
        </w:rPr>
      </w:pPr>
    </w:p>
    <w:p w14:paraId="56776AC4" w14:textId="26939D64" w:rsidR="008F70AE" w:rsidRDefault="0034328B">
      <w:pPr>
        <w:pStyle w:val="ListParagraph"/>
        <w:numPr>
          <w:ilvl w:val="2"/>
          <w:numId w:val="11"/>
        </w:numPr>
        <w:suppressAutoHyphens/>
        <w:ind w:left="1440"/>
        <w:jc w:val="both"/>
        <w:rPr>
          <w:rStyle w:val="normaltextrun"/>
        </w:rPr>
      </w:pPr>
      <w:r>
        <w:rPr>
          <w:rStyle w:val="normaltextrun"/>
        </w:rPr>
        <w:t xml:space="preserve">Provide online further specific instructions on the information required </w:t>
      </w:r>
      <w:r w:rsidR="008F70AE">
        <w:rPr>
          <w:rStyle w:val="normaltextrun"/>
        </w:rPr>
        <w:t xml:space="preserve">for a successful </w:t>
      </w:r>
      <w:r>
        <w:rPr>
          <w:rStyle w:val="normaltextrun"/>
        </w:rPr>
        <w:t>request</w:t>
      </w:r>
      <w:r w:rsidR="008F70AE">
        <w:rPr>
          <w:rStyle w:val="normaltextrun"/>
        </w:rPr>
        <w:t xml:space="preserve"> for assistance from a Requesting State,</w:t>
      </w:r>
      <w:r>
        <w:rPr>
          <w:rStyle w:val="normaltextrun"/>
        </w:rPr>
        <w:t xml:space="preserve"> </w:t>
      </w:r>
      <w:r w:rsidR="008F70AE">
        <w:rPr>
          <w:rStyle w:val="normaltextrun"/>
        </w:rPr>
        <w:t>with respect to accessing banking or financial records related to an act of corruption. (See paragraph 21</w:t>
      </w:r>
      <w:r w:rsidR="000C40A3">
        <w:rPr>
          <w:rStyle w:val="normaltextrun"/>
        </w:rPr>
        <w:t>5</w:t>
      </w:r>
      <w:r w:rsidR="008F70AE">
        <w:rPr>
          <w:rStyle w:val="normaltextrun"/>
        </w:rPr>
        <w:t xml:space="preserve"> in section 1.2 of Chapter III of this Report)</w:t>
      </w:r>
    </w:p>
    <w:p w14:paraId="791B365F" w14:textId="77777777" w:rsidR="0034328B" w:rsidRDefault="0034328B" w:rsidP="0034328B">
      <w:pPr>
        <w:pStyle w:val="ListParagraph"/>
        <w:rPr>
          <w:rStyle w:val="normaltextrun"/>
        </w:rPr>
      </w:pPr>
    </w:p>
    <w:p w14:paraId="341696C9" w14:textId="087DF57B" w:rsidR="0034328B" w:rsidRPr="00346AAE" w:rsidRDefault="0034328B">
      <w:pPr>
        <w:pStyle w:val="ListParagraph"/>
        <w:numPr>
          <w:ilvl w:val="2"/>
          <w:numId w:val="11"/>
        </w:numPr>
        <w:suppressAutoHyphens/>
        <w:ind w:left="1440"/>
        <w:jc w:val="both"/>
        <w:rPr>
          <w:rFonts w:eastAsia="Times New Roman"/>
          <w:color w:val="000000" w:themeColor="text1"/>
        </w:rPr>
      </w:pPr>
      <w:r w:rsidRPr="00346AAE">
        <w:rPr>
          <w:rStyle w:val="normaltextrun"/>
          <w:color w:val="0E101A"/>
        </w:rPr>
        <w:t>Maintain</w:t>
      </w:r>
      <w:r w:rsidRPr="00346AAE">
        <w:rPr>
          <w:color w:val="000000" w:themeColor="text1"/>
        </w:rPr>
        <w:t xml:space="preserve"> </w:t>
      </w:r>
      <w:r w:rsidR="00EF07E6">
        <w:rPr>
          <w:b/>
          <w:bCs/>
          <w:color w:val="000000" w:themeColor="text1"/>
          <w:u w:val="single"/>
        </w:rPr>
        <w:t>statistics</w:t>
      </w:r>
      <w:r w:rsidRPr="00346AAE">
        <w:rPr>
          <w:color w:val="000000" w:themeColor="text1"/>
        </w:rPr>
        <w:t xml:space="preserve"> on the number of requests for assistance </w:t>
      </w:r>
      <w:r w:rsidRPr="00346AAE">
        <w:rPr>
          <w:rFonts w:eastAsia="Times New Roman"/>
          <w:color w:val="000000" w:themeColor="text1"/>
        </w:rPr>
        <w:t xml:space="preserve">received from a State Party to the Inter-American Convention against Corruption on information held by a financial institution, that is related to an investigation of an act of corruption. </w:t>
      </w:r>
      <w:r w:rsidRPr="00346AAE">
        <w:t>(See paragraph 22</w:t>
      </w:r>
      <w:r w:rsidR="000C40A3">
        <w:t>2</w:t>
      </w:r>
      <w:r w:rsidRPr="00346AAE">
        <w:t xml:space="preserve"> in section 1.3 of Chapter III of this Report)</w:t>
      </w:r>
    </w:p>
    <w:p w14:paraId="61A35D3B" w14:textId="77777777" w:rsidR="0034328B" w:rsidRPr="00346AAE" w:rsidRDefault="0034328B" w:rsidP="0034328B">
      <w:pPr>
        <w:suppressAutoHyphens/>
        <w:ind w:left="10"/>
        <w:contextualSpacing/>
        <w:jc w:val="both"/>
        <w:rPr>
          <w:color w:val="000000" w:themeColor="text1"/>
          <w:sz w:val="22"/>
          <w:szCs w:val="22"/>
        </w:rPr>
      </w:pPr>
    </w:p>
    <w:p w14:paraId="533C93D3" w14:textId="269A6042" w:rsidR="0034328B" w:rsidRPr="00346AAE" w:rsidRDefault="0034328B">
      <w:pPr>
        <w:pStyle w:val="ListParagraph"/>
        <w:numPr>
          <w:ilvl w:val="2"/>
          <w:numId w:val="11"/>
        </w:numPr>
        <w:suppressAutoHyphens/>
        <w:ind w:left="1440"/>
        <w:jc w:val="both"/>
      </w:pPr>
      <w:r w:rsidRPr="00346AAE">
        <w:rPr>
          <w:rFonts w:eastAsia="Times New Roman"/>
          <w:color w:val="000000" w:themeColor="text1"/>
        </w:rPr>
        <w:t xml:space="preserve">Maintain </w:t>
      </w:r>
      <w:r w:rsidR="00EF07E6">
        <w:rPr>
          <w:rFonts w:eastAsia="Times New Roman"/>
          <w:b/>
          <w:bCs/>
          <w:color w:val="000000" w:themeColor="text1"/>
          <w:u w:val="single"/>
        </w:rPr>
        <w:t>statistics</w:t>
      </w:r>
      <w:r w:rsidRPr="00346AAE">
        <w:rPr>
          <w:rFonts w:eastAsia="Times New Roman"/>
          <w:color w:val="000000" w:themeColor="text1"/>
        </w:rPr>
        <w:t xml:space="preserve"> on the number of requests made to other States Parties</w:t>
      </w:r>
      <w:r w:rsidRPr="00346AAE">
        <w:rPr>
          <w:color w:val="000000" w:themeColor="text1"/>
        </w:rPr>
        <w:t xml:space="preserve"> of the Inter-American Convention against Corruption</w:t>
      </w:r>
      <w:r w:rsidRPr="00346AAE">
        <w:rPr>
          <w:rFonts w:eastAsia="Times New Roman"/>
          <w:color w:val="000000" w:themeColor="text1"/>
        </w:rPr>
        <w:t xml:space="preserve">, on information held by financial institutions located in the requested State, that is related to an investigation of an act of corruption, as well as the number of requests denied because of bank secrecy. </w:t>
      </w:r>
      <w:r w:rsidRPr="00346AAE">
        <w:t>(See paragraph 2</w:t>
      </w:r>
      <w:r w:rsidR="008B5708">
        <w:t>2</w:t>
      </w:r>
      <w:r w:rsidR="00C26150">
        <w:t>3</w:t>
      </w:r>
      <w:r w:rsidRPr="00346AAE">
        <w:t xml:space="preserve"> in section 1.3 of Chapter III of this Report)</w:t>
      </w:r>
    </w:p>
    <w:p w14:paraId="55FFD500" w14:textId="77777777" w:rsidR="0034328B" w:rsidRPr="00346AAE" w:rsidRDefault="0034328B" w:rsidP="0034328B">
      <w:pPr>
        <w:pStyle w:val="ListParagraph"/>
        <w:ind w:left="10"/>
        <w:jc w:val="both"/>
        <w:rPr>
          <w:color w:val="000000" w:themeColor="text1"/>
        </w:rPr>
      </w:pPr>
    </w:p>
    <w:p w14:paraId="529B488D" w14:textId="77777777" w:rsidR="0034328B" w:rsidRPr="00346AAE" w:rsidRDefault="0034328B" w:rsidP="0034328B">
      <w:pPr>
        <w:numPr>
          <w:ilvl w:val="0"/>
          <w:numId w:val="3"/>
        </w:numPr>
        <w:tabs>
          <w:tab w:val="clear" w:pos="1080"/>
          <w:tab w:val="num" w:pos="360"/>
        </w:tabs>
        <w:ind w:left="360" w:hanging="360"/>
        <w:jc w:val="both"/>
        <w:rPr>
          <w:sz w:val="22"/>
          <w:szCs w:val="22"/>
        </w:rPr>
      </w:pPr>
      <w:r w:rsidRPr="00346AAE">
        <w:rPr>
          <w:b/>
          <w:sz w:val="22"/>
          <w:szCs w:val="22"/>
        </w:rPr>
        <w:t>BEST</w:t>
      </w:r>
      <w:r w:rsidRPr="00346AAE">
        <w:rPr>
          <w:b/>
          <w:bCs/>
          <w:sz w:val="22"/>
          <w:szCs w:val="22"/>
        </w:rPr>
        <w:t xml:space="preserve"> PRACTICES </w:t>
      </w:r>
    </w:p>
    <w:p w14:paraId="2A3B241D" w14:textId="77777777" w:rsidR="0034328B" w:rsidRPr="00346AAE" w:rsidRDefault="0034328B" w:rsidP="0034328B">
      <w:pPr>
        <w:pStyle w:val="ListParagraph"/>
        <w:ind w:left="10"/>
        <w:jc w:val="both"/>
      </w:pPr>
    </w:p>
    <w:p w14:paraId="6903DBCC" w14:textId="15737E5B" w:rsidR="0034328B" w:rsidRPr="00346AAE" w:rsidRDefault="0034328B" w:rsidP="0089690F">
      <w:pPr>
        <w:pStyle w:val="ListParagraph"/>
        <w:numPr>
          <w:ilvl w:val="0"/>
          <w:numId w:val="1"/>
        </w:numPr>
        <w:suppressAutoHyphens/>
        <w:jc w:val="both"/>
        <w:rPr>
          <w:color w:val="000000" w:themeColor="text1"/>
        </w:rPr>
      </w:pPr>
      <w:r w:rsidRPr="00346AAE">
        <w:t>The country under review did not identify any best practices regarding implementation of the provisions of the Convention selected for the Third and Sixth Rounds.</w:t>
      </w:r>
      <w:r w:rsidRPr="00346AAE">
        <w:rPr>
          <w:rStyle w:val="FootnoteReference"/>
        </w:rPr>
        <w:footnoteReference w:id="144"/>
      </w:r>
      <w:r w:rsidR="00AB2E54">
        <w:tab/>
      </w:r>
    </w:p>
    <w:p w14:paraId="44AED623" w14:textId="7452756A" w:rsidR="00E37D61" w:rsidRDefault="00E37D61">
      <w:pPr>
        <w:rPr>
          <w:rFonts w:eastAsiaTheme="minorEastAsia"/>
          <w:sz w:val="22"/>
          <w:szCs w:val="22"/>
        </w:rPr>
      </w:pPr>
      <w:r>
        <w:br w:type="page"/>
      </w:r>
    </w:p>
    <w:p w14:paraId="3BEFAA48" w14:textId="77777777" w:rsidR="00E37D61" w:rsidRPr="00983246" w:rsidRDefault="00E37D61" w:rsidP="00E37D61">
      <w:pPr>
        <w:jc w:val="center"/>
        <w:rPr>
          <w:b/>
          <w:sz w:val="22"/>
          <w:szCs w:val="22"/>
          <w:u w:val="single"/>
        </w:rPr>
      </w:pPr>
      <w:r w:rsidRPr="00983246">
        <w:rPr>
          <w:b/>
          <w:sz w:val="22"/>
          <w:szCs w:val="22"/>
          <w:u w:val="single"/>
        </w:rPr>
        <w:lastRenderedPageBreak/>
        <w:t>ANNEX</w:t>
      </w:r>
    </w:p>
    <w:p w14:paraId="746463D2" w14:textId="77777777" w:rsidR="00E37D61" w:rsidRPr="00983246" w:rsidRDefault="00E37D61" w:rsidP="00E37D61">
      <w:pPr>
        <w:jc w:val="center"/>
        <w:rPr>
          <w:b/>
          <w:sz w:val="22"/>
          <w:szCs w:val="22"/>
        </w:rPr>
      </w:pPr>
    </w:p>
    <w:p w14:paraId="1A6F53D4" w14:textId="78A12507" w:rsidR="00B327E9" w:rsidRDefault="00E37D61" w:rsidP="00E37D61">
      <w:pPr>
        <w:pStyle w:val="ListParagraph"/>
        <w:suppressAutoHyphens/>
        <w:ind w:left="10"/>
        <w:jc w:val="center"/>
        <w:rPr>
          <w:b/>
          <w:u w:val="single"/>
        </w:rPr>
      </w:pPr>
      <w:r w:rsidRPr="00983246">
        <w:rPr>
          <w:b/>
        </w:rPr>
        <w:t xml:space="preserve">AGENDA OF THE ON-SITE VISIT TO </w:t>
      </w:r>
      <w:r>
        <w:rPr>
          <w:b/>
        </w:rPr>
        <w:t xml:space="preserve">THE </w:t>
      </w:r>
      <w:r>
        <w:rPr>
          <w:b/>
          <w:u w:val="single"/>
        </w:rPr>
        <w:t>UNITED STATES OF AMERICA</w:t>
      </w:r>
    </w:p>
    <w:p w14:paraId="131D1D00" w14:textId="77777777" w:rsidR="00E37D61" w:rsidRDefault="00E37D61" w:rsidP="00E37D61">
      <w:pPr>
        <w:pStyle w:val="ListParagraph"/>
        <w:suppressAutoHyphens/>
        <w:ind w:left="10"/>
        <w:jc w:val="cente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7946"/>
      </w:tblGrid>
      <w:tr w:rsidR="00E37D61" w14:paraId="50C460F4" w14:textId="77777777" w:rsidTr="00FC5A6B">
        <w:trPr>
          <w:jc w:val="center"/>
        </w:trPr>
        <w:tc>
          <w:tcPr>
            <w:tcW w:w="10173" w:type="dxa"/>
            <w:gridSpan w:val="2"/>
            <w:vAlign w:val="center"/>
          </w:tcPr>
          <w:p w14:paraId="67E82AF1" w14:textId="77777777" w:rsidR="00E37D61" w:rsidRDefault="00E37D61" w:rsidP="00FC5A6B">
            <w:pPr>
              <w:spacing w:before="120" w:after="120"/>
              <w:jc w:val="center"/>
              <w:rPr>
                <w:b/>
                <w:sz w:val="22"/>
                <w:szCs w:val="22"/>
                <w:u w:val="single"/>
              </w:rPr>
            </w:pPr>
            <w:r>
              <w:rPr>
                <w:b/>
                <w:sz w:val="22"/>
                <w:szCs w:val="22"/>
                <w:u w:val="single"/>
              </w:rPr>
              <w:t>Tuesday, October 17, 2023</w:t>
            </w:r>
          </w:p>
        </w:tc>
      </w:tr>
      <w:tr w:rsidR="00E37D61" w14:paraId="6DDA982A" w14:textId="77777777" w:rsidTr="00FC5A6B">
        <w:trPr>
          <w:jc w:val="center"/>
        </w:trPr>
        <w:tc>
          <w:tcPr>
            <w:tcW w:w="2227" w:type="dxa"/>
            <w:tcBorders>
              <w:bottom w:val="single" w:sz="4" w:space="0" w:color="auto"/>
            </w:tcBorders>
            <w:shd w:val="clear" w:color="auto" w:fill="D9D9D9"/>
            <w:vAlign w:val="center"/>
          </w:tcPr>
          <w:p w14:paraId="18C83EB8" w14:textId="77777777" w:rsidR="00E37D61" w:rsidRDefault="00E37D61" w:rsidP="00FC5A6B">
            <w:pPr>
              <w:spacing w:before="120" w:after="120"/>
              <w:jc w:val="right"/>
              <w:rPr>
                <w:sz w:val="22"/>
                <w:szCs w:val="22"/>
              </w:rPr>
            </w:pPr>
            <w:r>
              <w:rPr>
                <w:sz w:val="22"/>
                <w:szCs w:val="22"/>
              </w:rPr>
              <w:t>14:30 hrs. – 15:00 hrs.</w:t>
            </w:r>
          </w:p>
          <w:p w14:paraId="551AD6A9" w14:textId="77777777" w:rsidR="00E37D61" w:rsidRPr="00637F12" w:rsidRDefault="00E37D61" w:rsidP="00FC5A6B">
            <w:pPr>
              <w:spacing w:before="120" w:after="120"/>
              <w:rPr>
                <w:b/>
                <w:bCs/>
                <w:iCs/>
                <w:sz w:val="22"/>
                <w:szCs w:val="22"/>
              </w:rPr>
            </w:pPr>
            <w:r>
              <w:rPr>
                <w:b/>
                <w:bCs/>
                <w:iCs/>
                <w:sz w:val="22"/>
                <w:szCs w:val="22"/>
              </w:rPr>
              <w:t>OAS Headquarters, Gabriela Mistral Room, 1889 F Street</w:t>
            </w:r>
          </w:p>
        </w:tc>
        <w:tc>
          <w:tcPr>
            <w:tcW w:w="7946" w:type="dxa"/>
            <w:tcBorders>
              <w:bottom w:val="single" w:sz="4" w:space="0" w:color="auto"/>
            </w:tcBorders>
            <w:shd w:val="clear" w:color="auto" w:fill="D9D9D9"/>
            <w:vAlign w:val="center"/>
          </w:tcPr>
          <w:p w14:paraId="01A9E59E" w14:textId="77777777" w:rsidR="00E37D61" w:rsidRDefault="00E37D61" w:rsidP="00FC5A6B">
            <w:pPr>
              <w:spacing w:before="120" w:after="120"/>
              <w:rPr>
                <w:sz w:val="22"/>
                <w:szCs w:val="22"/>
              </w:rPr>
            </w:pPr>
            <w:r>
              <w:rPr>
                <w:b/>
                <w:sz w:val="22"/>
                <w:szCs w:val="20"/>
              </w:rPr>
              <w:t>Coordination meeting between the representatives of the member states of the subgroup and the Technical Secretariat</w:t>
            </w:r>
          </w:p>
        </w:tc>
      </w:tr>
      <w:tr w:rsidR="00E37D61" w14:paraId="595E401A" w14:textId="77777777" w:rsidTr="00FC5A6B">
        <w:trPr>
          <w:jc w:val="center"/>
        </w:trPr>
        <w:tc>
          <w:tcPr>
            <w:tcW w:w="10173" w:type="dxa"/>
            <w:gridSpan w:val="2"/>
            <w:tcBorders>
              <w:bottom w:val="single" w:sz="4" w:space="0" w:color="auto"/>
            </w:tcBorders>
          </w:tcPr>
          <w:p w14:paraId="760C852F" w14:textId="77777777" w:rsidR="00E37D61" w:rsidRDefault="00E37D61" w:rsidP="00FC5A6B">
            <w:pPr>
              <w:spacing w:before="120" w:after="120"/>
              <w:rPr>
                <w:sz w:val="22"/>
                <w:szCs w:val="22"/>
              </w:rPr>
            </w:pPr>
          </w:p>
        </w:tc>
      </w:tr>
      <w:tr w:rsidR="00E37D61" w:rsidRPr="005001AD" w14:paraId="552EF927" w14:textId="77777777" w:rsidTr="00FC5A6B">
        <w:trPr>
          <w:jc w:val="center"/>
        </w:trPr>
        <w:tc>
          <w:tcPr>
            <w:tcW w:w="2227" w:type="dxa"/>
            <w:tcBorders>
              <w:bottom w:val="single" w:sz="4" w:space="0" w:color="auto"/>
            </w:tcBorders>
            <w:shd w:val="clear" w:color="auto" w:fill="D9D9D9"/>
          </w:tcPr>
          <w:p w14:paraId="0FCE122B" w14:textId="77777777" w:rsidR="00E37D61" w:rsidRDefault="00E37D61" w:rsidP="00FC5A6B">
            <w:pPr>
              <w:spacing w:before="120" w:after="120"/>
              <w:rPr>
                <w:sz w:val="22"/>
                <w:szCs w:val="22"/>
              </w:rPr>
            </w:pPr>
            <w:r>
              <w:rPr>
                <w:sz w:val="22"/>
                <w:szCs w:val="22"/>
              </w:rPr>
              <w:t>15:00 hrs. – 15:30 hrs.</w:t>
            </w:r>
          </w:p>
          <w:p w14:paraId="6F9BC499" w14:textId="77777777" w:rsidR="00E37D61" w:rsidRDefault="00E37D61" w:rsidP="00FC5A6B">
            <w:pPr>
              <w:spacing w:before="120" w:after="120"/>
              <w:rPr>
                <w:b/>
                <w:bCs/>
                <w:iCs/>
                <w:sz w:val="22"/>
                <w:szCs w:val="22"/>
              </w:rPr>
            </w:pPr>
            <w:r>
              <w:rPr>
                <w:b/>
                <w:bCs/>
                <w:iCs/>
                <w:sz w:val="22"/>
                <w:szCs w:val="22"/>
              </w:rPr>
              <w:t xml:space="preserve">OAS Headquarters, </w:t>
            </w:r>
          </w:p>
          <w:p w14:paraId="45D21EA3" w14:textId="77777777" w:rsidR="00E37D61" w:rsidRPr="00637F12" w:rsidRDefault="00E37D61" w:rsidP="00FC5A6B">
            <w:pPr>
              <w:spacing w:before="120" w:after="120"/>
              <w:rPr>
                <w:b/>
                <w:bCs/>
                <w:iCs/>
                <w:sz w:val="22"/>
                <w:szCs w:val="22"/>
              </w:rPr>
            </w:pPr>
            <w:r>
              <w:rPr>
                <w:b/>
                <w:bCs/>
                <w:iCs/>
                <w:sz w:val="22"/>
                <w:szCs w:val="22"/>
              </w:rPr>
              <w:t>Gabriela Mistral Room, 1889 F Street</w:t>
            </w:r>
          </w:p>
        </w:tc>
        <w:tc>
          <w:tcPr>
            <w:tcW w:w="7946" w:type="dxa"/>
            <w:tcBorders>
              <w:bottom w:val="single" w:sz="4" w:space="0" w:color="auto"/>
            </w:tcBorders>
            <w:shd w:val="clear" w:color="auto" w:fill="D9D9D9"/>
            <w:vAlign w:val="center"/>
          </w:tcPr>
          <w:p w14:paraId="28EE3333" w14:textId="77777777" w:rsidR="00E37D61" w:rsidRPr="005001AD" w:rsidRDefault="00E37D61" w:rsidP="00FC5A6B">
            <w:pPr>
              <w:spacing w:before="120" w:after="120"/>
              <w:rPr>
                <w:b/>
                <w:sz w:val="22"/>
                <w:szCs w:val="20"/>
              </w:rPr>
            </w:pPr>
            <w:r>
              <w:rPr>
                <w:b/>
                <w:sz w:val="22"/>
                <w:szCs w:val="20"/>
              </w:rPr>
              <w:t>Coordination meeting between the representatives of the country under review, the member states of the subgroup and the Technical Secretariat</w:t>
            </w:r>
          </w:p>
        </w:tc>
      </w:tr>
      <w:tr w:rsidR="00E37D61" w14:paraId="0F02BD81" w14:textId="77777777" w:rsidTr="00FC5A6B">
        <w:trPr>
          <w:jc w:val="center"/>
        </w:trPr>
        <w:tc>
          <w:tcPr>
            <w:tcW w:w="10173" w:type="dxa"/>
            <w:gridSpan w:val="2"/>
          </w:tcPr>
          <w:p w14:paraId="06192DE7" w14:textId="77777777" w:rsidR="00E37D61" w:rsidRDefault="00E37D61" w:rsidP="00FC5A6B">
            <w:pPr>
              <w:spacing w:before="120" w:after="120"/>
              <w:jc w:val="both"/>
              <w:rPr>
                <w:b/>
                <w:sz w:val="22"/>
                <w:szCs w:val="22"/>
                <w:u w:val="single"/>
              </w:rPr>
            </w:pPr>
            <w:r>
              <w:rPr>
                <w:b/>
                <w:sz w:val="22"/>
                <w:szCs w:val="22"/>
                <w:u w:val="single"/>
              </w:rPr>
              <w:t>Wednesday, October 18, 2023</w:t>
            </w:r>
          </w:p>
        </w:tc>
      </w:tr>
      <w:tr w:rsidR="00E37D61" w14:paraId="4B7885A7" w14:textId="77777777" w:rsidTr="00FC5A6B">
        <w:trPr>
          <w:jc w:val="center"/>
        </w:trPr>
        <w:tc>
          <w:tcPr>
            <w:tcW w:w="2227" w:type="dxa"/>
            <w:tcBorders>
              <w:bottom w:val="single" w:sz="4" w:space="0" w:color="auto"/>
            </w:tcBorders>
            <w:shd w:val="clear" w:color="auto" w:fill="D9D9D9"/>
          </w:tcPr>
          <w:p w14:paraId="772CB562" w14:textId="77777777" w:rsidR="00E37D61" w:rsidRDefault="00E37D61" w:rsidP="00FC5A6B">
            <w:pPr>
              <w:spacing w:before="120" w:after="120"/>
              <w:rPr>
                <w:sz w:val="22"/>
                <w:szCs w:val="22"/>
              </w:rPr>
            </w:pPr>
            <w:r>
              <w:rPr>
                <w:sz w:val="22"/>
                <w:szCs w:val="22"/>
              </w:rPr>
              <w:t>10:00 hrs. – 12:00 hrs.</w:t>
            </w:r>
          </w:p>
          <w:p w14:paraId="0937614C" w14:textId="77777777" w:rsidR="00E37D61" w:rsidRPr="00A441B5" w:rsidRDefault="00E37D61" w:rsidP="00FC5A6B">
            <w:pPr>
              <w:spacing w:before="120" w:after="120"/>
              <w:rPr>
                <w:sz w:val="22"/>
                <w:szCs w:val="22"/>
              </w:rPr>
            </w:pPr>
            <w:r>
              <w:rPr>
                <w:b/>
                <w:sz w:val="22"/>
                <w:szCs w:val="20"/>
              </w:rPr>
              <w:t>OAS Headquarters, Gabriela Mistral Room, 1889 F Street</w:t>
            </w:r>
          </w:p>
          <w:p w14:paraId="2C9C5B48" w14:textId="77777777" w:rsidR="00E37D61" w:rsidRPr="006D76C5" w:rsidRDefault="00E37D61" w:rsidP="00FC5A6B">
            <w:pPr>
              <w:autoSpaceDE w:val="0"/>
              <w:autoSpaceDN w:val="0"/>
              <w:adjustRightInd w:val="0"/>
              <w:rPr>
                <w:b/>
                <w:i/>
                <w:sz w:val="22"/>
                <w:szCs w:val="22"/>
              </w:rPr>
            </w:pPr>
          </w:p>
        </w:tc>
        <w:tc>
          <w:tcPr>
            <w:tcW w:w="7946" w:type="dxa"/>
            <w:tcBorders>
              <w:bottom w:val="single" w:sz="4" w:space="0" w:color="auto"/>
            </w:tcBorders>
            <w:shd w:val="clear" w:color="auto" w:fill="D9D9D9"/>
            <w:vAlign w:val="center"/>
          </w:tcPr>
          <w:p w14:paraId="05669541" w14:textId="77777777" w:rsidR="00E37D61" w:rsidRDefault="00E37D61" w:rsidP="00FC5A6B">
            <w:pPr>
              <w:spacing w:before="120" w:after="120"/>
              <w:rPr>
                <w:b/>
                <w:sz w:val="22"/>
                <w:szCs w:val="22"/>
              </w:rPr>
            </w:pPr>
            <w:r>
              <w:rPr>
                <w:b/>
                <w:sz w:val="22"/>
                <w:szCs w:val="20"/>
              </w:rPr>
              <w:t xml:space="preserve">Meetings with civil society organizations and/or, </w:t>
            </w:r>
            <w:r>
              <w:rPr>
                <w:b/>
                <w:i/>
                <w:iCs/>
                <w:sz w:val="22"/>
                <w:szCs w:val="20"/>
              </w:rPr>
              <w:t>inter alia</w:t>
            </w:r>
            <w:r>
              <w:rPr>
                <w:b/>
                <w:sz w:val="22"/>
                <w:szCs w:val="20"/>
              </w:rPr>
              <w:t>, private sector organizations, professional organizations, academics, or researchers</w:t>
            </w:r>
            <w:r>
              <w:rPr>
                <w:sz w:val="22"/>
                <w:szCs w:val="22"/>
                <w:u w:val="single"/>
              </w:rPr>
              <w:t xml:space="preserve"> </w:t>
            </w:r>
          </w:p>
        </w:tc>
      </w:tr>
      <w:tr w:rsidR="00E37D61" w:rsidRPr="00A4016D" w14:paraId="43BB04C0" w14:textId="77777777" w:rsidTr="00FC5A6B">
        <w:trPr>
          <w:cantSplit/>
          <w:trHeight w:val="890"/>
          <w:jc w:val="center"/>
        </w:trPr>
        <w:tc>
          <w:tcPr>
            <w:tcW w:w="2227" w:type="dxa"/>
            <w:vMerge w:val="restart"/>
          </w:tcPr>
          <w:p w14:paraId="69AC237E" w14:textId="77777777" w:rsidR="00E37D61" w:rsidRDefault="00E37D61" w:rsidP="00FC5A6B">
            <w:pPr>
              <w:spacing w:before="120" w:after="120"/>
              <w:rPr>
                <w:sz w:val="22"/>
                <w:szCs w:val="22"/>
              </w:rPr>
            </w:pPr>
          </w:p>
        </w:tc>
        <w:tc>
          <w:tcPr>
            <w:tcW w:w="7946" w:type="dxa"/>
          </w:tcPr>
          <w:p w14:paraId="0BDA9216" w14:textId="77777777" w:rsidR="00E37D61" w:rsidRPr="009E6362" w:rsidRDefault="00E37D61" w:rsidP="00FC5A6B">
            <w:pPr>
              <w:spacing w:before="120" w:after="120"/>
              <w:rPr>
                <w:sz w:val="22"/>
                <w:szCs w:val="22"/>
              </w:rPr>
            </w:pPr>
            <w:r w:rsidRPr="009E6362">
              <w:rPr>
                <w:sz w:val="22"/>
                <w:szCs w:val="22"/>
                <w:u w:val="single"/>
              </w:rPr>
              <w:t>Session</w:t>
            </w:r>
            <w:r w:rsidRPr="009E6362">
              <w:rPr>
                <w:sz w:val="22"/>
                <w:szCs w:val="22"/>
              </w:rPr>
              <w:t xml:space="preserve">: </w:t>
            </w:r>
            <w:r>
              <w:rPr>
                <w:sz w:val="22"/>
                <w:szCs w:val="22"/>
              </w:rPr>
              <w:t xml:space="preserve">Bank Secrecy and </w:t>
            </w:r>
            <w:r w:rsidRPr="009740E0">
              <w:rPr>
                <w:bCs/>
                <w:sz w:val="22"/>
                <w:szCs w:val="22"/>
              </w:rPr>
              <w:t xml:space="preserve">Follow-Up of the Recommendations of the </w:t>
            </w:r>
            <w:r>
              <w:rPr>
                <w:bCs/>
                <w:sz w:val="22"/>
                <w:szCs w:val="22"/>
              </w:rPr>
              <w:t>Third</w:t>
            </w:r>
            <w:r w:rsidRPr="009740E0">
              <w:rPr>
                <w:bCs/>
                <w:sz w:val="22"/>
                <w:szCs w:val="22"/>
              </w:rPr>
              <w:t xml:space="preserve"> Round</w:t>
            </w:r>
          </w:p>
          <w:p w14:paraId="5B230C64" w14:textId="77777777" w:rsidR="00E37D61" w:rsidRDefault="00E37D61" w:rsidP="00FC5A6B">
            <w:pPr>
              <w:spacing w:before="120" w:after="120"/>
              <w:rPr>
                <w:b/>
                <w:sz w:val="22"/>
                <w:szCs w:val="22"/>
              </w:rPr>
            </w:pPr>
            <w:r>
              <w:rPr>
                <w:b/>
                <w:sz w:val="22"/>
                <w:szCs w:val="22"/>
              </w:rPr>
              <w:t>Topics:</w:t>
            </w:r>
          </w:p>
          <w:p w14:paraId="6A9F2D38" w14:textId="77777777" w:rsidR="00E37D61" w:rsidRDefault="00E37D61">
            <w:pPr>
              <w:numPr>
                <w:ilvl w:val="0"/>
                <w:numId w:val="14"/>
              </w:numPr>
              <w:tabs>
                <w:tab w:val="clear" w:pos="720"/>
                <w:tab w:val="num" w:pos="473"/>
              </w:tabs>
              <w:spacing w:before="120" w:after="120"/>
              <w:ind w:left="473"/>
              <w:jc w:val="both"/>
              <w:rPr>
                <w:b/>
                <w:bCs/>
                <w:sz w:val="22"/>
                <w:szCs w:val="22"/>
              </w:rPr>
            </w:pPr>
            <w:r w:rsidRPr="009740E0">
              <w:rPr>
                <w:b/>
                <w:bCs/>
                <w:sz w:val="22"/>
                <w:szCs w:val="22"/>
              </w:rPr>
              <w:t xml:space="preserve">Challenges in the fight against corruption in </w:t>
            </w:r>
            <w:r>
              <w:rPr>
                <w:b/>
                <w:bCs/>
                <w:sz w:val="22"/>
                <w:szCs w:val="22"/>
              </w:rPr>
              <w:t>the United States</w:t>
            </w:r>
          </w:p>
          <w:p w14:paraId="7796B5D3" w14:textId="77777777" w:rsidR="00E37D61" w:rsidRPr="00A4016D" w:rsidRDefault="00E37D61">
            <w:pPr>
              <w:numPr>
                <w:ilvl w:val="0"/>
                <w:numId w:val="14"/>
              </w:numPr>
              <w:tabs>
                <w:tab w:val="clear" w:pos="720"/>
                <w:tab w:val="num" w:pos="473"/>
              </w:tabs>
              <w:spacing w:before="120" w:after="120"/>
              <w:ind w:left="473"/>
              <w:jc w:val="both"/>
              <w:rPr>
                <w:b/>
                <w:sz w:val="22"/>
                <w:szCs w:val="22"/>
              </w:rPr>
            </w:pPr>
            <w:r w:rsidRPr="00A4016D">
              <w:rPr>
                <w:b/>
                <w:bCs/>
                <w:sz w:val="22"/>
                <w:szCs w:val="22"/>
              </w:rPr>
              <w:t>Bank Secrecy</w:t>
            </w:r>
          </w:p>
          <w:p w14:paraId="6BCA62D9" w14:textId="77777777" w:rsidR="00E37D61" w:rsidRDefault="00E37D61">
            <w:pPr>
              <w:numPr>
                <w:ilvl w:val="0"/>
                <w:numId w:val="14"/>
              </w:numPr>
              <w:tabs>
                <w:tab w:val="clear" w:pos="720"/>
                <w:tab w:val="num" w:pos="473"/>
              </w:tabs>
              <w:spacing w:before="120" w:after="120"/>
              <w:ind w:left="473"/>
              <w:jc w:val="both"/>
              <w:rPr>
                <w:b/>
                <w:sz w:val="22"/>
                <w:szCs w:val="22"/>
              </w:rPr>
            </w:pPr>
            <w:r>
              <w:rPr>
                <w:b/>
                <w:sz w:val="22"/>
                <w:szCs w:val="22"/>
              </w:rPr>
              <w:t>Transnational Bribery</w:t>
            </w:r>
          </w:p>
          <w:p w14:paraId="4E3F2122" w14:textId="77777777" w:rsidR="00E37D61" w:rsidRDefault="00E37D61">
            <w:pPr>
              <w:numPr>
                <w:ilvl w:val="0"/>
                <w:numId w:val="14"/>
              </w:numPr>
              <w:tabs>
                <w:tab w:val="clear" w:pos="720"/>
                <w:tab w:val="num" w:pos="473"/>
              </w:tabs>
              <w:spacing w:before="120" w:after="120"/>
              <w:ind w:left="473"/>
              <w:rPr>
                <w:b/>
                <w:sz w:val="22"/>
                <w:szCs w:val="22"/>
              </w:rPr>
            </w:pPr>
            <w:r>
              <w:rPr>
                <w:b/>
                <w:sz w:val="22"/>
                <w:szCs w:val="22"/>
              </w:rPr>
              <w:t>Denial of Tax Benefits</w:t>
            </w:r>
          </w:p>
          <w:p w14:paraId="66E6EA65" w14:textId="77777777" w:rsidR="00E37D61" w:rsidRPr="00A4016D" w:rsidRDefault="00E37D61">
            <w:pPr>
              <w:numPr>
                <w:ilvl w:val="0"/>
                <w:numId w:val="14"/>
              </w:numPr>
              <w:tabs>
                <w:tab w:val="clear" w:pos="720"/>
                <w:tab w:val="num" w:pos="473"/>
              </w:tabs>
              <w:spacing w:before="120" w:after="120"/>
              <w:ind w:left="473"/>
              <w:jc w:val="both"/>
              <w:rPr>
                <w:b/>
                <w:sz w:val="22"/>
                <w:szCs w:val="22"/>
              </w:rPr>
            </w:pPr>
            <w:r>
              <w:rPr>
                <w:b/>
                <w:sz w:val="22"/>
                <w:szCs w:val="22"/>
              </w:rPr>
              <w:t>Prevention of Bribery</w:t>
            </w:r>
          </w:p>
        </w:tc>
      </w:tr>
      <w:tr w:rsidR="00E37D61" w:rsidRPr="00B82CAB" w14:paraId="30EF483B" w14:textId="77777777" w:rsidTr="00FC5A6B">
        <w:trPr>
          <w:cantSplit/>
          <w:jc w:val="center"/>
        </w:trPr>
        <w:tc>
          <w:tcPr>
            <w:tcW w:w="2227" w:type="dxa"/>
            <w:vMerge/>
            <w:tcBorders>
              <w:bottom w:val="single" w:sz="4" w:space="0" w:color="auto"/>
            </w:tcBorders>
          </w:tcPr>
          <w:p w14:paraId="78B20E57" w14:textId="77777777" w:rsidR="00E37D61" w:rsidRDefault="00E37D61" w:rsidP="00FC5A6B">
            <w:pPr>
              <w:spacing w:before="120" w:after="120"/>
              <w:rPr>
                <w:sz w:val="22"/>
                <w:szCs w:val="22"/>
              </w:rPr>
            </w:pPr>
          </w:p>
        </w:tc>
        <w:tc>
          <w:tcPr>
            <w:tcW w:w="7946" w:type="dxa"/>
            <w:tcBorders>
              <w:bottom w:val="single" w:sz="4" w:space="0" w:color="auto"/>
            </w:tcBorders>
          </w:tcPr>
          <w:p w14:paraId="61DD2294" w14:textId="77777777" w:rsidR="00E37D61" w:rsidRDefault="00E37D61" w:rsidP="00FC5A6B">
            <w:pPr>
              <w:spacing w:before="120" w:after="120"/>
              <w:rPr>
                <w:bCs/>
                <w:iCs/>
                <w:sz w:val="22"/>
                <w:szCs w:val="22"/>
                <w:u w:val="single"/>
              </w:rPr>
            </w:pPr>
            <w:r w:rsidRPr="00E778DF">
              <w:rPr>
                <w:bCs/>
                <w:iCs/>
                <w:sz w:val="22"/>
                <w:szCs w:val="22"/>
                <w:u w:val="single"/>
              </w:rPr>
              <w:t>Participants:</w:t>
            </w:r>
          </w:p>
          <w:p w14:paraId="7B847515"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E778DF">
              <w:rPr>
                <w:color w:val="242424"/>
                <w:sz w:val="22"/>
                <w:szCs w:val="22"/>
                <w:bdr w:val="none" w:sz="0" w:space="0" w:color="auto" w:frame="1"/>
              </w:rPr>
              <w:t xml:space="preserve">Julia </w:t>
            </w:r>
            <w:proofErr w:type="spellStart"/>
            <w:r w:rsidRPr="00E778DF">
              <w:rPr>
                <w:color w:val="242424"/>
                <w:sz w:val="22"/>
                <w:szCs w:val="22"/>
                <w:bdr w:val="none" w:sz="0" w:space="0" w:color="auto" w:frame="1"/>
              </w:rPr>
              <w:t>Yansura</w:t>
            </w:r>
            <w:proofErr w:type="spellEnd"/>
            <w:r w:rsidRPr="00E778DF">
              <w:rPr>
                <w:color w:val="242424"/>
                <w:sz w:val="22"/>
                <w:szCs w:val="22"/>
                <w:bdr w:val="none" w:sz="0" w:space="0" w:color="auto" w:frame="1"/>
              </w:rPr>
              <w:t>, Program Director for Latin America and the Caribbean, Global Financial Integrity </w:t>
            </w:r>
          </w:p>
          <w:p w14:paraId="238CA75C" w14:textId="77777777" w:rsidR="00E37D61" w:rsidRPr="00E778DF"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E778DF">
              <w:rPr>
                <w:color w:val="242424"/>
                <w:sz w:val="22"/>
                <w:szCs w:val="22"/>
                <w:bdr w:val="none" w:sz="0" w:space="0" w:color="auto" w:frame="1"/>
              </w:rPr>
              <w:t>  </w:t>
            </w:r>
          </w:p>
          <w:p w14:paraId="65FD2A25"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E778DF">
              <w:rPr>
                <w:color w:val="242424"/>
                <w:sz w:val="22"/>
                <w:szCs w:val="22"/>
                <w:bdr w:val="none" w:sz="0" w:space="0" w:color="auto" w:frame="1"/>
              </w:rPr>
              <w:t>Gary Kalman, Executive Director, Transparency International-USA</w:t>
            </w:r>
          </w:p>
          <w:p w14:paraId="3C46B059" w14:textId="77777777" w:rsidR="00E37D61" w:rsidRPr="00E778DF" w:rsidRDefault="00E37D61" w:rsidP="00FC5A6B">
            <w:pPr>
              <w:pStyle w:val="xxmsonormal"/>
              <w:shd w:val="clear" w:color="auto" w:fill="FFFFFF"/>
              <w:spacing w:before="0" w:beforeAutospacing="0" w:after="0" w:afterAutospacing="0"/>
              <w:rPr>
                <w:color w:val="242424"/>
                <w:sz w:val="22"/>
                <w:szCs w:val="22"/>
                <w:bdr w:val="none" w:sz="0" w:space="0" w:color="auto" w:frame="1"/>
              </w:rPr>
            </w:pPr>
          </w:p>
          <w:p w14:paraId="05A8A88C"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E778DF">
              <w:rPr>
                <w:color w:val="242424"/>
                <w:sz w:val="22"/>
                <w:szCs w:val="22"/>
                <w:bdr w:val="none" w:sz="0" w:space="0" w:color="auto" w:frame="1"/>
              </w:rPr>
              <w:t xml:space="preserve">Erica </w:t>
            </w:r>
            <w:proofErr w:type="spellStart"/>
            <w:r w:rsidRPr="00E778DF">
              <w:rPr>
                <w:color w:val="242424"/>
                <w:sz w:val="22"/>
                <w:szCs w:val="22"/>
                <w:bdr w:val="none" w:sz="0" w:space="0" w:color="auto" w:frame="1"/>
              </w:rPr>
              <w:t>Hanichak</w:t>
            </w:r>
            <w:proofErr w:type="spellEnd"/>
            <w:r w:rsidRPr="00E778DF">
              <w:rPr>
                <w:color w:val="242424"/>
                <w:sz w:val="22"/>
                <w:szCs w:val="22"/>
                <w:bdr w:val="none" w:sz="0" w:space="0" w:color="auto" w:frame="1"/>
              </w:rPr>
              <w:t>, Government Affairs Director, The FACT Coalition</w:t>
            </w:r>
          </w:p>
          <w:p w14:paraId="3256A421" w14:textId="77777777" w:rsidR="00E37D61" w:rsidRPr="00E778DF" w:rsidRDefault="00E37D61" w:rsidP="00FC5A6B">
            <w:pPr>
              <w:pStyle w:val="xxmsonormal"/>
              <w:shd w:val="clear" w:color="auto" w:fill="FFFFFF"/>
              <w:spacing w:before="0" w:beforeAutospacing="0" w:after="0" w:afterAutospacing="0"/>
              <w:rPr>
                <w:color w:val="242424"/>
                <w:sz w:val="22"/>
                <w:szCs w:val="22"/>
                <w:bdr w:val="none" w:sz="0" w:space="0" w:color="auto" w:frame="1"/>
              </w:rPr>
            </w:pPr>
          </w:p>
          <w:p w14:paraId="3FC3DA02"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5F622C">
              <w:rPr>
                <w:color w:val="242424"/>
                <w:sz w:val="22"/>
                <w:szCs w:val="22"/>
                <w:bdr w:val="none" w:sz="0" w:space="0" w:color="auto" w:frame="1"/>
              </w:rPr>
              <w:t>Robin Lewis, Senior Research Associate and Associate Fellow, The Brookings Institution</w:t>
            </w:r>
          </w:p>
          <w:p w14:paraId="578F5651" w14:textId="77777777" w:rsidR="00E37D61" w:rsidRPr="00B82CAB" w:rsidRDefault="00E37D61" w:rsidP="00FC5A6B">
            <w:pPr>
              <w:pStyle w:val="xxmsonormal"/>
              <w:shd w:val="clear" w:color="auto" w:fill="FFFFFF"/>
              <w:spacing w:before="0" w:beforeAutospacing="0" w:after="0" w:afterAutospacing="0"/>
              <w:rPr>
                <w:sz w:val="22"/>
                <w:szCs w:val="22"/>
              </w:rPr>
            </w:pPr>
          </w:p>
        </w:tc>
      </w:tr>
      <w:tr w:rsidR="00E37D61" w:rsidRPr="00855D70" w14:paraId="74C4B701" w14:textId="77777777" w:rsidTr="00FC5A6B">
        <w:trPr>
          <w:jc w:val="center"/>
        </w:trPr>
        <w:tc>
          <w:tcPr>
            <w:tcW w:w="2227" w:type="dxa"/>
            <w:shd w:val="clear" w:color="auto" w:fill="auto"/>
          </w:tcPr>
          <w:p w14:paraId="66B2BB00" w14:textId="77777777" w:rsidR="00E37D61" w:rsidRDefault="00E37D61" w:rsidP="00FC5A6B">
            <w:pPr>
              <w:spacing w:before="120" w:after="120"/>
              <w:rPr>
                <w:sz w:val="22"/>
                <w:szCs w:val="22"/>
              </w:rPr>
            </w:pPr>
            <w:r>
              <w:rPr>
                <w:sz w:val="22"/>
                <w:szCs w:val="22"/>
              </w:rPr>
              <w:lastRenderedPageBreak/>
              <w:t>12:00 hrs. – 14:00 hrs.</w:t>
            </w:r>
          </w:p>
        </w:tc>
        <w:tc>
          <w:tcPr>
            <w:tcW w:w="7946" w:type="dxa"/>
            <w:shd w:val="clear" w:color="auto" w:fill="auto"/>
          </w:tcPr>
          <w:p w14:paraId="71BCD859" w14:textId="77777777" w:rsidR="00E37D61" w:rsidRPr="00855D70" w:rsidRDefault="00E37D61" w:rsidP="00FC5A6B">
            <w:pPr>
              <w:spacing w:before="120" w:after="120"/>
              <w:rPr>
                <w:b/>
                <w:sz w:val="22"/>
                <w:szCs w:val="22"/>
              </w:rPr>
            </w:pPr>
            <w:r>
              <w:rPr>
                <w:b/>
                <w:sz w:val="22"/>
                <w:szCs w:val="22"/>
              </w:rPr>
              <w:t>Lunch</w:t>
            </w:r>
          </w:p>
        </w:tc>
      </w:tr>
      <w:tr w:rsidR="00E37D61" w:rsidRPr="009E6362" w14:paraId="62049BC6" w14:textId="77777777" w:rsidTr="00FC5A6B">
        <w:trPr>
          <w:jc w:val="center"/>
        </w:trPr>
        <w:tc>
          <w:tcPr>
            <w:tcW w:w="2227" w:type="dxa"/>
            <w:shd w:val="clear" w:color="auto" w:fill="D9D9D9"/>
          </w:tcPr>
          <w:p w14:paraId="39AD9820" w14:textId="77777777" w:rsidR="00E37D61" w:rsidRDefault="00E37D61" w:rsidP="00FC5A6B">
            <w:pPr>
              <w:spacing w:before="120" w:after="120"/>
              <w:rPr>
                <w:sz w:val="22"/>
                <w:szCs w:val="22"/>
              </w:rPr>
            </w:pPr>
            <w:r>
              <w:rPr>
                <w:sz w:val="22"/>
                <w:szCs w:val="22"/>
              </w:rPr>
              <w:t>14:00 hrs. – 16:30 hrs.</w:t>
            </w:r>
          </w:p>
          <w:p w14:paraId="53B1D9B7" w14:textId="77777777" w:rsidR="00E37D61" w:rsidRDefault="00E37D61" w:rsidP="00FC5A6B">
            <w:pPr>
              <w:spacing w:before="120" w:after="120"/>
              <w:rPr>
                <w:sz w:val="22"/>
                <w:szCs w:val="22"/>
              </w:rPr>
            </w:pPr>
            <w:r>
              <w:rPr>
                <w:b/>
                <w:sz w:val="22"/>
                <w:szCs w:val="20"/>
              </w:rPr>
              <w:t xml:space="preserve">OAS Headquarters, Gabriela Mistral Room, 1889 F Street </w:t>
            </w:r>
          </w:p>
        </w:tc>
        <w:tc>
          <w:tcPr>
            <w:tcW w:w="7946" w:type="dxa"/>
            <w:shd w:val="clear" w:color="auto" w:fill="D9D9D9"/>
            <w:vAlign w:val="center"/>
          </w:tcPr>
          <w:p w14:paraId="68FA365E" w14:textId="77777777" w:rsidR="00E37D61" w:rsidRPr="009E6362" w:rsidRDefault="00E37D61" w:rsidP="00FC5A6B">
            <w:pPr>
              <w:spacing w:before="120" w:after="120"/>
              <w:rPr>
                <w:b/>
                <w:sz w:val="22"/>
                <w:szCs w:val="22"/>
              </w:rPr>
            </w:pPr>
            <w:r>
              <w:rPr>
                <w:b/>
                <w:sz w:val="22"/>
                <w:szCs w:val="22"/>
              </w:rPr>
              <w:t xml:space="preserve">Panel 1: Bank Secrecy </w:t>
            </w:r>
          </w:p>
        </w:tc>
      </w:tr>
      <w:tr w:rsidR="00E37D61" w14:paraId="6D6FB356" w14:textId="77777777" w:rsidTr="00FC5A6B">
        <w:trPr>
          <w:cantSplit/>
          <w:jc w:val="center"/>
        </w:trPr>
        <w:tc>
          <w:tcPr>
            <w:tcW w:w="2227" w:type="dxa"/>
            <w:vMerge w:val="restart"/>
          </w:tcPr>
          <w:p w14:paraId="65D8DCC9" w14:textId="77777777" w:rsidR="00E37D61" w:rsidRDefault="00E37D61" w:rsidP="00FC5A6B">
            <w:pPr>
              <w:spacing w:before="120" w:after="120"/>
              <w:rPr>
                <w:sz w:val="22"/>
                <w:szCs w:val="22"/>
              </w:rPr>
            </w:pPr>
          </w:p>
        </w:tc>
        <w:tc>
          <w:tcPr>
            <w:tcW w:w="7946" w:type="dxa"/>
          </w:tcPr>
          <w:p w14:paraId="4B9AED66" w14:textId="77777777" w:rsidR="00E37D61" w:rsidRPr="00224A54" w:rsidRDefault="00E37D61">
            <w:pPr>
              <w:numPr>
                <w:ilvl w:val="0"/>
                <w:numId w:val="14"/>
              </w:numPr>
              <w:tabs>
                <w:tab w:val="clear" w:pos="720"/>
                <w:tab w:val="num" w:pos="473"/>
              </w:tabs>
              <w:spacing w:before="120" w:after="120"/>
              <w:ind w:left="473"/>
              <w:jc w:val="both"/>
              <w:rPr>
                <w:b/>
                <w:sz w:val="22"/>
                <w:szCs w:val="22"/>
              </w:rPr>
            </w:pPr>
            <w:r>
              <w:rPr>
                <w:b/>
                <w:sz w:val="22"/>
                <w:szCs w:val="22"/>
              </w:rPr>
              <w:t>Currency and Foreign Transactions Reporting Act</w:t>
            </w:r>
          </w:p>
          <w:p w14:paraId="11924EDB" w14:textId="77777777" w:rsidR="00E37D61" w:rsidRPr="00591A29" w:rsidRDefault="00E37D61">
            <w:pPr>
              <w:numPr>
                <w:ilvl w:val="0"/>
                <w:numId w:val="14"/>
              </w:numPr>
              <w:tabs>
                <w:tab w:val="clear" w:pos="720"/>
                <w:tab w:val="num" w:pos="473"/>
              </w:tabs>
              <w:spacing w:before="120" w:after="120"/>
              <w:ind w:left="473"/>
              <w:jc w:val="both"/>
              <w:rPr>
                <w:b/>
                <w:bCs/>
                <w:sz w:val="22"/>
                <w:szCs w:val="22"/>
              </w:rPr>
            </w:pPr>
            <w:r w:rsidRPr="0075466B">
              <w:rPr>
                <w:b/>
                <w:bCs/>
                <w:sz w:val="22"/>
                <w:szCs w:val="22"/>
              </w:rPr>
              <w:t>Confidentiality and Privacy</w:t>
            </w:r>
          </w:p>
          <w:p w14:paraId="34E7D125" w14:textId="77777777" w:rsidR="00E37D61" w:rsidRPr="00591A29" w:rsidRDefault="00E37D61">
            <w:pPr>
              <w:numPr>
                <w:ilvl w:val="0"/>
                <w:numId w:val="14"/>
              </w:numPr>
              <w:tabs>
                <w:tab w:val="clear" w:pos="720"/>
                <w:tab w:val="num" w:pos="473"/>
              </w:tabs>
              <w:spacing w:before="120" w:after="120"/>
              <w:ind w:left="473"/>
              <w:jc w:val="both"/>
              <w:rPr>
                <w:b/>
                <w:bCs/>
                <w:sz w:val="22"/>
                <w:szCs w:val="22"/>
              </w:rPr>
            </w:pPr>
            <w:r>
              <w:rPr>
                <w:b/>
                <w:sz w:val="22"/>
                <w:szCs w:val="22"/>
              </w:rPr>
              <w:t>Internal Process and Appeals</w:t>
            </w:r>
          </w:p>
          <w:p w14:paraId="3C4F4B03" w14:textId="77777777" w:rsidR="00E37D61" w:rsidRDefault="00E37D61">
            <w:pPr>
              <w:numPr>
                <w:ilvl w:val="0"/>
                <w:numId w:val="14"/>
              </w:numPr>
              <w:tabs>
                <w:tab w:val="clear" w:pos="720"/>
                <w:tab w:val="num" w:pos="473"/>
              </w:tabs>
              <w:spacing w:before="120" w:after="120"/>
              <w:ind w:left="473"/>
              <w:jc w:val="both"/>
              <w:rPr>
                <w:b/>
                <w:bCs/>
                <w:sz w:val="22"/>
                <w:szCs w:val="22"/>
              </w:rPr>
            </w:pPr>
            <w:r>
              <w:rPr>
                <w:b/>
                <w:bCs/>
                <w:sz w:val="22"/>
                <w:szCs w:val="22"/>
              </w:rPr>
              <w:t>Use of Information</w:t>
            </w:r>
          </w:p>
          <w:p w14:paraId="48FD925F" w14:textId="77777777" w:rsidR="00E37D61" w:rsidRDefault="00E37D61">
            <w:pPr>
              <w:numPr>
                <w:ilvl w:val="0"/>
                <w:numId w:val="14"/>
              </w:numPr>
              <w:tabs>
                <w:tab w:val="clear" w:pos="720"/>
                <w:tab w:val="num" w:pos="473"/>
              </w:tabs>
              <w:spacing w:before="120" w:after="120"/>
              <w:ind w:left="473"/>
              <w:jc w:val="both"/>
              <w:rPr>
                <w:b/>
                <w:bCs/>
                <w:sz w:val="22"/>
                <w:szCs w:val="22"/>
              </w:rPr>
            </w:pPr>
            <w:r>
              <w:rPr>
                <w:b/>
                <w:bCs/>
                <w:sz w:val="22"/>
                <w:szCs w:val="22"/>
              </w:rPr>
              <w:t>International Cooperation</w:t>
            </w:r>
          </w:p>
          <w:p w14:paraId="42E53003" w14:textId="77777777" w:rsidR="00E37D61" w:rsidRDefault="00E37D61">
            <w:pPr>
              <w:numPr>
                <w:ilvl w:val="0"/>
                <w:numId w:val="14"/>
              </w:numPr>
              <w:tabs>
                <w:tab w:val="clear" w:pos="720"/>
                <w:tab w:val="num" w:pos="473"/>
              </w:tabs>
              <w:spacing w:before="120" w:after="120"/>
              <w:ind w:left="473"/>
              <w:jc w:val="both"/>
              <w:rPr>
                <w:b/>
                <w:bCs/>
                <w:sz w:val="22"/>
                <w:szCs w:val="22"/>
              </w:rPr>
            </w:pPr>
            <w:r>
              <w:rPr>
                <w:b/>
                <w:bCs/>
                <w:sz w:val="22"/>
                <w:szCs w:val="22"/>
              </w:rPr>
              <w:t>Results</w:t>
            </w:r>
          </w:p>
        </w:tc>
      </w:tr>
      <w:tr w:rsidR="00E37D61" w:rsidRPr="003C501F" w14:paraId="6DCA6F37" w14:textId="77777777" w:rsidTr="00FC5A6B">
        <w:trPr>
          <w:cantSplit/>
          <w:jc w:val="center"/>
        </w:trPr>
        <w:tc>
          <w:tcPr>
            <w:tcW w:w="2227" w:type="dxa"/>
            <w:vMerge/>
            <w:tcBorders>
              <w:bottom w:val="single" w:sz="4" w:space="0" w:color="auto"/>
            </w:tcBorders>
          </w:tcPr>
          <w:p w14:paraId="713FD8AF" w14:textId="77777777" w:rsidR="00E37D61" w:rsidRDefault="00E37D61" w:rsidP="00FC5A6B">
            <w:pPr>
              <w:spacing w:before="120" w:after="120"/>
              <w:rPr>
                <w:sz w:val="22"/>
                <w:szCs w:val="22"/>
              </w:rPr>
            </w:pPr>
          </w:p>
        </w:tc>
        <w:tc>
          <w:tcPr>
            <w:tcW w:w="7946" w:type="dxa"/>
            <w:tcBorders>
              <w:bottom w:val="single" w:sz="4" w:space="0" w:color="auto"/>
            </w:tcBorders>
          </w:tcPr>
          <w:p w14:paraId="3968A7BD" w14:textId="77777777" w:rsidR="00E37D61" w:rsidRDefault="00E37D61" w:rsidP="00FC5A6B">
            <w:pPr>
              <w:spacing w:before="120" w:after="120"/>
              <w:rPr>
                <w:bCs/>
                <w:iCs/>
                <w:sz w:val="22"/>
                <w:szCs w:val="22"/>
                <w:u w:val="single"/>
              </w:rPr>
            </w:pPr>
            <w:r>
              <w:rPr>
                <w:bCs/>
                <w:iCs/>
                <w:sz w:val="22"/>
                <w:szCs w:val="22"/>
                <w:u w:val="single"/>
              </w:rPr>
              <w:t>Participants:</w:t>
            </w:r>
          </w:p>
          <w:p w14:paraId="7EF7C25E" w14:textId="77777777" w:rsidR="00E37D61" w:rsidRPr="00CB2703"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CB2703">
              <w:rPr>
                <w:color w:val="242424"/>
                <w:sz w:val="22"/>
                <w:szCs w:val="22"/>
                <w:bdr w:val="none" w:sz="0" w:space="0" w:color="auto" w:frame="1"/>
              </w:rPr>
              <w:t>Young Lee, Director</w:t>
            </w:r>
            <w:r w:rsidRPr="00CB2703">
              <w:rPr>
                <w:color w:val="242424"/>
                <w:sz w:val="22"/>
                <w:szCs w:val="22"/>
              </w:rPr>
              <w:t>, Office of Terrorist Financing and Financial Crime, Treasury Department </w:t>
            </w:r>
          </w:p>
          <w:p w14:paraId="01E87FA5" w14:textId="77777777" w:rsidR="00E37D61" w:rsidRPr="00CB2703" w:rsidRDefault="00E37D61" w:rsidP="00FC5A6B">
            <w:pPr>
              <w:pStyle w:val="xxmsonormal"/>
              <w:shd w:val="clear" w:color="auto" w:fill="FFFFFF"/>
              <w:spacing w:before="0" w:beforeAutospacing="0" w:after="0" w:afterAutospacing="0"/>
              <w:rPr>
                <w:color w:val="242424"/>
                <w:sz w:val="22"/>
                <w:szCs w:val="22"/>
                <w:bdr w:val="none" w:sz="0" w:space="0" w:color="auto" w:frame="1"/>
              </w:rPr>
            </w:pPr>
          </w:p>
          <w:p w14:paraId="4F759B35" w14:textId="77777777" w:rsidR="00E37D61" w:rsidRPr="00CB2703"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CB2703">
              <w:rPr>
                <w:color w:val="242424"/>
                <w:sz w:val="22"/>
                <w:szCs w:val="22"/>
                <w:bdr w:val="none" w:sz="0" w:space="0" w:color="auto" w:frame="1"/>
              </w:rPr>
              <w:t>Samuel Barnett, Policy Advisor, Office of Terrorist Financing and Financial Crime, Treasury Department</w:t>
            </w:r>
          </w:p>
          <w:p w14:paraId="6DD017EB" w14:textId="77777777" w:rsidR="00E37D61" w:rsidRDefault="00E37D61" w:rsidP="00FC5A6B">
            <w:pPr>
              <w:pStyle w:val="xxmsonormal"/>
              <w:shd w:val="clear" w:color="auto" w:fill="FFFFFF"/>
              <w:spacing w:before="0" w:beforeAutospacing="0" w:after="0" w:afterAutospacing="0"/>
              <w:rPr>
                <w:rFonts w:ascii="Calibri" w:hAnsi="Calibri" w:cs="Calibri"/>
                <w:color w:val="242424"/>
                <w:sz w:val="22"/>
                <w:szCs w:val="22"/>
              </w:rPr>
            </w:pPr>
          </w:p>
          <w:p w14:paraId="63329724"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Pr>
                <w:color w:val="242424"/>
                <w:sz w:val="22"/>
                <w:szCs w:val="22"/>
                <w:bdr w:val="none" w:sz="0" w:space="0" w:color="auto" w:frame="1"/>
              </w:rPr>
              <w:t>Linda Otani McKinney, Deputy Associate Director, Office of International Affairs, Justice Department</w:t>
            </w:r>
          </w:p>
          <w:p w14:paraId="26DD3B30" w14:textId="77777777" w:rsidR="00E37D61" w:rsidRDefault="00E37D61" w:rsidP="00FC5A6B">
            <w:pPr>
              <w:pStyle w:val="x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w:t>
            </w:r>
          </w:p>
          <w:p w14:paraId="103464A0" w14:textId="051BAE58" w:rsidR="00E37D61" w:rsidRDefault="00E37D61" w:rsidP="00FC5A6B">
            <w:pPr>
              <w:pStyle w:val="x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xml:space="preserve">Amy </w:t>
            </w:r>
            <w:r w:rsidR="0098022B">
              <w:rPr>
                <w:color w:val="242424"/>
                <w:sz w:val="22"/>
                <w:szCs w:val="22"/>
                <w:bdr w:val="none" w:sz="0" w:space="0" w:color="auto" w:frame="1"/>
              </w:rPr>
              <w:t>Granger, Attorney</w:t>
            </w:r>
            <w:r>
              <w:rPr>
                <w:color w:val="242424"/>
                <w:sz w:val="22"/>
                <w:szCs w:val="22"/>
                <w:bdr w:val="none" w:sz="0" w:space="0" w:color="auto" w:frame="1"/>
              </w:rPr>
              <w:t>/Adviser, Office of the Legal Adviser, State Department</w:t>
            </w:r>
          </w:p>
          <w:p w14:paraId="45050CD7" w14:textId="77777777" w:rsidR="00E37D61" w:rsidRPr="003C501F" w:rsidRDefault="00E37D61" w:rsidP="00FC5A6B">
            <w:pPr>
              <w:spacing w:before="120" w:after="120"/>
              <w:jc w:val="both"/>
              <w:rPr>
                <w:sz w:val="22"/>
                <w:szCs w:val="22"/>
              </w:rPr>
            </w:pPr>
          </w:p>
        </w:tc>
      </w:tr>
      <w:tr w:rsidR="00E37D61" w14:paraId="4F90A4A5" w14:textId="77777777" w:rsidTr="00FC5A6B">
        <w:trPr>
          <w:jc w:val="center"/>
        </w:trPr>
        <w:tc>
          <w:tcPr>
            <w:tcW w:w="2227" w:type="dxa"/>
            <w:shd w:val="clear" w:color="auto" w:fill="D9D9D9"/>
          </w:tcPr>
          <w:p w14:paraId="0A198C64" w14:textId="77777777" w:rsidR="00E37D61" w:rsidRDefault="00E37D61" w:rsidP="00FC5A6B">
            <w:pPr>
              <w:spacing w:before="120" w:after="120"/>
              <w:jc w:val="right"/>
              <w:rPr>
                <w:sz w:val="22"/>
                <w:szCs w:val="22"/>
              </w:rPr>
            </w:pPr>
            <w:r>
              <w:rPr>
                <w:sz w:val="22"/>
                <w:szCs w:val="22"/>
              </w:rPr>
              <w:t>16:30 hrs. – 17:00 hrs.</w:t>
            </w:r>
          </w:p>
        </w:tc>
        <w:tc>
          <w:tcPr>
            <w:tcW w:w="7946" w:type="dxa"/>
            <w:shd w:val="clear" w:color="auto" w:fill="D9D9D9"/>
          </w:tcPr>
          <w:p w14:paraId="112B921A" w14:textId="77777777" w:rsidR="00E37D61" w:rsidRDefault="00E37D61" w:rsidP="00FC5A6B">
            <w:pPr>
              <w:spacing w:before="120" w:after="120"/>
              <w:jc w:val="both"/>
              <w:rPr>
                <w:sz w:val="22"/>
                <w:szCs w:val="22"/>
              </w:rPr>
            </w:pPr>
            <w:r>
              <w:rPr>
                <w:b/>
                <w:sz w:val="22"/>
                <w:szCs w:val="22"/>
              </w:rPr>
              <w:t>Informal meeting</w:t>
            </w:r>
            <w:r>
              <w:rPr>
                <w:sz w:val="22"/>
                <w:szCs w:val="22"/>
              </w:rPr>
              <w:t xml:space="preserve"> </w:t>
            </w:r>
            <w:r>
              <w:rPr>
                <w:sz w:val="22"/>
                <w:szCs w:val="20"/>
              </w:rPr>
              <w:t>between the representatives of the member states of the subgroup and the Technical Secretariat</w:t>
            </w:r>
            <w:r>
              <w:rPr>
                <w:i/>
                <w:sz w:val="22"/>
                <w:szCs w:val="22"/>
              </w:rPr>
              <w:t>.</w:t>
            </w:r>
          </w:p>
        </w:tc>
      </w:tr>
      <w:tr w:rsidR="00E37D61" w14:paraId="291437A8" w14:textId="77777777" w:rsidTr="00FC5A6B">
        <w:trPr>
          <w:jc w:val="center"/>
        </w:trPr>
        <w:tc>
          <w:tcPr>
            <w:tcW w:w="10173" w:type="dxa"/>
            <w:gridSpan w:val="2"/>
            <w:tcBorders>
              <w:bottom w:val="single" w:sz="4" w:space="0" w:color="auto"/>
            </w:tcBorders>
          </w:tcPr>
          <w:p w14:paraId="7B09266E" w14:textId="77777777" w:rsidR="00E37D61" w:rsidRDefault="00E37D61" w:rsidP="00FC5A6B">
            <w:pPr>
              <w:spacing w:before="120" w:after="120"/>
              <w:jc w:val="both"/>
              <w:rPr>
                <w:b/>
                <w:sz w:val="22"/>
                <w:szCs w:val="22"/>
                <w:u w:val="single"/>
              </w:rPr>
            </w:pPr>
            <w:r>
              <w:rPr>
                <w:b/>
                <w:sz w:val="22"/>
                <w:szCs w:val="22"/>
                <w:u w:val="single"/>
              </w:rPr>
              <w:t>Thursday, October 19, 2023</w:t>
            </w:r>
          </w:p>
        </w:tc>
      </w:tr>
      <w:tr w:rsidR="00E37D61" w:rsidRPr="00E818A2" w14:paraId="38CBF4D9" w14:textId="77777777" w:rsidTr="00FC5A6B">
        <w:trPr>
          <w:jc w:val="center"/>
        </w:trPr>
        <w:tc>
          <w:tcPr>
            <w:tcW w:w="2227" w:type="dxa"/>
            <w:shd w:val="clear" w:color="auto" w:fill="D9D9D9"/>
          </w:tcPr>
          <w:p w14:paraId="07A7FEE0" w14:textId="77777777" w:rsidR="00E37D61" w:rsidRDefault="00E37D61" w:rsidP="00FC5A6B">
            <w:pPr>
              <w:spacing w:before="120" w:after="120"/>
              <w:rPr>
                <w:sz w:val="22"/>
                <w:szCs w:val="22"/>
              </w:rPr>
            </w:pPr>
            <w:r>
              <w:rPr>
                <w:sz w:val="22"/>
                <w:szCs w:val="22"/>
              </w:rPr>
              <w:t>9:00 hrs. – 12:00 hrs.</w:t>
            </w:r>
          </w:p>
          <w:p w14:paraId="52E99EDB" w14:textId="77777777" w:rsidR="00E37D61" w:rsidRPr="00687E6C" w:rsidRDefault="00E37D61" w:rsidP="00FC5A6B">
            <w:pPr>
              <w:spacing w:before="120" w:after="120"/>
              <w:rPr>
                <w:sz w:val="22"/>
                <w:szCs w:val="22"/>
              </w:rPr>
            </w:pPr>
            <w:r>
              <w:rPr>
                <w:b/>
                <w:sz w:val="22"/>
                <w:szCs w:val="20"/>
              </w:rPr>
              <w:t>OAS Headquarters, Gabriela Mistral Room, 1889 F Street</w:t>
            </w:r>
          </w:p>
        </w:tc>
        <w:tc>
          <w:tcPr>
            <w:tcW w:w="7946" w:type="dxa"/>
            <w:shd w:val="clear" w:color="auto" w:fill="D9D9D9"/>
            <w:vAlign w:val="center"/>
          </w:tcPr>
          <w:p w14:paraId="67801C56" w14:textId="77777777" w:rsidR="00E37D61" w:rsidRPr="00E818A2" w:rsidRDefault="00E37D61" w:rsidP="00FC5A6B">
            <w:pPr>
              <w:spacing w:before="120" w:after="120"/>
              <w:rPr>
                <w:b/>
                <w:sz w:val="22"/>
                <w:szCs w:val="22"/>
              </w:rPr>
            </w:pPr>
            <w:r>
              <w:rPr>
                <w:b/>
                <w:sz w:val="22"/>
                <w:szCs w:val="22"/>
              </w:rPr>
              <w:t>Panel 2: Denial of Tax Benefits</w:t>
            </w:r>
          </w:p>
        </w:tc>
      </w:tr>
      <w:tr w:rsidR="00E37D61" w:rsidRPr="00AF6691" w14:paraId="5FB4D40E" w14:textId="77777777" w:rsidTr="00FC5A6B">
        <w:trPr>
          <w:cantSplit/>
          <w:jc w:val="center"/>
        </w:trPr>
        <w:tc>
          <w:tcPr>
            <w:tcW w:w="2227" w:type="dxa"/>
            <w:vMerge w:val="restart"/>
          </w:tcPr>
          <w:p w14:paraId="037CE800" w14:textId="77777777" w:rsidR="00E37D61" w:rsidRDefault="00E37D61" w:rsidP="00FC5A6B">
            <w:pPr>
              <w:spacing w:before="120" w:after="120"/>
              <w:rPr>
                <w:sz w:val="22"/>
                <w:szCs w:val="22"/>
              </w:rPr>
            </w:pPr>
          </w:p>
        </w:tc>
        <w:tc>
          <w:tcPr>
            <w:tcW w:w="7946" w:type="dxa"/>
          </w:tcPr>
          <w:p w14:paraId="69DD0032" w14:textId="77777777" w:rsidR="00E37D61" w:rsidRPr="0098022B" w:rsidRDefault="00E37D61">
            <w:pPr>
              <w:numPr>
                <w:ilvl w:val="0"/>
                <w:numId w:val="14"/>
              </w:numPr>
              <w:tabs>
                <w:tab w:val="clear" w:pos="720"/>
                <w:tab w:val="num" w:pos="473"/>
              </w:tabs>
              <w:spacing w:before="120" w:after="120"/>
              <w:ind w:left="473"/>
              <w:jc w:val="both"/>
              <w:rPr>
                <w:b/>
                <w:sz w:val="22"/>
                <w:szCs w:val="22"/>
              </w:rPr>
            </w:pPr>
            <w:r w:rsidRPr="0098022B">
              <w:rPr>
                <w:b/>
                <w:sz w:val="22"/>
                <w:szCs w:val="22"/>
              </w:rPr>
              <w:t>Requests</w:t>
            </w:r>
            <w:r w:rsidRPr="0098022B">
              <w:rPr>
                <w:b/>
                <w:bCs/>
                <w:sz w:val="22"/>
                <w:szCs w:val="22"/>
              </w:rPr>
              <w:t xml:space="preserve"> for Information</w:t>
            </w:r>
          </w:p>
          <w:p w14:paraId="5E5D60D8" w14:textId="77777777" w:rsidR="00E37D61" w:rsidRPr="0098022B" w:rsidRDefault="00E37D61">
            <w:pPr>
              <w:numPr>
                <w:ilvl w:val="0"/>
                <w:numId w:val="14"/>
              </w:numPr>
              <w:tabs>
                <w:tab w:val="clear" w:pos="720"/>
                <w:tab w:val="num" w:pos="473"/>
              </w:tabs>
              <w:spacing w:before="120" w:after="120"/>
              <w:ind w:left="473"/>
              <w:jc w:val="both"/>
              <w:rPr>
                <w:b/>
                <w:sz w:val="22"/>
                <w:szCs w:val="22"/>
              </w:rPr>
            </w:pPr>
            <w:r w:rsidRPr="0098022B">
              <w:rPr>
                <w:b/>
                <w:sz w:val="22"/>
                <w:szCs w:val="22"/>
              </w:rPr>
              <w:t>Computer Programs</w:t>
            </w:r>
          </w:p>
          <w:p w14:paraId="3F5920C6" w14:textId="77777777" w:rsidR="00E37D61" w:rsidRPr="0098022B" w:rsidRDefault="00E37D61">
            <w:pPr>
              <w:numPr>
                <w:ilvl w:val="0"/>
                <w:numId w:val="14"/>
              </w:numPr>
              <w:tabs>
                <w:tab w:val="clear" w:pos="720"/>
                <w:tab w:val="num" w:pos="473"/>
              </w:tabs>
              <w:spacing w:before="120" w:after="120"/>
              <w:ind w:left="473"/>
              <w:jc w:val="both"/>
              <w:rPr>
                <w:b/>
                <w:sz w:val="22"/>
                <w:szCs w:val="22"/>
              </w:rPr>
            </w:pPr>
            <w:r w:rsidRPr="0098022B">
              <w:rPr>
                <w:b/>
                <w:sz w:val="22"/>
                <w:szCs w:val="22"/>
              </w:rPr>
              <w:t>Institutional Coordination</w:t>
            </w:r>
          </w:p>
          <w:p w14:paraId="594B31C2" w14:textId="77777777" w:rsidR="00E37D61" w:rsidRPr="0098022B" w:rsidRDefault="00E37D61">
            <w:pPr>
              <w:numPr>
                <w:ilvl w:val="0"/>
                <w:numId w:val="14"/>
              </w:numPr>
              <w:tabs>
                <w:tab w:val="clear" w:pos="720"/>
                <w:tab w:val="num" w:pos="473"/>
              </w:tabs>
              <w:spacing w:before="120" w:after="120"/>
              <w:ind w:left="473"/>
              <w:jc w:val="both"/>
              <w:rPr>
                <w:b/>
                <w:sz w:val="22"/>
                <w:szCs w:val="22"/>
              </w:rPr>
            </w:pPr>
            <w:r w:rsidRPr="0098022B">
              <w:rPr>
                <w:b/>
                <w:sz w:val="22"/>
                <w:szCs w:val="22"/>
              </w:rPr>
              <w:t>Training Programs</w:t>
            </w:r>
          </w:p>
          <w:p w14:paraId="34C0B38C" w14:textId="77777777" w:rsidR="00E37D61" w:rsidRPr="0098022B" w:rsidRDefault="00E37D61">
            <w:pPr>
              <w:numPr>
                <w:ilvl w:val="0"/>
                <w:numId w:val="14"/>
              </w:numPr>
              <w:tabs>
                <w:tab w:val="clear" w:pos="720"/>
                <w:tab w:val="num" w:pos="473"/>
              </w:tabs>
              <w:spacing w:before="120" w:after="120"/>
              <w:ind w:left="473"/>
              <w:jc w:val="both"/>
              <w:rPr>
                <w:b/>
                <w:sz w:val="22"/>
                <w:szCs w:val="22"/>
              </w:rPr>
            </w:pPr>
            <w:r w:rsidRPr="0098022B">
              <w:rPr>
                <w:b/>
                <w:sz w:val="22"/>
                <w:szCs w:val="22"/>
              </w:rPr>
              <w:t>Procedures and Indicators</w:t>
            </w:r>
          </w:p>
        </w:tc>
      </w:tr>
      <w:tr w:rsidR="00E37D61" w:rsidRPr="007E54C0" w14:paraId="370E2543" w14:textId="77777777" w:rsidTr="00FC5A6B">
        <w:trPr>
          <w:cantSplit/>
          <w:jc w:val="center"/>
        </w:trPr>
        <w:tc>
          <w:tcPr>
            <w:tcW w:w="2227" w:type="dxa"/>
            <w:vMerge/>
            <w:tcBorders>
              <w:bottom w:val="single" w:sz="4" w:space="0" w:color="auto"/>
            </w:tcBorders>
          </w:tcPr>
          <w:p w14:paraId="373800E4" w14:textId="77777777" w:rsidR="00E37D61" w:rsidRDefault="00E37D61" w:rsidP="00FC5A6B">
            <w:pPr>
              <w:spacing w:before="120" w:after="120"/>
              <w:rPr>
                <w:sz w:val="22"/>
                <w:szCs w:val="22"/>
              </w:rPr>
            </w:pPr>
          </w:p>
        </w:tc>
        <w:tc>
          <w:tcPr>
            <w:tcW w:w="7946" w:type="dxa"/>
            <w:tcBorders>
              <w:bottom w:val="single" w:sz="4" w:space="0" w:color="auto"/>
            </w:tcBorders>
          </w:tcPr>
          <w:p w14:paraId="7A870291" w14:textId="77777777" w:rsidR="00E37D61" w:rsidRPr="0098022B" w:rsidRDefault="00E37D61" w:rsidP="00FC5A6B">
            <w:pPr>
              <w:spacing w:before="120" w:after="120"/>
              <w:rPr>
                <w:bCs/>
                <w:iCs/>
                <w:sz w:val="22"/>
                <w:szCs w:val="22"/>
              </w:rPr>
            </w:pPr>
            <w:r w:rsidRPr="0098022B">
              <w:rPr>
                <w:bCs/>
                <w:iCs/>
                <w:sz w:val="22"/>
                <w:szCs w:val="22"/>
                <w:u w:val="single"/>
              </w:rPr>
              <w:t>Participants:</w:t>
            </w:r>
            <w:r w:rsidRPr="0098022B">
              <w:rPr>
                <w:bCs/>
                <w:iCs/>
                <w:sz w:val="22"/>
                <w:szCs w:val="22"/>
              </w:rPr>
              <w:t xml:space="preserve"> </w:t>
            </w:r>
          </w:p>
          <w:p w14:paraId="287A696A" w14:textId="77777777" w:rsidR="00E37D61" w:rsidRPr="00FB30F4" w:rsidRDefault="00E37D61" w:rsidP="00FC5A6B">
            <w:pPr>
              <w:pStyle w:val="xxmsonormal"/>
              <w:shd w:val="clear" w:color="auto" w:fill="FFFFFF"/>
              <w:spacing w:before="0" w:beforeAutospacing="0" w:after="0" w:afterAutospacing="0"/>
              <w:rPr>
                <w:color w:val="242424"/>
                <w:sz w:val="22"/>
                <w:szCs w:val="22"/>
                <w:bdr w:val="none" w:sz="0" w:space="0" w:color="auto" w:frame="1"/>
                <w:lang w:val="fr-CA"/>
              </w:rPr>
            </w:pPr>
            <w:proofErr w:type="spellStart"/>
            <w:r w:rsidRPr="00FB30F4">
              <w:rPr>
                <w:color w:val="242424"/>
                <w:sz w:val="22"/>
                <w:szCs w:val="22"/>
                <w:bdr w:val="none" w:sz="0" w:space="0" w:color="auto" w:frame="1"/>
                <w:lang w:val="fr-CA"/>
              </w:rPr>
              <w:t>Wazirah</w:t>
            </w:r>
            <w:proofErr w:type="spellEnd"/>
            <w:r w:rsidRPr="00FB30F4">
              <w:rPr>
                <w:color w:val="242424"/>
                <w:sz w:val="22"/>
                <w:szCs w:val="22"/>
                <w:bdr w:val="none" w:sz="0" w:space="0" w:color="auto" w:frame="1"/>
                <w:lang w:val="fr-CA"/>
              </w:rPr>
              <w:t xml:space="preserve"> Allen, International Liaison, IRS Criminal Investigation, </w:t>
            </w:r>
            <w:proofErr w:type="spellStart"/>
            <w:r w:rsidRPr="00FB30F4">
              <w:rPr>
                <w:color w:val="242424"/>
                <w:sz w:val="22"/>
                <w:szCs w:val="22"/>
                <w:bdr w:val="none" w:sz="0" w:space="0" w:color="auto" w:frame="1"/>
                <w:lang w:val="fr-CA"/>
              </w:rPr>
              <w:t>Internal</w:t>
            </w:r>
            <w:proofErr w:type="spellEnd"/>
            <w:r w:rsidRPr="00FB30F4">
              <w:rPr>
                <w:color w:val="242424"/>
                <w:sz w:val="22"/>
                <w:szCs w:val="22"/>
                <w:bdr w:val="none" w:sz="0" w:space="0" w:color="auto" w:frame="1"/>
                <w:lang w:val="fr-CA"/>
              </w:rPr>
              <w:t xml:space="preserve"> Revenue Service</w:t>
            </w:r>
          </w:p>
          <w:p w14:paraId="7B2AE132" w14:textId="77777777" w:rsidR="00E37D61" w:rsidRPr="00FB30F4" w:rsidRDefault="00E37D61" w:rsidP="00FC5A6B">
            <w:pPr>
              <w:pStyle w:val="xxmsonormal"/>
              <w:shd w:val="clear" w:color="auto" w:fill="FFFFFF"/>
              <w:spacing w:before="0" w:beforeAutospacing="0" w:after="0" w:afterAutospacing="0"/>
              <w:rPr>
                <w:sz w:val="22"/>
                <w:szCs w:val="22"/>
                <w:lang w:val="fr-CA"/>
              </w:rPr>
            </w:pPr>
          </w:p>
        </w:tc>
      </w:tr>
      <w:tr w:rsidR="00E37D61" w14:paraId="115F68A0" w14:textId="77777777" w:rsidTr="00FC5A6B">
        <w:trPr>
          <w:jc w:val="center"/>
        </w:trPr>
        <w:tc>
          <w:tcPr>
            <w:tcW w:w="2227" w:type="dxa"/>
            <w:tcBorders>
              <w:bottom w:val="single" w:sz="4" w:space="0" w:color="auto"/>
            </w:tcBorders>
          </w:tcPr>
          <w:p w14:paraId="34B85CF9" w14:textId="77777777" w:rsidR="00E37D61" w:rsidRDefault="00E37D61" w:rsidP="00FC5A6B">
            <w:pPr>
              <w:spacing w:before="120" w:after="120"/>
              <w:rPr>
                <w:sz w:val="22"/>
                <w:szCs w:val="22"/>
              </w:rPr>
            </w:pPr>
            <w:r>
              <w:rPr>
                <w:sz w:val="22"/>
                <w:szCs w:val="22"/>
              </w:rPr>
              <w:t xml:space="preserve">12:00 hrs. – 14:00 hrs. </w:t>
            </w:r>
          </w:p>
        </w:tc>
        <w:tc>
          <w:tcPr>
            <w:tcW w:w="7946" w:type="dxa"/>
            <w:tcBorders>
              <w:bottom w:val="single" w:sz="4" w:space="0" w:color="auto"/>
            </w:tcBorders>
          </w:tcPr>
          <w:p w14:paraId="1FD389EF" w14:textId="77777777" w:rsidR="00E37D61" w:rsidRDefault="00E37D61" w:rsidP="00FC5A6B">
            <w:pPr>
              <w:spacing w:before="120" w:after="120"/>
              <w:rPr>
                <w:sz w:val="22"/>
                <w:szCs w:val="22"/>
              </w:rPr>
            </w:pPr>
            <w:r>
              <w:rPr>
                <w:b/>
                <w:sz w:val="22"/>
                <w:szCs w:val="22"/>
              </w:rPr>
              <w:t>Lunch</w:t>
            </w:r>
          </w:p>
        </w:tc>
      </w:tr>
      <w:tr w:rsidR="00E37D61" w14:paraId="005CC9CE" w14:textId="77777777" w:rsidTr="00FC5A6B">
        <w:trPr>
          <w:jc w:val="center"/>
        </w:trPr>
        <w:tc>
          <w:tcPr>
            <w:tcW w:w="2227" w:type="dxa"/>
            <w:shd w:val="clear" w:color="auto" w:fill="D9D9D9"/>
          </w:tcPr>
          <w:p w14:paraId="143D6A97" w14:textId="77777777" w:rsidR="00E37D61" w:rsidRDefault="00E37D61" w:rsidP="00FC5A6B">
            <w:pPr>
              <w:spacing w:before="120" w:after="120"/>
              <w:rPr>
                <w:sz w:val="22"/>
                <w:szCs w:val="22"/>
              </w:rPr>
            </w:pPr>
            <w:r>
              <w:rPr>
                <w:sz w:val="22"/>
                <w:szCs w:val="22"/>
              </w:rPr>
              <w:t>14:00 hrs. – 17:00 hrs.</w:t>
            </w:r>
          </w:p>
          <w:p w14:paraId="132ED9A2" w14:textId="77777777" w:rsidR="00E37D61" w:rsidRPr="00687E6C" w:rsidRDefault="00E37D61" w:rsidP="00FC5A6B">
            <w:pPr>
              <w:spacing w:before="120" w:after="120"/>
              <w:rPr>
                <w:sz w:val="22"/>
                <w:szCs w:val="22"/>
              </w:rPr>
            </w:pPr>
            <w:r>
              <w:rPr>
                <w:b/>
                <w:sz w:val="22"/>
                <w:szCs w:val="20"/>
              </w:rPr>
              <w:t>OAS Headquarters, Gabriela Mistral Room, 1889 F Street</w:t>
            </w:r>
          </w:p>
        </w:tc>
        <w:tc>
          <w:tcPr>
            <w:tcW w:w="7946" w:type="dxa"/>
            <w:shd w:val="clear" w:color="auto" w:fill="D9D9D9"/>
            <w:vAlign w:val="center"/>
          </w:tcPr>
          <w:p w14:paraId="075FC6DD" w14:textId="77777777" w:rsidR="00E37D61" w:rsidRDefault="00E37D61" w:rsidP="00FC5A6B">
            <w:pPr>
              <w:spacing w:before="120" w:after="120"/>
              <w:rPr>
                <w:sz w:val="22"/>
                <w:szCs w:val="22"/>
              </w:rPr>
            </w:pPr>
            <w:r>
              <w:rPr>
                <w:b/>
                <w:sz w:val="22"/>
                <w:szCs w:val="22"/>
              </w:rPr>
              <w:t>Panel 3: Illicit Enrichment/Extradition</w:t>
            </w:r>
          </w:p>
        </w:tc>
      </w:tr>
      <w:tr w:rsidR="00E37D61" w:rsidRPr="002D52FD" w14:paraId="596C8189" w14:textId="77777777" w:rsidTr="00FC5A6B">
        <w:trPr>
          <w:cantSplit/>
          <w:jc w:val="center"/>
        </w:trPr>
        <w:tc>
          <w:tcPr>
            <w:tcW w:w="2227" w:type="dxa"/>
            <w:vMerge w:val="restart"/>
          </w:tcPr>
          <w:p w14:paraId="02B69C30" w14:textId="77777777" w:rsidR="00E37D61" w:rsidRDefault="00E37D61" w:rsidP="00FC5A6B">
            <w:pPr>
              <w:spacing w:before="120" w:after="120"/>
              <w:rPr>
                <w:sz w:val="22"/>
                <w:szCs w:val="22"/>
              </w:rPr>
            </w:pPr>
          </w:p>
        </w:tc>
        <w:tc>
          <w:tcPr>
            <w:tcW w:w="7946" w:type="dxa"/>
          </w:tcPr>
          <w:p w14:paraId="32928155" w14:textId="77777777" w:rsidR="00E37D61" w:rsidRDefault="00E37D61">
            <w:pPr>
              <w:numPr>
                <w:ilvl w:val="0"/>
                <w:numId w:val="14"/>
              </w:numPr>
              <w:tabs>
                <w:tab w:val="clear" w:pos="720"/>
                <w:tab w:val="num" w:pos="473"/>
              </w:tabs>
              <w:spacing w:before="120" w:after="120"/>
              <w:ind w:left="473"/>
              <w:jc w:val="both"/>
              <w:rPr>
                <w:b/>
                <w:bCs/>
                <w:sz w:val="22"/>
                <w:szCs w:val="22"/>
              </w:rPr>
            </w:pPr>
            <w:r>
              <w:rPr>
                <w:b/>
                <w:bCs/>
                <w:sz w:val="22"/>
                <w:szCs w:val="22"/>
              </w:rPr>
              <w:t>Illicit Enrichment</w:t>
            </w:r>
          </w:p>
          <w:p w14:paraId="39785BF4" w14:textId="77777777" w:rsidR="00E37D61" w:rsidRPr="002D52FD" w:rsidRDefault="00E37D61">
            <w:pPr>
              <w:numPr>
                <w:ilvl w:val="0"/>
                <w:numId w:val="14"/>
              </w:numPr>
              <w:tabs>
                <w:tab w:val="clear" w:pos="720"/>
                <w:tab w:val="num" w:pos="473"/>
              </w:tabs>
              <w:spacing w:before="120" w:after="120"/>
              <w:ind w:left="473"/>
              <w:jc w:val="both"/>
              <w:rPr>
                <w:b/>
                <w:sz w:val="22"/>
                <w:szCs w:val="22"/>
              </w:rPr>
            </w:pPr>
            <w:r>
              <w:rPr>
                <w:b/>
                <w:bCs/>
                <w:sz w:val="22"/>
                <w:szCs w:val="22"/>
              </w:rPr>
              <w:t>Extradition</w:t>
            </w:r>
          </w:p>
        </w:tc>
      </w:tr>
      <w:tr w:rsidR="00E37D61" w:rsidRPr="00B84885" w14:paraId="1C7296CF" w14:textId="77777777" w:rsidTr="00FC5A6B">
        <w:trPr>
          <w:cantSplit/>
          <w:jc w:val="center"/>
        </w:trPr>
        <w:tc>
          <w:tcPr>
            <w:tcW w:w="2227" w:type="dxa"/>
            <w:vMerge/>
            <w:tcBorders>
              <w:bottom w:val="single" w:sz="4" w:space="0" w:color="auto"/>
            </w:tcBorders>
          </w:tcPr>
          <w:p w14:paraId="32B2377E" w14:textId="77777777" w:rsidR="00E37D61" w:rsidRDefault="00E37D61" w:rsidP="00FC5A6B">
            <w:pPr>
              <w:spacing w:before="120" w:after="120"/>
              <w:rPr>
                <w:sz w:val="22"/>
                <w:szCs w:val="22"/>
              </w:rPr>
            </w:pPr>
          </w:p>
        </w:tc>
        <w:tc>
          <w:tcPr>
            <w:tcW w:w="7946" w:type="dxa"/>
            <w:tcBorders>
              <w:bottom w:val="single" w:sz="4" w:space="0" w:color="auto"/>
            </w:tcBorders>
          </w:tcPr>
          <w:p w14:paraId="7A07A4A0" w14:textId="77777777" w:rsidR="00E37D61" w:rsidRDefault="00E37D61" w:rsidP="00FC5A6B">
            <w:pPr>
              <w:spacing w:before="120" w:after="120"/>
              <w:rPr>
                <w:bCs/>
                <w:iCs/>
                <w:sz w:val="22"/>
                <w:szCs w:val="22"/>
              </w:rPr>
            </w:pPr>
            <w:r>
              <w:rPr>
                <w:bCs/>
                <w:iCs/>
                <w:sz w:val="22"/>
                <w:szCs w:val="22"/>
                <w:u w:val="single"/>
              </w:rPr>
              <w:t>Participants:</w:t>
            </w:r>
            <w:r>
              <w:rPr>
                <w:bCs/>
                <w:iCs/>
                <w:sz w:val="22"/>
                <w:szCs w:val="22"/>
              </w:rPr>
              <w:t xml:space="preserve"> </w:t>
            </w:r>
          </w:p>
          <w:p w14:paraId="124395C0" w14:textId="77777777" w:rsidR="00E37D61" w:rsidRDefault="00E37D61" w:rsidP="00FC5A6B">
            <w:pPr>
              <w:pStyle w:val="xxmsonormal"/>
              <w:shd w:val="clear" w:color="auto" w:fill="FFFFFF"/>
              <w:spacing w:before="0" w:beforeAutospacing="0" w:after="0" w:afterAutospacing="0"/>
              <w:rPr>
                <w:color w:val="242424"/>
                <w:sz w:val="22"/>
                <w:szCs w:val="22"/>
                <w:bdr w:val="none" w:sz="0" w:space="0" w:color="auto" w:frame="1"/>
              </w:rPr>
            </w:pPr>
            <w:r>
              <w:rPr>
                <w:color w:val="242424"/>
                <w:sz w:val="22"/>
                <w:szCs w:val="22"/>
                <w:bdr w:val="none" w:sz="0" w:space="0" w:color="auto" w:frame="1"/>
              </w:rPr>
              <w:t>Linda Otani McKinney, Deputy Associate Director, Office of International Affairs, Justice Department </w:t>
            </w:r>
          </w:p>
          <w:p w14:paraId="45D49162" w14:textId="77777777" w:rsidR="00E37D61" w:rsidRDefault="00E37D61" w:rsidP="00FC5A6B">
            <w:pPr>
              <w:pStyle w:val="xxmsonormal"/>
              <w:shd w:val="clear" w:color="auto" w:fill="FFFFFF"/>
              <w:spacing w:before="0" w:beforeAutospacing="0" w:after="0" w:afterAutospacing="0"/>
              <w:rPr>
                <w:rFonts w:ascii="Calibri" w:hAnsi="Calibri" w:cs="Calibri"/>
                <w:color w:val="242424"/>
                <w:sz w:val="22"/>
                <w:szCs w:val="22"/>
              </w:rPr>
            </w:pPr>
          </w:p>
          <w:p w14:paraId="06DA4402" w14:textId="4C170D3A" w:rsidR="00E37D61" w:rsidRDefault="00E37D61" w:rsidP="00FC5A6B">
            <w:pPr>
              <w:pStyle w:val="xxmsonormal"/>
              <w:shd w:val="clear" w:color="auto" w:fill="FFFFFF"/>
              <w:spacing w:before="0" w:beforeAutospacing="0" w:after="0" w:afterAutospacing="0"/>
              <w:rPr>
                <w:rFonts w:ascii="Calibri" w:hAnsi="Calibri" w:cs="Calibri"/>
                <w:color w:val="242424"/>
                <w:sz w:val="22"/>
                <w:szCs w:val="22"/>
              </w:rPr>
            </w:pPr>
            <w:r>
              <w:rPr>
                <w:color w:val="242424"/>
                <w:sz w:val="22"/>
                <w:szCs w:val="22"/>
                <w:bdr w:val="none" w:sz="0" w:space="0" w:color="auto" w:frame="1"/>
              </w:rPr>
              <w:t xml:space="preserve">Amy </w:t>
            </w:r>
            <w:r w:rsidR="00372439">
              <w:rPr>
                <w:color w:val="242424"/>
                <w:sz w:val="22"/>
                <w:szCs w:val="22"/>
                <w:bdr w:val="none" w:sz="0" w:space="0" w:color="auto" w:frame="1"/>
              </w:rPr>
              <w:t>Granger, Attorney</w:t>
            </w:r>
            <w:r>
              <w:rPr>
                <w:color w:val="242424"/>
                <w:sz w:val="22"/>
                <w:szCs w:val="22"/>
                <w:bdr w:val="none" w:sz="0" w:space="0" w:color="auto" w:frame="1"/>
              </w:rPr>
              <w:t>/Adviser, Office of the Legal Adviser, State Department</w:t>
            </w:r>
          </w:p>
          <w:p w14:paraId="7E6FA750" w14:textId="77777777" w:rsidR="00E37D61" w:rsidRPr="00B84885" w:rsidRDefault="00E37D61" w:rsidP="00FC5A6B"/>
        </w:tc>
      </w:tr>
      <w:tr w:rsidR="00E37D61" w14:paraId="5776A5AF" w14:textId="77777777" w:rsidTr="00FC5A6B">
        <w:trPr>
          <w:jc w:val="center"/>
        </w:trPr>
        <w:tc>
          <w:tcPr>
            <w:tcW w:w="2227" w:type="dxa"/>
            <w:shd w:val="clear" w:color="auto" w:fill="D9D9D9"/>
          </w:tcPr>
          <w:p w14:paraId="73104881" w14:textId="77777777" w:rsidR="00E37D61" w:rsidRDefault="00E37D61" w:rsidP="00FC5A6B">
            <w:pPr>
              <w:spacing w:before="120" w:after="120"/>
              <w:rPr>
                <w:sz w:val="22"/>
                <w:szCs w:val="22"/>
              </w:rPr>
            </w:pPr>
            <w:r>
              <w:rPr>
                <w:sz w:val="22"/>
                <w:szCs w:val="22"/>
              </w:rPr>
              <w:t>17:00 hrs. – 17:30 hrs.</w:t>
            </w:r>
          </w:p>
        </w:tc>
        <w:tc>
          <w:tcPr>
            <w:tcW w:w="7946" w:type="dxa"/>
            <w:shd w:val="clear" w:color="auto" w:fill="D9D9D9"/>
          </w:tcPr>
          <w:p w14:paraId="52BA7DBD" w14:textId="77777777" w:rsidR="00E37D61" w:rsidRDefault="00E37D61" w:rsidP="00FC5A6B">
            <w:pPr>
              <w:spacing w:before="120" w:after="120"/>
              <w:jc w:val="both"/>
              <w:rPr>
                <w:iCs/>
                <w:sz w:val="22"/>
                <w:szCs w:val="22"/>
              </w:rPr>
            </w:pPr>
            <w:r>
              <w:rPr>
                <w:b/>
                <w:sz w:val="22"/>
                <w:szCs w:val="20"/>
              </w:rPr>
              <w:t>Informal meeting</w:t>
            </w:r>
            <w:r>
              <w:rPr>
                <w:sz w:val="22"/>
                <w:szCs w:val="20"/>
              </w:rPr>
              <w:t xml:space="preserve"> between the representatives of the member states of the subgroup and the Technical Secretariat</w:t>
            </w:r>
            <w:r>
              <w:rPr>
                <w:i/>
                <w:sz w:val="22"/>
                <w:szCs w:val="22"/>
              </w:rPr>
              <w:t>.</w:t>
            </w:r>
          </w:p>
        </w:tc>
      </w:tr>
      <w:tr w:rsidR="00E37D61" w14:paraId="2438C6C2" w14:textId="77777777" w:rsidTr="00FC5A6B">
        <w:trPr>
          <w:jc w:val="center"/>
        </w:trPr>
        <w:tc>
          <w:tcPr>
            <w:tcW w:w="10173" w:type="dxa"/>
            <w:gridSpan w:val="2"/>
            <w:tcBorders>
              <w:bottom w:val="single" w:sz="4" w:space="0" w:color="auto"/>
            </w:tcBorders>
          </w:tcPr>
          <w:p w14:paraId="7DBF053C" w14:textId="77777777" w:rsidR="00E37D61" w:rsidRDefault="00E37D61" w:rsidP="00FC5A6B">
            <w:pPr>
              <w:spacing w:before="120" w:after="120"/>
              <w:jc w:val="both"/>
              <w:rPr>
                <w:b/>
                <w:sz w:val="22"/>
                <w:szCs w:val="22"/>
                <w:u w:val="single"/>
              </w:rPr>
            </w:pPr>
            <w:r>
              <w:rPr>
                <w:b/>
                <w:sz w:val="22"/>
                <w:szCs w:val="22"/>
                <w:u w:val="single"/>
              </w:rPr>
              <w:t>Friday, October 20, 2023</w:t>
            </w:r>
          </w:p>
        </w:tc>
      </w:tr>
      <w:tr w:rsidR="00E37D61" w14:paraId="182E1350" w14:textId="77777777" w:rsidTr="00FC5A6B">
        <w:trPr>
          <w:jc w:val="center"/>
        </w:trPr>
        <w:tc>
          <w:tcPr>
            <w:tcW w:w="2227" w:type="dxa"/>
            <w:shd w:val="clear" w:color="auto" w:fill="D9D9D9"/>
          </w:tcPr>
          <w:p w14:paraId="312DD2F9" w14:textId="77777777" w:rsidR="00E37D61" w:rsidRDefault="00E37D61" w:rsidP="00FC5A6B">
            <w:pPr>
              <w:spacing w:before="120" w:after="120"/>
              <w:rPr>
                <w:sz w:val="22"/>
                <w:szCs w:val="22"/>
              </w:rPr>
            </w:pPr>
            <w:r>
              <w:rPr>
                <w:sz w:val="22"/>
                <w:szCs w:val="22"/>
              </w:rPr>
              <w:t>09:00 hrs. – 12:00 hrs.</w:t>
            </w:r>
          </w:p>
          <w:p w14:paraId="460373C6" w14:textId="77777777" w:rsidR="00E37D61" w:rsidRPr="00687E6C" w:rsidRDefault="00E37D61" w:rsidP="00FC5A6B">
            <w:pPr>
              <w:spacing w:before="120" w:after="120"/>
              <w:rPr>
                <w:sz w:val="22"/>
                <w:szCs w:val="22"/>
              </w:rPr>
            </w:pPr>
            <w:r>
              <w:rPr>
                <w:b/>
                <w:sz w:val="22"/>
                <w:szCs w:val="20"/>
              </w:rPr>
              <w:t>OAS Headquarters, Gabriela Mistral Room, 1889 F Street</w:t>
            </w:r>
          </w:p>
        </w:tc>
        <w:tc>
          <w:tcPr>
            <w:tcW w:w="7946" w:type="dxa"/>
            <w:shd w:val="clear" w:color="auto" w:fill="D9D9D9"/>
            <w:vAlign w:val="center"/>
          </w:tcPr>
          <w:p w14:paraId="0D7D3A31" w14:textId="77777777" w:rsidR="00E37D61" w:rsidRDefault="00E37D61" w:rsidP="00FC5A6B">
            <w:pPr>
              <w:spacing w:before="120" w:after="120"/>
              <w:rPr>
                <w:sz w:val="22"/>
                <w:szCs w:val="22"/>
              </w:rPr>
            </w:pPr>
            <w:r>
              <w:rPr>
                <w:b/>
                <w:sz w:val="22"/>
                <w:szCs w:val="22"/>
              </w:rPr>
              <w:t>Panel 4: Prevention of Bribery/Transnational Bribery</w:t>
            </w:r>
          </w:p>
        </w:tc>
      </w:tr>
      <w:tr w:rsidR="00E37D61" w:rsidRPr="008332EE" w14:paraId="3DC57EB1" w14:textId="77777777" w:rsidTr="00FC5A6B">
        <w:trPr>
          <w:cantSplit/>
          <w:jc w:val="center"/>
        </w:trPr>
        <w:tc>
          <w:tcPr>
            <w:tcW w:w="2227" w:type="dxa"/>
            <w:vMerge w:val="restart"/>
          </w:tcPr>
          <w:p w14:paraId="3AA7AFAA" w14:textId="77777777" w:rsidR="00E37D61" w:rsidRDefault="00E37D61" w:rsidP="00FC5A6B">
            <w:pPr>
              <w:spacing w:before="120" w:after="120"/>
              <w:rPr>
                <w:sz w:val="22"/>
                <w:szCs w:val="22"/>
              </w:rPr>
            </w:pPr>
            <w:r>
              <w:rPr>
                <w:sz w:val="22"/>
                <w:szCs w:val="22"/>
              </w:rPr>
              <w:t>.</w:t>
            </w:r>
          </w:p>
        </w:tc>
        <w:tc>
          <w:tcPr>
            <w:tcW w:w="7946" w:type="dxa"/>
          </w:tcPr>
          <w:p w14:paraId="4E0AF129" w14:textId="77777777" w:rsidR="00E37D61" w:rsidRPr="00792F11" w:rsidRDefault="00E37D61" w:rsidP="00FC5A6B">
            <w:pPr>
              <w:spacing w:before="120" w:after="120"/>
              <w:ind w:left="473"/>
              <w:jc w:val="both"/>
              <w:rPr>
                <w:b/>
                <w:bCs/>
                <w:sz w:val="22"/>
                <w:szCs w:val="22"/>
                <w:u w:val="single"/>
              </w:rPr>
            </w:pPr>
            <w:r>
              <w:rPr>
                <w:b/>
                <w:bCs/>
                <w:sz w:val="22"/>
                <w:szCs w:val="22"/>
                <w:u w:val="single"/>
              </w:rPr>
              <w:t>Prevention of Bribery</w:t>
            </w:r>
          </w:p>
          <w:p w14:paraId="14D29B06" w14:textId="77777777" w:rsidR="00E37D61" w:rsidRPr="00E820D0" w:rsidRDefault="00E37D61">
            <w:pPr>
              <w:numPr>
                <w:ilvl w:val="0"/>
                <w:numId w:val="14"/>
              </w:numPr>
              <w:tabs>
                <w:tab w:val="clear" w:pos="720"/>
                <w:tab w:val="num" w:pos="473"/>
              </w:tabs>
              <w:spacing w:before="120" w:after="120"/>
              <w:ind w:left="473"/>
              <w:jc w:val="both"/>
              <w:rPr>
                <w:b/>
                <w:bCs/>
                <w:sz w:val="22"/>
                <w:szCs w:val="22"/>
              </w:rPr>
            </w:pPr>
            <w:r>
              <w:rPr>
                <w:b/>
                <w:bCs/>
                <w:sz w:val="22"/>
                <w:szCs w:val="22"/>
              </w:rPr>
              <w:t>Awareness Campaigns</w:t>
            </w:r>
          </w:p>
          <w:p w14:paraId="6E91E295" w14:textId="77777777" w:rsidR="00E37D61" w:rsidRPr="00E820D0" w:rsidRDefault="00E37D61">
            <w:pPr>
              <w:numPr>
                <w:ilvl w:val="0"/>
                <w:numId w:val="14"/>
              </w:numPr>
              <w:tabs>
                <w:tab w:val="clear" w:pos="720"/>
                <w:tab w:val="num" w:pos="473"/>
              </w:tabs>
              <w:spacing w:before="120" w:after="120"/>
              <w:ind w:left="473"/>
              <w:jc w:val="both"/>
              <w:rPr>
                <w:b/>
                <w:bCs/>
                <w:sz w:val="22"/>
                <w:szCs w:val="22"/>
              </w:rPr>
            </w:pPr>
            <w:r>
              <w:rPr>
                <w:b/>
                <w:bCs/>
                <w:sz w:val="22"/>
                <w:szCs w:val="22"/>
              </w:rPr>
              <w:t>Private Sector</w:t>
            </w:r>
          </w:p>
          <w:p w14:paraId="6DAE712D" w14:textId="77777777" w:rsidR="00E37D61" w:rsidRPr="00E820D0" w:rsidRDefault="00E37D61">
            <w:pPr>
              <w:numPr>
                <w:ilvl w:val="0"/>
                <w:numId w:val="14"/>
              </w:numPr>
              <w:tabs>
                <w:tab w:val="clear" w:pos="720"/>
                <w:tab w:val="num" w:pos="473"/>
              </w:tabs>
              <w:spacing w:before="120" w:after="120"/>
              <w:ind w:left="473"/>
              <w:jc w:val="both"/>
              <w:rPr>
                <w:b/>
                <w:bCs/>
                <w:sz w:val="22"/>
                <w:szCs w:val="22"/>
              </w:rPr>
            </w:pPr>
            <w:r>
              <w:rPr>
                <w:b/>
                <w:bCs/>
                <w:sz w:val="22"/>
                <w:szCs w:val="22"/>
              </w:rPr>
              <w:t>Review Methods of Accounting Records</w:t>
            </w:r>
          </w:p>
          <w:p w14:paraId="5838BFB6" w14:textId="77777777" w:rsidR="00E37D61" w:rsidRPr="00E820D0" w:rsidRDefault="00E37D61">
            <w:pPr>
              <w:numPr>
                <w:ilvl w:val="0"/>
                <w:numId w:val="14"/>
              </w:numPr>
              <w:tabs>
                <w:tab w:val="clear" w:pos="720"/>
                <w:tab w:val="num" w:pos="473"/>
              </w:tabs>
              <w:spacing w:before="120" w:after="120"/>
              <w:ind w:left="473"/>
              <w:jc w:val="both"/>
              <w:rPr>
                <w:b/>
                <w:bCs/>
                <w:sz w:val="22"/>
                <w:szCs w:val="22"/>
              </w:rPr>
            </w:pPr>
            <w:r>
              <w:rPr>
                <w:b/>
                <w:bCs/>
                <w:sz w:val="22"/>
                <w:szCs w:val="22"/>
              </w:rPr>
              <w:t>Manuals, Guidelines, or Directives</w:t>
            </w:r>
          </w:p>
          <w:p w14:paraId="141F8668" w14:textId="77777777" w:rsidR="00E37D61" w:rsidRPr="00792F11" w:rsidRDefault="00E37D61">
            <w:pPr>
              <w:numPr>
                <w:ilvl w:val="0"/>
                <w:numId w:val="14"/>
              </w:numPr>
              <w:tabs>
                <w:tab w:val="clear" w:pos="720"/>
                <w:tab w:val="num" w:pos="473"/>
              </w:tabs>
              <w:spacing w:before="120" w:after="120"/>
              <w:ind w:left="473"/>
              <w:jc w:val="both"/>
              <w:rPr>
                <w:b/>
                <w:sz w:val="22"/>
                <w:szCs w:val="22"/>
              </w:rPr>
            </w:pPr>
            <w:r>
              <w:rPr>
                <w:b/>
                <w:bCs/>
                <w:sz w:val="22"/>
                <w:szCs w:val="22"/>
              </w:rPr>
              <w:t>Results</w:t>
            </w:r>
          </w:p>
          <w:p w14:paraId="1873FCBB" w14:textId="77777777" w:rsidR="00E37D61" w:rsidRPr="00792F11" w:rsidRDefault="00E37D61" w:rsidP="00FC5A6B">
            <w:pPr>
              <w:spacing w:before="120" w:after="120"/>
              <w:ind w:left="473"/>
              <w:jc w:val="both"/>
              <w:rPr>
                <w:b/>
                <w:sz w:val="22"/>
                <w:szCs w:val="22"/>
                <w:u w:val="single"/>
              </w:rPr>
            </w:pPr>
            <w:r>
              <w:rPr>
                <w:b/>
                <w:bCs/>
                <w:sz w:val="22"/>
                <w:szCs w:val="22"/>
                <w:u w:val="single"/>
              </w:rPr>
              <w:t>Transnational Bribery</w:t>
            </w:r>
          </w:p>
          <w:p w14:paraId="34B34735" w14:textId="77777777" w:rsidR="00E37D61" w:rsidRPr="00CE69FC" w:rsidRDefault="00E37D61">
            <w:pPr>
              <w:numPr>
                <w:ilvl w:val="0"/>
                <w:numId w:val="14"/>
              </w:numPr>
              <w:tabs>
                <w:tab w:val="clear" w:pos="720"/>
                <w:tab w:val="num" w:pos="473"/>
              </w:tabs>
              <w:spacing w:before="120" w:after="120"/>
              <w:ind w:left="473"/>
              <w:jc w:val="both"/>
              <w:rPr>
                <w:b/>
                <w:bCs/>
                <w:sz w:val="22"/>
                <w:szCs w:val="22"/>
              </w:rPr>
            </w:pPr>
            <w:r>
              <w:rPr>
                <w:b/>
                <w:bCs/>
                <w:sz w:val="22"/>
                <w:szCs w:val="22"/>
              </w:rPr>
              <w:t>Facilitation Payments</w:t>
            </w:r>
          </w:p>
          <w:p w14:paraId="5CBF9BB6" w14:textId="77777777" w:rsidR="00E37D61" w:rsidRPr="008332EE" w:rsidRDefault="00E37D61">
            <w:pPr>
              <w:numPr>
                <w:ilvl w:val="0"/>
                <w:numId w:val="14"/>
              </w:numPr>
              <w:tabs>
                <w:tab w:val="clear" w:pos="720"/>
                <w:tab w:val="num" w:pos="473"/>
              </w:tabs>
              <w:spacing w:before="120" w:after="120"/>
              <w:ind w:left="473"/>
              <w:jc w:val="both"/>
              <w:rPr>
                <w:b/>
                <w:bCs/>
                <w:sz w:val="22"/>
                <w:szCs w:val="22"/>
              </w:rPr>
            </w:pPr>
            <w:r>
              <w:rPr>
                <w:b/>
                <w:bCs/>
                <w:sz w:val="22"/>
                <w:szCs w:val="22"/>
              </w:rPr>
              <w:t>Results</w:t>
            </w:r>
          </w:p>
        </w:tc>
      </w:tr>
      <w:tr w:rsidR="00E37D61" w:rsidRPr="00E07172" w14:paraId="7147FD32" w14:textId="77777777" w:rsidTr="00FC5A6B">
        <w:trPr>
          <w:cantSplit/>
          <w:jc w:val="center"/>
        </w:trPr>
        <w:tc>
          <w:tcPr>
            <w:tcW w:w="2227" w:type="dxa"/>
            <w:vMerge/>
            <w:tcBorders>
              <w:bottom w:val="single" w:sz="4" w:space="0" w:color="auto"/>
            </w:tcBorders>
          </w:tcPr>
          <w:p w14:paraId="5C9A2384" w14:textId="77777777" w:rsidR="00E37D61" w:rsidRDefault="00E37D61" w:rsidP="00FC5A6B">
            <w:pPr>
              <w:spacing w:before="120" w:after="120"/>
              <w:rPr>
                <w:sz w:val="22"/>
                <w:szCs w:val="22"/>
              </w:rPr>
            </w:pPr>
          </w:p>
        </w:tc>
        <w:tc>
          <w:tcPr>
            <w:tcW w:w="7946" w:type="dxa"/>
            <w:tcBorders>
              <w:bottom w:val="single" w:sz="4" w:space="0" w:color="auto"/>
            </w:tcBorders>
          </w:tcPr>
          <w:p w14:paraId="20516947" w14:textId="77777777" w:rsidR="00E37D61" w:rsidRDefault="00E37D61" w:rsidP="00FC5A6B">
            <w:pPr>
              <w:spacing w:before="120" w:after="120"/>
              <w:jc w:val="both"/>
              <w:rPr>
                <w:bCs/>
                <w:iCs/>
                <w:sz w:val="22"/>
                <w:szCs w:val="22"/>
                <w:u w:val="single"/>
              </w:rPr>
            </w:pPr>
            <w:r>
              <w:rPr>
                <w:bCs/>
                <w:iCs/>
                <w:sz w:val="22"/>
                <w:szCs w:val="22"/>
                <w:u w:val="single"/>
              </w:rPr>
              <w:t>Participants:</w:t>
            </w:r>
          </w:p>
          <w:p w14:paraId="6E4098F7" w14:textId="77777777" w:rsidR="00E37D61" w:rsidRPr="00566C7E" w:rsidRDefault="00E37D61" w:rsidP="00FC5A6B">
            <w:pPr>
              <w:pStyle w:val="xxmsonormal"/>
              <w:shd w:val="clear" w:color="auto" w:fill="FFFFFF"/>
              <w:spacing w:before="0" w:beforeAutospacing="0" w:after="0" w:afterAutospacing="0"/>
              <w:rPr>
                <w:color w:val="242424"/>
                <w:sz w:val="22"/>
                <w:szCs w:val="22"/>
              </w:rPr>
            </w:pPr>
            <w:r w:rsidRPr="00566C7E">
              <w:rPr>
                <w:color w:val="242424"/>
                <w:sz w:val="22"/>
                <w:szCs w:val="22"/>
              </w:rPr>
              <w:t>Jackie O’Reilly, Senior Special Counsel, Office of International Affairs, Securities and Exchange Commission</w:t>
            </w:r>
          </w:p>
          <w:p w14:paraId="3F392335" w14:textId="77777777" w:rsidR="00E37D61" w:rsidRPr="00566C7E" w:rsidRDefault="00E37D61" w:rsidP="00FC5A6B">
            <w:pPr>
              <w:pStyle w:val="xxmsonormal"/>
              <w:shd w:val="clear" w:color="auto" w:fill="FFFFFF"/>
              <w:spacing w:before="0" w:beforeAutospacing="0" w:after="0" w:afterAutospacing="0"/>
              <w:rPr>
                <w:color w:val="242424"/>
                <w:sz w:val="22"/>
                <w:szCs w:val="22"/>
                <w:bdr w:val="none" w:sz="0" w:space="0" w:color="auto" w:frame="1"/>
              </w:rPr>
            </w:pPr>
          </w:p>
          <w:p w14:paraId="0E087C40" w14:textId="77777777" w:rsidR="00E37D61" w:rsidRPr="00566C7E" w:rsidRDefault="00E37D61" w:rsidP="00FC5A6B">
            <w:pPr>
              <w:pStyle w:val="xxmsonormal"/>
              <w:shd w:val="clear" w:color="auto" w:fill="FFFFFF"/>
              <w:spacing w:before="0" w:beforeAutospacing="0" w:after="0" w:afterAutospacing="0"/>
              <w:rPr>
                <w:color w:val="242424"/>
                <w:sz w:val="22"/>
                <w:szCs w:val="22"/>
              </w:rPr>
            </w:pPr>
            <w:r w:rsidRPr="00566C7E">
              <w:rPr>
                <w:color w:val="242424"/>
                <w:sz w:val="22"/>
                <w:szCs w:val="22"/>
              </w:rPr>
              <w:t>Patrick Foley, Senior Special Counsel, Office of Chief Accountant, Securities and Exchange Commission</w:t>
            </w:r>
          </w:p>
          <w:p w14:paraId="76936E7A" w14:textId="77777777" w:rsidR="00E37D61" w:rsidRPr="00566C7E"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566C7E">
              <w:rPr>
                <w:color w:val="242424"/>
                <w:sz w:val="22"/>
                <w:szCs w:val="22"/>
                <w:bdr w:val="none" w:sz="0" w:space="0" w:color="auto" w:frame="1"/>
              </w:rPr>
              <w:br/>
            </w:r>
            <w:r w:rsidRPr="00566C7E">
              <w:rPr>
                <w:color w:val="242424"/>
                <w:sz w:val="22"/>
                <w:szCs w:val="22"/>
              </w:rPr>
              <w:t>Charles Cain, Chief FCPA Unit, Securities and Exchange Commission</w:t>
            </w:r>
            <w:r w:rsidRPr="00566C7E">
              <w:rPr>
                <w:color w:val="242424"/>
                <w:sz w:val="22"/>
                <w:szCs w:val="22"/>
                <w:bdr w:val="none" w:sz="0" w:space="0" w:color="auto" w:frame="1"/>
              </w:rPr>
              <w:br/>
            </w:r>
          </w:p>
          <w:p w14:paraId="11022640" w14:textId="77777777" w:rsidR="00E37D61" w:rsidRPr="00566C7E"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566C7E">
              <w:rPr>
                <w:color w:val="242424"/>
                <w:sz w:val="22"/>
                <w:szCs w:val="22"/>
              </w:rPr>
              <w:t>Estee Levine, Assistant Director, Official of International Affairs, Securities and Exchange Commission</w:t>
            </w:r>
            <w:r w:rsidRPr="00566C7E">
              <w:rPr>
                <w:color w:val="242424"/>
                <w:sz w:val="22"/>
                <w:szCs w:val="22"/>
                <w:bdr w:val="none" w:sz="0" w:space="0" w:color="auto" w:frame="1"/>
              </w:rPr>
              <w:br/>
            </w:r>
          </w:p>
          <w:p w14:paraId="7E340C68" w14:textId="77777777" w:rsidR="00E37D61" w:rsidRDefault="00E37D61" w:rsidP="00FC5A6B">
            <w:pPr>
              <w:pStyle w:val="xxmsonormal"/>
              <w:shd w:val="clear" w:color="auto" w:fill="FFFFFF"/>
              <w:spacing w:before="0" w:beforeAutospacing="0" w:after="0" w:afterAutospacing="0"/>
              <w:rPr>
                <w:color w:val="242424"/>
                <w:sz w:val="22"/>
                <w:szCs w:val="22"/>
              </w:rPr>
            </w:pPr>
            <w:r w:rsidRPr="00566C7E">
              <w:rPr>
                <w:color w:val="242424"/>
                <w:sz w:val="22"/>
                <w:szCs w:val="22"/>
              </w:rPr>
              <w:t>David Fuhr, Acting Chief, FCPA Unit, Justice Department </w:t>
            </w:r>
          </w:p>
          <w:p w14:paraId="2DCD00BF" w14:textId="77777777" w:rsidR="00E37D61" w:rsidRPr="00566C7E" w:rsidRDefault="00E37D61" w:rsidP="00FC5A6B">
            <w:pPr>
              <w:pStyle w:val="xxmsonormal"/>
              <w:shd w:val="clear" w:color="auto" w:fill="FFFFFF"/>
              <w:spacing w:before="0" w:beforeAutospacing="0" w:after="0" w:afterAutospacing="0"/>
              <w:rPr>
                <w:color w:val="242424"/>
                <w:sz w:val="22"/>
                <w:szCs w:val="22"/>
                <w:bdr w:val="none" w:sz="0" w:space="0" w:color="auto" w:frame="1"/>
              </w:rPr>
            </w:pPr>
          </w:p>
          <w:p w14:paraId="2CA268BE" w14:textId="1D924C64" w:rsidR="00E37D61" w:rsidRPr="00566C7E" w:rsidRDefault="00E37D61" w:rsidP="00FC5A6B">
            <w:pPr>
              <w:pStyle w:val="xxmsonormal"/>
              <w:shd w:val="clear" w:color="auto" w:fill="FFFFFF"/>
              <w:spacing w:before="0" w:beforeAutospacing="0" w:after="0" w:afterAutospacing="0"/>
              <w:rPr>
                <w:color w:val="242424"/>
                <w:sz w:val="22"/>
                <w:szCs w:val="22"/>
                <w:bdr w:val="none" w:sz="0" w:space="0" w:color="auto" w:frame="1"/>
              </w:rPr>
            </w:pPr>
            <w:r w:rsidRPr="00566C7E">
              <w:rPr>
                <w:color w:val="242424"/>
                <w:sz w:val="22"/>
                <w:szCs w:val="22"/>
              </w:rPr>
              <w:t xml:space="preserve">Amy </w:t>
            </w:r>
            <w:r w:rsidR="00372439" w:rsidRPr="00566C7E">
              <w:rPr>
                <w:color w:val="242424"/>
                <w:sz w:val="22"/>
                <w:szCs w:val="22"/>
              </w:rPr>
              <w:t>Granger, Attorney</w:t>
            </w:r>
            <w:r w:rsidRPr="00566C7E">
              <w:rPr>
                <w:color w:val="242424"/>
                <w:sz w:val="22"/>
                <w:szCs w:val="22"/>
              </w:rPr>
              <w:t>/Adviser, Office of the Legal Adviser, State Department</w:t>
            </w:r>
          </w:p>
          <w:p w14:paraId="6D991431" w14:textId="77777777" w:rsidR="00E37D61" w:rsidRPr="00BA1E8A" w:rsidRDefault="00E37D61" w:rsidP="00FC5A6B">
            <w:pPr>
              <w:pStyle w:val="xxmsonormal"/>
              <w:shd w:val="clear" w:color="auto" w:fill="FFFFFF"/>
              <w:spacing w:before="0" w:beforeAutospacing="0" w:after="0" w:afterAutospacing="0"/>
              <w:rPr>
                <w:color w:val="242424"/>
                <w:sz w:val="22"/>
                <w:szCs w:val="22"/>
              </w:rPr>
            </w:pPr>
          </w:p>
          <w:p w14:paraId="24A88D78" w14:textId="77777777" w:rsidR="00E37D61" w:rsidRPr="00E07172" w:rsidRDefault="00E37D61" w:rsidP="00FC5A6B">
            <w:pPr>
              <w:rPr>
                <w:lang w:val="en-CA"/>
              </w:rPr>
            </w:pPr>
          </w:p>
        </w:tc>
      </w:tr>
      <w:tr w:rsidR="00E37D61" w14:paraId="7AC92D34" w14:textId="77777777" w:rsidTr="00FC5A6B">
        <w:trPr>
          <w:jc w:val="center"/>
        </w:trPr>
        <w:tc>
          <w:tcPr>
            <w:tcW w:w="2227" w:type="dxa"/>
            <w:tcBorders>
              <w:bottom w:val="single" w:sz="4" w:space="0" w:color="auto"/>
            </w:tcBorders>
            <w:shd w:val="clear" w:color="auto" w:fill="D9D9D9"/>
          </w:tcPr>
          <w:p w14:paraId="71C967BD" w14:textId="77777777" w:rsidR="00E37D61" w:rsidRDefault="00E37D61" w:rsidP="00FC5A6B">
            <w:pPr>
              <w:spacing w:before="120" w:after="120"/>
              <w:rPr>
                <w:sz w:val="22"/>
                <w:szCs w:val="22"/>
              </w:rPr>
            </w:pPr>
            <w:r>
              <w:rPr>
                <w:sz w:val="22"/>
                <w:szCs w:val="22"/>
              </w:rPr>
              <w:t>12:00 – 12:30 hrs.</w:t>
            </w:r>
          </w:p>
        </w:tc>
        <w:tc>
          <w:tcPr>
            <w:tcW w:w="7946" w:type="dxa"/>
            <w:tcBorders>
              <w:bottom w:val="single" w:sz="4" w:space="0" w:color="auto"/>
            </w:tcBorders>
            <w:shd w:val="clear" w:color="auto" w:fill="D9D9D9"/>
          </w:tcPr>
          <w:p w14:paraId="569DB22C" w14:textId="77777777" w:rsidR="00E37D61" w:rsidRDefault="00E37D61" w:rsidP="00FC5A6B">
            <w:pPr>
              <w:spacing w:before="120" w:after="120"/>
              <w:jc w:val="both"/>
              <w:rPr>
                <w:sz w:val="22"/>
                <w:szCs w:val="22"/>
              </w:rPr>
            </w:pPr>
            <w:r>
              <w:rPr>
                <w:b/>
                <w:sz w:val="22"/>
                <w:szCs w:val="22"/>
              </w:rPr>
              <w:t>Final meeting</w:t>
            </w:r>
            <w:r>
              <w:rPr>
                <w:sz w:val="22"/>
                <w:szCs w:val="22"/>
              </w:rPr>
              <w:t xml:space="preserve"> between the representatives of the country under review, the member states of the subgroup and the Technical Secretariat</w:t>
            </w:r>
            <w:r>
              <w:rPr>
                <w:b/>
                <w:sz w:val="22"/>
                <w:szCs w:val="20"/>
              </w:rPr>
              <w:t xml:space="preserve"> </w:t>
            </w:r>
          </w:p>
        </w:tc>
      </w:tr>
      <w:tr w:rsidR="00E37D61" w14:paraId="29E94DC4" w14:textId="77777777" w:rsidTr="00FC5A6B">
        <w:trPr>
          <w:jc w:val="center"/>
        </w:trPr>
        <w:tc>
          <w:tcPr>
            <w:tcW w:w="2227" w:type="dxa"/>
            <w:tcBorders>
              <w:bottom w:val="single" w:sz="4" w:space="0" w:color="auto"/>
            </w:tcBorders>
            <w:shd w:val="clear" w:color="auto" w:fill="D9D9D9"/>
          </w:tcPr>
          <w:p w14:paraId="12D82153" w14:textId="77777777" w:rsidR="00E37D61" w:rsidRDefault="00E37D61" w:rsidP="00FC5A6B">
            <w:pPr>
              <w:spacing w:before="120" w:after="120"/>
              <w:rPr>
                <w:b/>
                <w:sz w:val="22"/>
                <w:szCs w:val="22"/>
                <w:u w:val="single"/>
              </w:rPr>
            </w:pPr>
            <w:r>
              <w:rPr>
                <w:sz w:val="22"/>
                <w:szCs w:val="22"/>
              </w:rPr>
              <w:t>12:30 hrs.</w:t>
            </w:r>
          </w:p>
        </w:tc>
        <w:tc>
          <w:tcPr>
            <w:tcW w:w="7946" w:type="dxa"/>
            <w:tcBorders>
              <w:bottom w:val="single" w:sz="4" w:space="0" w:color="auto"/>
            </w:tcBorders>
            <w:shd w:val="clear" w:color="auto" w:fill="D9D9D9"/>
          </w:tcPr>
          <w:p w14:paraId="0883232E" w14:textId="77777777" w:rsidR="00E37D61" w:rsidRDefault="00E37D61" w:rsidP="00FC5A6B">
            <w:pPr>
              <w:spacing w:before="120" w:after="120"/>
              <w:jc w:val="both"/>
              <w:rPr>
                <w:b/>
                <w:sz w:val="22"/>
                <w:szCs w:val="22"/>
                <w:u w:val="single"/>
              </w:rPr>
            </w:pPr>
            <w:r>
              <w:rPr>
                <w:b/>
                <w:sz w:val="22"/>
                <w:szCs w:val="20"/>
              </w:rPr>
              <w:t>Informal meeting</w:t>
            </w:r>
            <w:r>
              <w:rPr>
                <w:sz w:val="22"/>
                <w:szCs w:val="20"/>
              </w:rPr>
              <w:t xml:space="preserve"> between the representatives of the member states of the subgroup and the Technical Secretariat</w:t>
            </w:r>
            <w:r>
              <w:rPr>
                <w:sz w:val="22"/>
                <w:szCs w:val="22"/>
              </w:rPr>
              <w:t xml:space="preserve">. </w:t>
            </w:r>
          </w:p>
        </w:tc>
      </w:tr>
    </w:tbl>
    <w:p w14:paraId="74F4A198" w14:textId="5888F95B" w:rsidR="00E37D61" w:rsidRDefault="00E37D61" w:rsidP="00E37D61">
      <w:pPr>
        <w:pStyle w:val="ListParagraph"/>
        <w:suppressAutoHyphens/>
        <w:ind w:left="10"/>
        <w:jc w:val="center"/>
      </w:pPr>
    </w:p>
    <w:p w14:paraId="19D30C80" w14:textId="77777777" w:rsidR="00E37D61" w:rsidRDefault="00E37D61">
      <w:pPr>
        <w:rPr>
          <w:rFonts w:eastAsiaTheme="minorEastAsia"/>
          <w:sz w:val="22"/>
          <w:szCs w:val="22"/>
        </w:rPr>
      </w:pPr>
      <w:r>
        <w:br w:type="page"/>
      </w:r>
    </w:p>
    <w:p w14:paraId="50934851" w14:textId="77777777" w:rsidR="00E37D61" w:rsidRPr="00983246" w:rsidRDefault="00E37D61" w:rsidP="00E37D61">
      <w:pPr>
        <w:jc w:val="center"/>
        <w:rPr>
          <w:sz w:val="22"/>
          <w:szCs w:val="22"/>
          <w:highlight w:val="cyan"/>
        </w:rPr>
      </w:pPr>
      <w:r w:rsidRPr="00983246">
        <w:rPr>
          <w:b/>
          <w:bCs/>
          <w:sz w:val="22"/>
          <w:szCs w:val="22"/>
        </w:rPr>
        <w:lastRenderedPageBreak/>
        <w:t>CONTACT AUTHORITY FROM THE COUNTRY UNDER REVIEW FOR COORDINATION OF THE ON-SITE VISIT, AND REPRESENTATIVES OF THE MEMBER STATES OF THE PRELIMINARY REVIEW SUBGROUP AND THE TECHNICAL SECRETARIAT OF THE MESICIC</w:t>
      </w:r>
    </w:p>
    <w:p w14:paraId="3D4A1FA5" w14:textId="77777777" w:rsidR="00E37D61" w:rsidRPr="00983246" w:rsidRDefault="00E37D61" w:rsidP="00E37D61">
      <w:pPr>
        <w:tabs>
          <w:tab w:val="left" w:pos="8820"/>
        </w:tabs>
        <w:jc w:val="center"/>
        <w:rPr>
          <w:b/>
          <w:sz w:val="22"/>
          <w:szCs w:val="22"/>
          <w:lang w:eastAsia="es-ES"/>
        </w:rPr>
      </w:pPr>
    </w:p>
    <w:p w14:paraId="5FACDD13" w14:textId="77777777" w:rsidR="00E37D61" w:rsidRPr="00983246" w:rsidRDefault="00E37D61" w:rsidP="00E37D61">
      <w:pPr>
        <w:tabs>
          <w:tab w:val="left" w:pos="8820"/>
        </w:tabs>
        <w:jc w:val="center"/>
        <w:rPr>
          <w:b/>
          <w:sz w:val="22"/>
          <w:szCs w:val="22"/>
          <w:lang w:eastAsia="es-ES"/>
        </w:rPr>
      </w:pPr>
      <w:r w:rsidRPr="00983246">
        <w:rPr>
          <w:b/>
          <w:sz w:val="22"/>
          <w:szCs w:val="22"/>
          <w:u w:val="single"/>
          <w:lang w:eastAsia="es-ES"/>
        </w:rPr>
        <w:t>COUNTRY UNDER REVIEW</w:t>
      </w:r>
    </w:p>
    <w:p w14:paraId="05A9FD78" w14:textId="77777777" w:rsidR="00E37D61" w:rsidRPr="00983246" w:rsidRDefault="00E37D61" w:rsidP="00E37D61">
      <w:pPr>
        <w:tabs>
          <w:tab w:val="left" w:pos="8820"/>
        </w:tabs>
        <w:jc w:val="center"/>
        <w:rPr>
          <w:sz w:val="22"/>
          <w:szCs w:val="22"/>
          <w:lang w:eastAsia="es-ES"/>
        </w:rPr>
      </w:pPr>
    </w:p>
    <w:p w14:paraId="11193359" w14:textId="77777777" w:rsidR="00E37D61" w:rsidRPr="00983246" w:rsidRDefault="00E37D61" w:rsidP="00E37D61">
      <w:pPr>
        <w:tabs>
          <w:tab w:val="left" w:pos="8820"/>
        </w:tabs>
        <w:jc w:val="center"/>
        <w:rPr>
          <w:sz w:val="22"/>
          <w:szCs w:val="22"/>
          <w:u w:val="single"/>
          <w:lang w:eastAsia="es-ES"/>
        </w:rPr>
      </w:pPr>
      <w:r w:rsidRPr="00983246">
        <w:rPr>
          <w:sz w:val="22"/>
          <w:szCs w:val="22"/>
          <w:u w:val="single"/>
          <w:lang w:eastAsia="es-ES"/>
        </w:rPr>
        <w:t>UNITED STATES OF AMERICA</w:t>
      </w:r>
    </w:p>
    <w:p w14:paraId="0ED3857F" w14:textId="77777777" w:rsidR="00E37D61" w:rsidRPr="00983246" w:rsidRDefault="00E37D61" w:rsidP="00E37D61">
      <w:pPr>
        <w:tabs>
          <w:tab w:val="left" w:pos="8820"/>
        </w:tabs>
        <w:jc w:val="center"/>
        <w:rPr>
          <w:b/>
          <w:bCs/>
          <w:sz w:val="22"/>
          <w:szCs w:val="22"/>
          <w:u w:val="single"/>
          <w:lang w:eastAsia="es-ES"/>
        </w:rPr>
      </w:pPr>
    </w:p>
    <w:p w14:paraId="63B51A66" w14:textId="77777777" w:rsidR="00E37D61" w:rsidRPr="00983246" w:rsidRDefault="00E37D61" w:rsidP="00E37D61">
      <w:pPr>
        <w:tabs>
          <w:tab w:val="left" w:pos="8820"/>
        </w:tabs>
        <w:jc w:val="center"/>
        <w:rPr>
          <w:b/>
          <w:bCs/>
          <w:sz w:val="22"/>
          <w:szCs w:val="22"/>
          <w:lang w:eastAsia="es-ES"/>
        </w:rPr>
      </w:pPr>
      <w:r w:rsidRPr="00C523C0">
        <w:rPr>
          <w:b/>
          <w:bCs/>
          <w:sz w:val="22"/>
          <w:szCs w:val="22"/>
          <w:lang w:eastAsia="es-ES"/>
        </w:rPr>
        <w:t>Kellen</w:t>
      </w:r>
      <w:r w:rsidRPr="00983246">
        <w:rPr>
          <w:b/>
          <w:bCs/>
          <w:sz w:val="22"/>
          <w:szCs w:val="22"/>
          <w:lang w:eastAsia="es-ES"/>
        </w:rPr>
        <w:t> McClure</w:t>
      </w:r>
    </w:p>
    <w:p w14:paraId="35C29CE9" w14:textId="77777777" w:rsidR="00E37D61" w:rsidRPr="00983246" w:rsidRDefault="00E37D61" w:rsidP="00E37D61">
      <w:pPr>
        <w:tabs>
          <w:tab w:val="left" w:pos="8820"/>
        </w:tabs>
        <w:jc w:val="center"/>
        <w:rPr>
          <w:sz w:val="22"/>
          <w:szCs w:val="22"/>
          <w:lang w:eastAsia="es-ES"/>
        </w:rPr>
      </w:pPr>
      <w:r w:rsidRPr="00983246">
        <w:rPr>
          <w:sz w:val="22"/>
          <w:szCs w:val="22"/>
          <w:lang w:eastAsia="es-ES"/>
        </w:rPr>
        <w:t>Lead Expert</w:t>
      </w:r>
    </w:p>
    <w:p w14:paraId="060A7907" w14:textId="77777777" w:rsidR="00E37D61" w:rsidRPr="00983246" w:rsidRDefault="00E37D61" w:rsidP="00E37D61">
      <w:pPr>
        <w:tabs>
          <w:tab w:val="left" w:pos="8820"/>
        </w:tabs>
        <w:jc w:val="center"/>
        <w:rPr>
          <w:sz w:val="22"/>
          <w:szCs w:val="22"/>
          <w:lang w:eastAsia="es-ES"/>
        </w:rPr>
      </w:pPr>
      <w:r w:rsidRPr="00983246">
        <w:rPr>
          <w:sz w:val="22"/>
          <w:szCs w:val="22"/>
          <w:lang w:eastAsia="es-ES"/>
        </w:rPr>
        <w:t>Anticorruption Advisor, Office of Global Programs and Policy</w:t>
      </w:r>
    </w:p>
    <w:p w14:paraId="5AD1C7F9" w14:textId="77777777" w:rsidR="00E37D61" w:rsidRPr="00983246" w:rsidRDefault="00E37D61" w:rsidP="00E37D61">
      <w:pPr>
        <w:tabs>
          <w:tab w:val="left" w:pos="8820"/>
        </w:tabs>
        <w:jc w:val="center"/>
        <w:rPr>
          <w:sz w:val="22"/>
          <w:szCs w:val="22"/>
          <w:lang w:eastAsia="es-ES"/>
        </w:rPr>
      </w:pPr>
      <w:r w:rsidRPr="00983246">
        <w:rPr>
          <w:sz w:val="22"/>
          <w:szCs w:val="22"/>
          <w:lang w:eastAsia="es-ES"/>
        </w:rPr>
        <w:t>Bureau of International Narcotics and Law Enforcement Affairs</w:t>
      </w:r>
    </w:p>
    <w:p w14:paraId="3CF191C5" w14:textId="77777777" w:rsidR="00E37D61" w:rsidRPr="00983246" w:rsidRDefault="00E37D61" w:rsidP="00E37D61">
      <w:pPr>
        <w:tabs>
          <w:tab w:val="left" w:pos="8820"/>
        </w:tabs>
        <w:jc w:val="center"/>
        <w:rPr>
          <w:sz w:val="22"/>
          <w:szCs w:val="22"/>
          <w:lang w:eastAsia="es-ES"/>
        </w:rPr>
      </w:pPr>
      <w:r w:rsidRPr="00983246">
        <w:rPr>
          <w:sz w:val="22"/>
          <w:szCs w:val="22"/>
          <w:lang w:eastAsia="es-ES"/>
        </w:rPr>
        <w:t>U.S. Department of State</w:t>
      </w:r>
    </w:p>
    <w:p w14:paraId="168A415B" w14:textId="77777777" w:rsidR="00E37D61" w:rsidRPr="00983246" w:rsidRDefault="00E37D61" w:rsidP="00E37D61">
      <w:pPr>
        <w:tabs>
          <w:tab w:val="left" w:pos="8820"/>
        </w:tabs>
        <w:jc w:val="center"/>
        <w:rPr>
          <w:b/>
          <w:sz w:val="22"/>
          <w:szCs w:val="22"/>
          <w:u w:val="single"/>
          <w:lang w:eastAsia="es-ES"/>
        </w:rPr>
      </w:pPr>
    </w:p>
    <w:p w14:paraId="50F9FF39" w14:textId="77777777" w:rsidR="00E37D61" w:rsidRPr="00983246" w:rsidRDefault="00E37D61" w:rsidP="00E37D61">
      <w:pPr>
        <w:tabs>
          <w:tab w:val="left" w:pos="8820"/>
        </w:tabs>
        <w:jc w:val="center"/>
        <w:rPr>
          <w:b/>
          <w:sz w:val="22"/>
          <w:szCs w:val="22"/>
          <w:u w:val="single"/>
          <w:lang w:eastAsia="es-ES"/>
        </w:rPr>
      </w:pPr>
      <w:r w:rsidRPr="00983246">
        <w:rPr>
          <w:b/>
          <w:sz w:val="22"/>
          <w:szCs w:val="22"/>
          <w:u w:val="single"/>
        </w:rPr>
        <w:t>MEMBER STATES OF THE PRELIMINARY REVIEW SUBGROUP</w:t>
      </w:r>
      <w:r w:rsidRPr="00983246">
        <w:rPr>
          <w:b/>
          <w:sz w:val="22"/>
          <w:szCs w:val="22"/>
          <w:u w:val="single"/>
          <w:lang w:eastAsia="es-ES"/>
        </w:rPr>
        <w:t>:</w:t>
      </w:r>
    </w:p>
    <w:p w14:paraId="21C10C45" w14:textId="77777777" w:rsidR="00E37D61" w:rsidRPr="00983246" w:rsidRDefault="00E37D61" w:rsidP="00E37D61">
      <w:pPr>
        <w:tabs>
          <w:tab w:val="left" w:pos="8820"/>
        </w:tabs>
        <w:jc w:val="center"/>
        <w:rPr>
          <w:sz w:val="22"/>
          <w:szCs w:val="22"/>
          <w:u w:val="single"/>
          <w:lang w:eastAsia="es-ES"/>
        </w:rPr>
      </w:pPr>
    </w:p>
    <w:p w14:paraId="06006F63" w14:textId="72AE314C" w:rsidR="00E37D61" w:rsidRPr="00983246" w:rsidRDefault="00E37D61" w:rsidP="00E37D61">
      <w:pPr>
        <w:tabs>
          <w:tab w:val="left" w:pos="8820"/>
        </w:tabs>
        <w:jc w:val="center"/>
        <w:rPr>
          <w:sz w:val="22"/>
          <w:szCs w:val="22"/>
          <w:u w:val="single"/>
          <w:lang w:eastAsia="es-ES"/>
        </w:rPr>
      </w:pPr>
      <w:r>
        <w:rPr>
          <w:sz w:val="22"/>
          <w:szCs w:val="22"/>
          <w:u w:val="single"/>
          <w:lang w:eastAsia="es-ES"/>
        </w:rPr>
        <w:t>SAINT LUCIA</w:t>
      </w:r>
    </w:p>
    <w:p w14:paraId="59BDE4E8" w14:textId="77777777" w:rsidR="00E37D61" w:rsidRPr="00983246" w:rsidRDefault="00E37D61" w:rsidP="00E37D61">
      <w:pPr>
        <w:tabs>
          <w:tab w:val="left" w:pos="8820"/>
        </w:tabs>
        <w:jc w:val="center"/>
        <w:rPr>
          <w:b/>
          <w:bCs/>
          <w:sz w:val="22"/>
          <w:szCs w:val="22"/>
          <w:lang w:eastAsia="es-ES"/>
        </w:rPr>
      </w:pPr>
    </w:p>
    <w:p w14:paraId="65037E1B" w14:textId="15EEA5A3" w:rsidR="00E37D61" w:rsidRPr="00983246" w:rsidRDefault="00E37D61" w:rsidP="00E37D61">
      <w:pPr>
        <w:tabs>
          <w:tab w:val="left" w:pos="8820"/>
        </w:tabs>
        <w:jc w:val="center"/>
        <w:rPr>
          <w:b/>
          <w:bCs/>
          <w:sz w:val="22"/>
          <w:szCs w:val="22"/>
          <w:lang w:eastAsia="es-ES"/>
        </w:rPr>
      </w:pPr>
      <w:r>
        <w:rPr>
          <w:b/>
          <w:bCs/>
          <w:sz w:val="22"/>
          <w:szCs w:val="22"/>
          <w:lang w:eastAsia="es-ES"/>
        </w:rPr>
        <w:t xml:space="preserve">Tina </w:t>
      </w:r>
      <w:proofErr w:type="spellStart"/>
      <w:r>
        <w:rPr>
          <w:b/>
          <w:bCs/>
          <w:sz w:val="22"/>
          <w:szCs w:val="22"/>
          <w:lang w:eastAsia="es-ES"/>
        </w:rPr>
        <w:t>Louison</w:t>
      </w:r>
      <w:proofErr w:type="spellEnd"/>
    </w:p>
    <w:p w14:paraId="5209CC3E" w14:textId="77777777" w:rsidR="00E37D61" w:rsidRPr="00983246" w:rsidRDefault="00E37D61" w:rsidP="00E37D61">
      <w:pPr>
        <w:tabs>
          <w:tab w:val="left" w:pos="8820"/>
        </w:tabs>
        <w:jc w:val="center"/>
        <w:rPr>
          <w:sz w:val="22"/>
          <w:szCs w:val="22"/>
          <w:lang w:eastAsia="es-ES"/>
        </w:rPr>
      </w:pPr>
      <w:r w:rsidRPr="00983246">
        <w:rPr>
          <w:sz w:val="22"/>
          <w:szCs w:val="22"/>
          <w:lang w:eastAsia="es-ES"/>
        </w:rPr>
        <w:t>Lead Expert</w:t>
      </w:r>
    </w:p>
    <w:p w14:paraId="5CED38B8" w14:textId="0498F664" w:rsidR="00E37D61" w:rsidRPr="00983246" w:rsidRDefault="00E37D61" w:rsidP="00E37D61">
      <w:pPr>
        <w:tabs>
          <w:tab w:val="left" w:pos="8820"/>
        </w:tabs>
        <w:jc w:val="center"/>
        <w:rPr>
          <w:sz w:val="22"/>
          <w:szCs w:val="22"/>
          <w:lang w:eastAsia="es-ES"/>
        </w:rPr>
      </w:pPr>
      <w:r>
        <w:rPr>
          <w:sz w:val="22"/>
          <w:szCs w:val="22"/>
          <w:lang w:eastAsia="es-ES"/>
        </w:rPr>
        <w:t>Solicitor</w:t>
      </w:r>
      <w:r w:rsidRPr="00983246">
        <w:rPr>
          <w:sz w:val="22"/>
          <w:szCs w:val="22"/>
          <w:lang w:eastAsia="es-ES"/>
        </w:rPr>
        <w:t xml:space="preserve"> General</w:t>
      </w:r>
    </w:p>
    <w:p w14:paraId="13A5CEA7" w14:textId="77777777" w:rsidR="00E37D61" w:rsidRPr="00983246" w:rsidRDefault="00E37D61" w:rsidP="00E37D61">
      <w:pPr>
        <w:spacing w:before="30" w:after="30"/>
        <w:rPr>
          <w:sz w:val="22"/>
          <w:szCs w:val="22"/>
          <w:lang w:eastAsia="es-ES"/>
        </w:rPr>
      </w:pPr>
    </w:p>
    <w:p w14:paraId="5AF58E0B" w14:textId="5FD15428" w:rsidR="00E37D61" w:rsidRPr="00983246" w:rsidRDefault="00E37D61" w:rsidP="00E37D61">
      <w:pPr>
        <w:tabs>
          <w:tab w:val="left" w:pos="8820"/>
        </w:tabs>
        <w:jc w:val="center"/>
        <w:rPr>
          <w:sz w:val="22"/>
          <w:szCs w:val="22"/>
          <w:u w:val="single"/>
          <w:lang w:eastAsia="es-ES"/>
        </w:rPr>
      </w:pPr>
      <w:r>
        <w:rPr>
          <w:sz w:val="22"/>
          <w:szCs w:val="22"/>
          <w:u w:val="single"/>
          <w:lang w:eastAsia="es-ES"/>
        </w:rPr>
        <w:t>THE BAHAMAS</w:t>
      </w:r>
    </w:p>
    <w:p w14:paraId="195730BD" w14:textId="77777777" w:rsidR="00E37D61" w:rsidRPr="00983246" w:rsidRDefault="00E37D61" w:rsidP="00E37D61">
      <w:pPr>
        <w:tabs>
          <w:tab w:val="left" w:pos="8820"/>
        </w:tabs>
        <w:jc w:val="center"/>
        <w:rPr>
          <w:b/>
          <w:bCs/>
          <w:sz w:val="22"/>
          <w:szCs w:val="22"/>
          <w:u w:val="single"/>
          <w:lang w:eastAsia="es-ES"/>
        </w:rPr>
      </w:pPr>
    </w:p>
    <w:p w14:paraId="40F575FC" w14:textId="0DD80690" w:rsidR="00E37D61" w:rsidRPr="00983246" w:rsidRDefault="00E37D61" w:rsidP="00E37D61">
      <w:pPr>
        <w:tabs>
          <w:tab w:val="left" w:pos="8820"/>
        </w:tabs>
        <w:jc w:val="center"/>
        <w:rPr>
          <w:b/>
          <w:bCs/>
          <w:sz w:val="22"/>
          <w:szCs w:val="22"/>
          <w:lang w:eastAsia="es-ES"/>
        </w:rPr>
      </w:pPr>
      <w:proofErr w:type="spellStart"/>
      <w:r>
        <w:rPr>
          <w:b/>
          <w:bCs/>
          <w:sz w:val="22"/>
          <w:szCs w:val="22"/>
          <w:lang w:eastAsia="es-ES"/>
        </w:rPr>
        <w:t>Kenrah</w:t>
      </w:r>
      <w:proofErr w:type="spellEnd"/>
      <w:r>
        <w:rPr>
          <w:b/>
          <w:bCs/>
          <w:sz w:val="22"/>
          <w:szCs w:val="22"/>
          <w:lang w:eastAsia="es-ES"/>
        </w:rPr>
        <w:t xml:space="preserve"> Newry</w:t>
      </w:r>
    </w:p>
    <w:p w14:paraId="23BC2EA6" w14:textId="20FB5328" w:rsidR="00E37D61" w:rsidRPr="00983246" w:rsidRDefault="00E37D61" w:rsidP="00E37D61">
      <w:pPr>
        <w:tabs>
          <w:tab w:val="left" w:pos="8820"/>
        </w:tabs>
        <w:jc w:val="center"/>
        <w:rPr>
          <w:sz w:val="22"/>
          <w:szCs w:val="22"/>
          <w:lang w:eastAsia="es-ES"/>
        </w:rPr>
      </w:pPr>
      <w:r>
        <w:rPr>
          <w:sz w:val="22"/>
          <w:szCs w:val="22"/>
          <w:lang w:eastAsia="es-ES"/>
        </w:rPr>
        <w:t>Alternate</w:t>
      </w:r>
      <w:r w:rsidRPr="00983246">
        <w:rPr>
          <w:sz w:val="22"/>
          <w:szCs w:val="22"/>
          <w:lang w:eastAsia="es-ES"/>
        </w:rPr>
        <w:t xml:space="preserve"> Expert</w:t>
      </w:r>
    </w:p>
    <w:p w14:paraId="7BE02788" w14:textId="14A33CE2" w:rsidR="00E37D61" w:rsidRPr="00983246" w:rsidRDefault="00E37D61" w:rsidP="00E37D61">
      <w:pPr>
        <w:tabs>
          <w:tab w:val="left" w:pos="8820"/>
        </w:tabs>
        <w:jc w:val="center"/>
        <w:rPr>
          <w:sz w:val="22"/>
          <w:szCs w:val="22"/>
          <w:lang w:eastAsia="es-ES"/>
        </w:rPr>
      </w:pPr>
      <w:r w:rsidRPr="00E37D61">
        <w:rPr>
          <w:sz w:val="22"/>
          <w:szCs w:val="22"/>
          <w:lang w:eastAsia="es-ES"/>
        </w:rPr>
        <w:t>Acting Deputy Director of Legal Affairs</w:t>
      </w:r>
      <w:r w:rsidRPr="00E37D61">
        <w:rPr>
          <w:sz w:val="22"/>
          <w:szCs w:val="22"/>
          <w:lang w:eastAsia="es-ES"/>
        </w:rPr>
        <w:br/>
        <w:t>Office of the Attorney-General and Ministry of Legal Affairs</w:t>
      </w:r>
    </w:p>
    <w:p w14:paraId="61598198" w14:textId="77777777" w:rsidR="00E37D61" w:rsidRPr="00983246" w:rsidRDefault="00E37D61" w:rsidP="00E37D61">
      <w:pPr>
        <w:tabs>
          <w:tab w:val="left" w:pos="8820"/>
        </w:tabs>
        <w:jc w:val="center"/>
        <w:rPr>
          <w:b/>
          <w:bCs/>
          <w:sz w:val="22"/>
          <w:szCs w:val="22"/>
          <w:u w:val="single"/>
          <w:lang w:eastAsia="es-ES"/>
        </w:rPr>
      </w:pPr>
    </w:p>
    <w:p w14:paraId="41CD815B" w14:textId="77777777" w:rsidR="00E37D61" w:rsidRPr="00983246" w:rsidRDefault="00E37D61" w:rsidP="00E37D61">
      <w:pPr>
        <w:tabs>
          <w:tab w:val="left" w:pos="8820"/>
        </w:tabs>
        <w:jc w:val="center"/>
        <w:rPr>
          <w:b/>
          <w:sz w:val="22"/>
          <w:szCs w:val="22"/>
          <w:u w:val="single"/>
          <w:lang w:eastAsia="es-ES"/>
        </w:rPr>
      </w:pPr>
    </w:p>
    <w:p w14:paraId="03E8516F" w14:textId="77777777" w:rsidR="00E37D61" w:rsidRPr="00983246" w:rsidRDefault="00E37D61" w:rsidP="00E37D61">
      <w:pPr>
        <w:tabs>
          <w:tab w:val="left" w:pos="8820"/>
        </w:tabs>
        <w:jc w:val="center"/>
        <w:rPr>
          <w:b/>
          <w:sz w:val="22"/>
          <w:szCs w:val="22"/>
          <w:u w:val="single"/>
          <w:lang w:eastAsia="es-ES"/>
        </w:rPr>
      </w:pPr>
      <w:r w:rsidRPr="00983246">
        <w:rPr>
          <w:b/>
          <w:sz w:val="22"/>
          <w:szCs w:val="22"/>
          <w:u w:val="single"/>
        </w:rPr>
        <w:t>TECHNICAL SECRETARIAT OF THE MESECIC</w:t>
      </w:r>
    </w:p>
    <w:p w14:paraId="0288CCD8" w14:textId="77777777" w:rsidR="00E37D61" w:rsidRPr="00983246" w:rsidRDefault="00E37D61" w:rsidP="00E37D61">
      <w:pPr>
        <w:tabs>
          <w:tab w:val="left" w:pos="8820"/>
        </w:tabs>
        <w:jc w:val="center"/>
        <w:rPr>
          <w:sz w:val="22"/>
          <w:szCs w:val="22"/>
          <w:lang w:eastAsia="es-ES"/>
        </w:rPr>
      </w:pPr>
    </w:p>
    <w:p w14:paraId="552732D0" w14:textId="77777777" w:rsidR="00E37D61" w:rsidRPr="00983246" w:rsidRDefault="00E37D61" w:rsidP="00E37D61">
      <w:pPr>
        <w:tabs>
          <w:tab w:val="left" w:pos="8820"/>
        </w:tabs>
        <w:jc w:val="center"/>
        <w:rPr>
          <w:b/>
          <w:bCs/>
          <w:sz w:val="22"/>
          <w:szCs w:val="22"/>
          <w:lang w:eastAsia="es-ES"/>
        </w:rPr>
      </w:pPr>
      <w:r w:rsidRPr="00983246">
        <w:rPr>
          <w:b/>
          <w:bCs/>
          <w:sz w:val="22"/>
          <w:szCs w:val="22"/>
          <w:lang w:eastAsia="es-ES"/>
        </w:rPr>
        <w:t>Rodrigo Silva</w:t>
      </w:r>
    </w:p>
    <w:p w14:paraId="5BD5462E" w14:textId="77777777" w:rsidR="00E37D61" w:rsidRPr="00983246" w:rsidRDefault="00E37D61" w:rsidP="00E37D61">
      <w:pPr>
        <w:tabs>
          <w:tab w:val="left" w:pos="8820"/>
        </w:tabs>
        <w:jc w:val="center"/>
        <w:rPr>
          <w:sz w:val="22"/>
          <w:szCs w:val="22"/>
          <w:lang w:eastAsia="es-ES"/>
        </w:rPr>
      </w:pPr>
      <w:r w:rsidRPr="00983246">
        <w:rPr>
          <w:sz w:val="22"/>
          <w:szCs w:val="22"/>
          <w:lang w:eastAsia="es-ES"/>
        </w:rPr>
        <w:t>Senior Legal Officer</w:t>
      </w:r>
    </w:p>
    <w:p w14:paraId="1FF243C8" w14:textId="77777777" w:rsidR="00E37D61" w:rsidRPr="00983246" w:rsidRDefault="00E37D61" w:rsidP="00E37D61">
      <w:pPr>
        <w:tabs>
          <w:tab w:val="left" w:pos="8820"/>
        </w:tabs>
        <w:jc w:val="center"/>
        <w:rPr>
          <w:sz w:val="22"/>
          <w:szCs w:val="22"/>
          <w:lang w:eastAsia="es-ES"/>
        </w:rPr>
      </w:pPr>
      <w:r w:rsidRPr="00983246">
        <w:rPr>
          <w:sz w:val="22"/>
          <w:szCs w:val="22"/>
          <w:lang w:eastAsia="es-ES"/>
        </w:rPr>
        <w:t>Department of Legal Cooperation</w:t>
      </w:r>
    </w:p>
    <w:p w14:paraId="3A07CE7A" w14:textId="2C1F06CE" w:rsidR="00E37D61" w:rsidRDefault="00E37D61" w:rsidP="00E37D61">
      <w:pPr>
        <w:pStyle w:val="ListParagraph"/>
        <w:suppressAutoHyphens/>
        <w:ind w:left="10"/>
        <w:jc w:val="center"/>
        <w:rPr>
          <w:lang w:eastAsia="es-ES"/>
        </w:rPr>
      </w:pPr>
      <w:r w:rsidRPr="00983246">
        <w:rPr>
          <w:lang w:eastAsia="es-ES"/>
        </w:rPr>
        <w:t>OAS Secretariat for Legal Affairs</w:t>
      </w:r>
    </w:p>
    <w:p w14:paraId="63E88465" w14:textId="77777777" w:rsidR="00E37D61" w:rsidRDefault="00E37D61" w:rsidP="00E37D61">
      <w:pPr>
        <w:pStyle w:val="ListParagraph"/>
        <w:suppressAutoHyphens/>
        <w:ind w:left="10"/>
        <w:jc w:val="center"/>
        <w:rPr>
          <w:lang w:eastAsia="es-ES"/>
        </w:rPr>
      </w:pPr>
    </w:p>
    <w:p w14:paraId="78045DAC" w14:textId="77777777" w:rsidR="00E37D61" w:rsidRPr="00E37D61" w:rsidRDefault="00E37D61" w:rsidP="00E37D61">
      <w:pPr>
        <w:pStyle w:val="ListParagraph"/>
        <w:suppressAutoHyphens/>
        <w:ind w:left="10"/>
        <w:jc w:val="center"/>
        <w:rPr>
          <w:b/>
          <w:bCs/>
        </w:rPr>
      </w:pPr>
      <w:r w:rsidRPr="00E37D61">
        <w:rPr>
          <w:b/>
          <w:bCs/>
        </w:rPr>
        <w:t xml:space="preserve">Camila Tort </w:t>
      </w:r>
    </w:p>
    <w:p w14:paraId="0FE82E00" w14:textId="77777777" w:rsidR="00E37D61" w:rsidRDefault="00E37D61" w:rsidP="00E37D61">
      <w:pPr>
        <w:pStyle w:val="ListParagraph"/>
        <w:suppressAutoHyphens/>
        <w:ind w:left="10"/>
        <w:jc w:val="center"/>
      </w:pPr>
      <w:r>
        <w:t xml:space="preserve">Consultant </w:t>
      </w:r>
    </w:p>
    <w:p w14:paraId="0A036555" w14:textId="77777777" w:rsidR="00E37D61" w:rsidRDefault="00E37D61" w:rsidP="00E37D61">
      <w:pPr>
        <w:pStyle w:val="ListParagraph"/>
        <w:suppressAutoHyphens/>
        <w:ind w:left="10"/>
        <w:jc w:val="center"/>
      </w:pPr>
      <w:r>
        <w:t xml:space="preserve">Department of Legal Cooperation </w:t>
      </w:r>
    </w:p>
    <w:p w14:paraId="09173346" w14:textId="593965CE" w:rsidR="00E37D61" w:rsidRDefault="00E37D61" w:rsidP="00E37D61">
      <w:pPr>
        <w:pStyle w:val="ListParagraph"/>
        <w:suppressAutoHyphens/>
        <w:ind w:left="10"/>
        <w:jc w:val="center"/>
      </w:pPr>
      <w:r>
        <w:t xml:space="preserve">OAS Secretariat for Legal Affairs </w:t>
      </w:r>
    </w:p>
    <w:p w14:paraId="352F8A3B" w14:textId="77777777" w:rsidR="00E37D61" w:rsidRDefault="00E37D61" w:rsidP="00E37D61">
      <w:pPr>
        <w:pStyle w:val="ListParagraph"/>
        <w:suppressAutoHyphens/>
        <w:ind w:left="10"/>
        <w:jc w:val="center"/>
      </w:pPr>
    </w:p>
    <w:p w14:paraId="74A6410B" w14:textId="77777777" w:rsidR="00E37D61" w:rsidRPr="00E37D61" w:rsidRDefault="00E37D61" w:rsidP="00E37D61">
      <w:pPr>
        <w:pStyle w:val="ListParagraph"/>
        <w:suppressAutoHyphens/>
        <w:ind w:left="10"/>
        <w:jc w:val="center"/>
        <w:rPr>
          <w:b/>
          <w:bCs/>
        </w:rPr>
      </w:pPr>
      <w:r w:rsidRPr="00E37D61">
        <w:rPr>
          <w:b/>
          <w:bCs/>
        </w:rPr>
        <w:t xml:space="preserve">Pedro Lupera </w:t>
      </w:r>
    </w:p>
    <w:p w14:paraId="70516488" w14:textId="77777777" w:rsidR="00E37D61" w:rsidRDefault="00E37D61" w:rsidP="00E37D61">
      <w:pPr>
        <w:pStyle w:val="ListParagraph"/>
        <w:suppressAutoHyphens/>
        <w:ind w:left="10"/>
        <w:jc w:val="center"/>
      </w:pPr>
      <w:r>
        <w:t xml:space="preserve">Consultant </w:t>
      </w:r>
    </w:p>
    <w:p w14:paraId="4C32612E" w14:textId="77777777" w:rsidR="00E37D61" w:rsidRDefault="00E37D61" w:rsidP="00E37D61">
      <w:pPr>
        <w:pStyle w:val="ListParagraph"/>
        <w:suppressAutoHyphens/>
        <w:ind w:left="10"/>
        <w:jc w:val="center"/>
      </w:pPr>
      <w:r>
        <w:t xml:space="preserve">Department of Legal Cooperation </w:t>
      </w:r>
    </w:p>
    <w:p w14:paraId="3682F75E" w14:textId="7D8AAD96" w:rsidR="00E37D61" w:rsidRDefault="00E37D61" w:rsidP="00E37D61">
      <w:pPr>
        <w:pStyle w:val="ListParagraph"/>
        <w:suppressAutoHyphens/>
        <w:ind w:left="10"/>
        <w:jc w:val="center"/>
      </w:pPr>
      <w:r>
        <w:t>OAS Secretariat for Legal Affairs</w:t>
      </w:r>
    </w:p>
    <w:p w14:paraId="5E139F11" w14:textId="77777777" w:rsidR="005C4A9C" w:rsidRDefault="005C4A9C" w:rsidP="00E37D61">
      <w:pPr>
        <w:pStyle w:val="ListParagraph"/>
        <w:suppressAutoHyphens/>
        <w:ind w:left="10"/>
        <w:jc w:val="center"/>
      </w:pPr>
    </w:p>
    <w:p w14:paraId="32FED6DA" w14:textId="758532B2" w:rsidR="005C4A9C" w:rsidRDefault="005C4A9C">
      <w:pPr>
        <w:rPr>
          <w:rFonts w:eastAsiaTheme="minorEastAsia"/>
          <w:sz w:val="22"/>
          <w:szCs w:val="22"/>
        </w:rPr>
      </w:pPr>
      <w:r>
        <w:br w:type="page"/>
      </w:r>
    </w:p>
    <w:p w14:paraId="127853DB" w14:textId="77777777" w:rsidR="005C4A9C" w:rsidRPr="00983246" w:rsidRDefault="005C4A9C" w:rsidP="005C4A9C">
      <w:pPr>
        <w:jc w:val="center"/>
        <w:rPr>
          <w:sz w:val="22"/>
          <w:szCs w:val="22"/>
        </w:rPr>
      </w:pPr>
      <w:r w:rsidRPr="00983246">
        <w:rPr>
          <w:b/>
          <w:bCs/>
          <w:sz w:val="22"/>
          <w:szCs w:val="22"/>
        </w:rPr>
        <w:lastRenderedPageBreak/>
        <w:t>SUMMARY</w:t>
      </w:r>
    </w:p>
    <w:p w14:paraId="2D35B135" w14:textId="77777777" w:rsidR="005C4A9C" w:rsidRPr="00983246" w:rsidRDefault="005C4A9C" w:rsidP="005C4A9C">
      <w:pPr>
        <w:jc w:val="center"/>
        <w:rPr>
          <w:b/>
          <w:bCs/>
          <w:sz w:val="22"/>
          <w:szCs w:val="22"/>
        </w:rPr>
      </w:pPr>
    </w:p>
    <w:p w14:paraId="3A29AD97" w14:textId="77777777" w:rsidR="00AB2E54" w:rsidRPr="00983246" w:rsidRDefault="00AB2E54" w:rsidP="00AB2E54">
      <w:pPr>
        <w:jc w:val="both"/>
        <w:rPr>
          <w:sz w:val="22"/>
          <w:szCs w:val="22"/>
        </w:rPr>
      </w:pPr>
      <w:r w:rsidRPr="00983246">
        <w:rPr>
          <w:sz w:val="22"/>
          <w:szCs w:val="22"/>
        </w:rPr>
        <w:t xml:space="preserve">This Report contains comprehensive review of the implementation in </w:t>
      </w:r>
      <w:r>
        <w:rPr>
          <w:sz w:val="22"/>
          <w:szCs w:val="22"/>
        </w:rPr>
        <w:t>the United States</w:t>
      </w:r>
      <w:r w:rsidRPr="00983246">
        <w:rPr>
          <w:sz w:val="22"/>
          <w:szCs w:val="22"/>
        </w:rPr>
        <w:t xml:space="preserve"> of Article XVI of the Inter-American Convention against Corruption, on bank secrecy, which was selected by the Committee of Experts of the MESICIC for the Sixth Round. The Report also includes a comprehensive review of the implementation of the recommendations formulated to </w:t>
      </w:r>
      <w:r>
        <w:rPr>
          <w:sz w:val="22"/>
          <w:szCs w:val="22"/>
        </w:rPr>
        <w:t>the United States</w:t>
      </w:r>
      <w:r w:rsidRPr="00983246">
        <w:rPr>
          <w:sz w:val="22"/>
          <w:szCs w:val="22"/>
        </w:rPr>
        <w:t xml:space="preserve"> in the Third Round, which refer respectively to: denial or prevention of favorable tax treatment for expenditures made in violation of anticorruption laws (Article III, paragraph 7 of the Convention); prevention of bribery of domestic and foreign government officials (Article III, paragraph 10 of the Convention);</w:t>
      </w:r>
      <w:r>
        <w:rPr>
          <w:sz w:val="22"/>
          <w:szCs w:val="22"/>
        </w:rPr>
        <w:t xml:space="preserve"> and</w:t>
      </w:r>
      <w:r w:rsidRPr="00983246">
        <w:rPr>
          <w:sz w:val="22"/>
          <w:szCs w:val="22"/>
        </w:rPr>
        <w:t xml:space="preserve"> transnational bribery (Article VIII of the Convention). </w:t>
      </w:r>
    </w:p>
    <w:p w14:paraId="6BF55A70" w14:textId="77777777" w:rsidR="00AB2E54" w:rsidRPr="00983246" w:rsidRDefault="00AB2E54" w:rsidP="00AB2E54">
      <w:pPr>
        <w:jc w:val="both"/>
        <w:rPr>
          <w:sz w:val="22"/>
          <w:szCs w:val="22"/>
        </w:rPr>
      </w:pPr>
    </w:p>
    <w:p w14:paraId="3E9B59B2" w14:textId="77777777" w:rsidR="00AB2E54" w:rsidRPr="00983246" w:rsidRDefault="00AB2E54" w:rsidP="00AB2E54">
      <w:pPr>
        <w:jc w:val="both"/>
        <w:rPr>
          <w:sz w:val="22"/>
          <w:szCs w:val="22"/>
        </w:rPr>
      </w:pPr>
      <w:r w:rsidRPr="00983246">
        <w:rPr>
          <w:sz w:val="22"/>
          <w:szCs w:val="22"/>
        </w:rPr>
        <w:t>The review was conducted in accordance with the Convention, the Report of Buenos Aires, the Committee’s Rules of Procedure, and the Methodologies adopted for conducting on-site visits and for the Sixth Round, including the criteria set out therein for guiding the review based on equal treatment for all States Parties, functional equivalence, and the common purpose of both the Convention and the MESICIC of promoting, facilitating, and strengthening cooperation among the States Parties in the prevention, detection, punishment, and eradication of corruption.</w:t>
      </w:r>
    </w:p>
    <w:p w14:paraId="68CCE7CA" w14:textId="77777777" w:rsidR="00AB2E54" w:rsidRPr="00983246" w:rsidRDefault="00AB2E54" w:rsidP="00AB2E54">
      <w:pPr>
        <w:jc w:val="both"/>
        <w:rPr>
          <w:sz w:val="22"/>
          <w:szCs w:val="22"/>
        </w:rPr>
      </w:pPr>
    </w:p>
    <w:p w14:paraId="17E52054" w14:textId="77777777" w:rsidR="00AB2E54" w:rsidRPr="00983246" w:rsidRDefault="00AB2E54" w:rsidP="00AB2E54">
      <w:pPr>
        <w:jc w:val="both"/>
        <w:rPr>
          <w:sz w:val="22"/>
          <w:szCs w:val="22"/>
        </w:rPr>
      </w:pPr>
      <w:r w:rsidRPr="00983246">
        <w:rPr>
          <w:sz w:val="22"/>
          <w:szCs w:val="22"/>
        </w:rPr>
        <w:t xml:space="preserve">The review was carried out mainly </w:t>
      </w:r>
      <w:proofErr w:type="gramStart"/>
      <w:r w:rsidRPr="00983246">
        <w:rPr>
          <w:sz w:val="22"/>
          <w:szCs w:val="22"/>
        </w:rPr>
        <w:t>taking into account</w:t>
      </w:r>
      <w:proofErr w:type="gramEnd"/>
      <w:r w:rsidRPr="00983246">
        <w:rPr>
          <w:sz w:val="22"/>
          <w:szCs w:val="22"/>
        </w:rPr>
        <w:t xml:space="preserve"> the Response to the Questionnaire by </w:t>
      </w:r>
      <w:r>
        <w:rPr>
          <w:sz w:val="22"/>
          <w:szCs w:val="22"/>
        </w:rPr>
        <w:t>the United States</w:t>
      </w:r>
      <w:r w:rsidRPr="00983246">
        <w:rPr>
          <w:sz w:val="22"/>
          <w:szCs w:val="22"/>
        </w:rPr>
        <w:t xml:space="preserve"> and information gathered during the on-site visit conducted between </w:t>
      </w:r>
      <w:r>
        <w:rPr>
          <w:sz w:val="22"/>
          <w:szCs w:val="22"/>
        </w:rPr>
        <w:t>October 18</w:t>
      </w:r>
      <w:r w:rsidRPr="00983246">
        <w:rPr>
          <w:sz w:val="22"/>
          <w:szCs w:val="22"/>
        </w:rPr>
        <w:t xml:space="preserve"> – </w:t>
      </w:r>
      <w:r>
        <w:rPr>
          <w:sz w:val="22"/>
          <w:szCs w:val="22"/>
        </w:rPr>
        <w:t>20</w:t>
      </w:r>
      <w:r w:rsidRPr="00983246">
        <w:rPr>
          <w:sz w:val="22"/>
          <w:szCs w:val="22"/>
        </w:rPr>
        <w:t xml:space="preserve">, 2023, by representatives of </w:t>
      </w:r>
      <w:r>
        <w:rPr>
          <w:sz w:val="22"/>
          <w:szCs w:val="22"/>
        </w:rPr>
        <w:t>Saint Lucia and The Bahamas</w:t>
      </w:r>
      <w:r w:rsidRPr="00983246">
        <w:rPr>
          <w:sz w:val="22"/>
          <w:szCs w:val="22"/>
        </w:rPr>
        <w:t xml:space="preserve">, with the support of the Technical Secretarial. During that visit, the information furnished by </w:t>
      </w:r>
      <w:r>
        <w:rPr>
          <w:sz w:val="22"/>
          <w:szCs w:val="22"/>
        </w:rPr>
        <w:t>the United States</w:t>
      </w:r>
      <w:r w:rsidRPr="00983246">
        <w:rPr>
          <w:sz w:val="22"/>
          <w:szCs w:val="22"/>
        </w:rPr>
        <w:t xml:space="preserve"> was clarified and supplemented with the opinions of civil society organizations.</w:t>
      </w:r>
    </w:p>
    <w:p w14:paraId="4C15F83A" w14:textId="77777777" w:rsidR="00AB2E54" w:rsidRPr="00983246" w:rsidRDefault="00AB2E54" w:rsidP="00AB2E54">
      <w:pPr>
        <w:jc w:val="both"/>
        <w:rPr>
          <w:sz w:val="22"/>
          <w:szCs w:val="22"/>
        </w:rPr>
      </w:pPr>
    </w:p>
    <w:p w14:paraId="01E0AE61" w14:textId="77777777" w:rsidR="00AB2E54" w:rsidRPr="00983246" w:rsidRDefault="00AB2E54" w:rsidP="00AB2E54">
      <w:pPr>
        <w:jc w:val="both"/>
        <w:rPr>
          <w:sz w:val="22"/>
          <w:szCs w:val="22"/>
        </w:rPr>
      </w:pPr>
      <w:r w:rsidRPr="00983246">
        <w:rPr>
          <w:sz w:val="22"/>
          <w:szCs w:val="22"/>
        </w:rPr>
        <w:t xml:space="preserve">With regard to the implementation of the recommendations that were formulated to </w:t>
      </w:r>
      <w:r>
        <w:rPr>
          <w:sz w:val="22"/>
          <w:szCs w:val="22"/>
        </w:rPr>
        <w:t>the United States</w:t>
      </w:r>
      <w:r w:rsidRPr="00983246">
        <w:rPr>
          <w:sz w:val="22"/>
          <w:szCs w:val="22"/>
        </w:rPr>
        <w:t xml:space="preserve"> in the Report of the Third Round, based on the Methodology for the Sixth Round and bearing in mind the information provided in the Response to the Questionnaire and during the virtual on-site visit, the Committee made a determination as to which of those recommendations have been satisfactorily implemented, which require additional attention, which need to be reformulated, and which are no longer valid.</w:t>
      </w:r>
    </w:p>
    <w:p w14:paraId="238E6288" w14:textId="77777777" w:rsidR="00AB2E54" w:rsidRPr="00983246" w:rsidRDefault="00AB2E54" w:rsidP="00AB2E54">
      <w:pPr>
        <w:jc w:val="both"/>
        <w:rPr>
          <w:sz w:val="22"/>
          <w:szCs w:val="22"/>
        </w:rPr>
      </w:pPr>
    </w:p>
    <w:p w14:paraId="2866C417" w14:textId="77777777" w:rsidR="00AB2E54" w:rsidRPr="00983246" w:rsidRDefault="00AB2E54" w:rsidP="00AB2E54">
      <w:pPr>
        <w:jc w:val="both"/>
        <w:rPr>
          <w:sz w:val="22"/>
          <w:szCs w:val="22"/>
        </w:rPr>
      </w:pPr>
      <w:r w:rsidRPr="00983246">
        <w:rPr>
          <w:sz w:val="22"/>
          <w:szCs w:val="22"/>
        </w:rPr>
        <w:t xml:space="preserve">With respect to the </w:t>
      </w:r>
      <w:r w:rsidRPr="00983246">
        <w:rPr>
          <w:b/>
          <w:bCs/>
          <w:sz w:val="22"/>
          <w:szCs w:val="22"/>
        </w:rPr>
        <w:t>denial or prevention of favorable tax treatment for expenditures made in violation of anticorruption laws</w:t>
      </w:r>
      <w:r w:rsidRPr="00983246">
        <w:rPr>
          <w:sz w:val="22"/>
          <w:szCs w:val="22"/>
        </w:rPr>
        <w:t>, it is pertinent to highlight that measures such as</w:t>
      </w:r>
      <w:r>
        <w:rPr>
          <w:sz w:val="22"/>
          <w:szCs w:val="22"/>
        </w:rPr>
        <w:t xml:space="preserve"> manuals, </w:t>
      </w:r>
      <w:proofErr w:type="gramStart"/>
      <w:r>
        <w:rPr>
          <w:sz w:val="22"/>
          <w:szCs w:val="22"/>
        </w:rPr>
        <w:t>guidelines</w:t>
      </w:r>
      <w:proofErr w:type="gramEnd"/>
      <w:r>
        <w:rPr>
          <w:sz w:val="22"/>
          <w:szCs w:val="22"/>
        </w:rPr>
        <w:t xml:space="preserve"> or directive to guide those reviewing applications to receive tax benefits; and </w:t>
      </w:r>
      <w:r w:rsidRPr="00983246">
        <w:rPr>
          <w:sz w:val="22"/>
          <w:szCs w:val="22"/>
        </w:rPr>
        <w:t xml:space="preserve">computer programs that facilitate data consultation; have been established for detecting sums paid for acts of corruption. With respect to the </w:t>
      </w:r>
      <w:r w:rsidRPr="00983246">
        <w:rPr>
          <w:b/>
          <w:bCs/>
          <w:sz w:val="22"/>
          <w:szCs w:val="22"/>
        </w:rPr>
        <w:t>prevention of bribery and domestic and foreign public officials</w:t>
      </w:r>
      <w:r w:rsidRPr="00983246">
        <w:rPr>
          <w:sz w:val="22"/>
          <w:szCs w:val="22"/>
        </w:rPr>
        <w:t xml:space="preserve">, it is pertinent to highlight that </w:t>
      </w:r>
      <w:r>
        <w:rPr>
          <w:sz w:val="22"/>
          <w:szCs w:val="22"/>
        </w:rPr>
        <w:t>computer programs are</w:t>
      </w:r>
      <w:r w:rsidRPr="00983246">
        <w:rPr>
          <w:sz w:val="22"/>
          <w:szCs w:val="22"/>
        </w:rPr>
        <w:t xml:space="preserve"> being utilized to </w:t>
      </w:r>
      <w:r>
        <w:rPr>
          <w:sz w:val="22"/>
          <w:szCs w:val="22"/>
        </w:rPr>
        <w:t>provide easy access to information for verifying the veracity of</w:t>
      </w:r>
      <w:r w:rsidRPr="00983246">
        <w:rPr>
          <w:sz w:val="22"/>
          <w:szCs w:val="22"/>
        </w:rPr>
        <w:t xml:space="preserve"> accounting records. With respect to </w:t>
      </w:r>
      <w:r w:rsidRPr="00983246">
        <w:rPr>
          <w:b/>
          <w:bCs/>
          <w:sz w:val="22"/>
          <w:szCs w:val="22"/>
        </w:rPr>
        <w:t>transnational bribery</w:t>
      </w:r>
      <w:r w:rsidRPr="00983246">
        <w:rPr>
          <w:sz w:val="22"/>
          <w:szCs w:val="22"/>
        </w:rPr>
        <w:t xml:space="preserve">, it is pertinent to highlight </w:t>
      </w:r>
      <w:r>
        <w:rPr>
          <w:sz w:val="22"/>
          <w:szCs w:val="22"/>
        </w:rPr>
        <w:t>the periodical review of the policies and approach on facilitation payments</w:t>
      </w:r>
      <w:r w:rsidRPr="00983246">
        <w:rPr>
          <w:sz w:val="22"/>
          <w:szCs w:val="22"/>
        </w:rPr>
        <w:t xml:space="preserve">. </w:t>
      </w:r>
    </w:p>
    <w:p w14:paraId="097D782E" w14:textId="77777777" w:rsidR="00AB2E54" w:rsidRPr="00983246" w:rsidRDefault="00AB2E54" w:rsidP="00AB2E54">
      <w:pPr>
        <w:jc w:val="both"/>
        <w:rPr>
          <w:sz w:val="22"/>
          <w:szCs w:val="22"/>
        </w:rPr>
      </w:pPr>
    </w:p>
    <w:p w14:paraId="2D783DAD" w14:textId="7A4D8DFD" w:rsidR="00AB2E54" w:rsidRPr="0077289D" w:rsidRDefault="00AB2E54" w:rsidP="00AB2E54">
      <w:pPr>
        <w:jc w:val="both"/>
        <w:rPr>
          <w:sz w:val="22"/>
          <w:szCs w:val="22"/>
        </w:rPr>
      </w:pPr>
      <w:r w:rsidRPr="0077289D">
        <w:rPr>
          <w:sz w:val="22"/>
          <w:szCs w:val="22"/>
        </w:rPr>
        <w:t>Some of the recommendations formulated in the Third Round that remain valid or have been reformulated address issues such as:</w:t>
      </w:r>
      <w:r w:rsidRPr="00983246">
        <w:rPr>
          <w:sz w:val="22"/>
          <w:szCs w:val="22"/>
        </w:rPr>
        <w:t xml:space="preserve"> </w:t>
      </w:r>
      <w:r w:rsidRPr="0077289D">
        <w:rPr>
          <w:sz w:val="22"/>
          <w:szCs w:val="22"/>
        </w:rPr>
        <w:t>consider continuing to make efforts to ensure that facilitation payments do not receive favorable tax treatment, taking into consideration that these payments are not criminalized in the country under review</w:t>
      </w:r>
      <w:r>
        <w:rPr>
          <w:sz w:val="22"/>
          <w:szCs w:val="22"/>
        </w:rPr>
        <w:t>; r</w:t>
      </w:r>
      <w:r w:rsidRPr="005C0718">
        <w:rPr>
          <w:sz w:val="22"/>
          <w:szCs w:val="22"/>
        </w:rPr>
        <w:t xml:space="preserve">equire </w:t>
      </w:r>
      <w:r w:rsidRPr="006E1D84">
        <w:rPr>
          <w:sz w:val="22"/>
          <w:szCs w:val="22"/>
        </w:rPr>
        <w:t>tax examiners</w:t>
      </w:r>
      <w:r w:rsidRPr="005C0718">
        <w:rPr>
          <w:sz w:val="22"/>
          <w:szCs w:val="22"/>
        </w:rPr>
        <w:t xml:space="preserve"> to receive mandatory training that raises awareness regarding their role in combating corruption</w:t>
      </w:r>
      <w:r>
        <w:rPr>
          <w:sz w:val="22"/>
          <w:szCs w:val="22"/>
        </w:rPr>
        <w:t xml:space="preserve">, such as </w:t>
      </w:r>
      <w:r w:rsidRPr="005C0718">
        <w:rPr>
          <w:sz w:val="22"/>
          <w:szCs w:val="22"/>
        </w:rPr>
        <w:t>bribery</w:t>
      </w:r>
      <w:r>
        <w:rPr>
          <w:sz w:val="22"/>
          <w:szCs w:val="22"/>
        </w:rPr>
        <w:t>,</w:t>
      </w:r>
      <w:r w:rsidRPr="005C0718">
        <w:rPr>
          <w:sz w:val="22"/>
          <w:szCs w:val="22"/>
        </w:rPr>
        <w:t xml:space="preserve"> in order to facilitate the possibility of referrals being made to </w:t>
      </w:r>
      <w:r>
        <w:rPr>
          <w:sz w:val="22"/>
          <w:szCs w:val="22"/>
        </w:rPr>
        <w:t>the IRS Criminal Division</w:t>
      </w:r>
      <w:r w:rsidRPr="005C0718">
        <w:rPr>
          <w:sz w:val="22"/>
          <w:szCs w:val="22"/>
        </w:rPr>
        <w:t xml:space="preserve"> on the matter</w:t>
      </w:r>
      <w:r>
        <w:rPr>
          <w:sz w:val="22"/>
          <w:szCs w:val="22"/>
        </w:rPr>
        <w:t>; and c</w:t>
      </w:r>
      <w:r w:rsidRPr="0077289D">
        <w:rPr>
          <w:sz w:val="22"/>
          <w:szCs w:val="22"/>
        </w:rPr>
        <w:t xml:space="preserve">onsider adopting, through the means it deems appropriate, any additional measures that might be beneficial, to further promote that professional confidentiality is not an obstacle for </w:t>
      </w:r>
      <w:r w:rsidR="00F005BA" w:rsidRPr="006E1D84">
        <w:rPr>
          <w:sz w:val="22"/>
          <w:szCs w:val="22"/>
        </w:rPr>
        <w:t xml:space="preserve">private sector </w:t>
      </w:r>
      <w:r w:rsidRPr="006E1D84">
        <w:rPr>
          <w:sz w:val="22"/>
          <w:szCs w:val="22"/>
        </w:rPr>
        <w:t>auditors</w:t>
      </w:r>
      <w:r w:rsidRPr="0077289D">
        <w:rPr>
          <w:sz w:val="22"/>
          <w:szCs w:val="22"/>
        </w:rPr>
        <w:t xml:space="preserve"> whose activities are governed by the AICPA and its Code of Conduct to bring to the attention of the appropriate authorities any acts of corruption of which they become aware in the performance of their duties</w:t>
      </w:r>
      <w:r>
        <w:rPr>
          <w:sz w:val="22"/>
          <w:szCs w:val="22"/>
        </w:rPr>
        <w:t>.</w:t>
      </w:r>
    </w:p>
    <w:p w14:paraId="78E2DBD4" w14:textId="77777777" w:rsidR="00AB2E54" w:rsidRPr="00983246" w:rsidRDefault="00AB2E54" w:rsidP="00AB2E54">
      <w:pPr>
        <w:jc w:val="both"/>
        <w:rPr>
          <w:sz w:val="22"/>
          <w:szCs w:val="22"/>
        </w:rPr>
      </w:pPr>
    </w:p>
    <w:p w14:paraId="321846E2" w14:textId="77777777" w:rsidR="00AB2E54" w:rsidRPr="00A25B56" w:rsidRDefault="00AB2E54" w:rsidP="00AB2E54">
      <w:pPr>
        <w:jc w:val="both"/>
        <w:rPr>
          <w:color w:val="000000"/>
          <w:sz w:val="22"/>
          <w:szCs w:val="22"/>
        </w:rPr>
      </w:pPr>
      <w:r w:rsidRPr="00A25B56">
        <w:rPr>
          <w:sz w:val="22"/>
          <w:szCs w:val="22"/>
        </w:rPr>
        <w:lastRenderedPageBreak/>
        <w:t>In</w:t>
      </w:r>
      <w:r w:rsidRPr="00983246">
        <w:rPr>
          <w:color w:val="000000"/>
          <w:sz w:val="22"/>
          <w:szCs w:val="22"/>
        </w:rPr>
        <w:t xml:space="preserve"> addition, regarding new developments in </w:t>
      </w:r>
      <w:r>
        <w:rPr>
          <w:color w:val="000000"/>
          <w:sz w:val="22"/>
          <w:szCs w:val="22"/>
        </w:rPr>
        <w:t>the United States</w:t>
      </w:r>
      <w:r w:rsidRPr="00983246">
        <w:rPr>
          <w:color w:val="000000"/>
          <w:sz w:val="22"/>
          <w:szCs w:val="22"/>
        </w:rPr>
        <w:t xml:space="preserve"> with respect to the implementation of the provisions of the Convention selected for the Third Round, the Committee formulated recommendations, such as</w:t>
      </w:r>
      <w:r w:rsidRPr="00A25B56">
        <w:rPr>
          <w:color w:val="000000"/>
          <w:sz w:val="22"/>
          <w:szCs w:val="22"/>
        </w:rPr>
        <w:t xml:space="preserve"> consider taking the legislative steps to remove the facilitation payment exception in the Foreign Corrupt Practices Act.</w:t>
      </w:r>
    </w:p>
    <w:p w14:paraId="6864111C" w14:textId="77777777" w:rsidR="00AB2E54" w:rsidRDefault="00AB2E54" w:rsidP="00AB2E54">
      <w:pPr>
        <w:jc w:val="both"/>
        <w:rPr>
          <w:bCs/>
          <w:sz w:val="22"/>
          <w:szCs w:val="22"/>
        </w:rPr>
      </w:pPr>
    </w:p>
    <w:p w14:paraId="61F1442C" w14:textId="72056C77" w:rsidR="00AB2E54" w:rsidRPr="00346AAE" w:rsidRDefault="00AB2E54" w:rsidP="00AB2E54">
      <w:pPr>
        <w:jc w:val="both"/>
      </w:pPr>
      <w:r w:rsidRPr="005C4A9C">
        <w:rPr>
          <w:bCs/>
          <w:sz w:val="22"/>
          <w:szCs w:val="22"/>
        </w:rPr>
        <w:t>For</w:t>
      </w:r>
      <w:r w:rsidRPr="00983246">
        <w:rPr>
          <w:sz w:val="22"/>
          <w:szCs w:val="22"/>
        </w:rPr>
        <w:t xml:space="preserve"> the review </w:t>
      </w:r>
      <w:r w:rsidRPr="00763535">
        <w:rPr>
          <w:sz w:val="22"/>
          <w:szCs w:val="22"/>
        </w:rPr>
        <w:t xml:space="preserve">of the provision selected in the Sixth Round that refer to </w:t>
      </w:r>
      <w:r w:rsidRPr="00763535">
        <w:rPr>
          <w:b/>
          <w:bCs/>
          <w:sz w:val="22"/>
          <w:szCs w:val="22"/>
        </w:rPr>
        <w:t>bank secrecy</w:t>
      </w:r>
      <w:r w:rsidRPr="00763535">
        <w:rPr>
          <w:sz w:val="22"/>
          <w:szCs w:val="22"/>
        </w:rPr>
        <w:t>,</w:t>
      </w:r>
      <w:r w:rsidRPr="00763535">
        <w:rPr>
          <w:b/>
          <w:bCs/>
          <w:sz w:val="22"/>
          <w:szCs w:val="22"/>
        </w:rPr>
        <w:t xml:space="preserve"> </w:t>
      </w:r>
      <w:r w:rsidRPr="00763535">
        <w:rPr>
          <w:sz w:val="22"/>
          <w:szCs w:val="22"/>
        </w:rPr>
        <w:t xml:space="preserve">some of the recommendations made to </w:t>
      </w:r>
      <w:r>
        <w:rPr>
          <w:sz w:val="22"/>
          <w:szCs w:val="22"/>
        </w:rPr>
        <w:t>the United States</w:t>
      </w:r>
      <w:r w:rsidRPr="00763535">
        <w:rPr>
          <w:sz w:val="22"/>
          <w:szCs w:val="22"/>
        </w:rPr>
        <w:t xml:space="preserve"> for its consideration focus on</w:t>
      </w:r>
      <w:r w:rsidRPr="006E1D84">
        <w:rPr>
          <w:sz w:val="22"/>
          <w:szCs w:val="22"/>
        </w:rPr>
        <w:t xml:space="preserve">: </w:t>
      </w:r>
      <w:r w:rsidR="005B61B1" w:rsidRPr="006E1D84">
        <w:rPr>
          <w:sz w:val="22"/>
          <w:szCs w:val="22"/>
        </w:rPr>
        <w:t>r</w:t>
      </w:r>
      <w:r w:rsidR="005B61B1" w:rsidRPr="006E1D84">
        <w:rPr>
          <w:rFonts w:hint="eastAsia"/>
          <w:sz w:val="22"/>
          <w:szCs w:val="22"/>
        </w:rPr>
        <w:t xml:space="preserve">outinely evaluate practices used to ensure </w:t>
      </w:r>
      <w:r w:rsidR="005B61B1" w:rsidRPr="006E1D84">
        <w:rPr>
          <w:sz w:val="22"/>
          <w:szCs w:val="22"/>
        </w:rPr>
        <w:t xml:space="preserve">that banking information received by the United States is only used for the purpose for which the information was requested; </w:t>
      </w:r>
      <w:r w:rsidRPr="006E1D84">
        <w:rPr>
          <w:sz w:val="22"/>
          <w:szCs w:val="22"/>
        </w:rPr>
        <w:t xml:space="preserve">and </w:t>
      </w:r>
      <w:r w:rsidRPr="006E1D84">
        <w:t>regularly evaluate</w:t>
      </w:r>
      <w:r w:rsidRPr="00763535">
        <w:rPr>
          <w:rStyle w:val="normaltextrun"/>
          <w:rFonts w:eastAsia="Calibri"/>
          <w:iCs/>
          <w:sz w:val="22"/>
          <w:szCs w:val="22"/>
        </w:rPr>
        <w:t xml:space="preserve"> if existing policies and practices allow</w:t>
      </w:r>
      <w:r w:rsidRPr="00763535">
        <w:rPr>
          <w:rStyle w:val="normaltextrun"/>
          <w:rFonts w:eastAsia="Calibri"/>
          <w:i/>
          <w:sz w:val="22"/>
          <w:szCs w:val="22"/>
        </w:rPr>
        <w:t xml:space="preserve"> </w:t>
      </w:r>
      <w:r w:rsidRPr="00763535">
        <w:rPr>
          <w:rStyle w:val="normaltextrun"/>
          <w:rFonts w:eastAsia="Calibri"/>
          <w:sz w:val="22"/>
          <w:szCs w:val="22"/>
        </w:rPr>
        <w:t xml:space="preserve">for processing and responding to requests for assistance by another State Party for banking information related to an act of corruption </w:t>
      </w:r>
      <w:r w:rsidRPr="00763535">
        <w:rPr>
          <w:rStyle w:val="normaltextrun"/>
          <w:rFonts w:eastAsia="Calibri"/>
          <w:iCs/>
          <w:sz w:val="22"/>
          <w:szCs w:val="22"/>
        </w:rPr>
        <w:t>in a timely manner.</w:t>
      </w:r>
    </w:p>
    <w:p w14:paraId="11F6DE23" w14:textId="5ABDB084" w:rsidR="005C4A9C" w:rsidRPr="00346AAE" w:rsidRDefault="005C4A9C" w:rsidP="005C4A9C">
      <w:pPr>
        <w:jc w:val="both"/>
      </w:pPr>
    </w:p>
    <w:sectPr w:rsidR="005C4A9C" w:rsidRPr="00346AAE" w:rsidSect="003102DF">
      <w:headerReference w:type="default" r:id="rId14"/>
      <w:headerReference w:type="first" r:id="rId1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0803" w14:textId="77777777" w:rsidR="00FA24DB" w:rsidRDefault="00FA24DB" w:rsidP="00D12559">
      <w:r>
        <w:separator/>
      </w:r>
    </w:p>
  </w:endnote>
  <w:endnote w:type="continuationSeparator" w:id="0">
    <w:p w14:paraId="1CF373CB" w14:textId="77777777" w:rsidR="00FA24DB" w:rsidRDefault="00FA24DB" w:rsidP="00D12559">
      <w:r>
        <w:continuationSeparator/>
      </w:r>
    </w:p>
  </w:endnote>
  <w:endnote w:type="continuationNotice" w:id="1">
    <w:p w14:paraId="2637956E" w14:textId="77777777" w:rsidR="00FA24DB" w:rsidRDefault="00FA2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ino Sans">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CF3" w14:textId="77777777" w:rsidR="00FB448C" w:rsidRDefault="00FB448C" w:rsidP="00F44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204E9" w14:textId="77777777" w:rsidR="00FB448C" w:rsidRDefault="00FB448C" w:rsidP="00F44977">
    <w:pPr>
      <w:pStyle w:val="Footer"/>
      <w:ind w:right="360"/>
    </w:pPr>
  </w:p>
  <w:p w14:paraId="03A147DA" w14:textId="77777777" w:rsidR="00FB448C" w:rsidRDefault="00FB44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36F" w14:textId="77777777" w:rsidR="00FB448C" w:rsidRDefault="00FB448C" w:rsidP="00F449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7DAC" w14:textId="77777777" w:rsidR="00FA24DB" w:rsidRDefault="00FA24DB" w:rsidP="00D12559">
      <w:r>
        <w:separator/>
      </w:r>
    </w:p>
  </w:footnote>
  <w:footnote w:type="continuationSeparator" w:id="0">
    <w:p w14:paraId="5B19BB9E" w14:textId="77777777" w:rsidR="00FA24DB" w:rsidRDefault="00FA24DB" w:rsidP="00D12559">
      <w:r>
        <w:continuationSeparator/>
      </w:r>
    </w:p>
  </w:footnote>
  <w:footnote w:type="continuationNotice" w:id="1">
    <w:p w14:paraId="6EEFB099" w14:textId="77777777" w:rsidR="00FA24DB" w:rsidRDefault="00FA24DB"/>
  </w:footnote>
  <w:footnote w:id="2">
    <w:p w14:paraId="19CC8511" w14:textId="179DF8DD" w:rsidR="00FB448C" w:rsidRPr="003A571A" w:rsidRDefault="00FB448C"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3F56AE" w:rsidRPr="003A571A">
        <w:rPr>
          <w:sz w:val="18"/>
          <w:szCs w:val="18"/>
          <w:lang w:val="en-US"/>
        </w:rPr>
        <w:t>This draft preliminary Report was prepared in accordance with Articles 23(a) and 28 of the Committee’s Rules of Procedure (SG/MESICIC/doc.9/02 rev. 5), and the Methodology for follow-up of implementation of the recommendations formulated and provisions reviewed in the Third Round and for the review of the provisions of the Convention selected for the Sixth Round (document (SG/MESICIC/doc.561/20 rev.3) and the format for country reports. These last two documents were adopted by the Committee at its Thirty-Fourth Meeting, held at OAS Headquarters in Washington D.C., United States of America, from March 9 to 12, 2020</w:t>
      </w:r>
      <w:r w:rsidRPr="003A571A">
        <w:rPr>
          <w:sz w:val="18"/>
          <w:szCs w:val="18"/>
          <w:lang w:val="en-US"/>
        </w:rPr>
        <w:t>.</w:t>
      </w:r>
    </w:p>
  </w:footnote>
  <w:footnote w:id="3">
    <w:p w14:paraId="5FCE5BAF" w14:textId="77777777" w:rsidR="00157547" w:rsidRPr="003A571A" w:rsidRDefault="00FB448C"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157547" w:rsidRPr="003A571A">
        <w:rPr>
          <w:sz w:val="18"/>
          <w:szCs w:val="18"/>
          <w:lang w:val="en-US"/>
        </w:rPr>
        <w:t xml:space="preserve">See the Minutes of the 34th Meeting of the Committee, available at: </w:t>
      </w:r>
    </w:p>
    <w:p w14:paraId="7F072403" w14:textId="5C651AEA" w:rsidR="00FB448C" w:rsidRPr="003A571A" w:rsidRDefault="00000000" w:rsidP="004C3313">
      <w:pPr>
        <w:pStyle w:val="FootnoteText"/>
        <w:jc w:val="both"/>
        <w:rPr>
          <w:sz w:val="18"/>
          <w:szCs w:val="18"/>
          <w:lang w:val="en-US"/>
        </w:rPr>
      </w:pPr>
      <w:hyperlink r:id="rId1" w:history="1">
        <w:r w:rsidR="00157547" w:rsidRPr="003A571A">
          <w:rPr>
            <w:rStyle w:val="Hyperlink"/>
            <w:sz w:val="18"/>
            <w:szCs w:val="18"/>
            <w:lang w:val="en-US"/>
          </w:rPr>
          <w:t>http://www.oas.org/en/sla/dlc/mesicic/docs/34reunion_acta_ing.pdf</w:t>
        </w:r>
      </w:hyperlink>
    </w:p>
  </w:footnote>
  <w:footnote w:id="4">
    <w:p w14:paraId="2F79F556" w14:textId="272B44ED" w:rsidR="001E6FE5" w:rsidRPr="003A571A" w:rsidRDefault="00FB448C" w:rsidP="004C3313">
      <w:pPr>
        <w:pStyle w:val="FootnoteText"/>
        <w:jc w:val="both"/>
        <w:rPr>
          <w:sz w:val="18"/>
          <w:szCs w:val="18"/>
          <w:lang w:val="en-US"/>
        </w:rPr>
      </w:pPr>
      <w:r w:rsidRPr="003A571A">
        <w:rPr>
          <w:rStyle w:val="FootnoteReference"/>
          <w:sz w:val="18"/>
          <w:szCs w:val="18"/>
          <w:lang w:val="en-US"/>
        </w:rPr>
        <w:footnoteRef/>
      </w:r>
      <w:r w:rsidR="001E6FE5" w:rsidRPr="003A571A">
        <w:rPr>
          <w:sz w:val="18"/>
          <w:szCs w:val="18"/>
          <w:lang w:val="en-US"/>
        </w:rPr>
        <w:t xml:space="preserve"> </w:t>
      </w:r>
      <w:r w:rsidR="00F2179C" w:rsidRPr="003A571A">
        <w:rPr>
          <w:sz w:val="18"/>
          <w:szCs w:val="18"/>
          <w:lang w:val="en-US"/>
        </w:rPr>
        <w:t xml:space="preserve">Report on Implementation in </w:t>
      </w:r>
      <w:r w:rsidR="006E3111" w:rsidRPr="003A571A">
        <w:rPr>
          <w:sz w:val="18"/>
          <w:szCs w:val="18"/>
          <w:lang w:val="en-US"/>
        </w:rPr>
        <w:t>the United States</w:t>
      </w:r>
      <w:r w:rsidR="00F2179C" w:rsidRPr="003A571A">
        <w:rPr>
          <w:sz w:val="18"/>
          <w:szCs w:val="18"/>
          <w:lang w:val="en-US"/>
        </w:rPr>
        <w:t xml:space="preserve"> of the Convention Provisions Selected for Review in the Third Round, and on Follow-Up to the Recommendations Formulated to </w:t>
      </w:r>
      <w:r w:rsidR="001E6FE5" w:rsidRPr="003A571A">
        <w:rPr>
          <w:sz w:val="18"/>
          <w:szCs w:val="18"/>
          <w:lang w:val="en-US"/>
        </w:rPr>
        <w:t>that Country</w:t>
      </w:r>
      <w:r w:rsidR="00F2179C" w:rsidRPr="003A571A">
        <w:rPr>
          <w:sz w:val="18"/>
          <w:szCs w:val="18"/>
          <w:lang w:val="en-US"/>
        </w:rPr>
        <w:t xml:space="preserve"> in Previous Rounds</w:t>
      </w:r>
      <w:r w:rsidR="00185DF0" w:rsidRPr="003A571A">
        <w:rPr>
          <w:sz w:val="18"/>
          <w:szCs w:val="18"/>
          <w:lang w:val="en-US"/>
        </w:rPr>
        <w:t>,</w:t>
      </w:r>
    </w:p>
    <w:p w14:paraId="1628816E" w14:textId="7C4E6B01" w:rsidR="00FB448C" w:rsidRPr="003A571A" w:rsidRDefault="00185DF0" w:rsidP="004C3313">
      <w:pPr>
        <w:pStyle w:val="FootnoteText"/>
        <w:jc w:val="both"/>
        <w:rPr>
          <w:sz w:val="18"/>
          <w:szCs w:val="18"/>
          <w:lang w:val="en-US"/>
        </w:rPr>
      </w:pPr>
      <w:r w:rsidRPr="003A571A">
        <w:rPr>
          <w:sz w:val="18"/>
          <w:szCs w:val="18"/>
          <w:lang w:val="en-US"/>
        </w:rPr>
        <w:t xml:space="preserve"> </w:t>
      </w:r>
      <w:hyperlink r:id="rId2" w:history="1">
        <w:r w:rsidR="006E3111" w:rsidRPr="003A571A">
          <w:rPr>
            <w:rStyle w:val="Hyperlink"/>
            <w:sz w:val="18"/>
            <w:szCs w:val="18"/>
            <w:lang w:val="en-US"/>
          </w:rPr>
          <w:t>http://www.oas.org/en/sla/dlc/mesicic/docs/mesicic3_usa_rep.pdf</w:t>
        </w:r>
      </w:hyperlink>
      <w:r w:rsidR="006E3111" w:rsidRPr="003A571A">
        <w:rPr>
          <w:sz w:val="18"/>
          <w:szCs w:val="18"/>
          <w:lang w:val="en-US"/>
        </w:rPr>
        <w:t xml:space="preserve"> </w:t>
      </w:r>
    </w:p>
  </w:footnote>
  <w:footnote w:id="5">
    <w:p w14:paraId="5BD0FAA8" w14:textId="64474B6F" w:rsidR="00FB448C" w:rsidRPr="003A571A" w:rsidRDefault="00FB448C" w:rsidP="004C3313">
      <w:pPr>
        <w:jc w:val="both"/>
        <w:rPr>
          <w:color w:val="FF0000"/>
          <w:sz w:val="18"/>
          <w:szCs w:val="18"/>
        </w:rPr>
      </w:pPr>
      <w:r w:rsidRPr="003A571A">
        <w:rPr>
          <w:rStyle w:val="FootnoteReference"/>
          <w:sz w:val="18"/>
          <w:szCs w:val="18"/>
        </w:rPr>
        <w:footnoteRef/>
      </w:r>
      <w:r w:rsidRPr="003A571A">
        <w:rPr>
          <w:sz w:val="18"/>
          <w:szCs w:val="18"/>
        </w:rPr>
        <w:t xml:space="preserve"> </w:t>
      </w:r>
      <w:r w:rsidR="000058B7" w:rsidRPr="003A571A">
        <w:rPr>
          <w:sz w:val="18"/>
          <w:szCs w:val="18"/>
        </w:rPr>
        <w:t>Available at:</w:t>
      </w:r>
      <w:r w:rsidR="00867D0C" w:rsidRPr="003A571A">
        <w:rPr>
          <w:sz w:val="18"/>
          <w:szCs w:val="18"/>
        </w:rPr>
        <w:t xml:space="preserve"> </w:t>
      </w:r>
      <w:hyperlink r:id="rId3" w:history="1">
        <w:r w:rsidR="00867D0C" w:rsidRPr="003A571A">
          <w:rPr>
            <w:rStyle w:val="Hyperlink"/>
            <w:sz w:val="18"/>
            <w:szCs w:val="18"/>
          </w:rPr>
          <w:t>http://www.oas.org/en/sla/dlc/mesicic/paises-rondas.html?c=United%20States&amp;r=6</w:t>
        </w:r>
      </w:hyperlink>
      <w:r w:rsidR="00867D0C" w:rsidRPr="003A571A">
        <w:rPr>
          <w:sz w:val="18"/>
          <w:szCs w:val="18"/>
        </w:rPr>
        <w:t xml:space="preserve"> </w:t>
      </w:r>
      <w:r w:rsidR="00157547" w:rsidRPr="003A571A">
        <w:rPr>
          <w:sz w:val="18"/>
          <w:szCs w:val="18"/>
        </w:rPr>
        <w:t xml:space="preserve"> </w:t>
      </w:r>
      <w:r w:rsidRPr="003A571A">
        <w:rPr>
          <w:sz w:val="18"/>
          <w:szCs w:val="18"/>
        </w:rPr>
        <w:t xml:space="preserve">  </w:t>
      </w:r>
    </w:p>
  </w:footnote>
  <w:footnote w:id="6">
    <w:p w14:paraId="7B2CEF32" w14:textId="0D1F7877" w:rsidR="00FB448C" w:rsidRPr="003A571A" w:rsidRDefault="00FB448C" w:rsidP="004C3313">
      <w:pPr>
        <w:pStyle w:val="FootnoteText"/>
        <w:tabs>
          <w:tab w:val="left" w:pos="720"/>
        </w:tabs>
        <w:jc w:val="both"/>
        <w:rPr>
          <w:sz w:val="18"/>
          <w:szCs w:val="18"/>
          <w:highlight w:val="yellow"/>
          <w:lang w:val="en-US"/>
        </w:rPr>
      </w:pPr>
      <w:r w:rsidRPr="003A571A">
        <w:rPr>
          <w:rStyle w:val="FootnoteReference"/>
          <w:sz w:val="18"/>
          <w:szCs w:val="18"/>
          <w:lang w:val="en-US"/>
        </w:rPr>
        <w:footnoteRef/>
      </w:r>
      <w:r w:rsidRPr="003A571A">
        <w:rPr>
          <w:sz w:val="18"/>
          <w:szCs w:val="18"/>
          <w:lang w:val="en-US"/>
        </w:rPr>
        <w:t xml:space="preserve"> </w:t>
      </w:r>
      <w:r w:rsidR="001E6FE5" w:rsidRPr="003A571A">
        <w:rPr>
          <w:sz w:val="18"/>
          <w:szCs w:val="18"/>
          <w:lang w:val="en-US"/>
        </w:rPr>
        <w:t xml:space="preserve">Available at: </w:t>
      </w:r>
      <w:hyperlink r:id="rId4" w:history="1">
        <w:r w:rsidR="001E6FE5" w:rsidRPr="003A571A">
          <w:rPr>
            <w:rStyle w:val="Hyperlink"/>
            <w:sz w:val="18"/>
            <w:szCs w:val="18"/>
            <w:lang w:val="en-US"/>
          </w:rPr>
          <w:t>http://www.oas.org/juridico/english/met_onsite.pdf</w:t>
        </w:r>
      </w:hyperlink>
      <w:r w:rsidR="001E6FE5" w:rsidRPr="003A571A">
        <w:rPr>
          <w:sz w:val="18"/>
          <w:szCs w:val="18"/>
          <w:lang w:val="en-US"/>
        </w:rPr>
        <w:t xml:space="preserve"> </w:t>
      </w:r>
    </w:p>
  </w:footnote>
  <w:footnote w:id="7">
    <w:p w14:paraId="20ACD737" w14:textId="3E5D722C" w:rsidR="00437D1D" w:rsidRPr="003A571A" w:rsidRDefault="00437D1D"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1E6FE5" w:rsidRPr="003A571A">
        <w:rPr>
          <w:sz w:val="18"/>
          <w:szCs w:val="18"/>
          <w:lang w:val="en-US"/>
        </w:rPr>
        <w:t xml:space="preserve">Available at: </w:t>
      </w:r>
      <w:hyperlink r:id="rId5" w:history="1">
        <w:r w:rsidR="001E6FE5" w:rsidRPr="003A571A">
          <w:rPr>
            <w:rStyle w:val="Hyperlink"/>
            <w:sz w:val="18"/>
            <w:szCs w:val="18"/>
            <w:lang w:val="en-US"/>
          </w:rPr>
          <w:t>http://www.oas.org/juridico/english/mesicic_rules.pdf</w:t>
        </w:r>
      </w:hyperlink>
      <w:r w:rsidR="001E6FE5" w:rsidRPr="003A571A">
        <w:rPr>
          <w:sz w:val="18"/>
          <w:szCs w:val="18"/>
          <w:lang w:val="en-US"/>
        </w:rPr>
        <w:t xml:space="preserve"> </w:t>
      </w:r>
    </w:p>
  </w:footnote>
  <w:footnote w:id="8">
    <w:p w14:paraId="21C9220A" w14:textId="45720D79" w:rsidR="00437D1D" w:rsidRPr="003A571A" w:rsidRDefault="00437D1D"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1E6FE5" w:rsidRPr="003A571A">
        <w:rPr>
          <w:sz w:val="18"/>
          <w:szCs w:val="18"/>
          <w:lang w:val="en-US"/>
        </w:rPr>
        <w:t xml:space="preserve">Available at: </w:t>
      </w:r>
      <w:hyperlink r:id="rId6" w:history="1">
        <w:r w:rsidR="001E6FE5" w:rsidRPr="003A571A">
          <w:rPr>
            <w:rStyle w:val="Hyperlink"/>
            <w:sz w:val="18"/>
            <w:szCs w:val="18"/>
            <w:lang w:val="en-US"/>
          </w:rPr>
          <w:t>https://www.oas.org/en/sla/dlc/mesicic/docs/mesicic6_metodologia_ing.pdf</w:t>
        </w:r>
      </w:hyperlink>
      <w:r w:rsidR="001E6FE5" w:rsidRPr="003A571A">
        <w:rPr>
          <w:sz w:val="18"/>
          <w:szCs w:val="18"/>
          <w:lang w:val="en-US"/>
        </w:rPr>
        <w:t xml:space="preserve"> </w:t>
      </w:r>
    </w:p>
  </w:footnote>
  <w:footnote w:id="9">
    <w:p w14:paraId="71975CE3" w14:textId="2E2DF502" w:rsidR="00FB448C" w:rsidRPr="003A571A" w:rsidRDefault="00FB448C" w:rsidP="004C3313">
      <w:pPr>
        <w:pStyle w:val="FootnoteText"/>
        <w:jc w:val="both"/>
        <w:rPr>
          <w:sz w:val="18"/>
          <w:szCs w:val="18"/>
          <w:lang w:val="en-US"/>
        </w:rPr>
      </w:pPr>
      <w:r w:rsidRPr="003A571A">
        <w:rPr>
          <w:sz w:val="18"/>
          <w:szCs w:val="18"/>
          <w:vertAlign w:val="superscript"/>
          <w:lang w:val="en-US"/>
        </w:rPr>
        <w:footnoteRef/>
      </w:r>
      <w:r w:rsidRPr="003A571A">
        <w:rPr>
          <w:sz w:val="18"/>
          <w:szCs w:val="18"/>
          <w:lang w:val="en-US"/>
        </w:rPr>
        <w:t xml:space="preserve"> </w:t>
      </w:r>
      <w:r w:rsidR="001E6FE5" w:rsidRPr="003A571A">
        <w:rPr>
          <w:sz w:val="18"/>
          <w:szCs w:val="18"/>
          <w:lang w:val="en-US"/>
        </w:rPr>
        <w:t xml:space="preserve">See Report of the Third Round, </w:t>
      </w:r>
      <w:r w:rsidR="001E6FE5" w:rsidRPr="003A571A">
        <w:rPr>
          <w:i/>
          <w:iCs/>
          <w:sz w:val="18"/>
          <w:szCs w:val="18"/>
          <w:lang w:val="en-US"/>
        </w:rPr>
        <w:t>supra</w:t>
      </w:r>
      <w:r w:rsidR="001E6FE5" w:rsidRPr="003A571A">
        <w:rPr>
          <w:sz w:val="18"/>
          <w:szCs w:val="18"/>
          <w:lang w:val="en-US"/>
        </w:rPr>
        <w:t xml:space="preserve"> note 3.</w:t>
      </w:r>
    </w:p>
  </w:footnote>
  <w:footnote w:id="10">
    <w:p w14:paraId="03FE335E" w14:textId="67E9B1D0" w:rsidR="00FB448C" w:rsidRPr="003A571A" w:rsidRDefault="00FB448C" w:rsidP="004C3313">
      <w:pPr>
        <w:pStyle w:val="ListParagraph"/>
        <w:ind w:left="10"/>
        <w:jc w:val="both"/>
        <w:rPr>
          <w:color w:val="000000" w:themeColor="text1"/>
          <w:sz w:val="18"/>
          <w:szCs w:val="18"/>
        </w:rPr>
      </w:pPr>
      <w:r w:rsidRPr="003A571A">
        <w:rPr>
          <w:rStyle w:val="FootnoteReference"/>
          <w:color w:val="000000" w:themeColor="text1"/>
          <w:sz w:val="18"/>
          <w:szCs w:val="18"/>
        </w:rPr>
        <w:footnoteRef/>
      </w:r>
      <w:r w:rsidR="009447E7" w:rsidRPr="003A571A">
        <w:rPr>
          <w:rStyle w:val="PageNumber"/>
          <w:color w:val="000000" w:themeColor="text1"/>
          <w:sz w:val="18"/>
          <w:szCs w:val="18"/>
        </w:rPr>
        <w:t xml:space="preserve"> </w:t>
      </w:r>
      <w:r w:rsidR="00E821D6" w:rsidRPr="003A571A">
        <w:rPr>
          <w:rStyle w:val="PageNumber"/>
          <w:color w:val="000000" w:themeColor="text1"/>
          <w:sz w:val="18"/>
          <w:szCs w:val="18"/>
        </w:rPr>
        <w:t xml:space="preserve">For purposes of this Report, the MESICIC Committee of Experts </w:t>
      </w:r>
      <w:r w:rsidR="009447E7" w:rsidRPr="003A571A">
        <w:rPr>
          <w:rStyle w:val="PageNumber"/>
          <w:color w:val="000000" w:themeColor="text1"/>
          <w:sz w:val="18"/>
          <w:szCs w:val="18"/>
        </w:rPr>
        <w:t>defines favorable tax treatment as all exemptions and any deductible items used for the purposes of determining the income tax base, and other treatment that gives rise to favorable reductions in the amount of tax payable by taxpayers</w:t>
      </w:r>
      <w:r w:rsidR="00E821D6" w:rsidRPr="003A571A">
        <w:rPr>
          <w:sz w:val="18"/>
          <w:szCs w:val="18"/>
        </w:rPr>
        <w:t xml:space="preserve">.   </w:t>
      </w:r>
    </w:p>
  </w:footnote>
  <w:footnote w:id="11">
    <w:p w14:paraId="5920CABB" w14:textId="595EFE16" w:rsidR="00841CBE" w:rsidRPr="003A571A" w:rsidRDefault="00841CBE"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of </w:t>
      </w:r>
      <w:r w:rsidR="00D601BC" w:rsidRPr="003A571A">
        <w:rPr>
          <w:sz w:val="18"/>
          <w:szCs w:val="18"/>
          <w:lang w:val="en-US"/>
        </w:rPr>
        <w:t>the United States</w:t>
      </w:r>
      <w:r w:rsidRPr="003A571A">
        <w:rPr>
          <w:sz w:val="18"/>
          <w:szCs w:val="18"/>
          <w:lang w:val="en-US"/>
        </w:rPr>
        <w:t xml:space="preserve"> to the Sixth Round</w:t>
      </w:r>
      <w:r w:rsidR="00942774" w:rsidRPr="003A571A">
        <w:rPr>
          <w:sz w:val="18"/>
          <w:szCs w:val="18"/>
          <w:lang w:val="en-US"/>
        </w:rPr>
        <w:t xml:space="preserve"> Questionnaire,</w:t>
      </w:r>
      <w:r w:rsidRPr="003A571A">
        <w:rPr>
          <w:sz w:val="18"/>
          <w:szCs w:val="18"/>
          <w:lang w:val="en-US"/>
        </w:rPr>
        <w:t xml:space="preserve"> p</w:t>
      </w:r>
      <w:r w:rsidR="001E6FE5" w:rsidRPr="003A571A">
        <w:rPr>
          <w:sz w:val="18"/>
          <w:szCs w:val="18"/>
          <w:lang w:val="en-US"/>
        </w:rPr>
        <w:t>gs</w:t>
      </w:r>
      <w:r w:rsidRPr="003A571A">
        <w:rPr>
          <w:sz w:val="18"/>
          <w:szCs w:val="18"/>
          <w:lang w:val="en-US"/>
        </w:rPr>
        <w:t xml:space="preserve">. </w:t>
      </w:r>
      <w:r w:rsidR="007558DF" w:rsidRPr="003A571A">
        <w:rPr>
          <w:sz w:val="18"/>
          <w:szCs w:val="18"/>
          <w:lang w:val="en-US"/>
        </w:rPr>
        <w:t>7</w:t>
      </w:r>
      <w:r w:rsidR="00DD397F" w:rsidRPr="003A571A">
        <w:rPr>
          <w:sz w:val="18"/>
          <w:szCs w:val="18"/>
          <w:lang w:val="en-US"/>
        </w:rPr>
        <w:t xml:space="preserve"> – </w:t>
      </w:r>
      <w:r w:rsidR="007558DF" w:rsidRPr="003A571A">
        <w:rPr>
          <w:sz w:val="18"/>
          <w:szCs w:val="18"/>
          <w:lang w:val="en-US"/>
        </w:rPr>
        <w:t>9</w:t>
      </w:r>
      <w:r w:rsidRPr="003A571A">
        <w:rPr>
          <w:sz w:val="18"/>
          <w:szCs w:val="18"/>
          <w:lang w:val="en-US"/>
        </w:rPr>
        <w:t xml:space="preserve">, available at: </w:t>
      </w:r>
      <w:hyperlink r:id="rId7" w:history="1">
        <w:r w:rsidR="00D601BC" w:rsidRPr="003A571A">
          <w:rPr>
            <w:rStyle w:val="Hyperlink"/>
            <w:sz w:val="18"/>
            <w:szCs w:val="18"/>
            <w:lang w:val="en-US"/>
          </w:rPr>
          <w:t>http://www.oas.org/en/sla/dlc/mesicic/docs/mesicic6_us_response_annex.pdf</w:t>
        </w:r>
      </w:hyperlink>
      <w:r w:rsidR="00D601BC" w:rsidRPr="003A571A">
        <w:rPr>
          <w:sz w:val="18"/>
          <w:szCs w:val="18"/>
          <w:lang w:val="en-US"/>
        </w:rPr>
        <w:t xml:space="preserve"> </w:t>
      </w:r>
    </w:p>
  </w:footnote>
  <w:footnote w:id="12">
    <w:p w14:paraId="38868DC5" w14:textId="23E8C475" w:rsidR="00823C32" w:rsidRPr="003A571A" w:rsidRDefault="00823C32"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xml:space="preserve">, pg. </w:t>
      </w:r>
      <w:r w:rsidR="007558DF" w:rsidRPr="003A571A">
        <w:rPr>
          <w:sz w:val="18"/>
          <w:szCs w:val="18"/>
          <w:lang w:val="en-US"/>
        </w:rPr>
        <w:t>8.</w:t>
      </w:r>
    </w:p>
  </w:footnote>
  <w:footnote w:id="13">
    <w:p w14:paraId="4EB06233" w14:textId="57C707AE" w:rsidR="007558DF" w:rsidRPr="003A571A" w:rsidRDefault="007558D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Section 162(c)(1) of the Internal Revenue Code provides: “</w:t>
      </w:r>
      <w:r w:rsidRPr="003A571A">
        <w:rPr>
          <w:i/>
          <w:iCs/>
          <w:sz w:val="18"/>
          <w:szCs w:val="18"/>
          <w:lang w:val="en-US"/>
        </w:rPr>
        <w:t>No deduction shall be allowed ... for any payment made, directly or indirectly, to an official or employee of any government, or of any agency or instrumentality of any government, if the payment constitutes an illegal bribe or kickback or, if the payment is to an official or employee of a foreign government, the payment is unlawful under the Foreign Corrupt Practices Act of 1977</w:t>
      </w:r>
      <w:r w:rsidR="00E75C7F" w:rsidRPr="003A571A">
        <w:rPr>
          <w:sz w:val="18"/>
          <w:szCs w:val="18"/>
          <w:lang w:val="en-US"/>
        </w:rPr>
        <w:t>.</w:t>
      </w:r>
      <w:r w:rsidRPr="003A571A">
        <w:rPr>
          <w:sz w:val="18"/>
          <w:szCs w:val="18"/>
          <w:lang w:val="en-US"/>
        </w:rPr>
        <w:t>”</w:t>
      </w:r>
      <w:r w:rsidR="00E75C7F" w:rsidRPr="003A571A">
        <w:rPr>
          <w:sz w:val="18"/>
          <w:szCs w:val="18"/>
          <w:lang w:val="en-US"/>
        </w:rPr>
        <w:t xml:space="preserve"> Please see </w:t>
      </w:r>
      <w:hyperlink r:id="rId8" w:history="1">
        <w:r w:rsidR="00E75C7F" w:rsidRPr="003A571A">
          <w:rPr>
            <w:rStyle w:val="Hyperlink"/>
            <w:sz w:val="18"/>
            <w:szCs w:val="18"/>
            <w:lang w:val="en-US"/>
          </w:rPr>
          <w:t>https://www.law.cornell.edu/uscode/text/26/subtitle-A/chapter-1/subchapter-B/part-VI</w:t>
        </w:r>
      </w:hyperlink>
      <w:r w:rsidR="00E75C7F" w:rsidRPr="003A571A">
        <w:rPr>
          <w:sz w:val="18"/>
          <w:szCs w:val="18"/>
          <w:lang w:val="en-US"/>
        </w:rPr>
        <w:t xml:space="preserve"> </w:t>
      </w:r>
    </w:p>
  </w:footnote>
  <w:footnote w:id="14">
    <w:p w14:paraId="7065E26C" w14:textId="77777777" w:rsidR="00FC14BB" w:rsidRPr="003A571A" w:rsidRDefault="00FC14BB" w:rsidP="00FC14BB">
      <w:pPr>
        <w:pStyle w:val="FootnoteText"/>
        <w:rPr>
          <w:sz w:val="18"/>
          <w:szCs w:val="18"/>
          <w:lang w:val="en-US"/>
        </w:rPr>
      </w:pPr>
      <w:r w:rsidRPr="003A571A">
        <w:rPr>
          <w:rStyle w:val="FootnoteReference"/>
          <w:sz w:val="18"/>
          <w:szCs w:val="18"/>
        </w:rPr>
        <w:footnoteRef/>
      </w:r>
      <w:r w:rsidRPr="003A571A">
        <w:rPr>
          <w:sz w:val="18"/>
          <w:szCs w:val="18"/>
          <w:lang w:val="en-US"/>
        </w:rPr>
        <w:t xml:space="preserve"> Response to the Questionnaire, pgs. 7 – 8, </w:t>
      </w:r>
      <w:r w:rsidRPr="003A571A">
        <w:rPr>
          <w:i/>
          <w:iCs/>
          <w:sz w:val="18"/>
          <w:szCs w:val="18"/>
          <w:lang w:val="en-US"/>
        </w:rPr>
        <w:t xml:space="preserve">supra </w:t>
      </w:r>
      <w:r w:rsidRPr="003A571A">
        <w:rPr>
          <w:sz w:val="18"/>
          <w:szCs w:val="18"/>
          <w:lang w:val="en-US"/>
        </w:rPr>
        <w:t>note 10.</w:t>
      </w:r>
    </w:p>
  </w:footnote>
  <w:footnote w:id="15">
    <w:p w14:paraId="7E7BC3D0" w14:textId="17B5A404" w:rsidR="00E322DE" w:rsidRPr="003A571A" w:rsidRDefault="00E322D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Report of the Third Round, pg</w:t>
      </w:r>
      <w:r w:rsidR="00C31BCE" w:rsidRPr="003A571A">
        <w:rPr>
          <w:sz w:val="18"/>
          <w:szCs w:val="18"/>
          <w:lang w:val="en-US"/>
        </w:rPr>
        <w:t xml:space="preserve">s. 8 – 9, </w:t>
      </w:r>
      <w:r w:rsidR="00C31BCE" w:rsidRPr="003A571A">
        <w:rPr>
          <w:i/>
          <w:iCs/>
          <w:sz w:val="18"/>
          <w:szCs w:val="18"/>
          <w:lang w:val="en-US"/>
        </w:rPr>
        <w:t xml:space="preserve">supra </w:t>
      </w:r>
      <w:r w:rsidR="00C31BCE" w:rsidRPr="003A571A">
        <w:rPr>
          <w:sz w:val="18"/>
          <w:szCs w:val="18"/>
          <w:lang w:val="en-US"/>
        </w:rPr>
        <w:t>note 3.</w:t>
      </w:r>
    </w:p>
  </w:footnote>
  <w:footnote w:id="16">
    <w:p w14:paraId="59EE5380" w14:textId="04122BE4" w:rsidR="008F5619" w:rsidRPr="003A571A" w:rsidRDefault="008F5619" w:rsidP="004C3313">
      <w:pPr>
        <w:pStyle w:val="FootnoteText"/>
        <w:jc w:val="both"/>
        <w:rPr>
          <w:sz w:val="18"/>
          <w:szCs w:val="18"/>
          <w:lang w:val="en-US"/>
        </w:rPr>
      </w:pPr>
      <w:r w:rsidRPr="003A571A">
        <w:rPr>
          <w:rStyle w:val="FootnoteReference"/>
          <w:sz w:val="18"/>
          <w:szCs w:val="18"/>
          <w:lang w:val="en-US"/>
        </w:rPr>
        <w:footnoteRef/>
      </w:r>
      <w:r w:rsidR="00502004" w:rsidRPr="003A571A">
        <w:rPr>
          <w:sz w:val="18"/>
          <w:szCs w:val="18"/>
          <w:lang w:val="en-US"/>
        </w:rPr>
        <w:t xml:space="preserve"> Response to the Questionnaire, pgs. 9 – 11, </w:t>
      </w:r>
      <w:r w:rsidR="00502004" w:rsidRPr="003A571A">
        <w:rPr>
          <w:i/>
          <w:iCs/>
          <w:sz w:val="18"/>
          <w:szCs w:val="18"/>
          <w:lang w:val="en-US"/>
        </w:rPr>
        <w:t xml:space="preserve">supra </w:t>
      </w:r>
      <w:r w:rsidR="00502004" w:rsidRPr="003A571A">
        <w:rPr>
          <w:sz w:val="18"/>
          <w:szCs w:val="18"/>
          <w:lang w:val="en-US"/>
        </w:rPr>
        <w:t>note 10.</w:t>
      </w:r>
    </w:p>
  </w:footnote>
  <w:footnote w:id="17">
    <w:p w14:paraId="359C2E72" w14:textId="08B5CE51" w:rsidR="006C520D" w:rsidRPr="003A571A" w:rsidRDefault="006C520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xml:space="preserve">, pg. 10. The Internal Revenue Manual is available at: </w:t>
      </w:r>
      <w:hyperlink r:id="rId9" w:history="1">
        <w:r w:rsidRPr="003A571A">
          <w:rPr>
            <w:rStyle w:val="Hyperlink"/>
            <w:sz w:val="18"/>
            <w:szCs w:val="18"/>
            <w:lang w:val="en-US"/>
          </w:rPr>
          <w:t>https://www.irs.gov/irm</w:t>
        </w:r>
      </w:hyperlink>
      <w:r w:rsidRPr="003A571A">
        <w:rPr>
          <w:sz w:val="18"/>
          <w:szCs w:val="18"/>
          <w:lang w:val="en-US"/>
        </w:rPr>
        <w:t xml:space="preserve"> </w:t>
      </w:r>
    </w:p>
  </w:footnote>
  <w:footnote w:id="18">
    <w:p w14:paraId="5963DFBA" w14:textId="015977B9" w:rsidR="007C66F6" w:rsidRPr="003A571A" w:rsidRDefault="007C66F6"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IRM, Part 25, Fraud Handbook, </w:t>
      </w:r>
      <w:r w:rsidRPr="003A571A">
        <w:rPr>
          <w:i/>
          <w:iCs/>
          <w:sz w:val="18"/>
          <w:szCs w:val="18"/>
          <w:lang w:val="en-US"/>
        </w:rPr>
        <w:t>ibid.</w:t>
      </w:r>
    </w:p>
  </w:footnote>
  <w:footnote w:id="19">
    <w:p w14:paraId="72C895AE" w14:textId="17A3D7C5" w:rsidR="00CD74CD" w:rsidRPr="003A571A" w:rsidRDefault="00CD74CD"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w:t>
      </w:r>
      <w:r w:rsidR="00A07740" w:rsidRPr="003A571A">
        <w:rPr>
          <w:sz w:val="18"/>
          <w:szCs w:val="18"/>
          <w:lang w:val="en-US"/>
        </w:rPr>
        <w:t xml:space="preserve"> 11</w:t>
      </w:r>
      <w:r w:rsidRPr="003A571A">
        <w:rPr>
          <w:sz w:val="18"/>
          <w:szCs w:val="18"/>
          <w:lang w:val="en-US"/>
        </w:rPr>
        <w:t xml:space="preserve"> – 1</w:t>
      </w:r>
      <w:r w:rsidR="00A07740" w:rsidRPr="003A571A">
        <w:rPr>
          <w:sz w:val="18"/>
          <w:szCs w:val="18"/>
          <w:lang w:val="en-US"/>
        </w:rPr>
        <w:t>3</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note 10.</w:t>
      </w:r>
    </w:p>
  </w:footnote>
  <w:footnote w:id="20">
    <w:p w14:paraId="3A9DD9F2" w14:textId="5580784F" w:rsidR="006E2B73" w:rsidRPr="003A571A" w:rsidRDefault="006E2B73"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IRM, Part 9, Chapter 4, Section 4, Obtaining Records from Financial Institutions, </w:t>
      </w:r>
      <w:r w:rsidRPr="003A571A">
        <w:rPr>
          <w:i/>
          <w:iCs/>
          <w:sz w:val="18"/>
          <w:szCs w:val="18"/>
          <w:lang w:val="en-US"/>
        </w:rPr>
        <w:t xml:space="preserve">supra </w:t>
      </w:r>
      <w:r w:rsidRPr="003A571A">
        <w:rPr>
          <w:sz w:val="18"/>
          <w:szCs w:val="18"/>
          <w:lang w:val="en-US"/>
        </w:rPr>
        <w:t>note 1</w:t>
      </w:r>
      <w:r w:rsidR="003723E1" w:rsidRPr="003A571A">
        <w:rPr>
          <w:sz w:val="18"/>
          <w:szCs w:val="18"/>
          <w:lang w:val="en-US"/>
        </w:rPr>
        <w:t>6</w:t>
      </w:r>
      <w:r w:rsidRPr="003A571A">
        <w:rPr>
          <w:sz w:val="18"/>
          <w:szCs w:val="18"/>
          <w:lang w:val="en-US"/>
        </w:rPr>
        <w:t>.</w:t>
      </w:r>
    </w:p>
  </w:footnote>
  <w:footnote w:id="21">
    <w:p w14:paraId="4B662D45" w14:textId="0B3A83E7" w:rsidR="0020241F" w:rsidRPr="003A571A" w:rsidRDefault="0020241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IRM, Part 9, Chapter 4, Section 2, </w:t>
      </w:r>
      <w:r w:rsidR="003723E1" w:rsidRPr="003A571A">
        <w:rPr>
          <w:i/>
          <w:iCs/>
          <w:sz w:val="18"/>
          <w:szCs w:val="18"/>
          <w:lang w:val="en-US"/>
        </w:rPr>
        <w:t>ibid</w:t>
      </w:r>
      <w:r w:rsidRPr="003A571A">
        <w:rPr>
          <w:sz w:val="18"/>
          <w:szCs w:val="18"/>
          <w:lang w:val="en-US"/>
        </w:rPr>
        <w:t>.</w:t>
      </w:r>
    </w:p>
  </w:footnote>
  <w:footnote w:id="22">
    <w:p w14:paraId="0B96DA5B" w14:textId="61C6D69C" w:rsidR="00B768D1" w:rsidRPr="003A571A" w:rsidRDefault="00B768D1"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Joint Chiefs of Global Tax Enforcement, </w:t>
      </w:r>
      <w:hyperlink r:id="rId10" w:history="1">
        <w:r w:rsidRPr="003A571A">
          <w:rPr>
            <w:rStyle w:val="Hyperlink"/>
            <w:sz w:val="18"/>
            <w:szCs w:val="18"/>
            <w:lang w:val="en-US"/>
          </w:rPr>
          <w:t>https://www.irs.gov/compliance/joint-chiefs-of-global-tax-enforcement</w:t>
        </w:r>
      </w:hyperlink>
      <w:r w:rsidRPr="003A571A">
        <w:rPr>
          <w:sz w:val="18"/>
          <w:szCs w:val="18"/>
          <w:lang w:val="en-US"/>
        </w:rPr>
        <w:t xml:space="preserve"> </w:t>
      </w:r>
    </w:p>
  </w:footnote>
  <w:footnote w:id="23">
    <w:p w14:paraId="013D6D4B" w14:textId="77777777" w:rsidR="00B768D1" w:rsidRPr="003A571A" w:rsidRDefault="00B768D1"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11 – 13, </w:t>
      </w:r>
      <w:r w:rsidRPr="003A571A">
        <w:rPr>
          <w:i/>
          <w:iCs/>
          <w:sz w:val="18"/>
          <w:szCs w:val="18"/>
          <w:lang w:val="en-US"/>
        </w:rPr>
        <w:t xml:space="preserve">supra </w:t>
      </w:r>
      <w:r w:rsidRPr="003A571A">
        <w:rPr>
          <w:sz w:val="18"/>
          <w:szCs w:val="18"/>
          <w:lang w:val="en-US"/>
        </w:rPr>
        <w:t>note 10.</w:t>
      </w:r>
    </w:p>
  </w:footnote>
  <w:footnote w:id="24">
    <w:p w14:paraId="211A91AD" w14:textId="257C6630" w:rsidR="002A256C" w:rsidRPr="003A571A" w:rsidRDefault="002A256C" w:rsidP="004C3313">
      <w:pPr>
        <w:pStyle w:val="FootnoteText"/>
        <w:jc w:val="both"/>
        <w:rPr>
          <w:color w:val="1B1B1B"/>
          <w:sz w:val="18"/>
          <w:szCs w:val="18"/>
          <w:lang w:val="en-US"/>
        </w:rPr>
      </w:pPr>
      <w:r w:rsidRPr="003A571A">
        <w:rPr>
          <w:rStyle w:val="FootnoteReference"/>
          <w:sz w:val="18"/>
          <w:szCs w:val="18"/>
        </w:rPr>
        <w:footnoteRef/>
      </w:r>
      <w:r w:rsidRPr="003A571A">
        <w:rPr>
          <w:sz w:val="18"/>
          <w:szCs w:val="18"/>
          <w:lang w:val="en-US"/>
        </w:rPr>
        <w:t xml:space="preserve"> The Individual Master </w:t>
      </w:r>
      <w:r w:rsidR="00C40827" w:rsidRPr="003A571A">
        <w:rPr>
          <w:sz w:val="18"/>
          <w:szCs w:val="18"/>
          <w:lang w:val="en-US"/>
        </w:rPr>
        <w:t xml:space="preserve">File </w:t>
      </w:r>
      <w:r w:rsidR="00C40827" w:rsidRPr="003A571A">
        <w:rPr>
          <w:color w:val="1B1B1B"/>
          <w:sz w:val="18"/>
          <w:szCs w:val="18"/>
          <w:lang w:val="en-US"/>
        </w:rPr>
        <w:t>is</w:t>
      </w:r>
      <w:r w:rsidRPr="003A571A">
        <w:rPr>
          <w:color w:val="1B1B1B"/>
          <w:sz w:val="18"/>
          <w:szCs w:val="18"/>
          <w:lang w:val="en-US"/>
        </w:rPr>
        <w:t xml:space="preserve"> a magnetic tape record of all individual income tax filers, in social security number sequence. All tax data and related information pertaining to individual income taxpayers are posted to the File so that it reflects a continuously updated and current record of each taxpayer’s account. All settlements with taxpayers are affected through computer processing of the File account and the data therein is used for accounting records, for issuance of refund checks, </w:t>
      </w:r>
      <w:proofErr w:type="gramStart"/>
      <w:r w:rsidRPr="003A571A">
        <w:rPr>
          <w:color w:val="1B1B1B"/>
          <w:sz w:val="18"/>
          <w:szCs w:val="18"/>
          <w:lang w:val="en-US"/>
        </w:rPr>
        <w:t>bills</w:t>
      </w:r>
      <w:proofErr w:type="gramEnd"/>
      <w:r w:rsidRPr="003A571A">
        <w:rPr>
          <w:color w:val="1B1B1B"/>
          <w:sz w:val="18"/>
          <w:szCs w:val="18"/>
          <w:lang w:val="en-US"/>
        </w:rPr>
        <w:t xml:space="preserve"> or notices, answering inquiries, classifying returns for audit, preparing reports and other matters concerned with the processing and enforcement activities of the IRS</w:t>
      </w:r>
      <w:r w:rsidR="001653C6" w:rsidRPr="003A571A">
        <w:rPr>
          <w:color w:val="1B1B1B"/>
          <w:sz w:val="18"/>
          <w:szCs w:val="18"/>
          <w:lang w:val="en-US"/>
        </w:rPr>
        <w:t xml:space="preserve">. </w:t>
      </w:r>
      <w:r w:rsidR="00457DAB" w:rsidRPr="003A571A">
        <w:rPr>
          <w:color w:val="1B1B1B"/>
          <w:sz w:val="18"/>
          <w:szCs w:val="18"/>
          <w:lang w:val="en-US"/>
        </w:rPr>
        <w:t xml:space="preserve">In addition, there is a Business Master File, </w:t>
      </w:r>
      <w:r w:rsidR="001653C6" w:rsidRPr="003A571A">
        <w:rPr>
          <w:color w:val="1B1B1B"/>
          <w:sz w:val="18"/>
          <w:szCs w:val="18"/>
          <w:lang w:val="en-US"/>
        </w:rPr>
        <w:t xml:space="preserve">which is maintained on magnetic tape and is a tax record of business taxpayers required by law and regulations to have employer identification numbers (EIN) as identifying account numbers, see IRM, Part 9, Chapter 4, Section 2, supra </w:t>
      </w:r>
      <w:r w:rsidR="005636D8" w:rsidRPr="003A571A">
        <w:rPr>
          <w:color w:val="1B1B1B"/>
          <w:sz w:val="18"/>
          <w:szCs w:val="18"/>
          <w:lang w:val="en-US"/>
        </w:rPr>
        <w:t>note 16</w:t>
      </w:r>
      <w:r w:rsidR="00372439" w:rsidRPr="003A571A">
        <w:rPr>
          <w:color w:val="1B1B1B"/>
          <w:sz w:val="18"/>
          <w:szCs w:val="18"/>
          <w:lang w:val="en-US"/>
        </w:rPr>
        <w:t>.</w:t>
      </w:r>
    </w:p>
  </w:footnote>
  <w:footnote w:id="25">
    <w:p w14:paraId="1893D5F2" w14:textId="1EE65951" w:rsidR="00166AD2" w:rsidRPr="003A571A" w:rsidRDefault="00166AD2"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2021 IRS IT Annual Key Insights Report, pg. 12, </w:t>
      </w:r>
      <w:hyperlink r:id="rId11" w:history="1">
        <w:r w:rsidRPr="003A571A">
          <w:rPr>
            <w:rStyle w:val="Hyperlink"/>
            <w:sz w:val="18"/>
            <w:szCs w:val="18"/>
            <w:lang w:val="en-US"/>
          </w:rPr>
          <w:t>https://www.irs.gov/pub/irs-pdf/p5453.pdf</w:t>
        </w:r>
      </w:hyperlink>
      <w:r w:rsidRPr="003A571A">
        <w:rPr>
          <w:sz w:val="18"/>
          <w:szCs w:val="18"/>
          <w:lang w:val="en-US"/>
        </w:rPr>
        <w:t xml:space="preserve">, and Modernizing Tax Processing Systems, </w:t>
      </w:r>
      <w:hyperlink r:id="rId12" w:history="1">
        <w:r w:rsidRPr="003A571A">
          <w:rPr>
            <w:rStyle w:val="Hyperlink"/>
            <w:sz w:val="18"/>
            <w:szCs w:val="18"/>
            <w:lang w:val="en-US"/>
          </w:rPr>
          <w:t>https://www.irs.gov/about-irs/modernizing-tax-processing-systems</w:t>
        </w:r>
      </w:hyperlink>
      <w:r w:rsidRPr="003A571A">
        <w:rPr>
          <w:sz w:val="18"/>
          <w:szCs w:val="18"/>
          <w:lang w:val="en-US"/>
        </w:rPr>
        <w:t xml:space="preserve"> </w:t>
      </w:r>
    </w:p>
  </w:footnote>
  <w:footnote w:id="26">
    <w:p w14:paraId="455B9E81" w14:textId="07087DBB" w:rsidR="00D6627D" w:rsidRPr="003A571A" w:rsidRDefault="00D6627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2021 IRS IT Report, </w:t>
      </w:r>
      <w:r w:rsidRPr="003A571A">
        <w:rPr>
          <w:i/>
          <w:iCs/>
          <w:sz w:val="18"/>
          <w:szCs w:val="18"/>
          <w:lang w:val="en-US"/>
        </w:rPr>
        <w:t>ibid.</w:t>
      </w:r>
      <w:r w:rsidRPr="003A571A">
        <w:rPr>
          <w:sz w:val="18"/>
          <w:szCs w:val="18"/>
          <w:lang w:val="en-US"/>
        </w:rPr>
        <w:t>, pg. 13.</w:t>
      </w:r>
    </w:p>
  </w:footnote>
  <w:footnote w:id="27">
    <w:p w14:paraId="4FE85255" w14:textId="66764A9A" w:rsidR="00D6627D" w:rsidRPr="003A571A" w:rsidRDefault="00D6627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14.</w:t>
      </w:r>
    </w:p>
  </w:footnote>
  <w:footnote w:id="28">
    <w:p w14:paraId="4DB55DE3" w14:textId="1CC9CC52" w:rsidR="00D6627D" w:rsidRPr="003A571A" w:rsidRDefault="00D6627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IRM, Part 9, Information Technology, </w:t>
      </w:r>
      <w:r w:rsidRPr="003A571A">
        <w:rPr>
          <w:i/>
          <w:iCs/>
          <w:sz w:val="18"/>
          <w:szCs w:val="18"/>
          <w:lang w:val="en-US"/>
        </w:rPr>
        <w:t xml:space="preserve">supra </w:t>
      </w:r>
      <w:r w:rsidRPr="003A571A">
        <w:rPr>
          <w:sz w:val="18"/>
          <w:szCs w:val="18"/>
          <w:lang w:val="en-US"/>
        </w:rPr>
        <w:t>note 1</w:t>
      </w:r>
      <w:r w:rsidR="00F65A09" w:rsidRPr="003A571A">
        <w:rPr>
          <w:sz w:val="18"/>
          <w:szCs w:val="18"/>
          <w:lang w:val="en-US"/>
        </w:rPr>
        <w:t>6</w:t>
      </w:r>
      <w:r w:rsidRPr="003A571A">
        <w:rPr>
          <w:sz w:val="18"/>
          <w:szCs w:val="18"/>
          <w:lang w:val="en-US"/>
        </w:rPr>
        <w:t>.</w:t>
      </w:r>
    </w:p>
  </w:footnote>
  <w:footnote w:id="29">
    <w:p w14:paraId="7C2557D4" w14:textId="6BF91451" w:rsidR="00D6627D" w:rsidRPr="003A571A" w:rsidRDefault="00D6627D"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15 – 16, </w:t>
      </w:r>
      <w:r w:rsidRPr="003A571A">
        <w:rPr>
          <w:i/>
          <w:iCs/>
          <w:sz w:val="18"/>
          <w:szCs w:val="18"/>
          <w:lang w:val="en-US"/>
        </w:rPr>
        <w:t xml:space="preserve">supra </w:t>
      </w:r>
      <w:r w:rsidRPr="003A571A">
        <w:rPr>
          <w:sz w:val="18"/>
          <w:szCs w:val="18"/>
          <w:lang w:val="en-US"/>
        </w:rPr>
        <w:t>note 10.</w:t>
      </w:r>
    </w:p>
  </w:footnote>
  <w:footnote w:id="30">
    <w:p w14:paraId="3BE9ADD6" w14:textId="188FDED4" w:rsidR="005A46F6" w:rsidRPr="003A571A" w:rsidRDefault="005A46F6"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p>
  </w:footnote>
  <w:footnote w:id="31">
    <w:p w14:paraId="53C9DF81" w14:textId="75EAF329" w:rsidR="00E6104E" w:rsidRPr="003A571A" w:rsidRDefault="00E6104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IRM, Part 9, Chapter 4, Section 4, </w:t>
      </w:r>
      <w:r w:rsidRPr="003A571A">
        <w:rPr>
          <w:i/>
          <w:iCs/>
          <w:sz w:val="18"/>
          <w:szCs w:val="18"/>
          <w:lang w:val="en-US"/>
        </w:rPr>
        <w:t xml:space="preserve">supra </w:t>
      </w:r>
      <w:r w:rsidRPr="003A571A">
        <w:rPr>
          <w:sz w:val="18"/>
          <w:szCs w:val="18"/>
          <w:lang w:val="en-US"/>
        </w:rPr>
        <w:t>note 1</w:t>
      </w:r>
      <w:r w:rsidR="00F65A09" w:rsidRPr="003A571A">
        <w:rPr>
          <w:sz w:val="18"/>
          <w:szCs w:val="18"/>
          <w:lang w:val="en-US"/>
        </w:rPr>
        <w:t>6</w:t>
      </w:r>
      <w:r w:rsidRPr="003A571A">
        <w:rPr>
          <w:sz w:val="18"/>
          <w:szCs w:val="18"/>
          <w:lang w:val="en-US"/>
        </w:rPr>
        <w:t>.</w:t>
      </w:r>
    </w:p>
  </w:footnote>
  <w:footnote w:id="32">
    <w:p w14:paraId="3A1A00B8" w14:textId="58D576EB" w:rsidR="008F2DDE" w:rsidRPr="003A571A" w:rsidRDefault="008F2DDE"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1</w:t>
      </w:r>
      <w:r w:rsidR="0032785D" w:rsidRPr="003A571A">
        <w:rPr>
          <w:sz w:val="18"/>
          <w:szCs w:val="18"/>
          <w:lang w:val="en-US"/>
        </w:rPr>
        <w:t>6</w:t>
      </w:r>
      <w:r w:rsidRPr="003A571A">
        <w:rPr>
          <w:sz w:val="18"/>
          <w:szCs w:val="18"/>
          <w:lang w:val="en-US"/>
        </w:rPr>
        <w:t xml:space="preserve"> – 1</w:t>
      </w:r>
      <w:r w:rsidR="0032785D" w:rsidRPr="003A571A">
        <w:rPr>
          <w:sz w:val="18"/>
          <w:szCs w:val="18"/>
          <w:lang w:val="en-US"/>
        </w:rPr>
        <w:t>7</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note 10.</w:t>
      </w:r>
    </w:p>
  </w:footnote>
  <w:footnote w:id="33">
    <w:p w14:paraId="03E1C1ED" w14:textId="61BECA35" w:rsidR="0032785D" w:rsidRPr="003A571A" w:rsidRDefault="0032785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17.</w:t>
      </w:r>
    </w:p>
  </w:footnote>
  <w:footnote w:id="34">
    <w:p w14:paraId="1C6C5179" w14:textId="4008EF84" w:rsidR="008976B9" w:rsidRPr="003A571A" w:rsidRDefault="008976B9"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IRM, Part 9, Chapter 4, Section 2, </w:t>
      </w:r>
      <w:r w:rsidRPr="003A571A">
        <w:rPr>
          <w:i/>
          <w:iCs/>
          <w:sz w:val="18"/>
          <w:szCs w:val="18"/>
          <w:lang w:val="en-US"/>
        </w:rPr>
        <w:t xml:space="preserve">supra </w:t>
      </w:r>
      <w:r w:rsidR="005636D8" w:rsidRPr="003A571A">
        <w:rPr>
          <w:sz w:val="18"/>
          <w:szCs w:val="18"/>
          <w:lang w:val="en-US"/>
        </w:rPr>
        <w:t>note 16</w:t>
      </w:r>
      <w:r w:rsidRPr="003A571A">
        <w:rPr>
          <w:sz w:val="18"/>
          <w:szCs w:val="18"/>
          <w:lang w:val="en-US"/>
        </w:rPr>
        <w:t>.</w:t>
      </w:r>
    </w:p>
  </w:footnote>
  <w:footnote w:id="35">
    <w:p w14:paraId="4AB1E3A1" w14:textId="587485EE" w:rsidR="00F11E9C" w:rsidRPr="003A571A" w:rsidRDefault="00F11E9C"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w:t>
      </w:r>
    </w:p>
  </w:footnote>
  <w:footnote w:id="36">
    <w:p w14:paraId="67145FE1" w14:textId="39D99EE3" w:rsidR="00512FEA" w:rsidRPr="003A571A" w:rsidRDefault="00512FEA"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 xml:space="preserve">Ibid. </w:t>
      </w:r>
    </w:p>
  </w:footnote>
  <w:footnote w:id="37">
    <w:p w14:paraId="5D5DFFBD" w14:textId="09CBF52A" w:rsidR="00904756" w:rsidRPr="003A571A" w:rsidRDefault="00904756" w:rsidP="00D315CC">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The Committee notes that in Part 25, Chapter </w:t>
      </w:r>
      <w:r w:rsidR="006E7663" w:rsidRPr="003A571A">
        <w:rPr>
          <w:sz w:val="18"/>
          <w:szCs w:val="18"/>
          <w:lang w:val="en-US"/>
        </w:rPr>
        <w:t>1</w:t>
      </w:r>
      <w:r w:rsidRPr="003A571A">
        <w:rPr>
          <w:sz w:val="18"/>
          <w:szCs w:val="18"/>
          <w:lang w:val="en-US"/>
        </w:rPr>
        <w:t xml:space="preserve">, Section </w:t>
      </w:r>
      <w:r w:rsidR="006E7663" w:rsidRPr="003A571A">
        <w:rPr>
          <w:sz w:val="18"/>
          <w:szCs w:val="18"/>
          <w:lang w:val="en-US"/>
        </w:rPr>
        <w:t xml:space="preserve">2, subsection 2.3, Indicators of Fraud, the IRM sets out examples of what constitutes indicators of fraud </w:t>
      </w:r>
      <w:r w:rsidR="00D315CC" w:rsidRPr="003A571A">
        <w:rPr>
          <w:sz w:val="18"/>
          <w:szCs w:val="18"/>
          <w:lang w:val="en-US"/>
        </w:rPr>
        <w:t xml:space="preserve">on income; expenses or deductions; books and records; allocations of income; conduct of taxpayer; and methods of concealment, </w:t>
      </w:r>
      <w:r w:rsidR="00D315CC" w:rsidRPr="003A571A">
        <w:rPr>
          <w:i/>
          <w:iCs/>
          <w:sz w:val="18"/>
          <w:szCs w:val="18"/>
          <w:lang w:val="en-US"/>
        </w:rPr>
        <w:t>ibid.</w:t>
      </w:r>
    </w:p>
  </w:footnote>
  <w:footnote w:id="38">
    <w:p w14:paraId="75874FC5" w14:textId="58E90DB3" w:rsidR="000E02F4" w:rsidRPr="003A571A" w:rsidRDefault="000E02F4" w:rsidP="00D315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MESICIC US On-Site Visit, Denial of Tax Benefits Information, document submitted by the country under review </w:t>
      </w:r>
      <w:proofErr w:type="gramStart"/>
      <w:r w:rsidRPr="003A571A">
        <w:rPr>
          <w:sz w:val="18"/>
          <w:szCs w:val="18"/>
          <w:lang w:val="en-US"/>
        </w:rPr>
        <w:t>subsequent to</w:t>
      </w:r>
      <w:proofErr w:type="gramEnd"/>
      <w:r w:rsidRPr="003A571A">
        <w:rPr>
          <w:sz w:val="18"/>
          <w:szCs w:val="18"/>
          <w:lang w:val="en-US"/>
        </w:rPr>
        <w:t xml:space="preserve"> the on-site visit.</w:t>
      </w:r>
    </w:p>
  </w:footnote>
  <w:footnote w:id="39">
    <w:p w14:paraId="5EE1A5EE" w14:textId="7F08404E" w:rsidR="005A2298" w:rsidRPr="003A571A" w:rsidRDefault="005A2298"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18 – 19, </w:t>
      </w:r>
      <w:r w:rsidRPr="003A571A">
        <w:rPr>
          <w:i/>
          <w:iCs/>
          <w:sz w:val="18"/>
          <w:szCs w:val="18"/>
          <w:lang w:val="en-US"/>
        </w:rPr>
        <w:t xml:space="preserve">supra </w:t>
      </w:r>
      <w:r w:rsidRPr="003A571A">
        <w:rPr>
          <w:sz w:val="18"/>
          <w:szCs w:val="18"/>
          <w:lang w:val="en-US"/>
        </w:rPr>
        <w:t>note 10.</w:t>
      </w:r>
    </w:p>
  </w:footnote>
  <w:footnote w:id="40">
    <w:p w14:paraId="5108B829" w14:textId="19B25CFA" w:rsidR="00383E17" w:rsidRPr="003A571A" w:rsidRDefault="00383E17"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In this respect, the country under review further notes: “</w:t>
      </w:r>
      <w:r w:rsidRPr="003A571A">
        <w:rPr>
          <w:i/>
          <w:iCs/>
          <w:sz w:val="18"/>
          <w:szCs w:val="18"/>
          <w:lang w:val="en-US"/>
        </w:rPr>
        <w:t>A voluntary disclosure occurs when a taxpayer provides a truthful, timely, and complete disclosure to CI through designated procedures. It also requires the individual to: Cooperate with the IRS in determining the taxpayer’s correct tax liability and make good faith arrangements with the IRS to pay - in full - the tax, interest and any applicable penalties owed. A disclosure is timely if the IRS receives it before it has: commenced a civil examination or criminal investigation; received information from a third party (e.g., informant, other governmental agency, John Doe summons, etc.) alerting us to your noncompliance; acquired information directly related to your specific noncompliance from a criminal enforcement action (e.g., search warrant, grand jury subpoena, etc.),</w:t>
      </w:r>
      <w:r w:rsidRPr="003A571A">
        <w:rPr>
          <w:sz w:val="18"/>
          <w:szCs w:val="18"/>
          <w:lang w:val="en-US"/>
        </w:rPr>
        <w:t xml:space="preserve">” </w:t>
      </w:r>
      <w:r w:rsidRPr="003A571A">
        <w:rPr>
          <w:i/>
          <w:iCs/>
          <w:sz w:val="18"/>
          <w:szCs w:val="18"/>
          <w:lang w:val="en-US"/>
        </w:rPr>
        <w:t>ibid</w:t>
      </w:r>
      <w:r w:rsidRPr="003A571A">
        <w:rPr>
          <w:sz w:val="18"/>
          <w:szCs w:val="18"/>
          <w:lang w:val="en-US"/>
        </w:rPr>
        <w:t>.</w:t>
      </w:r>
    </w:p>
  </w:footnote>
  <w:footnote w:id="41">
    <w:p w14:paraId="3942ACD9" w14:textId="7EF7DAB1" w:rsidR="00032D25" w:rsidRPr="003A571A" w:rsidRDefault="00032D25"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Part 25, Chapter 2, Section </w:t>
      </w:r>
      <w:r w:rsidR="00A10CEF" w:rsidRPr="003A571A">
        <w:rPr>
          <w:sz w:val="18"/>
          <w:szCs w:val="18"/>
          <w:lang w:val="en-US"/>
        </w:rPr>
        <w:t xml:space="preserve">1, Fraud Development Procedures, as well as Part 25, Chapter 2, Section </w:t>
      </w:r>
      <w:r w:rsidR="00ED4A39" w:rsidRPr="003A571A">
        <w:rPr>
          <w:sz w:val="18"/>
          <w:szCs w:val="18"/>
          <w:lang w:val="en-US"/>
        </w:rPr>
        <w:t>3, Criminal Referrals,</w:t>
      </w:r>
      <w:r w:rsidR="00A10CEF" w:rsidRPr="003A571A">
        <w:rPr>
          <w:sz w:val="18"/>
          <w:szCs w:val="18"/>
          <w:lang w:val="en-US"/>
        </w:rPr>
        <w:t xml:space="preserve"> </w:t>
      </w:r>
      <w:r w:rsidR="00A10CEF" w:rsidRPr="003A571A">
        <w:rPr>
          <w:i/>
          <w:iCs/>
          <w:sz w:val="18"/>
          <w:szCs w:val="18"/>
          <w:lang w:val="en-US"/>
        </w:rPr>
        <w:t xml:space="preserve">supra </w:t>
      </w:r>
      <w:r w:rsidR="005636D8" w:rsidRPr="003A571A">
        <w:rPr>
          <w:sz w:val="18"/>
          <w:szCs w:val="18"/>
          <w:lang w:val="en-US"/>
        </w:rPr>
        <w:t>note 16</w:t>
      </w:r>
      <w:r w:rsidR="00A10CEF" w:rsidRPr="003A571A">
        <w:rPr>
          <w:sz w:val="18"/>
          <w:szCs w:val="18"/>
          <w:lang w:val="en-US"/>
        </w:rPr>
        <w:t>.</w:t>
      </w:r>
    </w:p>
  </w:footnote>
  <w:footnote w:id="42">
    <w:p w14:paraId="7FBED13C" w14:textId="4346EB0E" w:rsidR="00ED4A39" w:rsidRPr="003A571A" w:rsidRDefault="00ED4A39"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19 – 20, </w:t>
      </w:r>
      <w:r w:rsidRPr="003A571A">
        <w:rPr>
          <w:i/>
          <w:iCs/>
          <w:sz w:val="18"/>
          <w:szCs w:val="18"/>
          <w:lang w:val="en-US"/>
        </w:rPr>
        <w:t xml:space="preserve">supra </w:t>
      </w:r>
      <w:r w:rsidRPr="003A571A">
        <w:rPr>
          <w:sz w:val="18"/>
          <w:szCs w:val="18"/>
          <w:lang w:val="en-US"/>
        </w:rPr>
        <w:t>note 10.</w:t>
      </w:r>
    </w:p>
  </w:footnote>
  <w:footnote w:id="43">
    <w:p w14:paraId="0C3CCE81" w14:textId="4FABE10D" w:rsidR="00ED4A39" w:rsidRPr="003A571A" w:rsidRDefault="00ED4A39"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A51E14" w:rsidRPr="003A571A">
        <w:rPr>
          <w:sz w:val="18"/>
          <w:szCs w:val="18"/>
          <w:lang w:val="en-US"/>
        </w:rPr>
        <w:t xml:space="preserve">2022 Annual Report IRS-CI, </w:t>
      </w:r>
      <w:hyperlink r:id="rId13" w:history="1">
        <w:r w:rsidR="00A51E14" w:rsidRPr="003A571A">
          <w:rPr>
            <w:rStyle w:val="Hyperlink"/>
            <w:sz w:val="18"/>
            <w:szCs w:val="18"/>
            <w:lang w:val="en-US"/>
          </w:rPr>
          <w:t>https://www.irs.gov/pub/irs-pdf/p3583.pdf</w:t>
        </w:r>
      </w:hyperlink>
      <w:r w:rsidR="00A51E14" w:rsidRPr="003A571A">
        <w:rPr>
          <w:sz w:val="18"/>
          <w:szCs w:val="18"/>
          <w:lang w:val="en-US"/>
        </w:rPr>
        <w:t xml:space="preserve"> </w:t>
      </w:r>
    </w:p>
  </w:footnote>
  <w:footnote w:id="44">
    <w:p w14:paraId="21212723" w14:textId="02F85BE4" w:rsidR="005D5522" w:rsidRPr="003A571A" w:rsidRDefault="005D5522"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6.</w:t>
      </w:r>
    </w:p>
  </w:footnote>
  <w:footnote w:id="45">
    <w:p w14:paraId="03B7CCBB" w14:textId="73263EA1" w:rsidR="005D5522" w:rsidRPr="003A571A" w:rsidRDefault="005D5522" w:rsidP="004C3313">
      <w:pPr>
        <w:pStyle w:val="ListParagraph"/>
        <w:ind w:left="10"/>
        <w:jc w:val="both"/>
        <w:rPr>
          <w:rFonts w:eastAsiaTheme="minorHAnsi"/>
          <w:bCs/>
          <w:iCs/>
          <w:sz w:val="18"/>
          <w:szCs w:val="18"/>
        </w:rPr>
      </w:pPr>
      <w:r w:rsidRPr="003A571A">
        <w:rPr>
          <w:rStyle w:val="FootnoteReference"/>
          <w:sz w:val="18"/>
          <w:szCs w:val="18"/>
        </w:rPr>
        <w:footnoteRef/>
      </w:r>
      <w:r w:rsidRPr="003A571A">
        <w:rPr>
          <w:sz w:val="18"/>
          <w:szCs w:val="18"/>
        </w:rPr>
        <w:t xml:space="preserve"> Report of the Third Round, pg. 9, </w:t>
      </w:r>
      <w:r w:rsidRPr="003A571A">
        <w:rPr>
          <w:i/>
          <w:iCs/>
          <w:sz w:val="18"/>
          <w:szCs w:val="18"/>
        </w:rPr>
        <w:t xml:space="preserve">supra </w:t>
      </w:r>
      <w:r w:rsidRPr="003A571A">
        <w:rPr>
          <w:sz w:val="18"/>
          <w:szCs w:val="18"/>
        </w:rPr>
        <w:t xml:space="preserve">note 3. </w:t>
      </w:r>
    </w:p>
  </w:footnote>
  <w:footnote w:id="46">
    <w:p w14:paraId="2F5214DD" w14:textId="22281EDE" w:rsidR="0018250F" w:rsidRPr="003A571A" w:rsidRDefault="0018250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Response to the Questionnaire, pg. 35, </w:t>
      </w:r>
      <w:r w:rsidRPr="003A571A">
        <w:rPr>
          <w:i/>
          <w:iCs/>
          <w:sz w:val="18"/>
          <w:szCs w:val="18"/>
          <w:lang w:val="en-US"/>
        </w:rPr>
        <w:t xml:space="preserve">supra </w:t>
      </w:r>
      <w:r w:rsidRPr="003A571A">
        <w:rPr>
          <w:sz w:val="18"/>
          <w:szCs w:val="18"/>
          <w:lang w:val="en-US"/>
        </w:rPr>
        <w:t>note 10.</w:t>
      </w:r>
    </w:p>
  </w:footnote>
  <w:footnote w:id="47">
    <w:p w14:paraId="09EB8E01" w14:textId="4619AD82" w:rsidR="0018250F" w:rsidRPr="003A571A" w:rsidRDefault="0018250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00E57E4F" w:rsidRPr="003A571A">
        <w:rPr>
          <w:i/>
          <w:iCs/>
          <w:sz w:val="18"/>
          <w:szCs w:val="18"/>
          <w:lang w:val="en-US"/>
        </w:rPr>
        <w:t>Ibid</w:t>
      </w:r>
      <w:r w:rsidRPr="003A571A">
        <w:rPr>
          <w:sz w:val="18"/>
          <w:szCs w:val="18"/>
          <w:lang w:val="en-US"/>
        </w:rPr>
        <w:t>.</w:t>
      </w:r>
    </w:p>
  </w:footnote>
  <w:footnote w:id="48">
    <w:p w14:paraId="7F585E4C" w14:textId="7F572CF0" w:rsidR="0018250F" w:rsidRPr="003A571A" w:rsidRDefault="0018250F"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bookmarkStart w:id="2" w:name="_Hlk159333304"/>
      <w:r w:rsidRPr="003A571A">
        <w:rPr>
          <w:i/>
          <w:iCs/>
          <w:sz w:val="18"/>
          <w:szCs w:val="18"/>
          <w:lang w:val="en-US"/>
        </w:rPr>
        <w:t>Ibid</w:t>
      </w:r>
      <w:r w:rsidR="009F5559" w:rsidRPr="003A571A">
        <w:rPr>
          <w:i/>
          <w:iCs/>
          <w:sz w:val="18"/>
          <w:szCs w:val="18"/>
          <w:lang w:val="en-US"/>
        </w:rPr>
        <w:t>.</w:t>
      </w:r>
      <w:r w:rsidRPr="003A571A">
        <w:rPr>
          <w:sz w:val="18"/>
          <w:szCs w:val="18"/>
          <w:lang w:val="en-US"/>
        </w:rPr>
        <w:t>, pg. 64</w:t>
      </w:r>
      <w:bookmarkEnd w:id="2"/>
      <w:r w:rsidRPr="003A571A">
        <w:rPr>
          <w:sz w:val="18"/>
          <w:szCs w:val="18"/>
          <w:lang w:val="en-US"/>
        </w:rPr>
        <w:t>.</w:t>
      </w:r>
    </w:p>
  </w:footnote>
  <w:footnote w:id="49">
    <w:p w14:paraId="1D648CF2" w14:textId="23183CE1" w:rsidR="00D51BB6" w:rsidRPr="003A571A" w:rsidRDefault="00D51BB6"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9F5559" w:rsidRPr="003A571A">
        <w:rPr>
          <w:i/>
          <w:iCs/>
          <w:sz w:val="18"/>
          <w:szCs w:val="18"/>
          <w:lang w:val="en-US"/>
        </w:rPr>
        <w:t>Ibid.</w:t>
      </w:r>
      <w:r w:rsidR="009F5559" w:rsidRPr="003A571A">
        <w:rPr>
          <w:sz w:val="18"/>
          <w:szCs w:val="18"/>
          <w:lang w:val="en-US"/>
        </w:rPr>
        <w:t>, pg. 22</w:t>
      </w:r>
      <w:r w:rsidRPr="003A571A">
        <w:rPr>
          <w:sz w:val="18"/>
          <w:szCs w:val="18"/>
          <w:lang w:val="en-US"/>
        </w:rPr>
        <w:t>.</w:t>
      </w:r>
    </w:p>
  </w:footnote>
  <w:footnote w:id="50">
    <w:p w14:paraId="192C62DA" w14:textId="3CAF707B" w:rsidR="00255325" w:rsidRPr="003A571A" w:rsidRDefault="00255325"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paragraphs 53 – 55, 65 and 74, Report of the Third Round, </w:t>
      </w:r>
      <w:r w:rsidRPr="003A571A">
        <w:rPr>
          <w:i/>
          <w:iCs/>
          <w:sz w:val="18"/>
          <w:szCs w:val="18"/>
          <w:lang w:val="en-US"/>
        </w:rPr>
        <w:t xml:space="preserve">supra </w:t>
      </w:r>
      <w:r w:rsidRPr="003A571A">
        <w:rPr>
          <w:sz w:val="18"/>
          <w:szCs w:val="18"/>
          <w:lang w:val="en-US"/>
        </w:rPr>
        <w:t>note 3.</w:t>
      </w:r>
      <w:r w:rsidR="00621101" w:rsidRPr="003A571A">
        <w:rPr>
          <w:sz w:val="18"/>
          <w:szCs w:val="18"/>
          <w:lang w:val="en-US"/>
        </w:rPr>
        <w:t xml:space="preserve"> </w:t>
      </w:r>
      <w:bookmarkStart w:id="3" w:name="_Hlk160097879"/>
      <w:r w:rsidR="004E02B6" w:rsidRPr="003A571A">
        <w:rPr>
          <w:sz w:val="18"/>
          <w:szCs w:val="18"/>
          <w:lang w:val="en-US"/>
        </w:rPr>
        <w:t xml:space="preserve">The country under review, in its </w:t>
      </w:r>
      <w:r w:rsidR="003A3C60" w:rsidRPr="003A571A">
        <w:rPr>
          <w:sz w:val="18"/>
          <w:szCs w:val="18"/>
          <w:lang w:val="en-US"/>
        </w:rPr>
        <w:t xml:space="preserve">observations to the draft preliminary report, noted that </w:t>
      </w:r>
      <w:r w:rsidR="003A3C60" w:rsidRPr="003A571A">
        <w:rPr>
          <w:iCs/>
          <w:sz w:val="18"/>
          <w:szCs w:val="18"/>
          <w:lang w:val="en-US"/>
        </w:rPr>
        <w:t xml:space="preserve">AS 2405, </w:t>
      </w:r>
      <w:r w:rsidR="003A3C60" w:rsidRPr="003A571A">
        <w:rPr>
          <w:i/>
          <w:iCs/>
          <w:sz w:val="18"/>
          <w:szCs w:val="18"/>
          <w:lang w:val="en-US"/>
        </w:rPr>
        <w:t>Illegal Acts by Clients</w:t>
      </w:r>
      <w:r w:rsidR="003A3C60" w:rsidRPr="003A571A">
        <w:rPr>
          <w:iCs/>
          <w:sz w:val="18"/>
          <w:szCs w:val="18"/>
          <w:lang w:val="en-US"/>
        </w:rPr>
        <w:t>, was amended in 2012, 2015, and 2017—after the Report of the Third Round.  Such revisions noted explicitly that the auditor should make inquiries of the client’s audit committee concerning the client’s compliance with laws and regulations, and knowledge of violations or possible violations of laws or regulations.  Additionally</w:t>
      </w:r>
      <w:r w:rsidR="00F2733C" w:rsidRPr="003A571A">
        <w:rPr>
          <w:iCs/>
          <w:sz w:val="18"/>
          <w:szCs w:val="18"/>
          <w:lang w:val="en-US"/>
        </w:rPr>
        <w:t>,</w:t>
      </w:r>
      <w:r w:rsidR="003A3C60" w:rsidRPr="003A571A">
        <w:rPr>
          <w:iCs/>
          <w:sz w:val="18"/>
          <w:szCs w:val="18"/>
          <w:lang w:val="en-US"/>
        </w:rPr>
        <w:t xml:space="preserve"> the PCAOB is proposing amendments to its auditing standards related to an auditor’s consideration of a company’s noncompliance with laws and regulations in the performance of an audit.  See PCAOB, Proposing Release: Amendments to PCAOB Auditing Standards related to a Company’s Noncompliance with Laws and Regulations, Release No. 2023-003 (June 6, 2023), available at </w:t>
      </w:r>
      <w:hyperlink r:id="rId14" w:history="1">
        <w:r w:rsidR="003A3C60" w:rsidRPr="003A571A">
          <w:rPr>
            <w:rStyle w:val="Hyperlink"/>
            <w:iCs/>
            <w:sz w:val="18"/>
            <w:szCs w:val="18"/>
            <w:lang w:val="en-US"/>
          </w:rPr>
          <w:t>https://assets.pcaobus.org/pcaob-dev/docs/default-source/rulemaking/docket-051/pcaob-release-no.-2023-003---noclar.pdf</w:t>
        </w:r>
        <w:bookmarkEnd w:id="3"/>
      </w:hyperlink>
      <w:r w:rsidR="004A20D9" w:rsidRPr="003A571A">
        <w:rPr>
          <w:sz w:val="18"/>
          <w:szCs w:val="18"/>
          <w:lang w:val="en-US"/>
        </w:rPr>
        <w:t xml:space="preserve"> </w:t>
      </w:r>
    </w:p>
  </w:footnote>
  <w:footnote w:id="51">
    <w:p w14:paraId="0670B40B" w14:textId="0318A895" w:rsidR="003F1923" w:rsidRPr="003A571A" w:rsidRDefault="003F1923"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See Rule 1.700.001 Confidential Client Information Rule; 1.310.001 Compliance with Standards Rule, and Rule 1.320.001 Accounting Principles Rule, </w:t>
      </w:r>
      <w:hyperlink r:id="rId15" w:history="1">
        <w:r w:rsidRPr="003A571A">
          <w:rPr>
            <w:rStyle w:val="Hyperlink"/>
            <w:sz w:val="18"/>
            <w:szCs w:val="18"/>
            <w:lang w:val="en-US"/>
          </w:rPr>
          <w:t>AICPA Code of Professional Conduct</w:t>
        </w:r>
      </w:hyperlink>
      <w:r w:rsidRPr="003A571A">
        <w:rPr>
          <w:sz w:val="18"/>
          <w:szCs w:val="18"/>
          <w:lang w:val="en-US"/>
        </w:rPr>
        <w:t xml:space="preserve">, and paragraph 67 and footnote 22 of the Report of the Third Round, </w:t>
      </w:r>
      <w:r w:rsidRPr="003A571A">
        <w:rPr>
          <w:i/>
          <w:iCs/>
          <w:sz w:val="18"/>
          <w:szCs w:val="18"/>
          <w:lang w:val="en-US"/>
        </w:rPr>
        <w:t>ibid.</w:t>
      </w:r>
    </w:p>
  </w:footnote>
  <w:footnote w:id="52">
    <w:p w14:paraId="4B006E1A" w14:textId="598F4F88" w:rsidR="00BF01E2" w:rsidRPr="003A571A" w:rsidRDefault="00BF01E2"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 23, </w:t>
      </w:r>
      <w:r w:rsidRPr="003A571A">
        <w:rPr>
          <w:i/>
          <w:iCs/>
          <w:sz w:val="18"/>
          <w:szCs w:val="18"/>
          <w:lang w:val="en-US"/>
        </w:rPr>
        <w:t xml:space="preserve">supra </w:t>
      </w:r>
      <w:r w:rsidRPr="003A571A">
        <w:rPr>
          <w:sz w:val="18"/>
          <w:szCs w:val="18"/>
          <w:lang w:val="en-US"/>
        </w:rPr>
        <w:t>note 10.</w:t>
      </w:r>
      <w:r w:rsidR="005950F1" w:rsidRPr="003A571A">
        <w:rPr>
          <w:sz w:val="18"/>
          <w:szCs w:val="18"/>
          <w:lang w:val="en-US"/>
        </w:rPr>
        <w:t xml:space="preserve"> </w:t>
      </w:r>
    </w:p>
  </w:footnote>
  <w:footnote w:id="53">
    <w:p w14:paraId="08960168" w14:textId="214D58F3" w:rsidR="0020512F" w:rsidRPr="003A571A" w:rsidRDefault="0020512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0058751A" w:rsidRPr="003A571A">
        <w:rPr>
          <w:i/>
          <w:iCs/>
          <w:sz w:val="18"/>
          <w:szCs w:val="18"/>
          <w:lang w:val="en-US"/>
        </w:rPr>
        <w:t xml:space="preserve"> </w:t>
      </w:r>
      <w:r w:rsidR="0058751A" w:rsidRPr="003A571A">
        <w:rPr>
          <w:sz w:val="18"/>
          <w:szCs w:val="18"/>
          <w:lang w:val="en-US"/>
        </w:rPr>
        <w:t xml:space="preserve">The </w:t>
      </w:r>
      <w:r w:rsidR="00AB1441" w:rsidRPr="003A571A">
        <w:rPr>
          <w:sz w:val="18"/>
          <w:szCs w:val="18"/>
          <w:lang w:val="en-US"/>
        </w:rPr>
        <w:t xml:space="preserve">FCPA </w:t>
      </w:r>
      <w:r w:rsidR="0058751A" w:rsidRPr="003A571A">
        <w:rPr>
          <w:sz w:val="18"/>
          <w:szCs w:val="18"/>
          <w:lang w:val="en-US"/>
        </w:rPr>
        <w:t xml:space="preserve">Resource Guide is available at: </w:t>
      </w:r>
      <w:hyperlink r:id="rId16" w:history="1">
        <w:r w:rsidR="0058751A" w:rsidRPr="003A571A">
          <w:rPr>
            <w:rStyle w:val="Hyperlink"/>
            <w:sz w:val="18"/>
            <w:szCs w:val="18"/>
            <w:lang w:val="en-US"/>
          </w:rPr>
          <w:t>https://www.sec.gov/spotlight/fcpa/fcpa-resource-guide.pdf</w:t>
        </w:r>
      </w:hyperlink>
      <w:r w:rsidR="0058751A" w:rsidRPr="003A571A">
        <w:rPr>
          <w:sz w:val="18"/>
          <w:szCs w:val="18"/>
          <w:lang w:val="en-US"/>
        </w:rPr>
        <w:t xml:space="preserve"> </w:t>
      </w:r>
    </w:p>
  </w:footnote>
  <w:footnote w:id="54">
    <w:p w14:paraId="614239A1" w14:textId="795CA559" w:rsidR="00CD5FDB" w:rsidRPr="003A571A" w:rsidRDefault="00CD5FDB"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The Spanish version of the Guide is available at: </w:t>
      </w:r>
      <w:hyperlink r:id="rId17" w:history="1">
        <w:r w:rsidR="0003371A" w:rsidRPr="003A571A">
          <w:rPr>
            <w:rStyle w:val="Hyperlink"/>
            <w:sz w:val="18"/>
            <w:szCs w:val="18"/>
            <w:lang w:val="en-US"/>
          </w:rPr>
          <w:t>https://www.justice.gov/media/1283651/dl?inline</w:t>
        </w:r>
      </w:hyperlink>
      <w:r w:rsidR="0003371A" w:rsidRPr="003A571A">
        <w:rPr>
          <w:sz w:val="18"/>
          <w:szCs w:val="18"/>
          <w:lang w:val="en-US"/>
        </w:rPr>
        <w:t xml:space="preserve"> </w:t>
      </w:r>
    </w:p>
  </w:footnote>
  <w:footnote w:id="55">
    <w:p w14:paraId="404DD83D" w14:textId="457829F7" w:rsidR="00AB1441" w:rsidRPr="003A571A" w:rsidRDefault="00AB1441"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FCPA Resource Guide, pg. 38,</w:t>
      </w:r>
      <w:r w:rsidR="00CD5FDB" w:rsidRPr="003A571A">
        <w:rPr>
          <w:sz w:val="18"/>
          <w:szCs w:val="18"/>
          <w:lang w:val="en-US"/>
        </w:rPr>
        <w:t xml:space="preserve"> </w:t>
      </w:r>
      <w:r w:rsidR="00CD5FDB" w:rsidRPr="003A571A">
        <w:rPr>
          <w:i/>
          <w:iCs/>
          <w:sz w:val="18"/>
          <w:szCs w:val="18"/>
          <w:lang w:val="en-US"/>
        </w:rPr>
        <w:t xml:space="preserve">supra </w:t>
      </w:r>
      <w:r w:rsidR="005636D8" w:rsidRPr="003A571A">
        <w:rPr>
          <w:sz w:val="18"/>
          <w:szCs w:val="18"/>
          <w:lang w:val="en-US"/>
        </w:rPr>
        <w:t>note 52</w:t>
      </w:r>
      <w:r w:rsidR="007C628E" w:rsidRPr="003A571A">
        <w:rPr>
          <w:sz w:val="18"/>
          <w:szCs w:val="18"/>
          <w:lang w:val="en-US"/>
        </w:rPr>
        <w:t>.</w:t>
      </w:r>
      <w:r w:rsidRPr="003A571A">
        <w:rPr>
          <w:i/>
          <w:iCs/>
          <w:sz w:val="18"/>
          <w:szCs w:val="18"/>
          <w:lang w:val="en-US"/>
        </w:rPr>
        <w:t xml:space="preserve"> </w:t>
      </w:r>
    </w:p>
  </w:footnote>
  <w:footnote w:id="56">
    <w:p w14:paraId="2B951A97" w14:textId="3FA0E8BD" w:rsidR="00AB1441" w:rsidRPr="003A571A" w:rsidRDefault="00AB1441" w:rsidP="004C3313">
      <w:pPr>
        <w:pStyle w:val="FootnoteText"/>
        <w:jc w:val="both"/>
        <w:rPr>
          <w:i/>
          <w:iCs/>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 xml:space="preserve">Ibid. </w:t>
      </w:r>
    </w:p>
  </w:footnote>
  <w:footnote w:id="57">
    <w:p w14:paraId="3F7CA1CA" w14:textId="4748B33D" w:rsidR="00AB1441" w:rsidRPr="003A571A" w:rsidRDefault="00AB1441" w:rsidP="004C3313">
      <w:pPr>
        <w:pStyle w:val="FootnoteText"/>
        <w:jc w:val="both"/>
        <w:rPr>
          <w:i/>
          <w:iCs/>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 xml:space="preserve">Ibid. </w:t>
      </w:r>
    </w:p>
  </w:footnote>
  <w:footnote w:id="58">
    <w:p w14:paraId="3FEF6EC7" w14:textId="25F591C4" w:rsidR="003047A3" w:rsidRPr="003A571A" w:rsidRDefault="003047A3"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Evaluation of Corporate Compliance Programs, </w:t>
      </w:r>
      <w:hyperlink r:id="rId18" w:history="1">
        <w:r w:rsidRPr="003A571A">
          <w:rPr>
            <w:rStyle w:val="Hyperlink"/>
            <w:sz w:val="18"/>
            <w:szCs w:val="18"/>
            <w:lang w:val="en-US"/>
          </w:rPr>
          <w:t>https://www.justice.gov/media/1160391/dl?inline</w:t>
        </w:r>
      </w:hyperlink>
      <w:r w:rsidRPr="003A571A">
        <w:rPr>
          <w:sz w:val="18"/>
          <w:szCs w:val="18"/>
          <w:lang w:val="en-US"/>
        </w:rPr>
        <w:t xml:space="preserve"> </w:t>
      </w:r>
    </w:p>
  </w:footnote>
  <w:footnote w:id="59">
    <w:p w14:paraId="1F3A5D57" w14:textId="25739CF0" w:rsidR="007C628E" w:rsidRPr="003A571A" w:rsidRDefault="007C628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FCPA Resource Guide, pg. 4, </w:t>
      </w:r>
      <w:r w:rsidRPr="003A571A">
        <w:rPr>
          <w:i/>
          <w:iCs/>
          <w:sz w:val="18"/>
          <w:szCs w:val="18"/>
          <w:lang w:val="en-US"/>
        </w:rPr>
        <w:t xml:space="preserve">supra </w:t>
      </w:r>
      <w:r w:rsidRPr="003A571A">
        <w:rPr>
          <w:sz w:val="18"/>
          <w:szCs w:val="18"/>
          <w:lang w:val="en-US"/>
        </w:rPr>
        <w:t>note 5</w:t>
      </w:r>
      <w:r w:rsidR="00713072" w:rsidRPr="003A571A">
        <w:rPr>
          <w:sz w:val="18"/>
          <w:szCs w:val="18"/>
          <w:lang w:val="en-US"/>
        </w:rPr>
        <w:t>2</w:t>
      </w:r>
      <w:r w:rsidRPr="003A571A">
        <w:rPr>
          <w:sz w:val="18"/>
          <w:szCs w:val="18"/>
          <w:lang w:val="en-US"/>
        </w:rPr>
        <w:t>.</w:t>
      </w:r>
    </w:p>
  </w:footnote>
  <w:footnote w:id="60">
    <w:p w14:paraId="3DAEA828" w14:textId="7FC1EC03" w:rsidR="00B73C97" w:rsidRPr="003A571A" w:rsidRDefault="00B73C9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Forensic Services, </w:t>
      </w:r>
      <w:hyperlink r:id="rId19" w:history="1">
        <w:r w:rsidRPr="003A571A">
          <w:rPr>
            <w:rStyle w:val="Hyperlink"/>
            <w:sz w:val="18"/>
            <w:szCs w:val="18"/>
            <w:lang w:val="en-US"/>
          </w:rPr>
          <w:t>https://www.aicpa-cima.com/cpe-learning/forensic-services</w:t>
        </w:r>
      </w:hyperlink>
      <w:r w:rsidRPr="003A571A">
        <w:rPr>
          <w:sz w:val="18"/>
          <w:szCs w:val="18"/>
          <w:lang w:val="en-US"/>
        </w:rPr>
        <w:t xml:space="preserve"> </w:t>
      </w:r>
    </w:p>
  </w:footnote>
  <w:footnote w:id="61">
    <w:p w14:paraId="6AA6F629" w14:textId="27E36119" w:rsidR="0084771A" w:rsidRPr="003A571A" w:rsidRDefault="0084771A"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Financial Statement Fraud, Corruption and Asset Misappropriation, </w:t>
      </w:r>
      <w:hyperlink r:id="rId20" w:history="1">
        <w:r w:rsidRPr="003A571A">
          <w:rPr>
            <w:rStyle w:val="Hyperlink"/>
            <w:sz w:val="18"/>
            <w:szCs w:val="18"/>
            <w:lang w:val="en-US"/>
          </w:rPr>
          <w:t>https://www.aicpa-cima.com/cpe-learning/course/financial-statement-fraud-corruption-and-asset-misappropriation-part-1-and-part-2</w:t>
        </w:r>
      </w:hyperlink>
      <w:r w:rsidRPr="003A571A">
        <w:rPr>
          <w:sz w:val="18"/>
          <w:szCs w:val="18"/>
          <w:lang w:val="en-US"/>
        </w:rPr>
        <w:t xml:space="preserve">, and Financial Statement Fraud,  and Asset Misappropriation, </w:t>
      </w:r>
      <w:hyperlink r:id="rId21" w:history="1">
        <w:r w:rsidRPr="003A571A">
          <w:rPr>
            <w:rStyle w:val="Hyperlink"/>
            <w:sz w:val="18"/>
            <w:szCs w:val="18"/>
            <w:lang w:val="en-US"/>
          </w:rPr>
          <w:t>https://www.aicpa-cima.com/cpe-learning/course/financial-statement-fraud-and-asset-misappropriation</w:t>
        </w:r>
      </w:hyperlink>
      <w:r w:rsidRPr="003A571A">
        <w:rPr>
          <w:sz w:val="18"/>
          <w:szCs w:val="18"/>
          <w:lang w:val="en-US"/>
        </w:rPr>
        <w:t xml:space="preserve">. </w:t>
      </w:r>
    </w:p>
  </w:footnote>
  <w:footnote w:id="62">
    <w:p w14:paraId="03CFDCF4" w14:textId="1DEA9357" w:rsidR="00DC3F8E" w:rsidRPr="003A571A" w:rsidRDefault="00DC3F8E"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25 – 26, </w:t>
      </w:r>
      <w:r w:rsidRPr="003A571A">
        <w:rPr>
          <w:i/>
          <w:iCs/>
          <w:sz w:val="18"/>
          <w:szCs w:val="18"/>
          <w:lang w:val="en-US"/>
        </w:rPr>
        <w:t xml:space="preserve">supra </w:t>
      </w:r>
      <w:r w:rsidRPr="003A571A">
        <w:rPr>
          <w:sz w:val="18"/>
          <w:szCs w:val="18"/>
          <w:lang w:val="en-US"/>
        </w:rPr>
        <w:t>note 10.</w:t>
      </w:r>
    </w:p>
  </w:footnote>
  <w:footnote w:id="63">
    <w:p w14:paraId="16EB8F55" w14:textId="41B22CEE" w:rsidR="007C628E" w:rsidRPr="003A571A" w:rsidRDefault="007C628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FCPA Opinions, </w:t>
      </w:r>
      <w:hyperlink r:id="rId22" w:history="1">
        <w:r w:rsidRPr="003A571A">
          <w:rPr>
            <w:rStyle w:val="Hyperlink"/>
            <w:sz w:val="18"/>
            <w:szCs w:val="18"/>
            <w:lang w:val="en-US"/>
          </w:rPr>
          <w:t>https://www.justice.gov/criminal/criminal-fraud/fcpa-opinions</w:t>
        </w:r>
      </w:hyperlink>
      <w:r w:rsidRPr="003A571A">
        <w:rPr>
          <w:sz w:val="18"/>
          <w:szCs w:val="18"/>
          <w:lang w:val="en-US"/>
        </w:rPr>
        <w:t xml:space="preserve"> </w:t>
      </w:r>
    </w:p>
  </w:footnote>
  <w:footnote w:id="64">
    <w:p w14:paraId="207D74FF" w14:textId="16146EBA" w:rsidR="007C628E" w:rsidRPr="003A571A" w:rsidRDefault="007C628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Website available at: </w:t>
      </w:r>
      <w:hyperlink r:id="rId23" w:history="1">
        <w:r w:rsidRPr="003A571A">
          <w:rPr>
            <w:rStyle w:val="Hyperlink"/>
            <w:sz w:val="18"/>
            <w:szCs w:val="18"/>
            <w:lang w:val="en-US"/>
          </w:rPr>
          <w:t>https://www.sec.gov/enforcement/foreign-corrupt-practices-act</w:t>
        </w:r>
      </w:hyperlink>
      <w:r w:rsidRPr="003A571A">
        <w:rPr>
          <w:sz w:val="18"/>
          <w:szCs w:val="18"/>
          <w:lang w:val="en-US"/>
        </w:rPr>
        <w:t xml:space="preserve">  </w:t>
      </w:r>
    </w:p>
  </w:footnote>
  <w:footnote w:id="65">
    <w:p w14:paraId="42F7B0DE" w14:textId="24736FB4" w:rsidR="000C333F" w:rsidRPr="003A571A" w:rsidRDefault="000C333F" w:rsidP="00054E2A">
      <w:pPr>
        <w:pStyle w:val="FootnoteText"/>
        <w:jc w:val="both"/>
        <w:rPr>
          <w:b/>
          <w:bCs/>
          <w:sz w:val="18"/>
          <w:szCs w:val="18"/>
          <w:u w:val="single"/>
          <w:lang w:val="en-US"/>
        </w:rPr>
      </w:pPr>
      <w:r w:rsidRPr="003A571A">
        <w:rPr>
          <w:rStyle w:val="FootnoteReference"/>
          <w:sz w:val="18"/>
          <w:szCs w:val="18"/>
          <w:lang w:val="en-US"/>
        </w:rPr>
        <w:footnoteRef/>
      </w:r>
      <w:r w:rsidRPr="003A571A">
        <w:rPr>
          <w:sz w:val="18"/>
          <w:szCs w:val="18"/>
          <w:lang w:val="en-US"/>
        </w:rPr>
        <w:t xml:space="preserve"> Response to the Questionnaire, pg. 27, </w:t>
      </w:r>
      <w:r w:rsidRPr="003A571A">
        <w:rPr>
          <w:i/>
          <w:iCs/>
          <w:sz w:val="18"/>
          <w:szCs w:val="18"/>
          <w:lang w:val="en-US"/>
        </w:rPr>
        <w:t xml:space="preserve">supra </w:t>
      </w:r>
      <w:r w:rsidRPr="003A571A">
        <w:rPr>
          <w:sz w:val="18"/>
          <w:szCs w:val="18"/>
          <w:lang w:val="en-US"/>
        </w:rPr>
        <w:t>note 10.</w:t>
      </w:r>
      <w:r w:rsidR="00A23A1A" w:rsidRPr="003A571A">
        <w:rPr>
          <w:sz w:val="18"/>
          <w:szCs w:val="18"/>
          <w:lang w:val="en-US"/>
        </w:rPr>
        <w:t xml:space="preserve"> </w:t>
      </w:r>
    </w:p>
  </w:footnote>
  <w:footnote w:id="66">
    <w:p w14:paraId="6030693C" w14:textId="2EC1D15B" w:rsidR="00B7262A" w:rsidRPr="003A571A" w:rsidRDefault="00B7262A"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p>
  </w:footnote>
  <w:footnote w:id="67">
    <w:p w14:paraId="12A93060" w14:textId="42437604" w:rsidR="00213BE6" w:rsidRPr="003A571A" w:rsidRDefault="00213BE6" w:rsidP="00213BE6">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e.g., PCAOB, 2023 Inspections to Prioritize Audit Risks Related to Fraud, the Financial Services Sector, Crypto (Apr. 17, 2023), available at </w:t>
      </w:r>
      <w:hyperlink r:id="rId24" w:history="1">
        <w:r w:rsidRPr="003A571A">
          <w:rPr>
            <w:rStyle w:val="Hyperlink"/>
            <w:sz w:val="18"/>
            <w:szCs w:val="18"/>
            <w:u w:val="none"/>
            <w:lang w:val="en-US"/>
          </w:rPr>
          <w:t>https://pcaobus.org/news-events/news-releases/news-release-detail/2023-inspections-to-prioritize-audit-risks-related-to-fraud-the-financial-services-sector-crypto</w:t>
        </w:r>
      </w:hyperlink>
      <w:r w:rsidRPr="003A571A">
        <w:rPr>
          <w:sz w:val="18"/>
          <w:szCs w:val="18"/>
          <w:lang w:val="en-US"/>
        </w:rPr>
        <w:t>.</w:t>
      </w:r>
    </w:p>
  </w:footnote>
  <w:footnote w:id="68">
    <w:p w14:paraId="05C0D62E" w14:textId="56CBEBD1" w:rsidR="00213BE6" w:rsidRPr="003A571A" w:rsidRDefault="00213BE6" w:rsidP="00213BE6">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e.g., AICPA, Peer Review Summary, available at </w:t>
      </w:r>
      <w:hyperlink r:id="rId25" w:history="1">
        <w:r w:rsidRPr="003A571A">
          <w:rPr>
            <w:rStyle w:val="Hyperlink"/>
            <w:sz w:val="18"/>
            <w:szCs w:val="18"/>
            <w:u w:val="none"/>
            <w:lang w:val="en-US"/>
          </w:rPr>
          <w:t>https://us.aicpa.org/research/standards/peerreview/peer-review-summary</w:t>
        </w:r>
      </w:hyperlink>
    </w:p>
  </w:footnote>
  <w:footnote w:id="69">
    <w:p w14:paraId="67B412F1" w14:textId="656ABEAC" w:rsidR="00B7262A" w:rsidRPr="003A571A" w:rsidRDefault="00B7262A"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w:t>
      </w:r>
      <w:r w:rsidR="00713072" w:rsidRPr="003A571A">
        <w:rPr>
          <w:sz w:val="18"/>
          <w:szCs w:val="18"/>
          <w:lang w:val="en-US"/>
        </w:rPr>
        <w:t xml:space="preserve">Report of the Third Round, </w:t>
      </w:r>
      <w:r w:rsidRPr="003A571A">
        <w:rPr>
          <w:sz w:val="18"/>
          <w:szCs w:val="18"/>
          <w:lang w:val="en-US"/>
        </w:rPr>
        <w:t xml:space="preserve">paragraphs 53 – 55, </w:t>
      </w:r>
      <w:r w:rsidR="00443BDF" w:rsidRPr="003A571A">
        <w:rPr>
          <w:sz w:val="18"/>
          <w:szCs w:val="18"/>
          <w:lang w:val="en-US"/>
        </w:rPr>
        <w:t>59,</w:t>
      </w:r>
      <w:r w:rsidR="00CF1FA0" w:rsidRPr="003A571A">
        <w:rPr>
          <w:sz w:val="18"/>
          <w:szCs w:val="18"/>
          <w:lang w:val="en-US"/>
        </w:rPr>
        <w:t xml:space="preserve"> 64 – 6</w:t>
      </w:r>
      <w:r w:rsidR="00ED1739" w:rsidRPr="003A571A">
        <w:rPr>
          <w:sz w:val="18"/>
          <w:szCs w:val="18"/>
          <w:lang w:val="en-US"/>
        </w:rPr>
        <w:t>7</w:t>
      </w:r>
      <w:r w:rsidR="00CF1FA0" w:rsidRPr="003A571A">
        <w:rPr>
          <w:sz w:val="18"/>
          <w:szCs w:val="18"/>
          <w:lang w:val="en-US"/>
        </w:rPr>
        <w:t>, and</w:t>
      </w:r>
      <w:r w:rsidR="00443BDF" w:rsidRPr="003A571A">
        <w:rPr>
          <w:sz w:val="18"/>
          <w:szCs w:val="18"/>
          <w:lang w:val="en-US"/>
        </w:rPr>
        <w:t xml:space="preserve"> endnote iv</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note 3.</w:t>
      </w:r>
    </w:p>
  </w:footnote>
  <w:footnote w:id="70">
    <w:p w14:paraId="09A9BA8A" w14:textId="160AB7D7" w:rsidR="00443BDF" w:rsidRPr="003A571A" w:rsidRDefault="00443BDF"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 28, </w:t>
      </w:r>
      <w:r w:rsidRPr="003A571A">
        <w:rPr>
          <w:i/>
          <w:iCs/>
          <w:sz w:val="18"/>
          <w:szCs w:val="18"/>
          <w:lang w:val="en-US"/>
        </w:rPr>
        <w:t xml:space="preserve">supra </w:t>
      </w:r>
      <w:r w:rsidRPr="003A571A">
        <w:rPr>
          <w:sz w:val="18"/>
          <w:szCs w:val="18"/>
          <w:lang w:val="en-US"/>
        </w:rPr>
        <w:t>note 10.</w:t>
      </w:r>
    </w:p>
  </w:footnote>
  <w:footnote w:id="71">
    <w:p w14:paraId="4E242C05" w14:textId="566C5CB5" w:rsidR="002523D0" w:rsidRPr="003A571A" w:rsidRDefault="002523D0"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w:t>
      </w:r>
      <w:r w:rsidR="00713072" w:rsidRPr="003A571A">
        <w:rPr>
          <w:sz w:val="18"/>
          <w:szCs w:val="18"/>
          <w:lang w:val="en-US"/>
        </w:rPr>
        <w:t xml:space="preserve">Report of the Third Round, </w:t>
      </w:r>
      <w:r w:rsidRPr="003A571A">
        <w:rPr>
          <w:sz w:val="18"/>
          <w:szCs w:val="18"/>
          <w:lang w:val="en-US"/>
        </w:rPr>
        <w:t xml:space="preserve">paragraphs 53 – 55, 59, endnote iv, </w:t>
      </w:r>
      <w:r w:rsidRPr="003A571A">
        <w:rPr>
          <w:i/>
          <w:iCs/>
          <w:sz w:val="18"/>
          <w:szCs w:val="18"/>
          <w:lang w:val="en-US"/>
        </w:rPr>
        <w:t xml:space="preserve">supra </w:t>
      </w:r>
      <w:r w:rsidRPr="003A571A">
        <w:rPr>
          <w:sz w:val="18"/>
          <w:szCs w:val="18"/>
          <w:lang w:val="en-US"/>
        </w:rPr>
        <w:t>note 3.</w:t>
      </w:r>
    </w:p>
  </w:footnote>
  <w:footnote w:id="72">
    <w:p w14:paraId="5122FB98" w14:textId="77777777" w:rsidR="002523D0" w:rsidRPr="003A571A" w:rsidRDefault="002523D0"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 28, </w:t>
      </w:r>
      <w:r w:rsidRPr="003A571A">
        <w:rPr>
          <w:i/>
          <w:iCs/>
          <w:sz w:val="18"/>
          <w:szCs w:val="18"/>
          <w:lang w:val="en-US"/>
        </w:rPr>
        <w:t xml:space="preserve">supra </w:t>
      </w:r>
      <w:r w:rsidRPr="003A571A">
        <w:rPr>
          <w:sz w:val="18"/>
          <w:szCs w:val="18"/>
          <w:lang w:val="en-US"/>
        </w:rPr>
        <w:t>note 10.</w:t>
      </w:r>
    </w:p>
  </w:footnote>
  <w:footnote w:id="73">
    <w:p w14:paraId="2A6DDC87" w14:textId="6310886F" w:rsidR="00C75920" w:rsidRPr="003A571A" w:rsidRDefault="00C75920" w:rsidP="00E241E2">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4E51AC" w:rsidRPr="003A571A">
        <w:rPr>
          <w:b/>
          <w:bCs/>
          <w:sz w:val="18"/>
          <w:szCs w:val="18"/>
          <w:u w:val="single"/>
          <w:lang w:val="en-US"/>
        </w:rPr>
        <w:t xml:space="preserve">These financial statements </w:t>
      </w:r>
      <w:r w:rsidR="000059B7" w:rsidRPr="003A571A">
        <w:rPr>
          <w:b/>
          <w:bCs/>
          <w:sz w:val="18"/>
          <w:szCs w:val="18"/>
          <w:u w:val="single"/>
          <w:lang w:val="en-US"/>
        </w:rPr>
        <w:t>are available</w:t>
      </w:r>
      <w:r w:rsidR="00070C33" w:rsidRPr="003A571A">
        <w:rPr>
          <w:b/>
          <w:bCs/>
          <w:sz w:val="18"/>
          <w:szCs w:val="18"/>
          <w:u w:val="single"/>
          <w:lang w:val="en-US"/>
        </w:rPr>
        <w:t xml:space="preserve"> in the SEC </w:t>
      </w:r>
      <w:r w:rsidR="00D539A2" w:rsidRPr="003A571A">
        <w:rPr>
          <w:b/>
          <w:bCs/>
          <w:sz w:val="18"/>
          <w:szCs w:val="18"/>
          <w:u w:val="single"/>
          <w:lang w:val="en-US"/>
        </w:rPr>
        <w:t>EDGAR</w:t>
      </w:r>
      <w:r w:rsidR="00412B96" w:rsidRPr="003A571A">
        <w:rPr>
          <w:b/>
          <w:bCs/>
          <w:sz w:val="18"/>
          <w:szCs w:val="18"/>
          <w:u w:val="single"/>
          <w:lang w:val="en-US"/>
        </w:rPr>
        <w:t xml:space="preserve"> </w:t>
      </w:r>
      <w:r w:rsidR="006367C1" w:rsidRPr="003A571A">
        <w:rPr>
          <w:b/>
          <w:bCs/>
          <w:sz w:val="18"/>
          <w:szCs w:val="18"/>
          <w:u w:val="single"/>
          <w:lang w:val="en-US"/>
        </w:rPr>
        <w:t>platform</w:t>
      </w:r>
      <w:r w:rsidR="000059B7" w:rsidRPr="003A571A">
        <w:rPr>
          <w:b/>
          <w:bCs/>
          <w:sz w:val="18"/>
          <w:szCs w:val="18"/>
          <w:u w:val="single"/>
          <w:lang w:val="en-US"/>
        </w:rPr>
        <w:t xml:space="preserve"> </w:t>
      </w:r>
      <w:r w:rsidR="00F41E17" w:rsidRPr="003A571A">
        <w:rPr>
          <w:b/>
          <w:bCs/>
          <w:sz w:val="18"/>
          <w:szCs w:val="18"/>
          <w:u w:val="single"/>
          <w:lang w:val="en-US"/>
        </w:rPr>
        <w:t xml:space="preserve">at </w:t>
      </w:r>
      <w:hyperlink r:id="rId26" w:history="1">
        <w:r w:rsidR="00185767" w:rsidRPr="003A571A">
          <w:rPr>
            <w:rStyle w:val="Hyperlink"/>
            <w:b/>
            <w:bCs/>
            <w:sz w:val="18"/>
            <w:szCs w:val="18"/>
            <w:lang w:val="en-US"/>
          </w:rPr>
          <w:t>https://www.sec.gov/edgar</w:t>
        </w:r>
      </w:hyperlink>
    </w:p>
  </w:footnote>
  <w:footnote w:id="74">
    <w:p w14:paraId="42E05142" w14:textId="070E01E8" w:rsidR="009C1FC0" w:rsidRPr="003A571A" w:rsidRDefault="009C1FC0"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29.</w:t>
      </w:r>
    </w:p>
  </w:footnote>
  <w:footnote w:id="75">
    <w:p w14:paraId="1429A46F" w14:textId="4430E127" w:rsidR="00B31B11" w:rsidRPr="003A571A" w:rsidRDefault="00B31B11"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w:t>
      </w:r>
      <w:r w:rsidR="00713072" w:rsidRPr="003A571A">
        <w:rPr>
          <w:sz w:val="18"/>
          <w:szCs w:val="18"/>
          <w:lang w:val="en-US"/>
        </w:rPr>
        <w:t xml:space="preserve">Report of the Third Round, </w:t>
      </w:r>
      <w:r w:rsidRPr="003A571A">
        <w:rPr>
          <w:sz w:val="18"/>
          <w:szCs w:val="18"/>
          <w:lang w:val="en-US"/>
        </w:rPr>
        <w:t xml:space="preserve">paragraphs 53 – 55 and 65, </w:t>
      </w:r>
      <w:r w:rsidRPr="003A571A">
        <w:rPr>
          <w:i/>
          <w:iCs/>
          <w:sz w:val="18"/>
          <w:szCs w:val="18"/>
          <w:lang w:val="en-US"/>
        </w:rPr>
        <w:t xml:space="preserve">supra </w:t>
      </w:r>
      <w:r w:rsidRPr="003A571A">
        <w:rPr>
          <w:sz w:val="18"/>
          <w:szCs w:val="18"/>
          <w:lang w:val="en-US"/>
        </w:rPr>
        <w:t>note 3.</w:t>
      </w:r>
      <w:r w:rsidR="004A6D31" w:rsidRPr="003A571A">
        <w:rPr>
          <w:sz w:val="18"/>
          <w:szCs w:val="18"/>
          <w:lang w:val="en-US"/>
        </w:rPr>
        <w:t xml:space="preserve"> The Committee does note that one of the auditing standards issued by the PCAOB, AS2405: Illegal Acts by Clients, which was reviewed by the Committee in the Third Round, is currently being considered for revision, to take into consideration new developments, seeing it has remained largely unchanged since its issuance in 1988, see Noncompliance with Laws and Regulations, </w:t>
      </w:r>
      <w:hyperlink r:id="rId27" w:history="1">
        <w:r w:rsidR="004A6D31" w:rsidRPr="003A571A">
          <w:rPr>
            <w:rStyle w:val="Hyperlink"/>
            <w:sz w:val="18"/>
            <w:szCs w:val="18"/>
            <w:lang w:val="en-US"/>
          </w:rPr>
          <w:t>https://pcaobus.org/oversight/standards/standard-setting-research-projects/noncompliance-with-laws-regulations</w:t>
        </w:r>
      </w:hyperlink>
    </w:p>
  </w:footnote>
  <w:footnote w:id="76">
    <w:p w14:paraId="552BAB76" w14:textId="028BF3F8" w:rsidR="004A6D31" w:rsidRPr="003A571A" w:rsidRDefault="004A6D31"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 30, </w:t>
      </w:r>
      <w:r w:rsidRPr="003A571A">
        <w:rPr>
          <w:i/>
          <w:iCs/>
          <w:sz w:val="18"/>
          <w:szCs w:val="18"/>
          <w:lang w:val="en-US"/>
        </w:rPr>
        <w:t xml:space="preserve">supra </w:t>
      </w:r>
      <w:r w:rsidRPr="003A571A">
        <w:rPr>
          <w:sz w:val="18"/>
          <w:szCs w:val="18"/>
          <w:lang w:val="en-US"/>
        </w:rPr>
        <w:t>note 10.</w:t>
      </w:r>
    </w:p>
  </w:footnote>
  <w:footnote w:id="77">
    <w:p w14:paraId="69460C9A" w14:textId="5AEAD0FC" w:rsidR="0033406F" w:rsidRPr="003A571A" w:rsidRDefault="0033406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Additional Information on Topics Reviewed, pg. 1, </w:t>
      </w:r>
      <w:hyperlink r:id="rId28" w:history="1">
        <w:r w:rsidRPr="003A571A">
          <w:rPr>
            <w:rStyle w:val="Hyperlink"/>
            <w:sz w:val="18"/>
            <w:szCs w:val="18"/>
            <w:lang w:val="en-US"/>
          </w:rPr>
          <w:t>http://www.oas.org/en/sla/dlc/mesicic/paises-rondas.html?c=United%20States&amp;r=6</w:t>
        </w:r>
      </w:hyperlink>
      <w:r w:rsidRPr="003A571A">
        <w:rPr>
          <w:sz w:val="18"/>
          <w:szCs w:val="18"/>
          <w:lang w:val="en-US"/>
        </w:rPr>
        <w:t xml:space="preserve"> </w:t>
      </w:r>
    </w:p>
  </w:footnote>
  <w:footnote w:id="78">
    <w:p w14:paraId="24F73EBE" w14:textId="762EE554" w:rsidR="006D7F2F" w:rsidRPr="003A571A" w:rsidRDefault="006D7F2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00273918" w:rsidRPr="003A571A">
        <w:rPr>
          <w:sz w:val="18"/>
          <w:szCs w:val="18"/>
          <w:lang w:val="en-US"/>
        </w:rPr>
        <w:t xml:space="preserve">See Technology, </w:t>
      </w:r>
      <w:hyperlink r:id="rId29" w:history="1">
        <w:r w:rsidR="00273918" w:rsidRPr="003A571A">
          <w:rPr>
            <w:rStyle w:val="Hyperlink"/>
            <w:sz w:val="18"/>
            <w:szCs w:val="18"/>
            <w:lang w:val="en-US"/>
          </w:rPr>
          <w:t>https://www.aicpa-cima.com/topic/technology</w:t>
        </w:r>
      </w:hyperlink>
      <w:r w:rsidR="00273918" w:rsidRPr="003A571A">
        <w:rPr>
          <w:sz w:val="18"/>
          <w:szCs w:val="18"/>
          <w:lang w:val="en-US"/>
        </w:rPr>
        <w:t xml:space="preserve"> </w:t>
      </w:r>
    </w:p>
  </w:footnote>
  <w:footnote w:id="79">
    <w:p w14:paraId="7CFF8809" w14:textId="38C71EFF" w:rsidR="006D7F2F" w:rsidRPr="003A571A" w:rsidRDefault="006D7F2F"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Guide to Audit Data Analytics an Overview, </w:t>
      </w:r>
      <w:hyperlink r:id="rId30" w:history="1">
        <w:r w:rsidRPr="003A571A">
          <w:rPr>
            <w:rStyle w:val="Hyperlink"/>
            <w:sz w:val="18"/>
            <w:szCs w:val="18"/>
            <w:lang w:val="en-US"/>
          </w:rPr>
          <w:t>https://www.aicpa-cima.com/resources/article/guide-to-audit-data-analytics-an-overview</w:t>
        </w:r>
      </w:hyperlink>
      <w:r w:rsidRPr="003A571A">
        <w:rPr>
          <w:sz w:val="18"/>
          <w:szCs w:val="18"/>
          <w:lang w:val="en-US"/>
        </w:rPr>
        <w:t xml:space="preserve"> </w:t>
      </w:r>
    </w:p>
  </w:footnote>
  <w:footnote w:id="80">
    <w:p w14:paraId="5874FE9C" w14:textId="77EA06E5" w:rsidR="00963B59" w:rsidRPr="003A571A" w:rsidRDefault="00963B59" w:rsidP="00E239BA">
      <w:pPr>
        <w:pStyle w:val="FootnoteText"/>
        <w:jc w:val="both"/>
        <w:rPr>
          <w:b/>
          <w:bCs/>
          <w:sz w:val="18"/>
          <w:szCs w:val="18"/>
          <w:u w:val="single"/>
          <w:lang w:val="en-US"/>
        </w:rPr>
      </w:pPr>
      <w:r w:rsidRPr="003A571A">
        <w:rPr>
          <w:rStyle w:val="FootnoteReference"/>
          <w:sz w:val="18"/>
          <w:szCs w:val="18"/>
          <w:lang w:val="en-US"/>
        </w:rPr>
        <w:footnoteRef/>
      </w:r>
      <w:r w:rsidRPr="003A571A">
        <w:rPr>
          <w:sz w:val="18"/>
          <w:szCs w:val="18"/>
          <w:lang w:val="en-US"/>
        </w:rPr>
        <w:t xml:space="preserve"> Response to the Questionnaire, pg. 31, </w:t>
      </w:r>
      <w:r w:rsidRPr="003A571A">
        <w:rPr>
          <w:i/>
          <w:iCs/>
          <w:sz w:val="18"/>
          <w:szCs w:val="18"/>
          <w:lang w:val="en-US"/>
        </w:rPr>
        <w:t xml:space="preserve">supra </w:t>
      </w:r>
      <w:r w:rsidRPr="003A571A">
        <w:rPr>
          <w:sz w:val="18"/>
          <w:szCs w:val="18"/>
          <w:lang w:val="en-US"/>
        </w:rPr>
        <w:t>note 10.</w:t>
      </w:r>
      <w:r w:rsidR="009B3548" w:rsidRPr="003A571A">
        <w:rPr>
          <w:sz w:val="18"/>
          <w:szCs w:val="18"/>
          <w:lang w:val="en-US" w:eastAsia="en-US"/>
        </w:rPr>
        <w:t xml:space="preserve"> </w:t>
      </w:r>
      <w:r w:rsidR="009B3548" w:rsidRPr="003A571A">
        <w:rPr>
          <w:sz w:val="18"/>
          <w:szCs w:val="18"/>
          <w:lang w:val="en-US"/>
        </w:rPr>
        <w:t xml:space="preserve">The country under review, in its observations to the draft preliminary report, that </w:t>
      </w:r>
      <w:r w:rsidR="005C31D5" w:rsidRPr="003A571A">
        <w:rPr>
          <w:sz w:val="18"/>
          <w:szCs w:val="18"/>
          <w:lang w:val="en-US"/>
        </w:rPr>
        <w:t>in the case of PCAOB audits, AS 2310 is the relevant auditing standard, which the PCAOB updated last year</w:t>
      </w:r>
      <w:r w:rsidR="004C2B9A" w:rsidRPr="003A571A">
        <w:rPr>
          <w:sz w:val="18"/>
          <w:szCs w:val="18"/>
          <w:lang w:val="en-US"/>
        </w:rPr>
        <w:t>. In addition, t</w:t>
      </w:r>
      <w:r w:rsidR="005C31D5" w:rsidRPr="003A571A">
        <w:rPr>
          <w:sz w:val="18"/>
          <w:szCs w:val="18"/>
          <w:lang w:val="en-US"/>
        </w:rPr>
        <w:t xml:space="preserve">he confirmation process implicates, and expressly references, a number of other auditing standards as well as </w:t>
      </w:r>
      <w:r w:rsidR="00E239BA" w:rsidRPr="003A571A">
        <w:rPr>
          <w:sz w:val="18"/>
          <w:szCs w:val="18"/>
          <w:lang w:val="en-US"/>
        </w:rPr>
        <w:t xml:space="preserve">the </w:t>
      </w:r>
      <w:r w:rsidR="005C31D5" w:rsidRPr="003A571A">
        <w:rPr>
          <w:sz w:val="18"/>
          <w:szCs w:val="18"/>
          <w:lang w:val="en-US"/>
        </w:rPr>
        <w:t>inspections process</w:t>
      </w:r>
      <w:r w:rsidR="00E239BA" w:rsidRPr="003A571A">
        <w:rPr>
          <w:sz w:val="18"/>
          <w:szCs w:val="18"/>
          <w:lang w:val="en-US"/>
        </w:rPr>
        <w:t>, s</w:t>
      </w:r>
      <w:r w:rsidR="005C31D5" w:rsidRPr="003A571A">
        <w:rPr>
          <w:sz w:val="18"/>
          <w:szCs w:val="18"/>
          <w:lang w:val="en-US"/>
        </w:rPr>
        <w:t>ee AS 2310 (</w:t>
      </w:r>
      <w:hyperlink r:id="rId31" w:history="1">
        <w:r w:rsidR="005C31D5" w:rsidRPr="003A571A">
          <w:rPr>
            <w:rStyle w:val="Hyperlink"/>
            <w:sz w:val="18"/>
            <w:szCs w:val="18"/>
            <w:lang w:val="en-US"/>
          </w:rPr>
          <w:t>https://pcaobus.org/oversight/standards/auditing-standards/details/AS2310</w:t>
        </w:r>
      </w:hyperlink>
      <w:r w:rsidR="005C31D5" w:rsidRPr="003A571A">
        <w:rPr>
          <w:sz w:val="18"/>
          <w:szCs w:val="18"/>
          <w:lang w:val="en-US"/>
        </w:rPr>
        <w:t>) and the updated standard that will be effective for audits for fiscal years ending on or after June 15, 2025 (</w:t>
      </w:r>
      <w:hyperlink r:id="rId32" w:history="1">
        <w:r w:rsidR="005C31D5" w:rsidRPr="003A571A">
          <w:rPr>
            <w:rStyle w:val="Hyperlink"/>
            <w:sz w:val="18"/>
            <w:szCs w:val="18"/>
            <w:lang w:val="en-US"/>
          </w:rPr>
          <w:t>https://pcaobus.org/oversight/standards/auditing-standards/details/as-2310-the-auditor-s-use-of-confirmation-(effective-for-fye-on-or-after-6-15-2025</w:t>
        </w:r>
      </w:hyperlink>
      <w:r w:rsidR="005C31D5" w:rsidRPr="003A571A">
        <w:rPr>
          <w:sz w:val="18"/>
          <w:szCs w:val="18"/>
          <w:lang w:val="en-US"/>
        </w:rPr>
        <w:t>).</w:t>
      </w:r>
    </w:p>
  </w:footnote>
  <w:footnote w:id="81">
    <w:p w14:paraId="1B589245" w14:textId="7FBB1374" w:rsidR="00963B59" w:rsidRPr="003A571A" w:rsidRDefault="00963B59"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Additional Information on Topics Reviewed, </w:t>
      </w:r>
      <w:r w:rsidRPr="003A571A">
        <w:rPr>
          <w:i/>
          <w:iCs/>
          <w:sz w:val="18"/>
          <w:szCs w:val="18"/>
          <w:lang w:val="en-US"/>
        </w:rPr>
        <w:t xml:space="preserve">supra </w:t>
      </w:r>
      <w:r w:rsidR="0070637F">
        <w:rPr>
          <w:sz w:val="18"/>
          <w:szCs w:val="18"/>
          <w:lang w:val="en-US"/>
        </w:rPr>
        <w:t>note 76</w:t>
      </w:r>
      <w:r w:rsidRPr="003A571A">
        <w:rPr>
          <w:sz w:val="18"/>
          <w:szCs w:val="18"/>
          <w:lang w:val="en-US"/>
        </w:rPr>
        <w:t>, pg. 2.</w:t>
      </w:r>
    </w:p>
  </w:footnote>
  <w:footnote w:id="82">
    <w:p w14:paraId="35AD6DE1" w14:textId="2910D8F9" w:rsidR="00963B59" w:rsidRPr="003A571A" w:rsidRDefault="00963B59"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Available at: </w:t>
      </w:r>
      <w:hyperlink r:id="rId33" w:history="1">
        <w:r w:rsidR="001E507C" w:rsidRPr="003A571A">
          <w:rPr>
            <w:rStyle w:val="Hyperlink"/>
            <w:sz w:val="18"/>
            <w:szCs w:val="18"/>
            <w:lang w:val="en-US"/>
          </w:rPr>
          <w:t>https://us.aicpa.org/content/dam/aicpa/research/standards/auditattest/downloadabledocuments/au-c-00330.pdf</w:t>
        </w:r>
      </w:hyperlink>
      <w:r w:rsidR="001E507C" w:rsidRPr="003A571A">
        <w:rPr>
          <w:sz w:val="18"/>
          <w:szCs w:val="18"/>
          <w:lang w:val="en-US"/>
        </w:rPr>
        <w:t xml:space="preserve"> </w:t>
      </w:r>
    </w:p>
  </w:footnote>
  <w:footnote w:id="83">
    <w:p w14:paraId="196AE9E1" w14:textId="2C82D16F" w:rsidR="00963B59" w:rsidRPr="003A571A" w:rsidRDefault="00963B59"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Available at: </w:t>
      </w:r>
      <w:hyperlink r:id="rId34" w:history="1">
        <w:r w:rsidRPr="003A571A">
          <w:rPr>
            <w:rStyle w:val="Hyperlink"/>
            <w:sz w:val="18"/>
            <w:szCs w:val="18"/>
            <w:lang w:val="en-US"/>
          </w:rPr>
          <w:t>https://www.federalregister.gov/documents/2023/10/17/2023-22491/public-company-accounting-oversight-board-notice-of-filing-of-proposed-rules-on-the-auditors-use-of</w:t>
        </w:r>
      </w:hyperlink>
      <w:r w:rsidRPr="003A571A">
        <w:rPr>
          <w:sz w:val="18"/>
          <w:szCs w:val="18"/>
          <w:lang w:val="en-US"/>
        </w:rPr>
        <w:t xml:space="preserve"> </w:t>
      </w:r>
    </w:p>
  </w:footnote>
  <w:footnote w:id="84">
    <w:p w14:paraId="2162220C" w14:textId="5F294C12" w:rsidR="00886FB2" w:rsidRPr="003A571A" w:rsidRDefault="00886FB2"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AU-C Section 330, Performing Audit Procedures in Response to Assessed Risks and Evaluating the Audit Evidence Obtained, paragraph A59, </w:t>
      </w:r>
      <w:r w:rsidRPr="003A571A">
        <w:rPr>
          <w:i/>
          <w:iCs/>
          <w:sz w:val="18"/>
          <w:szCs w:val="18"/>
          <w:lang w:val="en-US"/>
        </w:rPr>
        <w:t xml:space="preserve">supra </w:t>
      </w:r>
      <w:r w:rsidR="0086280D">
        <w:rPr>
          <w:sz w:val="18"/>
          <w:szCs w:val="18"/>
          <w:lang w:val="en-US"/>
        </w:rPr>
        <w:t>note 81</w:t>
      </w:r>
      <w:r w:rsidRPr="003A571A">
        <w:rPr>
          <w:sz w:val="18"/>
          <w:szCs w:val="18"/>
          <w:lang w:val="en-US"/>
        </w:rPr>
        <w:t>.</w:t>
      </w:r>
    </w:p>
  </w:footnote>
  <w:footnote w:id="85">
    <w:p w14:paraId="39929059" w14:textId="6F0C26F7" w:rsidR="005F4CF0" w:rsidRPr="003A571A" w:rsidRDefault="005F4CF0" w:rsidP="004C3313">
      <w:pPr>
        <w:pStyle w:val="FootnoteText"/>
        <w:jc w:val="both"/>
        <w:rPr>
          <w:sz w:val="18"/>
          <w:szCs w:val="18"/>
          <w:u w:val="single"/>
          <w:lang w:val="en-US"/>
        </w:rPr>
      </w:pPr>
      <w:r w:rsidRPr="003A571A">
        <w:rPr>
          <w:rStyle w:val="FootnoteReference"/>
          <w:sz w:val="18"/>
          <w:szCs w:val="18"/>
          <w:lang w:val="en-US"/>
        </w:rPr>
        <w:footnoteRef/>
      </w:r>
      <w:r w:rsidRPr="003A571A">
        <w:rPr>
          <w:sz w:val="18"/>
          <w:szCs w:val="18"/>
          <w:lang w:val="en-US"/>
        </w:rPr>
        <w:t xml:space="preserve"> As noted in the Summary to the proposal: “</w:t>
      </w:r>
      <w:r w:rsidRPr="003A571A">
        <w:rPr>
          <w:i/>
          <w:iCs/>
          <w:sz w:val="18"/>
          <w:szCs w:val="18"/>
          <w:lang w:val="en-US"/>
        </w:rPr>
        <w:t xml:space="preserve">As described in the new standard, the confirmation process involves selecting one or more items to be confirmed, sending a confirmation request directly to a confirming party ( </w:t>
      </w:r>
      <w:r w:rsidRPr="003A571A">
        <w:rPr>
          <w:rStyle w:val="Emphasis"/>
          <w:i w:val="0"/>
          <w:iCs w:val="0"/>
          <w:sz w:val="18"/>
          <w:szCs w:val="18"/>
          <w:lang w:val="en-US"/>
        </w:rPr>
        <w:t>e.g.,</w:t>
      </w:r>
      <w:r w:rsidRPr="003A571A">
        <w:rPr>
          <w:i/>
          <w:iCs/>
          <w:sz w:val="18"/>
          <w:szCs w:val="18"/>
          <w:lang w:val="en-US"/>
        </w:rPr>
        <w:t xml:space="preserve"> a financial institution), evaluating the information received, and addressing nonresponses and incomplete responses to obtain audit evidence about one or more financial statement assertions. If properly designed and executed by an auditor, the confirmation process may provide important evidence that the auditor obtains as part of an audit of a company's financial statements</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 xml:space="preserve">note </w:t>
      </w:r>
      <w:r w:rsidR="005636D8" w:rsidRPr="003A571A">
        <w:rPr>
          <w:sz w:val="18"/>
          <w:szCs w:val="18"/>
          <w:lang w:val="en-US"/>
        </w:rPr>
        <w:t>81</w:t>
      </w:r>
      <w:r w:rsidRPr="003A571A">
        <w:rPr>
          <w:sz w:val="18"/>
          <w:szCs w:val="18"/>
          <w:lang w:val="en-US"/>
        </w:rPr>
        <w:t>.</w:t>
      </w:r>
      <w:r w:rsidR="00000F01" w:rsidRPr="003A571A">
        <w:rPr>
          <w:sz w:val="18"/>
          <w:szCs w:val="18"/>
          <w:lang w:val="en-US"/>
        </w:rPr>
        <w:t xml:space="preserve"> </w:t>
      </w:r>
      <w:r w:rsidR="009D065C" w:rsidRPr="003A571A">
        <w:rPr>
          <w:sz w:val="18"/>
          <w:szCs w:val="18"/>
          <w:lang w:val="en-US"/>
        </w:rPr>
        <w:t>See also</w:t>
      </w:r>
      <w:r w:rsidR="009D065C" w:rsidRPr="003A571A">
        <w:rPr>
          <w:sz w:val="18"/>
          <w:szCs w:val="18"/>
          <w:u w:val="single"/>
          <w:lang w:val="en-US"/>
        </w:rPr>
        <w:t xml:space="preserve"> </w:t>
      </w:r>
      <w:hyperlink r:id="rId35" w:history="1">
        <w:r w:rsidR="009D065C" w:rsidRPr="003A571A">
          <w:rPr>
            <w:rStyle w:val="Hyperlink"/>
            <w:sz w:val="18"/>
            <w:szCs w:val="18"/>
            <w:lang w:val="en-US"/>
          </w:rPr>
          <w:t>https://assets.pcaobus.org/pcaob-dev/docs/default-source/rulemaking/docket_028/34-99060.pdf</w:t>
        </w:r>
      </w:hyperlink>
      <w:r w:rsidR="009D065C" w:rsidRPr="003A571A">
        <w:rPr>
          <w:rStyle w:val="Hyperlink"/>
          <w:sz w:val="18"/>
          <w:szCs w:val="18"/>
          <w:lang w:val="en-US"/>
        </w:rPr>
        <w:t>.</w:t>
      </w:r>
    </w:p>
  </w:footnote>
  <w:footnote w:id="86">
    <w:p w14:paraId="3AE7F51B" w14:textId="664D083B" w:rsidR="006D14F5" w:rsidRPr="003A571A" w:rsidRDefault="006D14F5"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 32, </w:t>
      </w:r>
      <w:r w:rsidRPr="003A571A">
        <w:rPr>
          <w:i/>
          <w:iCs/>
          <w:sz w:val="18"/>
          <w:szCs w:val="18"/>
          <w:lang w:val="en-US"/>
        </w:rPr>
        <w:t xml:space="preserve">supra </w:t>
      </w:r>
      <w:r w:rsidRPr="003A571A">
        <w:rPr>
          <w:sz w:val="18"/>
          <w:szCs w:val="18"/>
          <w:lang w:val="en-US"/>
        </w:rPr>
        <w:t>note 10.</w:t>
      </w:r>
    </w:p>
  </w:footnote>
  <w:footnote w:id="87">
    <w:p w14:paraId="24A135AA" w14:textId="7C16FF9D" w:rsidR="006D14F5" w:rsidRPr="003A571A" w:rsidRDefault="006D14F5"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Additional Information on Topics Reviewed, </w:t>
      </w:r>
      <w:r w:rsidRPr="003A571A">
        <w:rPr>
          <w:i/>
          <w:iCs/>
          <w:sz w:val="18"/>
          <w:szCs w:val="18"/>
          <w:lang w:val="en-US"/>
        </w:rPr>
        <w:t xml:space="preserve">supra </w:t>
      </w:r>
      <w:r w:rsidR="0070637F">
        <w:rPr>
          <w:sz w:val="18"/>
          <w:szCs w:val="18"/>
          <w:lang w:val="en-US"/>
        </w:rPr>
        <w:t>note 76</w:t>
      </w:r>
      <w:r w:rsidRPr="003A571A">
        <w:rPr>
          <w:sz w:val="18"/>
          <w:szCs w:val="18"/>
          <w:lang w:val="en-US"/>
        </w:rPr>
        <w:t>, pg. 2.</w:t>
      </w:r>
    </w:p>
  </w:footnote>
  <w:footnote w:id="88">
    <w:p w14:paraId="158F4FE6" w14:textId="0E9A575E" w:rsidR="00E55F07" w:rsidRPr="003A571A" w:rsidRDefault="00E55F0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Forensic Services, </w:t>
      </w:r>
      <w:r w:rsidR="008F23C9" w:rsidRPr="003A571A">
        <w:rPr>
          <w:i/>
          <w:iCs/>
          <w:sz w:val="18"/>
          <w:szCs w:val="18"/>
          <w:lang w:val="en-US"/>
        </w:rPr>
        <w:t xml:space="preserve">supra </w:t>
      </w:r>
      <w:r w:rsidR="008F23C9" w:rsidRPr="003A571A">
        <w:rPr>
          <w:sz w:val="18"/>
          <w:szCs w:val="18"/>
          <w:lang w:val="en-US"/>
        </w:rPr>
        <w:t xml:space="preserve">note </w:t>
      </w:r>
      <w:r w:rsidR="00A54893" w:rsidRPr="003A571A">
        <w:rPr>
          <w:sz w:val="18"/>
          <w:szCs w:val="18"/>
          <w:lang w:val="en-US"/>
        </w:rPr>
        <w:t>59.</w:t>
      </w:r>
    </w:p>
  </w:footnote>
  <w:footnote w:id="89">
    <w:p w14:paraId="1EBD9AC9" w14:textId="627F2E62" w:rsidR="00C0672C" w:rsidRPr="003A571A" w:rsidRDefault="00C0672C"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 Financial Statement Fraud, Corruption and Asset Misappropriation, </w:t>
      </w:r>
      <w:r w:rsidRPr="003A571A">
        <w:rPr>
          <w:i/>
          <w:iCs/>
          <w:sz w:val="18"/>
          <w:szCs w:val="18"/>
          <w:lang w:val="en-US"/>
        </w:rPr>
        <w:t xml:space="preserve">supra </w:t>
      </w:r>
      <w:r w:rsidRPr="003A571A">
        <w:rPr>
          <w:sz w:val="18"/>
          <w:szCs w:val="18"/>
          <w:lang w:val="en-US"/>
        </w:rPr>
        <w:t xml:space="preserve">note </w:t>
      </w:r>
      <w:r w:rsidR="00713072" w:rsidRPr="003A571A">
        <w:rPr>
          <w:sz w:val="18"/>
          <w:szCs w:val="18"/>
          <w:lang w:val="en-US"/>
        </w:rPr>
        <w:t>60</w:t>
      </w:r>
      <w:r w:rsidRPr="003A571A">
        <w:rPr>
          <w:sz w:val="18"/>
          <w:szCs w:val="18"/>
          <w:lang w:val="en-US"/>
        </w:rPr>
        <w:t>.</w:t>
      </w:r>
    </w:p>
  </w:footnote>
  <w:footnote w:id="90">
    <w:p w14:paraId="35F8E141" w14:textId="5EA4689A" w:rsidR="00E55F07" w:rsidRPr="003A571A" w:rsidRDefault="00E55F0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Financial Statement Fraud,  and Asset Misappropriation, </w:t>
      </w:r>
      <w:r w:rsidR="00C0672C" w:rsidRPr="003A571A">
        <w:rPr>
          <w:i/>
          <w:iCs/>
          <w:sz w:val="18"/>
          <w:szCs w:val="18"/>
          <w:lang w:val="en-US"/>
        </w:rPr>
        <w:t xml:space="preserve">supra </w:t>
      </w:r>
      <w:r w:rsidR="00C0672C" w:rsidRPr="003A571A">
        <w:rPr>
          <w:sz w:val="18"/>
          <w:szCs w:val="18"/>
          <w:lang w:val="en-US"/>
        </w:rPr>
        <w:t xml:space="preserve">note </w:t>
      </w:r>
      <w:r w:rsidR="00713072" w:rsidRPr="003A571A">
        <w:rPr>
          <w:sz w:val="18"/>
          <w:szCs w:val="18"/>
          <w:lang w:val="en-US"/>
        </w:rPr>
        <w:t>60</w:t>
      </w:r>
      <w:r w:rsidR="00C0672C" w:rsidRPr="003A571A">
        <w:rPr>
          <w:sz w:val="18"/>
          <w:szCs w:val="18"/>
          <w:lang w:val="en-US"/>
        </w:rPr>
        <w:t>.</w:t>
      </w:r>
    </w:p>
  </w:footnote>
  <w:footnote w:id="91">
    <w:p w14:paraId="434C6F92" w14:textId="77777777" w:rsidR="00C0672C" w:rsidRPr="003A571A" w:rsidRDefault="00C0672C"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Response to the Questionnaire, pg. 35, </w:t>
      </w:r>
      <w:r w:rsidRPr="003A571A">
        <w:rPr>
          <w:i/>
          <w:iCs/>
          <w:sz w:val="18"/>
          <w:szCs w:val="18"/>
          <w:lang w:val="en-US"/>
        </w:rPr>
        <w:t xml:space="preserve">supra </w:t>
      </w:r>
      <w:r w:rsidRPr="003A571A">
        <w:rPr>
          <w:sz w:val="18"/>
          <w:szCs w:val="18"/>
          <w:lang w:val="en-US"/>
        </w:rPr>
        <w:t>note 10.</w:t>
      </w:r>
    </w:p>
  </w:footnote>
  <w:footnote w:id="92">
    <w:p w14:paraId="66610D94" w14:textId="69C575FF" w:rsidR="00C0672C" w:rsidRPr="003A571A" w:rsidRDefault="00C0672C"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00184BEB" w:rsidRPr="003A571A">
        <w:rPr>
          <w:i/>
          <w:iCs/>
          <w:sz w:val="18"/>
          <w:szCs w:val="18"/>
          <w:lang w:val="en-US"/>
        </w:rPr>
        <w:t>Ibid.,</w:t>
      </w:r>
      <w:r w:rsidRPr="003A571A">
        <w:rPr>
          <w:sz w:val="18"/>
          <w:szCs w:val="18"/>
          <w:lang w:val="en-US"/>
        </w:rPr>
        <w:t xml:space="preserve"> pg. 36.</w:t>
      </w:r>
    </w:p>
  </w:footnote>
  <w:footnote w:id="93">
    <w:p w14:paraId="53FEA562" w14:textId="05E3A4E2" w:rsidR="00C0672C" w:rsidRPr="003A571A" w:rsidRDefault="00C0672C"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Ibid</w:t>
      </w:r>
      <w:r w:rsidR="00A72A55" w:rsidRPr="003A571A">
        <w:rPr>
          <w:sz w:val="18"/>
          <w:szCs w:val="18"/>
          <w:lang w:val="en-US"/>
        </w:rPr>
        <w:t xml:space="preserve">. </w:t>
      </w:r>
    </w:p>
  </w:footnote>
  <w:footnote w:id="94">
    <w:p w14:paraId="67273D72" w14:textId="468604D4" w:rsidR="004325B1" w:rsidRPr="003A571A" w:rsidRDefault="004325B1"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SEC Enforcement Actions: FCPA Cases, </w:t>
      </w:r>
      <w:hyperlink r:id="rId36" w:history="1">
        <w:r w:rsidRPr="003A571A">
          <w:rPr>
            <w:rStyle w:val="Hyperlink"/>
            <w:sz w:val="18"/>
            <w:szCs w:val="18"/>
            <w:lang w:val="en-US"/>
          </w:rPr>
          <w:t>https://www.sec.gov/enforce/sec-enforcement-actions-fcpa-cases</w:t>
        </w:r>
      </w:hyperlink>
      <w:r w:rsidR="00343D5F" w:rsidRPr="003A571A">
        <w:rPr>
          <w:sz w:val="18"/>
          <w:szCs w:val="18"/>
          <w:lang w:val="en-US"/>
        </w:rPr>
        <w:t xml:space="preserve">. </w:t>
      </w:r>
      <w:r w:rsidR="001860B3" w:rsidRPr="003A571A">
        <w:rPr>
          <w:sz w:val="18"/>
          <w:szCs w:val="18"/>
          <w:lang w:val="en-US"/>
        </w:rPr>
        <w:t>The country under review, in its observations to the draft preliminary report, noted that</w:t>
      </w:r>
      <w:r w:rsidR="008B2780" w:rsidRPr="003A571A">
        <w:rPr>
          <w:sz w:val="18"/>
          <w:szCs w:val="18"/>
          <w:lang w:val="en-US"/>
        </w:rPr>
        <w:t xml:space="preserve">, in accordance with domestic securities legislation, </w:t>
      </w:r>
      <w:r w:rsidR="00314AB3" w:rsidRPr="003A571A">
        <w:rPr>
          <w:sz w:val="18"/>
          <w:szCs w:val="18"/>
          <w:lang w:val="en-US"/>
        </w:rPr>
        <w:t xml:space="preserve">the SEC does not </w:t>
      </w:r>
      <w:r w:rsidR="006F234A" w:rsidRPr="003A571A">
        <w:rPr>
          <w:sz w:val="18"/>
          <w:szCs w:val="18"/>
          <w:lang w:val="en-US"/>
        </w:rPr>
        <w:t>carry out</w:t>
      </w:r>
      <w:r w:rsidR="00314AB3" w:rsidRPr="003A571A">
        <w:rPr>
          <w:sz w:val="18"/>
          <w:szCs w:val="18"/>
          <w:lang w:val="en-US"/>
        </w:rPr>
        <w:t xml:space="preserve"> enforcement actions for </w:t>
      </w:r>
      <w:r w:rsidR="00142D96" w:rsidRPr="003A571A">
        <w:rPr>
          <w:sz w:val="18"/>
          <w:szCs w:val="18"/>
          <w:lang w:val="en-US"/>
        </w:rPr>
        <w:t xml:space="preserve">violations of the books and records </w:t>
      </w:r>
      <w:r w:rsidR="001E600A" w:rsidRPr="003A571A">
        <w:rPr>
          <w:sz w:val="18"/>
          <w:szCs w:val="18"/>
          <w:lang w:val="en-US"/>
        </w:rPr>
        <w:t xml:space="preserve">provision </w:t>
      </w:r>
      <w:r w:rsidR="008B2780" w:rsidRPr="003A571A">
        <w:rPr>
          <w:sz w:val="18"/>
          <w:szCs w:val="18"/>
          <w:lang w:val="en-US"/>
        </w:rPr>
        <w:t>involving</w:t>
      </w:r>
      <w:r w:rsidR="001E600A" w:rsidRPr="003A571A">
        <w:rPr>
          <w:sz w:val="18"/>
          <w:szCs w:val="18"/>
          <w:lang w:val="en-US"/>
        </w:rPr>
        <w:t xml:space="preserve"> </w:t>
      </w:r>
      <w:r w:rsidR="00497569" w:rsidRPr="003A571A">
        <w:rPr>
          <w:sz w:val="18"/>
          <w:szCs w:val="18"/>
          <w:lang w:val="en-US"/>
        </w:rPr>
        <w:t>domestic acts of corruption</w:t>
      </w:r>
      <w:r w:rsidR="0035390C" w:rsidRPr="003A571A">
        <w:rPr>
          <w:sz w:val="18"/>
          <w:szCs w:val="18"/>
          <w:lang w:val="en-US"/>
        </w:rPr>
        <w:t>.</w:t>
      </w:r>
    </w:p>
  </w:footnote>
  <w:footnote w:id="95">
    <w:p w14:paraId="00125477" w14:textId="085B5C3D" w:rsidR="00520198" w:rsidRPr="003A571A" w:rsidRDefault="00520198"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For example, for disgorgement and prejudgment interest, or fines, for violating the antibribery, bookkeeping and internal accounting controls provisions of the FCPA. All numbers in US dollars.</w:t>
      </w:r>
    </w:p>
  </w:footnote>
  <w:footnote w:id="96">
    <w:p w14:paraId="3C0CA7D1" w14:textId="1B94AC36" w:rsidR="00425F88" w:rsidRPr="003A571A" w:rsidRDefault="00425F88"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See, Litigation Releases, </w:t>
      </w:r>
      <w:hyperlink r:id="rId37" w:history="1">
        <w:r w:rsidRPr="003A571A">
          <w:rPr>
            <w:rStyle w:val="Hyperlink"/>
            <w:sz w:val="18"/>
            <w:szCs w:val="18"/>
            <w:lang w:val="en-US"/>
          </w:rPr>
          <w:t>https://www.sec.gov/litigation/litreleases</w:t>
        </w:r>
      </w:hyperlink>
      <w:r w:rsidR="00A6697C" w:rsidRPr="003A571A">
        <w:rPr>
          <w:sz w:val="18"/>
          <w:szCs w:val="18"/>
          <w:lang w:val="en-US"/>
        </w:rPr>
        <w:t xml:space="preserve">. See also, Documents requested by the Secretariat, which provides </w:t>
      </w:r>
      <w:r w:rsidR="00C01CCE" w:rsidRPr="003A571A">
        <w:rPr>
          <w:sz w:val="18"/>
          <w:szCs w:val="18"/>
          <w:lang w:val="en-US"/>
        </w:rPr>
        <w:t>information</w:t>
      </w:r>
      <w:r w:rsidR="00A6697C" w:rsidRPr="003A571A">
        <w:rPr>
          <w:sz w:val="18"/>
          <w:szCs w:val="18"/>
          <w:lang w:val="en-US"/>
        </w:rPr>
        <w:t xml:space="preserve"> in this respect, </w:t>
      </w:r>
      <w:hyperlink r:id="rId38" w:history="1">
        <w:r w:rsidR="00A6697C" w:rsidRPr="003A571A">
          <w:rPr>
            <w:rStyle w:val="Hyperlink"/>
            <w:sz w:val="18"/>
            <w:szCs w:val="18"/>
            <w:lang w:val="en-US"/>
          </w:rPr>
          <w:t>http://www.oas.org/en/sla/dlc/mesicic/paises-rondas.html?c=United%20States&amp;r=6</w:t>
        </w:r>
      </w:hyperlink>
      <w:r w:rsidR="00A6697C" w:rsidRPr="003A571A">
        <w:rPr>
          <w:sz w:val="18"/>
          <w:szCs w:val="18"/>
          <w:lang w:val="en-US"/>
        </w:rPr>
        <w:t xml:space="preserve"> </w:t>
      </w:r>
    </w:p>
  </w:footnote>
  <w:footnote w:id="97">
    <w:p w14:paraId="3AAECF1A" w14:textId="77BA5A35" w:rsidR="00DA4CF9" w:rsidRPr="003A571A" w:rsidRDefault="00DA4CF9"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Record Keeping and Internal Controls Provisions, </w:t>
      </w:r>
      <w:hyperlink r:id="rId39" w:history="1">
        <w:r w:rsidRPr="003A571A">
          <w:rPr>
            <w:rStyle w:val="Hyperlink"/>
            <w:sz w:val="18"/>
            <w:szCs w:val="18"/>
            <w:lang w:val="en-US"/>
          </w:rPr>
          <w:t>https://www.sec.gov/spotlight/fcpa/fcpa-recordkeeping.pdf</w:t>
        </w:r>
      </w:hyperlink>
      <w:r w:rsidRPr="003A571A">
        <w:rPr>
          <w:sz w:val="18"/>
          <w:szCs w:val="18"/>
          <w:lang w:val="en-US"/>
        </w:rPr>
        <w:t xml:space="preserve"> </w:t>
      </w:r>
    </w:p>
  </w:footnote>
  <w:footnote w:id="98">
    <w:p w14:paraId="77CC1EF3" w14:textId="729A70CB" w:rsidR="00DA4CF9" w:rsidRPr="003A571A" w:rsidRDefault="00DA4CF9"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Sarbanes Oxley Act, </w:t>
      </w:r>
      <w:hyperlink r:id="rId40" w:history="1">
        <w:r w:rsidRPr="003A571A">
          <w:rPr>
            <w:rStyle w:val="Hyperlink"/>
            <w:sz w:val="18"/>
            <w:szCs w:val="18"/>
            <w:lang w:val="en-US"/>
          </w:rPr>
          <w:t>https://www.govinfo.gov/content/pkg/PLAW-107publ204/html/PLAW-107publ204.htm</w:t>
        </w:r>
      </w:hyperlink>
      <w:r w:rsidRPr="003A571A">
        <w:rPr>
          <w:sz w:val="18"/>
          <w:szCs w:val="18"/>
          <w:lang w:val="en-US"/>
        </w:rPr>
        <w:t xml:space="preserve"> </w:t>
      </w:r>
    </w:p>
  </w:footnote>
  <w:footnote w:id="99">
    <w:p w14:paraId="3559F073" w14:textId="77777777" w:rsidR="0044463E" w:rsidRPr="003A571A" w:rsidRDefault="0044463E"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25 – 26, </w:t>
      </w:r>
      <w:r w:rsidRPr="003A571A">
        <w:rPr>
          <w:i/>
          <w:iCs/>
          <w:sz w:val="18"/>
          <w:szCs w:val="18"/>
          <w:lang w:val="en-US"/>
        </w:rPr>
        <w:t xml:space="preserve">supra </w:t>
      </w:r>
      <w:r w:rsidRPr="003A571A">
        <w:rPr>
          <w:sz w:val="18"/>
          <w:szCs w:val="18"/>
          <w:lang w:val="en-US"/>
        </w:rPr>
        <w:t>note 10.</w:t>
      </w:r>
    </w:p>
  </w:footnote>
  <w:footnote w:id="100">
    <w:p w14:paraId="13D9A3D3" w14:textId="5ED5BBC1" w:rsidR="00CF638C" w:rsidRPr="003A571A" w:rsidRDefault="00CF638C"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E638A5" w:rsidRPr="003A571A">
        <w:rPr>
          <w:sz w:val="18"/>
          <w:szCs w:val="18"/>
          <w:lang w:val="en-US"/>
        </w:rPr>
        <w:t xml:space="preserve">Agreement between the United States of America, the United Mexican States, and Canada, </w:t>
      </w:r>
      <w:hyperlink r:id="rId41" w:history="1">
        <w:r w:rsidR="00763273" w:rsidRPr="003A571A">
          <w:rPr>
            <w:rStyle w:val="Hyperlink"/>
            <w:sz w:val="18"/>
            <w:szCs w:val="18"/>
            <w:lang w:val="en-US"/>
          </w:rPr>
          <w:t>https://ustr.gov/trade-agreements/free-trade-agreements/united-states-mexico-canada-agreement/agreement-between</w:t>
        </w:r>
      </w:hyperlink>
      <w:r w:rsidR="00E638A5" w:rsidRPr="003A571A">
        <w:rPr>
          <w:sz w:val="18"/>
          <w:szCs w:val="18"/>
          <w:lang w:val="en-US"/>
        </w:rPr>
        <w:t xml:space="preserve"> </w:t>
      </w:r>
    </w:p>
  </w:footnote>
  <w:footnote w:id="101">
    <w:p w14:paraId="027D0F50" w14:textId="3A6BBB3C" w:rsidR="00C7290F" w:rsidRPr="003A571A" w:rsidRDefault="00F86361" w:rsidP="001943A8">
      <w:pPr>
        <w:pStyle w:val="FootnoteText"/>
        <w:jc w:val="both"/>
        <w:rPr>
          <w:b/>
          <w:bCs/>
          <w:sz w:val="18"/>
          <w:szCs w:val="18"/>
          <w:u w:val="single"/>
          <w:lang w:val="en-US"/>
        </w:rPr>
      </w:pPr>
      <w:r w:rsidRPr="003A571A">
        <w:rPr>
          <w:rStyle w:val="FootnoteReference"/>
          <w:sz w:val="18"/>
          <w:szCs w:val="18"/>
        </w:rPr>
        <w:footnoteRef/>
      </w:r>
      <w:r w:rsidRPr="003A571A">
        <w:rPr>
          <w:sz w:val="18"/>
          <w:szCs w:val="18"/>
          <w:lang w:val="en-US"/>
        </w:rPr>
        <w:t xml:space="preserve"> </w:t>
      </w:r>
      <w:r w:rsidR="003E4E79" w:rsidRPr="003A571A">
        <w:rPr>
          <w:b/>
          <w:bCs/>
          <w:color w:val="242424"/>
          <w:sz w:val="18"/>
          <w:szCs w:val="18"/>
          <w:u w:val="single"/>
          <w:shd w:val="clear" w:color="auto" w:fill="FFFFFF"/>
          <w:lang w:val="en-US"/>
        </w:rPr>
        <w:t>The country under review notes that t</w:t>
      </w:r>
      <w:r w:rsidR="003E4E79" w:rsidRPr="003A571A">
        <w:rPr>
          <w:b/>
          <w:bCs/>
          <w:color w:val="242424"/>
          <w:sz w:val="18"/>
          <w:szCs w:val="18"/>
          <w:u w:val="single"/>
          <w:shd w:val="clear" w:color="auto" w:fill="FFFFFF"/>
          <w:lang w:val="en-US"/>
        </w:rPr>
        <w:t xml:space="preserve">he FCPA’s bribery prohibition contains a narrow exception for “facilitating or expediting payments” </w:t>
      </w:r>
      <w:r w:rsidR="00FD7307" w:rsidRPr="003A571A">
        <w:rPr>
          <w:b/>
          <w:bCs/>
          <w:color w:val="242424"/>
          <w:sz w:val="18"/>
          <w:szCs w:val="18"/>
          <w:u w:val="single"/>
          <w:shd w:val="clear" w:color="auto" w:fill="FFFFFF"/>
          <w:lang w:val="en-US"/>
        </w:rPr>
        <w:t>which</w:t>
      </w:r>
      <w:r w:rsidR="003E4E79" w:rsidRPr="003A571A">
        <w:rPr>
          <w:b/>
          <w:bCs/>
          <w:color w:val="242424"/>
          <w:sz w:val="18"/>
          <w:szCs w:val="18"/>
          <w:u w:val="single"/>
          <w:shd w:val="clear" w:color="auto" w:fill="FFFFFF"/>
          <w:lang w:val="en-US"/>
        </w:rPr>
        <w:t xml:space="preserve"> applies only when a payment is made to further “routine governmental action” that involves non-discretionary acts.  Examples of “routine governmental action” include processing visas, providing police protection or mail service, and supplying utilities like phone service, power, and water. Routine government action does not include a decision to award new business or to continue business with a particular party</w:t>
      </w:r>
      <w:r w:rsidR="00C54D60" w:rsidRPr="003A571A">
        <w:rPr>
          <w:b/>
          <w:bCs/>
          <w:color w:val="242424"/>
          <w:sz w:val="18"/>
          <w:szCs w:val="18"/>
          <w:u w:val="single"/>
          <w:shd w:val="clear" w:color="auto" w:fill="FFFFFF"/>
          <w:lang w:val="en-US"/>
        </w:rPr>
        <w:t>.</w:t>
      </w:r>
    </w:p>
  </w:footnote>
  <w:footnote w:id="102">
    <w:p w14:paraId="11F3DA62" w14:textId="77777777" w:rsidR="00A30658" w:rsidRPr="003A571A" w:rsidRDefault="00A30658"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Report of the Third Round, pgs. 8 – 9, </w:t>
      </w:r>
      <w:r w:rsidRPr="003A571A">
        <w:rPr>
          <w:i/>
          <w:iCs/>
          <w:sz w:val="18"/>
          <w:szCs w:val="18"/>
          <w:lang w:val="en-US"/>
        </w:rPr>
        <w:t xml:space="preserve">supra </w:t>
      </w:r>
      <w:r w:rsidRPr="003A571A">
        <w:rPr>
          <w:sz w:val="18"/>
          <w:szCs w:val="18"/>
          <w:lang w:val="en-US"/>
        </w:rPr>
        <w:t>note 3.</w:t>
      </w:r>
    </w:p>
  </w:footnote>
  <w:footnote w:id="103">
    <w:p w14:paraId="29055C9A" w14:textId="30879EEB" w:rsidR="000972F5" w:rsidRPr="003A571A" w:rsidRDefault="000972F5"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House Report No. 95-640, </w:t>
      </w:r>
      <w:hyperlink r:id="rId42" w:history="1">
        <w:r w:rsidRPr="003A571A">
          <w:rPr>
            <w:rStyle w:val="Hyperlink"/>
            <w:sz w:val="18"/>
            <w:szCs w:val="18"/>
            <w:lang w:val="en-US"/>
          </w:rPr>
          <w:t>https://www.justice.gov/sites/default/files/criminal-fraud/legacy/2010/04/11/houseprt-95-640.pdf</w:t>
        </w:r>
      </w:hyperlink>
      <w:r w:rsidR="00A229C3" w:rsidRPr="003A571A">
        <w:rPr>
          <w:sz w:val="18"/>
          <w:szCs w:val="18"/>
          <w:lang w:val="en-US"/>
        </w:rPr>
        <w:t xml:space="preserve">. The Report also cited the Minority View, that is the party that does not hold the majority of seats in the House of Representatives, which noted: </w:t>
      </w:r>
      <w:r w:rsidRPr="003A571A">
        <w:rPr>
          <w:sz w:val="18"/>
          <w:szCs w:val="18"/>
          <w:lang w:val="en-US"/>
        </w:rPr>
        <w:t xml:space="preserve"> </w:t>
      </w:r>
      <w:r w:rsidR="00A229C3" w:rsidRPr="003A571A">
        <w:rPr>
          <w:sz w:val="18"/>
          <w:szCs w:val="18"/>
          <w:lang w:val="en-US"/>
        </w:rPr>
        <w:t>“</w:t>
      </w:r>
      <w:r w:rsidR="00A229C3" w:rsidRPr="003A571A">
        <w:rPr>
          <w:i/>
          <w:iCs/>
          <w:sz w:val="18"/>
          <w:szCs w:val="18"/>
          <w:lang w:val="en-US"/>
        </w:rPr>
        <w:t>It is our understanding that the bill is not intended to reach "facilitating" or "grease" payments such as a gratuity paid to a customs official to speed the processing of documents, payments made to secure licenses or permits which would be issued in any event, or payments made under duress to protect a business investment. Although these kinds of payments would not be proper in the United States, we realize that they are a recognized part of doing business in certain foreign countries and agree that any legislation should not attempt to eliminate such payments</w:t>
      </w:r>
      <w:r w:rsidR="00A229C3" w:rsidRPr="003A571A">
        <w:rPr>
          <w:sz w:val="18"/>
          <w:szCs w:val="18"/>
          <w:lang w:val="en-US"/>
        </w:rPr>
        <w:t>.”</w:t>
      </w:r>
    </w:p>
  </w:footnote>
  <w:footnote w:id="104">
    <w:p w14:paraId="2E237DB3" w14:textId="0EAA0456" w:rsidR="005D5E99" w:rsidRPr="003A571A" w:rsidRDefault="005D5E99">
      <w:pPr>
        <w:pStyle w:val="FootnoteText"/>
        <w:rPr>
          <w:sz w:val="18"/>
          <w:szCs w:val="18"/>
          <w:lang w:val="en-US"/>
        </w:rPr>
      </w:pPr>
      <w:r w:rsidRPr="003A571A">
        <w:rPr>
          <w:rStyle w:val="FootnoteReference"/>
          <w:sz w:val="18"/>
          <w:szCs w:val="18"/>
        </w:rPr>
        <w:footnoteRef/>
      </w:r>
      <w:r w:rsidRPr="003A571A">
        <w:rPr>
          <w:sz w:val="18"/>
          <w:szCs w:val="18"/>
          <w:lang w:val="en-US"/>
        </w:rPr>
        <w:t xml:space="preserve"> </w:t>
      </w:r>
      <w:r w:rsidR="00575634" w:rsidRPr="003A571A">
        <w:rPr>
          <w:sz w:val="18"/>
          <w:szCs w:val="18"/>
          <w:lang w:val="en-US"/>
        </w:rPr>
        <w:t xml:space="preserve">See Hemispheric Report for the Second Round of Review, pgs. 21 and 49, and Hemispheric Report for the Fifth Round of Review, pgs. 73 – 74, 123, available at: </w:t>
      </w:r>
      <w:hyperlink r:id="rId43" w:history="1">
        <w:r w:rsidR="00575634" w:rsidRPr="003A571A">
          <w:rPr>
            <w:rStyle w:val="Hyperlink"/>
            <w:sz w:val="18"/>
            <w:szCs w:val="18"/>
            <w:lang w:val="en-US"/>
          </w:rPr>
          <w:t>http://www.oas.org/en/sla/dlc/mesicic/documentos.html</w:t>
        </w:r>
      </w:hyperlink>
      <w:r w:rsidR="00575634" w:rsidRPr="003A571A">
        <w:rPr>
          <w:sz w:val="18"/>
          <w:szCs w:val="18"/>
          <w:lang w:val="en-US"/>
        </w:rPr>
        <w:t xml:space="preserve"> </w:t>
      </w:r>
    </w:p>
  </w:footnote>
  <w:footnote w:id="105">
    <w:p w14:paraId="45B6C3EC" w14:textId="17844A02" w:rsidR="008C43BD" w:rsidRPr="003A571A" w:rsidRDefault="008C43B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Response to the Questionnaire, pg. 36, </w:t>
      </w:r>
      <w:r w:rsidRPr="003A571A">
        <w:rPr>
          <w:i/>
          <w:iCs/>
          <w:sz w:val="18"/>
          <w:szCs w:val="18"/>
          <w:lang w:val="en-US"/>
        </w:rPr>
        <w:t xml:space="preserve">supra </w:t>
      </w:r>
      <w:r w:rsidRPr="003A571A">
        <w:rPr>
          <w:sz w:val="18"/>
          <w:szCs w:val="18"/>
          <w:lang w:val="en-US"/>
        </w:rPr>
        <w:t>note 10.</w:t>
      </w:r>
    </w:p>
  </w:footnote>
  <w:footnote w:id="106">
    <w:p w14:paraId="08DC0B9A" w14:textId="0DCB766C" w:rsidR="008C43BD" w:rsidRPr="003A571A" w:rsidRDefault="008C43B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w:t>
      </w:r>
    </w:p>
  </w:footnote>
  <w:footnote w:id="107">
    <w:p w14:paraId="68E7CF91" w14:textId="5418D4D1" w:rsidR="008C43BD" w:rsidRPr="003A571A" w:rsidRDefault="008C43BD" w:rsidP="004C3313">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p>
  </w:footnote>
  <w:footnote w:id="108">
    <w:p w14:paraId="38C54417" w14:textId="581E230E" w:rsidR="008C43BD" w:rsidRPr="003A571A" w:rsidRDefault="008C43BD"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See</w:t>
      </w:r>
      <w:r w:rsidR="00F80692" w:rsidRPr="003A571A">
        <w:rPr>
          <w:sz w:val="18"/>
          <w:szCs w:val="18"/>
          <w:lang w:val="en-US"/>
        </w:rPr>
        <w:t xml:space="preserve"> paragraphs 13</w:t>
      </w:r>
      <w:r w:rsidR="005636D8" w:rsidRPr="003A571A">
        <w:rPr>
          <w:sz w:val="18"/>
          <w:szCs w:val="18"/>
          <w:lang w:val="en-US"/>
        </w:rPr>
        <w:t>3</w:t>
      </w:r>
      <w:r w:rsidR="00F80692" w:rsidRPr="003A571A">
        <w:rPr>
          <w:sz w:val="18"/>
          <w:szCs w:val="18"/>
          <w:lang w:val="en-US"/>
        </w:rPr>
        <w:t xml:space="preserve"> – 13</w:t>
      </w:r>
      <w:r w:rsidR="005636D8" w:rsidRPr="003A571A">
        <w:rPr>
          <w:sz w:val="18"/>
          <w:szCs w:val="18"/>
          <w:lang w:val="en-US"/>
        </w:rPr>
        <w:t>4</w:t>
      </w:r>
      <w:r w:rsidR="00CF62B2" w:rsidRPr="003A571A">
        <w:rPr>
          <w:sz w:val="18"/>
          <w:szCs w:val="18"/>
          <w:lang w:val="en-US"/>
        </w:rPr>
        <w:t xml:space="preserve"> of this Report.</w:t>
      </w:r>
      <w:r w:rsidR="005636D8" w:rsidRPr="003A571A">
        <w:rPr>
          <w:sz w:val="18"/>
          <w:szCs w:val="18"/>
          <w:lang w:val="en-US"/>
        </w:rPr>
        <w:t xml:space="preserve"> </w:t>
      </w:r>
    </w:p>
  </w:footnote>
  <w:footnote w:id="109">
    <w:p w14:paraId="5139AD91" w14:textId="405614E4" w:rsidR="00995DFC" w:rsidRPr="003A571A" w:rsidRDefault="00995DFC"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These reports are available at: </w:t>
      </w:r>
      <w:hyperlink r:id="rId44" w:history="1">
        <w:r w:rsidR="00A66642" w:rsidRPr="003A571A">
          <w:rPr>
            <w:rStyle w:val="Hyperlink"/>
            <w:sz w:val="18"/>
            <w:szCs w:val="18"/>
            <w:lang w:val="en-US"/>
          </w:rPr>
          <w:t>https://www.justice.gov/criminal/criminal-fraud</w:t>
        </w:r>
      </w:hyperlink>
      <w:r w:rsidR="00A66642" w:rsidRPr="003A571A">
        <w:rPr>
          <w:sz w:val="18"/>
          <w:szCs w:val="18"/>
          <w:lang w:val="en-US"/>
        </w:rPr>
        <w:t xml:space="preserve"> </w:t>
      </w:r>
    </w:p>
  </w:footnote>
  <w:footnote w:id="110">
    <w:p w14:paraId="19008E2D" w14:textId="07DBCAC9" w:rsidR="00A66642" w:rsidRPr="003A571A" w:rsidRDefault="00A66642"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Fraud Section Year in Review, 2022, </w:t>
      </w:r>
      <w:hyperlink r:id="rId45" w:history="1">
        <w:r w:rsidRPr="003A571A">
          <w:rPr>
            <w:rStyle w:val="Hyperlink"/>
            <w:sz w:val="18"/>
            <w:szCs w:val="18"/>
            <w:lang w:val="en-US"/>
          </w:rPr>
          <w:t>https://www.justice.gov/criminal-fraud/file/1568606/download</w:t>
        </w:r>
      </w:hyperlink>
      <w:r w:rsidR="0006737E" w:rsidRPr="003A571A">
        <w:rPr>
          <w:sz w:val="18"/>
          <w:szCs w:val="18"/>
          <w:highlight w:val="yellow"/>
          <w:lang w:val="en-US"/>
        </w:rPr>
        <w:t>.</w:t>
      </w:r>
      <w:r w:rsidR="0006737E" w:rsidRPr="003A571A">
        <w:rPr>
          <w:sz w:val="18"/>
          <w:szCs w:val="18"/>
          <w:lang w:val="en-US"/>
        </w:rPr>
        <w:t xml:space="preserve"> </w:t>
      </w:r>
      <w:r w:rsidR="00CB082C" w:rsidRPr="003A571A">
        <w:rPr>
          <w:sz w:val="18"/>
          <w:szCs w:val="18"/>
          <w:lang w:val="en-US"/>
        </w:rPr>
        <w:t xml:space="preserve">The country under review, in its observations to the draft preliminary report, noted that </w:t>
      </w:r>
      <w:r w:rsidR="00CB082C" w:rsidRPr="003A571A">
        <w:rPr>
          <w:iCs/>
          <w:sz w:val="18"/>
          <w:szCs w:val="18"/>
          <w:lang w:val="en-US"/>
        </w:rPr>
        <w:t xml:space="preserve">in February 2024, the </w:t>
      </w:r>
      <w:r w:rsidR="007268B9" w:rsidRPr="003A571A">
        <w:rPr>
          <w:iCs/>
          <w:sz w:val="18"/>
          <w:szCs w:val="18"/>
          <w:lang w:val="en-US"/>
        </w:rPr>
        <w:t>2023 Fraud Section Year in Review was published a</w:t>
      </w:r>
      <w:r w:rsidR="00182686" w:rsidRPr="003A571A">
        <w:rPr>
          <w:iCs/>
          <w:sz w:val="18"/>
          <w:szCs w:val="18"/>
          <w:lang w:val="en-US"/>
        </w:rPr>
        <w:t xml:space="preserve">nd </w:t>
      </w:r>
      <w:r w:rsidR="00242DF7" w:rsidRPr="003A571A">
        <w:rPr>
          <w:iCs/>
          <w:sz w:val="18"/>
          <w:szCs w:val="18"/>
          <w:lang w:val="en-US"/>
        </w:rPr>
        <w:t>is</w:t>
      </w:r>
      <w:r w:rsidR="00182686" w:rsidRPr="003A571A">
        <w:rPr>
          <w:iCs/>
          <w:sz w:val="18"/>
          <w:szCs w:val="18"/>
          <w:lang w:val="en-US"/>
        </w:rPr>
        <w:t xml:space="preserve"> available online.</w:t>
      </w:r>
      <w:r w:rsidR="00182686" w:rsidRPr="003A571A">
        <w:rPr>
          <w:b/>
          <w:bCs/>
          <w:iCs/>
          <w:sz w:val="18"/>
          <w:szCs w:val="18"/>
          <w:u w:val="single"/>
          <w:lang w:val="en-US"/>
        </w:rPr>
        <w:t xml:space="preserve"> </w:t>
      </w:r>
    </w:p>
  </w:footnote>
  <w:footnote w:id="111">
    <w:p w14:paraId="4A9B7866" w14:textId="1B8EC28D" w:rsidR="00A66642" w:rsidRPr="003A571A" w:rsidRDefault="00A66642"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w:t>
      </w:r>
      <w:r w:rsidR="00F36687" w:rsidRPr="003A571A">
        <w:rPr>
          <w:sz w:val="18"/>
          <w:szCs w:val="18"/>
          <w:lang w:val="en-US"/>
        </w:rPr>
        <w:t>s</w:t>
      </w:r>
      <w:r w:rsidRPr="003A571A">
        <w:rPr>
          <w:sz w:val="18"/>
          <w:szCs w:val="18"/>
          <w:lang w:val="en-US"/>
        </w:rPr>
        <w:t>. 5</w:t>
      </w:r>
      <w:r w:rsidR="00F36687" w:rsidRPr="003A571A">
        <w:rPr>
          <w:sz w:val="18"/>
          <w:szCs w:val="18"/>
          <w:lang w:val="en-US"/>
        </w:rPr>
        <w:t xml:space="preserve"> and 10</w:t>
      </w:r>
      <w:r w:rsidRPr="003A571A">
        <w:rPr>
          <w:sz w:val="18"/>
          <w:szCs w:val="18"/>
          <w:lang w:val="en-US"/>
        </w:rPr>
        <w:t xml:space="preserve">. The Report notes that these numbers </w:t>
      </w:r>
      <w:r w:rsidR="00F36687" w:rsidRPr="003A571A">
        <w:rPr>
          <w:sz w:val="18"/>
          <w:szCs w:val="18"/>
          <w:lang w:val="en-US"/>
        </w:rPr>
        <w:t>include</w:t>
      </w:r>
      <w:r w:rsidRPr="003A571A">
        <w:rPr>
          <w:sz w:val="18"/>
          <w:szCs w:val="18"/>
          <w:lang w:val="en-US"/>
        </w:rPr>
        <w:t xml:space="preserve"> certain charges brought and pleas entered under seal in 2020 and 2021 that were unsealed in 2022.</w:t>
      </w:r>
    </w:p>
  </w:footnote>
  <w:footnote w:id="112">
    <w:p w14:paraId="1FA3C0FE" w14:textId="0E31B4E1" w:rsidR="00E71351" w:rsidRPr="003A571A" w:rsidRDefault="00E71351" w:rsidP="004C3313">
      <w:pPr>
        <w:jc w:val="both"/>
        <w:rPr>
          <w:sz w:val="18"/>
          <w:szCs w:val="18"/>
        </w:rPr>
      </w:pPr>
      <w:r w:rsidRPr="003A571A">
        <w:rPr>
          <w:rStyle w:val="FootnoteReference"/>
          <w:sz w:val="18"/>
          <w:szCs w:val="18"/>
        </w:rPr>
        <w:footnoteRef/>
      </w:r>
      <w:r w:rsidRPr="003A571A">
        <w:rPr>
          <w:sz w:val="18"/>
          <w:szCs w:val="18"/>
        </w:rPr>
        <w:t xml:space="preserve"> </w:t>
      </w:r>
      <w:r w:rsidRPr="003A571A">
        <w:rPr>
          <w:i/>
          <w:iCs/>
          <w:sz w:val="18"/>
          <w:szCs w:val="18"/>
        </w:rPr>
        <w:t xml:space="preserve">Ibid., </w:t>
      </w:r>
      <w:r w:rsidRPr="003A571A">
        <w:rPr>
          <w:sz w:val="18"/>
          <w:szCs w:val="18"/>
        </w:rPr>
        <w:t>pg. 6. The Report defines the terms “Total Global Monetary Amount,” “Total US Monetary Amount,” and “Total US Criminal Monetary Amount” as follows: “Total Global Monetary Amounts” are the total enforcement action amounts payable to both: (1) US criminal and civil authorities; and (2) foreign criminal and civil authorities. “Total US Monetary Amounts” are the total enforcement action amounts payable to U.S. criminal and civil authorities. “Total US Criminal Monetary Amounts” are the total criminal enforcement amounts payable: (1) to Department of Justice; and (2) through mandatory or permissive restitution or other compensation funds, pursuant to a plea agreement, Deferred Prosecution Agreement, or Non-Prosecution Agreement. The Total US Criminal Monetary Amount may include any or a combination of the following monetary components: criminal fine, criminal monetary penalty, criminal forfeiture, criminal disgorgement, restitution, and other compensation payments.</w:t>
      </w:r>
    </w:p>
  </w:footnote>
  <w:footnote w:id="113">
    <w:p w14:paraId="1B403C68" w14:textId="58EC226A" w:rsidR="003D1E8F" w:rsidRPr="003A571A" w:rsidRDefault="003D1E8F"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pgs. 12 – 20.</w:t>
      </w:r>
    </w:p>
  </w:footnote>
  <w:footnote w:id="114">
    <w:p w14:paraId="3A58A940" w14:textId="7B45BD03" w:rsidR="00995DFC" w:rsidRPr="00C01119" w:rsidRDefault="00995DFC" w:rsidP="004C3313">
      <w:pPr>
        <w:pStyle w:val="FootnoteText"/>
        <w:jc w:val="both"/>
        <w:rPr>
          <w:sz w:val="18"/>
          <w:szCs w:val="18"/>
          <w:lang w:val="en-US"/>
        </w:rPr>
      </w:pPr>
      <w:r w:rsidRPr="00C01119">
        <w:rPr>
          <w:rStyle w:val="FootnoteReference"/>
          <w:sz w:val="18"/>
          <w:szCs w:val="18"/>
          <w:lang w:val="en-US"/>
        </w:rPr>
        <w:footnoteRef/>
      </w:r>
      <w:r w:rsidRPr="00C01119">
        <w:rPr>
          <w:sz w:val="18"/>
          <w:szCs w:val="18"/>
          <w:lang w:val="en-US"/>
        </w:rPr>
        <w:t xml:space="preserve"> See Foreign Corrupt Practices Act, </w:t>
      </w:r>
      <w:hyperlink r:id="rId46" w:history="1">
        <w:r w:rsidRPr="00C01119">
          <w:rPr>
            <w:rStyle w:val="Hyperlink"/>
            <w:sz w:val="18"/>
            <w:szCs w:val="18"/>
            <w:lang w:val="en-US"/>
          </w:rPr>
          <w:t>https://www.justice.gov/criminal/criminal-fraud/foreign-corrupt-practices-act</w:t>
        </w:r>
      </w:hyperlink>
      <w:r w:rsidRPr="00C01119">
        <w:rPr>
          <w:sz w:val="18"/>
          <w:szCs w:val="18"/>
          <w:lang w:val="en-US"/>
        </w:rPr>
        <w:t xml:space="preserve"> </w:t>
      </w:r>
    </w:p>
  </w:footnote>
  <w:footnote w:id="115">
    <w:p w14:paraId="798F1C4A" w14:textId="2EEEB304" w:rsidR="00995DFC" w:rsidRPr="00C01119" w:rsidRDefault="00995DFC" w:rsidP="004C3313">
      <w:pPr>
        <w:pStyle w:val="FootnoteText"/>
        <w:jc w:val="both"/>
        <w:rPr>
          <w:sz w:val="18"/>
          <w:szCs w:val="18"/>
          <w:lang w:val="en-US"/>
        </w:rPr>
      </w:pPr>
      <w:r w:rsidRPr="00C01119">
        <w:rPr>
          <w:rStyle w:val="FootnoteReference"/>
          <w:sz w:val="18"/>
          <w:szCs w:val="18"/>
          <w:lang w:val="en-US"/>
        </w:rPr>
        <w:footnoteRef/>
      </w:r>
      <w:r w:rsidRPr="00C01119">
        <w:rPr>
          <w:sz w:val="18"/>
          <w:szCs w:val="18"/>
          <w:lang w:val="en-US"/>
        </w:rPr>
        <w:t xml:space="preserve"> Enforcement Actions, </w:t>
      </w:r>
      <w:hyperlink r:id="rId47" w:history="1">
        <w:r w:rsidRPr="00C01119">
          <w:rPr>
            <w:rStyle w:val="Hyperlink"/>
            <w:sz w:val="18"/>
            <w:szCs w:val="18"/>
            <w:lang w:val="en-US"/>
          </w:rPr>
          <w:t>https://www.justice.gov/criminal/criminal-fraud/enforcement-actions</w:t>
        </w:r>
      </w:hyperlink>
      <w:r w:rsidRPr="00C01119">
        <w:rPr>
          <w:sz w:val="18"/>
          <w:szCs w:val="18"/>
          <w:lang w:val="en-US"/>
        </w:rPr>
        <w:t xml:space="preserve"> </w:t>
      </w:r>
    </w:p>
  </w:footnote>
  <w:footnote w:id="116">
    <w:p w14:paraId="6E1D3CE0" w14:textId="0D640C6D" w:rsidR="00846567" w:rsidRPr="003A571A" w:rsidRDefault="00846567">
      <w:pPr>
        <w:pStyle w:val="FootnoteText"/>
        <w:rPr>
          <w:sz w:val="18"/>
          <w:szCs w:val="18"/>
          <w:lang w:val="en-US"/>
        </w:rPr>
      </w:pPr>
      <w:r w:rsidRPr="00C01119">
        <w:rPr>
          <w:rStyle w:val="FootnoteReference"/>
          <w:sz w:val="18"/>
          <w:szCs w:val="18"/>
          <w:lang w:val="en-US"/>
        </w:rPr>
        <w:footnoteRef/>
      </w:r>
      <w:r w:rsidRPr="00C01119">
        <w:rPr>
          <w:sz w:val="18"/>
          <w:szCs w:val="18"/>
          <w:lang w:val="en-US"/>
        </w:rPr>
        <w:t xml:space="preserve"> See, for example, the </w:t>
      </w:r>
      <w:r w:rsidRPr="00C01119">
        <w:rPr>
          <w:rFonts w:eastAsiaTheme="minorHAnsi"/>
          <w:iCs/>
          <w:sz w:val="18"/>
          <w:szCs w:val="18"/>
          <w:lang w:val="en-US"/>
        </w:rPr>
        <w:t xml:space="preserve">2020 OECD Phase 4 Report of the United States on Implementing the OECD Convention, pg. 78, </w:t>
      </w:r>
      <w:hyperlink r:id="rId48" w:history="1">
        <w:r w:rsidRPr="00C01119">
          <w:rPr>
            <w:rStyle w:val="Hyperlink"/>
            <w:rFonts w:eastAsiaTheme="minorHAnsi"/>
            <w:iCs/>
            <w:sz w:val="18"/>
            <w:szCs w:val="18"/>
            <w:lang w:val="en-US"/>
          </w:rPr>
          <w:t>https://www2.oecd.org/daf/anti-bribery/United-States-Phase-4-Report-ENG.pdf</w:t>
        </w:r>
      </w:hyperlink>
      <w:r w:rsidR="00110BC7" w:rsidRPr="003A571A">
        <w:rPr>
          <w:rStyle w:val="Hyperlink"/>
          <w:rFonts w:eastAsiaTheme="minorHAnsi"/>
          <w:iCs/>
          <w:sz w:val="18"/>
          <w:szCs w:val="18"/>
          <w:u w:val="none"/>
          <w:lang w:val="en-US"/>
        </w:rPr>
        <w:t xml:space="preserve"> </w:t>
      </w:r>
    </w:p>
  </w:footnote>
  <w:footnote w:id="117">
    <w:p w14:paraId="0CD0409B" w14:textId="7E19D2C4" w:rsidR="00984667" w:rsidRPr="003A571A" w:rsidRDefault="0098466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Report of the Third Round, </w:t>
      </w:r>
      <w:r w:rsidR="00AB4B39" w:rsidRPr="003A571A">
        <w:rPr>
          <w:sz w:val="18"/>
          <w:szCs w:val="18"/>
          <w:lang w:val="en-US"/>
        </w:rPr>
        <w:t xml:space="preserve">pg. 20, </w:t>
      </w:r>
      <w:r w:rsidRPr="003A571A">
        <w:rPr>
          <w:i/>
          <w:iCs/>
          <w:sz w:val="18"/>
          <w:szCs w:val="18"/>
          <w:lang w:val="en-US"/>
        </w:rPr>
        <w:t xml:space="preserve">supra </w:t>
      </w:r>
      <w:r w:rsidRPr="003A571A">
        <w:rPr>
          <w:sz w:val="18"/>
          <w:szCs w:val="18"/>
          <w:lang w:val="en-US"/>
        </w:rPr>
        <w:t>note 3</w:t>
      </w:r>
      <w:r w:rsidR="00AB4B39" w:rsidRPr="003A571A">
        <w:rPr>
          <w:sz w:val="18"/>
          <w:szCs w:val="18"/>
          <w:lang w:val="en-US"/>
        </w:rPr>
        <w:t>.</w:t>
      </w:r>
    </w:p>
  </w:footnote>
  <w:footnote w:id="118">
    <w:p w14:paraId="2C4B417E" w14:textId="0135E4C6" w:rsidR="00984667" w:rsidRPr="003A571A" w:rsidRDefault="0098466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w:t>
      </w:r>
      <w:r w:rsidR="00AB4B39" w:rsidRPr="003A571A">
        <w:rPr>
          <w:sz w:val="18"/>
          <w:szCs w:val="18"/>
          <w:lang w:val="en-US"/>
        </w:rPr>
        <w:t>to the</w:t>
      </w:r>
      <w:r w:rsidRPr="003A571A">
        <w:rPr>
          <w:sz w:val="18"/>
          <w:szCs w:val="18"/>
          <w:lang w:val="en-US"/>
        </w:rPr>
        <w:t xml:space="preserve"> Questionnaire, pg. </w:t>
      </w:r>
      <w:r w:rsidR="00AB4B39" w:rsidRPr="003A571A">
        <w:rPr>
          <w:sz w:val="18"/>
          <w:szCs w:val="18"/>
          <w:lang w:val="en-US"/>
        </w:rPr>
        <w:t>36</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note 10.</w:t>
      </w:r>
    </w:p>
  </w:footnote>
  <w:footnote w:id="119">
    <w:p w14:paraId="5E1C47AD" w14:textId="77777777" w:rsidR="00984667" w:rsidRPr="003A571A" w:rsidRDefault="00984667" w:rsidP="004C3313">
      <w:pPr>
        <w:pStyle w:val="FootnoteText"/>
        <w:jc w:val="both"/>
        <w:rPr>
          <w:i/>
          <w:iCs/>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Ibid.</w:t>
      </w:r>
    </w:p>
  </w:footnote>
  <w:footnote w:id="120">
    <w:p w14:paraId="7DF6ADEE" w14:textId="4ADFAB88" w:rsidR="00984667" w:rsidRPr="003A571A" w:rsidRDefault="0098466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Pr="003A571A">
        <w:rPr>
          <w:i/>
          <w:iCs/>
          <w:sz w:val="18"/>
          <w:szCs w:val="18"/>
          <w:lang w:val="en-US"/>
        </w:rPr>
        <w:t>Ibid.</w:t>
      </w:r>
      <w:r w:rsidR="00AB4B39" w:rsidRPr="003A571A">
        <w:rPr>
          <w:i/>
          <w:iCs/>
          <w:sz w:val="18"/>
          <w:szCs w:val="18"/>
          <w:lang w:val="en-US"/>
        </w:rPr>
        <w:t xml:space="preserve">, </w:t>
      </w:r>
      <w:r w:rsidR="00AB4B39" w:rsidRPr="003A571A">
        <w:rPr>
          <w:sz w:val="18"/>
          <w:szCs w:val="18"/>
          <w:lang w:val="en-US"/>
        </w:rPr>
        <w:t>pg. 37.</w:t>
      </w:r>
    </w:p>
  </w:footnote>
  <w:footnote w:id="121">
    <w:p w14:paraId="7B7B8DDA" w14:textId="0CFF0FE6" w:rsidR="00984667" w:rsidRPr="003A571A" w:rsidRDefault="00984667" w:rsidP="004C3313">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AB4B39" w:rsidRPr="003A571A">
        <w:rPr>
          <w:sz w:val="18"/>
          <w:szCs w:val="18"/>
          <w:lang w:val="en-US"/>
        </w:rPr>
        <w:t>Report of the Third Round</w:t>
      </w:r>
      <w:r w:rsidRPr="003A571A">
        <w:rPr>
          <w:sz w:val="18"/>
          <w:szCs w:val="18"/>
          <w:lang w:val="en-US"/>
        </w:rPr>
        <w:t>, pg</w:t>
      </w:r>
      <w:r w:rsidR="00E13BDE" w:rsidRPr="003A571A">
        <w:rPr>
          <w:sz w:val="18"/>
          <w:szCs w:val="18"/>
          <w:lang w:val="en-US"/>
        </w:rPr>
        <w:t>s</w:t>
      </w:r>
      <w:r w:rsidRPr="003A571A">
        <w:rPr>
          <w:sz w:val="18"/>
          <w:szCs w:val="18"/>
          <w:lang w:val="en-US"/>
        </w:rPr>
        <w:t>. 20</w:t>
      </w:r>
      <w:r w:rsidR="00E13BDE" w:rsidRPr="003A571A">
        <w:rPr>
          <w:sz w:val="18"/>
          <w:szCs w:val="18"/>
          <w:lang w:val="en-US"/>
        </w:rPr>
        <w:t xml:space="preserve"> – 21</w:t>
      </w:r>
      <w:r w:rsidRPr="003A571A">
        <w:rPr>
          <w:sz w:val="18"/>
          <w:szCs w:val="18"/>
          <w:lang w:val="en-US"/>
        </w:rPr>
        <w:t xml:space="preserve">, </w:t>
      </w:r>
      <w:r w:rsidRPr="003A571A">
        <w:rPr>
          <w:i/>
          <w:iCs/>
          <w:sz w:val="18"/>
          <w:szCs w:val="18"/>
          <w:lang w:val="en-US"/>
        </w:rPr>
        <w:t xml:space="preserve">supra </w:t>
      </w:r>
      <w:r w:rsidRPr="003A571A">
        <w:rPr>
          <w:sz w:val="18"/>
          <w:szCs w:val="18"/>
          <w:lang w:val="en-US"/>
        </w:rPr>
        <w:t>note</w:t>
      </w:r>
      <w:r w:rsidR="00AB4B39" w:rsidRPr="003A571A">
        <w:rPr>
          <w:sz w:val="18"/>
          <w:szCs w:val="18"/>
          <w:lang w:val="en-US"/>
        </w:rPr>
        <w:t xml:space="preserve"> 3</w:t>
      </w:r>
      <w:r w:rsidRPr="003A571A">
        <w:rPr>
          <w:sz w:val="18"/>
          <w:szCs w:val="18"/>
          <w:lang w:val="en-US"/>
        </w:rPr>
        <w:t>.</w:t>
      </w:r>
    </w:p>
  </w:footnote>
  <w:footnote w:id="122">
    <w:p w14:paraId="6B29865D" w14:textId="7F8D833D" w:rsidR="00074A1E" w:rsidRPr="003A571A" w:rsidRDefault="00074A1E" w:rsidP="004C3313">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24.</w:t>
      </w:r>
    </w:p>
  </w:footnote>
  <w:footnote w:id="123">
    <w:p w14:paraId="679F3A9B" w14:textId="69A3454E" w:rsidR="009A5A72" w:rsidRPr="003A571A" w:rsidRDefault="009A5A72" w:rsidP="009A5A72">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The country under review, in its Response to the Questionnaire</w:t>
      </w:r>
      <w:r w:rsidR="007F5506" w:rsidRPr="003A571A">
        <w:rPr>
          <w:sz w:val="18"/>
          <w:szCs w:val="18"/>
          <w:lang w:val="en-US"/>
        </w:rPr>
        <w:t xml:space="preserve"> noted that bank secrecy is not a legal concept in the United States, </w:t>
      </w:r>
      <w:r w:rsidRPr="003A571A">
        <w:rPr>
          <w:sz w:val="18"/>
          <w:szCs w:val="18"/>
          <w:lang w:val="en-US"/>
        </w:rPr>
        <w:t xml:space="preserve">see Response </w:t>
      </w:r>
      <w:r w:rsidR="007F5506" w:rsidRPr="003A571A">
        <w:rPr>
          <w:sz w:val="18"/>
          <w:szCs w:val="18"/>
          <w:lang w:val="en-US"/>
        </w:rPr>
        <w:t>to the</w:t>
      </w:r>
      <w:r w:rsidRPr="003A571A">
        <w:rPr>
          <w:sz w:val="18"/>
          <w:szCs w:val="18"/>
          <w:lang w:val="en-US"/>
        </w:rPr>
        <w:t xml:space="preserve"> Questionnaire, pg. 3, </w:t>
      </w:r>
      <w:r w:rsidRPr="003A571A">
        <w:rPr>
          <w:i/>
          <w:iCs/>
          <w:sz w:val="18"/>
          <w:szCs w:val="18"/>
          <w:lang w:val="en-US"/>
        </w:rPr>
        <w:t xml:space="preserve">supra </w:t>
      </w:r>
      <w:r w:rsidRPr="003A571A">
        <w:rPr>
          <w:sz w:val="18"/>
          <w:szCs w:val="18"/>
          <w:lang w:val="en-US"/>
        </w:rPr>
        <w:t>note 10.</w:t>
      </w:r>
    </w:p>
  </w:footnote>
  <w:footnote w:id="124">
    <w:p w14:paraId="506933E3" w14:textId="00EFE1FC" w:rsidR="00BD697E" w:rsidRPr="003A571A" w:rsidRDefault="00BD697E">
      <w:pPr>
        <w:pStyle w:val="FootnoteText"/>
        <w:rPr>
          <w:sz w:val="18"/>
          <w:szCs w:val="18"/>
          <w:lang w:val="en-US"/>
        </w:rPr>
      </w:pPr>
      <w:r w:rsidRPr="003A571A">
        <w:rPr>
          <w:rStyle w:val="FootnoteReference"/>
          <w:sz w:val="18"/>
          <w:szCs w:val="18"/>
        </w:rPr>
        <w:footnoteRef/>
      </w:r>
      <w:r w:rsidRPr="003A571A">
        <w:rPr>
          <w:sz w:val="18"/>
          <w:szCs w:val="18"/>
          <w:lang w:val="en-US"/>
        </w:rPr>
        <w:t xml:space="preserve"> Right to Financial Privacy Act, 12 U.S.C. Chapter 35, </w:t>
      </w:r>
      <w:hyperlink r:id="rId49" w:history="1">
        <w:r w:rsidRPr="003A571A">
          <w:rPr>
            <w:rStyle w:val="Hyperlink"/>
            <w:sz w:val="18"/>
            <w:szCs w:val="18"/>
            <w:lang w:val="en-US"/>
          </w:rPr>
          <w:t>https://www.law.cornell.edu/uscode/text/12/chapter-35</w:t>
        </w:r>
      </w:hyperlink>
      <w:r w:rsidRPr="003A571A">
        <w:rPr>
          <w:sz w:val="18"/>
          <w:szCs w:val="18"/>
          <w:lang w:val="en-US"/>
        </w:rPr>
        <w:t xml:space="preserve"> </w:t>
      </w:r>
    </w:p>
  </w:footnote>
  <w:footnote w:id="125">
    <w:p w14:paraId="31FED424" w14:textId="0E13A9A5" w:rsidR="0025276D" w:rsidRPr="003A571A" w:rsidRDefault="0025276D" w:rsidP="002B1D72">
      <w:pPr>
        <w:jc w:val="both"/>
        <w:rPr>
          <w:sz w:val="18"/>
          <w:szCs w:val="18"/>
        </w:rPr>
      </w:pPr>
      <w:r w:rsidRPr="003A571A">
        <w:rPr>
          <w:rStyle w:val="FootnoteReference"/>
          <w:sz w:val="18"/>
          <w:szCs w:val="18"/>
        </w:rPr>
        <w:footnoteRef/>
      </w:r>
      <w:r w:rsidRPr="003A571A">
        <w:rPr>
          <w:sz w:val="18"/>
          <w:szCs w:val="18"/>
        </w:rPr>
        <w:t xml:space="preserve"> Under the </w:t>
      </w:r>
      <w:r w:rsidR="002B1D72" w:rsidRPr="003A571A">
        <w:rPr>
          <w:sz w:val="18"/>
          <w:szCs w:val="18"/>
        </w:rPr>
        <w:t xml:space="preserve">Right to Financial Privacy </w:t>
      </w:r>
      <w:r w:rsidRPr="003A571A">
        <w:rPr>
          <w:sz w:val="18"/>
          <w:szCs w:val="18"/>
        </w:rPr>
        <w:t>Act, ‘government authority’ is defined as</w:t>
      </w:r>
      <w:r w:rsidR="00E42775" w:rsidRPr="003A571A">
        <w:rPr>
          <w:sz w:val="18"/>
          <w:szCs w:val="18"/>
        </w:rPr>
        <w:t xml:space="preserve"> </w:t>
      </w:r>
      <w:r w:rsidR="00E42775" w:rsidRPr="003A571A">
        <w:rPr>
          <w:color w:val="333333"/>
          <w:sz w:val="18"/>
          <w:szCs w:val="18"/>
          <w:shd w:val="clear" w:color="auto" w:fill="FFFFFF"/>
        </w:rPr>
        <w:t>any agency or department of the United States, or any officer, employee, or agent thereof. ‘Financial institution’ means, among other things, any office of a bank, savings bank, card issuer, industrial loan company, trust company, savings association, building and loan, or homestead association (including cooperative banks), credit union, or consumer finance institution, located in any State or territory of the United States, the District of Columbia, Puerto</w:t>
      </w:r>
      <w:r w:rsidR="00E42775" w:rsidRPr="003A571A">
        <w:rPr>
          <w:rStyle w:val="apple-converted-space"/>
          <w:rFonts w:eastAsiaTheme="minorEastAsia"/>
          <w:color w:val="333333"/>
          <w:sz w:val="18"/>
          <w:szCs w:val="18"/>
          <w:shd w:val="clear" w:color="auto" w:fill="FFFFFF"/>
        </w:rPr>
        <w:t> </w:t>
      </w:r>
      <w:r w:rsidR="00E42775" w:rsidRPr="003A571A">
        <w:rPr>
          <w:sz w:val="18"/>
          <w:szCs w:val="18"/>
        </w:rPr>
        <w:t>Rico</w:t>
      </w:r>
      <w:r w:rsidR="00E42775" w:rsidRPr="003A571A">
        <w:rPr>
          <w:color w:val="333333"/>
          <w:sz w:val="18"/>
          <w:szCs w:val="18"/>
          <w:shd w:val="clear" w:color="auto" w:fill="FFFFFF"/>
        </w:rPr>
        <w:t>, Guam, American Samoa, or the Virgin Islands. ‘Financial record’ means an original of, a copy of, or information known to have been derived from, any record held by a financial institution pertaining to a</w:t>
      </w:r>
      <w:r w:rsidR="00E42775" w:rsidRPr="003A571A">
        <w:rPr>
          <w:rStyle w:val="apple-converted-space"/>
          <w:rFonts w:eastAsiaTheme="minorEastAsia"/>
          <w:color w:val="001C72"/>
          <w:sz w:val="18"/>
          <w:szCs w:val="18"/>
        </w:rPr>
        <w:t> </w:t>
      </w:r>
      <w:r w:rsidR="00E42775" w:rsidRPr="003A571A">
        <w:rPr>
          <w:sz w:val="18"/>
          <w:szCs w:val="18"/>
        </w:rPr>
        <w:t>customer’</w:t>
      </w:r>
      <w:r w:rsidR="00E42775" w:rsidRPr="003A571A">
        <w:rPr>
          <w:color w:val="333333"/>
          <w:sz w:val="18"/>
          <w:szCs w:val="18"/>
          <w:shd w:val="clear" w:color="auto" w:fill="FFFFFF"/>
        </w:rPr>
        <w:t>s relationship with the financial institution. ‘Customer’ means any person or authorized representative of that person who utilized or is utilizing any service of a financial institution, or for whom a financial institution is acting or has acted as a fiduciary, in relation to an account maintained in the</w:t>
      </w:r>
      <w:r w:rsidR="00E42775" w:rsidRPr="003A571A">
        <w:rPr>
          <w:rStyle w:val="apple-converted-space"/>
          <w:rFonts w:eastAsiaTheme="minorEastAsia"/>
          <w:color w:val="001C72"/>
          <w:sz w:val="18"/>
          <w:szCs w:val="18"/>
        </w:rPr>
        <w:t> </w:t>
      </w:r>
      <w:r w:rsidR="00E42775" w:rsidRPr="003A571A">
        <w:rPr>
          <w:sz w:val="18"/>
          <w:szCs w:val="18"/>
        </w:rPr>
        <w:t>person’</w:t>
      </w:r>
      <w:r w:rsidR="00E42775" w:rsidRPr="003A571A">
        <w:rPr>
          <w:color w:val="333333"/>
          <w:sz w:val="18"/>
          <w:szCs w:val="18"/>
          <w:shd w:val="clear" w:color="auto" w:fill="FFFFFF"/>
        </w:rPr>
        <w:t xml:space="preserve">s name. ‘Person’ means an individual or a partnership of five or fewer individuals. </w:t>
      </w:r>
    </w:p>
  </w:footnote>
  <w:footnote w:id="126">
    <w:p w14:paraId="1596931A" w14:textId="77777777" w:rsidR="0020356F" w:rsidRPr="003A571A" w:rsidRDefault="0020356F" w:rsidP="0020356F">
      <w:pPr>
        <w:pStyle w:val="FootnoteText"/>
        <w:rPr>
          <w:sz w:val="18"/>
          <w:szCs w:val="18"/>
          <w:lang w:val="en-US"/>
        </w:rPr>
      </w:pPr>
      <w:r w:rsidRPr="003A571A">
        <w:rPr>
          <w:rStyle w:val="FootnoteReference"/>
          <w:sz w:val="18"/>
          <w:szCs w:val="18"/>
        </w:rPr>
        <w:footnoteRef/>
      </w:r>
      <w:r w:rsidRPr="003A571A">
        <w:rPr>
          <w:sz w:val="18"/>
          <w:szCs w:val="18"/>
          <w:lang w:val="en-US"/>
        </w:rPr>
        <w:t xml:space="preserve"> Response to the Questionnaire, pg. 3, </w:t>
      </w:r>
      <w:r w:rsidRPr="003A571A">
        <w:rPr>
          <w:i/>
          <w:iCs/>
          <w:sz w:val="18"/>
          <w:szCs w:val="18"/>
          <w:lang w:val="en-US"/>
        </w:rPr>
        <w:t xml:space="preserve">supra </w:t>
      </w:r>
      <w:r w:rsidRPr="003A571A">
        <w:rPr>
          <w:sz w:val="18"/>
          <w:szCs w:val="18"/>
          <w:lang w:val="en-US"/>
        </w:rPr>
        <w:t>note 10.</w:t>
      </w:r>
    </w:p>
  </w:footnote>
  <w:footnote w:id="127">
    <w:p w14:paraId="4C95FEB9" w14:textId="09B6BA5E" w:rsidR="0020356F" w:rsidRPr="003A571A" w:rsidRDefault="0020356F" w:rsidP="0020356F">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Additional Information on Topics Reviewed, </w:t>
      </w:r>
      <w:r w:rsidRPr="003A571A">
        <w:rPr>
          <w:i/>
          <w:iCs/>
          <w:sz w:val="18"/>
          <w:szCs w:val="18"/>
          <w:lang w:val="en-US"/>
        </w:rPr>
        <w:t xml:space="preserve">supra </w:t>
      </w:r>
      <w:r w:rsidR="0070637F">
        <w:rPr>
          <w:sz w:val="18"/>
          <w:szCs w:val="18"/>
          <w:lang w:val="en-US"/>
        </w:rPr>
        <w:t>note 76</w:t>
      </w:r>
      <w:r w:rsidRPr="003A571A">
        <w:rPr>
          <w:sz w:val="18"/>
          <w:szCs w:val="18"/>
          <w:lang w:val="en-US"/>
        </w:rPr>
        <w:t>, pg. 1.</w:t>
      </w:r>
    </w:p>
  </w:footnote>
  <w:footnote w:id="128">
    <w:p w14:paraId="0A18275C" w14:textId="15B49A3A" w:rsidR="0035754B" w:rsidRPr="003A571A" w:rsidRDefault="0035754B">
      <w:pPr>
        <w:pStyle w:val="FootnoteText"/>
        <w:rPr>
          <w:sz w:val="18"/>
          <w:szCs w:val="18"/>
          <w:lang w:val="en-US"/>
        </w:rPr>
      </w:pPr>
      <w:r w:rsidRPr="003A571A">
        <w:rPr>
          <w:rStyle w:val="FootnoteReference"/>
          <w:sz w:val="18"/>
          <w:szCs w:val="18"/>
        </w:rPr>
        <w:footnoteRef/>
      </w:r>
      <w:r w:rsidRPr="003A571A">
        <w:rPr>
          <w:sz w:val="18"/>
          <w:szCs w:val="18"/>
          <w:lang w:val="en-US"/>
        </w:rPr>
        <w:t xml:space="preserve"> Foreign Evidence Efficiency Act, </w:t>
      </w:r>
      <w:r w:rsidR="00415258" w:rsidRPr="003A571A">
        <w:rPr>
          <w:sz w:val="18"/>
          <w:szCs w:val="18"/>
          <w:lang w:val="en-US"/>
        </w:rPr>
        <w:t xml:space="preserve">18 U.S.C. Chapter 223, </w:t>
      </w:r>
      <w:hyperlink r:id="rId50" w:history="1">
        <w:r w:rsidR="00370E3F" w:rsidRPr="003A571A">
          <w:rPr>
            <w:rStyle w:val="Hyperlink"/>
            <w:sz w:val="18"/>
            <w:szCs w:val="18"/>
            <w:lang w:val="en-US"/>
          </w:rPr>
          <w:t>https://www.law.cornell.edu/uscode/text/18/3512</w:t>
        </w:r>
      </w:hyperlink>
      <w:r w:rsidR="00370E3F" w:rsidRPr="003A571A">
        <w:rPr>
          <w:sz w:val="18"/>
          <w:szCs w:val="18"/>
          <w:lang w:val="en-US"/>
        </w:rPr>
        <w:t xml:space="preserve"> </w:t>
      </w:r>
    </w:p>
  </w:footnote>
  <w:footnote w:id="129">
    <w:p w14:paraId="21197583" w14:textId="7135A7AA" w:rsidR="0063496B" w:rsidRPr="003A571A" w:rsidRDefault="0063496B">
      <w:pPr>
        <w:pStyle w:val="FootnoteText"/>
        <w:rPr>
          <w:sz w:val="18"/>
          <w:szCs w:val="18"/>
          <w:lang w:val="en-US"/>
        </w:rPr>
      </w:pPr>
      <w:r w:rsidRPr="003A571A">
        <w:rPr>
          <w:rStyle w:val="FootnoteReference"/>
          <w:sz w:val="18"/>
          <w:szCs w:val="18"/>
        </w:rPr>
        <w:footnoteRef/>
      </w:r>
      <w:r w:rsidRPr="003A571A">
        <w:rPr>
          <w:sz w:val="18"/>
          <w:szCs w:val="18"/>
          <w:lang w:val="en-US"/>
        </w:rPr>
        <w:t xml:space="preserve"> Response to the Questionnaire, pg. 3, </w:t>
      </w:r>
      <w:r w:rsidRPr="003A571A">
        <w:rPr>
          <w:i/>
          <w:iCs/>
          <w:sz w:val="18"/>
          <w:szCs w:val="18"/>
          <w:lang w:val="en-US"/>
        </w:rPr>
        <w:t xml:space="preserve">supra </w:t>
      </w:r>
      <w:r w:rsidRPr="003A571A">
        <w:rPr>
          <w:sz w:val="18"/>
          <w:szCs w:val="18"/>
          <w:lang w:val="en-US"/>
        </w:rPr>
        <w:t>note 10.</w:t>
      </w:r>
    </w:p>
  </w:footnote>
  <w:footnote w:id="130">
    <w:p w14:paraId="05AF630B" w14:textId="0ACDF084" w:rsidR="0063496B" w:rsidRPr="003A571A" w:rsidRDefault="0063496B" w:rsidP="005329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Frequently Asked Questions Regarding Legal Assistance in Criminal Matters, Office of the International Affairs, Criminal Division, US Department of Justice, pg. 2, </w:t>
      </w:r>
      <w:hyperlink r:id="rId51" w:history="1">
        <w:r w:rsidRPr="003A571A">
          <w:rPr>
            <w:rStyle w:val="Hyperlink"/>
            <w:sz w:val="18"/>
            <w:szCs w:val="18"/>
            <w:lang w:val="en-US"/>
          </w:rPr>
          <w:t>https://www.justice.gov/criminal-oia/file/1498811/download</w:t>
        </w:r>
      </w:hyperlink>
      <w:r w:rsidRPr="003A571A">
        <w:rPr>
          <w:sz w:val="18"/>
          <w:szCs w:val="18"/>
          <w:lang w:val="en-US"/>
        </w:rPr>
        <w:t xml:space="preserve"> </w:t>
      </w:r>
    </w:p>
  </w:footnote>
  <w:footnote w:id="131">
    <w:p w14:paraId="2D9FB622" w14:textId="6EDD724A" w:rsidR="0063496B" w:rsidRPr="003A571A" w:rsidRDefault="0063496B" w:rsidP="005329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Mutual Legal Assistance Treaties of the United States, </w:t>
      </w:r>
      <w:hyperlink r:id="rId52" w:history="1">
        <w:r w:rsidRPr="003A571A">
          <w:rPr>
            <w:rStyle w:val="Hyperlink"/>
            <w:sz w:val="18"/>
            <w:szCs w:val="18"/>
            <w:lang w:val="en-US"/>
          </w:rPr>
          <w:t>https://www.justice.gov/criminal-oia/file/1498806/download</w:t>
        </w:r>
      </w:hyperlink>
      <w:r w:rsidRPr="003A571A">
        <w:rPr>
          <w:sz w:val="18"/>
          <w:szCs w:val="18"/>
          <w:lang w:val="en-US"/>
        </w:rPr>
        <w:t xml:space="preserve"> </w:t>
      </w:r>
    </w:p>
  </w:footnote>
  <w:footnote w:id="132">
    <w:p w14:paraId="2D9D2D09" w14:textId="0F5003DB" w:rsidR="004F51F2" w:rsidRPr="003A571A" w:rsidRDefault="004F51F2" w:rsidP="005329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Frequently Asked Questions, pg. 3, </w:t>
      </w:r>
      <w:r w:rsidRPr="003A571A">
        <w:rPr>
          <w:i/>
          <w:iCs/>
          <w:sz w:val="18"/>
          <w:szCs w:val="18"/>
          <w:lang w:val="en-US"/>
        </w:rPr>
        <w:t xml:space="preserve">supra </w:t>
      </w:r>
      <w:r w:rsidR="00BD5478">
        <w:rPr>
          <w:sz w:val="18"/>
          <w:szCs w:val="18"/>
          <w:lang w:val="en-US"/>
        </w:rPr>
        <w:t>note 129</w:t>
      </w:r>
      <w:r w:rsidRPr="003A571A">
        <w:rPr>
          <w:sz w:val="18"/>
          <w:szCs w:val="18"/>
          <w:lang w:val="en-US"/>
        </w:rPr>
        <w:t>.</w:t>
      </w:r>
    </w:p>
  </w:footnote>
  <w:footnote w:id="133">
    <w:p w14:paraId="1F24B626" w14:textId="3BFB157D" w:rsidR="004F51F2" w:rsidRPr="003A571A" w:rsidRDefault="004F51F2" w:rsidP="005329CC">
      <w:pPr>
        <w:pStyle w:val="FootnoteText"/>
        <w:jc w:val="both"/>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p>
  </w:footnote>
  <w:footnote w:id="134">
    <w:p w14:paraId="6E8F5B27" w14:textId="19141EE3" w:rsidR="003F5055" w:rsidRPr="003A571A" w:rsidRDefault="003F5055" w:rsidP="005329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For the French</w:t>
      </w:r>
      <w:r w:rsidR="00713072" w:rsidRPr="003A571A">
        <w:rPr>
          <w:sz w:val="18"/>
          <w:szCs w:val="18"/>
          <w:lang w:val="en-US"/>
        </w:rPr>
        <w:t xml:space="preserve">, Portuguese, </w:t>
      </w:r>
      <w:r w:rsidRPr="003A571A">
        <w:rPr>
          <w:sz w:val="18"/>
          <w:szCs w:val="18"/>
          <w:lang w:val="en-US"/>
        </w:rPr>
        <w:t xml:space="preserve">and Spanish versions of this document, please see: </w:t>
      </w:r>
      <w:hyperlink r:id="rId53" w:history="1">
        <w:r w:rsidRPr="003A571A">
          <w:rPr>
            <w:rStyle w:val="Hyperlink"/>
            <w:sz w:val="18"/>
            <w:szCs w:val="18"/>
            <w:lang w:val="en-US"/>
          </w:rPr>
          <w:t>https://www.justice.gov/criminal/criminal-oia/resources-foreign-authorities</w:t>
        </w:r>
      </w:hyperlink>
      <w:r w:rsidRPr="003A571A">
        <w:rPr>
          <w:sz w:val="18"/>
          <w:szCs w:val="18"/>
          <w:lang w:val="en-US"/>
        </w:rPr>
        <w:t xml:space="preserve"> </w:t>
      </w:r>
    </w:p>
  </w:footnote>
  <w:footnote w:id="135">
    <w:p w14:paraId="7C0FB68B" w14:textId="119B3FBB" w:rsidR="00E826CF" w:rsidRPr="003A571A" w:rsidRDefault="00E826CF" w:rsidP="005329CC">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w:t>
      </w:r>
      <w:r w:rsidR="005329CC" w:rsidRPr="003A571A">
        <w:rPr>
          <w:sz w:val="18"/>
          <w:szCs w:val="18"/>
          <w:lang w:val="en-US"/>
        </w:rPr>
        <w:t>Frequently Asked Questions</w:t>
      </w:r>
      <w:r w:rsidRPr="003A571A">
        <w:rPr>
          <w:sz w:val="18"/>
          <w:szCs w:val="18"/>
          <w:lang w:val="en-US"/>
        </w:rPr>
        <w:t>, pg. 4</w:t>
      </w:r>
      <w:r w:rsidR="005329CC" w:rsidRPr="003A571A">
        <w:rPr>
          <w:sz w:val="18"/>
          <w:szCs w:val="18"/>
          <w:lang w:val="en-US"/>
        </w:rPr>
        <w:t xml:space="preserve">, </w:t>
      </w:r>
      <w:r w:rsidR="005329CC" w:rsidRPr="003A571A">
        <w:rPr>
          <w:i/>
          <w:iCs/>
          <w:sz w:val="18"/>
          <w:szCs w:val="18"/>
          <w:lang w:val="en-US"/>
        </w:rPr>
        <w:t xml:space="preserve">supra </w:t>
      </w:r>
      <w:r w:rsidR="00BD5478">
        <w:rPr>
          <w:sz w:val="18"/>
          <w:szCs w:val="18"/>
          <w:lang w:val="en-US"/>
        </w:rPr>
        <w:t>note 129</w:t>
      </w:r>
      <w:r w:rsidR="005329CC" w:rsidRPr="003A571A">
        <w:rPr>
          <w:sz w:val="18"/>
          <w:szCs w:val="18"/>
          <w:lang w:val="en-US"/>
        </w:rPr>
        <w:t>.</w:t>
      </w:r>
    </w:p>
  </w:footnote>
  <w:footnote w:id="136">
    <w:p w14:paraId="3B2F84FD" w14:textId="2917BD62" w:rsidR="003F5055" w:rsidRPr="003A571A" w:rsidRDefault="003F5055">
      <w:pPr>
        <w:pStyle w:val="FootnoteText"/>
        <w:rPr>
          <w:i/>
          <w:iCs/>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p>
  </w:footnote>
  <w:footnote w:id="137">
    <w:p w14:paraId="016012E1" w14:textId="2052DBDA" w:rsidR="005329CC" w:rsidRPr="003A571A" w:rsidRDefault="005329CC">
      <w:pPr>
        <w:pStyle w:val="FootnoteText"/>
        <w:rPr>
          <w:sz w:val="18"/>
          <w:szCs w:val="18"/>
          <w:lang w:val="en-US"/>
        </w:rPr>
      </w:pPr>
      <w:r w:rsidRPr="003A571A">
        <w:rPr>
          <w:rStyle w:val="FootnoteReference"/>
          <w:sz w:val="18"/>
          <w:szCs w:val="18"/>
        </w:rPr>
        <w:footnoteRef/>
      </w:r>
      <w:r w:rsidRPr="003A571A">
        <w:rPr>
          <w:sz w:val="18"/>
          <w:szCs w:val="18"/>
          <w:lang w:val="en-US"/>
        </w:rPr>
        <w:t xml:space="preserve"> </w:t>
      </w:r>
      <w:r w:rsidRPr="003A571A">
        <w:rPr>
          <w:i/>
          <w:iCs/>
          <w:sz w:val="18"/>
          <w:szCs w:val="18"/>
          <w:lang w:val="en-US"/>
        </w:rPr>
        <w:t>Ibid.</w:t>
      </w:r>
      <w:r w:rsidRPr="003A571A">
        <w:rPr>
          <w:sz w:val="18"/>
          <w:szCs w:val="18"/>
          <w:lang w:val="en-US"/>
        </w:rPr>
        <w:t>, pg. 5.</w:t>
      </w:r>
    </w:p>
  </w:footnote>
  <w:footnote w:id="138">
    <w:p w14:paraId="2ABBE734" w14:textId="5008C7EB" w:rsidR="00F67301" w:rsidRPr="003A571A" w:rsidRDefault="00F67301" w:rsidP="00F67301">
      <w:pPr>
        <w:pStyle w:val="FootnoteText"/>
        <w:jc w:val="both"/>
        <w:rPr>
          <w:sz w:val="18"/>
          <w:szCs w:val="18"/>
          <w:lang w:val="en-US"/>
        </w:rPr>
      </w:pPr>
      <w:r w:rsidRPr="003A571A">
        <w:rPr>
          <w:rStyle w:val="FootnoteReference"/>
          <w:sz w:val="18"/>
          <w:szCs w:val="18"/>
        </w:rPr>
        <w:footnoteRef/>
      </w:r>
      <w:r w:rsidRPr="003A571A">
        <w:rPr>
          <w:sz w:val="18"/>
          <w:szCs w:val="18"/>
          <w:lang w:val="en-US"/>
        </w:rPr>
        <w:t xml:space="preserve"> Response to the Questionnaire, pg. 4, </w:t>
      </w:r>
      <w:r w:rsidRPr="003A571A">
        <w:rPr>
          <w:i/>
          <w:iCs/>
          <w:sz w:val="18"/>
          <w:szCs w:val="18"/>
          <w:lang w:val="en-US"/>
        </w:rPr>
        <w:t xml:space="preserve">supra </w:t>
      </w:r>
      <w:r w:rsidRPr="003A571A">
        <w:rPr>
          <w:sz w:val="18"/>
          <w:szCs w:val="18"/>
          <w:lang w:val="en-US"/>
        </w:rPr>
        <w:t>note 3.</w:t>
      </w:r>
    </w:p>
  </w:footnote>
  <w:footnote w:id="139">
    <w:p w14:paraId="6F3E709C" w14:textId="7B77B850" w:rsidR="00BE4A7A" w:rsidRPr="003A571A" w:rsidRDefault="00BE4A7A" w:rsidP="00F67301">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F67301" w:rsidRPr="003A571A">
        <w:rPr>
          <w:i/>
          <w:iCs/>
          <w:sz w:val="18"/>
          <w:szCs w:val="18"/>
          <w:lang w:val="en-US"/>
        </w:rPr>
        <w:t>Ibid.</w:t>
      </w:r>
    </w:p>
  </w:footnote>
  <w:footnote w:id="140">
    <w:p w14:paraId="636A0AFE" w14:textId="49875CCC" w:rsidR="000D1087" w:rsidRPr="003A571A" w:rsidRDefault="000D1087" w:rsidP="00F67301">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F67301" w:rsidRPr="003A571A">
        <w:rPr>
          <w:sz w:val="18"/>
          <w:szCs w:val="18"/>
          <w:lang w:val="en-US"/>
        </w:rPr>
        <w:t xml:space="preserve">See Article 25 of the Interamerican Convention on Mutual Legal Assistance, </w:t>
      </w:r>
      <w:hyperlink r:id="rId54" w:anchor="United%20States" w:history="1">
        <w:r w:rsidR="00F67301" w:rsidRPr="003A571A">
          <w:rPr>
            <w:rStyle w:val="Hyperlink"/>
            <w:sz w:val="18"/>
            <w:szCs w:val="18"/>
            <w:lang w:val="en-US"/>
          </w:rPr>
          <w:t>http://www.oas.org/juridico/english/Sigs/a-55.html#United%20States</w:t>
        </w:r>
      </w:hyperlink>
      <w:r w:rsidR="00F67301" w:rsidRPr="003A571A">
        <w:rPr>
          <w:sz w:val="18"/>
          <w:szCs w:val="18"/>
          <w:lang w:val="en-US"/>
        </w:rPr>
        <w:t xml:space="preserve"> as well as </w:t>
      </w:r>
      <w:r w:rsidR="002E1B97" w:rsidRPr="003A571A">
        <w:rPr>
          <w:sz w:val="18"/>
          <w:szCs w:val="18"/>
          <w:lang w:val="en-US"/>
        </w:rPr>
        <w:t xml:space="preserve">Mutual Legal Assistance Treaties of the United States, pg. 8, </w:t>
      </w:r>
      <w:r w:rsidR="002E1B97" w:rsidRPr="003A571A">
        <w:rPr>
          <w:i/>
          <w:iCs/>
          <w:sz w:val="18"/>
          <w:szCs w:val="18"/>
          <w:lang w:val="en-US"/>
        </w:rPr>
        <w:t xml:space="preserve">supra </w:t>
      </w:r>
      <w:r w:rsidR="002E1B97" w:rsidRPr="003A571A">
        <w:rPr>
          <w:sz w:val="18"/>
          <w:szCs w:val="18"/>
          <w:lang w:val="en-US"/>
        </w:rPr>
        <w:t>note 1</w:t>
      </w:r>
      <w:r w:rsidR="005636D8" w:rsidRPr="003A571A">
        <w:rPr>
          <w:sz w:val="18"/>
          <w:szCs w:val="18"/>
          <w:lang w:val="en-US"/>
        </w:rPr>
        <w:t>29</w:t>
      </w:r>
      <w:r w:rsidR="002E1B97" w:rsidRPr="003A571A">
        <w:rPr>
          <w:sz w:val="18"/>
          <w:szCs w:val="18"/>
          <w:lang w:val="en-US"/>
        </w:rPr>
        <w:t>.</w:t>
      </w:r>
    </w:p>
  </w:footnote>
  <w:footnote w:id="141">
    <w:p w14:paraId="14AD7EE4" w14:textId="766D623F" w:rsidR="00B957C8" w:rsidRPr="003A571A" w:rsidRDefault="00B957C8" w:rsidP="00B957C8">
      <w:pPr>
        <w:pStyle w:val="FootnoteText"/>
        <w:rPr>
          <w:sz w:val="18"/>
          <w:szCs w:val="18"/>
          <w:lang w:val="en-US"/>
        </w:rPr>
      </w:pPr>
      <w:r w:rsidRPr="003A571A">
        <w:rPr>
          <w:rStyle w:val="FootnoteReference"/>
          <w:sz w:val="18"/>
          <w:szCs w:val="18"/>
        </w:rPr>
        <w:footnoteRef/>
      </w:r>
      <w:r w:rsidRPr="003A571A">
        <w:rPr>
          <w:sz w:val="18"/>
          <w:szCs w:val="18"/>
          <w:lang w:val="en-US"/>
        </w:rPr>
        <w:t xml:space="preserve"> Frequently Asked Questions, pg. 5, </w:t>
      </w:r>
      <w:r w:rsidRPr="003A571A">
        <w:rPr>
          <w:i/>
          <w:iCs/>
          <w:sz w:val="18"/>
          <w:szCs w:val="18"/>
          <w:lang w:val="en-US"/>
        </w:rPr>
        <w:t xml:space="preserve">supra </w:t>
      </w:r>
      <w:r w:rsidR="00BD5478">
        <w:rPr>
          <w:sz w:val="18"/>
          <w:szCs w:val="18"/>
          <w:lang w:val="en-US"/>
        </w:rPr>
        <w:t>note 129</w:t>
      </w:r>
      <w:r w:rsidRPr="003A571A">
        <w:rPr>
          <w:sz w:val="18"/>
          <w:szCs w:val="18"/>
          <w:lang w:val="en-US"/>
        </w:rPr>
        <w:t>.</w:t>
      </w:r>
    </w:p>
  </w:footnote>
  <w:footnote w:id="142">
    <w:p w14:paraId="27D44399" w14:textId="238896F2" w:rsidR="00B327E9" w:rsidRPr="003A571A" w:rsidRDefault="00B327E9" w:rsidP="00B327E9">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w:t>
      </w:r>
      <w:r w:rsidR="00EF2A26" w:rsidRPr="003A571A">
        <w:rPr>
          <w:sz w:val="18"/>
          <w:szCs w:val="18"/>
          <w:lang w:val="en-US"/>
        </w:rPr>
        <w:t>Response to the Questionnaire</w:t>
      </w:r>
      <w:r w:rsidRPr="003A571A">
        <w:rPr>
          <w:sz w:val="18"/>
          <w:szCs w:val="18"/>
          <w:lang w:val="en-US"/>
        </w:rPr>
        <w:t xml:space="preserve">., pg. </w:t>
      </w:r>
      <w:r w:rsidR="00EF2A26" w:rsidRPr="003A571A">
        <w:rPr>
          <w:sz w:val="18"/>
          <w:szCs w:val="18"/>
          <w:lang w:val="en-US"/>
        </w:rPr>
        <w:t xml:space="preserve">5, </w:t>
      </w:r>
      <w:r w:rsidR="00EF2A26" w:rsidRPr="003A571A">
        <w:rPr>
          <w:i/>
          <w:iCs/>
          <w:sz w:val="18"/>
          <w:szCs w:val="18"/>
          <w:lang w:val="en-US"/>
        </w:rPr>
        <w:t xml:space="preserve">supra </w:t>
      </w:r>
      <w:r w:rsidR="00EF2A26" w:rsidRPr="003A571A">
        <w:rPr>
          <w:sz w:val="18"/>
          <w:szCs w:val="18"/>
          <w:lang w:val="en-US"/>
        </w:rPr>
        <w:t>note 3.</w:t>
      </w:r>
    </w:p>
  </w:footnote>
  <w:footnote w:id="143">
    <w:p w14:paraId="3555745C" w14:textId="399A10A7" w:rsidR="009C21AA" w:rsidRPr="003A571A" w:rsidRDefault="009C21AA">
      <w:pPr>
        <w:pStyle w:val="FootnoteText"/>
        <w:rPr>
          <w:sz w:val="18"/>
          <w:szCs w:val="18"/>
          <w:lang w:val="en-US"/>
        </w:rPr>
      </w:pPr>
      <w:r w:rsidRPr="003A571A">
        <w:rPr>
          <w:rStyle w:val="FootnoteReference"/>
          <w:sz w:val="18"/>
          <w:szCs w:val="18"/>
        </w:rPr>
        <w:footnoteRef/>
      </w:r>
      <w:r w:rsidRPr="003A571A">
        <w:rPr>
          <w:sz w:val="18"/>
          <w:szCs w:val="18"/>
          <w:lang w:val="en-US"/>
        </w:rPr>
        <w:t xml:space="preserve"> Additional Information on Topics Reviewed, pg. 1, </w:t>
      </w:r>
      <w:r w:rsidRPr="003A571A">
        <w:rPr>
          <w:i/>
          <w:iCs/>
          <w:sz w:val="18"/>
          <w:szCs w:val="18"/>
          <w:lang w:val="en-US"/>
        </w:rPr>
        <w:t xml:space="preserve">supra </w:t>
      </w:r>
      <w:r w:rsidR="0070637F">
        <w:rPr>
          <w:sz w:val="18"/>
          <w:szCs w:val="18"/>
          <w:lang w:val="en-US"/>
        </w:rPr>
        <w:t>note 76</w:t>
      </w:r>
      <w:r w:rsidRPr="003A571A">
        <w:rPr>
          <w:sz w:val="18"/>
          <w:szCs w:val="18"/>
          <w:lang w:val="en-US"/>
        </w:rPr>
        <w:t>.</w:t>
      </w:r>
    </w:p>
  </w:footnote>
  <w:footnote w:id="144">
    <w:p w14:paraId="27EFAEE8" w14:textId="4FEEC11E" w:rsidR="0034328B" w:rsidRPr="003A571A" w:rsidRDefault="0034328B" w:rsidP="0034328B">
      <w:pPr>
        <w:pStyle w:val="FootnoteText"/>
        <w:jc w:val="both"/>
        <w:rPr>
          <w:sz w:val="18"/>
          <w:szCs w:val="18"/>
          <w:lang w:val="en-US"/>
        </w:rPr>
      </w:pPr>
      <w:r w:rsidRPr="003A571A">
        <w:rPr>
          <w:rStyle w:val="FootnoteReference"/>
          <w:sz w:val="18"/>
          <w:szCs w:val="18"/>
          <w:lang w:val="en-US"/>
        </w:rPr>
        <w:footnoteRef/>
      </w:r>
      <w:r w:rsidRPr="003A571A">
        <w:rPr>
          <w:sz w:val="18"/>
          <w:szCs w:val="18"/>
          <w:lang w:val="en-US"/>
        </w:rPr>
        <w:t xml:space="preserve"> Response to the Questionnaire, pgs. 38 – 39, </w:t>
      </w:r>
      <w:r w:rsidRPr="003A571A">
        <w:rPr>
          <w:i/>
          <w:iCs/>
          <w:sz w:val="18"/>
          <w:szCs w:val="18"/>
          <w:lang w:val="en-US"/>
        </w:rPr>
        <w:t>supra</w:t>
      </w:r>
      <w:r w:rsidRPr="003A571A">
        <w:rPr>
          <w:sz w:val="18"/>
          <w:szCs w:val="18"/>
          <w:lang w:val="en-US"/>
        </w:rPr>
        <w:t xml:space="preserve"> note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13C8" w14:textId="6CBB2F8E" w:rsidR="00FB448C" w:rsidRDefault="00FB448C" w:rsidP="0042578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66A">
      <w:rPr>
        <w:rStyle w:val="PageNumber"/>
        <w:noProof/>
      </w:rPr>
      <w:t>- 2 -</w:t>
    </w:r>
    <w:r>
      <w:rPr>
        <w:rStyle w:val="PageNumber"/>
      </w:rPr>
      <w:fldChar w:fldCharType="end"/>
    </w:r>
  </w:p>
  <w:p w14:paraId="7EE5D06B" w14:textId="77777777" w:rsidR="00FB448C" w:rsidRDefault="00FB448C" w:rsidP="00C738E3">
    <w:pPr>
      <w:pStyle w:val="Header"/>
      <w:ind w:right="360"/>
    </w:pPr>
  </w:p>
  <w:p w14:paraId="15B7C2FD" w14:textId="77777777" w:rsidR="00FB448C" w:rsidRDefault="00FB44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8722" w14:textId="07AB5BE6" w:rsidR="00FB448C" w:rsidRPr="0032757B" w:rsidRDefault="00FB448C" w:rsidP="00C738E3">
    <w:pPr>
      <w:pStyle w:val="Header"/>
      <w:ind w:right="360"/>
      <w:jc w:val="center"/>
      <w:rPr>
        <w:sz w:val="22"/>
        <w:szCs w:val="22"/>
      </w:rPr>
    </w:pPr>
  </w:p>
  <w:p w14:paraId="1279F121" w14:textId="77777777" w:rsidR="00FB448C" w:rsidRDefault="00FB448C" w:rsidP="002C2242">
    <w:pPr>
      <w:pStyle w:val="Header"/>
      <w:jc w:val="center"/>
    </w:pPr>
  </w:p>
  <w:p w14:paraId="7EA3649F" w14:textId="77777777" w:rsidR="00FB448C" w:rsidRDefault="00FB44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9597" w14:textId="203F80B6" w:rsidR="003F3678" w:rsidRDefault="003F3678">
    <w:pPr>
      <w:pStyle w:val="Header"/>
      <w:jc w:val="center"/>
    </w:pPr>
  </w:p>
  <w:p w14:paraId="20A1174F" w14:textId="463989DA" w:rsidR="003F3678" w:rsidRDefault="00B65342">
    <w:pPr>
      <w:pStyle w:val="Header"/>
    </w:pPr>
    <w:r w:rsidRPr="00423AB4">
      <w:rPr>
        <w:noProof/>
        <w:sz w:val="22"/>
        <w:szCs w:val="22"/>
        <w:lang w:val="en-CA"/>
      </w:rPr>
      <w:drawing>
        <wp:inline distT="0" distB="0" distL="0" distR="0" wp14:anchorId="286A52BA" wp14:editId="11F47DF1">
          <wp:extent cx="2774950" cy="675640"/>
          <wp:effectExtent l="0" t="0" r="6350" b="0"/>
          <wp:docPr id="6" name="Picture 6" descr="C:\Users\eparada\AppData\Local\Microsoft\Windows\INetCache\Content.Outlook\VYFA1691\OAS-MESICIC--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rada\AppData\Local\Microsoft\Windows\INetCache\Content.Outlook\VYFA1691\OAS-MESICIC--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4950" cy="675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5517"/>
      <w:docPartObj>
        <w:docPartGallery w:val="Page Numbers (Top of Page)"/>
        <w:docPartUnique/>
      </w:docPartObj>
    </w:sdtPr>
    <w:sdtEndPr>
      <w:rPr>
        <w:noProof/>
      </w:rPr>
    </w:sdtEndPr>
    <w:sdtContent>
      <w:p w14:paraId="4576A495" w14:textId="1F7247CB" w:rsidR="002B6A9E" w:rsidRDefault="002B6A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A7841B" w14:textId="77777777" w:rsidR="002C2242" w:rsidRDefault="002C22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413552"/>
      <w:docPartObj>
        <w:docPartGallery w:val="Page Numbers (Top of Page)"/>
        <w:docPartUnique/>
      </w:docPartObj>
    </w:sdtPr>
    <w:sdtEndPr>
      <w:rPr>
        <w:noProof/>
      </w:rPr>
    </w:sdtEndPr>
    <w:sdtContent>
      <w:p w14:paraId="204DAEBD" w14:textId="77777777" w:rsidR="00102909" w:rsidRDefault="001029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354893" w14:textId="77777777" w:rsidR="00102909" w:rsidRDefault="0010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2"/>
        <w:szCs w:val="22"/>
        <w:vertAlign w:val="superscript"/>
        <w:lang w:val="es-CO"/>
      </w:rPr>
    </w:lvl>
    <w:lvl w:ilvl="1">
      <w:numFmt w:val="bullet"/>
      <w:lvlText w:val="-"/>
      <w:lvlJc w:val="left"/>
      <w:pPr>
        <w:tabs>
          <w:tab w:val="num" w:pos="1440"/>
        </w:tabs>
        <w:ind w:left="1440" w:hanging="360"/>
      </w:pPr>
      <w:rPr>
        <w:rFonts w:ascii="Times New Roman" w:hAnsi="Times New Roman" w:cs="Times New Roman" w:hint="default"/>
        <w:sz w:val="22"/>
        <w:szCs w:val="22"/>
        <w:lang w:val="es-E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458AD"/>
    <w:multiLevelType w:val="multilevel"/>
    <w:tmpl w:val="8006F632"/>
    <w:lvl w:ilvl="0">
      <w:start w:val="6"/>
      <w:numFmt w:val="decimal"/>
      <w:lvlText w:val="%1."/>
      <w:lvlJc w:val="left"/>
      <w:pPr>
        <w:ind w:left="500" w:hanging="500"/>
      </w:pPr>
      <w:rPr>
        <w:rFonts w:hint="default"/>
      </w:rPr>
    </w:lvl>
    <w:lvl w:ilvl="1">
      <w:start w:val="4"/>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E6048C"/>
    <w:multiLevelType w:val="multilevel"/>
    <w:tmpl w:val="665681F2"/>
    <w:lvl w:ilvl="0">
      <w:start w:val="1"/>
      <w:numFmt w:val="decimal"/>
      <w:lvlText w:val="%1."/>
      <w:lvlJc w:val="left"/>
      <w:pPr>
        <w:tabs>
          <w:tab w:val="num" w:pos="360"/>
        </w:tabs>
        <w:ind w:left="360" w:hanging="360"/>
      </w:pPr>
      <w:rPr>
        <w:rFonts w:hint="default"/>
        <w:i w:val="0"/>
        <w:iCs/>
      </w:rPr>
    </w:lvl>
    <w:lvl w:ilvl="1">
      <w:start w:val="1"/>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386E09"/>
    <w:multiLevelType w:val="multilevel"/>
    <w:tmpl w:val="EC844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960B6C"/>
    <w:multiLevelType w:val="multilevel"/>
    <w:tmpl w:val="B03EC6A8"/>
    <w:lvl w:ilvl="0">
      <w:start w:val="1"/>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6430E5"/>
    <w:multiLevelType w:val="hybridMultilevel"/>
    <w:tmpl w:val="D85A9C20"/>
    <w:styleLink w:val="Estiloimportado6"/>
    <w:lvl w:ilvl="0" w:tplc="0262E654">
      <w:start w:val="1"/>
      <w:numFmt w:val="lowerRoman"/>
      <w:lvlText w:val="%1."/>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1" w:tplc="B1FA5BBA">
      <w:start w:val="1"/>
      <w:numFmt w:val="lowerLetter"/>
      <w:lvlText w:val="%2."/>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2" w:tplc="7B3C2A42">
      <w:start w:val="1"/>
      <w:numFmt w:val="lowerRoman"/>
      <w:lvlText w:val="%3."/>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3" w:tplc="8A72C040">
      <w:start w:val="1"/>
      <w:numFmt w:val="decimal"/>
      <w:lvlText w:val="%4."/>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4" w:tplc="F47CE266">
      <w:start w:val="1"/>
      <w:numFmt w:val="lowerLetter"/>
      <w:lvlText w:val="%5."/>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5" w:tplc="FB6C1C18">
      <w:start w:val="1"/>
      <w:numFmt w:val="lowerRoman"/>
      <w:lvlText w:val="%6."/>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6" w:tplc="3398CE60">
      <w:start w:val="1"/>
      <w:numFmt w:val="decimal"/>
      <w:lvlText w:val="%7."/>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7" w:tplc="B32C0E2C">
      <w:start w:val="1"/>
      <w:numFmt w:val="lowerLetter"/>
      <w:lvlText w:val="%8."/>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lvl w:ilvl="8" w:tplc="134E0CF2">
      <w:start w:val="1"/>
      <w:numFmt w:val="lowerRoman"/>
      <w:lvlText w:val="%9."/>
      <w:lvlJc w:val="left"/>
      <w:pPr>
        <w:ind w:left="0" w:firstLine="0"/>
      </w:pPr>
      <w:rPr>
        <w:rFonts w:hAnsi="Arial Unicode MS"/>
        <w:i/>
        <w:iC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1F9B3377"/>
    <w:multiLevelType w:val="multilevel"/>
    <w:tmpl w:val="580E8EC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064941"/>
    <w:multiLevelType w:val="hybridMultilevel"/>
    <w:tmpl w:val="6A861C78"/>
    <w:lvl w:ilvl="0" w:tplc="D03886F6">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CR"/>
      </w:rPr>
    </w:lvl>
    <w:lvl w:ilvl="1" w:tplc="DA86C4F6">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bdr w:val="none" w:sz="0" w:space="0" w:color="auto"/>
        <w:shd w:val="clear" w:color="auto" w:fill="auto"/>
        <w:vertAlign w:val="baseline"/>
      </w:rPr>
    </w:lvl>
    <w:lvl w:ilvl="2" w:tplc="69ECF0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26B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A6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CD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D4E4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21D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C2F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7C696C"/>
    <w:multiLevelType w:val="multilevel"/>
    <w:tmpl w:val="286AF30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1" w15:restartNumberingAfterBreak="0">
    <w:nsid w:val="3127602A"/>
    <w:multiLevelType w:val="multilevel"/>
    <w:tmpl w:val="8034F1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D109F"/>
    <w:multiLevelType w:val="multilevel"/>
    <w:tmpl w:val="CE4A9D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67B47"/>
    <w:multiLevelType w:val="hybridMultilevel"/>
    <w:tmpl w:val="09ECEDAC"/>
    <w:lvl w:ilvl="0" w:tplc="7DC4613E">
      <w:start w:val="5"/>
      <w:numFmt w:val="decimal"/>
      <w:lvlText w:val="%1."/>
      <w:lvlJc w:val="left"/>
      <w:pPr>
        <w:ind w:left="720" w:hanging="360"/>
      </w:pPr>
      <w:rPr>
        <w:rFonts w:hint="default"/>
        <w:b/>
        <w:bCs w:val="0"/>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4ADE666A"/>
    <w:multiLevelType w:val="hybridMultilevel"/>
    <w:tmpl w:val="B748BC3E"/>
    <w:lvl w:ilvl="0" w:tplc="04090001">
      <w:start w:val="1"/>
      <w:numFmt w:val="bullet"/>
      <w:lvlText w:val=""/>
      <w:lvlJc w:val="left"/>
      <w:pPr>
        <w:tabs>
          <w:tab w:val="num" w:pos="720"/>
        </w:tabs>
        <w:ind w:left="720" w:hanging="360"/>
      </w:pPr>
      <w:rPr>
        <w:rFonts w:ascii="Symbol" w:hAnsi="Symbol" w:hint="default"/>
      </w:rPr>
    </w:lvl>
    <w:lvl w:ilvl="1" w:tplc="69E281B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F139F"/>
    <w:multiLevelType w:val="hybridMultilevel"/>
    <w:tmpl w:val="25DE429A"/>
    <w:lvl w:ilvl="0" w:tplc="AD4EF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24292"/>
    <w:multiLevelType w:val="hybridMultilevel"/>
    <w:tmpl w:val="6A861C78"/>
    <w:lvl w:ilvl="0" w:tplc="FFFFFFFF">
      <w:start w:val="1"/>
      <w:numFmt w:val="decimal"/>
      <w:lvlText w:val="[%1]"/>
      <w:lvlJc w:val="left"/>
      <w:pPr>
        <w:ind w:left="10" w:firstLine="0"/>
      </w:pPr>
      <w:rPr>
        <w:rFonts w:ascii="Times New Roman" w:eastAsia="Times New Roman" w:hAnsi="Times New Roman" w:cs="Times New Roman"/>
        <w:b w:val="0"/>
        <w:i w:val="0"/>
        <w:strike w:val="0"/>
        <w:dstrike w:val="0"/>
        <w:color w:val="auto"/>
        <w:sz w:val="22"/>
        <w:szCs w:val="22"/>
        <w:u w:val="none" w:color="000000"/>
        <w:effect w:val="none"/>
        <w:bdr w:val="none" w:sz="0" w:space="0" w:color="auto" w:frame="1"/>
        <w:vertAlign w:val="baseline"/>
        <w:lang w:val="es-CR"/>
      </w:rPr>
    </w:lvl>
    <w:lvl w:ilvl="1" w:tplc="FFFFFFFF">
      <w:numFmt w:val="bullet"/>
      <w:lvlText w:val="-"/>
      <w:lvlJc w:val="left"/>
      <w:pPr>
        <w:ind w:left="1440" w:hanging="360"/>
      </w:pPr>
      <w:rPr>
        <w:rFonts w:ascii="Calibri" w:eastAsia="Calibri" w:hAnsi="Calibri" w:cs="Calibri" w:hint="default"/>
        <w:b w:val="0"/>
        <w:i w:val="0"/>
        <w:strike w:val="0"/>
        <w:dstrike w:val="0"/>
        <w:color w:val="auto"/>
        <w:sz w:val="22"/>
        <w:szCs w:val="22"/>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509646ED"/>
    <w:multiLevelType w:val="hybridMultilevel"/>
    <w:tmpl w:val="9E3048FE"/>
    <w:lvl w:ilvl="0" w:tplc="1876A72C">
      <w:start w:val="1"/>
      <w:numFmt w:val="upperRoman"/>
      <w:lvlText w:val="%1."/>
      <w:lvlJc w:val="left"/>
      <w:pPr>
        <w:tabs>
          <w:tab w:val="num" w:pos="1080"/>
        </w:tabs>
        <w:ind w:left="1080" w:hanging="720"/>
      </w:pPr>
      <w:rPr>
        <w:b/>
        <w:color w:val="auto"/>
      </w:rPr>
    </w:lvl>
    <w:lvl w:ilvl="1" w:tplc="8E48C3AC">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0DA2206"/>
    <w:multiLevelType w:val="multilevel"/>
    <w:tmpl w:val="11F659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EE4379"/>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16cid:durableId="1191726033">
    <w:abstractNumId w:val="9"/>
  </w:num>
  <w:num w:numId="2" w16cid:durableId="1871256207">
    <w:abstractNumId w:val="3"/>
  </w:num>
  <w:num w:numId="3" w16cid:durableId="966394150">
    <w:abstractNumId w:val="17"/>
  </w:num>
  <w:num w:numId="4" w16cid:durableId="876623402">
    <w:abstractNumId w:val="19"/>
  </w:num>
  <w:num w:numId="5" w16cid:durableId="1253971980">
    <w:abstractNumId w:val="7"/>
  </w:num>
  <w:num w:numId="6" w16cid:durableId="1914730555">
    <w:abstractNumId w:val="4"/>
  </w:num>
  <w:num w:numId="7" w16cid:durableId="1877349869">
    <w:abstractNumId w:val="5"/>
  </w:num>
  <w:num w:numId="8" w16cid:durableId="840127002">
    <w:abstractNumId w:val="13"/>
  </w:num>
  <w:num w:numId="9" w16cid:durableId="373316723">
    <w:abstractNumId w:val="12"/>
  </w:num>
  <w:num w:numId="10" w16cid:durableId="1934123624">
    <w:abstractNumId w:val="11"/>
  </w:num>
  <w:num w:numId="11" w16cid:durableId="167208742">
    <w:abstractNumId w:val="8"/>
  </w:num>
  <w:num w:numId="12" w16cid:durableId="1788891125">
    <w:abstractNumId w:val="6"/>
  </w:num>
  <w:num w:numId="13" w16cid:durableId="1710103721">
    <w:abstractNumId w:val="10"/>
  </w:num>
  <w:num w:numId="14" w16cid:durableId="1656061149">
    <w:abstractNumId w:val="14"/>
  </w:num>
  <w:num w:numId="15" w16cid:durableId="824979022">
    <w:abstractNumId w:val="2"/>
  </w:num>
  <w:num w:numId="16" w16cid:durableId="2009868743">
    <w:abstractNumId w:val="18"/>
  </w:num>
  <w:num w:numId="17" w16cid:durableId="351032207">
    <w:abstractNumId w:val="15"/>
  </w:num>
  <w:num w:numId="18" w16cid:durableId="14170968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D"/>
    <w:rsid w:val="00000376"/>
    <w:rsid w:val="00000D59"/>
    <w:rsid w:val="00000EDA"/>
    <w:rsid w:val="00000F01"/>
    <w:rsid w:val="00001162"/>
    <w:rsid w:val="000015CA"/>
    <w:rsid w:val="00001A3C"/>
    <w:rsid w:val="00001BDA"/>
    <w:rsid w:val="00002608"/>
    <w:rsid w:val="00003368"/>
    <w:rsid w:val="0000356F"/>
    <w:rsid w:val="00003F7C"/>
    <w:rsid w:val="00004718"/>
    <w:rsid w:val="00004729"/>
    <w:rsid w:val="000049BD"/>
    <w:rsid w:val="0000575A"/>
    <w:rsid w:val="000058B7"/>
    <w:rsid w:val="000059B7"/>
    <w:rsid w:val="00005A37"/>
    <w:rsid w:val="00005B96"/>
    <w:rsid w:val="0000618A"/>
    <w:rsid w:val="00006AD2"/>
    <w:rsid w:val="00007017"/>
    <w:rsid w:val="00007131"/>
    <w:rsid w:val="00007498"/>
    <w:rsid w:val="00007BB4"/>
    <w:rsid w:val="00010B95"/>
    <w:rsid w:val="00011127"/>
    <w:rsid w:val="0001118A"/>
    <w:rsid w:val="0001156B"/>
    <w:rsid w:val="0001218D"/>
    <w:rsid w:val="00012360"/>
    <w:rsid w:val="00012395"/>
    <w:rsid w:val="00012852"/>
    <w:rsid w:val="00012899"/>
    <w:rsid w:val="000134C9"/>
    <w:rsid w:val="00013C92"/>
    <w:rsid w:val="000143D1"/>
    <w:rsid w:val="00014505"/>
    <w:rsid w:val="00014594"/>
    <w:rsid w:val="00014A4F"/>
    <w:rsid w:val="00014BFB"/>
    <w:rsid w:val="00014EFC"/>
    <w:rsid w:val="00015019"/>
    <w:rsid w:val="00015231"/>
    <w:rsid w:val="0001590C"/>
    <w:rsid w:val="00015B54"/>
    <w:rsid w:val="00015FC2"/>
    <w:rsid w:val="00016270"/>
    <w:rsid w:val="0001684B"/>
    <w:rsid w:val="00016A48"/>
    <w:rsid w:val="00016ABC"/>
    <w:rsid w:val="00016BEF"/>
    <w:rsid w:val="00016D22"/>
    <w:rsid w:val="000173B1"/>
    <w:rsid w:val="0001752D"/>
    <w:rsid w:val="000179A9"/>
    <w:rsid w:val="00017C9A"/>
    <w:rsid w:val="00017E27"/>
    <w:rsid w:val="00017ECE"/>
    <w:rsid w:val="00020247"/>
    <w:rsid w:val="00020CFF"/>
    <w:rsid w:val="000217EF"/>
    <w:rsid w:val="00022208"/>
    <w:rsid w:val="000222EB"/>
    <w:rsid w:val="000226CD"/>
    <w:rsid w:val="00022945"/>
    <w:rsid w:val="00022982"/>
    <w:rsid w:val="000229EC"/>
    <w:rsid w:val="00022B0E"/>
    <w:rsid w:val="00022FFF"/>
    <w:rsid w:val="0002326E"/>
    <w:rsid w:val="00023BB8"/>
    <w:rsid w:val="00023ECE"/>
    <w:rsid w:val="00023F37"/>
    <w:rsid w:val="000244E4"/>
    <w:rsid w:val="0002453D"/>
    <w:rsid w:val="00024596"/>
    <w:rsid w:val="00024D59"/>
    <w:rsid w:val="00025D89"/>
    <w:rsid w:val="00025E4E"/>
    <w:rsid w:val="00025E9F"/>
    <w:rsid w:val="00025ED0"/>
    <w:rsid w:val="00025F33"/>
    <w:rsid w:val="0003084C"/>
    <w:rsid w:val="00030E03"/>
    <w:rsid w:val="0003105F"/>
    <w:rsid w:val="0003154E"/>
    <w:rsid w:val="00031691"/>
    <w:rsid w:val="00031AF2"/>
    <w:rsid w:val="00031F15"/>
    <w:rsid w:val="00032160"/>
    <w:rsid w:val="0003274C"/>
    <w:rsid w:val="00032D25"/>
    <w:rsid w:val="00033099"/>
    <w:rsid w:val="0003330B"/>
    <w:rsid w:val="00033359"/>
    <w:rsid w:val="00033629"/>
    <w:rsid w:val="0003371A"/>
    <w:rsid w:val="0003374E"/>
    <w:rsid w:val="0003375E"/>
    <w:rsid w:val="00033FCF"/>
    <w:rsid w:val="00033FD2"/>
    <w:rsid w:val="000340B2"/>
    <w:rsid w:val="000340F0"/>
    <w:rsid w:val="0003417C"/>
    <w:rsid w:val="000344E6"/>
    <w:rsid w:val="00034D19"/>
    <w:rsid w:val="000354F8"/>
    <w:rsid w:val="000355BC"/>
    <w:rsid w:val="000359B6"/>
    <w:rsid w:val="000362B3"/>
    <w:rsid w:val="000364A4"/>
    <w:rsid w:val="00036690"/>
    <w:rsid w:val="000368C6"/>
    <w:rsid w:val="00036BB3"/>
    <w:rsid w:val="00036DB9"/>
    <w:rsid w:val="00036FE3"/>
    <w:rsid w:val="00037768"/>
    <w:rsid w:val="00037D17"/>
    <w:rsid w:val="00040033"/>
    <w:rsid w:val="0004077B"/>
    <w:rsid w:val="00040E5E"/>
    <w:rsid w:val="00041482"/>
    <w:rsid w:val="0004167B"/>
    <w:rsid w:val="00041D2D"/>
    <w:rsid w:val="00041FF9"/>
    <w:rsid w:val="00042036"/>
    <w:rsid w:val="000421F3"/>
    <w:rsid w:val="00042CA3"/>
    <w:rsid w:val="00042F9D"/>
    <w:rsid w:val="000431C2"/>
    <w:rsid w:val="000432F0"/>
    <w:rsid w:val="00043650"/>
    <w:rsid w:val="0004387B"/>
    <w:rsid w:val="00043F97"/>
    <w:rsid w:val="000440C7"/>
    <w:rsid w:val="000446DF"/>
    <w:rsid w:val="00044ABD"/>
    <w:rsid w:val="00044AEB"/>
    <w:rsid w:val="00044CF1"/>
    <w:rsid w:val="00044EFC"/>
    <w:rsid w:val="00044F35"/>
    <w:rsid w:val="00045521"/>
    <w:rsid w:val="0004556B"/>
    <w:rsid w:val="0004557A"/>
    <w:rsid w:val="000468CB"/>
    <w:rsid w:val="000468D8"/>
    <w:rsid w:val="00046D41"/>
    <w:rsid w:val="00046E0B"/>
    <w:rsid w:val="0005002C"/>
    <w:rsid w:val="00050599"/>
    <w:rsid w:val="000505CB"/>
    <w:rsid w:val="00050B90"/>
    <w:rsid w:val="00050EE4"/>
    <w:rsid w:val="0005124C"/>
    <w:rsid w:val="00051863"/>
    <w:rsid w:val="00052614"/>
    <w:rsid w:val="00052715"/>
    <w:rsid w:val="000528A9"/>
    <w:rsid w:val="00052A16"/>
    <w:rsid w:val="00052AAF"/>
    <w:rsid w:val="00052AB7"/>
    <w:rsid w:val="00052B69"/>
    <w:rsid w:val="00052CAB"/>
    <w:rsid w:val="00052CE0"/>
    <w:rsid w:val="000530F5"/>
    <w:rsid w:val="000534AF"/>
    <w:rsid w:val="00053714"/>
    <w:rsid w:val="00053F48"/>
    <w:rsid w:val="00054ADC"/>
    <w:rsid w:val="00054D3F"/>
    <w:rsid w:val="00054E2A"/>
    <w:rsid w:val="00054E5A"/>
    <w:rsid w:val="00055118"/>
    <w:rsid w:val="000551E6"/>
    <w:rsid w:val="00055874"/>
    <w:rsid w:val="00056566"/>
    <w:rsid w:val="00057060"/>
    <w:rsid w:val="000571E8"/>
    <w:rsid w:val="0005737C"/>
    <w:rsid w:val="00057E3E"/>
    <w:rsid w:val="000609B9"/>
    <w:rsid w:val="00060BAA"/>
    <w:rsid w:val="00060EA9"/>
    <w:rsid w:val="000610F9"/>
    <w:rsid w:val="0006138B"/>
    <w:rsid w:val="000615B6"/>
    <w:rsid w:val="000625BC"/>
    <w:rsid w:val="000628A8"/>
    <w:rsid w:val="0006366B"/>
    <w:rsid w:val="00063973"/>
    <w:rsid w:val="000641F0"/>
    <w:rsid w:val="000650A7"/>
    <w:rsid w:val="000653CC"/>
    <w:rsid w:val="000653F7"/>
    <w:rsid w:val="0006574F"/>
    <w:rsid w:val="00065B9B"/>
    <w:rsid w:val="00065DAB"/>
    <w:rsid w:val="00066050"/>
    <w:rsid w:val="000662E5"/>
    <w:rsid w:val="000665FE"/>
    <w:rsid w:val="0006661D"/>
    <w:rsid w:val="000668F5"/>
    <w:rsid w:val="0006737E"/>
    <w:rsid w:val="000677F8"/>
    <w:rsid w:val="000679B0"/>
    <w:rsid w:val="00070269"/>
    <w:rsid w:val="00070C33"/>
    <w:rsid w:val="00071281"/>
    <w:rsid w:val="000713B1"/>
    <w:rsid w:val="000713CD"/>
    <w:rsid w:val="0007148C"/>
    <w:rsid w:val="00071AA7"/>
    <w:rsid w:val="00071B87"/>
    <w:rsid w:val="00071F13"/>
    <w:rsid w:val="00072024"/>
    <w:rsid w:val="0007202D"/>
    <w:rsid w:val="00072A1D"/>
    <w:rsid w:val="00072B15"/>
    <w:rsid w:val="00072EBF"/>
    <w:rsid w:val="000736A9"/>
    <w:rsid w:val="00073955"/>
    <w:rsid w:val="00073E08"/>
    <w:rsid w:val="000746F5"/>
    <w:rsid w:val="00074A1E"/>
    <w:rsid w:val="00074CCC"/>
    <w:rsid w:val="00074DB1"/>
    <w:rsid w:val="00074EEF"/>
    <w:rsid w:val="00074F94"/>
    <w:rsid w:val="00075053"/>
    <w:rsid w:val="00075917"/>
    <w:rsid w:val="00075AF8"/>
    <w:rsid w:val="0007606E"/>
    <w:rsid w:val="00076079"/>
    <w:rsid w:val="0007622A"/>
    <w:rsid w:val="00076310"/>
    <w:rsid w:val="0007643A"/>
    <w:rsid w:val="00076584"/>
    <w:rsid w:val="000765A9"/>
    <w:rsid w:val="00076904"/>
    <w:rsid w:val="00076907"/>
    <w:rsid w:val="00076997"/>
    <w:rsid w:val="00076BB3"/>
    <w:rsid w:val="00076E78"/>
    <w:rsid w:val="000772C1"/>
    <w:rsid w:val="00077360"/>
    <w:rsid w:val="00077389"/>
    <w:rsid w:val="00077923"/>
    <w:rsid w:val="0007795A"/>
    <w:rsid w:val="00077A9E"/>
    <w:rsid w:val="00077AF5"/>
    <w:rsid w:val="00077BF7"/>
    <w:rsid w:val="000806E4"/>
    <w:rsid w:val="00080B02"/>
    <w:rsid w:val="00080BDA"/>
    <w:rsid w:val="00080C5D"/>
    <w:rsid w:val="00080FA1"/>
    <w:rsid w:val="000815DA"/>
    <w:rsid w:val="0008195C"/>
    <w:rsid w:val="00082246"/>
    <w:rsid w:val="00082FA0"/>
    <w:rsid w:val="000834DF"/>
    <w:rsid w:val="00083508"/>
    <w:rsid w:val="00083ACD"/>
    <w:rsid w:val="00083CC5"/>
    <w:rsid w:val="00084256"/>
    <w:rsid w:val="0008431C"/>
    <w:rsid w:val="000845E5"/>
    <w:rsid w:val="00084889"/>
    <w:rsid w:val="000849BE"/>
    <w:rsid w:val="00085244"/>
    <w:rsid w:val="00085F3B"/>
    <w:rsid w:val="00086130"/>
    <w:rsid w:val="000861FA"/>
    <w:rsid w:val="00086446"/>
    <w:rsid w:val="0008655C"/>
    <w:rsid w:val="00086E03"/>
    <w:rsid w:val="00087147"/>
    <w:rsid w:val="00087362"/>
    <w:rsid w:val="000874D7"/>
    <w:rsid w:val="000874EC"/>
    <w:rsid w:val="00087B44"/>
    <w:rsid w:val="00087EE4"/>
    <w:rsid w:val="000908F6"/>
    <w:rsid w:val="000909D8"/>
    <w:rsid w:val="00091296"/>
    <w:rsid w:val="000913C9"/>
    <w:rsid w:val="00091AD1"/>
    <w:rsid w:val="00091B26"/>
    <w:rsid w:val="00091DBE"/>
    <w:rsid w:val="00091E03"/>
    <w:rsid w:val="00091FE7"/>
    <w:rsid w:val="0009205C"/>
    <w:rsid w:val="000923C7"/>
    <w:rsid w:val="000924A6"/>
    <w:rsid w:val="00092666"/>
    <w:rsid w:val="0009288C"/>
    <w:rsid w:val="000928C3"/>
    <w:rsid w:val="00093083"/>
    <w:rsid w:val="000930F1"/>
    <w:rsid w:val="00093278"/>
    <w:rsid w:val="000932AB"/>
    <w:rsid w:val="00093C09"/>
    <w:rsid w:val="00094435"/>
    <w:rsid w:val="000944D6"/>
    <w:rsid w:val="000945E9"/>
    <w:rsid w:val="00094B65"/>
    <w:rsid w:val="00095AD4"/>
    <w:rsid w:val="00095D58"/>
    <w:rsid w:val="00095E84"/>
    <w:rsid w:val="0009605D"/>
    <w:rsid w:val="0009615F"/>
    <w:rsid w:val="000964C5"/>
    <w:rsid w:val="000967D8"/>
    <w:rsid w:val="00096F8B"/>
    <w:rsid w:val="000970D5"/>
    <w:rsid w:val="000972F5"/>
    <w:rsid w:val="00097A43"/>
    <w:rsid w:val="000A02F0"/>
    <w:rsid w:val="000A0572"/>
    <w:rsid w:val="000A0DFC"/>
    <w:rsid w:val="000A1255"/>
    <w:rsid w:val="000A12CD"/>
    <w:rsid w:val="000A16B4"/>
    <w:rsid w:val="000A1A3C"/>
    <w:rsid w:val="000A1C5E"/>
    <w:rsid w:val="000A1CEA"/>
    <w:rsid w:val="000A1E38"/>
    <w:rsid w:val="000A1E42"/>
    <w:rsid w:val="000A20F6"/>
    <w:rsid w:val="000A2A8A"/>
    <w:rsid w:val="000A3071"/>
    <w:rsid w:val="000A394F"/>
    <w:rsid w:val="000A3A8C"/>
    <w:rsid w:val="000A3D80"/>
    <w:rsid w:val="000A49F1"/>
    <w:rsid w:val="000A4E98"/>
    <w:rsid w:val="000A50A6"/>
    <w:rsid w:val="000A569F"/>
    <w:rsid w:val="000A58B4"/>
    <w:rsid w:val="000A5DC2"/>
    <w:rsid w:val="000A6510"/>
    <w:rsid w:val="000A6773"/>
    <w:rsid w:val="000A67CE"/>
    <w:rsid w:val="000A6F20"/>
    <w:rsid w:val="000A75E1"/>
    <w:rsid w:val="000A76CB"/>
    <w:rsid w:val="000A77DA"/>
    <w:rsid w:val="000A7991"/>
    <w:rsid w:val="000A7AFC"/>
    <w:rsid w:val="000B0194"/>
    <w:rsid w:val="000B0616"/>
    <w:rsid w:val="000B0628"/>
    <w:rsid w:val="000B098D"/>
    <w:rsid w:val="000B1071"/>
    <w:rsid w:val="000B130A"/>
    <w:rsid w:val="000B1356"/>
    <w:rsid w:val="000B1566"/>
    <w:rsid w:val="000B1CEC"/>
    <w:rsid w:val="000B1FDE"/>
    <w:rsid w:val="000B210D"/>
    <w:rsid w:val="000B267E"/>
    <w:rsid w:val="000B2E03"/>
    <w:rsid w:val="000B301C"/>
    <w:rsid w:val="000B3073"/>
    <w:rsid w:val="000B3096"/>
    <w:rsid w:val="000B3099"/>
    <w:rsid w:val="000B3476"/>
    <w:rsid w:val="000B3C0D"/>
    <w:rsid w:val="000B3D08"/>
    <w:rsid w:val="000B3DAB"/>
    <w:rsid w:val="000B40E3"/>
    <w:rsid w:val="000B4115"/>
    <w:rsid w:val="000B4520"/>
    <w:rsid w:val="000B46CB"/>
    <w:rsid w:val="000B47BF"/>
    <w:rsid w:val="000B4A58"/>
    <w:rsid w:val="000B4D6D"/>
    <w:rsid w:val="000B51EB"/>
    <w:rsid w:val="000B556A"/>
    <w:rsid w:val="000B56A5"/>
    <w:rsid w:val="000B5F17"/>
    <w:rsid w:val="000B69C4"/>
    <w:rsid w:val="000B6C90"/>
    <w:rsid w:val="000B6D3D"/>
    <w:rsid w:val="000B6EBE"/>
    <w:rsid w:val="000B7AC4"/>
    <w:rsid w:val="000C064F"/>
    <w:rsid w:val="000C06E4"/>
    <w:rsid w:val="000C0931"/>
    <w:rsid w:val="000C0A2C"/>
    <w:rsid w:val="000C0B92"/>
    <w:rsid w:val="000C0C42"/>
    <w:rsid w:val="000C1055"/>
    <w:rsid w:val="000C127D"/>
    <w:rsid w:val="000C1B06"/>
    <w:rsid w:val="000C1C6E"/>
    <w:rsid w:val="000C1D8C"/>
    <w:rsid w:val="000C1E23"/>
    <w:rsid w:val="000C1F90"/>
    <w:rsid w:val="000C2B73"/>
    <w:rsid w:val="000C2CEB"/>
    <w:rsid w:val="000C333F"/>
    <w:rsid w:val="000C33E0"/>
    <w:rsid w:val="000C35D4"/>
    <w:rsid w:val="000C3A19"/>
    <w:rsid w:val="000C3C9F"/>
    <w:rsid w:val="000C3CBD"/>
    <w:rsid w:val="000C3DB8"/>
    <w:rsid w:val="000C40A3"/>
    <w:rsid w:val="000C45B9"/>
    <w:rsid w:val="000C487C"/>
    <w:rsid w:val="000C491E"/>
    <w:rsid w:val="000C5181"/>
    <w:rsid w:val="000C5443"/>
    <w:rsid w:val="000C578B"/>
    <w:rsid w:val="000C59A9"/>
    <w:rsid w:val="000C5AB4"/>
    <w:rsid w:val="000C5FC5"/>
    <w:rsid w:val="000C615A"/>
    <w:rsid w:val="000C646C"/>
    <w:rsid w:val="000C669E"/>
    <w:rsid w:val="000C68B2"/>
    <w:rsid w:val="000C7996"/>
    <w:rsid w:val="000C7D1C"/>
    <w:rsid w:val="000C7EE7"/>
    <w:rsid w:val="000C7F6E"/>
    <w:rsid w:val="000D00CC"/>
    <w:rsid w:val="000D029B"/>
    <w:rsid w:val="000D0405"/>
    <w:rsid w:val="000D04E0"/>
    <w:rsid w:val="000D0CE8"/>
    <w:rsid w:val="000D1087"/>
    <w:rsid w:val="000D1798"/>
    <w:rsid w:val="000D18E6"/>
    <w:rsid w:val="000D1D03"/>
    <w:rsid w:val="000D1FA4"/>
    <w:rsid w:val="000D22EB"/>
    <w:rsid w:val="000D247B"/>
    <w:rsid w:val="000D27BB"/>
    <w:rsid w:val="000D2927"/>
    <w:rsid w:val="000D3113"/>
    <w:rsid w:val="000D31B8"/>
    <w:rsid w:val="000D32C5"/>
    <w:rsid w:val="000D3E93"/>
    <w:rsid w:val="000D4A98"/>
    <w:rsid w:val="000D4DF9"/>
    <w:rsid w:val="000D5319"/>
    <w:rsid w:val="000D5647"/>
    <w:rsid w:val="000D5708"/>
    <w:rsid w:val="000D5D9B"/>
    <w:rsid w:val="000D6017"/>
    <w:rsid w:val="000D6598"/>
    <w:rsid w:val="000D66D4"/>
    <w:rsid w:val="000D6D14"/>
    <w:rsid w:val="000D6D1B"/>
    <w:rsid w:val="000D6E83"/>
    <w:rsid w:val="000D7106"/>
    <w:rsid w:val="000D7120"/>
    <w:rsid w:val="000D716F"/>
    <w:rsid w:val="000D73E6"/>
    <w:rsid w:val="000D79B4"/>
    <w:rsid w:val="000D7BC8"/>
    <w:rsid w:val="000D7D46"/>
    <w:rsid w:val="000E02F4"/>
    <w:rsid w:val="000E03CC"/>
    <w:rsid w:val="000E04A5"/>
    <w:rsid w:val="000E0622"/>
    <w:rsid w:val="000E0AAF"/>
    <w:rsid w:val="000E12BE"/>
    <w:rsid w:val="000E13B5"/>
    <w:rsid w:val="000E17E4"/>
    <w:rsid w:val="000E1B33"/>
    <w:rsid w:val="000E1C3C"/>
    <w:rsid w:val="000E1E7B"/>
    <w:rsid w:val="000E1EFA"/>
    <w:rsid w:val="000E20FB"/>
    <w:rsid w:val="000E23F6"/>
    <w:rsid w:val="000E2460"/>
    <w:rsid w:val="000E2752"/>
    <w:rsid w:val="000E2957"/>
    <w:rsid w:val="000E2CF1"/>
    <w:rsid w:val="000E2E88"/>
    <w:rsid w:val="000E2F7A"/>
    <w:rsid w:val="000E2F90"/>
    <w:rsid w:val="000E3645"/>
    <w:rsid w:val="000E3880"/>
    <w:rsid w:val="000E42F7"/>
    <w:rsid w:val="000E45BE"/>
    <w:rsid w:val="000E4B63"/>
    <w:rsid w:val="000E4CF4"/>
    <w:rsid w:val="000E5108"/>
    <w:rsid w:val="000E5769"/>
    <w:rsid w:val="000E638D"/>
    <w:rsid w:val="000E67F3"/>
    <w:rsid w:val="000E6A19"/>
    <w:rsid w:val="000E6E4B"/>
    <w:rsid w:val="000E6F9B"/>
    <w:rsid w:val="000E71F4"/>
    <w:rsid w:val="000E77FF"/>
    <w:rsid w:val="000E78EE"/>
    <w:rsid w:val="000F0195"/>
    <w:rsid w:val="000F0414"/>
    <w:rsid w:val="000F0B3D"/>
    <w:rsid w:val="000F116B"/>
    <w:rsid w:val="000F14C4"/>
    <w:rsid w:val="000F1515"/>
    <w:rsid w:val="000F15BB"/>
    <w:rsid w:val="000F1A2D"/>
    <w:rsid w:val="000F1CB3"/>
    <w:rsid w:val="000F1D0D"/>
    <w:rsid w:val="000F1E97"/>
    <w:rsid w:val="000F21AA"/>
    <w:rsid w:val="000F2A90"/>
    <w:rsid w:val="000F2E73"/>
    <w:rsid w:val="000F313D"/>
    <w:rsid w:val="000F327D"/>
    <w:rsid w:val="000F338E"/>
    <w:rsid w:val="000F3719"/>
    <w:rsid w:val="000F38D3"/>
    <w:rsid w:val="000F395E"/>
    <w:rsid w:val="000F3A24"/>
    <w:rsid w:val="000F3B5F"/>
    <w:rsid w:val="000F3C2B"/>
    <w:rsid w:val="000F3E4D"/>
    <w:rsid w:val="000F478F"/>
    <w:rsid w:val="000F4E39"/>
    <w:rsid w:val="000F50D1"/>
    <w:rsid w:val="000F5854"/>
    <w:rsid w:val="000F592B"/>
    <w:rsid w:val="000F5987"/>
    <w:rsid w:val="000F5A29"/>
    <w:rsid w:val="000F5FE4"/>
    <w:rsid w:val="000F6257"/>
    <w:rsid w:val="000F68F8"/>
    <w:rsid w:val="000F6947"/>
    <w:rsid w:val="000F6964"/>
    <w:rsid w:val="000F6B1D"/>
    <w:rsid w:val="000F6C2E"/>
    <w:rsid w:val="000F7135"/>
    <w:rsid w:val="000F7320"/>
    <w:rsid w:val="000F7D91"/>
    <w:rsid w:val="000F7F64"/>
    <w:rsid w:val="000F7F67"/>
    <w:rsid w:val="00100515"/>
    <w:rsid w:val="001005ED"/>
    <w:rsid w:val="0010089F"/>
    <w:rsid w:val="00100B35"/>
    <w:rsid w:val="00100F5A"/>
    <w:rsid w:val="00101022"/>
    <w:rsid w:val="00101097"/>
    <w:rsid w:val="0010123F"/>
    <w:rsid w:val="00101289"/>
    <w:rsid w:val="0010129D"/>
    <w:rsid w:val="00101959"/>
    <w:rsid w:val="00101C15"/>
    <w:rsid w:val="00101F41"/>
    <w:rsid w:val="00101FCE"/>
    <w:rsid w:val="001023EB"/>
    <w:rsid w:val="00102812"/>
    <w:rsid w:val="00102909"/>
    <w:rsid w:val="00102A10"/>
    <w:rsid w:val="00102C07"/>
    <w:rsid w:val="00103423"/>
    <w:rsid w:val="00103476"/>
    <w:rsid w:val="00103A35"/>
    <w:rsid w:val="001044D3"/>
    <w:rsid w:val="0010486D"/>
    <w:rsid w:val="00104B54"/>
    <w:rsid w:val="00104CB1"/>
    <w:rsid w:val="00105495"/>
    <w:rsid w:val="001056A3"/>
    <w:rsid w:val="00105AB0"/>
    <w:rsid w:val="00105EA8"/>
    <w:rsid w:val="00106A4B"/>
    <w:rsid w:val="00106BB6"/>
    <w:rsid w:val="00106D0F"/>
    <w:rsid w:val="00107025"/>
    <w:rsid w:val="00107027"/>
    <w:rsid w:val="001073A5"/>
    <w:rsid w:val="00107A43"/>
    <w:rsid w:val="00107A7B"/>
    <w:rsid w:val="00107E83"/>
    <w:rsid w:val="001104ED"/>
    <w:rsid w:val="00110BC7"/>
    <w:rsid w:val="00110C90"/>
    <w:rsid w:val="00110D40"/>
    <w:rsid w:val="00110FB6"/>
    <w:rsid w:val="00110FD8"/>
    <w:rsid w:val="00111426"/>
    <w:rsid w:val="0011256D"/>
    <w:rsid w:val="001125D8"/>
    <w:rsid w:val="0011260D"/>
    <w:rsid w:val="001129B2"/>
    <w:rsid w:val="00112B76"/>
    <w:rsid w:val="00112DF4"/>
    <w:rsid w:val="00112E46"/>
    <w:rsid w:val="00112F2A"/>
    <w:rsid w:val="0011353C"/>
    <w:rsid w:val="001138C1"/>
    <w:rsid w:val="00113B65"/>
    <w:rsid w:val="00113DD9"/>
    <w:rsid w:val="001142F8"/>
    <w:rsid w:val="0011434D"/>
    <w:rsid w:val="00114466"/>
    <w:rsid w:val="001146B6"/>
    <w:rsid w:val="001146F7"/>
    <w:rsid w:val="00114A33"/>
    <w:rsid w:val="001152EF"/>
    <w:rsid w:val="001159D5"/>
    <w:rsid w:val="00115C1E"/>
    <w:rsid w:val="00115E13"/>
    <w:rsid w:val="00116013"/>
    <w:rsid w:val="00116518"/>
    <w:rsid w:val="00116E43"/>
    <w:rsid w:val="001170CD"/>
    <w:rsid w:val="001176EE"/>
    <w:rsid w:val="00117E04"/>
    <w:rsid w:val="00117E0B"/>
    <w:rsid w:val="001202B6"/>
    <w:rsid w:val="0012042A"/>
    <w:rsid w:val="001209CF"/>
    <w:rsid w:val="00120B29"/>
    <w:rsid w:val="00120B2D"/>
    <w:rsid w:val="00120BBB"/>
    <w:rsid w:val="00120C05"/>
    <w:rsid w:val="001212C7"/>
    <w:rsid w:val="00121A38"/>
    <w:rsid w:val="00121FA6"/>
    <w:rsid w:val="00122374"/>
    <w:rsid w:val="001223AA"/>
    <w:rsid w:val="00122F39"/>
    <w:rsid w:val="0012382F"/>
    <w:rsid w:val="00123857"/>
    <w:rsid w:val="0012389A"/>
    <w:rsid w:val="00123E5C"/>
    <w:rsid w:val="00123EDA"/>
    <w:rsid w:val="00124A9D"/>
    <w:rsid w:val="00124D7B"/>
    <w:rsid w:val="00124E77"/>
    <w:rsid w:val="0012513D"/>
    <w:rsid w:val="001253B4"/>
    <w:rsid w:val="001258E4"/>
    <w:rsid w:val="00125FD8"/>
    <w:rsid w:val="001260A8"/>
    <w:rsid w:val="0012621F"/>
    <w:rsid w:val="00126514"/>
    <w:rsid w:val="00126707"/>
    <w:rsid w:val="00126A9E"/>
    <w:rsid w:val="00126C06"/>
    <w:rsid w:val="00126C6E"/>
    <w:rsid w:val="00126FC4"/>
    <w:rsid w:val="0012706A"/>
    <w:rsid w:val="0012708E"/>
    <w:rsid w:val="0012734C"/>
    <w:rsid w:val="001276CA"/>
    <w:rsid w:val="00127CE6"/>
    <w:rsid w:val="00127D05"/>
    <w:rsid w:val="00130857"/>
    <w:rsid w:val="001309B3"/>
    <w:rsid w:val="00130E84"/>
    <w:rsid w:val="001312A4"/>
    <w:rsid w:val="00131792"/>
    <w:rsid w:val="00131AD9"/>
    <w:rsid w:val="00131CBA"/>
    <w:rsid w:val="00131DBD"/>
    <w:rsid w:val="00131DFD"/>
    <w:rsid w:val="00131F55"/>
    <w:rsid w:val="00132087"/>
    <w:rsid w:val="0013269F"/>
    <w:rsid w:val="00133AE2"/>
    <w:rsid w:val="00134039"/>
    <w:rsid w:val="00134278"/>
    <w:rsid w:val="001344E7"/>
    <w:rsid w:val="0013492F"/>
    <w:rsid w:val="00134A9F"/>
    <w:rsid w:val="00134F86"/>
    <w:rsid w:val="00134FE4"/>
    <w:rsid w:val="001350C1"/>
    <w:rsid w:val="001352FF"/>
    <w:rsid w:val="001354F5"/>
    <w:rsid w:val="00135925"/>
    <w:rsid w:val="00135CF7"/>
    <w:rsid w:val="00135D9D"/>
    <w:rsid w:val="00135EE7"/>
    <w:rsid w:val="001362A2"/>
    <w:rsid w:val="00136358"/>
    <w:rsid w:val="001364CB"/>
    <w:rsid w:val="00136A85"/>
    <w:rsid w:val="00136D0E"/>
    <w:rsid w:val="00136E8F"/>
    <w:rsid w:val="00136F4C"/>
    <w:rsid w:val="001377A7"/>
    <w:rsid w:val="001377F9"/>
    <w:rsid w:val="001378E4"/>
    <w:rsid w:val="00137F1D"/>
    <w:rsid w:val="001400E0"/>
    <w:rsid w:val="0014014A"/>
    <w:rsid w:val="001406E6"/>
    <w:rsid w:val="00140AE2"/>
    <w:rsid w:val="00140DBE"/>
    <w:rsid w:val="0014129E"/>
    <w:rsid w:val="0014199A"/>
    <w:rsid w:val="00141D6F"/>
    <w:rsid w:val="001422D8"/>
    <w:rsid w:val="00142714"/>
    <w:rsid w:val="001427E6"/>
    <w:rsid w:val="00142817"/>
    <w:rsid w:val="00142D96"/>
    <w:rsid w:val="00143AF1"/>
    <w:rsid w:val="00143BB5"/>
    <w:rsid w:val="00143C0A"/>
    <w:rsid w:val="00143C95"/>
    <w:rsid w:val="00143D5A"/>
    <w:rsid w:val="00144368"/>
    <w:rsid w:val="001445B3"/>
    <w:rsid w:val="0014502F"/>
    <w:rsid w:val="0014535D"/>
    <w:rsid w:val="00145943"/>
    <w:rsid w:val="001460DE"/>
    <w:rsid w:val="0014617F"/>
    <w:rsid w:val="00146450"/>
    <w:rsid w:val="00146807"/>
    <w:rsid w:val="00146CC2"/>
    <w:rsid w:val="00146E9D"/>
    <w:rsid w:val="00146F9F"/>
    <w:rsid w:val="0014793C"/>
    <w:rsid w:val="0014796A"/>
    <w:rsid w:val="00147ADA"/>
    <w:rsid w:val="00147B4E"/>
    <w:rsid w:val="00147BFF"/>
    <w:rsid w:val="00147C4D"/>
    <w:rsid w:val="00150910"/>
    <w:rsid w:val="00151287"/>
    <w:rsid w:val="0015149A"/>
    <w:rsid w:val="00151739"/>
    <w:rsid w:val="0015182C"/>
    <w:rsid w:val="00151E56"/>
    <w:rsid w:val="0015203A"/>
    <w:rsid w:val="001522D8"/>
    <w:rsid w:val="0015235C"/>
    <w:rsid w:val="00152750"/>
    <w:rsid w:val="00152BDA"/>
    <w:rsid w:val="00152EA4"/>
    <w:rsid w:val="00152F29"/>
    <w:rsid w:val="001531C3"/>
    <w:rsid w:val="0015364E"/>
    <w:rsid w:val="001538EB"/>
    <w:rsid w:val="00153945"/>
    <w:rsid w:val="001539AF"/>
    <w:rsid w:val="00153B4E"/>
    <w:rsid w:val="00153E19"/>
    <w:rsid w:val="00153F9E"/>
    <w:rsid w:val="00154116"/>
    <w:rsid w:val="00154167"/>
    <w:rsid w:val="001541CA"/>
    <w:rsid w:val="00154AA7"/>
    <w:rsid w:val="00154BB7"/>
    <w:rsid w:val="00154BC2"/>
    <w:rsid w:val="001551CD"/>
    <w:rsid w:val="00155C2D"/>
    <w:rsid w:val="00155CC0"/>
    <w:rsid w:val="00155E65"/>
    <w:rsid w:val="00156001"/>
    <w:rsid w:val="001560DB"/>
    <w:rsid w:val="0015652F"/>
    <w:rsid w:val="001574C4"/>
    <w:rsid w:val="00157547"/>
    <w:rsid w:val="00160707"/>
    <w:rsid w:val="001608CE"/>
    <w:rsid w:val="00160EF5"/>
    <w:rsid w:val="00161154"/>
    <w:rsid w:val="00161627"/>
    <w:rsid w:val="00161778"/>
    <w:rsid w:val="00161AB6"/>
    <w:rsid w:val="00161DBF"/>
    <w:rsid w:val="00161E01"/>
    <w:rsid w:val="00161F69"/>
    <w:rsid w:val="0016208E"/>
    <w:rsid w:val="001622BF"/>
    <w:rsid w:val="00162499"/>
    <w:rsid w:val="00162675"/>
    <w:rsid w:val="00162725"/>
    <w:rsid w:val="00162E92"/>
    <w:rsid w:val="00163326"/>
    <w:rsid w:val="0016342B"/>
    <w:rsid w:val="00163563"/>
    <w:rsid w:val="00163587"/>
    <w:rsid w:val="00163718"/>
    <w:rsid w:val="00163931"/>
    <w:rsid w:val="0016393B"/>
    <w:rsid w:val="00163C76"/>
    <w:rsid w:val="0016404C"/>
    <w:rsid w:val="0016470C"/>
    <w:rsid w:val="00164B98"/>
    <w:rsid w:val="001651DD"/>
    <w:rsid w:val="001653C6"/>
    <w:rsid w:val="0016560F"/>
    <w:rsid w:val="001657A2"/>
    <w:rsid w:val="00165BD8"/>
    <w:rsid w:val="00165C2A"/>
    <w:rsid w:val="00165E7E"/>
    <w:rsid w:val="001660BC"/>
    <w:rsid w:val="001665DA"/>
    <w:rsid w:val="001666DD"/>
    <w:rsid w:val="00166925"/>
    <w:rsid w:val="00166A81"/>
    <w:rsid w:val="00166AD2"/>
    <w:rsid w:val="00166DD4"/>
    <w:rsid w:val="00166F27"/>
    <w:rsid w:val="001673B1"/>
    <w:rsid w:val="00167495"/>
    <w:rsid w:val="00167508"/>
    <w:rsid w:val="001677A1"/>
    <w:rsid w:val="00167A12"/>
    <w:rsid w:val="00167F9D"/>
    <w:rsid w:val="00170E0C"/>
    <w:rsid w:val="00170EA6"/>
    <w:rsid w:val="00171658"/>
    <w:rsid w:val="001717C0"/>
    <w:rsid w:val="00171C50"/>
    <w:rsid w:val="0017266A"/>
    <w:rsid w:val="001727C9"/>
    <w:rsid w:val="00172A0A"/>
    <w:rsid w:val="001732FD"/>
    <w:rsid w:val="001733C5"/>
    <w:rsid w:val="00173672"/>
    <w:rsid w:val="001737E7"/>
    <w:rsid w:val="0017380E"/>
    <w:rsid w:val="00173B44"/>
    <w:rsid w:val="00173D10"/>
    <w:rsid w:val="00173DD3"/>
    <w:rsid w:val="00173E0C"/>
    <w:rsid w:val="0017417A"/>
    <w:rsid w:val="001748FA"/>
    <w:rsid w:val="00174B46"/>
    <w:rsid w:val="00174C35"/>
    <w:rsid w:val="00174D29"/>
    <w:rsid w:val="0017510D"/>
    <w:rsid w:val="001751EA"/>
    <w:rsid w:val="00175714"/>
    <w:rsid w:val="00175789"/>
    <w:rsid w:val="0017578D"/>
    <w:rsid w:val="00175906"/>
    <w:rsid w:val="00175AEF"/>
    <w:rsid w:val="00175CB9"/>
    <w:rsid w:val="0017605B"/>
    <w:rsid w:val="001761A9"/>
    <w:rsid w:val="001767DE"/>
    <w:rsid w:val="00176827"/>
    <w:rsid w:val="001769FB"/>
    <w:rsid w:val="00176D57"/>
    <w:rsid w:val="00176E26"/>
    <w:rsid w:val="00176E6B"/>
    <w:rsid w:val="0017739C"/>
    <w:rsid w:val="0017755B"/>
    <w:rsid w:val="001775A9"/>
    <w:rsid w:val="00177775"/>
    <w:rsid w:val="001779E2"/>
    <w:rsid w:val="00177F51"/>
    <w:rsid w:val="0018051A"/>
    <w:rsid w:val="00180BF1"/>
    <w:rsid w:val="00180CAC"/>
    <w:rsid w:val="00180E03"/>
    <w:rsid w:val="00180E8F"/>
    <w:rsid w:val="00180EAE"/>
    <w:rsid w:val="001810E8"/>
    <w:rsid w:val="0018122B"/>
    <w:rsid w:val="0018127E"/>
    <w:rsid w:val="00181D37"/>
    <w:rsid w:val="001821E7"/>
    <w:rsid w:val="0018227B"/>
    <w:rsid w:val="0018250F"/>
    <w:rsid w:val="00182686"/>
    <w:rsid w:val="00182A89"/>
    <w:rsid w:val="001834BF"/>
    <w:rsid w:val="00183DCB"/>
    <w:rsid w:val="00184413"/>
    <w:rsid w:val="0018451B"/>
    <w:rsid w:val="00184BEB"/>
    <w:rsid w:val="00184ECE"/>
    <w:rsid w:val="00184FC3"/>
    <w:rsid w:val="001852B8"/>
    <w:rsid w:val="00185471"/>
    <w:rsid w:val="001856A4"/>
    <w:rsid w:val="00185767"/>
    <w:rsid w:val="00185952"/>
    <w:rsid w:val="00185B4B"/>
    <w:rsid w:val="00185DF0"/>
    <w:rsid w:val="001860B3"/>
    <w:rsid w:val="00186222"/>
    <w:rsid w:val="0018624C"/>
    <w:rsid w:val="00186C00"/>
    <w:rsid w:val="00186CF1"/>
    <w:rsid w:val="00186D0F"/>
    <w:rsid w:val="00186E72"/>
    <w:rsid w:val="00187156"/>
    <w:rsid w:val="0018727C"/>
    <w:rsid w:val="00187737"/>
    <w:rsid w:val="00187795"/>
    <w:rsid w:val="00187D47"/>
    <w:rsid w:val="001900CE"/>
    <w:rsid w:val="001903D5"/>
    <w:rsid w:val="001905F9"/>
    <w:rsid w:val="001913E6"/>
    <w:rsid w:val="001914D6"/>
    <w:rsid w:val="0019156B"/>
    <w:rsid w:val="00191AA6"/>
    <w:rsid w:val="00191CE8"/>
    <w:rsid w:val="00191DFA"/>
    <w:rsid w:val="00191E57"/>
    <w:rsid w:val="00191FA6"/>
    <w:rsid w:val="00191FCB"/>
    <w:rsid w:val="001925C5"/>
    <w:rsid w:val="00192BED"/>
    <w:rsid w:val="00192C2F"/>
    <w:rsid w:val="00192E84"/>
    <w:rsid w:val="0019361C"/>
    <w:rsid w:val="00193636"/>
    <w:rsid w:val="001937B2"/>
    <w:rsid w:val="00193A7D"/>
    <w:rsid w:val="001943A8"/>
    <w:rsid w:val="001949E1"/>
    <w:rsid w:val="00194C03"/>
    <w:rsid w:val="001950A3"/>
    <w:rsid w:val="00195163"/>
    <w:rsid w:val="00195575"/>
    <w:rsid w:val="00195710"/>
    <w:rsid w:val="00195784"/>
    <w:rsid w:val="0019598D"/>
    <w:rsid w:val="00195BED"/>
    <w:rsid w:val="00195C1E"/>
    <w:rsid w:val="00196D5B"/>
    <w:rsid w:val="00196DEA"/>
    <w:rsid w:val="001973E9"/>
    <w:rsid w:val="00197BD3"/>
    <w:rsid w:val="001A01E6"/>
    <w:rsid w:val="001A0AAD"/>
    <w:rsid w:val="001A0BAC"/>
    <w:rsid w:val="001A0CFB"/>
    <w:rsid w:val="001A0FCD"/>
    <w:rsid w:val="001A11E0"/>
    <w:rsid w:val="001A1541"/>
    <w:rsid w:val="001A176D"/>
    <w:rsid w:val="001A17D2"/>
    <w:rsid w:val="001A193A"/>
    <w:rsid w:val="001A1A9D"/>
    <w:rsid w:val="001A1D77"/>
    <w:rsid w:val="001A22DC"/>
    <w:rsid w:val="001A287F"/>
    <w:rsid w:val="001A29BF"/>
    <w:rsid w:val="001A2B47"/>
    <w:rsid w:val="001A2BA2"/>
    <w:rsid w:val="001A2DBC"/>
    <w:rsid w:val="001A2F6B"/>
    <w:rsid w:val="001A2FB6"/>
    <w:rsid w:val="001A33D8"/>
    <w:rsid w:val="001A37AA"/>
    <w:rsid w:val="001A3890"/>
    <w:rsid w:val="001A3BC8"/>
    <w:rsid w:val="001A4089"/>
    <w:rsid w:val="001A4415"/>
    <w:rsid w:val="001A45EC"/>
    <w:rsid w:val="001A49BE"/>
    <w:rsid w:val="001A4D35"/>
    <w:rsid w:val="001A51EF"/>
    <w:rsid w:val="001A5446"/>
    <w:rsid w:val="001A591F"/>
    <w:rsid w:val="001A5B96"/>
    <w:rsid w:val="001A679A"/>
    <w:rsid w:val="001A67C4"/>
    <w:rsid w:val="001A686D"/>
    <w:rsid w:val="001A695A"/>
    <w:rsid w:val="001A6B15"/>
    <w:rsid w:val="001A6C41"/>
    <w:rsid w:val="001A6C49"/>
    <w:rsid w:val="001A7027"/>
    <w:rsid w:val="001A7148"/>
    <w:rsid w:val="001A7491"/>
    <w:rsid w:val="001A7682"/>
    <w:rsid w:val="001A7ED4"/>
    <w:rsid w:val="001A7FB4"/>
    <w:rsid w:val="001B012C"/>
    <w:rsid w:val="001B0448"/>
    <w:rsid w:val="001B0455"/>
    <w:rsid w:val="001B06A5"/>
    <w:rsid w:val="001B16C6"/>
    <w:rsid w:val="001B16F6"/>
    <w:rsid w:val="001B18AC"/>
    <w:rsid w:val="001B1C44"/>
    <w:rsid w:val="001B1FE5"/>
    <w:rsid w:val="001B248F"/>
    <w:rsid w:val="001B28BA"/>
    <w:rsid w:val="001B2BA0"/>
    <w:rsid w:val="001B31BD"/>
    <w:rsid w:val="001B31C8"/>
    <w:rsid w:val="001B3685"/>
    <w:rsid w:val="001B3954"/>
    <w:rsid w:val="001B3C7E"/>
    <w:rsid w:val="001B3E44"/>
    <w:rsid w:val="001B4036"/>
    <w:rsid w:val="001B415F"/>
    <w:rsid w:val="001B4B04"/>
    <w:rsid w:val="001B4B42"/>
    <w:rsid w:val="001B4BEB"/>
    <w:rsid w:val="001B4DA6"/>
    <w:rsid w:val="001B5034"/>
    <w:rsid w:val="001B5680"/>
    <w:rsid w:val="001B56C5"/>
    <w:rsid w:val="001B5A75"/>
    <w:rsid w:val="001B5B8D"/>
    <w:rsid w:val="001B5EAE"/>
    <w:rsid w:val="001B61BC"/>
    <w:rsid w:val="001B6E5B"/>
    <w:rsid w:val="001B772A"/>
    <w:rsid w:val="001B7962"/>
    <w:rsid w:val="001B7B7C"/>
    <w:rsid w:val="001C05F1"/>
    <w:rsid w:val="001C0806"/>
    <w:rsid w:val="001C0CCC"/>
    <w:rsid w:val="001C11EF"/>
    <w:rsid w:val="001C1587"/>
    <w:rsid w:val="001C1752"/>
    <w:rsid w:val="001C1985"/>
    <w:rsid w:val="001C1A74"/>
    <w:rsid w:val="001C1DF0"/>
    <w:rsid w:val="001C1F56"/>
    <w:rsid w:val="001C2166"/>
    <w:rsid w:val="001C217A"/>
    <w:rsid w:val="001C31FA"/>
    <w:rsid w:val="001C3633"/>
    <w:rsid w:val="001C3A7F"/>
    <w:rsid w:val="001C4B52"/>
    <w:rsid w:val="001C5463"/>
    <w:rsid w:val="001C55EB"/>
    <w:rsid w:val="001C59C2"/>
    <w:rsid w:val="001C5CE0"/>
    <w:rsid w:val="001C610A"/>
    <w:rsid w:val="001C6B36"/>
    <w:rsid w:val="001C6D0C"/>
    <w:rsid w:val="001C6D73"/>
    <w:rsid w:val="001C7AB5"/>
    <w:rsid w:val="001C7BC3"/>
    <w:rsid w:val="001C7E9D"/>
    <w:rsid w:val="001D003C"/>
    <w:rsid w:val="001D03A2"/>
    <w:rsid w:val="001D05FC"/>
    <w:rsid w:val="001D060E"/>
    <w:rsid w:val="001D0631"/>
    <w:rsid w:val="001D0AC1"/>
    <w:rsid w:val="001D0AE3"/>
    <w:rsid w:val="001D0B49"/>
    <w:rsid w:val="001D1005"/>
    <w:rsid w:val="001D134B"/>
    <w:rsid w:val="001D145D"/>
    <w:rsid w:val="001D16DA"/>
    <w:rsid w:val="001D17E6"/>
    <w:rsid w:val="001D1B75"/>
    <w:rsid w:val="001D1E0B"/>
    <w:rsid w:val="001D2218"/>
    <w:rsid w:val="001D28FE"/>
    <w:rsid w:val="001D297D"/>
    <w:rsid w:val="001D2E49"/>
    <w:rsid w:val="001D2E83"/>
    <w:rsid w:val="001D3007"/>
    <w:rsid w:val="001D30AD"/>
    <w:rsid w:val="001D31C7"/>
    <w:rsid w:val="001D37F1"/>
    <w:rsid w:val="001D3D6D"/>
    <w:rsid w:val="001D3E47"/>
    <w:rsid w:val="001D3EBC"/>
    <w:rsid w:val="001D41E6"/>
    <w:rsid w:val="001D427C"/>
    <w:rsid w:val="001D470A"/>
    <w:rsid w:val="001D4F86"/>
    <w:rsid w:val="001D53D1"/>
    <w:rsid w:val="001D55EF"/>
    <w:rsid w:val="001D5912"/>
    <w:rsid w:val="001D5BEB"/>
    <w:rsid w:val="001D6309"/>
    <w:rsid w:val="001D6585"/>
    <w:rsid w:val="001D65B7"/>
    <w:rsid w:val="001D6B22"/>
    <w:rsid w:val="001D6B82"/>
    <w:rsid w:val="001D6E34"/>
    <w:rsid w:val="001D6E65"/>
    <w:rsid w:val="001D7611"/>
    <w:rsid w:val="001D774D"/>
    <w:rsid w:val="001D7911"/>
    <w:rsid w:val="001D79D2"/>
    <w:rsid w:val="001D7DEA"/>
    <w:rsid w:val="001E052B"/>
    <w:rsid w:val="001E067B"/>
    <w:rsid w:val="001E06E9"/>
    <w:rsid w:val="001E0F8D"/>
    <w:rsid w:val="001E11DA"/>
    <w:rsid w:val="001E16E5"/>
    <w:rsid w:val="001E177C"/>
    <w:rsid w:val="001E18CD"/>
    <w:rsid w:val="001E1ACF"/>
    <w:rsid w:val="001E1B4D"/>
    <w:rsid w:val="001E1BDF"/>
    <w:rsid w:val="001E1BEC"/>
    <w:rsid w:val="001E1DB2"/>
    <w:rsid w:val="001E21DB"/>
    <w:rsid w:val="001E2AF5"/>
    <w:rsid w:val="001E2EDB"/>
    <w:rsid w:val="001E2FDA"/>
    <w:rsid w:val="001E32CC"/>
    <w:rsid w:val="001E3649"/>
    <w:rsid w:val="001E3733"/>
    <w:rsid w:val="001E3C82"/>
    <w:rsid w:val="001E3CAB"/>
    <w:rsid w:val="001E42F8"/>
    <w:rsid w:val="001E46B7"/>
    <w:rsid w:val="001E49CA"/>
    <w:rsid w:val="001E4A39"/>
    <w:rsid w:val="001E4CA3"/>
    <w:rsid w:val="001E4EA2"/>
    <w:rsid w:val="001E507C"/>
    <w:rsid w:val="001E51DC"/>
    <w:rsid w:val="001E53E7"/>
    <w:rsid w:val="001E57AC"/>
    <w:rsid w:val="001E5818"/>
    <w:rsid w:val="001E59EA"/>
    <w:rsid w:val="001E5A4F"/>
    <w:rsid w:val="001E5E13"/>
    <w:rsid w:val="001E600A"/>
    <w:rsid w:val="001E6118"/>
    <w:rsid w:val="001E63A3"/>
    <w:rsid w:val="001E6EEE"/>
    <w:rsid w:val="001E6F14"/>
    <w:rsid w:val="001E6FE5"/>
    <w:rsid w:val="001E74CD"/>
    <w:rsid w:val="001E7742"/>
    <w:rsid w:val="001E7CFB"/>
    <w:rsid w:val="001F08F0"/>
    <w:rsid w:val="001F0923"/>
    <w:rsid w:val="001F0930"/>
    <w:rsid w:val="001F0C98"/>
    <w:rsid w:val="001F0D40"/>
    <w:rsid w:val="001F0EB4"/>
    <w:rsid w:val="001F1136"/>
    <w:rsid w:val="001F1A70"/>
    <w:rsid w:val="001F1B5C"/>
    <w:rsid w:val="001F1BD1"/>
    <w:rsid w:val="001F21D0"/>
    <w:rsid w:val="001F23B4"/>
    <w:rsid w:val="001F2424"/>
    <w:rsid w:val="001F254C"/>
    <w:rsid w:val="001F2A02"/>
    <w:rsid w:val="001F3198"/>
    <w:rsid w:val="001F32EE"/>
    <w:rsid w:val="001F3585"/>
    <w:rsid w:val="001F3648"/>
    <w:rsid w:val="001F38A7"/>
    <w:rsid w:val="001F3FBE"/>
    <w:rsid w:val="001F4076"/>
    <w:rsid w:val="001F4365"/>
    <w:rsid w:val="001F44E6"/>
    <w:rsid w:val="001F459F"/>
    <w:rsid w:val="001F46A8"/>
    <w:rsid w:val="001F4AF2"/>
    <w:rsid w:val="001F4C5C"/>
    <w:rsid w:val="001F4DDA"/>
    <w:rsid w:val="001F4F4A"/>
    <w:rsid w:val="001F62C4"/>
    <w:rsid w:val="001F7818"/>
    <w:rsid w:val="001F7A94"/>
    <w:rsid w:val="001F7E35"/>
    <w:rsid w:val="002002A0"/>
    <w:rsid w:val="0020043F"/>
    <w:rsid w:val="00200D1A"/>
    <w:rsid w:val="0020140B"/>
    <w:rsid w:val="002016F0"/>
    <w:rsid w:val="00201738"/>
    <w:rsid w:val="0020193A"/>
    <w:rsid w:val="00202011"/>
    <w:rsid w:val="002021B5"/>
    <w:rsid w:val="002021BE"/>
    <w:rsid w:val="002023A6"/>
    <w:rsid w:val="0020241F"/>
    <w:rsid w:val="00202DFD"/>
    <w:rsid w:val="00202E7C"/>
    <w:rsid w:val="00203054"/>
    <w:rsid w:val="00203539"/>
    <w:rsid w:val="0020356F"/>
    <w:rsid w:val="0020399B"/>
    <w:rsid w:val="00203A74"/>
    <w:rsid w:val="00203B79"/>
    <w:rsid w:val="0020404A"/>
    <w:rsid w:val="00204480"/>
    <w:rsid w:val="00204634"/>
    <w:rsid w:val="00204828"/>
    <w:rsid w:val="00204894"/>
    <w:rsid w:val="00205123"/>
    <w:rsid w:val="0020512F"/>
    <w:rsid w:val="0020521B"/>
    <w:rsid w:val="002054C7"/>
    <w:rsid w:val="002054D6"/>
    <w:rsid w:val="00205848"/>
    <w:rsid w:val="00205A43"/>
    <w:rsid w:val="00206003"/>
    <w:rsid w:val="0020664A"/>
    <w:rsid w:val="00206774"/>
    <w:rsid w:val="00206976"/>
    <w:rsid w:val="00206B7F"/>
    <w:rsid w:val="00206DB8"/>
    <w:rsid w:val="00206E3A"/>
    <w:rsid w:val="00206E81"/>
    <w:rsid w:val="00207059"/>
    <w:rsid w:val="002076A9"/>
    <w:rsid w:val="0020792F"/>
    <w:rsid w:val="00207C42"/>
    <w:rsid w:val="00207D01"/>
    <w:rsid w:val="00210064"/>
    <w:rsid w:val="00210728"/>
    <w:rsid w:val="0021079F"/>
    <w:rsid w:val="00210A18"/>
    <w:rsid w:val="00210A53"/>
    <w:rsid w:val="00210B83"/>
    <w:rsid w:val="00210E04"/>
    <w:rsid w:val="002114D6"/>
    <w:rsid w:val="002114EB"/>
    <w:rsid w:val="0021181D"/>
    <w:rsid w:val="002119E5"/>
    <w:rsid w:val="00211AFC"/>
    <w:rsid w:val="00211C31"/>
    <w:rsid w:val="00211CEC"/>
    <w:rsid w:val="00211F51"/>
    <w:rsid w:val="00212FD2"/>
    <w:rsid w:val="0021308C"/>
    <w:rsid w:val="002139ED"/>
    <w:rsid w:val="00213BE6"/>
    <w:rsid w:val="00214B81"/>
    <w:rsid w:val="00214EA2"/>
    <w:rsid w:val="00215258"/>
    <w:rsid w:val="002155A5"/>
    <w:rsid w:val="002157E8"/>
    <w:rsid w:val="0021594C"/>
    <w:rsid w:val="00215E06"/>
    <w:rsid w:val="00216340"/>
    <w:rsid w:val="00216984"/>
    <w:rsid w:val="00216E88"/>
    <w:rsid w:val="0021719E"/>
    <w:rsid w:val="0021764D"/>
    <w:rsid w:val="00217704"/>
    <w:rsid w:val="00217798"/>
    <w:rsid w:val="002179A8"/>
    <w:rsid w:val="00217C3C"/>
    <w:rsid w:val="00217E98"/>
    <w:rsid w:val="00217F50"/>
    <w:rsid w:val="00217FCC"/>
    <w:rsid w:val="002205A0"/>
    <w:rsid w:val="00220944"/>
    <w:rsid w:val="0022105C"/>
    <w:rsid w:val="002214D7"/>
    <w:rsid w:val="00221A20"/>
    <w:rsid w:val="002223A7"/>
    <w:rsid w:val="00222496"/>
    <w:rsid w:val="00222969"/>
    <w:rsid w:val="002229B8"/>
    <w:rsid w:val="00222BCF"/>
    <w:rsid w:val="00222E09"/>
    <w:rsid w:val="00223BC9"/>
    <w:rsid w:val="00224254"/>
    <w:rsid w:val="002244D9"/>
    <w:rsid w:val="00224B71"/>
    <w:rsid w:val="00224C89"/>
    <w:rsid w:val="00224EF5"/>
    <w:rsid w:val="00224EF7"/>
    <w:rsid w:val="00224F31"/>
    <w:rsid w:val="00224F4D"/>
    <w:rsid w:val="00224F87"/>
    <w:rsid w:val="002251B3"/>
    <w:rsid w:val="0022572E"/>
    <w:rsid w:val="00225FFC"/>
    <w:rsid w:val="00226156"/>
    <w:rsid w:val="0022625B"/>
    <w:rsid w:val="002262EB"/>
    <w:rsid w:val="002265BE"/>
    <w:rsid w:val="00226AB9"/>
    <w:rsid w:val="00226C06"/>
    <w:rsid w:val="00227D58"/>
    <w:rsid w:val="0023011E"/>
    <w:rsid w:val="00230849"/>
    <w:rsid w:val="002309B0"/>
    <w:rsid w:val="002309B2"/>
    <w:rsid w:val="002312D7"/>
    <w:rsid w:val="00231684"/>
    <w:rsid w:val="00231A96"/>
    <w:rsid w:val="00231B72"/>
    <w:rsid w:val="00232308"/>
    <w:rsid w:val="0023249A"/>
    <w:rsid w:val="00232975"/>
    <w:rsid w:val="00232A83"/>
    <w:rsid w:val="00232C80"/>
    <w:rsid w:val="00232CC6"/>
    <w:rsid w:val="00232E47"/>
    <w:rsid w:val="002330F1"/>
    <w:rsid w:val="002330FC"/>
    <w:rsid w:val="00233175"/>
    <w:rsid w:val="0023371D"/>
    <w:rsid w:val="002337EB"/>
    <w:rsid w:val="00233AB7"/>
    <w:rsid w:val="00233F7D"/>
    <w:rsid w:val="00233FA8"/>
    <w:rsid w:val="00234477"/>
    <w:rsid w:val="0023498F"/>
    <w:rsid w:val="00234C66"/>
    <w:rsid w:val="00234F89"/>
    <w:rsid w:val="00235338"/>
    <w:rsid w:val="00235AD1"/>
    <w:rsid w:val="00235EE4"/>
    <w:rsid w:val="0023601B"/>
    <w:rsid w:val="00236610"/>
    <w:rsid w:val="00236DF3"/>
    <w:rsid w:val="00236F07"/>
    <w:rsid w:val="0023761C"/>
    <w:rsid w:val="00237963"/>
    <w:rsid w:val="00237A08"/>
    <w:rsid w:val="00237D21"/>
    <w:rsid w:val="00240479"/>
    <w:rsid w:val="00240A10"/>
    <w:rsid w:val="00240D37"/>
    <w:rsid w:val="002410A3"/>
    <w:rsid w:val="00241340"/>
    <w:rsid w:val="00241461"/>
    <w:rsid w:val="002415AB"/>
    <w:rsid w:val="0024174D"/>
    <w:rsid w:val="002417DD"/>
    <w:rsid w:val="00241B40"/>
    <w:rsid w:val="00242AF7"/>
    <w:rsid w:val="00242B87"/>
    <w:rsid w:val="00242B89"/>
    <w:rsid w:val="00242DE9"/>
    <w:rsid w:val="00242DF7"/>
    <w:rsid w:val="00243801"/>
    <w:rsid w:val="00243AAE"/>
    <w:rsid w:val="00243C01"/>
    <w:rsid w:val="00243EEC"/>
    <w:rsid w:val="0024410D"/>
    <w:rsid w:val="00244C7C"/>
    <w:rsid w:val="00244E88"/>
    <w:rsid w:val="00245061"/>
    <w:rsid w:val="00245459"/>
    <w:rsid w:val="00245AAE"/>
    <w:rsid w:val="00245E13"/>
    <w:rsid w:val="00245FB8"/>
    <w:rsid w:val="00246655"/>
    <w:rsid w:val="00246FD9"/>
    <w:rsid w:val="00246FDB"/>
    <w:rsid w:val="0024726C"/>
    <w:rsid w:val="0024783A"/>
    <w:rsid w:val="00247A7C"/>
    <w:rsid w:val="00247AC4"/>
    <w:rsid w:val="00250093"/>
    <w:rsid w:val="00250441"/>
    <w:rsid w:val="00250665"/>
    <w:rsid w:val="00250876"/>
    <w:rsid w:val="0025097F"/>
    <w:rsid w:val="00250CDD"/>
    <w:rsid w:val="00251483"/>
    <w:rsid w:val="00251601"/>
    <w:rsid w:val="002519CC"/>
    <w:rsid w:val="00251B84"/>
    <w:rsid w:val="00251BDE"/>
    <w:rsid w:val="00251C54"/>
    <w:rsid w:val="00252372"/>
    <w:rsid w:val="002523D0"/>
    <w:rsid w:val="002525AE"/>
    <w:rsid w:val="0025276D"/>
    <w:rsid w:val="00252832"/>
    <w:rsid w:val="002528B5"/>
    <w:rsid w:val="00252BFE"/>
    <w:rsid w:val="00252E57"/>
    <w:rsid w:val="00252EF1"/>
    <w:rsid w:val="0025397C"/>
    <w:rsid w:val="00253B4E"/>
    <w:rsid w:val="00253DBD"/>
    <w:rsid w:val="00253FB5"/>
    <w:rsid w:val="00254018"/>
    <w:rsid w:val="00254165"/>
    <w:rsid w:val="002543E2"/>
    <w:rsid w:val="00254423"/>
    <w:rsid w:val="00254763"/>
    <w:rsid w:val="00254823"/>
    <w:rsid w:val="0025494F"/>
    <w:rsid w:val="00254BBB"/>
    <w:rsid w:val="00254FAD"/>
    <w:rsid w:val="00255325"/>
    <w:rsid w:val="00255558"/>
    <w:rsid w:val="00255D9E"/>
    <w:rsid w:val="0025602F"/>
    <w:rsid w:val="0025604B"/>
    <w:rsid w:val="002561AD"/>
    <w:rsid w:val="00256286"/>
    <w:rsid w:val="00256ABC"/>
    <w:rsid w:val="00257220"/>
    <w:rsid w:val="00257494"/>
    <w:rsid w:val="00257736"/>
    <w:rsid w:val="00257A99"/>
    <w:rsid w:val="00257C86"/>
    <w:rsid w:val="002600C0"/>
    <w:rsid w:val="002600F7"/>
    <w:rsid w:val="00260583"/>
    <w:rsid w:val="002605E9"/>
    <w:rsid w:val="00260C38"/>
    <w:rsid w:val="00261350"/>
    <w:rsid w:val="00261718"/>
    <w:rsid w:val="00261755"/>
    <w:rsid w:val="0026190C"/>
    <w:rsid w:val="0026194C"/>
    <w:rsid w:val="00261C67"/>
    <w:rsid w:val="0026242D"/>
    <w:rsid w:val="0026246A"/>
    <w:rsid w:val="00262492"/>
    <w:rsid w:val="002632AC"/>
    <w:rsid w:val="00263353"/>
    <w:rsid w:val="00263954"/>
    <w:rsid w:val="002639DD"/>
    <w:rsid w:val="00263EFE"/>
    <w:rsid w:val="00264645"/>
    <w:rsid w:val="00264872"/>
    <w:rsid w:val="00264B60"/>
    <w:rsid w:val="00264B71"/>
    <w:rsid w:val="00264DE3"/>
    <w:rsid w:val="00264F91"/>
    <w:rsid w:val="00265148"/>
    <w:rsid w:val="00265679"/>
    <w:rsid w:val="00265BAA"/>
    <w:rsid w:val="00266354"/>
    <w:rsid w:val="00266465"/>
    <w:rsid w:val="002665C9"/>
    <w:rsid w:val="0026669A"/>
    <w:rsid w:val="00266823"/>
    <w:rsid w:val="002668FB"/>
    <w:rsid w:val="0026697C"/>
    <w:rsid w:val="00266EF3"/>
    <w:rsid w:val="002671C3"/>
    <w:rsid w:val="00267563"/>
    <w:rsid w:val="00267751"/>
    <w:rsid w:val="0026777D"/>
    <w:rsid w:val="002702B2"/>
    <w:rsid w:val="002705ED"/>
    <w:rsid w:val="00270B0D"/>
    <w:rsid w:val="00270C9B"/>
    <w:rsid w:val="00270E51"/>
    <w:rsid w:val="002714AF"/>
    <w:rsid w:val="002718EA"/>
    <w:rsid w:val="00271E2B"/>
    <w:rsid w:val="00272052"/>
    <w:rsid w:val="002726F5"/>
    <w:rsid w:val="00272B5A"/>
    <w:rsid w:val="00272C9E"/>
    <w:rsid w:val="00272FCF"/>
    <w:rsid w:val="00273102"/>
    <w:rsid w:val="002731C3"/>
    <w:rsid w:val="00273918"/>
    <w:rsid w:val="00273E62"/>
    <w:rsid w:val="00274281"/>
    <w:rsid w:val="002744E2"/>
    <w:rsid w:val="002746B5"/>
    <w:rsid w:val="00274B90"/>
    <w:rsid w:val="00274D4D"/>
    <w:rsid w:val="00275314"/>
    <w:rsid w:val="002754E9"/>
    <w:rsid w:val="00275AF1"/>
    <w:rsid w:val="00275B63"/>
    <w:rsid w:val="002763C2"/>
    <w:rsid w:val="002769AC"/>
    <w:rsid w:val="00276E67"/>
    <w:rsid w:val="002776D6"/>
    <w:rsid w:val="002801AE"/>
    <w:rsid w:val="00280625"/>
    <w:rsid w:val="002806DB"/>
    <w:rsid w:val="00280BB8"/>
    <w:rsid w:val="00280CC4"/>
    <w:rsid w:val="00280EC3"/>
    <w:rsid w:val="002811E5"/>
    <w:rsid w:val="002820CB"/>
    <w:rsid w:val="00282115"/>
    <w:rsid w:val="00282291"/>
    <w:rsid w:val="0028256C"/>
    <w:rsid w:val="002825A4"/>
    <w:rsid w:val="00282916"/>
    <w:rsid w:val="002829A5"/>
    <w:rsid w:val="002829B5"/>
    <w:rsid w:val="00282ADA"/>
    <w:rsid w:val="00282BB9"/>
    <w:rsid w:val="00282E00"/>
    <w:rsid w:val="002834D7"/>
    <w:rsid w:val="00283555"/>
    <w:rsid w:val="0028391C"/>
    <w:rsid w:val="00283A19"/>
    <w:rsid w:val="00283F27"/>
    <w:rsid w:val="00284567"/>
    <w:rsid w:val="00284627"/>
    <w:rsid w:val="0028464E"/>
    <w:rsid w:val="002846EA"/>
    <w:rsid w:val="0028498F"/>
    <w:rsid w:val="0028500D"/>
    <w:rsid w:val="0028557D"/>
    <w:rsid w:val="0028568B"/>
    <w:rsid w:val="00285CC5"/>
    <w:rsid w:val="00285EBA"/>
    <w:rsid w:val="00286232"/>
    <w:rsid w:val="00286346"/>
    <w:rsid w:val="002863AE"/>
    <w:rsid w:val="00287072"/>
    <w:rsid w:val="00287298"/>
    <w:rsid w:val="00287A39"/>
    <w:rsid w:val="00287C36"/>
    <w:rsid w:val="002901B9"/>
    <w:rsid w:val="00290459"/>
    <w:rsid w:val="002907B7"/>
    <w:rsid w:val="002909CC"/>
    <w:rsid w:val="00290BE5"/>
    <w:rsid w:val="00291433"/>
    <w:rsid w:val="002917AD"/>
    <w:rsid w:val="00291D3E"/>
    <w:rsid w:val="00291DA0"/>
    <w:rsid w:val="00291DE9"/>
    <w:rsid w:val="00291FA9"/>
    <w:rsid w:val="00292453"/>
    <w:rsid w:val="00292DE1"/>
    <w:rsid w:val="002930FD"/>
    <w:rsid w:val="002932C5"/>
    <w:rsid w:val="002932E1"/>
    <w:rsid w:val="002936AF"/>
    <w:rsid w:val="00293B4D"/>
    <w:rsid w:val="00294099"/>
    <w:rsid w:val="00294246"/>
    <w:rsid w:val="00294247"/>
    <w:rsid w:val="0029429A"/>
    <w:rsid w:val="00294459"/>
    <w:rsid w:val="00294768"/>
    <w:rsid w:val="002950C0"/>
    <w:rsid w:val="00295248"/>
    <w:rsid w:val="0029541A"/>
    <w:rsid w:val="00295BEB"/>
    <w:rsid w:val="0029633B"/>
    <w:rsid w:val="002968CF"/>
    <w:rsid w:val="00296BC1"/>
    <w:rsid w:val="00296E8B"/>
    <w:rsid w:val="002971ED"/>
    <w:rsid w:val="00297625"/>
    <w:rsid w:val="002978F4"/>
    <w:rsid w:val="0029793D"/>
    <w:rsid w:val="00297944"/>
    <w:rsid w:val="00297A0B"/>
    <w:rsid w:val="00297A51"/>
    <w:rsid w:val="00297FC0"/>
    <w:rsid w:val="002A009A"/>
    <w:rsid w:val="002A0190"/>
    <w:rsid w:val="002A04B1"/>
    <w:rsid w:val="002A0666"/>
    <w:rsid w:val="002A0FB9"/>
    <w:rsid w:val="002A11E9"/>
    <w:rsid w:val="002A140B"/>
    <w:rsid w:val="002A1412"/>
    <w:rsid w:val="002A14C1"/>
    <w:rsid w:val="002A17C0"/>
    <w:rsid w:val="002A1975"/>
    <w:rsid w:val="002A1B3C"/>
    <w:rsid w:val="002A203D"/>
    <w:rsid w:val="002A2045"/>
    <w:rsid w:val="002A24DE"/>
    <w:rsid w:val="002A256C"/>
    <w:rsid w:val="002A259D"/>
    <w:rsid w:val="002A2854"/>
    <w:rsid w:val="002A2A4F"/>
    <w:rsid w:val="002A2A78"/>
    <w:rsid w:val="002A2B1D"/>
    <w:rsid w:val="002A2B64"/>
    <w:rsid w:val="002A2E36"/>
    <w:rsid w:val="002A315B"/>
    <w:rsid w:val="002A3CE8"/>
    <w:rsid w:val="002A406F"/>
    <w:rsid w:val="002A4375"/>
    <w:rsid w:val="002A4636"/>
    <w:rsid w:val="002A46D2"/>
    <w:rsid w:val="002A480E"/>
    <w:rsid w:val="002A4968"/>
    <w:rsid w:val="002A496C"/>
    <w:rsid w:val="002A499A"/>
    <w:rsid w:val="002A4BE9"/>
    <w:rsid w:val="002A4D46"/>
    <w:rsid w:val="002A4EE0"/>
    <w:rsid w:val="002A4F97"/>
    <w:rsid w:val="002A5142"/>
    <w:rsid w:val="002A5965"/>
    <w:rsid w:val="002A5C06"/>
    <w:rsid w:val="002A5D5E"/>
    <w:rsid w:val="002A5D8C"/>
    <w:rsid w:val="002A66DC"/>
    <w:rsid w:val="002A68A0"/>
    <w:rsid w:val="002A6BA4"/>
    <w:rsid w:val="002A6DAE"/>
    <w:rsid w:val="002A7314"/>
    <w:rsid w:val="002A7461"/>
    <w:rsid w:val="002A74A3"/>
    <w:rsid w:val="002A74E9"/>
    <w:rsid w:val="002A789B"/>
    <w:rsid w:val="002A7FFE"/>
    <w:rsid w:val="002B0CB6"/>
    <w:rsid w:val="002B11FE"/>
    <w:rsid w:val="002B19C3"/>
    <w:rsid w:val="002B1C56"/>
    <w:rsid w:val="002B1CB5"/>
    <w:rsid w:val="002B1D72"/>
    <w:rsid w:val="002B2181"/>
    <w:rsid w:val="002B2274"/>
    <w:rsid w:val="002B2330"/>
    <w:rsid w:val="002B2643"/>
    <w:rsid w:val="002B2E8F"/>
    <w:rsid w:val="002B315C"/>
    <w:rsid w:val="002B334B"/>
    <w:rsid w:val="002B335B"/>
    <w:rsid w:val="002B3404"/>
    <w:rsid w:val="002B3C07"/>
    <w:rsid w:val="002B3C8D"/>
    <w:rsid w:val="002B420D"/>
    <w:rsid w:val="002B4431"/>
    <w:rsid w:val="002B4540"/>
    <w:rsid w:val="002B4895"/>
    <w:rsid w:val="002B4AD3"/>
    <w:rsid w:val="002B5A87"/>
    <w:rsid w:val="002B5ABC"/>
    <w:rsid w:val="002B5D9B"/>
    <w:rsid w:val="002B5E11"/>
    <w:rsid w:val="002B5F29"/>
    <w:rsid w:val="002B6209"/>
    <w:rsid w:val="002B6316"/>
    <w:rsid w:val="002B6A13"/>
    <w:rsid w:val="002B6A4E"/>
    <w:rsid w:val="002B6A9E"/>
    <w:rsid w:val="002B6B6C"/>
    <w:rsid w:val="002B6CA4"/>
    <w:rsid w:val="002B6E4A"/>
    <w:rsid w:val="002B6FB5"/>
    <w:rsid w:val="002B701D"/>
    <w:rsid w:val="002B7313"/>
    <w:rsid w:val="002B73BB"/>
    <w:rsid w:val="002B759C"/>
    <w:rsid w:val="002C0501"/>
    <w:rsid w:val="002C05B7"/>
    <w:rsid w:val="002C0668"/>
    <w:rsid w:val="002C0AFD"/>
    <w:rsid w:val="002C10F8"/>
    <w:rsid w:val="002C1446"/>
    <w:rsid w:val="002C14BE"/>
    <w:rsid w:val="002C1652"/>
    <w:rsid w:val="002C1CD1"/>
    <w:rsid w:val="002C1D71"/>
    <w:rsid w:val="002C20DB"/>
    <w:rsid w:val="002C2242"/>
    <w:rsid w:val="002C2973"/>
    <w:rsid w:val="002C2F48"/>
    <w:rsid w:val="002C318D"/>
    <w:rsid w:val="002C32FC"/>
    <w:rsid w:val="002C356A"/>
    <w:rsid w:val="002C3A0F"/>
    <w:rsid w:val="002C3C72"/>
    <w:rsid w:val="002C461A"/>
    <w:rsid w:val="002C4DEA"/>
    <w:rsid w:val="002C520E"/>
    <w:rsid w:val="002C5634"/>
    <w:rsid w:val="002C575B"/>
    <w:rsid w:val="002C57B2"/>
    <w:rsid w:val="002C58F6"/>
    <w:rsid w:val="002C5EE4"/>
    <w:rsid w:val="002C6026"/>
    <w:rsid w:val="002C65CB"/>
    <w:rsid w:val="002C6718"/>
    <w:rsid w:val="002C68C6"/>
    <w:rsid w:val="002C6A19"/>
    <w:rsid w:val="002C6E7C"/>
    <w:rsid w:val="002C6FF1"/>
    <w:rsid w:val="002C77BF"/>
    <w:rsid w:val="002C77CC"/>
    <w:rsid w:val="002D03FE"/>
    <w:rsid w:val="002D06C6"/>
    <w:rsid w:val="002D0958"/>
    <w:rsid w:val="002D0B28"/>
    <w:rsid w:val="002D0F0C"/>
    <w:rsid w:val="002D101B"/>
    <w:rsid w:val="002D1099"/>
    <w:rsid w:val="002D1629"/>
    <w:rsid w:val="002D1984"/>
    <w:rsid w:val="002D1990"/>
    <w:rsid w:val="002D2C0D"/>
    <w:rsid w:val="002D2D86"/>
    <w:rsid w:val="002D2D9B"/>
    <w:rsid w:val="002D2F16"/>
    <w:rsid w:val="002D2F3F"/>
    <w:rsid w:val="002D393B"/>
    <w:rsid w:val="002D3C05"/>
    <w:rsid w:val="002D3D68"/>
    <w:rsid w:val="002D3DC3"/>
    <w:rsid w:val="002D3E50"/>
    <w:rsid w:val="002D3EB9"/>
    <w:rsid w:val="002D4BA9"/>
    <w:rsid w:val="002D5170"/>
    <w:rsid w:val="002D5868"/>
    <w:rsid w:val="002D677F"/>
    <w:rsid w:val="002D6924"/>
    <w:rsid w:val="002D6BA5"/>
    <w:rsid w:val="002D7A5D"/>
    <w:rsid w:val="002E0041"/>
    <w:rsid w:val="002E00B0"/>
    <w:rsid w:val="002E0115"/>
    <w:rsid w:val="002E0656"/>
    <w:rsid w:val="002E0831"/>
    <w:rsid w:val="002E0CEE"/>
    <w:rsid w:val="002E105E"/>
    <w:rsid w:val="002E115F"/>
    <w:rsid w:val="002E137A"/>
    <w:rsid w:val="002E139B"/>
    <w:rsid w:val="002E13A1"/>
    <w:rsid w:val="002E1554"/>
    <w:rsid w:val="002E1B97"/>
    <w:rsid w:val="002E1F30"/>
    <w:rsid w:val="002E1F85"/>
    <w:rsid w:val="002E2899"/>
    <w:rsid w:val="002E3BB3"/>
    <w:rsid w:val="002E3C96"/>
    <w:rsid w:val="002E4110"/>
    <w:rsid w:val="002E422B"/>
    <w:rsid w:val="002E43B3"/>
    <w:rsid w:val="002E4669"/>
    <w:rsid w:val="002E47EC"/>
    <w:rsid w:val="002E47F4"/>
    <w:rsid w:val="002E49BD"/>
    <w:rsid w:val="002E4D24"/>
    <w:rsid w:val="002E53F0"/>
    <w:rsid w:val="002E5638"/>
    <w:rsid w:val="002E5A76"/>
    <w:rsid w:val="002E5CB8"/>
    <w:rsid w:val="002E68FC"/>
    <w:rsid w:val="002E6C04"/>
    <w:rsid w:val="002E7430"/>
    <w:rsid w:val="002E77AC"/>
    <w:rsid w:val="002E7B56"/>
    <w:rsid w:val="002F09DE"/>
    <w:rsid w:val="002F09F2"/>
    <w:rsid w:val="002F0D23"/>
    <w:rsid w:val="002F15D3"/>
    <w:rsid w:val="002F16DD"/>
    <w:rsid w:val="002F264A"/>
    <w:rsid w:val="002F2BAB"/>
    <w:rsid w:val="002F2CFC"/>
    <w:rsid w:val="002F33A5"/>
    <w:rsid w:val="002F40E8"/>
    <w:rsid w:val="002F495A"/>
    <w:rsid w:val="002F54E2"/>
    <w:rsid w:val="002F5782"/>
    <w:rsid w:val="002F6232"/>
    <w:rsid w:val="002F6261"/>
    <w:rsid w:val="002F64AC"/>
    <w:rsid w:val="002F676B"/>
    <w:rsid w:val="002F6B39"/>
    <w:rsid w:val="002F6E2D"/>
    <w:rsid w:val="002F794A"/>
    <w:rsid w:val="002F7981"/>
    <w:rsid w:val="002F7DC3"/>
    <w:rsid w:val="00300426"/>
    <w:rsid w:val="003008C6"/>
    <w:rsid w:val="00300F74"/>
    <w:rsid w:val="003018B9"/>
    <w:rsid w:val="00301F26"/>
    <w:rsid w:val="0030227B"/>
    <w:rsid w:val="003022AF"/>
    <w:rsid w:val="00302AA5"/>
    <w:rsid w:val="003031B5"/>
    <w:rsid w:val="003035A4"/>
    <w:rsid w:val="00303618"/>
    <w:rsid w:val="0030383B"/>
    <w:rsid w:val="00303A57"/>
    <w:rsid w:val="00303BCE"/>
    <w:rsid w:val="00303CC4"/>
    <w:rsid w:val="00303D63"/>
    <w:rsid w:val="00303E4E"/>
    <w:rsid w:val="003040EE"/>
    <w:rsid w:val="00304320"/>
    <w:rsid w:val="003047A3"/>
    <w:rsid w:val="003047D1"/>
    <w:rsid w:val="003052A4"/>
    <w:rsid w:val="003054B6"/>
    <w:rsid w:val="00305F7E"/>
    <w:rsid w:val="00306142"/>
    <w:rsid w:val="003061AB"/>
    <w:rsid w:val="003062E3"/>
    <w:rsid w:val="0030634C"/>
    <w:rsid w:val="00306919"/>
    <w:rsid w:val="00306BC4"/>
    <w:rsid w:val="00306C63"/>
    <w:rsid w:val="00306E11"/>
    <w:rsid w:val="00306FC6"/>
    <w:rsid w:val="00307163"/>
    <w:rsid w:val="00307316"/>
    <w:rsid w:val="00307CF5"/>
    <w:rsid w:val="00310236"/>
    <w:rsid w:val="003102DF"/>
    <w:rsid w:val="00310395"/>
    <w:rsid w:val="0031087B"/>
    <w:rsid w:val="003108CF"/>
    <w:rsid w:val="00311028"/>
    <w:rsid w:val="003115D2"/>
    <w:rsid w:val="0031166A"/>
    <w:rsid w:val="0031184D"/>
    <w:rsid w:val="003120B2"/>
    <w:rsid w:val="00312212"/>
    <w:rsid w:val="00312621"/>
    <w:rsid w:val="00312AB2"/>
    <w:rsid w:val="00312C49"/>
    <w:rsid w:val="00312D9B"/>
    <w:rsid w:val="00313310"/>
    <w:rsid w:val="003134D0"/>
    <w:rsid w:val="00313B32"/>
    <w:rsid w:val="00313ECD"/>
    <w:rsid w:val="00314498"/>
    <w:rsid w:val="003145CF"/>
    <w:rsid w:val="0031490E"/>
    <w:rsid w:val="00314AB3"/>
    <w:rsid w:val="00314ABA"/>
    <w:rsid w:val="00314C2B"/>
    <w:rsid w:val="00314D72"/>
    <w:rsid w:val="00314E33"/>
    <w:rsid w:val="00315264"/>
    <w:rsid w:val="0031529E"/>
    <w:rsid w:val="00315398"/>
    <w:rsid w:val="0031544A"/>
    <w:rsid w:val="00315ACB"/>
    <w:rsid w:val="00315F25"/>
    <w:rsid w:val="00316010"/>
    <w:rsid w:val="00316030"/>
    <w:rsid w:val="00316B5E"/>
    <w:rsid w:val="00316F73"/>
    <w:rsid w:val="003175DF"/>
    <w:rsid w:val="00317BFB"/>
    <w:rsid w:val="003202BE"/>
    <w:rsid w:val="00320692"/>
    <w:rsid w:val="00320C6C"/>
    <w:rsid w:val="0032119B"/>
    <w:rsid w:val="00321398"/>
    <w:rsid w:val="003213EF"/>
    <w:rsid w:val="00321CFE"/>
    <w:rsid w:val="00321DBA"/>
    <w:rsid w:val="00321DD3"/>
    <w:rsid w:val="003220EE"/>
    <w:rsid w:val="00322166"/>
    <w:rsid w:val="003229FB"/>
    <w:rsid w:val="00322E7E"/>
    <w:rsid w:val="00322EA1"/>
    <w:rsid w:val="0032375B"/>
    <w:rsid w:val="003238FF"/>
    <w:rsid w:val="00323906"/>
    <w:rsid w:val="00323D40"/>
    <w:rsid w:val="00324014"/>
    <w:rsid w:val="00324188"/>
    <w:rsid w:val="003247FF"/>
    <w:rsid w:val="00324C76"/>
    <w:rsid w:val="003252BF"/>
    <w:rsid w:val="00325755"/>
    <w:rsid w:val="00325827"/>
    <w:rsid w:val="0032593E"/>
    <w:rsid w:val="00325AD0"/>
    <w:rsid w:val="00325E71"/>
    <w:rsid w:val="00326889"/>
    <w:rsid w:val="00326B03"/>
    <w:rsid w:val="00327041"/>
    <w:rsid w:val="0032710B"/>
    <w:rsid w:val="0032714E"/>
    <w:rsid w:val="00327497"/>
    <w:rsid w:val="0032757B"/>
    <w:rsid w:val="00327771"/>
    <w:rsid w:val="0032785D"/>
    <w:rsid w:val="00330027"/>
    <w:rsid w:val="003300F4"/>
    <w:rsid w:val="003303F3"/>
    <w:rsid w:val="00330606"/>
    <w:rsid w:val="003310E6"/>
    <w:rsid w:val="0033137E"/>
    <w:rsid w:val="003314D6"/>
    <w:rsid w:val="00331571"/>
    <w:rsid w:val="00331AA5"/>
    <w:rsid w:val="00331BBF"/>
    <w:rsid w:val="003322D6"/>
    <w:rsid w:val="003324EB"/>
    <w:rsid w:val="003326C3"/>
    <w:rsid w:val="00332940"/>
    <w:rsid w:val="00332C5B"/>
    <w:rsid w:val="00332F58"/>
    <w:rsid w:val="0033325F"/>
    <w:rsid w:val="00333644"/>
    <w:rsid w:val="00333DD3"/>
    <w:rsid w:val="00333F8E"/>
    <w:rsid w:val="0033406F"/>
    <w:rsid w:val="00334258"/>
    <w:rsid w:val="00334797"/>
    <w:rsid w:val="00334AAB"/>
    <w:rsid w:val="00334C9A"/>
    <w:rsid w:val="003353D5"/>
    <w:rsid w:val="0033559B"/>
    <w:rsid w:val="003358F9"/>
    <w:rsid w:val="00335C4B"/>
    <w:rsid w:val="00335F13"/>
    <w:rsid w:val="00336474"/>
    <w:rsid w:val="003364EC"/>
    <w:rsid w:val="00336C53"/>
    <w:rsid w:val="00336D38"/>
    <w:rsid w:val="00336E6F"/>
    <w:rsid w:val="00337018"/>
    <w:rsid w:val="003374BD"/>
    <w:rsid w:val="003402B2"/>
    <w:rsid w:val="00340772"/>
    <w:rsid w:val="00340919"/>
    <w:rsid w:val="00340E6A"/>
    <w:rsid w:val="003414F8"/>
    <w:rsid w:val="00341A17"/>
    <w:rsid w:val="00341E26"/>
    <w:rsid w:val="0034285E"/>
    <w:rsid w:val="0034286F"/>
    <w:rsid w:val="003428C9"/>
    <w:rsid w:val="00342C97"/>
    <w:rsid w:val="00342CC2"/>
    <w:rsid w:val="0034328B"/>
    <w:rsid w:val="003438C5"/>
    <w:rsid w:val="00343BBA"/>
    <w:rsid w:val="00343CF9"/>
    <w:rsid w:val="00343D5F"/>
    <w:rsid w:val="003443F5"/>
    <w:rsid w:val="00344868"/>
    <w:rsid w:val="003449C3"/>
    <w:rsid w:val="003449DA"/>
    <w:rsid w:val="00344F54"/>
    <w:rsid w:val="00345E24"/>
    <w:rsid w:val="003465AD"/>
    <w:rsid w:val="00346A3A"/>
    <w:rsid w:val="00346AAE"/>
    <w:rsid w:val="00346B67"/>
    <w:rsid w:val="00346DBE"/>
    <w:rsid w:val="00346FE8"/>
    <w:rsid w:val="003471AB"/>
    <w:rsid w:val="003472F7"/>
    <w:rsid w:val="00347490"/>
    <w:rsid w:val="0034761B"/>
    <w:rsid w:val="0034774E"/>
    <w:rsid w:val="0034785C"/>
    <w:rsid w:val="00347B7A"/>
    <w:rsid w:val="00347F5B"/>
    <w:rsid w:val="003505C9"/>
    <w:rsid w:val="00350D83"/>
    <w:rsid w:val="00350D97"/>
    <w:rsid w:val="00350E7E"/>
    <w:rsid w:val="00350ED6"/>
    <w:rsid w:val="00351847"/>
    <w:rsid w:val="00351A9F"/>
    <w:rsid w:val="00351CC9"/>
    <w:rsid w:val="00352488"/>
    <w:rsid w:val="003527BC"/>
    <w:rsid w:val="0035293B"/>
    <w:rsid w:val="00352BB1"/>
    <w:rsid w:val="00352EE6"/>
    <w:rsid w:val="0035390C"/>
    <w:rsid w:val="00353C9D"/>
    <w:rsid w:val="00353EC8"/>
    <w:rsid w:val="003549B1"/>
    <w:rsid w:val="00354B99"/>
    <w:rsid w:val="00354EB6"/>
    <w:rsid w:val="00354F98"/>
    <w:rsid w:val="003551DC"/>
    <w:rsid w:val="0035527B"/>
    <w:rsid w:val="00355291"/>
    <w:rsid w:val="00356731"/>
    <w:rsid w:val="00356816"/>
    <w:rsid w:val="00356AA6"/>
    <w:rsid w:val="00356C42"/>
    <w:rsid w:val="00356C62"/>
    <w:rsid w:val="00356E5F"/>
    <w:rsid w:val="00356EA6"/>
    <w:rsid w:val="00357023"/>
    <w:rsid w:val="003571E6"/>
    <w:rsid w:val="00357241"/>
    <w:rsid w:val="0035754B"/>
    <w:rsid w:val="0035754D"/>
    <w:rsid w:val="00357630"/>
    <w:rsid w:val="003577A6"/>
    <w:rsid w:val="00357920"/>
    <w:rsid w:val="00357B25"/>
    <w:rsid w:val="00357D3C"/>
    <w:rsid w:val="00360354"/>
    <w:rsid w:val="003603A4"/>
    <w:rsid w:val="00360463"/>
    <w:rsid w:val="00360863"/>
    <w:rsid w:val="00360B57"/>
    <w:rsid w:val="00360C24"/>
    <w:rsid w:val="00360FE4"/>
    <w:rsid w:val="003610A3"/>
    <w:rsid w:val="00361325"/>
    <w:rsid w:val="00361893"/>
    <w:rsid w:val="00361C29"/>
    <w:rsid w:val="003622EC"/>
    <w:rsid w:val="00362CB0"/>
    <w:rsid w:val="00363391"/>
    <w:rsid w:val="003636C6"/>
    <w:rsid w:val="00363869"/>
    <w:rsid w:val="00363939"/>
    <w:rsid w:val="00363A59"/>
    <w:rsid w:val="00363C24"/>
    <w:rsid w:val="00363F0E"/>
    <w:rsid w:val="00363F35"/>
    <w:rsid w:val="00364179"/>
    <w:rsid w:val="00364E7E"/>
    <w:rsid w:val="003650AD"/>
    <w:rsid w:val="00365367"/>
    <w:rsid w:val="0036586B"/>
    <w:rsid w:val="00365AAF"/>
    <w:rsid w:val="003662B1"/>
    <w:rsid w:val="00366415"/>
    <w:rsid w:val="00366538"/>
    <w:rsid w:val="00366E6E"/>
    <w:rsid w:val="003672A7"/>
    <w:rsid w:val="00367720"/>
    <w:rsid w:val="00367962"/>
    <w:rsid w:val="00367B8A"/>
    <w:rsid w:val="00367C09"/>
    <w:rsid w:val="00367CC1"/>
    <w:rsid w:val="00367EA3"/>
    <w:rsid w:val="00370147"/>
    <w:rsid w:val="0037043C"/>
    <w:rsid w:val="0037046D"/>
    <w:rsid w:val="00370837"/>
    <w:rsid w:val="0037094E"/>
    <w:rsid w:val="00370E3F"/>
    <w:rsid w:val="00370F52"/>
    <w:rsid w:val="00371087"/>
    <w:rsid w:val="003711EE"/>
    <w:rsid w:val="0037176F"/>
    <w:rsid w:val="00371A56"/>
    <w:rsid w:val="00371B86"/>
    <w:rsid w:val="003723E1"/>
    <w:rsid w:val="00372439"/>
    <w:rsid w:val="00372473"/>
    <w:rsid w:val="003724AE"/>
    <w:rsid w:val="00372D54"/>
    <w:rsid w:val="00372E3E"/>
    <w:rsid w:val="00372EF8"/>
    <w:rsid w:val="00372F65"/>
    <w:rsid w:val="00373498"/>
    <w:rsid w:val="00373672"/>
    <w:rsid w:val="003736DF"/>
    <w:rsid w:val="003739C5"/>
    <w:rsid w:val="003744EB"/>
    <w:rsid w:val="0037457E"/>
    <w:rsid w:val="00374586"/>
    <w:rsid w:val="0037491A"/>
    <w:rsid w:val="00374AF8"/>
    <w:rsid w:val="00374CC5"/>
    <w:rsid w:val="00374ED5"/>
    <w:rsid w:val="0037506D"/>
    <w:rsid w:val="003753BB"/>
    <w:rsid w:val="003755DC"/>
    <w:rsid w:val="00375747"/>
    <w:rsid w:val="003757A4"/>
    <w:rsid w:val="00375904"/>
    <w:rsid w:val="0037647E"/>
    <w:rsid w:val="00376994"/>
    <w:rsid w:val="00376A6C"/>
    <w:rsid w:val="00377533"/>
    <w:rsid w:val="00377567"/>
    <w:rsid w:val="0037760A"/>
    <w:rsid w:val="003778CE"/>
    <w:rsid w:val="00377954"/>
    <w:rsid w:val="00377A3D"/>
    <w:rsid w:val="00377C3B"/>
    <w:rsid w:val="00377EA9"/>
    <w:rsid w:val="003802B5"/>
    <w:rsid w:val="003806A8"/>
    <w:rsid w:val="003806C9"/>
    <w:rsid w:val="00380A5C"/>
    <w:rsid w:val="00380AE0"/>
    <w:rsid w:val="00381357"/>
    <w:rsid w:val="003814B3"/>
    <w:rsid w:val="0038164E"/>
    <w:rsid w:val="00381652"/>
    <w:rsid w:val="00381A21"/>
    <w:rsid w:val="00381CB2"/>
    <w:rsid w:val="00381D44"/>
    <w:rsid w:val="003827C2"/>
    <w:rsid w:val="00382877"/>
    <w:rsid w:val="0038354E"/>
    <w:rsid w:val="0038377E"/>
    <w:rsid w:val="00383BBF"/>
    <w:rsid w:val="00383CFA"/>
    <w:rsid w:val="00383E17"/>
    <w:rsid w:val="00383EEA"/>
    <w:rsid w:val="00383FC7"/>
    <w:rsid w:val="00384769"/>
    <w:rsid w:val="0038480A"/>
    <w:rsid w:val="00384E0C"/>
    <w:rsid w:val="00384FF6"/>
    <w:rsid w:val="0038508F"/>
    <w:rsid w:val="0038543E"/>
    <w:rsid w:val="003855B8"/>
    <w:rsid w:val="00385825"/>
    <w:rsid w:val="00385902"/>
    <w:rsid w:val="00385B87"/>
    <w:rsid w:val="00385D4B"/>
    <w:rsid w:val="003860A5"/>
    <w:rsid w:val="003861BB"/>
    <w:rsid w:val="00386205"/>
    <w:rsid w:val="003862D2"/>
    <w:rsid w:val="00386563"/>
    <w:rsid w:val="003869AB"/>
    <w:rsid w:val="00386DAA"/>
    <w:rsid w:val="00386EE8"/>
    <w:rsid w:val="0038724F"/>
    <w:rsid w:val="00387508"/>
    <w:rsid w:val="0038775C"/>
    <w:rsid w:val="0039000E"/>
    <w:rsid w:val="00390587"/>
    <w:rsid w:val="003905B2"/>
    <w:rsid w:val="003907FD"/>
    <w:rsid w:val="0039138D"/>
    <w:rsid w:val="00391785"/>
    <w:rsid w:val="003920D9"/>
    <w:rsid w:val="003926F5"/>
    <w:rsid w:val="00392A1F"/>
    <w:rsid w:val="00392EEC"/>
    <w:rsid w:val="0039308B"/>
    <w:rsid w:val="0039337F"/>
    <w:rsid w:val="00393618"/>
    <w:rsid w:val="00393D19"/>
    <w:rsid w:val="00393DBB"/>
    <w:rsid w:val="00394136"/>
    <w:rsid w:val="00394253"/>
    <w:rsid w:val="003942C2"/>
    <w:rsid w:val="00394467"/>
    <w:rsid w:val="003944AF"/>
    <w:rsid w:val="00394922"/>
    <w:rsid w:val="00394C47"/>
    <w:rsid w:val="003954FD"/>
    <w:rsid w:val="00395731"/>
    <w:rsid w:val="0039592E"/>
    <w:rsid w:val="00395B00"/>
    <w:rsid w:val="0039618D"/>
    <w:rsid w:val="00396408"/>
    <w:rsid w:val="0039645D"/>
    <w:rsid w:val="003965D6"/>
    <w:rsid w:val="0039661D"/>
    <w:rsid w:val="00396A6A"/>
    <w:rsid w:val="00396A99"/>
    <w:rsid w:val="00397222"/>
    <w:rsid w:val="003972B5"/>
    <w:rsid w:val="00397330"/>
    <w:rsid w:val="00397DDA"/>
    <w:rsid w:val="003A0023"/>
    <w:rsid w:val="003A0346"/>
    <w:rsid w:val="003A071B"/>
    <w:rsid w:val="003A081B"/>
    <w:rsid w:val="003A0B2B"/>
    <w:rsid w:val="003A0D7D"/>
    <w:rsid w:val="003A0F19"/>
    <w:rsid w:val="003A0FB5"/>
    <w:rsid w:val="003A1240"/>
    <w:rsid w:val="003A130A"/>
    <w:rsid w:val="003A1613"/>
    <w:rsid w:val="003A178B"/>
    <w:rsid w:val="003A1B46"/>
    <w:rsid w:val="003A1CDA"/>
    <w:rsid w:val="003A2134"/>
    <w:rsid w:val="003A22C7"/>
    <w:rsid w:val="003A22D3"/>
    <w:rsid w:val="003A22D5"/>
    <w:rsid w:val="003A23AB"/>
    <w:rsid w:val="003A2881"/>
    <w:rsid w:val="003A2A1A"/>
    <w:rsid w:val="003A2DAC"/>
    <w:rsid w:val="003A2EC6"/>
    <w:rsid w:val="003A2ECB"/>
    <w:rsid w:val="003A30DE"/>
    <w:rsid w:val="003A3C60"/>
    <w:rsid w:val="003A3C72"/>
    <w:rsid w:val="003A3FD2"/>
    <w:rsid w:val="003A40D0"/>
    <w:rsid w:val="003A40F4"/>
    <w:rsid w:val="003A42E1"/>
    <w:rsid w:val="003A4524"/>
    <w:rsid w:val="003A4628"/>
    <w:rsid w:val="003A47CF"/>
    <w:rsid w:val="003A4F72"/>
    <w:rsid w:val="003A50B9"/>
    <w:rsid w:val="003A516E"/>
    <w:rsid w:val="003A5479"/>
    <w:rsid w:val="003A54C3"/>
    <w:rsid w:val="003A56B0"/>
    <w:rsid w:val="003A56E6"/>
    <w:rsid w:val="003A571A"/>
    <w:rsid w:val="003A6036"/>
    <w:rsid w:val="003A6381"/>
    <w:rsid w:val="003A68E0"/>
    <w:rsid w:val="003A69F8"/>
    <w:rsid w:val="003A6B2C"/>
    <w:rsid w:val="003A6E77"/>
    <w:rsid w:val="003A6EE8"/>
    <w:rsid w:val="003A7100"/>
    <w:rsid w:val="003A7427"/>
    <w:rsid w:val="003A7EB1"/>
    <w:rsid w:val="003B06C1"/>
    <w:rsid w:val="003B06D1"/>
    <w:rsid w:val="003B0773"/>
    <w:rsid w:val="003B0A09"/>
    <w:rsid w:val="003B0C99"/>
    <w:rsid w:val="003B0F3F"/>
    <w:rsid w:val="003B11E6"/>
    <w:rsid w:val="003B166B"/>
    <w:rsid w:val="003B16B7"/>
    <w:rsid w:val="003B179A"/>
    <w:rsid w:val="003B2254"/>
    <w:rsid w:val="003B2333"/>
    <w:rsid w:val="003B27B8"/>
    <w:rsid w:val="003B32B5"/>
    <w:rsid w:val="003B34AF"/>
    <w:rsid w:val="003B3781"/>
    <w:rsid w:val="003B37C7"/>
    <w:rsid w:val="003B3C98"/>
    <w:rsid w:val="003B4432"/>
    <w:rsid w:val="003B4762"/>
    <w:rsid w:val="003B4A4D"/>
    <w:rsid w:val="003B4AC3"/>
    <w:rsid w:val="003B4CE2"/>
    <w:rsid w:val="003B4FF7"/>
    <w:rsid w:val="003B525E"/>
    <w:rsid w:val="003B52BF"/>
    <w:rsid w:val="003B537D"/>
    <w:rsid w:val="003B55FC"/>
    <w:rsid w:val="003B57BE"/>
    <w:rsid w:val="003B5984"/>
    <w:rsid w:val="003B5C26"/>
    <w:rsid w:val="003B5C52"/>
    <w:rsid w:val="003B5EFD"/>
    <w:rsid w:val="003B61B8"/>
    <w:rsid w:val="003B6337"/>
    <w:rsid w:val="003B6A13"/>
    <w:rsid w:val="003B6A57"/>
    <w:rsid w:val="003B6BE6"/>
    <w:rsid w:val="003B6D3E"/>
    <w:rsid w:val="003B6EEB"/>
    <w:rsid w:val="003B735F"/>
    <w:rsid w:val="003B74DB"/>
    <w:rsid w:val="003B777D"/>
    <w:rsid w:val="003B78ED"/>
    <w:rsid w:val="003B7F0D"/>
    <w:rsid w:val="003C0534"/>
    <w:rsid w:val="003C1C6F"/>
    <w:rsid w:val="003C1E33"/>
    <w:rsid w:val="003C289F"/>
    <w:rsid w:val="003C2929"/>
    <w:rsid w:val="003C2972"/>
    <w:rsid w:val="003C2AB0"/>
    <w:rsid w:val="003C305C"/>
    <w:rsid w:val="003C3098"/>
    <w:rsid w:val="003C30F7"/>
    <w:rsid w:val="003C33A3"/>
    <w:rsid w:val="003C3779"/>
    <w:rsid w:val="003C3A1A"/>
    <w:rsid w:val="003C3BC3"/>
    <w:rsid w:val="003C3C47"/>
    <w:rsid w:val="003C40BE"/>
    <w:rsid w:val="003C422C"/>
    <w:rsid w:val="003C442E"/>
    <w:rsid w:val="003C5BE9"/>
    <w:rsid w:val="003C5C13"/>
    <w:rsid w:val="003C5DC1"/>
    <w:rsid w:val="003C5FEA"/>
    <w:rsid w:val="003C61B5"/>
    <w:rsid w:val="003C62F6"/>
    <w:rsid w:val="003C6699"/>
    <w:rsid w:val="003C68C1"/>
    <w:rsid w:val="003C6F03"/>
    <w:rsid w:val="003C6F13"/>
    <w:rsid w:val="003C7219"/>
    <w:rsid w:val="003C7231"/>
    <w:rsid w:val="003C72A7"/>
    <w:rsid w:val="003C768F"/>
    <w:rsid w:val="003C77C9"/>
    <w:rsid w:val="003C7F3A"/>
    <w:rsid w:val="003D0023"/>
    <w:rsid w:val="003D0526"/>
    <w:rsid w:val="003D0808"/>
    <w:rsid w:val="003D0CE6"/>
    <w:rsid w:val="003D146F"/>
    <w:rsid w:val="003D149C"/>
    <w:rsid w:val="003D151B"/>
    <w:rsid w:val="003D1645"/>
    <w:rsid w:val="003D1E8F"/>
    <w:rsid w:val="003D1FB2"/>
    <w:rsid w:val="003D2262"/>
    <w:rsid w:val="003D266D"/>
    <w:rsid w:val="003D2A7E"/>
    <w:rsid w:val="003D2CA1"/>
    <w:rsid w:val="003D3404"/>
    <w:rsid w:val="003D3AFB"/>
    <w:rsid w:val="003D3B35"/>
    <w:rsid w:val="003D3B7A"/>
    <w:rsid w:val="003D3C0F"/>
    <w:rsid w:val="003D4012"/>
    <w:rsid w:val="003D488F"/>
    <w:rsid w:val="003D4A0E"/>
    <w:rsid w:val="003D4A62"/>
    <w:rsid w:val="003D4E7B"/>
    <w:rsid w:val="003D54F5"/>
    <w:rsid w:val="003D565F"/>
    <w:rsid w:val="003D5802"/>
    <w:rsid w:val="003D5D9C"/>
    <w:rsid w:val="003D5E85"/>
    <w:rsid w:val="003D61DD"/>
    <w:rsid w:val="003D6A72"/>
    <w:rsid w:val="003D6A8E"/>
    <w:rsid w:val="003D6D13"/>
    <w:rsid w:val="003D718B"/>
    <w:rsid w:val="003D73A4"/>
    <w:rsid w:val="003D753D"/>
    <w:rsid w:val="003D7A0A"/>
    <w:rsid w:val="003D7A56"/>
    <w:rsid w:val="003E0377"/>
    <w:rsid w:val="003E068C"/>
    <w:rsid w:val="003E1091"/>
    <w:rsid w:val="003E1662"/>
    <w:rsid w:val="003E1755"/>
    <w:rsid w:val="003E1BDC"/>
    <w:rsid w:val="003E24A6"/>
    <w:rsid w:val="003E280B"/>
    <w:rsid w:val="003E29AD"/>
    <w:rsid w:val="003E2C8B"/>
    <w:rsid w:val="003E2CCE"/>
    <w:rsid w:val="003E3173"/>
    <w:rsid w:val="003E35C1"/>
    <w:rsid w:val="003E36AC"/>
    <w:rsid w:val="003E381D"/>
    <w:rsid w:val="003E3E7B"/>
    <w:rsid w:val="003E3F37"/>
    <w:rsid w:val="003E49C0"/>
    <w:rsid w:val="003E4A9C"/>
    <w:rsid w:val="003E4C6C"/>
    <w:rsid w:val="003E4E61"/>
    <w:rsid w:val="003E4E79"/>
    <w:rsid w:val="003E4F1B"/>
    <w:rsid w:val="003E55C1"/>
    <w:rsid w:val="003E56D4"/>
    <w:rsid w:val="003E5A06"/>
    <w:rsid w:val="003E5F89"/>
    <w:rsid w:val="003E6B90"/>
    <w:rsid w:val="003E6BE1"/>
    <w:rsid w:val="003E6D28"/>
    <w:rsid w:val="003E79AA"/>
    <w:rsid w:val="003E7BA3"/>
    <w:rsid w:val="003E7C88"/>
    <w:rsid w:val="003E7EF4"/>
    <w:rsid w:val="003E7FE4"/>
    <w:rsid w:val="003F003F"/>
    <w:rsid w:val="003F04B1"/>
    <w:rsid w:val="003F05AA"/>
    <w:rsid w:val="003F079F"/>
    <w:rsid w:val="003F0B6F"/>
    <w:rsid w:val="003F0BFF"/>
    <w:rsid w:val="003F0C9E"/>
    <w:rsid w:val="003F0F77"/>
    <w:rsid w:val="003F134C"/>
    <w:rsid w:val="003F1402"/>
    <w:rsid w:val="003F14CF"/>
    <w:rsid w:val="003F1923"/>
    <w:rsid w:val="003F1BB7"/>
    <w:rsid w:val="003F2193"/>
    <w:rsid w:val="003F26B7"/>
    <w:rsid w:val="003F2B80"/>
    <w:rsid w:val="003F3678"/>
    <w:rsid w:val="003F3699"/>
    <w:rsid w:val="003F386C"/>
    <w:rsid w:val="003F3975"/>
    <w:rsid w:val="003F3C54"/>
    <w:rsid w:val="003F3D0F"/>
    <w:rsid w:val="003F4118"/>
    <w:rsid w:val="003F4258"/>
    <w:rsid w:val="003F42D0"/>
    <w:rsid w:val="003F42EB"/>
    <w:rsid w:val="003F43C8"/>
    <w:rsid w:val="003F4BE0"/>
    <w:rsid w:val="003F4E6D"/>
    <w:rsid w:val="003F4F24"/>
    <w:rsid w:val="003F5055"/>
    <w:rsid w:val="003F5489"/>
    <w:rsid w:val="003F56AE"/>
    <w:rsid w:val="003F598C"/>
    <w:rsid w:val="003F5C9E"/>
    <w:rsid w:val="003F5F20"/>
    <w:rsid w:val="003F5F62"/>
    <w:rsid w:val="003F5FA0"/>
    <w:rsid w:val="003F621B"/>
    <w:rsid w:val="003F6854"/>
    <w:rsid w:val="003F722C"/>
    <w:rsid w:val="003F75D3"/>
    <w:rsid w:val="003F772B"/>
    <w:rsid w:val="003F7736"/>
    <w:rsid w:val="003F78BD"/>
    <w:rsid w:val="003F7A3B"/>
    <w:rsid w:val="003F7E4B"/>
    <w:rsid w:val="003F7EEC"/>
    <w:rsid w:val="003F7F80"/>
    <w:rsid w:val="00400327"/>
    <w:rsid w:val="004003F0"/>
    <w:rsid w:val="00401325"/>
    <w:rsid w:val="004013B0"/>
    <w:rsid w:val="004015F4"/>
    <w:rsid w:val="00401882"/>
    <w:rsid w:val="00401A10"/>
    <w:rsid w:val="00401D0D"/>
    <w:rsid w:val="00401D7C"/>
    <w:rsid w:val="0040234A"/>
    <w:rsid w:val="004023B6"/>
    <w:rsid w:val="0040282A"/>
    <w:rsid w:val="00403238"/>
    <w:rsid w:val="00403494"/>
    <w:rsid w:val="0040358F"/>
    <w:rsid w:val="00403781"/>
    <w:rsid w:val="00403D87"/>
    <w:rsid w:val="00403DBA"/>
    <w:rsid w:val="004042CE"/>
    <w:rsid w:val="00404EFD"/>
    <w:rsid w:val="0040575A"/>
    <w:rsid w:val="00405D04"/>
    <w:rsid w:val="00405D45"/>
    <w:rsid w:val="0040605A"/>
    <w:rsid w:val="004061C4"/>
    <w:rsid w:val="00406BAA"/>
    <w:rsid w:val="00406CD5"/>
    <w:rsid w:val="00407F34"/>
    <w:rsid w:val="0041024F"/>
    <w:rsid w:val="00410334"/>
    <w:rsid w:val="004104BC"/>
    <w:rsid w:val="00410ADF"/>
    <w:rsid w:val="00410B4F"/>
    <w:rsid w:val="00410F06"/>
    <w:rsid w:val="004116F5"/>
    <w:rsid w:val="00411B36"/>
    <w:rsid w:val="00411BAF"/>
    <w:rsid w:val="00411D3E"/>
    <w:rsid w:val="00411FC9"/>
    <w:rsid w:val="00412B96"/>
    <w:rsid w:val="00412C54"/>
    <w:rsid w:val="00412DA4"/>
    <w:rsid w:val="00412FBC"/>
    <w:rsid w:val="0041374B"/>
    <w:rsid w:val="00413BF3"/>
    <w:rsid w:val="00413C71"/>
    <w:rsid w:val="00413E1D"/>
    <w:rsid w:val="00413E54"/>
    <w:rsid w:val="0041424E"/>
    <w:rsid w:val="00414329"/>
    <w:rsid w:val="0041454F"/>
    <w:rsid w:val="0041506B"/>
    <w:rsid w:val="00415258"/>
    <w:rsid w:val="00415394"/>
    <w:rsid w:val="004161E9"/>
    <w:rsid w:val="00416328"/>
    <w:rsid w:val="004166C6"/>
    <w:rsid w:val="00416884"/>
    <w:rsid w:val="00416FBF"/>
    <w:rsid w:val="00417367"/>
    <w:rsid w:val="0041784D"/>
    <w:rsid w:val="004178DE"/>
    <w:rsid w:val="00417AD8"/>
    <w:rsid w:val="00417B70"/>
    <w:rsid w:val="00420762"/>
    <w:rsid w:val="00420927"/>
    <w:rsid w:val="00420931"/>
    <w:rsid w:val="004218CC"/>
    <w:rsid w:val="00421A13"/>
    <w:rsid w:val="00421B74"/>
    <w:rsid w:val="00422127"/>
    <w:rsid w:val="004224E4"/>
    <w:rsid w:val="004229A5"/>
    <w:rsid w:val="004229BE"/>
    <w:rsid w:val="00422A33"/>
    <w:rsid w:val="00422C3B"/>
    <w:rsid w:val="0042308C"/>
    <w:rsid w:val="0042309A"/>
    <w:rsid w:val="0042312F"/>
    <w:rsid w:val="004231A0"/>
    <w:rsid w:val="0042322B"/>
    <w:rsid w:val="00423381"/>
    <w:rsid w:val="00423F19"/>
    <w:rsid w:val="00424588"/>
    <w:rsid w:val="00424913"/>
    <w:rsid w:val="00424CA0"/>
    <w:rsid w:val="004252BC"/>
    <w:rsid w:val="004253B0"/>
    <w:rsid w:val="00425487"/>
    <w:rsid w:val="00425783"/>
    <w:rsid w:val="00425C2D"/>
    <w:rsid w:val="00425E4A"/>
    <w:rsid w:val="00425F88"/>
    <w:rsid w:val="00425FF8"/>
    <w:rsid w:val="00426187"/>
    <w:rsid w:val="004262A6"/>
    <w:rsid w:val="00426C63"/>
    <w:rsid w:val="00426EE4"/>
    <w:rsid w:val="00426F2B"/>
    <w:rsid w:val="00427339"/>
    <w:rsid w:val="004276DD"/>
    <w:rsid w:val="004278A3"/>
    <w:rsid w:val="004279BA"/>
    <w:rsid w:val="00427D59"/>
    <w:rsid w:val="004304A0"/>
    <w:rsid w:val="00430DDD"/>
    <w:rsid w:val="00431315"/>
    <w:rsid w:val="004313E8"/>
    <w:rsid w:val="004319C8"/>
    <w:rsid w:val="00431D3A"/>
    <w:rsid w:val="004325B1"/>
    <w:rsid w:val="0043310A"/>
    <w:rsid w:val="00433540"/>
    <w:rsid w:val="0043395E"/>
    <w:rsid w:val="00433A4A"/>
    <w:rsid w:val="00433D7B"/>
    <w:rsid w:val="00434153"/>
    <w:rsid w:val="00434400"/>
    <w:rsid w:val="00434BB8"/>
    <w:rsid w:val="00434D30"/>
    <w:rsid w:val="004351CF"/>
    <w:rsid w:val="00435364"/>
    <w:rsid w:val="004357DB"/>
    <w:rsid w:val="00435B25"/>
    <w:rsid w:val="00435D70"/>
    <w:rsid w:val="00435DB7"/>
    <w:rsid w:val="004365D0"/>
    <w:rsid w:val="00436718"/>
    <w:rsid w:val="00436DE3"/>
    <w:rsid w:val="00437103"/>
    <w:rsid w:val="004372C2"/>
    <w:rsid w:val="00437915"/>
    <w:rsid w:val="00437D1D"/>
    <w:rsid w:val="00437FB0"/>
    <w:rsid w:val="00440064"/>
    <w:rsid w:val="004403BA"/>
    <w:rsid w:val="004404E5"/>
    <w:rsid w:val="0044078F"/>
    <w:rsid w:val="004407FD"/>
    <w:rsid w:val="004413EE"/>
    <w:rsid w:val="004414EC"/>
    <w:rsid w:val="00441933"/>
    <w:rsid w:val="004420B3"/>
    <w:rsid w:val="004429DA"/>
    <w:rsid w:val="00443137"/>
    <w:rsid w:val="0044342E"/>
    <w:rsid w:val="00443988"/>
    <w:rsid w:val="0044399B"/>
    <w:rsid w:val="00443BDF"/>
    <w:rsid w:val="00443FA2"/>
    <w:rsid w:val="00444428"/>
    <w:rsid w:val="0044443B"/>
    <w:rsid w:val="0044463E"/>
    <w:rsid w:val="00444768"/>
    <w:rsid w:val="00444F0B"/>
    <w:rsid w:val="00444F62"/>
    <w:rsid w:val="0044587A"/>
    <w:rsid w:val="00445D57"/>
    <w:rsid w:val="00445DEC"/>
    <w:rsid w:val="00445F5B"/>
    <w:rsid w:val="0044644A"/>
    <w:rsid w:val="00446C10"/>
    <w:rsid w:val="00446ED9"/>
    <w:rsid w:val="00446FB4"/>
    <w:rsid w:val="00447107"/>
    <w:rsid w:val="004472D8"/>
    <w:rsid w:val="00447760"/>
    <w:rsid w:val="004500B6"/>
    <w:rsid w:val="0045032C"/>
    <w:rsid w:val="0045068A"/>
    <w:rsid w:val="00450A6C"/>
    <w:rsid w:val="0045117B"/>
    <w:rsid w:val="004515F1"/>
    <w:rsid w:val="0045170E"/>
    <w:rsid w:val="00451A51"/>
    <w:rsid w:val="00451D37"/>
    <w:rsid w:val="00452AA9"/>
    <w:rsid w:val="0045311E"/>
    <w:rsid w:val="00453A99"/>
    <w:rsid w:val="00453DC9"/>
    <w:rsid w:val="00454090"/>
    <w:rsid w:val="004543E9"/>
    <w:rsid w:val="0045493C"/>
    <w:rsid w:val="00455061"/>
    <w:rsid w:val="00455126"/>
    <w:rsid w:val="00455B62"/>
    <w:rsid w:val="00455EE2"/>
    <w:rsid w:val="00456CD3"/>
    <w:rsid w:val="004570E8"/>
    <w:rsid w:val="00457282"/>
    <w:rsid w:val="004578EE"/>
    <w:rsid w:val="00457DAB"/>
    <w:rsid w:val="00457DEE"/>
    <w:rsid w:val="00460000"/>
    <w:rsid w:val="0046025C"/>
    <w:rsid w:val="00460400"/>
    <w:rsid w:val="00460825"/>
    <w:rsid w:val="0046086D"/>
    <w:rsid w:val="00460949"/>
    <w:rsid w:val="004609A9"/>
    <w:rsid w:val="00460A60"/>
    <w:rsid w:val="00460F0D"/>
    <w:rsid w:val="00460FCE"/>
    <w:rsid w:val="00461008"/>
    <w:rsid w:val="0046136A"/>
    <w:rsid w:val="004614EE"/>
    <w:rsid w:val="004615F4"/>
    <w:rsid w:val="00461606"/>
    <w:rsid w:val="0046220A"/>
    <w:rsid w:val="004624C3"/>
    <w:rsid w:val="00462B0A"/>
    <w:rsid w:val="00462C41"/>
    <w:rsid w:val="0046302E"/>
    <w:rsid w:val="00463045"/>
    <w:rsid w:val="00463313"/>
    <w:rsid w:val="004638EA"/>
    <w:rsid w:val="004639C0"/>
    <w:rsid w:val="00463C47"/>
    <w:rsid w:val="00463EB7"/>
    <w:rsid w:val="00463ECD"/>
    <w:rsid w:val="00463F9F"/>
    <w:rsid w:val="00464017"/>
    <w:rsid w:val="00464802"/>
    <w:rsid w:val="00464AA7"/>
    <w:rsid w:val="00464BEE"/>
    <w:rsid w:val="00464FF8"/>
    <w:rsid w:val="0046513B"/>
    <w:rsid w:val="00465183"/>
    <w:rsid w:val="00465281"/>
    <w:rsid w:val="004654CE"/>
    <w:rsid w:val="00465642"/>
    <w:rsid w:val="00465C8E"/>
    <w:rsid w:val="00465EE0"/>
    <w:rsid w:val="004662B7"/>
    <w:rsid w:val="0046653D"/>
    <w:rsid w:val="004665DB"/>
    <w:rsid w:val="004666BB"/>
    <w:rsid w:val="00466F45"/>
    <w:rsid w:val="0046708C"/>
    <w:rsid w:val="00467103"/>
    <w:rsid w:val="004676A0"/>
    <w:rsid w:val="00467702"/>
    <w:rsid w:val="0046774C"/>
    <w:rsid w:val="00467942"/>
    <w:rsid w:val="00467AC7"/>
    <w:rsid w:val="00470141"/>
    <w:rsid w:val="00470268"/>
    <w:rsid w:val="004710B3"/>
    <w:rsid w:val="0047144D"/>
    <w:rsid w:val="004721F0"/>
    <w:rsid w:val="004722F0"/>
    <w:rsid w:val="004722FB"/>
    <w:rsid w:val="00473159"/>
    <w:rsid w:val="00473174"/>
    <w:rsid w:val="004732D5"/>
    <w:rsid w:val="004736F3"/>
    <w:rsid w:val="00473934"/>
    <w:rsid w:val="00473BD2"/>
    <w:rsid w:val="00473CE1"/>
    <w:rsid w:val="004741BB"/>
    <w:rsid w:val="004741DA"/>
    <w:rsid w:val="004744D6"/>
    <w:rsid w:val="0047475F"/>
    <w:rsid w:val="00474F90"/>
    <w:rsid w:val="004750FC"/>
    <w:rsid w:val="004751EC"/>
    <w:rsid w:val="0047534F"/>
    <w:rsid w:val="00475B69"/>
    <w:rsid w:val="00475C9A"/>
    <w:rsid w:val="0047614A"/>
    <w:rsid w:val="004762B9"/>
    <w:rsid w:val="00476C26"/>
    <w:rsid w:val="00476D37"/>
    <w:rsid w:val="0047747F"/>
    <w:rsid w:val="004775B2"/>
    <w:rsid w:val="00477EE1"/>
    <w:rsid w:val="00480204"/>
    <w:rsid w:val="00481055"/>
    <w:rsid w:val="004810AE"/>
    <w:rsid w:val="00481296"/>
    <w:rsid w:val="0048133A"/>
    <w:rsid w:val="00481AA1"/>
    <w:rsid w:val="00481B8C"/>
    <w:rsid w:val="004821D2"/>
    <w:rsid w:val="00482EBC"/>
    <w:rsid w:val="00482F61"/>
    <w:rsid w:val="00482F66"/>
    <w:rsid w:val="004831F6"/>
    <w:rsid w:val="004834A2"/>
    <w:rsid w:val="00483A8E"/>
    <w:rsid w:val="00483A9B"/>
    <w:rsid w:val="00483CBF"/>
    <w:rsid w:val="0048450F"/>
    <w:rsid w:val="00484895"/>
    <w:rsid w:val="00484904"/>
    <w:rsid w:val="00484ACC"/>
    <w:rsid w:val="00484DC5"/>
    <w:rsid w:val="00484E82"/>
    <w:rsid w:val="00484F7F"/>
    <w:rsid w:val="0048532C"/>
    <w:rsid w:val="0048536D"/>
    <w:rsid w:val="00485735"/>
    <w:rsid w:val="00485E2E"/>
    <w:rsid w:val="00485E8C"/>
    <w:rsid w:val="004860CF"/>
    <w:rsid w:val="00486F18"/>
    <w:rsid w:val="0048719B"/>
    <w:rsid w:val="0048759E"/>
    <w:rsid w:val="0048778D"/>
    <w:rsid w:val="00487B43"/>
    <w:rsid w:val="0049006C"/>
    <w:rsid w:val="0049014B"/>
    <w:rsid w:val="00490331"/>
    <w:rsid w:val="0049047B"/>
    <w:rsid w:val="004905E4"/>
    <w:rsid w:val="00490619"/>
    <w:rsid w:val="004909F0"/>
    <w:rsid w:val="00490E0D"/>
    <w:rsid w:val="0049107D"/>
    <w:rsid w:val="0049118C"/>
    <w:rsid w:val="004916BB"/>
    <w:rsid w:val="0049176F"/>
    <w:rsid w:val="00491EAE"/>
    <w:rsid w:val="004921AC"/>
    <w:rsid w:val="004922EE"/>
    <w:rsid w:val="00492861"/>
    <w:rsid w:val="0049360F"/>
    <w:rsid w:val="0049377A"/>
    <w:rsid w:val="0049396E"/>
    <w:rsid w:val="00493D9B"/>
    <w:rsid w:val="00493EC5"/>
    <w:rsid w:val="00494097"/>
    <w:rsid w:val="0049443B"/>
    <w:rsid w:val="00494505"/>
    <w:rsid w:val="0049478D"/>
    <w:rsid w:val="00494C84"/>
    <w:rsid w:val="00494D02"/>
    <w:rsid w:val="00494D4A"/>
    <w:rsid w:val="00494D92"/>
    <w:rsid w:val="0049575E"/>
    <w:rsid w:val="00495E83"/>
    <w:rsid w:val="00496015"/>
    <w:rsid w:val="00496219"/>
    <w:rsid w:val="004966FB"/>
    <w:rsid w:val="00496F54"/>
    <w:rsid w:val="00497086"/>
    <w:rsid w:val="00497315"/>
    <w:rsid w:val="00497569"/>
    <w:rsid w:val="00497912"/>
    <w:rsid w:val="00497A62"/>
    <w:rsid w:val="00497E8B"/>
    <w:rsid w:val="004A018F"/>
    <w:rsid w:val="004A0769"/>
    <w:rsid w:val="004A0779"/>
    <w:rsid w:val="004A0E0D"/>
    <w:rsid w:val="004A0ECD"/>
    <w:rsid w:val="004A1053"/>
    <w:rsid w:val="004A12CE"/>
    <w:rsid w:val="004A150B"/>
    <w:rsid w:val="004A1D4A"/>
    <w:rsid w:val="004A1DCD"/>
    <w:rsid w:val="004A1F3F"/>
    <w:rsid w:val="004A20D9"/>
    <w:rsid w:val="004A2213"/>
    <w:rsid w:val="004A2238"/>
    <w:rsid w:val="004A283C"/>
    <w:rsid w:val="004A2A3D"/>
    <w:rsid w:val="004A315F"/>
    <w:rsid w:val="004A3222"/>
    <w:rsid w:val="004A36C9"/>
    <w:rsid w:val="004A3839"/>
    <w:rsid w:val="004A3B25"/>
    <w:rsid w:val="004A41EC"/>
    <w:rsid w:val="004A472C"/>
    <w:rsid w:val="004A4F19"/>
    <w:rsid w:val="004A4F99"/>
    <w:rsid w:val="004A5154"/>
    <w:rsid w:val="004A516C"/>
    <w:rsid w:val="004A53C9"/>
    <w:rsid w:val="004A5BB4"/>
    <w:rsid w:val="004A5BE2"/>
    <w:rsid w:val="004A5EC5"/>
    <w:rsid w:val="004A6705"/>
    <w:rsid w:val="004A6938"/>
    <w:rsid w:val="004A6D31"/>
    <w:rsid w:val="004A6F3F"/>
    <w:rsid w:val="004A77F7"/>
    <w:rsid w:val="004A7F1D"/>
    <w:rsid w:val="004B0215"/>
    <w:rsid w:val="004B049A"/>
    <w:rsid w:val="004B0735"/>
    <w:rsid w:val="004B0B5B"/>
    <w:rsid w:val="004B0C33"/>
    <w:rsid w:val="004B0C8E"/>
    <w:rsid w:val="004B0F59"/>
    <w:rsid w:val="004B0FA3"/>
    <w:rsid w:val="004B0FEB"/>
    <w:rsid w:val="004B19F1"/>
    <w:rsid w:val="004B1B31"/>
    <w:rsid w:val="004B1E2D"/>
    <w:rsid w:val="004B1F0B"/>
    <w:rsid w:val="004B2040"/>
    <w:rsid w:val="004B26CB"/>
    <w:rsid w:val="004B2A94"/>
    <w:rsid w:val="004B2E9C"/>
    <w:rsid w:val="004B32BC"/>
    <w:rsid w:val="004B3497"/>
    <w:rsid w:val="004B3812"/>
    <w:rsid w:val="004B3B32"/>
    <w:rsid w:val="004B3DDA"/>
    <w:rsid w:val="004B4313"/>
    <w:rsid w:val="004B43F5"/>
    <w:rsid w:val="004B4FA5"/>
    <w:rsid w:val="004B515A"/>
    <w:rsid w:val="004B5390"/>
    <w:rsid w:val="004B566E"/>
    <w:rsid w:val="004B595A"/>
    <w:rsid w:val="004B5AA4"/>
    <w:rsid w:val="004B5DB9"/>
    <w:rsid w:val="004B6229"/>
    <w:rsid w:val="004B689E"/>
    <w:rsid w:val="004B6AE2"/>
    <w:rsid w:val="004B6B40"/>
    <w:rsid w:val="004B6C0B"/>
    <w:rsid w:val="004B7327"/>
    <w:rsid w:val="004B739F"/>
    <w:rsid w:val="004B7D04"/>
    <w:rsid w:val="004B7D18"/>
    <w:rsid w:val="004B7E86"/>
    <w:rsid w:val="004C017C"/>
    <w:rsid w:val="004C0A51"/>
    <w:rsid w:val="004C0BD9"/>
    <w:rsid w:val="004C15CB"/>
    <w:rsid w:val="004C166D"/>
    <w:rsid w:val="004C1788"/>
    <w:rsid w:val="004C1932"/>
    <w:rsid w:val="004C1A5E"/>
    <w:rsid w:val="004C1B2C"/>
    <w:rsid w:val="004C22F2"/>
    <w:rsid w:val="004C230E"/>
    <w:rsid w:val="004C24F5"/>
    <w:rsid w:val="004C2B14"/>
    <w:rsid w:val="004C2B9A"/>
    <w:rsid w:val="004C2BC0"/>
    <w:rsid w:val="004C2CF6"/>
    <w:rsid w:val="004C2FFE"/>
    <w:rsid w:val="004C30AA"/>
    <w:rsid w:val="004C310C"/>
    <w:rsid w:val="004C32AA"/>
    <w:rsid w:val="004C3309"/>
    <w:rsid w:val="004C3313"/>
    <w:rsid w:val="004C34BE"/>
    <w:rsid w:val="004C3B08"/>
    <w:rsid w:val="004C3C88"/>
    <w:rsid w:val="004C3FAD"/>
    <w:rsid w:val="004C40F2"/>
    <w:rsid w:val="004C4541"/>
    <w:rsid w:val="004C4863"/>
    <w:rsid w:val="004C4908"/>
    <w:rsid w:val="004C4A29"/>
    <w:rsid w:val="004C4AE7"/>
    <w:rsid w:val="004C4D81"/>
    <w:rsid w:val="004C5774"/>
    <w:rsid w:val="004C5992"/>
    <w:rsid w:val="004C5E9E"/>
    <w:rsid w:val="004C5F32"/>
    <w:rsid w:val="004C65FA"/>
    <w:rsid w:val="004C6804"/>
    <w:rsid w:val="004C6902"/>
    <w:rsid w:val="004C7056"/>
    <w:rsid w:val="004C7563"/>
    <w:rsid w:val="004C78C2"/>
    <w:rsid w:val="004C7AD3"/>
    <w:rsid w:val="004C7D73"/>
    <w:rsid w:val="004C7EF2"/>
    <w:rsid w:val="004D06AA"/>
    <w:rsid w:val="004D0D78"/>
    <w:rsid w:val="004D123F"/>
    <w:rsid w:val="004D13B9"/>
    <w:rsid w:val="004D15F6"/>
    <w:rsid w:val="004D1B9F"/>
    <w:rsid w:val="004D217E"/>
    <w:rsid w:val="004D2259"/>
    <w:rsid w:val="004D2420"/>
    <w:rsid w:val="004D25AA"/>
    <w:rsid w:val="004D25FE"/>
    <w:rsid w:val="004D277A"/>
    <w:rsid w:val="004D2809"/>
    <w:rsid w:val="004D2A18"/>
    <w:rsid w:val="004D2A77"/>
    <w:rsid w:val="004D2A81"/>
    <w:rsid w:val="004D322B"/>
    <w:rsid w:val="004D32EA"/>
    <w:rsid w:val="004D3732"/>
    <w:rsid w:val="004D3B15"/>
    <w:rsid w:val="004D4509"/>
    <w:rsid w:val="004D46C8"/>
    <w:rsid w:val="004D490D"/>
    <w:rsid w:val="004D4CED"/>
    <w:rsid w:val="004D4D6D"/>
    <w:rsid w:val="004D5017"/>
    <w:rsid w:val="004D54C1"/>
    <w:rsid w:val="004D601D"/>
    <w:rsid w:val="004D6119"/>
    <w:rsid w:val="004D6197"/>
    <w:rsid w:val="004D6308"/>
    <w:rsid w:val="004D6B22"/>
    <w:rsid w:val="004D7283"/>
    <w:rsid w:val="004D77C5"/>
    <w:rsid w:val="004D7D96"/>
    <w:rsid w:val="004D7E7A"/>
    <w:rsid w:val="004D7F50"/>
    <w:rsid w:val="004D7FD7"/>
    <w:rsid w:val="004E010D"/>
    <w:rsid w:val="004E02B6"/>
    <w:rsid w:val="004E095A"/>
    <w:rsid w:val="004E0964"/>
    <w:rsid w:val="004E0EEC"/>
    <w:rsid w:val="004E1259"/>
    <w:rsid w:val="004E1493"/>
    <w:rsid w:val="004E17DE"/>
    <w:rsid w:val="004E1C4A"/>
    <w:rsid w:val="004E1D8B"/>
    <w:rsid w:val="004E20E3"/>
    <w:rsid w:val="004E2198"/>
    <w:rsid w:val="004E21D5"/>
    <w:rsid w:val="004E255E"/>
    <w:rsid w:val="004E25DB"/>
    <w:rsid w:val="004E261F"/>
    <w:rsid w:val="004E2979"/>
    <w:rsid w:val="004E2F72"/>
    <w:rsid w:val="004E30CB"/>
    <w:rsid w:val="004E3196"/>
    <w:rsid w:val="004E3C35"/>
    <w:rsid w:val="004E3DAE"/>
    <w:rsid w:val="004E4271"/>
    <w:rsid w:val="004E4276"/>
    <w:rsid w:val="004E43BD"/>
    <w:rsid w:val="004E45AD"/>
    <w:rsid w:val="004E4B3A"/>
    <w:rsid w:val="004E4F4C"/>
    <w:rsid w:val="004E51A5"/>
    <w:rsid w:val="004E51AC"/>
    <w:rsid w:val="004E5284"/>
    <w:rsid w:val="004E5355"/>
    <w:rsid w:val="004E5865"/>
    <w:rsid w:val="004E5AD3"/>
    <w:rsid w:val="004E67D2"/>
    <w:rsid w:val="004E6903"/>
    <w:rsid w:val="004E6E0D"/>
    <w:rsid w:val="004E7063"/>
    <w:rsid w:val="004E73B3"/>
    <w:rsid w:val="004E75E6"/>
    <w:rsid w:val="004E75F3"/>
    <w:rsid w:val="004E760A"/>
    <w:rsid w:val="004E7E14"/>
    <w:rsid w:val="004E7FCC"/>
    <w:rsid w:val="004F0084"/>
    <w:rsid w:val="004F06F0"/>
    <w:rsid w:val="004F0787"/>
    <w:rsid w:val="004F085B"/>
    <w:rsid w:val="004F09C6"/>
    <w:rsid w:val="004F0A7F"/>
    <w:rsid w:val="004F0E08"/>
    <w:rsid w:val="004F0E96"/>
    <w:rsid w:val="004F15C4"/>
    <w:rsid w:val="004F2090"/>
    <w:rsid w:val="004F3569"/>
    <w:rsid w:val="004F3667"/>
    <w:rsid w:val="004F38B6"/>
    <w:rsid w:val="004F3E3D"/>
    <w:rsid w:val="004F4097"/>
    <w:rsid w:val="004F4E5B"/>
    <w:rsid w:val="004F4EA9"/>
    <w:rsid w:val="004F51F2"/>
    <w:rsid w:val="004F574B"/>
    <w:rsid w:val="004F6AE0"/>
    <w:rsid w:val="004F7AF8"/>
    <w:rsid w:val="005010FA"/>
    <w:rsid w:val="00501923"/>
    <w:rsid w:val="00501E9A"/>
    <w:rsid w:val="00502004"/>
    <w:rsid w:val="0050228D"/>
    <w:rsid w:val="005029FC"/>
    <w:rsid w:val="00502CEF"/>
    <w:rsid w:val="00502D06"/>
    <w:rsid w:val="0050310F"/>
    <w:rsid w:val="0050313E"/>
    <w:rsid w:val="00503902"/>
    <w:rsid w:val="0050436D"/>
    <w:rsid w:val="005050BA"/>
    <w:rsid w:val="00505A76"/>
    <w:rsid w:val="00505A8F"/>
    <w:rsid w:val="00505CA7"/>
    <w:rsid w:val="00506090"/>
    <w:rsid w:val="005069A2"/>
    <w:rsid w:val="00506B31"/>
    <w:rsid w:val="0050725B"/>
    <w:rsid w:val="005074EB"/>
    <w:rsid w:val="0050753F"/>
    <w:rsid w:val="00507B6C"/>
    <w:rsid w:val="00507B89"/>
    <w:rsid w:val="00507EEF"/>
    <w:rsid w:val="00510700"/>
    <w:rsid w:val="00510A39"/>
    <w:rsid w:val="00510B13"/>
    <w:rsid w:val="00510D5A"/>
    <w:rsid w:val="00510E2D"/>
    <w:rsid w:val="00510EC3"/>
    <w:rsid w:val="005112DB"/>
    <w:rsid w:val="0051164E"/>
    <w:rsid w:val="00511EA1"/>
    <w:rsid w:val="00512217"/>
    <w:rsid w:val="0051299F"/>
    <w:rsid w:val="00512FEA"/>
    <w:rsid w:val="00513187"/>
    <w:rsid w:val="005131A5"/>
    <w:rsid w:val="0051320A"/>
    <w:rsid w:val="00513870"/>
    <w:rsid w:val="00514335"/>
    <w:rsid w:val="00514862"/>
    <w:rsid w:val="00514883"/>
    <w:rsid w:val="00514C78"/>
    <w:rsid w:val="0051506C"/>
    <w:rsid w:val="005150CA"/>
    <w:rsid w:val="005152FD"/>
    <w:rsid w:val="00515FFC"/>
    <w:rsid w:val="00516145"/>
    <w:rsid w:val="0051615D"/>
    <w:rsid w:val="00516456"/>
    <w:rsid w:val="0051670B"/>
    <w:rsid w:val="00516C81"/>
    <w:rsid w:val="005179D0"/>
    <w:rsid w:val="00520198"/>
    <w:rsid w:val="005204C3"/>
    <w:rsid w:val="00520C80"/>
    <w:rsid w:val="00520ED7"/>
    <w:rsid w:val="005213B2"/>
    <w:rsid w:val="005213BB"/>
    <w:rsid w:val="00521D90"/>
    <w:rsid w:val="00521F41"/>
    <w:rsid w:val="00522041"/>
    <w:rsid w:val="005224A7"/>
    <w:rsid w:val="005226D8"/>
    <w:rsid w:val="0052327F"/>
    <w:rsid w:val="005234EB"/>
    <w:rsid w:val="00523634"/>
    <w:rsid w:val="005239A6"/>
    <w:rsid w:val="00523B5E"/>
    <w:rsid w:val="00523ED6"/>
    <w:rsid w:val="005240F4"/>
    <w:rsid w:val="0052425C"/>
    <w:rsid w:val="005243F3"/>
    <w:rsid w:val="00524960"/>
    <w:rsid w:val="00524F2B"/>
    <w:rsid w:val="005253E8"/>
    <w:rsid w:val="005256EB"/>
    <w:rsid w:val="00526111"/>
    <w:rsid w:val="00526574"/>
    <w:rsid w:val="00526715"/>
    <w:rsid w:val="0052680A"/>
    <w:rsid w:val="00526F39"/>
    <w:rsid w:val="00527120"/>
    <w:rsid w:val="005276F5"/>
    <w:rsid w:val="00527876"/>
    <w:rsid w:val="005278F4"/>
    <w:rsid w:val="00527AAA"/>
    <w:rsid w:val="00527FE0"/>
    <w:rsid w:val="005305C4"/>
    <w:rsid w:val="00530CAD"/>
    <w:rsid w:val="00530CF5"/>
    <w:rsid w:val="00530D53"/>
    <w:rsid w:val="00530DA9"/>
    <w:rsid w:val="00530DCD"/>
    <w:rsid w:val="005314CD"/>
    <w:rsid w:val="00531E94"/>
    <w:rsid w:val="005324C9"/>
    <w:rsid w:val="005329CC"/>
    <w:rsid w:val="005333E0"/>
    <w:rsid w:val="0053343B"/>
    <w:rsid w:val="0053382B"/>
    <w:rsid w:val="00533D63"/>
    <w:rsid w:val="00533D8C"/>
    <w:rsid w:val="0053443E"/>
    <w:rsid w:val="005348B5"/>
    <w:rsid w:val="00534D46"/>
    <w:rsid w:val="00535026"/>
    <w:rsid w:val="005350D4"/>
    <w:rsid w:val="005353E9"/>
    <w:rsid w:val="005354B2"/>
    <w:rsid w:val="00535B9F"/>
    <w:rsid w:val="00535C16"/>
    <w:rsid w:val="00535D06"/>
    <w:rsid w:val="0053609B"/>
    <w:rsid w:val="00536666"/>
    <w:rsid w:val="00536E26"/>
    <w:rsid w:val="00537AAA"/>
    <w:rsid w:val="00537DEB"/>
    <w:rsid w:val="00540046"/>
    <w:rsid w:val="00540B14"/>
    <w:rsid w:val="00540C67"/>
    <w:rsid w:val="00540D61"/>
    <w:rsid w:val="005412E4"/>
    <w:rsid w:val="005413F6"/>
    <w:rsid w:val="00541C27"/>
    <w:rsid w:val="00541FFA"/>
    <w:rsid w:val="0054211D"/>
    <w:rsid w:val="0054214C"/>
    <w:rsid w:val="0054220A"/>
    <w:rsid w:val="005422BD"/>
    <w:rsid w:val="005422CA"/>
    <w:rsid w:val="0054269D"/>
    <w:rsid w:val="00542DCA"/>
    <w:rsid w:val="00542E3C"/>
    <w:rsid w:val="00543E43"/>
    <w:rsid w:val="00544335"/>
    <w:rsid w:val="00544614"/>
    <w:rsid w:val="005447A1"/>
    <w:rsid w:val="00544885"/>
    <w:rsid w:val="005448AA"/>
    <w:rsid w:val="005461D1"/>
    <w:rsid w:val="0054642C"/>
    <w:rsid w:val="00546509"/>
    <w:rsid w:val="00546544"/>
    <w:rsid w:val="0054663D"/>
    <w:rsid w:val="00546936"/>
    <w:rsid w:val="00546E2D"/>
    <w:rsid w:val="00546EC6"/>
    <w:rsid w:val="005475A5"/>
    <w:rsid w:val="00547900"/>
    <w:rsid w:val="005479B4"/>
    <w:rsid w:val="00547A98"/>
    <w:rsid w:val="00547AC3"/>
    <w:rsid w:val="005504AA"/>
    <w:rsid w:val="00550535"/>
    <w:rsid w:val="005506E3"/>
    <w:rsid w:val="00550C7D"/>
    <w:rsid w:val="005511ED"/>
    <w:rsid w:val="005513FF"/>
    <w:rsid w:val="005514A0"/>
    <w:rsid w:val="00551679"/>
    <w:rsid w:val="005517BA"/>
    <w:rsid w:val="005520CC"/>
    <w:rsid w:val="00552563"/>
    <w:rsid w:val="005527AC"/>
    <w:rsid w:val="005527FD"/>
    <w:rsid w:val="00552A81"/>
    <w:rsid w:val="00552AC7"/>
    <w:rsid w:val="00552C9C"/>
    <w:rsid w:val="0055337B"/>
    <w:rsid w:val="00553A21"/>
    <w:rsid w:val="00553D76"/>
    <w:rsid w:val="00553E42"/>
    <w:rsid w:val="0055434C"/>
    <w:rsid w:val="00554385"/>
    <w:rsid w:val="0055455F"/>
    <w:rsid w:val="005548D6"/>
    <w:rsid w:val="00554BF0"/>
    <w:rsid w:val="00554D5D"/>
    <w:rsid w:val="005555D5"/>
    <w:rsid w:val="00555A5F"/>
    <w:rsid w:val="0055636A"/>
    <w:rsid w:val="0055639B"/>
    <w:rsid w:val="005563AB"/>
    <w:rsid w:val="005563B8"/>
    <w:rsid w:val="00556706"/>
    <w:rsid w:val="00556772"/>
    <w:rsid w:val="0055694E"/>
    <w:rsid w:val="00556AE8"/>
    <w:rsid w:val="00556B97"/>
    <w:rsid w:val="00556CFD"/>
    <w:rsid w:val="00557180"/>
    <w:rsid w:val="005571E1"/>
    <w:rsid w:val="00557515"/>
    <w:rsid w:val="00557530"/>
    <w:rsid w:val="0055777D"/>
    <w:rsid w:val="00557957"/>
    <w:rsid w:val="00557CCE"/>
    <w:rsid w:val="00557DF3"/>
    <w:rsid w:val="00560251"/>
    <w:rsid w:val="005607EE"/>
    <w:rsid w:val="00560BB6"/>
    <w:rsid w:val="005614C8"/>
    <w:rsid w:val="00562A1C"/>
    <w:rsid w:val="00562B66"/>
    <w:rsid w:val="00562C0D"/>
    <w:rsid w:val="00562DA8"/>
    <w:rsid w:val="00562EC5"/>
    <w:rsid w:val="005636D8"/>
    <w:rsid w:val="00563C85"/>
    <w:rsid w:val="00564874"/>
    <w:rsid w:val="00564A4C"/>
    <w:rsid w:val="00564E03"/>
    <w:rsid w:val="00564F65"/>
    <w:rsid w:val="005650EC"/>
    <w:rsid w:val="005651DD"/>
    <w:rsid w:val="00565613"/>
    <w:rsid w:val="0056569B"/>
    <w:rsid w:val="00566393"/>
    <w:rsid w:val="00566535"/>
    <w:rsid w:val="005669C5"/>
    <w:rsid w:val="00566C25"/>
    <w:rsid w:val="005673B7"/>
    <w:rsid w:val="00567516"/>
    <w:rsid w:val="0057003A"/>
    <w:rsid w:val="005702C6"/>
    <w:rsid w:val="005708A3"/>
    <w:rsid w:val="00570F7B"/>
    <w:rsid w:val="005712FE"/>
    <w:rsid w:val="0057139B"/>
    <w:rsid w:val="00571447"/>
    <w:rsid w:val="00571A1D"/>
    <w:rsid w:val="00571AB6"/>
    <w:rsid w:val="00571C86"/>
    <w:rsid w:val="00571D26"/>
    <w:rsid w:val="00571E85"/>
    <w:rsid w:val="00572653"/>
    <w:rsid w:val="00572B8B"/>
    <w:rsid w:val="00573277"/>
    <w:rsid w:val="00573299"/>
    <w:rsid w:val="005735F0"/>
    <w:rsid w:val="0057375C"/>
    <w:rsid w:val="00573807"/>
    <w:rsid w:val="00573913"/>
    <w:rsid w:val="00573F16"/>
    <w:rsid w:val="00574155"/>
    <w:rsid w:val="00574163"/>
    <w:rsid w:val="005743DA"/>
    <w:rsid w:val="00574631"/>
    <w:rsid w:val="00574FC2"/>
    <w:rsid w:val="0057544A"/>
    <w:rsid w:val="00575574"/>
    <w:rsid w:val="005755E7"/>
    <w:rsid w:val="00575634"/>
    <w:rsid w:val="0057581F"/>
    <w:rsid w:val="005758EE"/>
    <w:rsid w:val="00576076"/>
    <w:rsid w:val="00576988"/>
    <w:rsid w:val="00576A94"/>
    <w:rsid w:val="00576D1E"/>
    <w:rsid w:val="005771BF"/>
    <w:rsid w:val="0057723F"/>
    <w:rsid w:val="0057724E"/>
    <w:rsid w:val="0057771F"/>
    <w:rsid w:val="005777B0"/>
    <w:rsid w:val="00577B79"/>
    <w:rsid w:val="0058038F"/>
    <w:rsid w:val="005809FB"/>
    <w:rsid w:val="005813D8"/>
    <w:rsid w:val="005816D2"/>
    <w:rsid w:val="005817A7"/>
    <w:rsid w:val="00581B08"/>
    <w:rsid w:val="00581B76"/>
    <w:rsid w:val="00581B83"/>
    <w:rsid w:val="00581D07"/>
    <w:rsid w:val="00581E83"/>
    <w:rsid w:val="00581F4F"/>
    <w:rsid w:val="0058209C"/>
    <w:rsid w:val="005822DA"/>
    <w:rsid w:val="00582B6B"/>
    <w:rsid w:val="00582C52"/>
    <w:rsid w:val="00582C56"/>
    <w:rsid w:val="00583004"/>
    <w:rsid w:val="00583068"/>
    <w:rsid w:val="0058316D"/>
    <w:rsid w:val="0058339B"/>
    <w:rsid w:val="0058341F"/>
    <w:rsid w:val="005834FC"/>
    <w:rsid w:val="00583660"/>
    <w:rsid w:val="0058387A"/>
    <w:rsid w:val="00583925"/>
    <w:rsid w:val="00583B79"/>
    <w:rsid w:val="00583B87"/>
    <w:rsid w:val="00583D70"/>
    <w:rsid w:val="00583DAF"/>
    <w:rsid w:val="00583E9B"/>
    <w:rsid w:val="00584814"/>
    <w:rsid w:val="00584AC6"/>
    <w:rsid w:val="00585073"/>
    <w:rsid w:val="005850A4"/>
    <w:rsid w:val="005859DC"/>
    <w:rsid w:val="00585BC1"/>
    <w:rsid w:val="005866DF"/>
    <w:rsid w:val="005870ED"/>
    <w:rsid w:val="00587423"/>
    <w:rsid w:val="0058751A"/>
    <w:rsid w:val="00587745"/>
    <w:rsid w:val="0059055D"/>
    <w:rsid w:val="0059068C"/>
    <w:rsid w:val="00590868"/>
    <w:rsid w:val="00590E96"/>
    <w:rsid w:val="00591209"/>
    <w:rsid w:val="00591510"/>
    <w:rsid w:val="005915AB"/>
    <w:rsid w:val="005917D2"/>
    <w:rsid w:val="00591AE8"/>
    <w:rsid w:val="00591AF4"/>
    <w:rsid w:val="005920FE"/>
    <w:rsid w:val="00592356"/>
    <w:rsid w:val="005929B0"/>
    <w:rsid w:val="00592F8A"/>
    <w:rsid w:val="00593549"/>
    <w:rsid w:val="00593774"/>
    <w:rsid w:val="00593AC3"/>
    <w:rsid w:val="00593EE4"/>
    <w:rsid w:val="00593F85"/>
    <w:rsid w:val="00593FEA"/>
    <w:rsid w:val="0059429C"/>
    <w:rsid w:val="00594643"/>
    <w:rsid w:val="005949EB"/>
    <w:rsid w:val="00594BDF"/>
    <w:rsid w:val="005950F1"/>
    <w:rsid w:val="0059515B"/>
    <w:rsid w:val="005952EB"/>
    <w:rsid w:val="0059550E"/>
    <w:rsid w:val="00595532"/>
    <w:rsid w:val="00595A7D"/>
    <w:rsid w:val="00595E6A"/>
    <w:rsid w:val="005968B5"/>
    <w:rsid w:val="00596BC4"/>
    <w:rsid w:val="00596BED"/>
    <w:rsid w:val="0059717F"/>
    <w:rsid w:val="005973D9"/>
    <w:rsid w:val="0059781D"/>
    <w:rsid w:val="00597B81"/>
    <w:rsid w:val="005A072E"/>
    <w:rsid w:val="005A0936"/>
    <w:rsid w:val="005A0957"/>
    <w:rsid w:val="005A0C2E"/>
    <w:rsid w:val="005A0EE0"/>
    <w:rsid w:val="005A11C0"/>
    <w:rsid w:val="005A1B80"/>
    <w:rsid w:val="005A1C01"/>
    <w:rsid w:val="005A1E92"/>
    <w:rsid w:val="005A2298"/>
    <w:rsid w:val="005A2568"/>
    <w:rsid w:val="005A2CD4"/>
    <w:rsid w:val="005A3560"/>
    <w:rsid w:val="005A376C"/>
    <w:rsid w:val="005A3810"/>
    <w:rsid w:val="005A419A"/>
    <w:rsid w:val="005A42D2"/>
    <w:rsid w:val="005A452F"/>
    <w:rsid w:val="005A4644"/>
    <w:rsid w:val="005A469D"/>
    <w:rsid w:val="005A46F6"/>
    <w:rsid w:val="005A4BF1"/>
    <w:rsid w:val="005A4E0E"/>
    <w:rsid w:val="005A5025"/>
    <w:rsid w:val="005A5408"/>
    <w:rsid w:val="005A5495"/>
    <w:rsid w:val="005A5630"/>
    <w:rsid w:val="005A566A"/>
    <w:rsid w:val="005A6504"/>
    <w:rsid w:val="005A654A"/>
    <w:rsid w:val="005A66B7"/>
    <w:rsid w:val="005A67F8"/>
    <w:rsid w:val="005A6843"/>
    <w:rsid w:val="005A6B85"/>
    <w:rsid w:val="005A75BD"/>
    <w:rsid w:val="005B02E0"/>
    <w:rsid w:val="005B078F"/>
    <w:rsid w:val="005B07A6"/>
    <w:rsid w:val="005B08E2"/>
    <w:rsid w:val="005B0D6F"/>
    <w:rsid w:val="005B0DFD"/>
    <w:rsid w:val="005B1335"/>
    <w:rsid w:val="005B15F0"/>
    <w:rsid w:val="005B1883"/>
    <w:rsid w:val="005B1A2A"/>
    <w:rsid w:val="005B1B3D"/>
    <w:rsid w:val="005B1BF9"/>
    <w:rsid w:val="005B3302"/>
    <w:rsid w:val="005B3D2C"/>
    <w:rsid w:val="005B3E64"/>
    <w:rsid w:val="005B4412"/>
    <w:rsid w:val="005B4476"/>
    <w:rsid w:val="005B4550"/>
    <w:rsid w:val="005B45BF"/>
    <w:rsid w:val="005B4601"/>
    <w:rsid w:val="005B4A6E"/>
    <w:rsid w:val="005B4C7B"/>
    <w:rsid w:val="005B4DC9"/>
    <w:rsid w:val="005B5050"/>
    <w:rsid w:val="005B560B"/>
    <w:rsid w:val="005B592E"/>
    <w:rsid w:val="005B5981"/>
    <w:rsid w:val="005B59FF"/>
    <w:rsid w:val="005B5DE0"/>
    <w:rsid w:val="005B60EE"/>
    <w:rsid w:val="005B61B1"/>
    <w:rsid w:val="005B677E"/>
    <w:rsid w:val="005B6E45"/>
    <w:rsid w:val="005B6EA2"/>
    <w:rsid w:val="005B7384"/>
    <w:rsid w:val="005B740F"/>
    <w:rsid w:val="005B7569"/>
    <w:rsid w:val="005B7747"/>
    <w:rsid w:val="005B7A59"/>
    <w:rsid w:val="005B7B75"/>
    <w:rsid w:val="005B7DA3"/>
    <w:rsid w:val="005C012D"/>
    <w:rsid w:val="005C01ED"/>
    <w:rsid w:val="005C05E5"/>
    <w:rsid w:val="005C0718"/>
    <w:rsid w:val="005C07DA"/>
    <w:rsid w:val="005C0887"/>
    <w:rsid w:val="005C0F12"/>
    <w:rsid w:val="005C11B1"/>
    <w:rsid w:val="005C1465"/>
    <w:rsid w:val="005C189B"/>
    <w:rsid w:val="005C1A65"/>
    <w:rsid w:val="005C1AC4"/>
    <w:rsid w:val="005C1B18"/>
    <w:rsid w:val="005C220C"/>
    <w:rsid w:val="005C2848"/>
    <w:rsid w:val="005C2898"/>
    <w:rsid w:val="005C29D6"/>
    <w:rsid w:val="005C2BC6"/>
    <w:rsid w:val="005C2C5C"/>
    <w:rsid w:val="005C2D66"/>
    <w:rsid w:val="005C31D5"/>
    <w:rsid w:val="005C3472"/>
    <w:rsid w:val="005C3513"/>
    <w:rsid w:val="005C358B"/>
    <w:rsid w:val="005C3B9E"/>
    <w:rsid w:val="005C3BCF"/>
    <w:rsid w:val="005C3C7D"/>
    <w:rsid w:val="005C3D59"/>
    <w:rsid w:val="005C4017"/>
    <w:rsid w:val="005C41DA"/>
    <w:rsid w:val="005C4A9C"/>
    <w:rsid w:val="005C5711"/>
    <w:rsid w:val="005C5BB0"/>
    <w:rsid w:val="005C6158"/>
    <w:rsid w:val="005C726B"/>
    <w:rsid w:val="005C75DF"/>
    <w:rsid w:val="005C76DA"/>
    <w:rsid w:val="005C7BF3"/>
    <w:rsid w:val="005C7E15"/>
    <w:rsid w:val="005C7FD7"/>
    <w:rsid w:val="005D03AE"/>
    <w:rsid w:val="005D06BC"/>
    <w:rsid w:val="005D10C8"/>
    <w:rsid w:val="005D14CE"/>
    <w:rsid w:val="005D16B3"/>
    <w:rsid w:val="005D18D7"/>
    <w:rsid w:val="005D212F"/>
    <w:rsid w:val="005D253A"/>
    <w:rsid w:val="005D2A0B"/>
    <w:rsid w:val="005D2AD8"/>
    <w:rsid w:val="005D2C1B"/>
    <w:rsid w:val="005D2CED"/>
    <w:rsid w:val="005D2D83"/>
    <w:rsid w:val="005D36E4"/>
    <w:rsid w:val="005D3B76"/>
    <w:rsid w:val="005D3B8D"/>
    <w:rsid w:val="005D3C3A"/>
    <w:rsid w:val="005D3D1D"/>
    <w:rsid w:val="005D3DDE"/>
    <w:rsid w:val="005D40F0"/>
    <w:rsid w:val="005D427B"/>
    <w:rsid w:val="005D4595"/>
    <w:rsid w:val="005D4671"/>
    <w:rsid w:val="005D4AB5"/>
    <w:rsid w:val="005D4C1C"/>
    <w:rsid w:val="005D4E1A"/>
    <w:rsid w:val="005D4F5E"/>
    <w:rsid w:val="005D4FE0"/>
    <w:rsid w:val="005D5522"/>
    <w:rsid w:val="005D5E6E"/>
    <w:rsid w:val="005D5E99"/>
    <w:rsid w:val="005D6053"/>
    <w:rsid w:val="005D629B"/>
    <w:rsid w:val="005D6764"/>
    <w:rsid w:val="005D6786"/>
    <w:rsid w:val="005D6E0E"/>
    <w:rsid w:val="005D6FA0"/>
    <w:rsid w:val="005D7F1A"/>
    <w:rsid w:val="005E02DA"/>
    <w:rsid w:val="005E0324"/>
    <w:rsid w:val="005E05DF"/>
    <w:rsid w:val="005E0A01"/>
    <w:rsid w:val="005E0AAF"/>
    <w:rsid w:val="005E0DAC"/>
    <w:rsid w:val="005E1CE3"/>
    <w:rsid w:val="005E225E"/>
    <w:rsid w:val="005E22E4"/>
    <w:rsid w:val="005E235B"/>
    <w:rsid w:val="005E287A"/>
    <w:rsid w:val="005E293C"/>
    <w:rsid w:val="005E2D95"/>
    <w:rsid w:val="005E32A8"/>
    <w:rsid w:val="005E3392"/>
    <w:rsid w:val="005E3984"/>
    <w:rsid w:val="005E412F"/>
    <w:rsid w:val="005E4447"/>
    <w:rsid w:val="005E4CA0"/>
    <w:rsid w:val="005E4D4F"/>
    <w:rsid w:val="005E500D"/>
    <w:rsid w:val="005E50C0"/>
    <w:rsid w:val="005E5527"/>
    <w:rsid w:val="005E59C6"/>
    <w:rsid w:val="005E5BC2"/>
    <w:rsid w:val="005E5EDB"/>
    <w:rsid w:val="005E67AE"/>
    <w:rsid w:val="005E6809"/>
    <w:rsid w:val="005E69BD"/>
    <w:rsid w:val="005E6A92"/>
    <w:rsid w:val="005E6E58"/>
    <w:rsid w:val="005E6EDE"/>
    <w:rsid w:val="005E7109"/>
    <w:rsid w:val="005E715F"/>
    <w:rsid w:val="005E716F"/>
    <w:rsid w:val="005E74BD"/>
    <w:rsid w:val="005E7FF1"/>
    <w:rsid w:val="005F054C"/>
    <w:rsid w:val="005F0A41"/>
    <w:rsid w:val="005F0C7B"/>
    <w:rsid w:val="005F0CF7"/>
    <w:rsid w:val="005F0D89"/>
    <w:rsid w:val="005F0E96"/>
    <w:rsid w:val="005F1085"/>
    <w:rsid w:val="005F10DB"/>
    <w:rsid w:val="005F1985"/>
    <w:rsid w:val="005F1A17"/>
    <w:rsid w:val="005F2209"/>
    <w:rsid w:val="005F272E"/>
    <w:rsid w:val="005F2E67"/>
    <w:rsid w:val="005F327D"/>
    <w:rsid w:val="005F3AD9"/>
    <w:rsid w:val="005F4238"/>
    <w:rsid w:val="005F4381"/>
    <w:rsid w:val="005F4774"/>
    <w:rsid w:val="005F489E"/>
    <w:rsid w:val="005F4A7C"/>
    <w:rsid w:val="005F4A9C"/>
    <w:rsid w:val="005F4CF0"/>
    <w:rsid w:val="005F4D92"/>
    <w:rsid w:val="005F504E"/>
    <w:rsid w:val="005F5344"/>
    <w:rsid w:val="005F5F3E"/>
    <w:rsid w:val="005F62C9"/>
    <w:rsid w:val="005F6B5C"/>
    <w:rsid w:val="005F7282"/>
    <w:rsid w:val="005F72ED"/>
    <w:rsid w:val="005F7B58"/>
    <w:rsid w:val="005F7E7C"/>
    <w:rsid w:val="00600241"/>
    <w:rsid w:val="006003B0"/>
    <w:rsid w:val="0060063C"/>
    <w:rsid w:val="00600C15"/>
    <w:rsid w:val="00600DAC"/>
    <w:rsid w:val="00600E0E"/>
    <w:rsid w:val="0060171E"/>
    <w:rsid w:val="00601875"/>
    <w:rsid w:val="00601985"/>
    <w:rsid w:val="00601E95"/>
    <w:rsid w:val="00601EF7"/>
    <w:rsid w:val="006022F3"/>
    <w:rsid w:val="00602677"/>
    <w:rsid w:val="00602D51"/>
    <w:rsid w:val="006032DD"/>
    <w:rsid w:val="00603517"/>
    <w:rsid w:val="00603977"/>
    <w:rsid w:val="00603E26"/>
    <w:rsid w:val="00603ED8"/>
    <w:rsid w:val="00604B92"/>
    <w:rsid w:val="00604D47"/>
    <w:rsid w:val="00605184"/>
    <w:rsid w:val="006053D0"/>
    <w:rsid w:val="00605425"/>
    <w:rsid w:val="0060562C"/>
    <w:rsid w:val="00605668"/>
    <w:rsid w:val="0060593E"/>
    <w:rsid w:val="006059F2"/>
    <w:rsid w:val="00605A5E"/>
    <w:rsid w:val="0060604F"/>
    <w:rsid w:val="0060617F"/>
    <w:rsid w:val="006066F6"/>
    <w:rsid w:val="0060682A"/>
    <w:rsid w:val="00606C98"/>
    <w:rsid w:val="00606F35"/>
    <w:rsid w:val="0060716D"/>
    <w:rsid w:val="006071C7"/>
    <w:rsid w:val="00607473"/>
    <w:rsid w:val="00607898"/>
    <w:rsid w:val="00607BA6"/>
    <w:rsid w:val="00607C9A"/>
    <w:rsid w:val="00607CA9"/>
    <w:rsid w:val="00607F54"/>
    <w:rsid w:val="006102AC"/>
    <w:rsid w:val="0061036E"/>
    <w:rsid w:val="0061070C"/>
    <w:rsid w:val="00610AFF"/>
    <w:rsid w:val="00610B37"/>
    <w:rsid w:val="00610BA9"/>
    <w:rsid w:val="00610CB8"/>
    <w:rsid w:val="0061160E"/>
    <w:rsid w:val="0061165A"/>
    <w:rsid w:val="0061175F"/>
    <w:rsid w:val="00611ACE"/>
    <w:rsid w:val="00611C71"/>
    <w:rsid w:val="00611F89"/>
    <w:rsid w:val="0061277A"/>
    <w:rsid w:val="00612DF8"/>
    <w:rsid w:val="00612E8D"/>
    <w:rsid w:val="0061334C"/>
    <w:rsid w:val="006133B0"/>
    <w:rsid w:val="00613493"/>
    <w:rsid w:val="0061375E"/>
    <w:rsid w:val="00613C58"/>
    <w:rsid w:val="00613CAC"/>
    <w:rsid w:val="00613CCF"/>
    <w:rsid w:val="00613F1A"/>
    <w:rsid w:val="00614026"/>
    <w:rsid w:val="0061479D"/>
    <w:rsid w:val="00614C17"/>
    <w:rsid w:val="00614C5E"/>
    <w:rsid w:val="00614C9F"/>
    <w:rsid w:val="00614CC2"/>
    <w:rsid w:val="00615D43"/>
    <w:rsid w:val="0061660F"/>
    <w:rsid w:val="00616A79"/>
    <w:rsid w:val="00616B7C"/>
    <w:rsid w:val="00616E9B"/>
    <w:rsid w:val="00616F09"/>
    <w:rsid w:val="00616F50"/>
    <w:rsid w:val="0061712E"/>
    <w:rsid w:val="0061740C"/>
    <w:rsid w:val="00617691"/>
    <w:rsid w:val="00617925"/>
    <w:rsid w:val="006179EA"/>
    <w:rsid w:val="006200AA"/>
    <w:rsid w:val="00620440"/>
    <w:rsid w:val="00620733"/>
    <w:rsid w:val="00620E6B"/>
    <w:rsid w:val="00621101"/>
    <w:rsid w:val="00621258"/>
    <w:rsid w:val="006215E1"/>
    <w:rsid w:val="00621CBC"/>
    <w:rsid w:val="006220D9"/>
    <w:rsid w:val="006221CF"/>
    <w:rsid w:val="00622283"/>
    <w:rsid w:val="006223C5"/>
    <w:rsid w:val="00622501"/>
    <w:rsid w:val="00622578"/>
    <w:rsid w:val="006227D1"/>
    <w:rsid w:val="00622DEE"/>
    <w:rsid w:val="00623546"/>
    <w:rsid w:val="006237D2"/>
    <w:rsid w:val="00623B4B"/>
    <w:rsid w:val="00623D54"/>
    <w:rsid w:val="00624026"/>
    <w:rsid w:val="006241AA"/>
    <w:rsid w:val="0062496A"/>
    <w:rsid w:val="0062506F"/>
    <w:rsid w:val="00625199"/>
    <w:rsid w:val="00625276"/>
    <w:rsid w:val="00625767"/>
    <w:rsid w:val="0062578D"/>
    <w:rsid w:val="00625904"/>
    <w:rsid w:val="00625AF7"/>
    <w:rsid w:val="00626047"/>
    <w:rsid w:val="00626409"/>
    <w:rsid w:val="00626577"/>
    <w:rsid w:val="006266B4"/>
    <w:rsid w:val="006268B4"/>
    <w:rsid w:val="006269F7"/>
    <w:rsid w:val="00626BFA"/>
    <w:rsid w:val="00626F58"/>
    <w:rsid w:val="0062706E"/>
    <w:rsid w:val="0062744B"/>
    <w:rsid w:val="00627735"/>
    <w:rsid w:val="006278CB"/>
    <w:rsid w:val="00627907"/>
    <w:rsid w:val="00627AB9"/>
    <w:rsid w:val="006305D5"/>
    <w:rsid w:val="00630922"/>
    <w:rsid w:val="00631585"/>
    <w:rsid w:val="0063172B"/>
    <w:rsid w:val="00631C14"/>
    <w:rsid w:val="00631CD1"/>
    <w:rsid w:val="00632178"/>
    <w:rsid w:val="006323FA"/>
    <w:rsid w:val="00632505"/>
    <w:rsid w:val="00632764"/>
    <w:rsid w:val="00632CB0"/>
    <w:rsid w:val="00632D08"/>
    <w:rsid w:val="00633268"/>
    <w:rsid w:val="00633434"/>
    <w:rsid w:val="00633879"/>
    <w:rsid w:val="006339FB"/>
    <w:rsid w:val="00633BB2"/>
    <w:rsid w:val="00633F35"/>
    <w:rsid w:val="00634465"/>
    <w:rsid w:val="0063496B"/>
    <w:rsid w:val="00634F90"/>
    <w:rsid w:val="00635134"/>
    <w:rsid w:val="0063518D"/>
    <w:rsid w:val="006352C2"/>
    <w:rsid w:val="006354EB"/>
    <w:rsid w:val="006355DC"/>
    <w:rsid w:val="0063594F"/>
    <w:rsid w:val="00635A74"/>
    <w:rsid w:val="00635D08"/>
    <w:rsid w:val="00635F96"/>
    <w:rsid w:val="00635F9C"/>
    <w:rsid w:val="00635FD9"/>
    <w:rsid w:val="00636031"/>
    <w:rsid w:val="006361A8"/>
    <w:rsid w:val="0063624E"/>
    <w:rsid w:val="0063648F"/>
    <w:rsid w:val="006367C1"/>
    <w:rsid w:val="006368D0"/>
    <w:rsid w:val="00636DC0"/>
    <w:rsid w:val="00636FD0"/>
    <w:rsid w:val="00637106"/>
    <w:rsid w:val="00637297"/>
    <w:rsid w:val="00637356"/>
    <w:rsid w:val="006374C2"/>
    <w:rsid w:val="006377F2"/>
    <w:rsid w:val="00637C50"/>
    <w:rsid w:val="00637CA8"/>
    <w:rsid w:val="0064041C"/>
    <w:rsid w:val="00640817"/>
    <w:rsid w:val="00640B9A"/>
    <w:rsid w:val="00640CD3"/>
    <w:rsid w:val="00640D08"/>
    <w:rsid w:val="00640FDF"/>
    <w:rsid w:val="006414DC"/>
    <w:rsid w:val="0064159D"/>
    <w:rsid w:val="00641998"/>
    <w:rsid w:val="00641F0A"/>
    <w:rsid w:val="00641F4A"/>
    <w:rsid w:val="00642045"/>
    <w:rsid w:val="00642282"/>
    <w:rsid w:val="0064234D"/>
    <w:rsid w:val="0064250F"/>
    <w:rsid w:val="00642910"/>
    <w:rsid w:val="00642A0D"/>
    <w:rsid w:val="00642B13"/>
    <w:rsid w:val="00643038"/>
    <w:rsid w:val="00643428"/>
    <w:rsid w:val="00643582"/>
    <w:rsid w:val="0064381A"/>
    <w:rsid w:val="0064403D"/>
    <w:rsid w:val="00644121"/>
    <w:rsid w:val="00644725"/>
    <w:rsid w:val="00644E97"/>
    <w:rsid w:val="00645248"/>
    <w:rsid w:val="00645544"/>
    <w:rsid w:val="00645C59"/>
    <w:rsid w:val="006462A5"/>
    <w:rsid w:val="006467BA"/>
    <w:rsid w:val="00646995"/>
    <w:rsid w:val="00646D95"/>
    <w:rsid w:val="0064747E"/>
    <w:rsid w:val="00650294"/>
    <w:rsid w:val="006502EA"/>
    <w:rsid w:val="006503BB"/>
    <w:rsid w:val="00650566"/>
    <w:rsid w:val="006509A9"/>
    <w:rsid w:val="006509AD"/>
    <w:rsid w:val="00651126"/>
    <w:rsid w:val="00651133"/>
    <w:rsid w:val="00651EE2"/>
    <w:rsid w:val="0065210A"/>
    <w:rsid w:val="006525D2"/>
    <w:rsid w:val="006529A5"/>
    <w:rsid w:val="00652E61"/>
    <w:rsid w:val="00652E7E"/>
    <w:rsid w:val="00652F90"/>
    <w:rsid w:val="00653C99"/>
    <w:rsid w:val="00653D6E"/>
    <w:rsid w:val="00653F6C"/>
    <w:rsid w:val="00653F98"/>
    <w:rsid w:val="0065402D"/>
    <w:rsid w:val="00654037"/>
    <w:rsid w:val="006541D0"/>
    <w:rsid w:val="00654364"/>
    <w:rsid w:val="0065454B"/>
    <w:rsid w:val="00654561"/>
    <w:rsid w:val="006549AD"/>
    <w:rsid w:val="00654C24"/>
    <w:rsid w:val="00654DC9"/>
    <w:rsid w:val="00654F2E"/>
    <w:rsid w:val="00655416"/>
    <w:rsid w:val="00655479"/>
    <w:rsid w:val="006555CC"/>
    <w:rsid w:val="00655733"/>
    <w:rsid w:val="00655E03"/>
    <w:rsid w:val="0065636B"/>
    <w:rsid w:val="00656673"/>
    <w:rsid w:val="006566A8"/>
    <w:rsid w:val="0065698D"/>
    <w:rsid w:val="006576AA"/>
    <w:rsid w:val="00657B0B"/>
    <w:rsid w:val="00657D1D"/>
    <w:rsid w:val="00660270"/>
    <w:rsid w:val="006602C5"/>
    <w:rsid w:val="0066036B"/>
    <w:rsid w:val="00660A00"/>
    <w:rsid w:val="00660BBB"/>
    <w:rsid w:val="00660E73"/>
    <w:rsid w:val="00661678"/>
    <w:rsid w:val="006617DC"/>
    <w:rsid w:val="00661832"/>
    <w:rsid w:val="00662F70"/>
    <w:rsid w:val="00662FA6"/>
    <w:rsid w:val="00663159"/>
    <w:rsid w:val="0066316C"/>
    <w:rsid w:val="00663251"/>
    <w:rsid w:val="00663836"/>
    <w:rsid w:val="006638FC"/>
    <w:rsid w:val="00663F24"/>
    <w:rsid w:val="0066436B"/>
    <w:rsid w:val="0066441B"/>
    <w:rsid w:val="00664D92"/>
    <w:rsid w:val="00664F51"/>
    <w:rsid w:val="0066566C"/>
    <w:rsid w:val="006663CF"/>
    <w:rsid w:val="006663F1"/>
    <w:rsid w:val="0066693F"/>
    <w:rsid w:val="00667AEB"/>
    <w:rsid w:val="00667BD7"/>
    <w:rsid w:val="00667F2D"/>
    <w:rsid w:val="0067018B"/>
    <w:rsid w:val="00670503"/>
    <w:rsid w:val="0067089C"/>
    <w:rsid w:val="00670930"/>
    <w:rsid w:val="00670DF8"/>
    <w:rsid w:val="0067100A"/>
    <w:rsid w:val="006710C0"/>
    <w:rsid w:val="00671156"/>
    <w:rsid w:val="006714BC"/>
    <w:rsid w:val="006714BE"/>
    <w:rsid w:val="006714F8"/>
    <w:rsid w:val="00671517"/>
    <w:rsid w:val="0067175F"/>
    <w:rsid w:val="0067185A"/>
    <w:rsid w:val="00671C0D"/>
    <w:rsid w:val="00672516"/>
    <w:rsid w:val="00673212"/>
    <w:rsid w:val="00673259"/>
    <w:rsid w:val="00673266"/>
    <w:rsid w:val="00673784"/>
    <w:rsid w:val="006738E5"/>
    <w:rsid w:val="00673A05"/>
    <w:rsid w:val="00673E9B"/>
    <w:rsid w:val="00674083"/>
    <w:rsid w:val="00674336"/>
    <w:rsid w:val="006745DA"/>
    <w:rsid w:val="00675025"/>
    <w:rsid w:val="006755CD"/>
    <w:rsid w:val="006758B1"/>
    <w:rsid w:val="006763F7"/>
    <w:rsid w:val="006765D4"/>
    <w:rsid w:val="0067663D"/>
    <w:rsid w:val="00676C12"/>
    <w:rsid w:val="00677422"/>
    <w:rsid w:val="00677655"/>
    <w:rsid w:val="00677D8A"/>
    <w:rsid w:val="00677DCD"/>
    <w:rsid w:val="00680005"/>
    <w:rsid w:val="00680368"/>
    <w:rsid w:val="006805BE"/>
    <w:rsid w:val="00680EBC"/>
    <w:rsid w:val="00680EE5"/>
    <w:rsid w:val="006810A0"/>
    <w:rsid w:val="00681365"/>
    <w:rsid w:val="00681439"/>
    <w:rsid w:val="00681B7B"/>
    <w:rsid w:val="0068269C"/>
    <w:rsid w:val="00682822"/>
    <w:rsid w:val="00682908"/>
    <w:rsid w:val="00682E4F"/>
    <w:rsid w:val="00683011"/>
    <w:rsid w:val="006837B1"/>
    <w:rsid w:val="00683D66"/>
    <w:rsid w:val="00683ED7"/>
    <w:rsid w:val="006846C4"/>
    <w:rsid w:val="00684A65"/>
    <w:rsid w:val="00684AE2"/>
    <w:rsid w:val="00684CFA"/>
    <w:rsid w:val="00684DEF"/>
    <w:rsid w:val="00685301"/>
    <w:rsid w:val="00685593"/>
    <w:rsid w:val="006855B7"/>
    <w:rsid w:val="00685CB9"/>
    <w:rsid w:val="00685EA5"/>
    <w:rsid w:val="00686630"/>
    <w:rsid w:val="00686675"/>
    <w:rsid w:val="0068667C"/>
    <w:rsid w:val="00686BD5"/>
    <w:rsid w:val="00686DE6"/>
    <w:rsid w:val="00687128"/>
    <w:rsid w:val="00687660"/>
    <w:rsid w:val="00687DFB"/>
    <w:rsid w:val="0069012E"/>
    <w:rsid w:val="00690B35"/>
    <w:rsid w:val="00690B68"/>
    <w:rsid w:val="00690FB6"/>
    <w:rsid w:val="0069139D"/>
    <w:rsid w:val="0069140E"/>
    <w:rsid w:val="00691929"/>
    <w:rsid w:val="00691D7B"/>
    <w:rsid w:val="0069227E"/>
    <w:rsid w:val="006924D0"/>
    <w:rsid w:val="006924F4"/>
    <w:rsid w:val="0069275B"/>
    <w:rsid w:val="00692A2D"/>
    <w:rsid w:val="00692A73"/>
    <w:rsid w:val="00692C5B"/>
    <w:rsid w:val="0069307B"/>
    <w:rsid w:val="00693313"/>
    <w:rsid w:val="0069358E"/>
    <w:rsid w:val="006935D9"/>
    <w:rsid w:val="00693711"/>
    <w:rsid w:val="00694027"/>
    <w:rsid w:val="00694226"/>
    <w:rsid w:val="0069446D"/>
    <w:rsid w:val="00694470"/>
    <w:rsid w:val="006946B0"/>
    <w:rsid w:val="00694807"/>
    <w:rsid w:val="00694B92"/>
    <w:rsid w:val="00695B6D"/>
    <w:rsid w:val="00696058"/>
    <w:rsid w:val="006964EE"/>
    <w:rsid w:val="00696870"/>
    <w:rsid w:val="006969FA"/>
    <w:rsid w:val="006974BF"/>
    <w:rsid w:val="00697B78"/>
    <w:rsid w:val="00697D2F"/>
    <w:rsid w:val="00697D79"/>
    <w:rsid w:val="006A04B9"/>
    <w:rsid w:val="006A0505"/>
    <w:rsid w:val="006A071C"/>
    <w:rsid w:val="006A088F"/>
    <w:rsid w:val="006A0AF8"/>
    <w:rsid w:val="006A0D4C"/>
    <w:rsid w:val="006A105E"/>
    <w:rsid w:val="006A158E"/>
    <w:rsid w:val="006A1975"/>
    <w:rsid w:val="006A1E52"/>
    <w:rsid w:val="006A268B"/>
    <w:rsid w:val="006A2BEF"/>
    <w:rsid w:val="006A2C1C"/>
    <w:rsid w:val="006A31E8"/>
    <w:rsid w:val="006A3208"/>
    <w:rsid w:val="006A3320"/>
    <w:rsid w:val="006A36E1"/>
    <w:rsid w:val="006A370D"/>
    <w:rsid w:val="006A39D9"/>
    <w:rsid w:val="006A3B12"/>
    <w:rsid w:val="006A4156"/>
    <w:rsid w:val="006A4438"/>
    <w:rsid w:val="006A4763"/>
    <w:rsid w:val="006A49CD"/>
    <w:rsid w:val="006A4BD3"/>
    <w:rsid w:val="006A4D40"/>
    <w:rsid w:val="006A4F7A"/>
    <w:rsid w:val="006A519A"/>
    <w:rsid w:val="006A51D2"/>
    <w:rsid w:val="006A59EC"/>
    <w:rsid w:val="006A5C4F"/>
    <w:rsid w:val="006A5DC0"/>
    <w:rsid w:val="006A5FC6"/>
    <w:rsid w:val="006A62F6"/>
    <w:rsid w:val="006A650B"/>
    <w:rsid w:val="006A6FFF"/>
    <w:rsid w:val="006A74E4"/>
    <w:rsid w:val="006A7500"/>
    <w:rsid w:val="006A754F"/>
    <w:rsid w:val="006A755A"/>
    <w:rsid w:val="006A766F"/>
    <w:rsid w:val="006A79A4"/>
    <w:rsid w:val="006A7B4F"/>
    <w:rsid w:val="006A7B7F"/>
    <w:rsid w:val="006A7F24"/>
    <w:rsid w:val="006B0732"/>
    <w:rsid w:val="006B0C5E"/>
    <w:rsid w:val="006B0E7F"/>
    <w:rsid w:val="006B0F9E"/>
    <w:rsid w:val="006B1197"/>
    <w:rsid w:val="006B1AE0"/>
    <w:rsid w:val="006B1B0C"/>
    <w:rsid w:val="006B1E2E"/>
    <w:rsid w:val="006B1FE6"/>
    <w:rsid w:val="006B2090"/>
    <w:rsid w:val="006B20F7"/>
    <w:rsid w:val="006B257A"/>
    <w:rsid w:val="006B2A76"/>
    <w:rsid w:val="006B3056"/>
    <w:rsid w:val="006B3121"/>
    <w:rsid w:val="006B3234"/>
    <w:rsid w:val="006B32A2"/>
    <w:rsid w:val="006B3736"/>
    <w:rsid w:val="006B3BA8"/>
    <w:rsid w:val="006B3D84"/>
    <w:rsid w:val="006B41D8"/>
    <w:rsid w:val="006B441C"/>
    <w:rsid w:val="006B4439"/>
    <w:rsid w:val="006B465E"/>
    <w:rsid w:val="006B4896"/>
    <w:rsid w:val="006B4B49"/>
    <w:rsid w:val="006B4D1D"/>
    <w:rsid w:val="006B4ECD"/>
    <w:rsid w:val="006B5225"/>
    <w:rsid w:val="006B5635"/>
    <w:rsid w:val="006B57CA"/>
    <w:rsid w:val="006B58A2"/>
    <w:rsid w:val="006B5CD5"/>
    <w:rsid w:val="006B5D4D"/>
    <w:rsid w:val="006B5DCC"/>
    <w:rsid w:val="006B658E"/>
    <w:rsid w:val="006B6700"/>
    <w:rsid w:val="006B670E"/>
    <w:rsid w:val="006B6CEE"/>
    <w:rsid w:val="006B6F38"/>
    <w:rsid w:val="006B7704"/>
    <w:rsid w:val="006B7B67"/>
    <w:rsid w:val="006B7BB5"/>
    <w:rsid w:val="006C01D9"/>
    <w:rsid w:val="006C01E2"/>
    <w:rsid w:val="006C0BC8"/>
    <w:rsid w:val="006C0C53"/>
    <w:rsid w:val="006C1152"/>
    <w:rsid w:val="006C1396"/>
    <w:rsid w:val="006C1457"/>
    <w:rsid w:val="006C14B6"/>
    <w:rsid w:val="006C1944"/>
    <w:rsid w:val="006C19FE"/>
    <w:rsid w:val="006C2175"/>
    <w:rsid w:val="006C28DD"/>
    <w:rsid w:val="006C2B09"/>
    <w:rsid w:val="006C2EAE"/>
    <w:rsid w:val="006C30FA"/>
    <w:rsid w:val="006C312B"/>
    <w:rsid w:val="006C3299"/>
    <w:rsid w:val="006C392B"/>
    <w:rsid w:val="006C3A83"/>
    <w:rsid w:val="006C3CD1"/>
    <w:rsid w:val="006C3F20"/>
    <w:rsid w:val="006C4655"/>
    <w:rsid w:val="006C4956"/>
    <w:rsid w:val="006C4A1E"/>
    <w:rsid w:val="006C4B48"/>
    <w:rsid w:val="006C520D"/>
    <w:rsid w:val="006C5DBE"/>
    <w:rsid w:val="006C6061"/>
    <w:rsid w:val="006C618C"/>
    <w:rsid w:val="006C6802"/>
    <w:rsid w:val="006C693B"/>
    <w:rsid w:val="006C70CD"/>
    <w:rsid w:val="006C7AA1"/>
    <w:rsid w:val="006C7CFA"/>
    <w:rsid w:val="006D001A"/>
    <w:rsid w:val="006D089D"/>
    <w:rsid w:val="006D0900"/>
    <w:rsid w:val="006D0DF1"/>
    <w:rsid w:val="006D0F1B"/>
    <w:rsid w:val="006D10F6"/>
    <w:rsid w:val="006D1229"/>
    <w:rsid w:val="006D137C"/>
    <w:rsid w:val="006D14F5"/>
    <w:rsid w:val="006D168F"/>
    <w:rsid w:val="006D16A7"/>
    <w:rsid w:val="006D19DF"/>
    <w:rsid w:val="006D1BFF"/>
    <w:rsid w:val="006D2449"/>
    <w:rsid w:val="006D24F5"/>
    <w:rsid w:val="006D28DB"/>
    <w:rsid w:val="006D2F34"/>
    <w:rsid w:val="006D3329"/>
    <w:rsid w:val="006D3B48"/>
    <w:rsid w:val="006D3C2D"/>
    <w:rsid w:val="006D44BA"/>
    <w:rsid w:val="006D4587"/>
    <w:rsid w:val="006D47C8"/>
    <w:rsid w:val="006D4A46"/>
    <w:rsid w:val="006D4CE3"/>
    <w:rsid w:val="006D4F14"/>
    <w:rsid w:val="006D5630"/>
    <w:rsid w:val="006D5A33"/>
    <w:rsid w:val="006D5B98"/>
    <w:rsid w:val="006D6871"/>
    <w:rsid w:val="006D6952"/>
    <w:rsid w:val="006D6A24"/>
    <w:rsid w:val="006D6AA1"/>
    <w:rsid w:val="006D7449"/>
    <w:rsid w:val="006D7600"/>
    <w:rsid w:val="006D76B0"/>
    <w:rsid w:val="006D7718"/>
    <w:rsid w:val="006D7914"/>
    <w:rsid w:val="006D7F2F"/>
    <w:rsid w:val="006E0338"/>
    <w:rsid w:val="006E076A"/>
    <w:rsid w:val="006E0992"/>
    <w:rsid w:val="006E0C23"/>
    <w:rsid w:val="006E0D0E"/>
    <w:rsid w:val="006E0E30"/>
    <w:rsid w:val="006E1150"/>
    <w:rsid w:val="006E1381"/>
    <w:rsid w:val="006E1A7C"/>
    <w:rsid w:val="006E1D84"/>
    <w:rsid w:val="006E2146"/>
    <w:rsid w:val="006E21B4"/>
    <w:rsid w:val="006E29FE"/>
    <w:rsid w:val="006E2B73"/>
    <w:rsid w:val="006E2CBA"/>
    <w:rsid w:val="006E3111"/>
    <w:rsid w:val="006E33B2"/>
    <w:rsid w:val="006E34A9"/>
    <w:rsid w:val="006E35E3"/>
    <w:rsid w:val="006E3713"/>
    <w:rsid w:val="006E392D"/>
    <w:rsid w:val="006E4135"/>
    <w:rsid w:val="006E458C"/>
    <w:rsid w:val="006E4899"/>
    <w:rsid w:val="006E4A5E"/>
    <w:rsid w:val="006E50D4"/>
    <w:rsid w:val="006E52D3"/>
    <w:rsid w:val="006E55CD"/>
    <w:rsid w:val="006E5765"/>
    <w:rsid w:val="006E5B71"/>
    <w:rsid w:val="006E6920"/>
    <w:rsid w:val="006E6BDB"/>
    <w:rsid w:val="006E6E82"/>
    <w:rsid w:val="006E7663"/>
    <w:rsid w:val="006E76BE"/>
    <w:rsid w:val="006E76EE"/>
    <w:rsid w:val="006E7ECB"/>
    <w:rsid w:val="006F023A"/>
    <w:rsid w:val="006F06AC"/>
    <w:rsid w:val="006F08AE"/>
    <w:rsid w:val="006F0A78"/>
    <w:rsid w:val="006F17E9"/>
    <w:rsid w:val="006F1826"/>
    <w:rsid w:val="006F1D2E"/>
    <w:rsid w:val="006F1D78"/>
    <w:rsid w:val="006F21B9"/>
    <w:rsid w:val="006F234A"/>
    <w:rsid w:val="006F2A6B"/>
    <w:rsid w:val="006F2B89"/>
    <w:rsid w:val="006F3007"/>
    <w:rsid w:val="006F386A"/>
    <w:rsid w:val="006F3994"/>
    <w:rsid w:val="006F3FAC"/>
    <w:rsid w:val="006F4939"/>
    <w:rsid w:val="006F4950"/>
    <w:rsid w:val="006F4978"/>
    <w:rsid w:val="006F4CFD"/>
    <w:rsid w:val="006F4E08"/>
    <w:rsid w:val="006F5017"/>
    <w:rsid w:val="006F512B"/>
    <w:rsid w:val="006F5473"/>
    <w:rsid w:val="006F550A"/>
    <w:rsid w:val="006F5786"/>
    <w:rsid w:val="006F58A6"/>
    <w:rsid w:val="006F5E9E"/>
    <w:rsid w:val="006F617A"/>
    <w:rsid w:val="006F63D8"/>
    <w:rsid w:val="006F68C0"/>
    <w:rsid w:val="006F6C3E"/>
    <w:rsid w:val="006F6C7B"/>
    <w:rsid w:val="006F6EFB"/>
    <w:rsid w:val="006F6F81"/>
    <w:rsid w:val="006F709F"/>
    <w:rsid w:val="006F72CC"/>
    <w:rsid w:val="006F7599"/>
    <w:rsid w:val="006F7698"/>
    <w:rsid w:val="006F7EA2"/>
    <w:rsid w:val="00700175"/>
    <w:rsid w:val="0070052B"/>
    <w:rsid w:val="00700A21"/>
    <w:rsid w:val="00700B66"/>
    <w:rsid w:val="00700FF1"/>
    <w:rsid w:val="007014D1"/>
    <w:rsid w:val="007016D8"/>
    <w:rsid w:val="007017B8"/>
    <w:rsid w:val="00702125"/>
    <w:rsid w:val="0070274C"/>
    <w:rsid w:val="00702998"/>
    <w:rsid w:val="00702B05"/>
    <w:rsid w:val="00702E71"/>
    <w:rsid w:val="00702F79"/>
    <w:rsid w:val="00703346"/>
    <w:rsid w:val="007033FB"/>
    <w:rsid w:val="0070367B"/>
    <w:rsid w:val="007037C4"/>
    <w:rsid w:val="0070380B"/>
    <w:rsid w:val="00703820"/>
    <w:rsid w:val="0070386F"/>
    <w:rsid w:val="00703922"/>
    <w:rsid w:val="0070392F"/>
    <w:rsid w:val="00703DDA"/>
    <w:rsid w:val="007044F1"/>
    <w:rsid w:val="00704729"/>
    <w:rsid w:val="00704D55"/>
    <w:rsid w:val="007052F4"/>
    <w:rsid w:val="0070534F"/>
    <w:rsid w:val="007054D5"/>
    <w:rsid w:val="0070554B"/>
    <w:rsid w:val="00705A9D"/>
    <w:rsid w:val="00705B44"/>
    <w:rsid w:val="00705B4D"/>
    <w:rsid w:val="00705B56"/>
    <w:rsid w:val="0070637F"/>
    <w:rsid w:val="007065FE"/>
    <w:rsid w:val="0070673D"/>
    <w:rsid w:val="00706A89"/>
    <w:rsid w:val="00707237"/>
    <w:rsid w:val="007075A4"/>
    <w:rsid w:val="00707678"/>
    <w:rsid w:val="007076B5"/>
    <w:rsid w:val="00707793"/>
    <w:rsid w:val="00707E51"/>
    <w:rsid w:val="0071011B"/>
    <w:rsid w:val="0071023E"/>
    <w:rsid w:val="0071034B"/>
    <w:rsid w:val="007103EA"/>
    <w:rsid w:val="007104A9"/>
    <w:rsid w:val="00710E36"/>
    <w:rsid w:val="00711400"/>
    <w:rsid w:val="007118C6"/>
    <w:rsid w:val="0071195E"/>
    <w:rsid w:val="007119C6"/>
    <w:rsid w:val="00711E72"/>
    <w:rsid w:val="007127D0"/>
    <w:rsid w:val="00712ACD"/>
    <w:rsid w:val="00712C1D"/>
    <w:rsid w:val="00712D80"/>
    <w:rsid w:val="00712F74"/>
    <w:rsid w:val="00713072"/>
    <w:rsid w:val="00713223"/>
    <w:rsid w:val="00713684"/>
    <w:rsid w:val="007138CD"/>
    <w:rsid w:val="00713DC9"/>
    <w:rsid w:val="007143CB"/>
    <w:rsid w:val="00714BBA"/>
    <w:rsid w:val="00714CD8"/>
    <w:rsid w:val="00714E4D"/>
    <w:rsid w:val="00715161"/>
    <w:rsid w:val="007153A6"/>
    <w:rsid w:val="007153B6"/>
    <w:rsid w:val="007156F8"/>
    <w:rsid w:val="00715C80"/>
    <w:rsid w:val="00715EBD"/>
    <w:rsid w:val="00715FE1"/>
    <w:rsid w:val="00716424"/>
    <w:rsid w:val="0071647B"/>
    <w:rsid w:val="00716510"/>
    <w:rsid w:val="0071690F"/>
    <w:rsid w:val="00716C7E"/>
    <w:rsid w:val="00716D47"/>
    <w:rsid w:val="00716E75"/>
    <w:rsid w:val="0071708E"/>
    <w:rsid w:val="00717977"/>
    <w:rsid w:val="00717E68"/>
    <w:rsid w:val="00717F37"/>
    <w:rsid w:val="00720296"/>
    <w:rsid w:val="00720EBB"/>
    <w:rsid w:val="00721250"/>
    <w:rsid w:val="00721500"/>
    <w:rsid w:val="007215FD"/>
    <w:rsid w:val="00721929"/>
    <w:rsid w:val="007219B9"/>
    <w:rsid w:val="00721D3C"/>
    <w:rsid w:val="0072205E"/>
    <w:rsid w:val="007221AD"/>
    <w:rsid w:val="007221D3"/>
    <w:rsid w:val="007221F2"/>
    <w:rsid w:val="00722273"/>
    <w:rsid w:val="00722D3B"/>
    <w:rsid w:val="00722F28"/>
    <w:rsid w:val="0072312B"/>
    <w:rsid w:val="007231BF"/>
    <w:rsid w:val="00723617"/>
    <w:rsid w:val="00723C3B"/>
    <w:rsid w:val="00723E9C"/>
    <w:rsid w:val="00724248"/>
    <w:rsid w:val="0072448D"/>
    <w:rsid w:val="00724A82"/>
    <w:rsid w:val="00724ABD"/>
    <w:rsid w:val="00724BB4"/>
    <w:rsid w:val="0072502A"/>
    <w:rsid w:val="00725055"/>
    <w:rsid w:val="007258CD"/>
    <w:rsid w:val="00725D1B"/>
    <w:rsid w:val="00726018"/>
    <w:rsid w:val="0072623E"/>
    <w:rsid w:val="00726253"/>
    <w:rsid w:val="00726289"/>
    <w:rsid w:val="00726471"/>
    <w:rsid w:val="00726709"/>
    <w:rsid w:val="00726850"/>
    <w:rsid w:val="007268B9"/>
    <w:rsid w:val="00726B46"/>
    <w:rsid w:val="00726FD3"/>
    <w:rsid w:val="0072711C"/>
    <w:rsid w:val="007275AE"/>
    <w:rsid w:val="007275B3"/>
    <w:rsid w:val="00727E63"/>
    <w:rsid w:val="00730026"/>
    <w:rsid w:val="00730E04"/>
    <w:rsid w:val="00731E3F"/>
    <w:rsid w:val="00732310"/>
    <w:rsid w:val="0073288D"/>
    <w:rsid w:val="00732D6C"/>
    <w:rsid w:val="007330DE"/>
    <w:rsid w:val="007332D5"/>
    <w:rsid w:val="007333AB"/>
    <w:rsid w:val="0073352B"/>
    <w:rsid w:val="00733861"/>
    <w:rsid w:val="007339D3"/>
    <w:rsid w:val="00733B49"/>
    <w:rsid w:val="00733CFD"/>
    <w:rsid w:val="007346EE"/>
    <w:rsid w:val="007347EA"/>
    <w:rsid w:val="007348BD"/>
    <w:rsid w:val="00734A33"/>
    <w:rsid w:val="00734C99"/>
    <w:rsid w:val="00734FD4"/>
    <w:rsid w:val="00735533"/>
    <w:rsid w:val="007356E9"/>
    <w:rsid w:val="00735815"/>
    <w:rsid w:val="007358B7"/>
    <w:rsid w:val="00735F22"/>
    <w:rsid w:val="00736065"/>
    <w:rsid w:val="007363F3"/>
    <w:rsid w:val="007369F3"/>
    <w:rsid w:val="00737268"/>
    <w:rsid w:val="00737885"/>
    <w:rsid w:val="007379FE"/>
    <w:rsid w:val="00737AA4"/>
    <w:rsid w:val="00737B05"/>
    <w:rsid w:val="00737C3C"/>
    <w:rsid w:val="00737CDD"/>
    <w:rsid w:val="00740565"/>
    <w:rsid w:val="00740D93"/>
    <w:rsid w:val="00740DE1"/>
    <w:rsid w:val="00740FAC"/>
    <w:rsid w:val="0074111E"/>
    <w:rsid w:val="00741190"/>
    <w:rsid w:val="00741233"/>
    <w:rsid w:val="007425BA"/>
    <w:rsid w:val="00742912"/>
    <w:rsid w:val="00742B28"/>
    <w:rsid w:val="007432C5"/>
    <w:rsid w:val="00743A0B"/>
    <w:rsid w:val="00743B87"/>
    <w:rsid w:val="00743C00"/>
    <w:rsid w:val="00744466"/>
    <w:rsid w:val="007445A6"/>
    <w:rsid w:val="007446D2"/>
    <w:rsid w:val="00744845"/>
    <w:rsid w:val="00744B0C"/>
    <w:rsid w:val="00744B73"/>
    <w:rsid w:val="00744E6B"/>
    <w:rsid w:val="00745207"/>
    <w:rsid w:val="00745377"/>
    <w:rsid w:val="007453C3"/>
    <w:rsid w:val="00745C49"/>
    <w:rsid w:val="00745CA1"/>
    <w:rsid w:val="00745DBE"/>
    <w:rsid w:val="00746095"/>
    <w:rsid w:val="007466DA"/>
    <w:rsid w:val="00746A03"/>
    <w:rsid w:val="00746A55"/>
    <w:rsid w:val="00746C62"/>
    <w:rsid w:val="007471C9"/>
    <w:rsid w:val="00747A2C"/>
    <w:rsid w:val="00747DFF"/>
    <w:rsid w:val="00747E73"/>
    <w:rsid w:val="0075011E"/>
    <w:rsid w:val="00750242"/>
    <w:rsid w:val="0075047C"/>
    <w:rsid w:val="00750DAC"/>
    <w:rsid w:val="00750DB9"/>
    <w:rsid w:val="00750EB5"/>
    <w:rsid w:val="00750EE3"/>
    <w:rsid w:val="00751395"/>
    <w:rsid w:val="007513E0"/>
    <w:rsid w:val="00751776"/>
    <w:rsid w:val="00751AA0"/>
    <w:rsid w:val="00751B12"/>
    <w:rsid w:val="007523A3"/>
    <w:rsid w:val="007524D2"/>
    <w:rsid w:val="007525DD"/>
    <w:rsid w:val="00752CB1"/>
    <w:rsid w:val="00752D14"/>
    <w:rsid w:val="00752D6D"/>
    <w:rsid w:val="00752F52"/>
    <w:rsid w:val="007532EA"/>
    <w:rsid w:val="007534EB"/>
    <w:rsid w:val="00754315"/>
    <w:rsid w:val="00754384"/>
    <w:rsid w:val="0075454D"/>
    <w:rsid w:val="007548E2"/>
    <w:rsid w:val="00754D7A"/>
    <w:rsid w:val="00754DCD"/>
    <w:rsid w:val="00754F44"/>
    <w:rsid w:val="00755187"/>
    <w:rsid w:val="007558DF"/>
    <w:rsid w:val="00755D9C"/>
    <w:rsid w:val="00756067"/>
    <w:rsid w:val="00756497"/>
    <w:rsid w:val="00757523"/>
    <w:rsid w:val="007577DF"/>
    <w:rsid w:val="007602A9"/>
    <w:rsid w:val="007602B8"/>
    <w:rsid w:val="00760712"/>
    <w:rsid w:val="0076071F"/>
    <w:rsid w:val="00760907"/>
    <w:rsid w:val="007609FE"/>
    <w:rsid w:val="00760D85"/>
    <w:rsid w:val="00761100"/>
    <w:rsid w:val="00761303"/>
    <w:rsid w:val="00761548"/>
    <w:rsid w:val="00761940"/>
    <w:rsid w:val="00761D17"/>
    <w:rsid w:val="007628CB"/>
    <w:rsid w:val="0076304E"/>
    <w:rsid w:val="00763273"/>
    <w:rsid w:val="00763281"/>
    <w:rsid w:val="007632FE"/>
    <w:rsid w:val="0076347B"/>
    <w:rsid w:val="00763535"/>
    <w:rsid w:val="0076359A"/>
    <w:rsid w:val="007639EE"/>
    <w:rsid w:val="00763B68"/>
    <w:rsid w:val="00763C81"/>
    <w:rsid w:val="00764321"/>
    <w:rsid w:val="0076449D"/>
    <w:rsid w:val="00764618"/>
    <w:rsid w:val="007649F0"/>
    <w:rsid w:val="00764ED7"/>
    <w:rsid w:val="0076502E"/>
    <w:rsid w:val="00765083"/>
    <w:rsid w:val="00765948"/>
    <w:rsid w:val="00765B7B"/>
    <w:rsid w:val="00765C97"/>
    <w:rsid w:val="00766A28"/>
    <w:rsid w:val="00766BD3"/>
    <w:rsid w:val="007672CA"/>
    <w:rsid w:val="0076772A"/>
    <w:rsid w:val="007677E5"/>
    <w:rsid w:val="007678CA"/>
    <w:rsid w:val="00767B22"/>
    <w:rsid w:val="00767CB8"/>
    <w:rsid w:val="00767F0E"/>
    <w:rsid w:val="00767FC2"/>
    <w:rsid w:val="007700B2"/>
    <w:rsid w:val="00770734"/>
    <w:rsid w:val="007708F7"/>
    <w:rsid w:val="00770D31"/>
    <w:rsid w:val="00770FEB"/>
    <w:rsid w:val="0077116C"/>
    <w:rsid w:val="007714C0"/>
    <w:rsid w:val="007714F2"/>
    <w:rsid w:val="00771622"/>
    <w:rsid w:val="0077181E"/>
    <w:rsid w:val="00771A6C"/>
    <w:rsid w:val="00771E8E"/>
    <w:rsid w:val="00772466"/>
    <w:rsid w:val="00772C87"/>
    <w:rsid w:val="00772D61"/>
    <w:rsid w:val="00773B8A"/>
    <w:rsid w:val="00774353"/>
    <w:rsid w:val="007747C8"/>
    <w:rsid w:val="00774FA3"/>
    <w:rsid w:val="007751C5"/>
    <w:rsid w:val="00775311"/>
    <w:rsid w:val="00775458"/>
    <w:rsid w:val="00775739"/>
    <w:rsid w:val="00775844"/>
    <w:rsid w:val="00775A93"/>
    <w:rsid w:val="00775F3F"/>
    <w:rsid w:val="0077610F"/>
    <w:rsid w:val="0077665E"/>
    <w:rsid w:val="007769FB"/>
    <w:rsid w:val="00776C38"/>
    <w:rsid w:val="00776D08"/>
    <w:rsid w:val="00776D5E"/>
    <w:rsid w:val="00776D8E"/>
    <w:rsid w:val="00776E61"/>
    <w:rsid w:val="00777290"/>
    <w:rsid w:val="007776EC"/>
    <w:rsid w:val="007778FE"/>
    <w:rsid w:val="007779B5"/>
    <w:rsid w:val="00777FAE"/>
    <w:rsid w:val="007804EB"/>
    <w:rsid w:val="00780556"/>
    <w:rsid w:val="00780871"/>
    <w:rsid w:val="007808AC"/>
    <w:rsid w:val="00780C6E"/>
    <w:rsid w:val="00780CE1"/>
    <w:rsid w:val="0078108A"/>
    <w:rsid w:val="00781184"/>
    <w:rsid w:val="007812AC"/>
    <w:rsid w:val="007813EC"/>
    <w:rsid w:val="00781C38"/>
    <w:rsid w:val="00782383"/>
    <w:rsid w:val="007826F8"/>
    <w:rsid w:val="00782C8F"/>
    <w:rsid w:val="00782CD0"/>
    <w:rsid w:val="00783242"/>
    <w:rsid w:val="0078325C"/>
    <w:rsid w:val="007835C7"/>
    <w:rsid w:val="0078360C"/>
    <w:rsid w:val="0078427A"/>
    <w:rsid w:val="0078451F"/>
    <w:rsid w:val="007848B4"/>
    <w:rsid w:val="00784DFC"/>
    <w:rsid w:val="00784E40"/>
    <w:rsid w:val="00786127"/>
    <w:rsid w:val="00786385"/>
    <w:rsid w:val="00786639"/>
    <w:rsid w:val="00786B7D"/>
    <w:rsid w:val="00786EB4"/>
    <w:rsid w:val="007870FD"/>
    <w:rsid w:val="007871C3"/>
    <w:rsid w:val="007873BC"/>
    <w:rsid w:val="007873F1"/>
    <w:rsid w:val="0078779D"/>
    <w:rsid w:val="00787AA3"/>
    <w:rsid w:val="00787F63"/>
    <w:rsid w:val="00790065"/>
    <w:rsid w:val="007901C2"/>
    <w:rsid w:val="00791122"/>
    <w:rsid w:val="00791251"/>
    <w:rsid w:val="007912E2"/>
    <w:rsid w:val="007917DF"/>
    <w:rsid w:val="007919E6"/>
    <w:rsid w:val="00791D41"/>
    <w:rsid w:val="007921D5"/>
    <w:rsid w:val="007924E7"/>
    <w:rsid w:val="007925F6"/>
    <w:rsid w:val="007928C4"/>
    <w:rsid w:val="00792AF2"/>
    <w:rsid w:val="00792E83"/>
    <w:rsid w:val="00793590"/>
    <w:rsid w:val="007935DD"/>
    <w:rsid w:val="0079362C"/>
    <w:rsid w:val="0079381F"/>
    <w:rsid w:val="00793A68"/>
    <w:rsid w:val="00793E44"/>
    <w:rsid w:val="0079453E"/>
    <w:rsid w:val="007951C1"/>
    <w:rsid w:val="00795283"/>
    <w:rsid w:val="00795975"/>
    <w:rsid w:val="00795A3C"/>
    <w:rsid w:val="00795A82"/>
    <w:rsid w:val="00795C19"/>
    <w:rsid w:val="00796383"/>
    <w:rsid w:val="00796501"/>
    <w:rsid w:val="00796A63"/>
    <w:rsid w:val="00796C1D"/>
    <w:rsid w:val="00796D2F"/>
    <w:rsid w:val="00796D52"/>
    <w:rsid w:val="00796D56"/>
    <w:rsid w:val="00796FCD"/>
    <w:rsid w:val="007970D5"/>
    <w:rsid w:val="0079767F"/>
    <w:rsid w:val="00797707"/>
    <w:rsid w:val="00797800"/>
    <w:rsid w:val="00797C63"/>
    <w:rsid w:val="00797D26"/>
    <w:rsid w:val="007A072A"/>
    <w:rsid w:val="007A0C6A"/>
    <w:rsid w:val="007A0E9C"/>
    <w:rsid w:val="007A1A82"/>
    <w:rsid w:val="007A1BE4"/>
    <w:rsid w:val="007A1C55"/>
    <w:rsid w:val="007A1D09"/>
    <w:rsid w:val="007A2155"/>
    <w:rsid w:val="007A2225"/>
    <w:rsid w:val="007A229F"/>
    <w:rsid w:val="007A2726"/>
    <w:rsid w:val="007A2BA8"/>
    <w:rsid w:val="007A2E71"/>
    <w:rsid w:val="007A2F0A"/>
    <w:rsid w:val="007A349B"/>
    <w:rsid w:val="007A3D03"/>
    <w:rsid w:val="007A4090"/>
    <w:rsid w:val="007A47B9"/>
    <w:rsid w:val="007A4AD1"/>
    <w:rsid w:val="007A4AD6"/>
    <w:rsid w:val="007A527D"/>
    <w:rsid w:val="007A5364"/>
    <w:rsid w:val="007A5387"/>
    <w:rsid w:val="007A63D2"/>
    <w:rsid w:val="007A6854"/>
    <w:rsid w:val="007A6963"/>
    <w:rsid w:val="007A6BEF"/>
    <w:rsid w:val="007A6C22"/>
    <w:rsid w:val="007A6E4F"/>
    <w:rsid w:val="007A73C1"/>
    <w:rsid w:val="007A7459"/>
    <w:rsid w:val="007A77E2"/>
    <w:rsid w:val="007A7C7E"/>
    <w:rsid w:val="007A7D97"/>
    <w:rsid w:val="007B00C1"/>
    <w:rsid w:val="007B0510"/>
    <w:rsid w:val="007B059D"/>
    <w:rsid w:val="007B0A07"/>
    <w:rsid w:val="007B0A92"/>
    <w:rsid w:val="007B0C30"/>
    <w:rsid w:val="007B0DA8"/>
    <w:rsid w:val="007B100B"/>
    <w:rsid w:val="007B12E8"/>
    <w:rsid w:val="007B1A39"/>
    <w:rsid w:val="007B243E"/>
    <w:rsid w:val="007B2507"/>
    <w:rsid w:val="007B2AE1"/>
    <w:rsid w:val="007B2AEE"/>
    <w:rsid w:val="007B3163"/>
    <w:rsid w:val="007B34C0"/>
    <w:rsid w:val="007B36D9"/>
    <w:rsid w:val="007B3C89"/>
    <w:rsid w:val="007B3EC5"/>
    <w:rsid w:val="007B42DB"/>
    <w:rsid w:val="007B48F8"/>
    <w:rsid w:val="007B4CD3"/>
    <w:rsid w:val="007B5021"/>
    <w:rsid w:val="007B52C0"/>
    <w:rsid w:val="007B5512"/>
    <w:rsid w:val="007B5882"/>
    <w:rsid w:val="007B60CB"/>
    <w:rsid w:val="007B6510"/>
    <w:rsid w:val="007B6833"/>
    <w:rsid w:val="007B6B60"/>
    <w:rsid w:val="007B6C58"/>
    <w:rsid w:val="007B6F79"/>
    <w:rsid w:val="007B71E1"/>
    <w:rsid w:val="007B76F6"/>
    <w:rsid w:val="007C0754"/>
    <w:rsid w:val="007C078C"/>
    <w:rsid w:val="007C09E5"/>
    <w:rsid w:val="007C1023"/>
    <w:rsid w:val="007C163B"/>
    <w:rsid w:val="007C2017"/>
    <w:rsid w:val="007C248B"/>
    <w:rsid w:val="007C2AE6"/>
    <w:rsid w:val="007C2BB0"/>
    <w:rsid w:val="007C322E"/>
    <w:rsid w:val="007C378D"/>
    <w:rsid w:val="007C3F88"/>
    <w:rsid w:val="007C40CE"/>
    <w:rsid w:val="007C42A0"/>
    <w:rsid w:val="007C438B"/>
    <w:rsid w:val="007C4417"/>
    <w:rsid w:val="007C4A99"/>
    <w:rsid w:val="007C5006"/>
    <w:rsid w:val="007C5204"/>
    <w:rsid w:val="007C53AA"/>
    <w:rsid w:val="007C5673"/>
    <w:rsid w:val="007C593F"/>
    <w:rsid w:val="007C5A45"/>
    <w:rsid w:val="007C628E"/>
    <w:rsid w:val="007C62E3"/>
    <w:rsid w:val="007C66EE"/>
    <w:rsid w:val="007C66F6"/>
    <w:rsid w:val="007C6743"/>
    <w:rsid w:val="007C6BD6"/>
    <w:rsid w:val="007C6D72"/>
    <w:rsid w:val="007C7376"/>
    <w:rsid w:val="007C7691"/>
    <w:rsid w:val="007C7B7C"/>
    <w:rsid w:val="007D003D"/>
    <w:rsid w:val="007D0B4B"/>
    <w:rsid w:val="007D11AC"/>
    <w:rsid w:val="007D11EA"/>
    <w:rsid w:val="007D189F"/>
    <w:rsid w:val="007D1A5D"/>
    <w:rsid w:val="007D1A78"/>
    <w:rsid w:val="007D1F86"/>
    <w:rsid w:val="007D2371"/>
    <w:rsid w:val="007D24A5"/>
    <w:rsid w:val="007D28FE"/>
    <w:rsid w:val="007D2D4A"/>
    <w:rsid w:val="007D3109"/>
    <w:rsid w:val="007D377F"/>
    <w:rsid w:val="007D3801"/>
    <w:rsid w:val="007D4077"/>
    <w:rsid w:val="007D45CB"/>
    <w:rsid w:val="007D48E5"/>
    <w:rsid w:val="007D4B95"/>
    <w:rsid w:val="007D4F8D"/>
    <w:rsid w:val="007D4FDF"/>
    <w:rsid w:val="007D5137"/>
    <w:rsid w:val="007D5428"/>
    <w:rsid w:val="007D587E"/>
    <w:rsid w:val="007D5A3E"/>
    <w:rsid w:val="007D5B48"/>
    <w:rsid w:val="007D5E1E"/>
    <w:rsid w:val="007D63B4"/>
    <w:rsid w:val="007D6784"/>
    <w:rsid w:val="007D68ED"/>
    <w:rsid w:val="007D72DA"/>
    <w:rsid w:val="007D75AC"/>
    <w:rsid w:val="007D79F8"/>
    <w:rsid w:val="007D7B5E"/>
    <w:rsid w:val="007E024E"/>
    <w:rsid w:val="007E057D"/>
    <w:rsid w:val="007E09CA"/>
    <w:rsid w:val="007E10EF"/>
    <w:rsid w:val="007E1622"/>
    <w:rsid w:val="007E178E"/>
    <w:rsid w:val="007E1BD0"/>
    <w:rsid w:val="007E239D"/>
    <w:rsid w:val="007E2744"/>
    <w:rsid w:val="007E28E2"/>
    <w:rsid w:val="007E28F0"/>
    <w:rsid w:val="007E2A50"/>
    <w:rsid w:val="007E2C2A"/>
    <w:rsid w:val="007E313C"/>
    <w:rsid w:val="007E322E"/>
    <w:rsid w:val="007E351B"/>
    <w:rsid w:val="007E375A"/>
    <w:rsid w:val="007E3766"/>
    <w:rsid w:val="007E3884"/>
    <w:rsid w:val="007E3D01"/>
    <w:rsid w:val="007E43C3"/>
    <w:rsid w:val="007E44D1"/>
    <w:rsid w:val="007E4AB9"/>
    <w:rsid w:val="007E4B79"/>
    <w:rsid w:val="007E5178"/>
    <w:rsid w:val="007E543E"/>
    <w:rsid w:val="007E54C0"/>
    <w:rsid w:val="007E5597"/>
    <w:rsid w:val="007E5949"/>
    <w:rsid w:val="007E6195"/>
    <w:rsid w:val="007E628E"/>
    <w:rsid w:val="007E640C"/>
    <w:rsid w:val="007E6619"/>
    <w:rsid w:val="007E6685"/>
    <w:rsid w:val="007E7150"/>
    <w:rsid w:val="007E743C"/>
    <w:rsid w:val="007E7670"/>
    <w:rsid w:val="007E7804"/>
    <w:rsid w:val="007F0007"/>
    <w:rsid w:val="007F033B"/>
    <w:rsid w:val="007F09AD"/>
    <w:rsid w:val="007F0C1A"/>
    <w:rsid w:val="007F13F9"/>
    <w:rsid w:val="007F18DC"/>
    <w:rsid w:val="007F1DBE"/>
    <w:rsid w:val="007F2107"/>
    <w:rsid w:val="007F2347"/>
    <w:rsid w:val="007F2771"/>
    <w:rsid w:val="007F2989"/>
    <w:rsid w:val="007F2AEA"/>
    <w:rsid w:val="007F2F39"/>
    <w:rsid w:val="007F3380"/>
    <w:rsid w:val="007F3625"/>
    <w:rsid w:val="007F39AA"/>
    <w:rsid w:val="007F3DED"/>
    <w:rsid w:val="007F3ED8"/>
    <w:rsid w:val="007F4287"/>
    <w:rsid w:val="007F44AC"/>
    <w:rsid w:val="007F47D4"/>
    <w:rsid w:val="007F4A50"/>
    <w:rsid w:val="007F50EA"/>
    <w:rsid w:val="007F54FA"/>
    <w:rsid w:val="007F5506"/>
    <w:rsid w:val="007F5A9F"/>
    <w:rsid w:val="007F640C"/>
    <w:rsid w:val="007F6440"/>
    <w:rsid w:val="007F65B8"/>
    <w:rsid w:val="007F6615"/>
    <w:rsid w:val="007F672A"/>
    <w:rsid w:val="007F698F"/>
    <w:rsid w:val="007F6ED3"/>
    <w:rsid w:val="007F74EB"/>
    <w:rsid w:val="007F7955"/>
    <w:rsid w:val="00800A11"/>
    <w:rsid w:val="00800EA5"/>
    <w:rsid w:val="00800F22"/>
    <w:rsid w:val="0080105E"/>
    <w:rsid w:val="0080115C"/>
    <w:rsid w:val="008012B2"/>
    <w:rsid w:val="00801314"/>
    <w:rsid w:val="008013A4"/>
    <w:rsid w:val="00801805"/>
    <w:rsid w:val="008019B1"/>
    <w:rsid w:val="00801B22"/>
    <w:rsid w:val="00802243"/>
    <w:rsid w:val="00802667"/>
    <w:rsid w:val="008029CB"/>
    <w:rsid w:val="00802B99"/>
    <w:rsid w:val="008032FE"/>
    <w:rsid w:val="00803436"/>
    <w:rsid w:val="0080360E"/>
    <w:rsid w:val="00803777"/>
    <w:rsid w:val="008037E1"/>
    <w:rsid w:val="0080432B"/>
    <w:rsid w:val="008044B5"/>
    <w:rsid w:val="00804D12"/>
    <w:rsid w:val="00804DBA"/>
    <w:rsid w:val="0080590A"/>
    <w:rsid w:val="00805A4A"/>
    <w:rsid w:val="00805B5D"/>
    <w:rsid w:val="00806427"/>
    <w:rsid w:val="00806670"/>
    <w:rsid w:val="00806818"/>
    <w:rsid w:val="0080692F"/>
    <w:rsid w:val="008072F9"/>
    <w:rsid w:val="0080778D"/>
    <w:rsid w:val="00807A14"/>
    <w:rsid w:val="00807BAF"/>
    <w:rsid w:val="00810632"/>
    <w:rsid w:val="008106B5"/>
    <w:rsid w:val="00810A55"/>
    <w:rsid w:val="00810EE0"/>
    <w:rsid w:val="0081127B"/>
    <w:rsid w:val="008115B9"/>
    <w:rsid w:val="008118BC"/>
    <w:rsid w:val="00811A00"/>
    <w:rsid w:val="00811A5C"/>
    <w:rsid w:val="00811B91"/>
    <w:rsid w:val="00811E46"/>
    <w:rsid w:val="0081261E"/>
    <w:rsid w:val="008126A8"/>
    <w:rsid w:val="008127A4"/>
    <w:rsid w:val="00812D8D"/>
    <w:rsid w:val="00812EA5"/>
    <w:rsid w:val="00813129"/>
    <w:rsid w:val="00813145"/>
    <w:rsid w:val="00813183"/>
    <w:rsid w:val="00813504"/>
    <w:rsid w:val="0081353E"/>
    <w:rsid w:val="008135B9"/>
    <w:rsid w:val="008136B8"/>
    <w:rsid w:val="008137FB"/>
    <w:rsid w:val="00813941"/>
    <w:rsid w:val="008139B2"/>
    <w:rsid w:val="008140C8"/>
    <w:rsid w:val="00814442"/>
    <w:rsid w:val="0081537D"/>
    <w:rsid w:val="008153D8"/>
    <w:rsid w:val="008154CE"/>
    <w:rsid w:val="00816070"/>
    <w:rsid w:val="008162B4"/>
    <w:rsid w:val="008163F9"/>
    <w:rsid w:val="0081644B"/>
    <w:rsid w:val="0081679E"/>
    <w:rsid w:val="008168D2"/>
    <w:rsid w:val="00816DB3"/>
    <w:rsid w:val="008172AA"/>
    <w:rsid w:val="00817941"/>
    <w:rsid w:val="00817A27"/>
    <w:rsid w:val="00817A97"/>
    <w:rsid w:val="00817DD1"/>
    <w:rsid w:val="008204D8"/>
    <w:rsid w:val="008205C2"/>
    <w:rsid w:val="00820660"/>
    <w:rsid w:val="00820D3F"/>
    <w:rsid w:val="0082175A"/>
    <w:rsid w:val="008219AF"/>
    <w:rsid w:val="00821C5F"/>
    <w:rsid w:val="008221E5"/>
    <w:rsid w:val="008222A5"/>
    <w:rsid w:val="008223B6"/>
    <w:rsid w:val="00822495"/>
    <w:rsid w:val="00822780"/>
    <w:rsid w:val="00822ACF"/>
    <w:rsid w:val="0082342D"/>
    <w:rsid w:val="0082364E"/>
    <w:rsid w:val="00823ADB"/>
    <w:rsid w:val="00823BD8"/>
    <w:rsid w:val="00823BFC"/>
    <w:rsid w:val="00823C32"/>
    <w:rsid w:val="00823E34"/>
    <w:rsid w:val="0082416A"/>
    <w:rsid w:val="008244FD"/>
    <w:rsid w:val="0082484C"/>
    <w:rsid w:val="00824E2C"/>
    <w:rsid w:val="008251C0"/>
    <w:rsid w:val="008253CD"/>
    <w:rsid w:val="008255DD"/>
    <w:rsid w:val="00825743"/>
    <w:rsid w:val="0082613C"/>
    <w:rsid w:val="008269B8"/>
    <w:rsid w:val="00826C4C"/>
    <w:rsid w:val="00827299"/>
    <w:rsid w:val="00827350"/>
    <w:rsid w:val="0082777A"/>
    <w:rsid w:val="008279FB"/>
    <w:rsid w:val="00827CA9"/>
    <w:rsid w:val="008300FD"/>
    <w:rsid w:val="008302FC"/>
    <w:rsid w:val="00830666"/>
    <w:rsid w:val="00830A30"/>
    <w:rsid w:val="00830BEB"/>
    <w:rsid w:val="00830E2C"/>
    <w:rsid w:val="00831126"/>
    <w:rsid w:val="00831848"/>
    <w:rsid w:val="00831B57"/>
    <w:rsid w:val="008322CC"/>
    <w:rsid w:val="008328A8"/>
    <w:rsid w:val="00832FD7"/>
    <w:rsid w:val="00833297"/>
    <w:rsid w:val="0083351A"/>
    <w:rsid w:val="0083352E"/>
    <w:rsid w:val="008335AF"/>
    <w:rsid w:val="0083384E"/>
    <w:rsid w:val="00833EC5"/>
    <w:rsid w:val="00833F72"/>
    <w:rsid w:val="00834400"/>
    <w:rsid w:val="00834716"/>
    <w:rsid w:val="0083494F"/>
    <w:rsid w:val="008349C1"/>
    <w:rsid w:val="008352C4"/>
    <w:rsid w:val="00835629"/>
    <w:rsid w:val="008357FC"/>
    <w:rsid w:val="00835D70"/>
    <w:rsid w:val="00836302"/>
    <w:rsid w:val="0083642D"/>
    <w:rsid w:val="008364AE"/>
    <w:rsid w:val="008365AB"/>
    <w:rsid w:val="00836ADA"/>
    <w:rsid w:val="00836D4B"/>
    <w:rsid w:val="00836F42"/>
    <w:rsid w:val="008372B8"/>
    <w:rsid w:val="00837376"/>
    <w:rsid w:val="00837783"/>
    <w:rsid w:val="00837828"/>
    <w:rsid w:val="00837881"/>
    <w:rsid w:val="00837905"/>
    <w:rsid w:val="00837DF0"/>
    <w:rsid w:val="0084005D"/>
    <w:rsid w:val="00840546"/>
    <w:rsid w:val="00840834"/>
    <w:rsid w:val="00840870"/>
    <w:rsid w:val="00840B67"/>
    <w:rsid w:val="00840BBD"/>
    <w:rsid w:val="008414DE"/>
    <w:rsid w:val="00841CBE"/>
    <w:rsid w:val="00841E23"/>
    <w:rsid w:val="00841E84"/>
    <w:rsid w:val="00842273"/>
    <w:rsid w:val="00842BC9"/>
    <w:rsid w:val="00842BDD"/>
    <w:rsid w:val="00842E92"/>
    <w:rsid w:val="00842EC5"/>
    <w:rsid w:val="008430DC"/>
    <w:rsid w:val="008437C8"/>
    <w:rsid w:val="0084437F"/>
    <w:rsid w:val="0084460A"/>
    <w:rsid w:val="0084467C"/>
    <w:rsid w:val="008446B4"/>
    <w:rsid w:val="00844967"/>
    <w:rsid w:val="00844E6B"/>
    <w:rsid w:val="008454C2"/>
    <w:rsid w:val="008459AA"/>
    <w:rsid w:val="00845A16"/>
    <w:rsid w:val="00845EF2"/>
    <w:rsid w:val="00845F1C"/>
    <w:rsid w:val="00846567"/>
    <w:rsid w:val="0084694A"/>
    <w:rsid w:val="008469EF"/>
    <w:rsid w:val="00846A09"/>
    <w:rsid w:val="00846A4B"/>
    <w:rsid w:val="0084771A"/>
    <w:rsid w:val="0084783F"/>
    <w:rsid w:val="00847AAD"/>
    <w:rsid w:val="00847C20"/>
    <w:rsid w:val="00847CC4"/>
    <w:rsid w:val="0085011D"/>
    <w:rsid w:val="008502BF"/>
    <w:rsid w:val="00850780"/>
    <w:rsid w:val="008508F1"/>
    <w:rsid w:val="00850985"/>
    <w:rsid w:val="008509C2"/>
    <w:rsid w:val="00850E2D"/>
    <w:rsid w:val="00850E43"/>
    <w:rsid w:val="00851097"/>
    <w:rsid w:val="0085110A"/>
    <w:rsid w:val="0085130C"/>
    <w:rsid w:val="00852494"/>
    <w:rsid w:val="008525AC"/>
    <w:rsid w:val="00852D35"/>
    <w:rsid w:val="00852ED0"/>
    <w:rsid w:val="00853105"/>
    <w:rsid w:val="00853153"/>
    <w:rsid w:val="008534ED"/>
    <w:rsid w:val="008537FE"/>
    <w:rsid w:val="00853AB0"/>
    <w:rsid w:val="00854163"/>
    <w:rsid w:val="00854748"/>
    <w:rsid w:val="00854F5C"/>
    <w:rsid w:val="008551BB"/>
    <w:rsid w:val="00855263"/>
    <w:rsid w:val="00855529"/>
    <w:rsid w:val="00855874"/>
    <w:rsid w:val="0085599E"/>
    <w:rsid w:val="008559F5"/>
    <w:rsid w:val="00855CA4"/>
    <w:rsid w:val="00855DF7"/>
    <w:rsid w:val="00855ED6"/>
    <w:rsid w:val="00856208"/>
    <w:rsid w:val="00856EAA"/>
    <w:rsid w:val="0085721E"/>
    <w:rsid w:val="00857249"/>
    <w:rsid w:val="008576D2"/>
    <w:rsid w:val="0085798D"/>
    <w:rsid w:val="008579E3"/>
    <w:rsid w:val="00860152"/>
    <w:rsid w:val="00860225"/>
    <w:rsid w:val="0086024F"/>
    <w:rsid w:val="008602B2"/>
    <w:rsid w:val="00860ECC"/>
    <w:rsid w:val="00861292"/>
    <w:rsid w:val="008617B5"/>
    <w:rsid w:val="0086185F"/>
    <w:rsid w:val="008619FB"/>
    <w:rsid w:val="00861A3C"/>
    <w:rsid w:val="00861C76"/>
    <w:rsid w:val="0086243C"/>
    <w:rsid w:val="008627E2"/>
    <w:rsid w:val="0086280D"/>
    <w:rsid w:val="008629D2"/>
    <w:rsid w:val="00862B39"/>
    <w:rsid w:val="008630D5"/>
    <w:rsid w:val="0086310C"/>
    <w:rsid w:val="00863DCD"/>
    <w:rsid w:val="0086420B"/>
    <w:rsid w:val="008642CF"/>
    <w:rsid w:val="00864580"/>
    <w:rsid w:val="008645A3"/>
    <w:rsid w:val="008645E0"/>
    <w:rsid w:val="00864C9D"/>
    <w:rsid w:val="00865573"/>
    <w:rsid w:val="008658B3"/>
    <w:rsid w:val="0086598C"/>
    <w:rsid w:val="00866107"/>
    <w:rsid w:val="00866299"/>
    <w:rsid w:val="0086651F"/>
    <w:rsid w:val="00866C57"/>
    <w:rsid w:val="00866C9F"/>
    <w:rsid w:val="00866D82"/>
    <w:rsid w:val="00867100"/>
    <w:rsid w:val="0086781E"/>
    <w:rsid w:val="008678B1"/>
    <w:rsid w:val="00867D0C"/>
    <w:rsid w:val="0087031C"/>
    <w:rsid w:val="00870445"/>
    <w:rsid w:val="00870494"/>
    <w:rsid w:val="00870714"/>
    <w:rsid w:val="00870B50"/>
    <w:rsid w:val="00870D1D"/>
    <w:rsid w:val="00870DAA"/>
    <w:rsid w:val="00871689"/>
    <w:rsid w:val="008716D0"/>
    <w:rsid w:val="00871774"/>
    <w:rsid w:val="00871A50"/>
    <w:rsid w:val="00871D78"/>
    <w:rsid w:val="00872142"/>
    <w:rsid w:val="00872363"/>
    <w:rsid w:val="0087257C"/>
    <w:rsid w:val="0087257D"/>
    <w:rsid w:val="00872D39"/>
    <w:rsid w:val="00873474"/>
    <w:rsid w:val="008736C3"/>
    <w:rsid w:val="008737C1"/>
    <w:rsid w:val="008738B8"/>
    <w:rsid w:val="0087391F"/>
    <w:rsid w:val="0087394D"/>
    <w:rsid w:val="00873EB6"/>
    <w:rsid w:val="00873EFA"/>
    <w:rsid w:val="00873FEF"/>
    <w:rsid w:val="00874330"/>
    <w:rsid w:val="00874615"/>
    <w:rsid w:val="00874AC2"/>
    <w:rsid w:val="008752D4"/>
    <w:rsid w:val="008753B7"/>
    <w:rsid w:val="00875899"/>
    <w:rsid w:val="00875CB1"/>
    <w:rsid w:val="00875F0B"/>
    <w:rsid w:val="008765B5"/>
    <w:rsid w:val="00876F6E"/>
    <w:rsid w:val="0087720B"/>
    <w:rsid w:val="008772F8"/>
    <w:rsid w:val="008775BA"/>
    <w:rsid w:val="008778C8"/>
    <w:rsid w:val="00877C1E"/>
    <w:rsid w:val="00877D18"/>
    <w:rsid w:val="00877E68"/>
    <w:rsid w:val="00877FF0"/>
    <w:rsid w:val="00877FF3"/>
    <w:rsid w:val="0088045D"/>
    <w:rsid w:val="00880BB1"/>
    <w:rsid w:val="008810D2"/>
    <w:rsid w:val="0088110D"/>
    <w:rsid w:val="0088156C"/>
    <w:rsid w:val="0088163D"/>
    <w:rsid w:val="00881BDD"/>
    <w:rsid w:val="00881BE7"/>
    <w:rsid w:val="00881C92"/>
    <w:rsid w:val="00881FCB"/>
    <w:rsid w:val="00882465"/>
    <w:rsid w:val="00882591"/>
    <w:rsid w:val="0088295F"/>
    <w:rsid w:val="00883311"/>
    <w:rsid w:val="00883506"/>
    <w:rsid w:val="00884555"/>
    <w:rsid w:val="0088495A"/>
    <w:rsid w:val="00884CE5"/>
    <w:rsid w:val="00884D8D"/>
    <w:rsid w:val="00884DD3"/>
    <w:rsid w:val="00884E84"/>
    <w:rsid w:val="008850D3"/>
    <w:rsid w:val="0088520E"/>
    <w:rsid w:val="00885506"/>
    <w:rsid w:val="008865DE"/>
    <w:rsid w:val="00886FB2"/>
    <w:rsid w:val="008872D1"/>
    <w:rsid w:val="00887541"/>
    <w:rsid w:val="00887A54"/>
    <w:rsid w:val="00887C31"/>
    <w:rsid w:val="00887F10"/>
    <w:rsid w:val="00887F2B"/>
    <w:rsid w:val="00890AB9"/>
    <w:rsid w:val="00891584"/>
    <w:rsid w:val="00892344"/>
    <w:rsid w:val="0089259F"/>
    <w:rsid w:val="00892919"/>
    <w:rsid w:val="00892941"/>
    <w:rsid w:val="0089299E"/>
    <w:rsid w:val="008929A3"/>
    <w:rsid w:val="00892D66"/>
    <w:rsid w:val="00892D78"/>
    <w:rsid w:val="00892DEF"/>
    <w:rsid w:val="0089369B"/>
    <w:rsid w:val="0089487F"/>
    <w:rsid w:val="00895089"/>
    <w:rsid w:val="0089531D"/>
    <w:rsid w:val="00895751"/>
    <w:rsid w:val="008958AF"/>
    <w:rsid w:val="00895B1A"/>
    <w:rsid w:val="0089605E"/>
    <w:rsid w:val="00896095"/>
    <w:rsid w:val="00896139"/>
    <w:rsid w:val="0089690F"/>
    <w:rsid w:val="00896935"/>
    <w:rsid w:val="00896B34"/>
    <w:rsid w:val="008974BB"/>
    <w:rsid w:val="00897519"/>
    <w:rsid w:val="00897689"/>
    <w:rsid w:val="008976B9"/>
    <w:rsid w:val="008979A7"/>
    <w:rsid w:val="008A052E"/>
    <w:rsid w:val="008A07D3"/>
    <w:rsid w:val="008A113E"/>
    <w:rsid w:val="008A13EE"/>
    <w:rsid w:val="008A1776"/>
    <w:rsid w:val="008A1824"/>
    <w:rsid w:val="008A19CC"/>
    <w:rsid w:val="008A1A23"/>
    <w:rsid w:val="008A1C3C"/>
    <w:rsid w:val="008A235C"/>
    <w:rsid w:val="008A25A2"/>
    <w:rsid w:val="008A2C5F"/>
    <w:rsid w:val="008A2CDE"/>
    <w:rsid w:val="008A2E12"/>
    <w:rsid w:val="008A374A"/>
    <w:rsid w:val="008A3932"/>
    <w:rsid w:val="008A3A4C"/>
    <w:rsid w:val="008A3D41"/>
    <w:rsid w:val="008A4057"/>
    <w:rsid w:val="008A40CC"/>
    <w:rsid w:val="008A40ED"/>
    <w:rsid w:val="008A4A85"/>
    <w:rsid w:val="008A502F"/>
    <w:rsid w:val="008A55A0"/>
    <w:rsid w:val="008A57E1"/>
    <w:rsid w:val="008A5AAD"/>
    <w:rsid w:val="008A5D45"/>
    <w:rsid w:val="008A5FE6"/>
    <w:rsid w:val="008A6741"/>
    <w:rsid w:val="008A6B9B"/>
    <w:rsid w:val="008A76C8"/>
    <w:rsid w:val="008A7AC7"/>
    <w:rsid w:val="008A7CC8"/>
    <w:rsid w:val="008A7D7D"/>
    <w:rsid w:val="008A7DD7"/>
    <w:rsid w:val="008B0680"/>
    <w:rsid w:val="008B078C"/>
    <w:rsid w:val="008B0B85"/>
    <w:rsid w:val="008B0F54"/>
    <w:rsid w:val="008B120C"/>
    <w:rsid w:val="008B125F"/>
    <w:rsid w:val="008B12D7"/>
    <w:rsid w:val="008B1A74"/>
    <w:rsid w:val="008B1B49"/>
    <w:rsid w:val="008B2057"/>
    <w:rsid w:val="008B2342"/>
    <w:rsid w:val="008B2780"/>
    <w:rsid w:val="008B2B1C"/>
    <w:rsid w:val="008B2B57"/>
    <w:rsid w:val="008B2D2E"/>
    <w:rsid w:val="008B2DD2"/>
    <w:rsid w:val="008B2E41"/>
    <w:rsid w:val="008B3027"/>
    <w:rsid w:val="008B3282"/>
    <w:rsid w:val="008B32CB"/>
    <w:rsid w:val="008B349F"/>
    <w:rsid w:val="008B35C0"/>
    <w:rsid w:val="008B37C3"/>
    <w:rsid w:val="008B3999"/>
    <w:rsid w:val="008B3ABD"/>
    <w:rsid w:val="008B3D59"/>
    <w:rsid w:val="008B4010"/>
    <w:rsid w:val="008B424E"/>
    <w:rsid w:val="008B4A37"/>
    <w:rsid w:val="008B4E62"/>
    <w:rsid w:val="008B4EB3"/>
    <w:rsid w:val="008B4F89"/>
    <w:rsid w:val="008B52D5"/>
    <w:rsid w:val="008B5463"/>
    <w:rsid w:val="008B565F"/>
    <w:rsid w:val="008B5708"/>
    <w:rsid w:val="008B5A26"/>
    <w:rsid w:val="008B5D75"/>
    <w:rsid w:val="008B5F3A"/>
    <w:rsid w:val="008B5FF3"/>
    <w:rsid w:val="008B649D"/>
    <w:rsid w:val="008B6BE8"/>
    <w:rsid w:val="008B6D42"/>
    <w:rsid w:val="008B7230"/>
    <w:rsid w:val="008B73B8"/>
    <w:rsid w:val="008B7A97"/>
    <w:rsid w:val="008B7C6B"/>
    <w:rsid w:val="008B7CE5"/>
    <w:rsid w:val="008C004F"/>
    <w:rsid w:val="008C030C"/>
    <w:rsid w:val="008C03CE"/>
    <w:rsid w:val="008C064E"/>
    <w:rsid w:val="008C0A20"/>
    <w:rsid w:val="008C0B49"/>
    <w:rsid w:val="008C227F"/>
    <w:rsid w:val="008C2415"/>
    <w:rsid w:val="008C2C24"/>
    <w:rsid w:val="008C304E"/>
    <w:rsid w:val="008C34D6"/>
    <w:rsid w:val="008C3646"/>
    <w:rsid w:val="008C374F"/>
    <w:rsid w:val="008C3814"/>
    <w:rsid w:val="008C3A46"/>
    <w:rsid w:val="008C3AB8"/>
    <w:rsid w:val="008C3E5F"/>
    <w:rsid w:val="008C3FAC"/>
    <w:rsid w:val="008C4247"/>
    <w:rsid w:val="008C43BD"/>
    <w:rsid w:val="008C444E"/>
    <w:rsid w:val="008C46C6"/>
    <w:rsid w:val="008C47BB"/>
    <w:rsid w:val="008C47DD"/>
    <w:rsid w:val="008C49A4"/>
    <w:rsid w:val="008C5E66"/>
    <w:rsid w:val="008C5EA5"/>
    <w:rsid w:val="008C5EBD"/>
    <w:rsid w:val="008C624F"/>
    <w:rsid w:val="008C6557"/>
    <w:rsid w:val="008C6B68"/>
    <w:rsid w:val="008C6E89"/>
    <w:rsid w:val="008C6F55"/>
    <w:rsid w:val="008C7143"/>
    <w:rsid w:val="008C72FD"/>
    <w:rsid w:val="008C7310"/>
    <w:rsid w:val="008C747F"/>
    <w:rsid w:val="008C7B92"/>
    <w:rsid w:val="008C7DDE"/>
    <w:rsid w:val="008C7EAE"/>
    <w:rsid w:val="008D00CA"/>
    <w:rsid w:val="008D0463"/>
    <w:rsid w:val="008D12E0"/>
    <w:rsid w:val="008D15DB"/>
    <w:rsid w:val="008D1C88"/>
    <w:rsid w:val="008D2101"/>
    <w:rsid w:val="008D2163"/>
    <w:rsid w:val="008D22FD"/>
    <w:rsid w:val="008D2395"/>
    <w:rsid w:val="008D2812"/>
    <w:rsid w:val="008D2873"/>
    <w:rsid w:val="008D2B17"/>
    <w:rsid w:val="008D2D9E"/>
    <w:rsid w:val="008D3098"/>
    <w:rsid w:val="008D3A64"/>
    <w:rsid w:val="008D3DEE"/>
    <w:rsid w:val="008D3E7C"/>
    <w:rsid w:val="008D4187"/>
    <w:rsid w:val="008D4325"/>
    <w:rsid w:val="008D47A0"/>
    <w:rsid w:val="008D5071"/>
    <w:rsid w:val="008D5716"/>
    <w:rsid w:val="008D5882"/>
    <w:rsid w:val="008D58B3"/>
    <w:rsid w:val="008D606D"/>
    <w:rsid w:val="008D62B1"/>
    <w:rsid w:val="008D67B5"/>
    <w:rsid w:val="008D6BD3"/>
    <w:rsid w:val="008D6E2E"/>
    <w:rsid w:val="008D73E5"/>
    <w:rsid w:val="008D77C9"/>
    <w:rsid w:val="008D7990"/>
    <w:rsid w:val="008D7EB1"/>
    <w:rsid w:val="008E012B"/>
    <w:rsid w:val="008E04D6"/>
    <w:rsid w:val="008E0636"/>
    <w:rsid w:val="008E0C23"/>
    <w:rsid w:val="008E0E53"/>
    <w:rsid w:val="008E10DD"/>
    <w:rsid w:val="008E1269"/>
    <w:rsid w:val="008E17B5"/>
    <w:rsid w:val="008E189C"/>
    <w:rsid w:val="008E195A"/>
    <w:rsid w:val="008E1C07"/>
    <w:rsid w:val="008E1C2C"/>
    <w:rsid w:val="008E1D78"/>
    <w:rsid w:val="008E1EEC"/>
    <w:rsid w:val="008E20EE"/>
    <w:rsid w:val="008E2556"/>
    <w:rsid w:val="008E288E"/>
    <w:rsid w:val="008E2909"/>
    <w:rsid w:val="008E2E62"/>
    <w:rsid w:val="008E30AA"/>
    <w:rsid w:val="008E3751"/>
    <w:rsid w:val="008E3CF1"/>
    <w:rsid w:val="008E3E40"/>
    <w:rsid w:val="008E405A"/>
    <w:rsid w:val="008E415B"/>
    <w:rsid w:val="008E41A4"/>
    <w:rsid w:val="008E4324"/>
    <w:rsid w:val="008E43DD"/>
    <w:rsid w:val="008E449D"/>
    <w:rsid w:val="008E46B0"/>
    <w:rsid w:val="008E4A65"/>
    <w:rsid w:val="008E509D"/>
    <w:rsid w:val="008E54BA"/>
    <w:rsid w:val="008E54FF"/>
    <w:rsid w:val="008E5D84"/>
    <w:rsid w:val="008E6480"/>
    <w:rsid w:val="008E691E"/>
    <w:rsid w:val="008E709D"/>
    <w:rsid w:val="008E70A6"/>
    <w:rsid w:val="008E786B"/>
    <w:rsid w:val="008F017F"/>
    <w:rsid w:val="008F06CB"/>
    <w:rsid w:val="008F0792"/>
    <w:rsid w:val="008F0E9F"/>
    <w:rsid w:val="008F118D"/>
    <w:rsid w:val="008F11E6"/>
    <w:rsid w:val="008F133A"/>
    <w:rsid w:val="008F1393"/>
    <w:rsid w:val="008F1401"/>
    <w:rsid w:val="008F1684"/>
    <w:rsid w:val="008F174D"/>
    <w:rsid w:val="008F1B5A"/>
    <w:rsid w:val="008F1D03"/>
    <w:rsid w:val="008F23B7"/>
    <w:rsid w:val="008F23C9"/>
    <w:rsid w:val="008F268A"/>
    <w:rsid w:val="008F2C2B"/>
    <w:rsid w:val="008F2DDE"/>
    <w:rsid w:val="008F2DE8"/>
    <w:rsid w:val="008F2E94"/>
    <w:rsid w:val="008F3002"/>
    <w:rsid w:val="008F3260"/>
    <w:rsid w:val="008F35BC"/>
    <w:rsid w:val="008F38EA"/>
    <w:rsid w:val="008F3A92"/>
    <w:rsid w:val="008F412D"/>
    <w:rsid w:val="008F49A6"/>
    <w:rsid w:val="008F4EA4"/>
    <w:rsid w:val="008F4FD9"/>
    <w:rsid w:val="008F5259"/>
    <w:rsid w:val="008F5619"/>
    <w:rsid w:val="008F56C6"/>
    <w:rsid w:val="008F5890"/>
    <w:rsid w:val="008F5C30"/>
    <w:rsid w:val="008F5D06"/>
    <w:rsid w:val="008F5F51"/>
    <w:rsid w:val="008F69C3"/>
    <w:rsid w:val="008F6A78"/>
    <w:rsid w:val="008F700C"/>
    <w:rsid w:val="008F70AE"/>
    <w:rsid w:val="00900782"/>
    <w:rsid w:val="00900B68"/>
    <w:rsid w:val="00900C2B"/>
    <w:rsid w:val="00900EF9"/>
    <w:rsid w:val="00900F94"/>
    <w:rsid w:val="00901647"/>
    <w:rsid w:val="0090170F"/>
    <w:rsid w:val="00901D2B"/>
    <w:rsid w:val="00901D34"/>
    <w:rsid w:val="00901E2F"/>
    <w:rsid w:val="009021C4"/>
    <w:rsid w:val="009030CF"/>
    <w:rsid w:val="00903683"/>
    <w:rsid w:val="009038E3"/>
    <w:rsid w:val="009042E1"/>
    <w:rsid w:val="00904359"/>
    <w:rsid w:val="0090435F"/>
    <w:rsid w:val="009046B4"/>
    <w:rsid w:val="00904756"/>
    <w:rsid w:val="00904791"/>
    <w:rsid w:val="00904BE6"/>
    <w:rsid w:val="00904C41"/>
    <w:rsid w:val="00904DA8"/>
    <w:rsid w:val="00905430"/>
    <w:rsid w:val="00905CCB"/>
    <w:rsid w:val="009060DC"/>
    <w:rsid w:val="009063C1"/>
    <w:rsid w:val="0090657B"/>
    <w:rsid w:val="00906CE6"/>
    <w:rsid w:val="00906D4B"/>
    <w:rsid w:val="00906D72"/>
    <w:rsid w:val="00907468"/>
    <w:rsid w:val="00907870"/>
    <w:rsid w:val="00907E84"/>
    <w:rsid w:val="0091011B"/>
    <w:rsid w:val="009106D9"/>
    <w:rsid w:val="009106E6"/>
    <w:rsid w:val="00910AB2"/>
    <w:rsid w:val="00911063"/>
    <w:rsid w:val="009111ED"/>
    <w:rsid w:val="00911BCE"/>
    <w:rsid w:val="0091232E"/>
    <w:rsid w:val="00912CFF"/>
    <w:rsid w:val="00913020"/>
    <w:rsid w:val="0091324F"/>
    <w:rsid w:val="009136BF"/>
    <w:rsid w:val="009139E4"/>
    <w:rsid w:val="0091413C"/>
    <w:rsid w:val="00914FE8"/>
    <w:rsid w:val="00915060"/>
    <w:rsid w:val="009151F5"/>
    <w:rsid w:val="00915886"/>
    <w:rsid w:val="00915B9A"/>
    <w:rsid w:val="0091639C"/>
    <w:rsid w:val="00916B05"/>
    <w:rsid w:val="00916E74"/>
    <w:rsid w:val="0091702B"/>
    <w:rsid w:val="00917325"/>
    <w:rsid w:val="0091764C"/>
    <w:rsid w:val="009179ED"/>
    <w:rsid w:val="0092022A"/>
    <w:rsid w:val="00920709"/>
    <w:rsid w:val="009208CD"/>
    <w:rsid w:val="009208F7"/>
    <w:rsid w:val="00920B77"/>
    <w:rsid w:val="00920CF8"/>
    <w:rsid w:val="00920D18"/>
    <w:rsid w:val="009210EC"/>
    <w:rsid w:val="009212B0"/>
    <w:rsid w:val="0092174D"/>
    <w:rsid w:val="009217CA"/>
    <w:rsid w:val="00921B83"/>
    <w:rsid w:val="00921CB3"/>
    <w:rsid w:val="00921E3E"/>
    <w:rsid w:val="0092202F"/>
    <w:rsid w:val="009220BF"/>
    <w:rsid w:val="009225B2"/>
    <w:rsid w:val="00922E90"/>
    <w:rsid w:val="009233F9"/>
    <w:rsid w:val="0092380B"/>
    <w:rsid w:val="0092390A"/>
    <w:rsid w:val="00923A29"/>
    <w:rsid w:val="00923A2C"/>
    <w:rsid w:val="00923A75"/>
    <w:rsid w:val="00923EA1"/>
    <w:rsid w:val="009248D3"/>
    <w:rsid w:val="00924A08"/>
    <w:rsid w:val="00925377"/>
    <w:rsid w:val="00925EF2"/>
    <w:rsid w:val="00926049"/>
    <w:rsid w:val="009260E9"/>
    <w:rsid w:val="0092664E"/>
    <w:rsid w:val="00926895"/>
    <w:rsid w:val="009268C2"/>
    <w:rsid w:val="00926C31"/>
    <w:rsid w:val="00926DE3"/>
    <w:rsid w:val="00926FEA"/>
    <w:rsid w:val="0092717E"/>
    <w:rsid w:val="009271E3"/>
    <w:rsid w:val="00927475"/>
    <w:rsid w:val="00927AAA"/>
    <w:rsid w:val="00927DB6"/>
    <w:rsid w:val="00930078"/>
    <w:rsid w:val="00930320"/>
    <w:rsid w:val="00930603"/>
    <w:rsid w:val="00930796"/>
    <w:rsid w:val="00930A7A"/>
    <w:rsid w:val="00930AD2"/>
    <w:rsid w:val="00930DCA"/>
    <w:rsid w:val="00930F38"/>
    <w:rsid w:val="00930FE5"/>
    <w:rsid w:val="0093106C"/>
    <w:rsid w:val="009314C4"/>
    <w:rsid w:val="009318B1"/>
    <w:rsid w:val="00931AE2"/>
    <w:rsid w:val="00932224"/>
    <w:rsid w:val="009322E2"/>
    <w:rsid w:val="009324F8"/>
    <w:rsid w:val="009325B3"/>
    <w:rsid w:val="0093280A"/>
    <w:rsid w:val="00932A30"/>
    <w:rsid w:val="00932AD6"/>
    <w:rsid w:val="00932C1D"/>
    <w:rsid w:val="00933166"/>
    <w:rsid w:val="00933435"/>
    <w:rsid w:val="0093370D"/>
    <w:rsid w:val="00933784"/>
    <w:rsid w:val="009337E0"/>
    <w:rsid w:val="00933AE4"/>
    <w:rsid w:val="00933C2F"/>
    <w:rsid w:val="0093549C"/>
    <w:rsid w:val="009358DE"/>
    <w:rsid w:val="0093609A"/>
    <w:rsid w:val="00936F11"/>
    <w:rsid w:val="009373AA"/>
    <w:rsid w:val="00937827"/>
    <w:rsid w:val="0093795E"/>
    <w:rsid w:val="00937B61"/>
    <w:rsid w:val="00940044"/>
    <w:rsid w:val="009402F7"/>
    <w:rsid w:val="00940B25"/>
    <w:rsid w:val="00940CDF"/>
    <w:rsid w:val="00941188"/>
    <w:rsid w:val="009417DA"/>
    <w:rsid w:val="00941869"/>
    <w:rsid w:val="009418C1"/>
    <w:rsid w:val="0094209E"/>
    <w:rsid w:val="0094222E"/>
    <w:rsid w:val="00942695"/>
    <w:rsid w:val="00942774"/>
    <w:rsid w:val="0094348F"/>
    <w:rsid w:val="009437B9"/>
    <w:rsid w:val="0094387A"/>
    <w:rsid w:val="00943A21"/>
    <w:rsid w:val="00943A91"/>
    <w:rsid w:val="00943B9A"/>
    <w:rsid w:val="00944085"/>
    <w:rsid w:val="009440D0"/>
    <w:rsid w:val="009447E7"/>
    <w:rsid w:val="00944B30"/>
    <w:rsid w:val="00944C02"/>
    <w:rsid w:val="00944E93"/>
    <w:rsid w:val="0094547E"/>
    <w:rsid w:val="00945759"/>
    <w:rsid w:val="00945EE3"/>
    <w:rsid w:val="00946758"/>
    <w:rsid w:val="00946D42"/>
    <w:rsid w:val="00947629"/>
    <w:rsid w:val="0095089C"/>
    <w:rsid w:val="00950997"/>
    <w:rsid w:val="00950C68"/>
    <w:rsid w:val="0095110D"/>
    <w:rsid w:val="00951967"/>
    <w:rsid w:val="00951A3F"/>
    <w:rsid w:val="00951B56"/>
    <w:rsid w:val="00951BFF"/>
    <w:rsid w:val="00951D7E"/>
    <w:rsid w:val="00952A57"/>
    <w:rsid w:val="00952B13"/>
    <w:rsid w:val="00952BB5"/>
    <w:rsid w:val="00952C12"/>
    <w:rsid w:val="00952F3D"/>
    <w:rsid w:val="0095356C"/>
    <w:rsid w:val="00953676"/>
    <w:rsid w:val="00953923"/>
    <w:rsid w:val="00953A89"/>
    <w:rsid w:val="00953CA1"/>
    <w:rsid w:val="00953D1F"/>
    <w:rsid w:val="009541CD"/>
    <w:rsid w:val="00954247"/>
    <w:rsid w:val="0095435B"/>
    <w:rsid w:val="0095437D"/>
    <w:rsid w:val="0095438D"/>
    <w:rsid w:val="00954B96"/>
    <w:rsid w:val="0095518F"/>
    <w:rsid w:val="0095524E"/>
    <w:rsid w:val="009552FC"/>
    <w:rsid w:val="00955407"/>
    <w:rsid w:val="009554CA"/>
    <w:rsid w:val="00955A95"/>
    <w:rsid w:val="00955DF4"/>
    <w:rsid w:val="00955F82"/>
    <w:rsid w:val="009560A6"/>
    <w:rsid w:val="009561B8"/>
    <w:rsid w:val="009562BD"/>
    <w:rsid w:val="009562D3"/>
    <w:rsid w:val="00956306"/>
    <w:rsid w:val="00956381"/>
    <w:rsid w:val="0095653D"/>
    <w:rsid w:val="00956B39"/>
    <w:rsid w:val="00956BFA"/>
    <w:rsid w:val="00956F69"/>
    <w:rsid w:val="009572B5"/>
    <w:rsid w:val="009573C9"/>
    <w:rsid w:val="00960800"/>
    <w:rsid w:val="00960B2A"/>
    <w:rsid w:val="00960C78"/>
    <w:rsid w:val="00960D36"/>
    <w:rsid w:val="00960F2D"/>
    <w:rsid w:val="00960FCF"/>
    <w:rsid w:val="009610B3"/>
    <w:rsid w:val="0096117F"/>
    <w:rsid w:val="009619DC"/>
    <w:rsid w:val="00961F75"/>
    <w:rsid w:val="00961F7C"/>
    <w:rsid w:val="00961FD9"/>
    <w:rsid w:val="00962318"/>
    <w:rsid w:val="00962FCF"/>
    <w:rsid w:val="009633B5"/>
    <w:rsid w:val="00963590"/>
    <w:rsid w:val="00963868"/>
    <w:rsid w:val="009638E0"/>
    <w:rsid w:val="0096396C"/>
    <w:rsid w:val="00963A65"/>
    <w:rsid w:val="00963B59"/>
    <w:rsid w:val="00963FA9"/>
    <w:rsid w:val="00964212"/>
    <w:rsid w:val="00964229"/>
    <w:rsid w:val="00964520"/>
    <w:rsid w:val="009652A0"/>
    <w:rsid w:val="009655E3"/>
    <w:rsid w:val="0096575B"/>
    <w:rsid w:val="00965C6C"/>
    <w:rsid w:val="00965CEB"/>
    <w:rsid w:val="00965E75"/>
    <w:rsid w:val="0096624C"/>
    <w:rsid w:val="00966651"/>
    <w:rsid w:val="00966736"/>
    <w:rsid w:val="0096679F"/>
    <w:rsid w:val="00966CD9"/>
    <w:rsid w:val="0096712E"/>
    <w:rsid w:val="0096731E"/>
    <w:rsid w:val="0096771E"/>
    <w:rsid w:val="00967CB1"/>
    <w:rsid w:val="00967CCA"/>
    <w:rsid w:val="00967E17"/>
    <w:rsid w:val="00970137"/>
    <w:rsid w:val="0097046C"/>
    <w:rsid w:val="009704F5"/>
    <w:rsid w:val="00970D98"/>
    <w:rsid w:val="00970F54"/>
    <w:rsid w:val="00970FA0"/>
    <w:rsid w:val="009713C5"/>
    <w:rsid w:val="00971426"/>
    <w:rsid w:val="00971793"/>
    <w:rsid w:val="009717F7"/>
    <w:rsid w:val="00971A96"/>
    <w:rsid w:val="0097247D"/>
    <w:rsid w:val="00972583"/>
    <w:rsid w:val="00972DA1"/>
    <w:rsid w:val="00972FEC"/>
    <w:rsid w:val="00973128"/>
    <w:rsid w:val="00973624"/>
    <w:rsid w:val="00973782"/>
    <w:rsid w:val="009737EA"/>
    <w:rsid w:val="009739D4"/>
    <w:rsid w:val="00973E9E"/>
    <w:rsid w:val="00974835"/>
    <w:rsid w:val="00974D56"/>
    <w:rsid w:val="009753C8"/>
    <w:rsid w:val="009754FC"/>
    <w:rsid w:val="0097551E"/>
    <w:rsid w:val="00975546"/>
    <w:rsid w:val="009759FA"/>
    <w:rsid w:val="00975D34"/>
    <w:rsid w:val="00975ED5"/>
    <w:rsid w:val="00976B8B"/>
    <w:rsid w:val="00976D05"/>
    <w:rsid w:val="009770CF"/>
    <w:rsid w:val="0097727A"/>
    <w:rsid w:val="0097738F"/>
    <w:rsid w:val="00977395"/>
    <w:rsid w:val="0097747F"/>
    <w:rsid w:val="00977A01"/>
    <w:rsid w:val="00977C26"/>
    <w:rsid w:val="0098022B"/>
    <w:rsid w:val="00980330"/>
    <w:rsid w:val="0098061F"/>
    <w:rsid w:val="009809C3"/>
    <w:rsid w:val="00980CFC"/>
    <w:rsid w:val="0098135B"/>
    <w:rsid w:val="00981733"/>
    <w:rsid w:val="009817F0"/>
    <w:rsid w:val="00982657"/>
    <w:rsid w:val="009826A8"/>
    <w:rsid w:val="00982810"/>
    <w:rsid w:val="00982D74"/>
    <w:rsid w:val="00982F46"/>
    <w:rsid w:val="009830FC"/>
    <w:rsid w:val="00983246"/>
    <w:rsid w:val="009832D5"/>
    <w:rsid w:val="00983BAA"/>
    <w:rsid w:val="00984667"/>
    <w:rsid w:val="009847D0"/>
    <w:rsid w:val="00984DC6"/>
    <w:rsid w:val="009850DF"/>
    <w:rsid w:val="009855C4"/>
    <w:rsid w:val="00985786"/>
    <w:rsid w:val="00985EC4"/>
    <w:rsid w:val="00986589"/>
    <w:rsid w:val="0098685E"/>
    <w:rsid w:val="009870DF"/>
    <w:rsid w:val="00987306"/>
    <w:rsid w:val="00987418"/>
    <w:rsid w:val="009878E0"/>
    <w:rsid w:val="00987AC5"/>
    <w:rsid w:val="00987BB3"/>
    <w:rsid w:val="00987EF0"/>
    <w:rsid w:val="00990088"/>
    <w:rsid w:val="0099014B"/>
    <w:rsid w:val="009902AB"/>
    <w:rsid w:val="009902D3"/>
    <w:rsid w:val="009902F4"/>
    <w:rsid w:val="009905A2"/>
    <w:rsid w:val="00990885"/>
    <w:rsid w:val="009908E4"/>
    <w:rsid w:val="00990C5D"/>
    <w:rsid w:val="00990CE6"/>
    <w:rsid w:val="0099126C"/>
    <w:rsid w:val="009912B3"/>
    <w:rsid w:val="00991456"/>
    <w:rsid w:val="00991CA0"/>
    <w:rsid w:val="00991D84"/>
    <w:rsid w:val="009925B9"/>
    <w:rsid w:val="00992865"/>
    <w:rsid w:val="00992E29"/>
    <w:rsid w:val="00992FD0"/>
    <w:rsid w:val="00993A8B"/>
    <w:rsid w:val="00993C3F"/>
    <w:rsid w:val="00993F81"/>
    <w:rsid w:val="00994341"/>
    <w:rsid w:val="00994590"/>
    <w:rsid w:val="00994D52"/>
    <w:rsid w:val="0099543B"/>
    <w:rsid w:val="00995D57"/>
    <w:rsid w:val="00995DFC"/>
    <w:rsid w:val="00995E40"/>
    <w:rsid w:val="00996982"/>
    <w:rsid w:val="009969CC"/>
    <w:rsid w:val="00996CF6"/>
    <w:rsid w:val="00996E37"/>
    <w:rsid w:val="009971BE"/>
    <w:rsid w:val="00997E73"/>
    <w:rsid w:val="009A012A"/>
    <w:rsid w:val="009A01D7"/>
    <w:rsid w:val="009A0423"/>
    <w:rsid w:val="009A04EB"/>
    <w:rsid w:val="009A0965"/>
    <w:rsid w:val="009A0D0F"/>
    <w:rsid w:val="009A0D53"/>
    <w:rsid w:val="009A11E5"/>
    <w:rsid w:val="009A14E6"/>
    <w:rsid w:val="009A19FC"/>
    <w:rsid w:val="009A1A4E"/>
    <w:rsid w:val="009A1E45"/>
    <w:rsid w:val="009A1EF0"/>
    <w:rsid w:val="009A2746"/>
    <w:rsid w:val="009A2848"/>
    <w:rsid w:val="009A2A88"/>
    <w:rsid w:val="009A2CD3"/>
    <w:rsid w:val="009A2DCC"/>
    <w:rsid w:val="009A2DF7"/>
    <w:rsid w:val="009A361E"/>
    <w:rsid w:val="009A437C"/>
    <w:rsid w:val="009A43BA"/>
    <w:rsid w:val="009A4FDC"/>
    <w:rsid w:val="009A51D4"/>
    <w:rsid w:val="009A56DB"/>
    <w:rsid w:val="009A59E6"/>
    <w:rsid w:val="009A5A72"/>
    <w:rsid w:val="009A5A98"/>
    <w:rsid w:val="009A5B58"/>
    <w:rsid w:val="009A5E1F"/>
    <w:rsid w:val="009A648C"/>
    <w:rsid w:val="009A653D"/>
    <w:rsid w:val="009A657E"/>
    <w:rsid w:val="009A6AE8"/>
    <w:rsid w:val="009A6B99"/>
    <w:rsid w:val="009A770C"/>
    <w:rsid w:val="009A7969"/>
    <w:rsid w:val="009A7DC1"/>
    <w:rsid w:val="009A7DC7"/>
    <w:rsid w:val="009B0AC7"/>
    <w:rsid w:val="009B11AC"/>
    <w:rsid w:val="009B15F1"/>
    <w:rsid w:val="009B1ED1"/>
    <w:rsid w:val="009B1FA8"/>
    <w:rsid w:val="009B2BD6"/>
    <w:rsid w:val="009B2D0B"/>
    <w:rsid w:val="009B2EDA"/>
    <w:rsid w:val="009B2FDE"/>
    <w:rsid w:val="009B348F"/>
    <w:rsid w:val="009B3548"/>
    <w:rsid w:val="009B4085"/>
    <w:rsid w:val="009B4490"/>
    <w:rsid w:val="009B4BFB"/>
    <w:rsid w:val="009B5827"/>
    <w:rsid w:val="009B5CB7"/>
    <w:rsid w:val="009B5D27"/>
    <w:rsid w:val="009B6034"/>
    <w:rsid w:val="009B61B5"/>
    <w:rsid w:val="009B61CB"/>
    <w:rsid w:val="009B6618"/>
    <w:rsid w:val="009B6F3B"/>
    <w:rsid w:val="009B711F"/>
    <w:rsid w:val="009B7132"/>
    <w:rsid w:val="009B731A"/>
    <w:rsid w:val="009B738A"/>
    <w:rsid w:val="009B783F"/>
    <w:rsid w:val="009B791A"/>
    <w:rsid w:val="009B7AB0"/>
    <w:rsid w:val="009C0118"/>
    <w:rsid w:val="009C02B5"/>
    <w:rsid w:val="009C04DD"/>
    <w:rsid w:val="009C067C"/>
    <w:rsid w:val="009C08F9"/>
    <w:rsid w:val="009C14A8"/>
    <w:rsid w:val="009C1E1F"/>
    <w:rsid w:val="009C1F09"/>
    <w:rsid w:val="009C1FC0"/>
    <w:rsid w:val="009C21AA"/>
    <w:rsid w:val="009C2325"/>
    <w:rsid w:val="009C3648"/>
    <w:rsid w:val="009C3843"/>
    <w:rsid w:val="009C3BA1"/>
    <w:rsid w:val="009C3CF1"/>
    <w:rsid w:val="009C4EC5"/>
    <w:rsid w:val="009C50EF"/>
    <w:rsid w:val="009C5259"/>
    <w:rsid w:val="009C559D"/>
    <w:rsid w:val="009C56E7"/>
    <w:rsid w:val="009C5CD2"/>
    <w:rsid w:val="009C69AE"/>
    <w:rsid w:val="009C705B"/>
    <w:rsid w:val="009C70A4"/>
    <w:rsid w:val="009C7230"/>
    <w:rsid w:val="009C73EA"/>
    <w:rsid w:val="009C7C14"/>
    <w:rsid w:val="009C7E40"/>
    <w:rsid w:val="009D0154"/>
    <w:rsid w:val="009D025F"/>
    <w:rsid w:val="009D0333"/>
    <w:rsid w:val="009D0449"/>
    <w:rsid w:val="009D0616"/>
    <w:rsid w:val="009D065C"/>
    <w:rsid w:val="009D09CF"/>
    <w:rsid w:val="009D1216"/>
    <w:rsid w:val="009D13DE"/>
    <w:rsid w:val="009D16F8"/>
    <w:rsid w:val="009D1862"/>
    <w:rsid w:val="009D1DCF"/>
    <w:rsid w:val="009D1F80"/>
    <w:rsid w:val="009D2113"/>
    <w:rsid w:val="009D2283"/>
    <w:rsid w:val="009D22EE"/>
    <w:rsid w:val="009D232F"/>
    <w:rsid w:val="009D299F"/>
    <w:rsid w:val="009D2B28"/>
    <w:rsid w:val="009D3383"/>
    <w:rsid w:val="009D3614"/>
    <w:rsid w:val="009D383B"/>
    <w:rsid w:val="009D396F"/>
    <w:rsid w:val="009D3BB4"/>
    <w:rsid w:val="009D3E88"/>
    <w:rsid w:val="009D3FA6"/>
    <w:rsid w:val="009D4E07"/>
    <w:rsid w:val="009D4F99"/>
    <w:rsid w:val="009D57C1"/>
    <w:rsid w:val="009D584F"/>
    <w:rsid w:val="009D62D8"/>
    <w:rsid w:val="009D64BF"/>
    <w:rsid w:val="009D6CF4"/>
    <w:rsid w:val="009D6F37"/>
    <w:rsid w:val="009D70F0"/>
    <w:rsid w:val="009D7244"/>
    <w:rsid w:val="009D7659"/>
    <w:rsid w:val="009E030F"/>
    <w:rsid w:val="009E0749"/>
    <w:rsid w:val="009E0A7C"/>
    <w:rsid w:val="009E0C34"/>
    <w:rsid w:val="009E0DE5"/>
    <w:rsid w:val="009E0F45"/>
    <w:rsid w:val="009E10E2"/>
    <w:rsid w:val="009E14E3"/>
    <w:rsid w:val="009E1941"/>
    <w:rsid w:val="009E194C"/>
    <w:rsid w:val="009E19A3"/>
    <w:rsid w:val="009E1B3E"/>
    <w:rsid w:val="009E1E23"/>
    <w:rsid w:val="009E2394"/>
    <w:rsid w:val="009E25C6"/>
    <w:rsid w:val="009E2902"/>
    <w:rsid w:val="009E2AD6"/>
    <w:rsid w:val="009E2C63"/>
    <w:rsid w:val="009E3165"/>
    <w:rsid w:val="009E3349"/>
    <w:rsid w:val="009E399B"/>
    <w:rsid w:val="009E3D02"/>
    <w:rsid w:val="009E3F09"/>
    <w:rsid w:val="009E4090"/>
    <w:rsid w:val="009E47B9"/>
    <w:rsid w:val="009E4CE5"/>
    <w:rsid w:val="009E4F95"/>
    <w:rsid w:val="009E51C8"/>
    <w:rsid w:val="009E5883"/>
    <w:rsid w:val="009E58BF"/>
    <w:rsid w:val="009E5CF4"/>
    <w:rsid w:val="009E61E7"/>
    <w:rsid w:val="009E6336"/>
    <w:rsid w:val="009E6577"/>
    <w:rsid w:val="009E672B"/>
    <w:rsid w:val="009E6861"/>
    <w:rsid w:val="009E699F"/>
    <w:rsid w:val="009E6DA4"/>
    <w:rsid w:val="009E6FFF"/>
    <w:rsid w:val="009E705D"/>
    <w:rsid w:val="009E7367"/>
    <w:rsid w:val="009E7C32"/>
    <w:rsid w:val="009F08C7"/>
    <w:rsid w:val="009F107B"/>
    <w:rsid w:val="009F112A"/>
    <w:rsid w:val="009F1316"/>
    <w:rsid w:val="009F132C"/>
    <w:rsid w:val="009F1978"/>
    <w:rsid w:val="009F23BF"/>
    <w:rsid w:val="009F269C"/>
    <w:rsid w:val="009F29B9"/>
    <w:rsid w:val="009F2ECF"/>
    <w:rsid w:val="009F3296"/>
    <w:rsid w:val="009F33A4"/>
    <w:rsid w:val="009F3461"/>
    <w:rsid w:val="009F35A0"/>
    <w:rsid w:val="009F37C2"/>
    <w:rsid w:val="009F3A54"/>
    <w:rsid w:val="009F499A"/>
    <w:rsid w:val="009F4C0B"/>
    <w:rsid w:val="009F54F7"/>
    <w:rsid w:val="009F5559"/>
    <w:rsid w:val="009F6308"/>
    <w:rsid w:val="009F63D4"/>
    <w:rsid w:val="009F6735"/>
    <w:rsid w:val="009F6D14"/>
    <w:rsid w:val="009F7345"/>
    <w:rsid w:val="009F763B"/>
    <w:rsid w:val="009F7664"/>
    <w:rsid w:val="009F76AA"/>
    <w:rsid w:val="009F7BD2"/>
    <w:rsid w:val="009F7CCB"/>
    <w:rsid w:val="009F7F8E"/>
    <w:rsid w:val="00A0050C"/>
    <w:rsid w:val="00A0130E"/>
    <w:rsid w:val="00A01425"/>
    <w:rsid w:val="00A01845"/>
    <w:rsid w:val="00A018FE"/>
    <w:rsid w:val="00A01B7D"/>
    <w:rsid w:val="00A01CCB"/>
    <w:rsid w:val="00A022DB"/>
    <w:rsid w:val="00A02411"/>
    <w:rsid w:val="00A0241D"/>
    <w:rsid w:val="00A02C0D"/>
    <w:rsid w:val="00A02F84"/>
    <w:rsid w:val="00A034C5"/>
    <w:rsid w:val="00A03577"/>
    <w:rsid w:val="00A03A96"/>
    <w:rsid w:val="00A041C4"/>
    <w:rsid w:val="00A04A11"/>
    <w:rsid w:val="00A04F43"/>
    <w:rsid w:val="00A056BE"/>
    <w:rsid w:val="00A056EF"/>
    <w:rsid w:val="00A05716"/>
    <w:rsid w:val="00A05E19"/>
    <w:rsid w:val="00A06056"/>
    <w:rsid w:val="00A06081"/>
    <w:rsid w:val="00A06A4E"/>
    <w:rsid w:val="00A06D96"/>
    <w:rsid w:val="00A072D8"/>
    <w:rsid w:val="00A07412"/>
    <w:rsid w:val="00A075B4"/>
    <w:rsid w:val="00A0765B"/>
    <w:rsid w:val="00A076B5"/>
    <w:rsid w:val="00A076E5"/>
    <w:rsid w:val="00A07740"/>
    <w:rsid w:val="00A07DA7"/>
    <w:rsid w:val="00A1067D"/>
    <w:rsid w:val="00A10CEF"/>
    <w:rsid w:val="00A110FC"/>
    <w:rsid w:val="00A11AC1"/>
    <w:rsid w:val="00A11C1F"/>
    <w:rsid w:val="00A11E6E"/>
    <w:rsid w:val="00A12039"/>
    <w:rsid w:val="00A1206F"/>
    <w:rsid w:val="00A122D7"/>
    <w:rsid w:val="00A12B70"/>
    <w:rsid w:val="00A12CE4"/>
    <w:rsid w:val="00A13AB1"/>
    <w:rsid w:val="00A13F02"/>
    <w:rsid w:val="00A14784"/>
    <w:rsid w:val="00A14B43"/>
    <w:rsid w:val="00A14D72"/>
    <w:rsid w:val="00A14EFE"/>
    <w:rsid w:val="00A15303"/>
    <w:rsid w:val="00A15AA4"/>
    <w:rsid w:val="00A15AA6"/>
    <w:rsid w:val="00A15AC3"/>
    <w:rsid w:val="00A15B18"/>
    <w:rsid w:val="00A15CBA"/>
    <w:rsid w:val="00A16406"/>
    <w:rsid w:val="00A164CD"/>
    <w:rsid w:val="00A16A89"/>
    <w:rsid w:val="00A17158"/>
    <w:rsid w:val="00A17346"/>
    <w:rsid w:val="00A17A4E"/>
    <w:rsid w:val="00A17A68"/>
    <w:rsid w:val="00A20227"/>
    <w:rsid w:val="00A20608"/>
    <w:rsid w:val="00A208BF"/>
    <w:rsid w:val="00A2109B"/>
    <w:rsid w:val="00A210A7"/>
    <w:rsid w:val="00A216FD"/>
    <w:rsid w:val="00A21829"/>
    <w:rsid w:val="00A2223E"/>
    <w:rsid w:val="00A22526"/>
    <w:rsid w:val="00A229C3"/>
    <w:rsid w:val="00A2317C"/>
    <w:rsid w:val="00A2324A"/>
    <w:rsid w:val="00A23A1A"/>
    <w:rsid w:val="00A23A67"/>
    <w:rsid w:val="00A241D3"/>
    <w:rsid w:val="00A24218"/>
    <w:rsid w:val="00A2458D"/>
    <w:rsid w:val="00A24EEB"/>
    <w:rsid w:val="00A2506E"/>
    <w:rsid w:val="00A252D7"/>
    <w:rsid w:val="00A256BA"/>
    <w:rsid w:val="00A26191"/>
    <w:rsid w:val="00A2646F"/>
    <w:rsid w:val="00A2655E"/>
    <w:rsid w:val="00A27029"/>
    <w:rsid w:val="00A27355"/>
    <w:rsid w:val="00A27516"/>
    <w:rsid w:val="00A275DA"/>
    <w:rsid w:val="00A277E8"/>
    <w:rsid w:val="00A27850"/>
    <w:rsid w:val="00A27A4B"/>
    <w:rsid w:val="00A30076"/>
    <w:rsid w:val="00A3030D"/>
    <w:rsid w:val="00A30424"/>
    <w:rsid w:val="00A30658"/>
    <w:rsid w:val="00A30A60"/>
    <w:rsid w:val="00A30DD1"/>
    <w:rsid w:val="00A31186"/>
    <w:rsid w:val="00A3122D"/>
    <w:rsid w:val="00A315B5"/>
    <w:rsid w:val="00A31657"/>
    <w:rsid w:val="00A31889"/>
    <w:rsid w:val="00A31A7B"/>
    <w:rsid w:val="00A31C2D"/>
    <w:rsid w:val="00A32065"/>
    <w:rsid w:val="00A320ED"/>
    <w:rsid w:val="00A32174"/>
    <w:rsid w:val="00A323C8"/>
    <w:rsid w:val="00A32920"/>
    <w:rsid w:val="00A332FC"/>
    <w:rsid w:val="00A342C4"/>
    <w:rsid w:val="00A346A8"/>
    <w:rsid w:val="00A3491E"/>
    <w:rsid w:val="00A34FCE"/>
    <w:rsid w:val="00A35121"/>
    <w:rsid w:val="00A352F4"/>
    <w:rsid w:val="00A3567D"/>
    <w:rsid w:val="00A35682"/>
    <w:rsid w:val="00A356DE"/>
    <w:rsid w:val="00A357E0"/>
    <w:rsid w:val="00A35875"/>
    <w:rsid w:val="00A359C1"/>
    <w:rsid w:val="00A35B75"/>
    <w:rsid w:val="00A35C95"/>
    <w:rsid w:val="00A36072"/>
    <w:rsid w:val="00A360D5"/>
    <w:rsid w:val="00A364A2"/>
    <w:rsid w:val="00A364E5"/>
    <w:rsid w:val="00A36548"/>
    <w:rsid w:val="00A36558"/>
    <w:rsid w:val="00A367FB"/>
    <w:rsid w:val="00A36B8B"/>
    <w:rsid w:val="00A371BD"/>
    <w:rsid w:val="00A373C9"/>
    <w:rsid w:val="00A37590"/>
    <w:rsid w:val="00A37ABE"/>
    <w:rsid w:val="00A37AEE"/>
    <w:rsid w:val="00A4015C"/>
    <w:rsid w:val="00A4020E"/>
    <w:rsid w:val="00A40CB2"/>
    <w:rsid w:val="00A4167A"/>
    <w:rsid w:val="00A41760"/>
    <w:rsid w:val="00A42075"/>
    <w:rsid w:val="00A42239"/>
    <w:rsid w:val="00A42374"/>
    <w:rsid w:val="00A427A1"/>
    <w:rsid w:val="00A42C51"/>
    <w:rsid w:val="00A42DB5"/>
    <w:rsid w:val="00A43239"/>
    <w:rsid w:val="00A437A8"/>
    <w:rsid w:val="00A43B26"/>
    <w:rsid w:val="00A43CA7"/>
    <w:rsid w:val="00A44013"/>
    <w:rsid w:val="00A44AC2"/>
    <w:rsid w:val="00A44C5C"/>
    <w:rsid w:val="00A44D4B"/>
    <w:rsid w:val="00A452D4"/>
    <w:rsid w:val="00A45393"/>
    <w:rsid w:val="00A457DA"/>
    <w:rsid w:val="00A46043"/>
    <w:rsid w:val="00A46101"/>
    <w:rsid w:val="00A469B9"/>
    <w:rsid w:val="00A471FE"/>
    <w:rsid w:val="00A47229"/>
    <w:rsid w:val="00A47621"/>
    <w:rsid w:val="00A47783"/>
    <w:rsid w:val="00A477CD"/>
    <w:rsid w:val="00A478CF"/>
    <w:rsid w:val="00A47C02"/>
    <w:rsid w:val="00A47D44"/>
    <w:rsid w:val="00A47E94"/>
    <w:rsid w:val="00A47FBB"/>
    <w:rsid w:val="00A500C8"/>
    <w:rsid w:val="00A50146"/>
    <w:rsid w:val="00A50574"/>
    <w:rsid w:val="00A5091B"/>
    <w:rsid w:val="00A50940"/>
    <w:rsid w:val="00A50A1A"/>
    <w:rsid w:val="00A50B39"/>
    <w:rsid w:val="00A51139"/>
    <w:rsid w:val="00A511BD"/>
    <w:rsid w:val="00A5162E"/>
    <w:rsid w:val="00A51691"/>
    <w:rsid w:val="00A51CD9"/>
    <w:rsid w:val="00A51E14"/>
    <w:rsid w:val="00A51E27"/>
    <w:rsid w:val="00A525A8"/>
    <w:rsid w:val="00A52996"/>
    <w:rsid w:val="00A52D24"/>
    <w:rsid w:val="00A52DC6"/>
    <w:rsid w:val="00A534D4"/>
    <w:rsid w:val="00A53C58"/>
    <w:rsid w:val="00A53D08"/>
    <w:rsid w:val="00A54893"/>
    <w:rsid w:val="00A551C8"/>
    <w:rsid w:val="00A5534C"/>
    <w:rsid w:val="00A55434"/>
    <w:rsid w:val="00A55669"/>
    <w:rsid w:val="00A5607C"/>
    <w:rsid w:val="00A56088"/>
    <w:rsid w:val="00A5626B"/>
    <w:rsid w:val="00A56D4D"/>
    <w:rsid w:val="00A56DF0"/>
    <w:rsid w:val="00A56F95"/>
    <w:rsid w:val="00A570BE"/>
    <w:rsid w:val="00A57AB9"/>
    <w:rsid w:val="00A57D61"/>
    <w:rsid w:val="00A601A9"/>
    <w:rsid w:val="00A601E3"/>
    <w:rsid w:val="00A6055A"/>
    <w:rsid w:val="00A60626"/>
    <w:rsid w:val="00A60CBE"/>
    <w:rsid w:val="00A60D1B"/>
    <w:rsid w:val="00A60E49"/>
    <w:rsid w:val="00A61320"/>
    <w:rsid w:val="00A6148A"/>
    <w:rsid w:val="00A62166"/>
    <w:rsid w:val="00A621EF"/>
    <w:rsid w:val="00A62390"/>
    <w:rsid w:val="00A6240E"/>
    <w:rsid w:val="00A62450"/>
    <w:rsid w:val="00A624A6"/>
    <w:rsid w:val="00A6274B"/>
    <w:rsid w:val="00A629E3"/>
    <w:rsid w:val="00A62B3C"/>
    <w:rsid w:val="00A62E4D"/>
    <w:rsid w:val="00A63727"/>
    <w:rsid w:val="00A63BED"/>
    <w:rsid w:val="00A64936"/>
    <w:rsid w:val="00A64A6F"/>
    <w:rsid w:val="00A64C68"/>
    <w:rsid w:val="00A64D14"/>
    <w:rsid w:val="00A64E1D"/>
    <w:rsid w:val="00A65244"/>
    <w:rsid w:val="00A65A1D"/>
    <w:rsid w:val="00A65D05"/>
    <w:rsid w:val="00A65FA0"/>
    <w:rsid w:val="00A6618E"/>
    <w:rsid w:val="00A66425"/>
    <w:rsid w:val="00A66618"/>
    <w:rsid w:val="00A66642"/>
    <w:rsid w:val="00A666BD"/>
    <w:rsid w:val="00A6697C"/>
    <w:rsid w:val="00A66CE3"/>
    <w:rsid w:val="00A66FA8"/>
    <w:rsid w:val="00A67428"/>
    <w:rsid w:val="00A67746"/>
    <w:rsid w:val="00A679FA"/>
    <w:rsid w:val="00A701AA"/>
    <w:rsid w:val="00A70D8E"/>
    <w:rsid w:val="00A70DA2"/>
    <w:rsid w:val="00A70F75"/>
    <w:rsid w:val="00A71409"/>
    <w:rsid w:val="00A7179E"/>
    <w:rsid w:val="00A717E7"/>
    <w:rsid w:val="00A71A26"/>
    <w:rsid w:val="00A71A69"/>
    <w:rsid w:val="00A721D4"/>
    <w:rsid w:val="00A7222B"/>
    <w:rsid w:val="00A72A55"/>
    <w:rsid w:val="00A72DC2"/>
    <w:rsid w:val="00A7337E"/>
    <w:rsid w:val="00A7392D"/>
    <w:rsid w:val="00A740B1"/>
    <w:rsid w:val="00A742B7"/>
    <w:rsid w:val="00A7458E"/>
    <w:rsid w:val="00A74D2B"/>
    <w:rsid w:val="00A74D73"/>
    <w:rsid w:val="00A74DF4"/>
    <w:rsid w:val="00A751B6"/>
    <w:rsid w:val="00A75503"/>
    <w:rsid w:val="00A7583E"/>
    <w:rsid w:val="00A759F4"/>
    <w:rsid w:val="00A75A36"/>
    <w:rsid w:val="00A76245"/>
    <w:rsid w:val="00A762CF"/>
    <w:rsid w:val="00A76BA5"/>
    <w:rsid w:val="00A77474"/>
    <w:rsid w:val="00A7754F"/>
    <w:rsid w:val="00A7764B"/>
    <w:rsid w:val="00A7770D"/>
    <w:rsid w:val="00A77A23"/>
    <w:rsid w:val="00A77C44"/>
    <w:rsid w:val="00A77E04"/>
    <w:rsid w:val="00A77ECB"/>
    <w:rsid w:val="00A80066"/>
    <w:rsid w:val="00A805AA"/>
    <w:rsid w:val="00A80874"/>
    <w:rsid w:val="00A80A53"/>
    <w:rsid w:val="00A80A61"/>
    <w:rsid w:val="00A81197"/>
    <w:rsid w:val="00A824C5"/>
    <w:rsid w:val="00A8287D"/>
    <w:rsid w:val="00A82B72"/>
    <w:rsid w:val="00A82E6F"/>
    <w:rsid w:val="00A8325C"/>
    <w:rsid w:val="00A8333B"/>
    <w:rsid w:val="00A83498"/>
    <w:rsid w:val="00A835CD"/>
    <w:rsid w:val="00A83CBE"/>
    <w:rsid w:val="00A83D1E"/>
    <w:rsid w:val="00A83E00"/>
    <w:rsid w:val="00A843FF"/>
    <w:rsid w:val="00A849A9"/>
    <w:rsid w:val="00A84D21"/>
    <w:rsid w:val="00A84D82"/>
    <w:rsid w:val="00A84E2A"/>
    <w:rsid w:val="00A84E37"/>
    <w:rsid w:val="00A850ED"/>
    <w:rsid w:val="00A85354"/>
    <w:rsid w:val="00A85452"/>
    <w:rsid w:val="00A85599"/>
    <w:rsid w:val="00A85752"/>
    <w:rsid w:val="00A85A56"/>
    <w:rsid w:val="00A85C39"/>
    <w:rsid w:val="00A85C87"/>
    <w:rsid w:val="00A85F2A"/>
    <w:rsid w:val="00A85F4A"/>
    <w:rsid w:val="00A86041"/>
    <w:rsid w:val="00A86113"/>
    <w:rsid w:val="00A863FC"/>
    <w:rsid w:val="00A86589"/>
    <w:rsid w:val="00A86EAA"/>
    <w:rsid w:val="00A877E5"/>
    <w:rsid w:val="00A877F6"/>
    <w:rsid w:val="00A879B8"/>
    <w:rsid w:val="00A901DB"/>
    <w:rsid w:val="00A909FE"/>
    <w:rsid w:val="00A90B58"/>
    <w:rsid w:val="00A9109E"/>
    <w:rsid w:val="00A91390"/>
    <w:rsid w:val="00A9140A"/>
    <w:rsid w:val="00A91468"/>
    <w:rsid w:val="00A91522"/>
    <w:rsid w:val="00A91847"/>
    <w:rsid w:val="00A9189A"/>
    <w:rsid w:val="00A91A3E"/>
    <w:rsid w:val="00A91AD4"/>
    <w:rsid w:val="00A91FD1"/>
    <w:rsid w:val="00A92B2F"/>
    <w:rsid w:val="00A9343E"/>
    <w:rsid w:val="00A934A4"/>
    <w:rsid w:val="00A93690"/>
    <w:rsid w:val="00A93D75"/>
    <w:rsid w:val="00A93EFB"/>
    <w:rsid w:val="00A9458D"/>
    <w:rsid w:val="00A94689"/>
    <w:rsid w:val="00A94A55"/>
    <w:rsid w:val="00A94BA9"/>
    <w:rsid w:val="00A95040"/>
    <w:rsid w:val="00A953BD"/>
    <w:rsid w:val="00A957B8"/>
    <w:rsid w:val="00A95C9F"/>
    <w:rsid w:val="00A96085"/>
    <w:rsid w:val="00A961A4"/>
    <w:rsid w:val="00A96298"/>
    <w:rsid w:val="00A963D4"/>
    <w:rsid w:val="00A964A3"/>
    <w:rsid w:val="00A966FC"/>
    <w:rsid w:val="00A96782"/>
    <w:rsid w:val="00A96B83"/>
    <w:rsid w:val="00A96CB1"/>
    <w:rsid w:val="00A96CFD"/>
    <w:rsid w:val="00A96FC3"/>
    <w:rsid w:val="00A971B6"/>
    <w:rsid w:val="00A97495"/>
    <w:rsid w:val="00A97989"/>
    <w:rsid w:val="00A97A52"/>
    <w:rsid w:val="00A97B46"/>
    <w:rsid w:val="00A97F28"/>
    <w:rsid w:val="00AA0009"/>
    <w:rsid w:val="00AA050E"/>
    <w:rsid w:val="00AA0692"/>
    <w:rsid w:val="00AA11F3"/>
    <w:rsid w:val="00AA1608"/>
    <w:rsid w:val="00AA16D3"/>
    <w:rsid w:val="00AA1BFF"/>
    <w:rsid w:val="00AA1C45"/>
    <w:rsid w:val="00AA276C"/>
    <w:rsid w:val="00AA2A97"/>
    <w:rsid w:val="00AA2C0F"/>
    <w:rsid w:val="00AA326B"/>
    <w:rsid w:val="00AA39C4"/>
    <w:rsid w:val="00AA4157"/>
    <w:rsid w:val="00AA473D"/>
    <w:rsid w:val="00AA4DB8"/>
    <w:rsid w:val="00AA4F5E"/>
    <w:rsid w:val="00AA4F91"/>
    <w:rsid w:val="00AA51BE"/>
    <w:rsid w:val="00AA54D6"/>
    <w:rsid w:val="00AA5688"/>
    <w:rsid w:val="00AA5C66"/>
    <w:rsid w:val="00AA6C9E"/>
    <w:rsid w:val="00AA706B"/>
    <w:rsid w:val="00AA715F"/>
    <w:rsid w:val="00AA75CF"/>
    <w:rsid w:val="00AA769B"/>
    <w:rsid w:val="00AA791B"/>
    <w:rsid w:val="00AB0077"/>
    <w:rsid w:val="00AB0A34"/>
    <w:rsid w:val="00AB0AFF"/>
    <w:rsid w:val="00AB0C23"/>
    <w:rsid w:val="00AB0CC3"/>
    <w:rsid w:val="00AB0D2B"/>
    <w:rsid w:val="00AB1441"/>
    <w:rsid w:val="00AB14AB"/>
    <w:rsid w:val="00AB1960"/>
    <w:rsid w:val="00AB1E5C"/>
    <w:rsid w:val="00AB1E9C"/>
    <w:rsid w:val="00AB2480"/>
    <w:rsid w:val="00AB2B8F"/>
    <w:rsid w:val="00AB2C3C"/>
    <w:rsid w:val="00AB2DD6"/>
    <w:rsid w:val="00AB2E37"/>
    <w:rsid w:val="00AB2E54"/>
    <w:rsid w:val="00AB2F04"/>
    <w:rsid w:val="00AB2FAD"/>
    <w:rsid w:val="00AB2FC6"/>
    <w:rsid w:val="00AB31A6"/>
    <w:rsid w:val="00AB328D"/>
    <w:rsid w:val="00AB3B2B"/>
    <w:rsid w:val="00AB4264"/>
    <w:rsid w:val="00AB45CE"/>
    <w:rsid w:val="00AB474A"/>
    <w:rsid w:val="00AB4A4C"/>
    <w:rsid w:val="00AB4B39"/>
    <w:rsid w:val="00AB4B4A"/>
    <w:rsid w:val="00AB4F39"/>
    <w:rsid w:val="00AB53CA"/>
    <w:rsid w:val="00AB556F"/>
    <w:rsid w:val="00AB5817"/>
    <w:rsid w:val="00AB5A75"/>
    <w:rsid w:val="00AB5BF8"/>
    <w:rsid w:val="00AB612B"/>
    <w:rsid w:val="00AB669E"/>
    <w:rsid w:val="00AB68A0"/>
    <w:rsid w:val="00AB6AA5"/>
    <w:rsid w:val="00AB6B33"/>
    <w:rsid w:val="00AB7092"/>
    <w:rsid w:val="00AB744C"/>
    <w:rsid w:val="00AB7F70"/>
    <w:rsid w:val="00AC04B3"/>
    <w:rsid w:val="00AC0653"/>
    <w:rsid w:val="00AC07A8"/>
    <w:rsid w:val="00AC0C18"/>
    <w:rsid w:val="00AC124A"/>
    <w:rsid w:val="00AC13A9"/>
    <w:rsid w:val="00AC1671"/>
    <w:rsid w:val="00AC1CD4"/>
    <w:rsid w:val="00AC1F9F"/>
    <w:rsid w:val="00AC2842"/>
    <w:rsid w:val="00AC287B"/>
    <w:rsid w:val="00AC2D4F"/>
    <w:rsid w:val="00AC3222"/>
    <w:rsid w:val="00AC322E"/>
    <w:rsid w:val="00AC343C"/>
    <w:rsid w:val="00AC3482"/>
    <w:rsid w:val="00AC349D"/>
    <w:rsid w:val="00AC36B7"/>
    <w:rsid w:val="00AC36D9"/>
    <w:rsid w:val="00AC3703"/>
    <w:rsid w:val="00AC3E68"/>
    <w:rsid w:val="00AC4192"/>
    <w:rsid w:val="00AC43ED"/>
    <w:rsid w:val="00AC4721"/>
    <w:rsid w:val="00AC4CF4"/>
    <w:rsid w:val="00AC51F2"/>
    <w:rsid w:val="00AC520B"/>
    <w:rsid w:val="00AC56B7"/>
    <w:rsid w:val="00AC591B"/>
    <w:rsid w:val="00AC5A8A"/>
    <w:rsid w:val="00AC637C"/>
    <w:rsid w:val="00AC654F"/>
    <w:rsid w:val="00AC673A"/>
    <w:rsid w:val="00AC6953"/>
    <w:rsid w:val="00AC6B6E"/>
    <w:rsid w:val="00AC6DA6"/>
    <w:rsid w:val="00AC6E2A"/>
    <w:rsid w:val="00AC726D"/>
    <w:rsid w:val="00AC7475"/>
    <w:rsid w:val="00AC7517"/>
    <w:rsid w:val="00AC7EB1"/>
    <w:rsid w:val="00AD06DB"/>
    <w:rsid w:val="00AD0C93"/>
    <w:rsid w:val="00AD0FF0"/>
    <w:rsid w:val="00AD187D"/>
    <w:rsid w:val="00AD1AEB"/>
    <w:rsid w:val="00AD1D6E"/>
    <w:rsid w:val="00AD1F6B"/>
    <w:rsid w:val="00AD2110"/>
    <w:rsid w:val="00AD2501"/>
    <w:rsid w:val="00AD25D7"/>
    <w:rsid w:val="00AD281A"/>
    <w:rsid w:val="00AD2D66"/>
    <w:rsid w:val="00AD319D"/>
    <w:rsid w:val="00AD34CA"/>
    <w:rsid w:val="00AD3C1D"/>
    <w:rsid w:val="00AD416F"/>
    <w:rsid w:val="00AD4447"/>
    <w:rsid w:val="00AD4627"/>
    <w:rsid w:val="00AD46BB"/>
    <w:rsid w:val="00AD50BD"/>
    <w:rsid w:val="00AD59CF"/>
    <w:rsid w:val="00AD5F08"/>
    <w:rsid w:val="00AD658D"/>
    <w:rsid w:val="00AD65FA"/>
    <w:rsid w:val="00AD680C"/>
    <w:rsid w:val="00AD696A"/>
    <w:rsid w:val="00AD69A5"/>
    <w:rsid w:val="00AD6B11"/>
    <w:rsid w:val="00AD6B6C"/>
    <w:rsid w:val="00AD70A1"/>
    <w:rsid w:val="00AD7411"/>
    <w:rsid w:val="00AD7559"/>
    <w:rsid w:val="00AD777E"/>
    <w:rsid w:val="00AD78D4"/>
    <w:rsid w:val="00AD7B3A"/>
    <w:rsid w:val="00AD7ED2"/>
    <w:rsid w:val="00AD7F24"/>
    <w:rsid w:val="00AE066D"/>
    <w:rsid w:val="00AE0732"/>
    <w:rsid w:val="00AE0F8F"/>
    <w:rsid w:val="00AE153A"/>
    <w:rsid w:val="00AE2269"/>
    <w:rsid w:val="00AE2452"/>
    <w:rsid w:val="00AE2E06"/>
    <w:rsid w:val="00AE2F5C"/>
    <w:rsid w:val="00AE2F6E"/>
    <w:rsid w:val="00AE3096"/>
    <w:rsid w:val="00AE30F7"/>
    <w:rsid w:val="00AE375F"/>
    <w:rsid w:val="00AE398E"/>
    <w:rsid w:val="00AE3A00"/>
    <w:rsid w:val="00AE3DA7"/>
    <w:rsid w:val="00AE41F3"/>
    <w:rsid w:val="00AE433B"/>
    <w:rsid w:val="00AE4689"/>
    <w:rsid w:val="00AE46F8"/>
    <w:rsid w:val="00AE4FFF"/>
    <w:rsid w:val="00AE51D2"/>
    <w:rsid w:val="00AE52D2"/>
    <w:rsid w:val="00AE5565"/>
    <w:rsid w:val="00AE5B0F"/>
    <w:rsid w:val="00AE5E17"/>
    <w:rsid w:val="00AE6FBB"/>
    <w:rsid w:val="00AE7055"/>
    <w:rsid w:val="00AE75A5"/>
    <w:rsid w:val="00AE7AFD"/>
    <w:rsid w:val="00AE7CD7"/>
    <w:rsid w:val="00AF0293"/>
    <w:rsid w:val="00AF07B4"/>
    <w:rsid w:val="00AF083F"/>
    <w:rsid w:val="00AF0902"/>
    <w:rsid w:val="00AF0C05"/>
    <w:rsid w:val="00AF0FDB"/>
    <w:rsid w:val="00AF13E9"/>
    <w:rsid w:val="00AF1881"/>
    <w:rsid w:val="00AF1D7D"/>
    <w:rsid w:val="00AF1F81"/>
    <w:rsid w:val="00AF2CD2"/>
    <w:rsid w:val="00AF2D63"/>
    <w:rsid w:val="00AF2EC1"/>
    <w:rsid w:val="00AF31C2"/>
    <w:rsid w:val="00AF3464"/>
    <w:rsid w:val="00AF38C7"/>
    <w:rsid w:val="00AF44F0"/>
    <w:rsid w:val="00AF4D67"/>
    <w:rsid w:val="00AF4EC3"/>
    <w:rsid w:val="00AF4F9A"/>
    <w:rsid w:val="00AF5248"/>
    <w:rsid w:val="00AF5C56"/>
    <w:rsid w:val="00AF60DD"/>
    <w:rsid w:val="00AF62B2"/>
    <w:rsid w:val="00AF64B4"/>
    <w:rsid w:val="00AF6A05"/>
    <w:rsid w:val="00AF6A1D"/>
    <w:rsid w:val="00AF6F41"/>
    <w:rsid w:val="00AF702B"/>
    <w:rsid w:val="00AF7083"/>
    <w:rsid w:val="00AF7175"/>
    <w:rsid w:val="00AF783A"/>
    <w:rsid w:val="00AF7A47"/>
    <w:rsid w:val="00AF7E0B"/>
    <w:rsid w:val="00B00180"/>
    <w:rsid w:val="00B00221"/>
    <w:rsid w:val="00B004E7"/>
    <w:rsid w:val="00B0099E"/>
    <w:rsid w:val="00B00BC6"/>
    <w:rsid w:val="00B00C97"/>
    <w:rsid w:val="00B0188C"/>
    <w:rsid w:val="00B01A18"/>
    <w:rsid w:val="00B01A69"/>
    <w:rsid w:val="00B01A98"/>
    <w:rsid w:val="00B01E55"/>
    <w:rsid w:val="00B022A5"/>
    <w:rsid w:val="00B02699"/>
    <w:rsid w:val="00B0272F"/>
    <w:rsid w:val="00B028FF"/>
    <w:rsid w:val="00B02AE2"/>
    <w:rsid w:val="00B0338A"/>
    <w:rsid w:val="00B0397A"/>
    <w:rsid w:val="00B03B9D"/>
    <w:rsid w:val="00B03C30"/>
    <w:rsid w:val="00B03DE9"/>
    <w:rsid w:val="00B03FD5"/>
    <w:rsid w:val="00B04231"/>
    <w:rsid w:val="00B04EF2"/>
    <w:rsid w:val="00B0507A"/>
    <w:rsid w:val="00B051D3"/>
    <w:rsid w:val="00B052BF"/>
    <w:rsid w:val="00B05715"/>
    <w:rsid w:val="00B057BB"/>
    <w:rsid w:val="00B0580F"/>
    <w:rsid w:val="00B0598E"/>
    <w:rsid w:val="00B05BF3"/>
    <w:rsid w:val="00B05EBF"/>
    <w:rsid w:val="00B05FBD"/>
    <w:rsid w:val="00B0674E"/>
    <w:rsid w:val="00B070E8"/>
    <w:rsid w:val="00B0766F"/>
    <w:rsid w:val="00B07A8C"/>
    <w:rsid w:val="00B07DB5"/>
    <w:rsid w:val="00B100D0"/>
    <w:rsid w:val="00B1034F"/>
    <w:rsid w:val="00B103AC"/>
    <w:rsid w:val="00B10D84"/>
    <w:rsid w:val="00B10D9D"/>
    <w:rsid w:val="00B10DF3"/>
    <w:rsid w:val="00B11437"/>
    <w:rsid w:val="00B11907"/>
    <w:rsid w:val="00B119F2"/>
    <w:rsid w:val="00B11B08"/>
    <w:rsid w:val="00B11B80"/>
    <w:rsid w:val="00B11B92"/>
    <w:rsid w:val="00B121CE"/>
    <w:rsid w:val="00B1283C"/>
    <w:rsid w:val="00B12875"/>
    <w:rsid w:val="00B12A05"/>
    <w:rsid w:val="00B12D08"/>
    <w:rsid w:val="00B13054"/>
    <w:rsid w:val="00B130D5"/>
    <w:rsid w:val="00B13AFE"/>
    <w:rsid w:val="00B13B3B"/>
    <w:rsid w:val="00B13BC2"/>
    <w:rsid w:val="00B13BEE"/>
    <w:rsid w:val="00B13FCA"/>
    <w:rsid w:val="00B143AB"/>
    <w:rsid w:val="00B144CF"/>
    <w:rsid w:val="00B1451A"/>
    <w:rsid w:val="00B1479B"/>
    <w:rsid w:val="00B14822"/>
    <w:rsid w:val="00B14881"/>
    <w:rsid w:val="00B14B3B"/>
    <w:rsid w:val="00B14F41"/>
    <w:rsid w:val="00B156A2"/>
    <w:rsid w:val="00B157F8"/>
    <w:rsid w:val="00B15BA3"/>
    <w:rsid w:val="00B15ECF"/>
    <w:rsid w:val="00B15FA4"/>
    <w:rsid w:val="00B15FCA"/>
    <w:rsid w:val="00B1616E"/>
    <w:rsid w:val="00B16335"/>
    <w:rsid w:val="00B164AA"/>
    <w:rsid w:val="00B1699D"/>
    <w:rsid w:val="00B16AC3"/>
    <w:rsid w:val="00B16D72"/>
    <w:rsid w:val="00B1730F"/>
    <w:rsid w:val="00B1760F"/>
    <w:rsid w:val="00B176A6"/>
    <w:rsid w:val="00B176BA"/>
    <w:rsid w:val="00B177D6"/>
    <w:rsid w:val="00B17EBE"/>
    <w:rsid w:val="00B20301"/>
    <w:rsid w:val="00B21CF7"/>
    <w:rsid w:val="00B21D0F"/>
    <w:rsid w:val="00B21D19"/>
    <w:rsid w:val="00B21F37"/>
    <w:rsid w:val="00B2221D"/>
    <w:rsid w:val="00B22383"/>
    <w:rsid w:val="00B22B0C"/>
    <w:rsid w:val="00B22CE1"/>
    <w:rsid w:val="00B22E18"/>
    <w:rsid w:val="00B23542"/>
    <w:rsid w:val="00B2381A"/>
    <w:rsid w:val="00B24070"/>
    <w:rsid w:val="00B24D57"/>
    <w:rsid w:val="00B2555D"/>
    <w:rsid w:val="00B2570A"/>
    <w:rsid w:val="00B25799"/>
    <w:rsid w:val="00B258C8"/>
    <w:rsid w:val="00B25AB1"/>
    <w:rsid w:val="00B25F82"/>
    <w:rsid w:val="00B269DE"/>
    <w:rsid w:val="00B26F96"/>
    <w:rsid w:val="00B271A4"/>
    <w:rsid w:val="00B27623"/>
    <w:rsid w:val="00B27756"/>
    <w:rsid w:val="00B27BF8"/>
    <w:rsid w:val="00B30011"/>
    <w:rsid w:val="00B30139"/>
    <w:rsid w:val="00B305BB"/>
    <w:rsid w:val="00B30768"/>
    <w:rsid w:val="00B307C1"/>
    <w:rsid w:val="00B30B82"/>
    <w:rsid w:val="00B30D14"/>
    <w:rsid w:val="00B31106"/>
    <w:rsid w:val="00B311F4"/>
    <w:rsid w:val="00B311FF"/>
    <w:rsid w:val="00B31980"/>
    <w:rsid w:val="00B31A22"/>
    <w:rsid w:val="00B31B11"/>
    <w:rsid w:val="00B3208A"/>
    <w:rsid w:val="00B32526"/>
    <w:rsid w:val="00B327E9"/>
    <w:rsid w:val="00B32F97"/>
    <w:rsid w:val="00B32FBF"/>
    <w:rsid w:val="00B33342"/>
    <w:rsid w:val="00B33367"/>
    <w:rsid w:val="00B333C2"/>
    <w:rsid w:val="00B33652"/>
    <w:rsid w:val="00B33C14"/>
    <w:rsid w:val="00B34086"/>
    <w:rsid w:val="00B3440A"/>
    <w:rsid w:val="00B3465F"/>
    <w:rsid w:val="00B34A1E"/>
    <w:rsid w:val="00B34F33"/>
    <w:rsid w:val="00B3577D"/>
    <w:rsid w:val="00B35820"/>
    <w:rsid w:val="00B35C1A"/>
    <w:rsid w:val="00B35C1B"/>
    <w:rsid w:val="00B3653D"/>
    <w:rsid w:val="00B36877"/>
    <w:rsid w:val="00B36C7A"/>
    <w:rsid w:val="00B3734D"/>
    <w:rsid w:val="00B374F7"/>
    <w:rsid w:val="00B37A89"/>
    <w:rsid w:val="00B37C7F"/>
    <w:rsid w:val="00B37CE7"/>
    <w:rsid w:val="00B37D24"/>
    <w:rsid w:val="00B37E00"/>
    <w:rsid w:val="00B40044"/>
    <w:rsid w:val="00B4008A"/>
    <w:rsid w:val="00B40602"/>
    <w:rsid w:val="00B40A83"/>
    <w:rsid w:val="00B40C8A"/>
    <w:rsid w:val="00B4166A"/>
    <w:rsid w:val="00B4172D"/>
    <w:rsid w:val="00B41D86"/>
    <w:rsid w:val="00B429EC"/>
    <w:rsid w:val="00B42E7F"/>
    <w:rsid w:val="00B434DA"/>
    <w:rsid w:val="00B43DFF"/>
    <w:rsid w:val="00B44347"/>
    <w:rsid w:val="00B44A5A"/>
    <w:rsid w:val="00B44D36"/>
    <w:rsid w:val="00B44E0C"/>
    <w:rsid w:val="00B44E8B"/>
    <w:rsid w:val="00B454D8"/>
    <w:rsid w:val="00B458F5"/>
    <w:rsid w:val="00B45A1C"/>
    <w:rsid w:val="00B45C63"/>
    <w:rsid w:val="00B45DCB"/>
    <w:rsid w:val="00B4639E"/>
    <w:rsid w:val="00B464A2"/>
    <w:rsid w:val="00B473E8"/>
    <w:rsid w:val="00B4793B"/>
    <w:rsid w:val="00B50320"/>
    <w:rsid w:val="00B50602"/>
    <w:rsid w:val="00B50604"/>
    <w:rsid w:val="00B5091D"/>
    <w:rsid w:val="00B5091F"/>
    <w:rsid w:val="00B513DC"/>
    <w:rsid w:val="00B51835"/>
    <w:rsid w:val="00B522C1"/>
    <w:rsid w:val="00B526F6"/>
    <w:rsid w:val="00B52BC0"/>
    <w:rsid w:val="00B52C5F"/>
    <w:rsid w:val="00B52F62"/>
    <w:rsid w:val="00B53416"/>
    <w:rsid w:val="00B537F3"/>
    <w:rsid w:val="00B53C2B"/>
    <w:rsid w:val="00B5434F"/>
    <w:rsid w:val="00B5482A"/>
    <w:rsid w:val="00B549CA"/>
    <w:rsid w:val="00B54B97"/>
    <w:rsid w:val="00B54EE4"/>
    <w:rsid w:val="00B550BA"/>
    <w:rsid w:val="00B552D8"/>
    <w:rsid w:val="00B553EB"/>
    <w:rsid w:val="00B55670"/>
    <w:rsid w:val="00B55685"/>
    <w:rsid w:val="00B5572F"/>
    <w:rsid w:val="00B55757"/>
    <w:rsid w:val="00B5586D"/>
    <w:rsid w:val="00B55ECE"/>
    <w:rsid w:val="00B571EA"/>
    <w:rsid w:val="00B573E0"/>
    <w:rsid w:val="00B57583"/>
    <w:rsid w:val="00B57807"/>
    <w:rsid w:val="00B57CDB"/>
    <w:rsid w:val="00B60132"/>
    <w:rsid w:val="00B6021F"/>
    <w:rsid w:val="00B602BB"/>
    <w:rsid w:val="00B6067C"/>
    <w:rsid w:val="00B60692"/>
    <w:rsid w:val="00B6106D"/>
    <w:rsid w:val="00B610B3"/>
    <w:rsid w:val="00B61119"/>
    <w:rsid w:val="00B61A66"/>
    <w:rsid w:val="00B62064"/>
    <w:rsid w:val="00B6248F"/>
    <w:rsid w:val="00B62B80"/>
    <w:rsid w:val="00B62BAD"/>
    <w:rsid w:val="00B632FE"/>
    <w:rsid w:val="00B63546"/>
    <w:rsid w:val="00B6367E"/>
    <w:rsid w:val="00B6384E"/>
    <w:rsid w:val="00B63A2D"/>
    <w:rsid w:val="00B64103"/>
    <w:rsid w:val="00B64455"/>
    <w:rsid w:val="00B649EF"/>
    <w:rsid w:val="00B64F69"/>
    <w:rsid w:val="00B64FF3"/>
    <w:rsid w:val="00B6501D"/>
    <w:rsid w:val="00B65342"/>
    <w:rsid w:val="00B658F7"/>
    <w:rsid w:val="00B65BFD"/>
    <w:rsid w:val="00B6601E"/>
    <w:rsid w:val="00B66D64"/>
    <w:rsid w:val="00B66F48"/>
    <w:rsid w:val="00B6708D"/>
    <w:rsid w:val="00B678C0"/>
    <w:rsid w:val="00B67975"/>
    <w:rsid w:val="00B67B32"/>
    <w:rsid w:val="00B67E40"/>
    <w:rsid w:val="00B701DE"/>
    <w:rsid w:val="00B703E7"/>
    <w:rsid w:val="00B7070C"/>
    <w:rsid w:val="00B70723"/>
    <w:rsid w:val="00B70760"/>
    <w:rsid w:val="00B707F5"/>
    <w:rsid w:val="00B70A78"/>
    <w:rsid w:val="00B70C71"/>
    <w:rsid w:val="00B70F82"/>
    <w:rsid w:val="00B71099"/>
    <w:rsid w:val="00B7131D"/>
    <w:rsid w:val="00B7165C"/>
    <w:rsid w:val="00B7169C"/>
    <w:rsid w:val="00B717BF"/>
    <w:rsid w:val="00B71D2E"/>
    <w:rsid w:val="00B71FC2"/>
    <w:rsid w:val="00B7262A"/>
    <w:rsid w:val="00B72E3C"/>
    <w:rsid w:val="00B7338D"/>
    <w:rsid w:val="00B7364B"/>
    <w:rsid w:val="00B73AFC"/>
    <w:rsid w:val="00B73BF7"/>
    <w:rsid w:val="00B73C97"/>
    <w:rsid w:val="00B7433B"/>
    <w:rsid w:val="00B746EE"/>
    <w:rsid w:val="00B74794"/>
    <w:rsid w:val="00B748FC"/>
    <w:rsid w:val="00B74FDB"/>
    <w:rsid w:val="00B74FE1"/>
    <w:rsid w:val="00B7505E"/>
    <w:rsid w:val="00B752B9"/>
    <w:rsid w:val="00B75B53"/>
    <w:rsid w:val="00B75BC6"/>
    <w:rsid w:val="00B75E31"/>
    <w:rsid w:val="00B75E8C"/>
    <w:rsid w:val="00B768D1"/>
    <w:rsid w:val="00B76A48"/>
    <w:rsid w:val="00B76B05"/>
    <w:rsid w:val="00B76C0C"/>
    <w:rsid w:val="00B771D2"/>
    <w:rsid w:val="00B777F0"/>
    <w:rsid w:val="00B77853"/>
    <w:rsid w:val="00B779EC"/>
    <w:rsid w:val="00B77ACD"/>
    <w:rsid w:val="00B77B5B"/>
    <w:rsid w:val="00B77E75"/>
    <w:rsid w:val="00B80004"/>
    <w:rsid w:val="00B80192"/>
    <w:rsid w:val="00B802EF"/>
    <w:rsid w:val="00B80331"/>
    <w:rsid w:val="00B806A6"/>
    <w:rsid w:val="00B80A7F"/>
    <w:rsid w:val="00B81183"/>
    <w:rsid w:val="00B811E1"/>
    <w:rsid w:val="00B81577"/>
    <w:rsid w:val="00B817CD"/>
    <w:rsid w:val="00B820FC"/>
    <w:rsid w:val="00B8234E"/>
    <w:rsid w:val="00B829CD"/>
    <w:rsid w:val="00B82E51"/>
    <w:rsid w:val="00B82F72"/>
    <w:rsid w:val="00B8305B"/>
    <w:rsid w:val="00B830CA"/>
    <w:rsid w:val="00B832CA"/>
    <w:rsid w:val="00B83664"/>
    <w:rsid w:val="00B839F7"/>
    <w:rsid w:val="00B83A7C"/>
    <w:rsid w:val="00B83ADA"/>
    <w:rsid w:val="00B83B64"/>
    <w:rsid w:val="00B83BE1"/>
    <w:rsid w:val="00B83CDF"/>
    <w:rsid w:val="00B83F6B"/>
    <w:rsid w:val="00B843F0"/>
    <w:rsid w:val="00B84A31"/>
    <w:rsid w:val="00B84E8A"/>
    <w:rsid w:val="00B8572C"/>
    <w:rsid w:val="00B85844"/>
    <w:rsid w:val="00B85B48"/>
    <w:rsid w:val="00B86076"/>
    <w:rsid w:val="00B862AA"/>
    <w:rsid w:val="00B8647A"/>
    <w:rsid w:val="00B866C6"/>
    <w:rsid w:val="00B8672A"/>
    <w:rsid w:val="00B868C0"/>
    <w:rsid w:val="00B86B25"/>
    <w:rsid w:val="00B86C3F"/>
    <w:rsid w:val="00B86DF0"/>
    <w:rsid w:val="00B86F9F"/>
    <w:rsid w:val="00B8757C"/>
    <w:rsid w:val="00B878CE"/>
    <w:rsid w:val="00B87E03"/>
    <w:rsid w:val="00B900A0"/>
    <w:rsid w:val="00B9032C"/>
    <w:rsid w:val="00B90403"/>
    <w:rsid w:val="00B907E3"/>
    <w:rsid w:val="00B90FBF"/>
    <w:rsid w:val="00B911C8"/>
    <w:rsid w:val="00B91569"/>
    <w:rsid w:val="00B9182A"/>
    <w:rsid w:val="00B91A56"/>
    <w:rsid w:val="00B91AD2"/>
    <w:rsid w:val="00B91FF8"/>
    <w:rsid w:val="00B92246"/>
    <w:rsid w:val="00B924BC"/>
    <w:rsid w:val="00B92D8B"/>
    <w:rsid w:val="00B92F0E"/>
    <w:rsid w:val="00B93275"/>
    <w:rsid w:val="00B93399"/>
    <w:rsid w:val="00B93870"/>
    <w:rsid w:val="00B93ACD"/>
    <w:rsid w:val="00B93ACE"/>
    <w:rsid w:val="00B93D21"/>
    <w:rsid w:val="00B93FB7"/>
    <w:rsid w:val="00B940D8"/>
    <w:rsid w:val="00B94480"/>
    <w:rsid w:val="00B945A6"/>
    <w:rsid w:val="00B9492A"/>
    <w:rsid w:val="00B94D5E"/>
    <w:rsid w:val="00B94FE1"/>
    <w:rsid w:val="00B952F5"/>
    <w:rsid w:val="00B95437"/>
    <w:rsid w:val="00B9547E"/>
    <w:rsid w:val="00B957C8"/>
    <w:rsid w:val="00B95974"/>
    <w:rsid w:val="00B95975"/>
    <w:rsid w:val="00B95A11"/>
    <w:rsid w:val="00B95A50"/>
    <w:rsid w:val="00B95B3C"/>
    <w:rsid w:val="00B96508"/>
    <w:rsid w:val="00B966C7"/>
    <w:rsid w:val="00B966FC"/>
    <w:rsid w:val="00B968C0"/>
    <w:rsid w:val="00B96CF4"/>
    <w:rsid w:val="00B96DB2"/>
    <w:rsid w:val="00B9747C"/>
    <w:rsid w:val="00B9758E"/>
    <w:rsid w:val="00B976B9"/>
    <w:rsid w:val="00B9784C"/>
    <w:rsid w:val="00B9789C"/>
    <w:rsid w:val="00BA0920"/>
    <w:rsid w:val="00BA0961"/>
    <w:rsid w:val="00BA0C8E"/>
    <w:rsid w:val="00BA0E25"/>
    <w:rsid w:val="00BA10F3"/>
    <w:rsid w:val="00BA11FD"/>
    <w:rsid w:val="00BA127C"/>
    <w:rsid w:val="00BA1360"/>
    <w:rsid w:val="00BA1A69"/>
    <w:rsid w:val="00BA1ABB"/>
    <w:rsid w:val="00BA1ECE"/>
    <w:rsid w:val="00BA1F3C"/>
    <w:rsid w:val="00BA1F93"/>
    <w:rsid w:val="00BA20F8"/>
    <w:rsid w:val="00BA2536"/>
    <w:rsid w:val="00BA277C"/>
    <w:rsid w:val="00BA27F6"/>
    <w:rsid w:val="00BA295C"/>
    <w:rsid w:val="00BA2B49"/>
    <w:rsid w:val="00BA2C33"/>
    <w:rsid w:val="00BA313A"/>
    <w:rsid w:val="00BA3154"/>
    <w:rsid w:val="00BA373E"/>
    <w:rsid w:val="00BA3B7B"/>
    <w:rsid w:val="00BA3C84"/>
    <w:rsid w:val="00BA4015"/>
    <w:rsid w:val="00BA44DB"/>
    <w:rsid w:val="00BA4624"/>
    <w:rsid w:val="00BA4C51"/>
    <w:rsid w:val="00BA547A"/>
    <w:rsid w:val="00BA57AF"/>
    <w:rsid w:val="00BA580A"/>
    <w:rsid w:val="00BA58BA"/>
    <w:rsid w:val="00BA59A4"/>
    <w:rsid w:val="00BA5A6A"/>
    <w:rsid w:val="00BA5D6B"/>
    <w:rsid w:val="00BA5F71"/>
    <w:rsid w:val="00BA6268"/>
    <w:rsid w:val="00BA70D5"/>
    <w:rsid w:val="00BA7770"/>
    <w:rsid w:val="00BA7D11"/>
    <w:rsid w:val="00BB0844"/>
    <w:rsid w:val="00BB094B"/>
    <w:rsid w:val="00BB0961"/>
    <w:rsid w:val="00BB0F03"/>
    <w:rsid w:val="00BB0F1E"/>
    <w:rsid w:val="00BB0F7A"/>
    <w:rsid w:val="00BB14C7"/>
    <w:rsid w:val="00BB1551"/>
    <w:rsid w:val="00BB1740"/>
    <w:rsid w:val="00BB1757"/>
    <w:rsid w:val="00BB1BE7"/>
    <w:rsid w:val="00BB1FBE"/>
    <w:rsid w:val="00BB24ED"/>
    <w:rsid w:val="00BB292C"/>
    <w:rsid w:val="00BB2EB9"/>
    <w:rsid w:val="00BB33B8"/>
    <w:rsid w:val="00BB3526"/>
    <w:rsid w:val="00BB3704"/>
    <w:rsid w:val="00BB37A0"/>
    <w:rsid w:val="00BB38E0"/>
    <w:rsid w:val="00BB3BCF"/>
    <w:rsid w:val="00BB4145"/>
    <w:rsid w:val="00BB4753"/>
    <w:rsid w:val="00BB49A3"/>
    <w:rsid w:val="00BB4F17"/>
    <w:rsid w:val="00BB59CA"/>
    <w:rsid w:val="00BB5B72"/>
    <w:rsid w:val="00BB5DA9"/>
    <w:rsid w:val="00BB6A83"/>
    <w:rsid w:val="00BB7167"/>
    <w:rsid w:val="00BB733E"/>
    <w:rsid w:val="00BB73D6"/>
    <w:rsid w:val="00BB74F5"/>
    <w:rsid w:val="00BB7882"/>
    <w:rsid w:val="00BC05AA"/>
    <w:rsid w:val="00BC0D5A"/>
    <w:rsid w:val="00BC1424"/>
    <w:rsid w:val="00BC1547"/>
    <w:rsid w:val="00BC18B3"/>
    <w:rsid w:val="00BC1C2C"/>
    <w:rsid w:val="00BC1E5E"/>
    <w:rsid w:val="00BC1FF2"/>
    <w:rsid w:val="00BC214C"/>
    <w:rsid w:val="00BC27A9"/>
    <w:rsid w:val="00BC306D"/>
    <w:rsid w:val="00BC3122"/>
    <w:rsid w:val="00BC32C9"/>
    <w:rsid w:val="00BC3965"/>
    <w:rsid w:val="00BC3B63"/>
    <w:rsid w:val="00BC3E2F"/>
    <w:rsid w:val="00BC3F75"/>
    <w:rsid w:val="00BC3FBC"/>
    <w:rsid w:val="00BC4020"/>
    <w:rsid w:val="00BC4674"/>
    <w:rsid w:val="00BC4695"/>
    <w:rsid w:val="00BC4D84"/>
    <w:rsid w:val="00BC5155"/>
    <w:rsid w:val="00BC523F"/>
    <w:rsid w:val="00BC5271"/>
    <w:rsid w:val="00BC5865"/>
    <w:rsid w:val="00BC5BE3"/>
    <w:rsid w:val="00BC5BE9"/>
    <w:rsid w:val="00BC5E31"/>
    <w:rsid w:val="00BC63AE"/>
    <w:rsid w:val="00BC6AB2"/>
    <w:rsid w:val="00BC6CEB"/>
    <w:rsid w:val="00BC739C"/>
    <w:rsid w:val="00BC7796"/>
    <w:rsid w:val="00BC7AE0"/>
    <w:rsid w:val="00BC7C91"/>
    <w:rsid w:val="00BC7D07"/>
    <w:rsid w:val="00BC7D40"/>
    <w:rsid w:val="00BD05F9"/>
    <w:rsid w:val="00BD0794"/>
    <w:rsid w:val="00BD0A89"/>
    <w:rsid w:val="00BD0D4D"/>
    <w:rsid w:val="00BD0F0B"/>
    <w:rsid w:val="00BD0FB8"/>
    <w:rsid w:val="00BD163D"/>
    <w:rsid w:val="00BD1DCF"/>
    <w:rsid w:val="00BD1E43"/>
    <w:rsid w:val="00BD22E9"/>
    <w:rsid w:val="00BD24EE"/>
    <w:rsid w:val="00BD259E"/>
    <w:rsid w:val="00BD3139"/>
    <w:rsid w:val="00BD3553"/>
    <w:rsid w:val="00BD386D"/>
    <w:rsid w:val="00BD41B7"/>
    <w:rsid w:val="00BD4663"/>
    <w:rsid w:val="00BD4715"/>
    <w:rsid w:val="00BD4F41"/>
    <w:rsid w:val="00BD4FBE"/>
    <w:rsid w:val="00BD50F9"/>
    <w:rsid w:val="00BD5478"/>
    <w:rsid w:val="00BD57CD"/>
    <w:rsid w:val="00BD5B6A"/>
    <w:rsid w:val="00BD5D5B"/>
    <w:rsid w:val="00BD5E26"/>
    <w:rsid w:val="00BD600C"/>
    <w:rsid w:val="00BD6146"/>
    <w:rsid w:val="00BD697E"/>
    <w:rsid w:val="00BD6B45"/>
    <w:rsid w:val="00BD7164"/>
    <w:rsid w:val="00BD75B2"/>
    <w:rsid w:val="00BD7994"/>
    <w:rsid w:val="00BD7FBE"/>
    <w:rsid w:val="00BE03F2"/>
    <w:rsid w:val="00BE0655"/>
    <w:rsid w:val="00BE0DBA"/>
    <w:rsid w:val="00BE16E9"/>
    <w:rsid w:val="00BE1828"/>
    <w:rsid w:val="00BE1850"/>
    <w:rsid w:val="00BE1B04"/>
    <w:rsid w:val="00BE1B06"/>
    <w:rsid w:val="00BE1DE5"/>
    <w:rsid w:val="00BE210E"/>
    <w:rsid w:val="00BE240E"/>
    <w:rsid w:val="00BE3728"/>
    <w:rsid w:val="00BE37B8"/>
    <w:rsid w:val="00BE3872"/>
    <w:rsid w:val="00BE396B"/>
    <w:rsid w:val="00BE3F06"/>
    <w:rsid w:val="00BE3F2A"/>
    <w:rsid w:val="00BE4223"/>
    <w:rsid w:val="00BE46C8"/>
    <w:rsid w:val="00BE4950"/>
    <w:rsid w:val="00BE4A7A"/>
    <w:rsid w:val="00BE4B76"/>
    <w:rsid w:val="00BE4E16"/>
    <w:rsid w:val="00BE50E3"/>
    <w:rsid w:val="00BE5E50"/>
    <w:rsid w:val="00BE6916"/>
    <w:rsid w:val="00BE6B2E"/>
    <w:rsid w:val="00BE6FDF"/>
    <w:rsid w:val="00BE6FED"/>
    <w:rsid w:val="00BE722B"/>
    <w:rsid w:val="00BE7845"/>
    <w:rsid w:val="00BF01C3"/>
    <w:rsid w:val="00BF01CD"/>
    <w:rsid w:val="00BF01E2"/>
    <w:rsid w:val="00BF03CD"/>
    <w:rsid w:val="00BF04BA"/>
    <w:rsid w:val="00BF0626"/>
    <w:rsid w:val="00BF097E"/>
    <w:rsid w:val="00BF0B9E"/>
    <w:rsid w:val="00BF1286"/>
    <w:rsid w:val="00BF14A4"/>
    <w:rsid w:val="00BF163C"/>
    <w:rsid w:val="00BF17A0"/>
    <w:rsid w:val="00BF1897"/>
    <w:rsid w:val="00BF1C7F"/>
    <w:rsid w:val="00BF1E05"/>
    <w:rsid w:val="00BF1EC4"/>
    <w:rsid w:val="00BF2043"/>
    <w:rsid w:val="00BF2144"/>
    <w:rsid w:val="00BF2790"/>
    <w:rsid w:val="00BF2DA2"/>
    <w:rsid w:val="00BF305F"/>
    <w:rsid w:val="00BF30B5"/>
    <w:rsid w:val="00BF3B80"/>
    <w:rsid w:val="00BF403A"/>
    <w:rsid w:val="00BF4175"/>
    <w:rsid w:val="00BF42DA"/>
    <w:rsid w:val="00BF437E"/>
    <w:rsid w:val="00BF462C"/>
    <w:rsid w:val="00BF47E0"/>
    <w:rsid w:val="00BF4A88"/>
    <w:rsid w:val="00BF502B"/>
    <w:rsid w:val="00BF56F2"/>
    <w:rsid w:val="00BF61B1"/>
    <w:rsid w:val="00BF6C77"/>
    <w:rsid w:val="00BF6DE4"/>
    <w:rsid w:val="00BF6E98"/>
    <w:rsid w:val="00BF72AA"/>
    <w:rsid w:val="00BF7779"/>
    <w:rsid w:val="00BF792C"/>
    <w:rsid w:val="00BF7C72"/>
    <w:rsid w:val="00BF7F5B"/>
    <w:rsid w:val="00C000F3"/>
    <w:rsid w:val="00C00924"/>
    <w:rsid w:val="00C01119"/>
    <w:rsid w:val="00C01397"/>
    <w:rsid w:val="00C015D8"/>
    <w:rsid w:val="00C017F8"/>
    <w:rsid w:val="00C01806"/>
    <w:rsid w:val="00C01CCE"/>
    <w:rsid w:val="00C0304C"/>
    <w:rsid w:val="00C03605"/>
    <w:rsid w:val="00C036A2"/>
    <w:rsid w:val="00C03937"/>
    <w:rsid w:val="00C04041"/>
    <w:rsid w:val="00C04374"/>
    <w:rsid w:val="00C0471E"/>
    <w:rsid w:val="00C047DF"/>
    <w:rsid w:val="00C04AD4"/>
    <w:rsid w:val="00C04D6B"/>
    <w:rsid w:val="00C04E9F"/>
    <w:rsid w:val="00C0532C"/>
    <w:rsid w:val="00C05334"/>
    <w:rsid w:val="00C059DA"/>
    <w:rsid w:val="00C05B65"/>
    <w:rsid w:val="00C05DE3"/>
    <w:rsid w:val="00C0614E"/>
    <w:rsid w:val="00C0672C"/>
    <w:rsid w:val="00C069CD"/>
    <w:rsid w:val="00C06B01"/>
    <w:rsid w:val="00C06D60"/>
    <w:rsid w:val="00C07AD8"/>
    <w:rsid w:val="00C07D1D"/>
    <w:rsid w:val="00C07FFD"/>
    <w:rsid w:val="00C100D5"/>
    <w:rsid w:val="00C1015B"/>
    <w:rsid w:val="00C10258"/>
    <w:rsid w:val="00C10271"/>
    <w:rsid w:val="00C1043B"/>
    <w:rsid w:val="00C1143A"/>
    <w:rsid w:val="00C11504"/>
    <w:rsid w:val="00C116C9"/>
    <w:rsid w:val="00C11721"/>
    <w:rsid w:val="00C11D92"/>
    <w:rsid w:val="00C121BE"/>
    <w:rsid w:val="00C12563"/>
    <w:rsid w:val="00C1258D"/>
    <w:rsid w:val="00C12731"/>
    <w:rsid w:val="00C129CC"/>
    <w:rsid w:val="00C12D30"/>
    <w:rsid w:val="00C13065"/>
    <w:rsid w:val="00C13265"/>
    <w:rsid w:val="00C13AC4"/>
    <w:rsid w:val="00C13D37"/>
    <w:rsid w:val="00C13E19"/>
    <w:rsid w:val="00C146D3"/>
    <w:rsid w:val="00C147D2"/>
    <w:rsid w:val="00C14B23"/>
    <w:rsid w:val="00C14BE1"/>
    <w:rsid w:val="00C14CCB"/>
    <w:rsid w:val="00C14D4A"/>
    <w:rsid w:val="00C14EC8"/>
    <w:rsid w:val="00C15307"/>
    <w:rsid w:val="00C15310"/>
    <w:rsid w:val="00C15339"/>
    <w:rsid w:val="00C154B6"/>
    <w:rsid w:val="00C15E76"/>
    <w:rsid w:val="00C1643B"/>
    <w:rsid w:val="00C16504"/>
    <w:rsid w:val="00C1699A"/>
    <w:rsid w:val="00C16BD5"/>
    <w:rsid w:val="00C16D4B"/>
    <w:rsid w:val="00C16FF1"/>
    <w:rsid w:val="00C174C8"/>
    <w:rsid w:val="00C1770E"/>
    <w:rsid w:val="00C17BDA"/>
    <w:rsid w:val="00C17D00"/>
    <w:rsid w:val="00C17F00"/>
    <w:rsid w:val="00C200F1"/>
    <w:rsid w:val="00C20944"/>
    <w:rsid w:val="00C20995"/>
    <w:rsid w:val="00C20B14"/>
    <w:rsid w:val="00C20E51"/>
    <w:rsid w:val="00C20E54"/>
    <w:rsid w:val="00C2129F"/>
    <w:rsid w:val="00C2178E"/>
    <w:rsid w:val="00C21B2A"/>
    <w:rsid w:val="00C21BBF"/>
    <w:rsid w:val="00C21C37"/>
    <w:rsid w:val="00C21E64"/>
    <w:rsid w:val="00C21F35"/>
    <w:rsid w:val="00C22054"/>
    <w:rsid w:val="00C229A5"/>
    <w:rsid w:val="00C22D31"/>
    <w:rsid w:val="00C22D7C"/>
    <w:rsid w:val="00C22EB1"/>
    <w:rsid w:val="00C2368D"/>
    <w:rsid w:val="00C238E9"/>
    <w:rsid w:val="00C23DFD"/>
    <w:rsid w:val="00C24007"/>
    <w:rsid w:val="00C24A82"/>
    <w:rsid w:val="00C24DD5"/>
    <w:rsid w:val="00C2591D"/>
    <w:rsid w:val="00C25C9E"/>
    <w:rsid w:val="00C25E3F"/>
    <w:rsid w:val="00C26020"/>
    <w:rsid w:val="00C26150"/>
    <w:rsid w:val="00C267B9"/>
    <w:rsid w:val="00C2697F"/>
    <w:rsid w:val="00C26B6F"/>
    <w:rsid w:val="00C274A8"/>
    <w:rsid w:val="00C27E9C"/>
    <w:rsid w:val="00C30084"/>
    <w:rsid w:val="00C302F0"/>
    <w:rsid w:val="00C30369"/>
    <w:rsid w:val="00C305D7"/>
    <w:rsid w:val="00C3091B"/>
    <w:rsid w:val="00C309C1"/>
    <w:rsid w:val="00C30E38"/>
    <w:rsid w:val="00C3106B"/>
    <w:rsid w:val="00C31431"/>
    <w:rsid w:val="00C31575"/>
    <w:rsid w:val="00C3163D"/>
    <w:rsid w:val="00C3187F"/>
    <w:rsid w:val="00C31BCE"/>
    <w:rsid w:val="00C31D65"/>
    <w:rsid w:val="00C32604"/>
    <w:rsid w:val="00C3282D"/>
    <w:rsid w:val="00C329BD"/>
    <w:rsid w:val="00C32F9C"/>
    <w:rsid w:val="00C3324D"/>
    <w:rsid w:val="00C33294"/>
    <w:rsid w:val="00C33A76"/>
    <w:rsid w:val="00C33A82"/>
    <w:rsid w:val="00C33CFA"/>
    <w:rsid w:val="00C349DB"/>
    <w:rsid w:val="00C34C65"/>
    <w:rsid w:val="00C34D0F"/>
    <w:rsid w:val="00C35262"/>
    <w:rsid w:val="00C35809"/>
    <w:rsid w:val="00C35CA0"/>
    <w:rsid w:val="00C35D1A"/>
    <w:rsid w:val="00C35D5C"/>
    <w:rsid w:val="00C35E36"/>
    <w:rsid w:val="00C35F03"/>
    <w:rsid w:val="00C36776"/>
    <w:rsid w:val="00C36B94"/>
    <w:rsid w:val="00C36D3B"/>
    <w:rsid w:val="00C37224"/>
    <w:rsid w:val="00C37647"/>
    <w:rsid w:val="00C37BEE"/>
    <w:rsid w:val="00C37E6E"/>
    <w:rsid w:val="00C37EF9"/>
    <w:rsid w:val="00C37F7E"/>
    <w:rsid w:val="00C404B4"/>
    <w:rsid w:val="00C404DC"/>
    <w:rsid w:val="00C406C6"/>
    <w:rsid w:val="00C40827"/>
    <w:rsid w:val="00C40EF4"/>
    <w:rsid w:val="00C40F30"/>
    <w:rsid w:val="00C40FC4"/>
    <w:rsid w:val="00C4127D"/>
    <w:rsid w:val="00C41378"/>
    <w:rsid w:val="00C41ECA"/>
    <w:rsid w:val="00C424A1"/>
    <w:rsid w:val="00C42781"/>
    <w:rsid w:val="00C42994"/>
    <w:rsid w:val="00C43410"/>
    <w:rsid w:val="00C438C4"/>
    <w:rsid w:val="00C44E8E"/>
    <w:rsid w:val="00C4507C"/>
    <w:rsid w:val="00C45184"/>
    <w:rsid w:val="00C45740"/>
    <w:rsid w:val="00C45FA5"/>
    <w:rsid w:val="00C46688"/>
    <w:rsid w:val="00C47013"/>
    <w:rsid w:val="00C474F6"/>
    <w:rsid w:val="00C47599"/>
    <w:rsid w:val="00C47B52"/>
    <w:rsid w:val="00C47F8A"/>
    <w:rsid w:val="00C50033"/>
    <w:rsid w:val="00C504F9"/>
    <w:rsid w:val="00C50A0A"/>
    <w:rsid w:val="00C51190"/>
    <w:rsid w:val="00C51670"/>
    <w:rsid w:val="00C51A5F"/>
    <w:rsid w:val="00C51B88"/>
    <w:rsid w:val="00C51D43"/>
    <w:rsid w:val="00C51F3F"/>
    <w:rsid w:val="00C521E9"/>
    <w:rsid w:val="00C52246"/>
    <w:rsid w:val="00C5234C"/>
    <w:rsid w:val="00C52693"/>
    <w:rsid w:val="00C52B77"/>
    <w:rsid w:val="00C52B82"/>
    <w:rsid w:val="00C52FE3"/>
    <w:rsid w:val="00C53CC9"/>
    <w:rsid w:val="00C53DD1"/>
    <w:rsid w:val="00C53ED7"/>
    <w:rsid w:val="00C541D1"/>
    <w:rsid w:val="00C541F9"/>
    <w:rsid w:val="00C5468A"/>
    <w:rsid w:val="00C54D58"/>
    <w:rsid w:val="00C54D60"/>
    <w:rsid w:val="00C54EEE"/>
    <w:rsid w:val="00C56313"/>
    <w:rsid w:val="00C5635F"/>
    <w:rsid w:val="00C566AC"/>
    <w:rsid w:val="00C5696D"/>
    <w:rsid w:val="00C56F4C"/>
    <w:rsid w:val="00C571C5"/>
    <w:rsid w:val="00C57358"/>
    <w:rsid w:val="00C575C8"/>
    <w:rsid w:val="00C57600"/>
    <w:rsid w:val="00C57801"/>
    <w:rsid w:val="00C57C7B"/>
    <w:rsid w:val="00C60137"/>
    <w:rsid w:val="00C603CD"/>
    <w:rsid w:val="00C60614"/>
    <w:rsid w:val="00C60692"/>
    <w:rsid w:val="00C60A54"/>
    <w:rsid w:val="00C60C9F"/>
    <w:rsid w:val="00C613B0"/>
    <w:rsid w:val="00C61759"/>
    <w:rsid w:val="00C6194B"/>
    <w:rsid w:val="00C62189"/>
    <w:rsid w:val="00C621B0"/>
    <w:rsid w:val="00C622C5"/>
    <w:rsid w:val="00C6233C"/>
    <w:rsid w:val="00C62698"/>
    <w:rsid w:val="00C62B5B"/>
    <w:rsid w:val="00C62CC8"/>
    <w:rsid w:val="00C62D62"/>
    <w:rsid w:val="00C635B8"/>
    <w:rsid w:val="00C63687"/>
    <w:rsid w:val="00C63772"/>
    <w:rsid w:val="00C63D35"/>
    <w:rsid w:val="00C644AE"/>
    <w:rsid w:val="00C64867"/>
    <w:rsid w:val="00C6499E"/>
    <w:rsid w:val="00C64F99"/>
    <w:rsid w:val="00C65627"/>
    <w:rsid w:val="00C65D15"/>
    <w:rsid w:val="00C65D18"/>
    <w:rsid w:val="00C65EA8"/>
    <w:rsid w:val="00C661A0"/>
    <w:rsid w:val="00C662C0"/>
    <w:rsid w:val="00C66658"/>
    <w:rsid w:val="00C667FF"/>
    <w:rsid w:val="00C66ABC"/>
    <w:rsid w:val="00C66B30"/>
    <w:rsid w:val="00C66E5A"/>
    <w:rsid w:val="00C67314"/>
    <w:rsid w:val="00C674C4"/>
    <w:rsid w:val="00C6770B"/>
    <w:rsid w:val="00C677B3"/>
    <w:rsid w:val="00C67B7B"/>
    <w:rsid w:val="00C7018A"/>
    <w:rsid w:val="00C7057A"/>
    <w:rsid w:val="00C707F4"/>
    <w:rsid w:val="00C70887"/>
    <w:rsid w:val="00C70C80"/>
    <w:rsid w:val="00C71186"/>
    <w:rsid w:val="00C71C33"/>
    <w:rsid w:val="00C71D3E"/>
    <w:rsid w:val="00C71DA2"/>
    <w:rsid w:val="00C72078"/>
    <w:rsid w:val="00C72392"/>
    <w:rsid w:val="00C72476"/>
    <w:rsid w:val="00C72623"/>
    <w:rsid w:val="00C7274C"/>
    <w:rsid w:val="00C7290F"/>
    <w:rsid w:val="00C72929"/>
    <w:rsid w:val="00C7312E"/>
    <w:rsid w:val="00C732ED"/>
    <w:rsid w:val="00C7369B"/>
    <w:rsid w:val="00C737A9"/>
    <w:rsid w:val="00C738E3"/>
    <w:rsid w:val="00C74ABF"/>
    <w:rsid w:val="00C74DE9"/>
    <w:rsid w:val="00C7576D"/>
    <w:rsid w:val="00C75920"/>
    <w:rsid w:val="00C759B9"/>
    <w:rsid w:val="00C75ACD"/>
    <w:rsid w:val="00C75CFD"/>
    <w:rsid w:val="00C75F9B"/>
    <w:rsid w:val="00C76743"/>
    <w:rsid w:val="00C76985"/>
    <w:rsid w:val="00C77779"/>
    <w:rsid w:val="00C7793B"/>
    <w:rsid w:val="00C77B1F"/>
    <w:rsid w:val="00C80700"/>
    <w:rsid w:val="00C80B8C"/>
    <w:rsid w:val="00C81BCE"/>
    <w:rsid w:val="00C81C3C"/>
    <w:rsid w:val="00C81CBA"/>
    <w:rsid w:val="00C81DAC"/>
    <w:rsid w:val="00C81DBD"/>
    <w:rsid w:val="00C82043"/>
    <w:rsid w:val="00C82746"/>
    <w:rsid w:val="00C827DD"/>
    <w:rsid w:val="00C83043"/>
    <w:rsid w:val="00C830C0"/>
    <w:rsid w:val="00C833B7"/>
    <w:rsid w:val="00C838ED"/>
    <w:rsid w:val="00C83C5D"/>
    <w:rsid w:val="00C83F76"/>
    <w:rsid w:val="00C841D4"/>
    <w:rsid w:val="00C843C4"/>
    <w:rsid w:val="00C84520"/>
    <w:rsid w:val="00C84B63"/>
    <w:rsid w:val="00C84B73"/>
    <w:rsid w:val="00C84C14"/>
    <w:rsid w:val="00C84D09"/>
    <w:rsid w:val="00C8535F"/>
    <w:rsid w:val="00C85671"/>
    <w:rsid w:val="00C85F6F"/>
    <w:rsid w:val="00C85FB8"/>
    <w:rsid w:val="00C85FC6"/>
    <w:rsid w:val="00C85FE9"/>
    <w:rsid w:val="00C86537"/>
    <w:rsid w:val="00C86CA9"/>
    <w:rsid w:val="00C86EA8"/>
    <w:rsid w:val="00C8738B"/>
    <w:rsid w:val="00C8760C"/>
    <w:rsid w:val="00C87997"/>
    <w:rsid w:val="00C87AF6"/>
    <w:rsid w:val="00C87B86"/>
    <w:rsid w:val="00C87EEA"/>
    <w:rsid w:val="00C87F1E"/>
    <w:rsid w:val="00C903E9"/>
    <w:rsid w:val="00C904FC"/>
    <w:rsid w:val="00C908A7"/>
    <w:rsid w:val="00C90CFC"/>
    <w:rsid w:val="00C914BA"/>
    <w:rsid w:val="00C91D4C"/>
    <w:rsid w:val="00C91DCC"/>
    <w:rsid w:val="00C92A12"/>
    <w:rsid w:val="00C92E9C"/>
    <w:rsid w:val="00C931CF"/>
    <w:rsid w:val="00C93210"/>
    <w:rsid w:val="00C9340B"/>
    <w:rsid w:val="00C93680"/>
    <w:rsid w:val="00C93788"/>
    <w:rsid w:val="00C945E5"/>
    <w:rsid w:val="00C94810"/>
    <w:rsid w:val="00C94AB1"/>
    <w:rsid w:val="00C94CBA"/>
    <w:rsid w:val="00C94D25"/>
    <w:rsid w:val="00C94DAF"/>
    <w:rsid w:val="00C95719"/>
    <w:rsid w:val="00C95A98"/>
    <w:rsid w:val="00C95D4C"/>
    <w:rsid w:val="00C95DFE"/>
    <w:rsid w:val="00C95E71"/>
    <w:rsid w:val="00C97212"/>
    <w:rsid w:val="00C97600"/>
    <w:rsid w:val="00C97A30"/>
    <w:rsid w:val="00C97FC5"/>
    <w:rsid w:val="00CA085C"/>
    <w:rsid w:val="00CA08F8"/>
    <w:rsid w:val="00CA0A4E"/>
    <w:rsid w:val="00CA0B81"/>
    <w:rsid w:val="00CA1567"/>
    <w:rsid w:val="00CA1F59"/>
    <w:rsid w:val="00CA1F78"/>
    <w:rsid w:val="00CA1FBA"/>
    <w:rsid w:val="00CA2725"/>
    <w:rsid w:val="00CA291E"/>
    <w:rsid w:val="00CA2BB8"/>
    <w:rsid w:val="00CA3098"/>
    <w:rsid w:val="00CA31E5"/>
    <w:rsid w:val="00CA380C"/>
    <w:rsid w:val="00CA3910"/>
    <w:rsid w:val="00CA3B3D"/>
    <w:rsid w:val="00CA3FAF"/>
    <w:rsid w:val="00CA4310"/>
    <w:rsid w:val="00CA47D6"/>
    <w:rsid w:val="00CA4C8E"/>
    <w:rsid w:val="00CA520B"/>
    <w:rsid w:val="00CA546A"/>
    <w:rsid w:val="00CA558C"/>
    <w:rsid w:val="00CA56AD"/>
    <w:rsid w:val="00CA5826"/>
    <w:rsid w:val="00CA5DB6"/>
    <w:rsid w:val="00CA5EDD"/>
    <w:rsid w:val="00CA6848"/>
    <w:rsid w:val="00CA6A86"/>
    <w:rsid w:val="00CA709A"/>
    <w:rsid w:val="00CA727D"/>
    <w:rsid w:val="00CA728E"/>
    <w:rsid w:val="00CA7710"/>
    <w:rsid w:val="00CB0397"/>
    <w:rsid w:val="00CB0727"/>
    <w:rsid w:val="00CB082C"/>
    <w:rsid w:val="00CB08CB"/>
    <w:rsid w:val="00CB0B15"/>
    <w:rsid w:val="00CB0CA9"/>
    <w:rsid w:val="00CB0F60"/>
    <w:rsid w:val="00CB1104"/>
    <w:rsid w:val="00CB1210"/>
    <w:rsid w:val="00CB1626"/>
    <w:rsid w:val="00CB174A"/>
    <w:rsid w:val="00CB1933"/>
    <w:rsid w:val="00CB1AD1"/>
    <w:rsid w:val="00CB1AE9"/>
    <w:rsid w:val="00CB1B31"/>
    <w:rsid w:val="00CB1B70"/>
    <w:rsid w:val="00CB1EC2"/>
    <w:rsid w:val="00CB21B6"/>
    <w:rsid w:val="00CB2B70"/>
    <w:rsid w:val="00CB2E26"/>
    <w:rsid w:val="00CB3140"/>
    <w:rsid w:val="00CB378B"/>
    <w:rsid w:val="00CB404A"/>
    <w:rsid w:val="00CB4129"/>
    <w:rsid w:val="00CB428A"/>
    <w:rsid w:val="00CB4360"/>
    <w:rsid w:val="00CB4D3A"/>
    <w:rsid w:val="00CB4D6B"/>
    <w:rsid w:val="00CB5057"/>
    <w:rsid w:val="00CB542C"/>
    <w:rsid w:val="00CB59E0"/>
    <w:rsid w:val="00CB695E"/>
    <w:rsid w:val="00CB697A"/>
    <w:rsid w:val="00CB698D"/>
    <w:rsid w:val="00CB6E78"/>
    <w:rsid w:val="00CB6F33"/>
    <w:rsid w:val="00CB768A"/>
    <w:rsid w:val="00CC00A6"/>
    <w:rsid w:val="00CC0247"/>
    <w:rsid w:val="00CC0489"/>
    <w:rsid w:val="00CC06CC"/>
    <w:rsid w:val="00CC0BCA"/>
    <w:rsid w:val="00CC1184"/>
    <w:rsid w:val="00CC1190"/>
    <w:rsid w:val="00CC1A30"/>
    <w:rsid w:val="00CC1FEA"/>
    <w:rsid w:val="00CC25D6"/>
    <w:rsid w:val="00CC2AC4"/>
    <w:rsid w:val="00CC2B78"/>
    <w:rsid w:val="00CC303F"/>
    <w:rsid w:val="00CC4AA6"/>
    <w:rsid w:val="00CC4FEF"/>
    <w:rsid w:val="00CC5227"/>
    <w:rsid w:val="00CC5269"/>
    <w:rsid w:val="00CC574C"/>
    <w:rsid w:val="00CC5F17"/>
    <w:rsid w:val="00CC6397"/>
    <w:rsid w:val="00CC6474"/>
    <w:rsid w:val="00CC6756"/>
    <w:rsid w:val="00CC6C92"/>
    <w:rsid w:val="00CC6CF1"/>
    <w:rsid w:val="00CC7288"/>
    <w:rsid w:val="00CC7342"/>
    <w:rsid w:val="00CC7C5A"/>
    <w:rsid w:val="00CC7EE7"/>
    <w:rsid w:val="00CC7F1F"/>
    <w:rsid w:val="00CD0070"/>
    <w:rsid w:val="00CD04F1"/>
    <w:rsid w:val="00CD1610"/>
    <w:rsid w:val="00CD1E34"/>
    <w:rsid w:val="00CD2470"/>
    <w:rsid w:val="00CD2486"/>
    <w:rsid w:val="00CD25B9"/>
    <w:rsid w:val="00CD291C"/>
    <w:rsid w:val="00CD2952"/>
    <w:rsid w:val="00CD3219"/>
    <w:rsid w:val="00CD3254"/>
    <w:rsid w:val="00CD34BF"/>
    <w:rsid w:val="00CD3BE0"/>
    <w:rsid w:val="00CD408D"/>
    <w:rsid w:val="00CD45CC"/>
    <w:rsid w:val="00CD48AA"/>
    <w:rsid w:val="00CD4CFA"/>
    <w:rsid w:val="00CD52E8"/>
    <w:rsid w:val="00CD5896"/>
    <w:rsid w:val="00CD5FDB"/>
    <w:rsid w:val="00CD6051"/>
    <w:rsid w:val="00CD6385"/>
    <w:rsid w:val="00CD649C"/>
    <w:rsid w:val="00CD6618"/>
    <w:rsid w:val="00CD72F2"/>
    <w:rsid w:val="00CD74CD"/>
    <w:rsid w:val="00CD7C9C"/>
    <w:rsid w:val="00CD7DCC"/>
    <w:rsid w:val="00CD7EA6"/>
    <w:rsid w:val="00CE03CA"/>
    <w:rsid w:val="00CE09ED"/>
    <w:rsid w:val="00CE163D"/>
    <w:rsid w:val="00CE1890"/>
    <w:rsid w:val="00CE1951"/>
    <w:rsid w:val="00CE2887"/>
    <w:rsid w:val="00CE292F"/>
    <w:rsid w:val="00CE319C"/>
    <w:rsid w:val="00CE32E7"/>
    <w:rsid w:val="00CE36DC"/>
    <w:rsid w:val="00CE36E8"/>
    <w:rsid w:val="00CE37AF"/>
    <w:rsid w:val="00CE37D2"/>
    <w:rsid w:val="00CE3BB1"/>
    <w:rsid w:val="00CE428C"/>
    <w:rsid w:val="00CE45D9"/>
    <w:rsid w:val="00CE48F8"/>
    <w:rsid w:val="00CE4943"/>
    <w:rsid w:val="00CE4976"/>
    <w:rsid w:val="00CE4A38"/>
    <w:rsid w:val="00CE4CA9"/>
    <w:rsid w:val="00CE4E30"/>
    <w:rsid w:val="00CE503B"/>
    <w:rsid w:val="00CE52DD"/>
    <w:rsid w:val="00CE5381"/>
    <w:rsid w:val="00CE5391"/>
    <w:rsid w:val="00CE547A"/>
    <w:rsid w:val="00CE5614"/>
    <w:rsid w:val="00CE56AE"/>
    <w:rsid w:val="00CE5A51"/>
    <w:rsid w:val="00CE5BC7"/>
    <w:rsid w:val="00CE656A"/>
    <w:rsid w:val="00CE6641"/>
    <w:rsid w:val="00CE6748"/>
    <w:rsid w:val="00CE6FCA"/>
    <w:rsid w:val="00CE7005"/>
    <w:rsid w:val="00CE72BD"/>
    <w:rsid w:val="00CE74A7"/>
    <w:rsid w:val="00CE7526"/>
    <w:rsid w:val="00CE7621"/>
    <w:rsid w:val="00CE7ACD"/>
    <w:rsid w:val="00CF0237"/>
    <w:rsid w:val="00CF04CB"/>
    <w:rsid w:val="00CF059F"/>
    <w:rsid w:val="00CF0A5A"/>
    <w:rsid w:val="00CF0E37"/>
    <w:rsid w:val="00CF10D0"/>
    <w:rsid w:val="00CF1220"/>
    <w:rsid w:val="00CF175A"/>
    <w:rsid w:val="00CF1FA0"/>
    <w:rsid w:val="00CF202E"/>
    <w:rsid w:val="00CF2178"/>
    <w:rsid w:val="00CF256E"/>
    <w:rsid w:val="00CF27C2"/>
    <w:rsid w:val="00CF2917"/>
    <w:rsid w:val="00CF29A0"/>
    <w:rsid w:val="00CF2B80"/>
    <w:rsid w:val="00CF3323"/>
    <w:rsid w:val="00CF35F0"/>
    <w:rsid w:val="00CF371D"/>
    <w:rsid w:val="00CF38F0"/>
    <w:rsid w:val="00CF3C74"/>
    <w:rsid w:val="00CF3D56"/>
    <w:rsid w:val="00CF4566"/>
    <w:rsid w:val="00CF489D"/>
    <w:rsid w:val="00CF4CBB"/>
    <w:rsid w:val="00CF51B5"/>
    <w:rsid w:val="00CF52B0"/>
    <w:rsid w:val="00CF53A2"/>
    <w:rsid w:val="00CF5717"/>
    <w:rsid w:val="00CF5741"/>
    <w:rsid w:val="00CF5C79"/>
    <w:rsid w:val="00CF5DE8"/>
    <w:rsid w:val="00CF5EC6"/>
    <w:rsid w:val="00CF62B2"/>
    <w:rsid w:val="00CF638C"/>
    <w:rsid w:val="00CF6CB0"/>
    <w:rsid w:val="00CF6DE9"/>
    <w:rsid w:val="00CF7066"/>
    <w:rsid w:val="00CF71A1"/>
    <w:rsid w:val="00CF794A"/>
    <w:rsid w:val="00CF7966"/>
    <w:rsid w:val="00CF7A7D"/>
    <w:rsid w:val="00CF7B7D"/>
    <w:rsid w:val="00CF7ED0"/>
    <w:rsid w:val="00D00035"/>
    <w:rsid w:val="00D0039E"/>
    <w:rsid w:val="00D003B8"/>
    <w:rsid w:val="00D006BD"/>
    <w:rsid w:val="00D00AF4"/>
    <w:rsid w:val="00D01592"/>
    <w:rsid w:val="00D01D19"/>
    <w:rsid w:val="00D030E0"/>
    <w:rsid w:val="00D039CE"/>
    <w:rsid w:val="00D03FC9"/>
    <w:rsid w:val="00D046E3"/>
    <w:rsid w:val="00D04C57"/>
    <w:rsid w:val="00D0502F"/>
    <w:rsid w:val="00D0535C"/>
    <w:rsid w:val="00D05AB2"/>
    <w:rsid w:val="00D060A8"/>
    <w:rsid w:val="00D0638B"/>
    <w:rsid w:val="00D0643A"/>
    <w:rsid w:val="00D0681E"/>
    <w:rsid w:val="00D06E81"/>
    <w:rsid w:val="00D06F68"/>
    <w:rsid w:val="00D07350"/>
    <w:rsid w:val="00D07752"/>
    <w:rsid w:val="00D10085"/>
    <w:rsid w:val="00D10117"/>
    <w:rsid w:val="00D10911"/>
    <w:rsid w:val="00D10AEF"/>
    <w:rsid w:val="00D111EF"/>
    <w:rsid w:val="00D11385"/>
    <w:rsid w:val="00D11B26"/>
    <w:rsid w:val="00D12098"/>
    <w:rsid w:val="00D121A9"/>
    <w:rsid w:val="00D12559"/>
    <w:rsid w:val="00D1259A"/>
    <w:rsid w:val="00D12A2F"/>
    <w:rsid w:val="00D12D61"/>
    <w:rsid w:val="00D131D2"/>
    <w:rsid w:val="00D13320"/>
    <w:rsid w:val="00D13340"/>
    <w:rsid w:val="00D1354A"/>
    <w:rsid w:val="00D13591"/>
    <w:rsid w:val="00D141BF"/>
    <w:rsid w:val="00D14365"/>
    <w:rsid w:val="00D149DA"/>
    <w:rsid w:val="00D149ED"/>
    <w:rsid w:val="00D14D8E"/>
    <w:rsid w:val="00D14FC2"/>
    <w:rsid w:val="00D15666"/>
    <w:rsid w:val="00D15CCA"/>
    <w:rsid w:val="00D15D9E"/>
    <w:rsid w:val="00D160ED"/>
    <w:rsid w:val="00D16466"/>
    <w:rsid w:val="00D169D0"/>
    <w:rsid w:val="00D17324"/>
    <w:rsid w:val="00D17A58"/>
    <w:rsid w:val="00D17AB7"/>
    <w:rsid w:val="00D17DDF"/>
    <w:rsid w:val="00D17E17"/>
    <w:rsid w:val="00D2084E"/>
    <w:rsid w:val="00D20ED7"/>
    <w:rsid w:val="00D20F9B"/>
    <w:rsid w:val="00D21417"/>
    <w:rsid w:val="00D219AA"/>
    <w:rsid w:val="00D21A2C"/>
    <w:rsid w:val="00D21F93"/>
    <w:rsid w:val="00D22164"/>
    <w:rsid w:val="00D22305"/>
    <w:rsid w:val="00D22AB0"/>
    <w:rsid w:val="00D22BB0"/>
    <w:rsid w:val="00D22CFB"/>
    <w:rsid w:val="00D23170"/>
    <w:rsid w:val="00D2343C"/>
    <w:rsid w:val="00D237A2"/>
    <w:rsid w:val="00D23816"/>
    <w:rsid w:val="00D24860"/>
    <w:rsid w:val="00D248A0"/>
    <w:rsid w:val="00D24D26"/>
    <w:rsid w:val="00D2533B"/>
    <w:rsid w:val="00D253AC"/>
    <w:rsid w:val="00D258FD"/>
    <w:rsid w:val="00D258FF"/>
    <w:rsid w:val="00D25E83"/>
    <w:rsid w:val="00D25ECD"/>
    <w:rsid w:val="00D26183"/>
    <w:rsid w:val="00D26304"/>
    <w:rsid w:val="00D26651"/>
    <w:rsid w:val="00D26815"/>
    <w:rsid w:val="00D26944"/>
    <w:rsid w:val="00D26BAA"/>
    <w:rsid w:val="00D26C59"/>
    <w:rsid w:val="00D26CC8"/>
    <w:rsid w:val="00D26D1C"/>
    <w:rsid w:val="00D27191"/>
    <w:rsid w:val="00D27767"/>
    <w:rsid w:val="00D27794"/>
    <w:rsid w:val="00D27BAB"/>
    <w:rsid w:val="00D27BAE"/>
    <w:rsid w:val="00D27CA1"/>
    <w:rsid w:val="00D27DCE"/>
    <w:rsid w:val="00D30374"/>
    <w:rsid w:val="00D309C2"/>
    <w:rsid w:val="00D315CC"/>
    <w:rsid w:val="00D317ED"/>
    <w:rsid w:val="00D31A71"/>
    <w:rsid w:val="00D31B90"/>
    <w:rsid w:val="00D320B9"/>
    <w:rsid w:val="00D3219D"/>
    <w:rsid w:val="00D3220E"/>
    <w:rsid w:val="00D323A7"/>
    <w:rsid w:val="00D32408"/>
    <w:rsid w:val="00D325C5"/>
    <w:rsid w:val="00D32C74"/>
    <w:rsid w:val="00D32D5E"/>
    <w:rsid w:val="00D32EED"/>
    <w:rsid w:val="00D32F9E"/>
    <w:rsid w:val="00D33448"/>
    <w:rsid w:val="00D336B0"/>
    <w:rsid w:val="00D33DD5"/>
    <w:rsid w:val="00D33E86"/>
    <w:rsid w:val="00D34299"/>
    <w:rsid w:val="00D348BA"/>
    <w:rsid w:val="00D350D3"/>
    <w:rsid w:val="00D350D7"/>
    <w:rsid w:val="00D3574C"/>
    <w:rsid w:val="00D358F5"/>
    <w:rsid w:val="00D35B55"/>
    <w:rsid w:val="00D35CAF"/>
    <w:rsid w:val="00D35E01"/>
    <w:rsid w:val="00D35EB2"/>
    <w:rsid w:val="00D35F7E"/>
    <w:rsid w:val="00D3778C"/>
    <w:rsid w:val="00D3782A"/>
    <w:rsid w:val="00D37D8F"/>
    <w:rsid w:val="00D37EC2"/>
    <w:rsid w:val="00D37F73"/>
    <w:rsid w:val="00D37F89"/>
    <w:rsid w:val="00D4094C"/>
    <w:rsid w:val="00D40D9B"/>
    <w:rsid w:val="00D4116D"/>
    <w:rsid w:val="00D41236"/>
    <w:rsid w:val="00D415E2"/>
    <w:rsid w:val="00D419F5"/>
    <w:rsid w:val="00D41ACB"/>
    <w:rsid w:val="00D42002"/>
    <w:rsid w:val="00D424A3"/>
    <w:rsid w:val="00D42AB6"/>
    <w:rsid w:val="00D42B16"/>
    <w:rsid w:val="00D42D34"/>
    <w:rsid w:val="00D43025"/>
    <w:rsid w:val="00D43A44"/>
    <w:rsid w:val="00D44203"/>
    <w:rsid w:val="00D44483"/>
    <w:rsid w:val="00D444FD"/>
    <w:rsid w:val="00D44672"/>
    <w:rsid w:val="00D44F91"/>
    <w:rsid w:val="00D45604"/>
    <w:rsid w:val="00D45662"/>
    <w:rsid w:val="00D45A56"/>
    <w:rsid w:val="00D45E8D"/>
    <w:rsid w:val="00D45F13"/>
    <w:rsid w:val="00D45F7E"/>
    <w:rsid w:val="00D45FC2"/>
    <w:rsid w:val="00D46026"/>
    <w:rsid w:val="00D461F3"/>
    <w:rsid w:val="00D46796"/>
    <w:rsid w:val="00D4698C"/>
    <w:rsid w:val="00D469D2"/>
    <w:rsid w:val="00D46CB0"/>
    <w:rsid w:val="00D46D00"/>
    <w:rsid w:val="00D47423"/>
    <w:rsid w:val="00D474B8"/>
    <w:rsid w:val="00D476D4"/>
    <w:rsid w:val="00D47718"/>
    <w:rsid w:val="00D47983"/>
    <w:rsid w:val="00D47C59"/>
    <w:rsid w:val="00D47E51"/>
    <w:rsid w:val="00D50274"/>
    <w:rsid w:val="00D51861"/>
    <w:rsid w:val="00D51BB6"/>
    <w:rsid w:val="00D51FB1"/>
    <w:rsid w:val="00D520E4"/>
    <w:rsid w:val="00D526FA"/>
    <w:rsid w:val="00D52E51"/>
    <w:rsid w:val="00D52E9F"/>
    <w:rsid w:val="00D52F4B"/>
    <w:rsid w:val="00D5305A"/>
    <w:rsid w:val="00D53115"/>
    <w:rsid w:val="00D53427"/>
    <w:rsid w:val="00D538B0"/>
    <w:rsid w:val="00D539A2"/>
    <w:rsid w:val="00D53B7C"/>
    <w:rsid w:val="00D53D88"/>
    <w:rsid w:val="00D53FF6"/>
    <w:rsid w:val="00D54884"/>
    <w:rsid w:val="00D549F1"/>
    <w:rsid w:val="00D54A75"/>
    <w:rsid w:val="00D5506C"/>
    <w:rsid w:val="00D560DF"/>
    <w:rsid w:val="00D56CE7"/>
    <w:rsid w:val="00D56CEE"/>
    <w:rsid w:val="00D56D44"/>
    <w:rsid w:val="00D574B2"/>
    <w:rsid w:val="00D57AF8"/>
    <w:rsid w:val="00D57B64"/>
    <w:rsid w:val="00D57C2D"/>
    <w:rsid w:val="00D57D20"/>
    <w:rsid w:val="00D57EBF"/>
    <w:rsid w:val="00D60042"/>
    <w:rsid w:val="00D60168"/>
    <w:rsid w:val="00D601BC"/>
    <w:rsid w:val="00D601D0"/>
    <w:rsid w:val="00D60612"/>
    <w:rsid w:val="00D60BBA"/>
    <w:rsid w:val="00D60D52"/>
    <w:rsid w:val="00D6127F"/>
    <w:rsid w:val="00D6187C"/>
    <w:rsid w:val="00D61B15"/>
    <w:rsid w:val="00D61B89"/>
    <w:rsid w:val="00D61CFA"/>
    <w:rsid w:val="00D625A9"/>
    <w:rsid w:val="00D629D5"/>
    <w:rsid w:val="00D62ADE"/>
    <w:rsid w:val="00D62AEA"/>
    <w:rsid w:val="00D62C66"/>
    <w:rsid w:val="00D62F14"/>
    <w:rsid w:val="00D6348F"/>
    <w:rsid w:val="00D635A1"/>
    <w:rsid w:val="00D6374E"/>
    <w:rsid w:val="00D63EA0"/>
    <w:rsid w:val="00D64E0E"/>
    <w:rsid w:val="00D64E7A"/>
    <w:rsid w:val="00D65401"/>
    <w:rsid w:val="00D655D3"/>
    <w:rsid w:val="00D65E7B"/>
    <w:rsid w:val="00D65ED0"/>
    <w:rsid w:val="00D66058"/>
    <w:rsid w:val="00D6627D"/>
    <w:rsid w:val="00D6670B"/>
    <w:rsid w:val="00D6689B"/>
    <w:rsid w:val="00D66FBD"/>
    <w:rsid w:val="00D6700C"/>
    <w:rsid w:val="00D670CB"/>
    <w:rsid w:val="00D671FB"/>
    <w:rsid w:val="00D67532"/>
    <w:rsid w:val="00D67C5E"/>
    <w:rsid w:val="00D7019F"/>
    <w:rsid w:val="00D703FB"/>
    <w:rsid w:val="00D704B3"/>
    <w:rsid w:val="00D707DE"/>
    <w:rsid w:val="00D70B1C"/>
    <w:rsid w:val="00D70C72"/>
    <w:rsid w:val="00D70CC9"/>
    <w:rsid w:val="00D70FB3"/>
    <w:rsid w:val="00D71961"/>
    <w:rsid w:val="00D71BC2"/>
    <w:rsid w:val="00D7215A"/>
    <w:rsid w:val="00D72321"/>
    <w:rsid w:val="00D72708"/>
    <w:rsid w:val="00D736BA"/>
    <w:rsid w:val="00D737B8"/>
    <w:rsid w:val="00D7388D"/>
    <w:rsid w:val="00D73C65"/>
    <w:rsid w:val="00D73FA6"/>
    <w:rsid w:val="00D74165"/>
    <w:rsid w:val="00D74443"/>
    <w:rsid w:val="00D745C8"/>
    <w:rsid w:val="00D74733"/>
    <w:rsid w:val="00D747A3"/>
    <w:rsid w:val="00D74A5F"/>
    <w:rsid w:val="00D74B00"/>
    <w:rsid w:val="00D754F7"/>
    <w:rsid w:val="00D75555"/>
    <w:rsid w:val="00D757C5"/>
    <w:rsid w:val="00D75E84"/>
    <w:rsid w:val="00D776C0"/>
    <w:rsid w:val="00D7777D"/>
    <w:rsid w:val="00D777A1"/>
    <w:rsid w:val="00D77A2C"/>
    <w:rsid w:val="00D77C3F"/>
    <w:rsid w:val="00D77DF1"/>
    <w:rsid w:val="00D8009E"/>
    <w:rsid w:val="00D805F6"/>
    <w:rsid w:val="00D80905"/>
    <w:rsid w:val="00D81085"/>
    <w:rsid w:val="00D81090"/>
    <w:rsid w:val="00D81714"/>
    <w:rsid w:val="00D81CBB"/>
    <w:rsid w:val="00D81CD1"/>
    <w:rsid w:val="00D825C9"/>
    <w:rsid w:val="00D82681"/>
    <w:rsid w:val="00D82BD9"/>
    <w:rsid w:val="00D82C53"/>
    <w:rsid w:val="00D82CBB"/>
    <w:rsid w:val="00D82D12"/>
    <w:rsid w:val="00D82F0F"/>
    <w:rsid w:val="00D83094"/>
    <w:rsid w:val="00D83CF4"/>
    <w:rsid w:val="00D83FCE"/>
    <w:rsid w:val="00D846E2"/>
    <w:rsid w:val="00D84877"/>
    <w:rsid w:val="00D84FB4"/>
    <w:rsid w:val="00D8516E"/>
    <w:rsid w:val="00D851EE"/>
    <w:rsid w:val="00D85872"/>
    <w:rsid w:val="00D85A79"/>
    <w:rsid w:val="00D86128"/>
    <w:rsid w:val="00D8613B"/>
    <w:rsid w:val="00D86709"/>
    <w:rsid w:val="00D86E9B"/>
    <w:rsid w:val="00D86EA5"/>
    <w:rsid w:val="00D86F51"/>
    <w:rsid w:val="00D87046"/>
    <w:rsid w:val="00D87576"/>
    <w:rsid w:val="00D87634"/>
    <w:rsid w:val="00D8783A"/>
    <w:rsid w:val="00D87BFE"/>
    <w:rsid w:val="00D87C38"/>
    <w:rsid w:val="00D87D4B"/>
    <w:rsid w:val="00D87E56"/>
    <w:rsid w:val="00D87ECA"/>
    <w:rsid w:val="00D9016D"/>
    <w:rsid w:val="00D906E9"/>
    <w:rsid w:val="00D908A8"/>
    <w:rsid w:val="00D91701"/>
    <w:rsid w:val="00D91DB5"/>
    <w:rsid w:val="00D922CB"/>
    <w:rsid w:val="00D925F6"/>
    <w:rsid w:val="00D927A2"/>
    <w:rsid w:val="00D92AE1"/>
    <w:rsid w:val="00D9317B"/>
    <w:rsid w:val="00D93774"/>
    <w:rsid w:val="00D937CB"/>
    <w:rsid w:val="00D9388E"/>
    <w:rsid w:val="00D93BA3"/>
    <w:rsid w:val="00D93E34"/>
    <w:rsid w:val="00D943E4"/>
    <w:rsid w:val="00D94912"/>
    <w:rsid w:val="00D94C21"/>
    <w:rsid w:val="00D95637"/>
    <w:rsid w:val="00D95C9D"/>
    <w:rsid w:val="00D95D80"/>
    <w:rsid w:val="00D96251"/>
    <w:rsid w:val="00D9680B"/>
    <w:rsid w:val="00D96B7F"/>
    <w:rsid w:val="00D96F09"/>
    <w:rsid w:val="00D97C9F"/>
    <w:rsid w:val="00D97D95"/>
    <w:rsid w:val="00D97F0E"/>
    <w:rsid w:val="00DA0858"/>
    <w:rsid w:val="00DA0C4A"/>
    <w:rsid w:val="00DA0E52"/>
    <w:rsid w:val="00DA1523"/>
    <w:rsid w:val="00DA1899"/>
    <w:rsid w:val="00DA19CF"/>
    <w:rsid w:val="00DA1BBB"/>
    <w:rsid w:val="00DA1D59"/>
    <w:rsid w:val="00DA1F25"/>
    <w:rsid w:val="00DA201B"/>
    <w:rsid w:val="00DA21A0"/>
    <w:rsid w:val="00DA24B7"/>
    <w:rsid w:val="00DA283C"/>
    <w:rsid w:val="00DA2B5D"/>
    <w:rsid w:val="00DA2FC8"/>
    <w:rsid w:val="00DA30DE"/>
    <w:rsid w:val="00DA336A"/>
    <w:rsid w:val="00DA3729"/>
    <w:rsid w:val="00DA38CB"/>
    <w:rsid w:val="00DA3AA8"/>
    <w:rsid w:val="00DA3D9D"/>
    <w:rsid w:val="00DA403F"/>
    <w:rsid w:val="00DA412B"/>
    <w:rsid w:val="00DA42D5"/>
    <w:rsid w:val="00DA434D"/>
    <w:rsid w:val="00DA46E4"/>
    <w:rsid w:val="00DA4CF9"/>
    <w:rsid w:val="00DA4EDD"/>
    <w:rsid w:val="00DA50A2"/>
    <w:rsid w:val="00DA50CA"/>
    <w:rsid w:val="00DA5D61"/>
    <w:rsid w:val="00DA633F"/>
    <w:rsid w:val="00DA64F7"/>
    <w:rsid w:val="00DA68E7"/>
    <w:rsid w:val="00DA6CD7"/>
    <w:rsid w:val="00DA721D"/>
    <w:rsid w:val="00DA72C9"/>
    <w:rsid w:val="00DA7474"/>
    <w:rsid w:val="00DA7B6D"/>
    <w:rsid w:val="00DA7BB7"/>
    <w:rsid w:val="00DB03DC"/>
    <w:rsid w:val="00DB04D1"/>
    <w:rsid w:val="00DB07DA"/>
    <w:rsid w:val="00DB099F"/>
    <w:rsid w:val="00DB0C78"/>
    <w:rsid w:val="00DB0EC9"/>
    <w:rsid w:val="00DB170D"/>
    <w:rsid w:val="00DB17B1"/>
    <w:rsid w:val="00DB1F40"/>
    <w:rsid w:val="00DB20A7"/>
    <w:rsid w:val="00DB212B"/>
    <w:rsid w:val="00DB21D5"/>
    <w:rsid w:val="00DB278D"/>
    <w:rsid w:val="00DB2AE3"/>
    <w:rsid w:val="00DB2D33"/>
    <w:rsid w:val="00DB30F9"/>
    <w:rsid w:val="00DB31CA"/>
    <w:rsid w:val="00DB31E0"/>
    <w:rsid w:val="00DB3360"/>
    <w:rsid w:val="00DB3F0C"/>
    <w:rsid w:val="00DB406D"/>
    <w:rsid w:val="00DB43E7"/>
    <w:rsid w:val="00DB4813"/>
    <w:rsid w:val="00DB4858"/>
    <w:rsid w:val="00DB48A4"/>
    <w:rsid w:val="00DB51CE"/>
    <w:rsid w:val="00DB565B"/>
    <w:rsid w:val="00DB611B"/>
    <w:rsid w:val="00DB6A15"/>
    <w:rsid w:val="00DB6C41"/>
    <w:rsid w:val="00DB6C86"/>
    <w:rsid w:val="00DB6E06"/>
    <w:rsid w:val="00DB6E2F"/>
    <w:rsid w:val="00DB6ED7"/>
    <w:rsid w:val="00DB748E"/>
    <w:rsid w:val="00DB750E"/>
    <w:rsid w:val="00DB7812"/>
    <w:rsid w:val="00DB7BC1"/>
    <w:rsid w:val="00DC002A"/>
    <w:rsid w:val="00DC0030"/>
    <w:rsid w:val="00DC09BC"/>
    <w:rsid w:val="00DC0A22"/>
    <w:rsid w:val="00DC0C3E"/>
    <w:rsid w:val="00DC1326"/>
    <w:rsid w:val="00DC14E4"/>
    <w:rsid w:val="00DC15F1"/>
    <w:rsid w:val="00DC1C4C"/>
    <w:rsid w:val="00DC1F78"/>
    <w:rsid w:val="00DC2290"/>
    <w:rsid w:val="00DC22A2"/>
    <w:rsid w:val="00DC22A3"/>
    <w:rsid w:val="00DC2E35"/>
    <w:rsid w:val="00DC3515"/>
    <w:rsid w:val="00DC37EE"/>
    <w:rsid w:val="00DC3883"/>
    <w:rsid w:val="00DC3A7A"/>
    <w:rsid w:val="00DC3F8E"/>
    <w:rsid w:val="00DC4043"/>
    <w:rsid w:val="00DC440B"/>
    <w:rsid w:val="00DC4542"/>
    <w:rsid w:val="00DC4953"/>
    <w:rsid w:val="00DC4A3E"/>
    <w:rsid w:val="00DC4FE5"/>
    <w:rsid w:val="00DC523B"/>
    <w:rsid w:val="00DC58B9"/>
    <w:rsid w:val="00DC610B"/>
    <w:rsid w:val="00DC6D40"/>
    <w:rsid w:val="00DC6F9A"/>
    <w:rsid w:val="00DC75F0"/>
    <w:rsid w:val="00DC77A4"/>
    <w:rsid w:val="00DC7892"/>
    <w:rsid w:val="00DC7A40"/>
    <w:rsid w:val="00DC7BBC"/>
    <w:rsid w:val="00DC7BF4"/>
    <w:rsid w:val="00DC7F34"/>
    <w:rsid w:val="00DD0383"/>
    <w:rsid w:val="00DD0504"/>
    <w:rsid w:val="00DD08E5"/>
    <w:rsid w:val="00DD0943"/>
    <w:rsid w:val="00DD0C46"/>
    <w:rsid w:val="00DD0EFD"/>
    <w:rsid w:val="00DD158E"/>
    <w:rsid w:val="00DD17E2"/>
    <w:rsid w:val="00DD19F6"/>
    <w:rsid w:val="00DD1A3C"/>
    <w:rsid w:val="00DD1B1E"/>
    <w:rsid w:val="00DD1CAE"/>
    <w:rsid w:val="00DD1DD1"/>
    <w:rsid w:val="00DD2651"/>
    <w:rsid w:val="00DD2753"/>
    <w:rsid w:val="00DD2C3C"/>
    <w:rsid w:val="00DD2D0F"/>
    <w:rsid w:val="00DD2EF7"/>
    <w:rsid w:val="00DD31A3"/>
    <w:rsid w:val="00DD35B5"/>
    <w:rsid w:val="00DD397F"/>
    <w:rsid w:val="00DD39CA"/>
    <w:rsid w:val="00DD3E7D"/>
    <w:rsid w:val="00DD4076"/>
    <w:rsid w:val="00DD5509"/>
    <w:rsid w:val="00DD5A89"/>
    <w:rsid w:val="00DD5CA6"/>
    <w:rsid w:val="00DD5EE4"/>
    <w:rsid w:val="00DD5F25"/>
    <w:rsid w:val="00DD6060"/>
    <w:rsid w:val="00DD6165"/>
    <w:rsid w:val="00DD62A4"/>
    <w:rsid w:val="00DD62F8"/>
    <w:rsid w:val="00DD64C6"/>
    <w:rsid w:val="00DD64DB"/>
    <w:rsid w:val="00DD692C"/>
    <w:rsid w:val="00DD6A66"/>
    <w:rsid w:val="00DD6BC3"/>
    <w:rsid w:val="00DD6C70"/>
    <w:rsid w:val="00DD7257"/>
    <w:rsid w:val="00DD7907"/>
    <w:rsid w:val="00DD7A65"/>
    <w:rsid w:val="00DD7B20"/>
    <w:rsid w:val="00DE0234"/>
    <w:rsid w:val="00DE0489"/>
    <w:rsid w:val="00DE09F0"/>
    <w:rsid w:val="00DE0A33"/>
    <w:rsid w:val="00DE0D00"/>
    <w:rsid w:val="00DE12FD"/>
    <w:rsid w:val="00DE15AA"/>
    <w:rsid w:val="00DE1821"/>
    <w:rsid w:val="00DE1938"/>
    <w:rsid w:val="00DE1C4B"/>
    <w:rsid w:val="00DE1EEA"/>
    <w:rsid w:val="00DE2385"/>
    <w:rsid w:val="00DE2D1D"/>
    <w:rsid w:val="00DE310F"/>
    <w:rsid w:val="00DE345A"/>
    <w:rsid w:val="00DE3A2E"/>
    <w:rsid w:val="00DE3B25"/>
    <w:rsid w:val="00DE3D70"/>
    <w:rsid w:val="00DE43D2"/>
    <w:rsid w:val="00DE44A5"/>
    <w:rsid w:val="00DE458D"/>
    <w:rsid w:val="00DE47C2"/>
    <w:rsid w:val="00DE49EA"/>
    <w:rsid w:val="00DE4B99"/>
    <w:rsid w:val="00DE517D"/>
    <w:rsid w:val="00DE53D8"/>
    <w:rsid w:val="00DE56D5"/>
    <w:rsid w:val="00DE5799"/>
    <w:rsid w:val="00DE588C"/>
    <w:rsid w:val="00DE5C54"/>
    <w:rsid w:val="00DE5FEF"/>
    <w:rsid w:val="00DE617D"/>
    <w:rsid w:val="00DE6461"/>
    <w:rsid w:val="00DE6DB6"/>
    <w:rsid w:val="00DE6F63"/>
    <w:rsid w:val="00DE6F7D"/>
    <w:rsid w:val="00DE7295"/>
    <w:rsid w:val="00DE7310"/>
    <w:rsid w:val="00DE73F9"/>
    <w:rsid w:val="00DE766F"/>
    <w:rsid w:val="00DE79C3"/>
    <w:rsid w:val="00DE7C25"/>
    <w:rsid w:val="00DE7D44"/>
    <w:rsid w:val="00DE7D8D"/>
    <w:rsid w:val="00DE7EE9"/>
    <w:rsid w:val="00DE7FBF"/>
    <w:rsid w:val="00DF041D"/>
    <w:rsid w:val="00DF088D"/>
    <w:rsid w:val="00DF094F"/>
    <w:rsid w:val="00DF0E43"/>
    <w:rsid w:val="00DF1219"/>
    <w:rsid w:val="00DF149B"/>
    <w:rsid w:val="00DF15F8"/>
    <w:rsid w:val="00DF1942"/>
    <w:rsid w:val="00DF1B6E"/>
    <w:rsid w:val="00DF1DD3"/>
    <w:rsid w:val="00DF21DD"/>
    <w:rsid w:val="00DF2406"/>
    <w:rsid w:val="00DF2655"/>
    <w:rsid w:val="00DF2743"/>
    <w:rsid w:val="00DF2ECA"/>
    <w:rsid w:val="00DF3143"/>
    <w:rsid w:val="00DF31B9"/>
    <w:rsid w:val="00DF3276"/>
    <w:rsid w:val="00DF34B3"/>
    <w:rsid w:val="00DF36A5"/>
    <w:rsid w:val="00DF4677"/>
    <w:rsid w:val="00DF493F"/>
    <w:rsid w:val="00DF4F49"/>
    <w:rsid w:val="00DF50D3"/>
    <w:rsid w:val="00DF5359"/>
    <w:rsid w:val="00DF53C5"/>
    <w:rsid w:val="00DF5606"/>
    <w:rsid w:val="00DF5731"/>
    <w:rsid w:val="00DF58EE"/>
    <w:rsid w:val="00DF595D"/>
    <w:rsid w:val="00DF6433"/>
    <w:rsid w:val="00DF6482"/>
    <w:rsid w:val="00DF64AB"/>
    <w:rsid w:val="00DF6742"/>
    <w:rsid w:val="00DF6CE7"/>
    <w:rsid w:val="00DF6E24"/>
    <w:rsid w:val="00DF6E2B"/>
    <w:rsid w:val="00DF78B4"/>
    <w:rsid w:val="00DF7BF3"/>
    <w:rsid w:val="00DF7FD1"/>
    <w:rsid w:val="00DF7FE7"/>
    <w:rsid w:val="00E00833"/>
    <w:rsid w:val="00E00D91"/>
    <w:rsid w:val="00E01232"/>
    <w:rsid w:val="00E01355"/>
    <w:rsid w:val="00E01ABF"/>
    <w:rsid w:val="00E01DF7"/>
    <w:rsid w:val="00E01FA1"/>
    <w:rsid w:val="00E0219A"/>
    <w:rsid w:val="00E024BB"/>
    <w:rsid w:val="00E026CD"/>
    <w:rsid w:val="00E02BA1"/>
    <w:rsid w:val="00E02BCF"/>
    <w:rsid w:val="00E02F54"/>
    <w:rsid w:val="00E03027"/>
    <w:rsid w:val="00E0349E"/>
    <w:rsid w:val="00E03540"/>
    <w:rsid w:val="00E037A7"/>
    <w:rsid w:val="00E0479D"/>
    <w:rsid w:val="00E04BF6"/>
    <w:rsid w:val="00E04D8C"/>
    <w:rsid w:val="00E04F83"/>
    <w:rsid w:val="00E0519D"/>
    <w:rsid w:val="00E05B58"/>
    <w:rsid w:val="00E05E20"/>
    <w:rsid w:val="00E060B2"/>
    <w:rsid w:val="00E061F3"/>
    <w:rsid w:val="00E062F4"/>
    <w:rsid w:val="00E06448"/>
    <w:rsid w:val="00E06938"/>
    <w:rsid w:val="00E06AA9"/>
    <w:rsid w:val="00E06DD3"/>
    <w:rsid w:val="00E06F6A"/>
    <w:rsid w:val="00E076D4"/>
    <w:rsid w:val="00E0784E"/>
    <w:rsid w:val="00E07A0C"/>
    <w:rsid w:val="00E108E9"/>
    <w:rsid w:val="00E10DF7"/>
    <w:rsid w:val="00E11498"/>
    <w:rsid w:val="00E11631"/>
    <w:rsid w:val="00E11BAB"/>
    <w:rsid w:val="00E11D88"/>
    <w:rsid w:val="00E12364"/>
    <w:rsid w:val="00E12481"/>
    <w:rsid w:val="00E12C88"/>
    <w:rsid w:val="00E12D59"/>
    <w:rsid w:val="00E12E52"/>
    <w:rsid w:val="00E13248"/>
    <w:rsid w:val="00E134D9"/>
    <w:rsid w:val="00E13B0F"/>
    <w:rsid w:val="00E13BDE"/>
    <w:rsid w:val="00E13C92"/>
    <w:rsid w:val="00E14132"/>
    <w:rsid w:val="00E142ED"/>
    <w:rsid w:val="00E14337"/>
    <w:rsid w:val="00E1467A"/>
    <w:rsid w:val="00E148F9"/>
    <w:rsid w:val="00E14C95"/>
    <w:rsid w:val="00E14D65"/>
    <w:rsid w:val="00E1516E"/>
    <w:rsid w:val="00E15177"/>
    <w:rsid w:val="00E15310"/>
    <w:rsid w:val="00E154A4"/>
    <w:rsid w:val="00E15503"/>
    <w:rsid w:val="00E15665"/>
    <w:rsid w:val="00E156D8"/>
    <w:rsid w:val="00E15DBD"/>
    <w:rsid w:val="00E15E51"/>
    <w:rsid w:val="00E15FED"/>
    <w:rsid w:val="00E16245"/>
    <w:rsid w:val="00E1640B"/>
    <w:rsid w:val="00E165C4"/>
    <w:rsid w:val="00E16A24"/>
    <w:rsid w:val="00E16C55"/>
    <w:rsid w:val="00E16CF1"/>
    <w:rsid w:val="00E16F32"/>
    <w:rsid w:val="00E17195"/>
    <w:rsid w:val="00E172C3"/>
    <w:rsid w:val="00E1777D"/>
    <w:rsid w:val="00E178A0"/>
    <w:rsid w:val="00E17A9D"/>
    <w:rsid w:val="00E20306"/>
    <w:rsid w:val="00E20398"/>
    <w:rsid w:val="00E2041A"/>
    <w:rsid w:val="00E20679"/>
    <w:rsid w:val="00E20E78"/>
    <w:rsid w:val="00E2108F"/>
    <w:rsid w:val="00E21120"/>
    <w:rsid w:val="00E21556"/>
    <w:rsid w:val="00E21A67"/>
    <w:rsid w:val="00E21E3F"/>
    <w:rsid w:val="00E22264"/>
    <w:rsid w:val="00E225D7"/>
    <w:rsid w:val="00E22EA4"/>
    <w:rsid w:val="00E22F66"/>
    <w:rsid w:val="00E22FA5"/>
    <w:rsid w:val="00E231E5"/>
    <w:rsid w:val="00E23284"/>
    <w:rsid w:val="00E239BA"/>
    <w:rsid w:val="00E23A7D"/>
    <w:rsid w:val="00E23C29"/>
    <w:rsid w:val="00E23E2B"/>
    <w:rsid w:val="00E24027"/>
    <w:rsid w:val="00E241E2"/>
    <w:rsid w:val="00E24AF9"/>
    <w:rsid w:val="00E24D88"/>
    <w:rsid w:val="00E24E48"/>
    <w:rsid w:val="00E24E75"/>
    <w:rsid w:val="00E2540D"/>
    <w:rsid w:val="00E25438"/>
    <w:rsid w:val="00E25514"/>
    <w:rsid w:val="00E2578B"/>
    <w:rsid w:val="00E2583E"/>
    <w:rsid w:val="00E258BB"/>
    <w:rsid w:val="00E25A7E"/>
    <w:rsid w:val="00E25EC8"/>
    <w:rsid w:val="00E26240"/>
    <w:rsid w:val="00E265A4"/>
    <w:rsid w:val="00E26978"/>
    <w:rsid w:val="00E26D4D"/>
    <w:rsid w:val="00E275AA"/>
    <w:rsid w:val="00E275BF"/>
    <w:rsid w:val="00E27E96"/>
    <w:rsid w:val="00E30240"/>
    <w:rsid w:val="00E303E3"/>
    <w:rsid w:val="00E30BCF"/>
    <w:rsid w:val="00E310D2"/>
    <w:rsid w:val="00E31652"/>
    <w:rsid w:val="00E319B4"/>
    <w:rsid w:val="00E31BC2"/>
    <w:rsid w:val="00E31D46"/>
    <w:rsid w:val="00E32234"/>
    <w:rsid w:val="00E322DE"/>
    <w:rsid w:val="00E328AA"/>
    <w:rsid w:val="00E328B0"/>
    <w:rsid w:val="00E32D05"/>
    <w:rsid w:val="00E32D25"/>
    <w:rsid w:val="00E32E2F"/>
    <w:rsid w:val="00E32EFB"/>
    <w:rsid w:val="00E333F0"/>
    <w:rsid w:val="00E33605"/>
    <w:rsid w:val="00E33A5B"/>
    <w:rsid w:val="00E33EDE"/>
    <w:rsid w:val="00E3433B"/>
    <w:rsid w:val="00E34515"/>
    <w:rsid w:val="00E347B2"/>
    <w:rsid w:val="00E34E45"/>
    <w:rsid w:val="00E3515A"/>
    <w:rsid w:val="00E35837"/>
    <w:rsid w:val="00E358C7"/>
    <w:rsid w:val="00E35CCF"/>
    <w:rsid w:val="00E36047"/>
    <w:rsid w:val="00E363E9"/>
    <w:rsid w:val="00E365CB"/>
    <w:rsid w:val="00E36971"/>
    <w:rsid w:val="00E36F65"/>
    <w:rsid w:val="00E3709C"/>
    <w:rsid w:val="00E373B8"/>
    <w:rsid w:val="00E3753E"/>
    <w:rsid w:val="00E37D61"/>
    <w:rsid w:val="00E37F84"/>
    <w:rsid w:val="00E40B2A"/>
    <w:rsid w:val="00E40BF5"/>
    <w:rsid w:val="00E40D1F"/>
    <w:rsid w:val="00E41714"/>
    <w:rsid w:val="00E419A3"/>
    <w:rsid w:val="00E41BFD"/>
    <w:rsid w:val="00E42775"/>
    <w:rsid w:val="00E430B9"/>
    <w:rsid w:val="00E43256"/>
    <w:rsid w:val="00E436B0"/>
    <w:rsid w:val="00E43B25"/>
    <w:rsid w:val="00E43B56"/>
    <w:rsid w:val="00E43EDA"/>
    <w:rsid w:val="00E43F41"/>
    <w:rsid w:val="00E44125"/>
    <w:rsid w:val="00E4431C"/>
    <w:rsid w:val="00E443BF"/>
    <w:rsid w:val="00E44676"/>
    <w:rsid w:val="00E4499E"/>
    <w:rsid w:val="00E44DC8"/>
    <w:rsid w:val="00E44EEF"/>
    <w:rsid w:val="00E4551D"/>
    <w:rsid w:val="00E45707"/>
    <w:rsid w:val="00E4577C"/>
    <w:rsid w:val="00E457D5"/>
    <w:rsid w:val="00E45A40"/>
    <w:rsid w:val="00E45B6B"/>
    <w:rsid w:val="00E460CE"/>
    <w:rsid w:val="00E4613D"/>
    <w:rsid w:val="00E46572"/>
    <w:rsid w:val="00E46636"/>
    <w:rsid w:val="00E46711"/>
    <w:rsid w:val="00E46E13"/>
    <w:rsid w:val="00E47038"/>
    <w:rsid w:val="00E47410"/>
    <w:rsid w:val="00E47586"/>
    <w:rsid w:val="00E509C9"/>
    <w:rsid w:val="00E50BA2"/>
    <w:rsid w:val="00E50D61"/>
    <w:rsid w:val="00E5127D"/>
    <w:rsid w:val="00E51567"/>
    <w:rsid w:val="00E515DA"/>
    <w:rsid w:val="00E5165A"/>
    <w:rsid w:val="00E51974"/>
    <w:rsid w:val="00E51B13"/>
    <w:rsid w:val="00E5251B"/>
    <w:rsid w:val="00E5272C"/>
    <w:rsid w:val="00E5273A"/>
    <w:rsid w:val="00E528C8"/>
    <w:rsid w:val="00E528D2"/>
    <w:rsid w:val="00E52BEA"/>
    <w:rsid w:val="00E535D8"/>
    <w:rsid w:val="00E53AE7"/>
    <w:rsid w:val="00E53BB5"/>
    <w:rsid w:val="00E53CD7"/>
    <w:rsid w:val="00E54458"/>
    <w:rsid w:val="00E546CF"/>
    <w:rsid w:val="00E549F9"/>
    <w:rsid w:val="00E54CAA"/>
    <w:rsid w:val="00E54CB6"/>
    <w:rsid w:val="00E5525E"/>
    <w:rsid w:val="00E55B73"/>
    <w:rsid w:val="00E55F07"/>
    <w:rsid w:val="00E55F29"/>
    <w:rsid w:val="00E56594"/>
    <w:rsid w:val="00E566E5"/>
    <w:rsid w:val="00E5698B"/>
    <w:rsid w:val="00E56AF1"/>
    <w:rsid w:val="00E56C84"/>
    <w:rsid w:val="00E57C48"/>
    <w:rsid w:val="00E57DE6"/>
    <w:rsid w:val="00E57E4F"/>
    <w:rsid w:val="00E60035"/>
    <w:rsid w:val="00E6032A"/>
    <w:rsid w:val="00E6044F"/>
    <w:rsid w:val="00E608BA"/>
    <w:rsid w:val="00E609D8"/>
    <w:rsid w:val="00E60A0B"/>
    <w:rsid w:val="00E6104E"/>
    <w:rsid w:val="00E61169"/>
    <w:rsid w:val="00E61F21"/>
    <w:rsid w:val="00E61F35"/>
    <w:rsid w:val="00E62045"/>
    <w:rsid w:val="00E629B6"/>
    <w:rsid w:val="00E62B58"/>
    <w:rsid w:val="00E62BD5"/>
    <w:rsid w:val="00E62CFD"/>
    <w:rsid w:val="00E62E47"/>
    <w:rsid w:val="00E634C9"/>
    <w:rsid w:val="00E638A5"/>
    <w:rsid w:val="00E63B6E"/>
    <w:rsid w:val="00E63B9C"/>
    <w:rsid w:val="00E6418D"/>
    <w:rsid w:val="00E64530"/>
    <w:rsid w:val="00E6466E"/>
    <w:rsid w:val="00E64E36"/>
    <w:rsid w:val="00E65287"/>
    <w:rsid w:val="00E658BF"/>
    <w:rsid w:val="00E66304"/>
    <w:rsid w:val="00E66408"/>
    <w:rsid w:val="00E6678C"/>
    <w:rsid w:val="00E66939"/>
    <w:rsid w:val="00E66BA4"/>
    <w:rsid w:val="00E671A9"/>
    <w:rsid w:val="00E675B1"/>
    <w:rsid w:val="00E67B0F"/>
    <w:rsid w:val="00E67B95"/>
    <w:rsid w:val="00E706D4"/>
    <w:rsid w:val="00E70AFD"/>
    <w:rsid w:val="00E71335"/>
    <w:rsid w:val="00E71351"/>
    <w:rsid w:val="00E719C1"/>
    <w:rsid w:val="00E71B10"/>
    <w:rsid w:val="00E71DD5"/>
    <w:rsid w:val="00E724A8"/>
    <w:rsid w:val="00E72554"/>
    <w:rsid w:val="00E72712"/>
    <w:rsid w:val="00E727CC"/>
    <w:rsid w:val="00E727DD"/>
    <w:rsid w:val="00E72847"/>
    <w:rsid w:val="00E72DF7"/>
    <w:rsid w:val="00E72FC0"/>
    <w:rsid w:val="00E73410"/>
    <w:rsid w:val="00E73760"/>
    <w:rsid w:val="00E73B27"/>
    <w:rsid w:val="00E73E46"/>
    <w:rsid w:val="00E7405E"/>
    <w:rsid w:val="00E741DD"/>
    <w:rsid w:val="00E744F3"/>
    <w:rsid w:val="00E7465B"/>
    <w:rsid w:val="00E74997"/>
    <w:rsid w:val="00E74C34"/>
    <w:rsid w:val="00E74D3B"/>
    <w:rsid w:val="00E7506D"/>
    <w:rsid w:val="00E756BF"/>
    <w:rsid w:val="00E75C78"/>
    <w:rsid w:val="00E75C7F"/>
    <w:rsid w:val="00E760B4"/>
    <w:rsid w:val="00E763D2"/>
    <w:rsid w:val="00E765AE"/>
    <w:rsid w:val="00E76A5A"/>
    <w:rsid w:val="00E76F8F"/>
    <w:rsid w:val="00E7743C"/>
    <w:rsid w:val="00E77483"/>
    <w:rsid w:val="00E77C60"/>
    <w:rsid w:val="00E801D1"/>
    <w:rsid w:val="00E80953"/>
    <w:rsid w:val="00E80BA7"/>
    <w:rsid w:val="00E811E5"/>
    <w:rsid w:val="00E81574"/>
    <w:rsid w:val="00E81758"/>
    <w:rsid w:val="00E819C3"/>
    <w:rsid w:val="00E82010"/>
    <w:rsid w:val="00E8218D"/>
    <w:rsid w:val="00E821D6"/>
    <w:rsid w:val="00E8252D"/>
    <w:rsid w:val="00E82554"/>
    <w:rsid w:val="00E82635"/>
    <w:rsid w:val="00E826CF"/>
    <w:rsid w:val="00E82C3C"/>
    <w:rsid w:val="00E82E9B"/>
    <w:rsid w:val="00E83056"/>
    <w:rsid w:val="00E830AA"/>
    <w:rsid w:val="00E835E7"/>
    <w:rsid w:val="00E839B2"/>
    <w:rsid w:val="00E83C6B"/>
    <w:rsid w:val="00E83FAA"/>
    <w:rsid w:val="00E84072"/>
    <w:rsid w:val="00E842D9"/>
    <w:rsid w:val="00E8431D"/>
    <w:rsid w:val="00E84654"/>
    <w:rsid w:val="00E84694"/>
    <w:rsid w:val="00E848C2"/>
    <w:rsid w:val="00E84945"/>
    <w:rsid w:val="00E84C0F"/>
    <w:rsid w:val="00E84F67"/>
    <w:rsid w:val="00E8579C"/>
    <w:rsid w:val="00E859CB"/>
    <w:rsid w:val="00E85FE5"/>
    <w:rsid w:val="00E8647A"/>
    <w:rsid w:val="00E86FD6"/>
    <w:rsid w:val="00E87001"/>
    <w:rsid w:val="00E87630"/>
    <w:rsid w:val="00E87A00"/>
    <w:rsid w:val="00E87B39"/>
    <w:rsid w:val="00E87C48"/>
    <w:rsid w:val="00E87E79"/>
    <w:rsid w:val="00E90278"/>
    <w:rsid w:val="00E9039D"/>
    <w:rsid w:val="00E9054A"/>
    <w:rsid w:val="00E90DA7"/>
    <w:rsid w:val="00E90E78"/>
    <w:rsid w:val="00E90FB7"/>
    <w:rsid w:val="00E9100B"/>
    <w:rsid w:val="00E913FF"/>
    <w:rsid w:val="00E9165A"/>
    <w:rsid w:val="00E91D02"/>
    <w:rsid w:val="00E92ABB"/>
    <w:rsid w:val="00E92CA2"/>
    <w:rsid w:val="00E92FCF"/>
    <w:rsid w:val="00E93171"/>
    <w:rsid w:val="00E932BE"/>
    <w:rsid w:val="00E93655"/>
    <w:rsid w:val="00E93733"/>
    <w:rsid w:val="00E93DF0"/>
    <w:rsid w:val="00E93F62"/>
    <w:rsid w:val="00E940CE"/>
    <w:rsid w:val="00E942FB"/>
    <w:rsid w:val="00E943F0"/>
    <w:rsid w:val="00E944EA"/>
    <w:rsid w:val="00E947D1"/>
    <w:rsid w:val="00E9484E"/>
    <w:rsid w:val="00E9488F"/>
    <w:rsid w:val="00E94C11"/>
    <w:rsid w:val="00E95995"/>
    <w:rsid w:val="00E95A50"/>
    <w:rsid w:val="00E95B8C"/>
    <w:rsid w:val="00E9601F"/>
    <w:rsid w:val="00E96241"/>
    <w:rsid w:val="00E963EB"/>
    <w:rsid w:val="00E96B35"/>
    <w:rsid w:val="00E96D1B"/>
    <w:rsid w:val="00E96ED1"/>
    <w:rsid w:val="00E96F39"/>
    <w:rsid w:val="00E96F55"/>
    <w:rsid w:val="00E96F85"/>
    <w:rsid w:val="00E9726D"/>
    <w:rsid w:val="00E974E1"/>
    <w:rsid w:val="00E976FD"/>
    <w:rsid w:val="00E97891"/>
    <w:rsid w:val="00E97BDB"/>
    <w:rsid w:val="00E97C5A"/>
    <w:rsid w:val="00EA04CC"/>
    <w:rsid w:val="00EA0B1D"/>
    <w:rsid w:val="00EA0E41"/>
    <w:rsid w:val="00EA11A0"/>
    <w:rsid w:val="00EA12EB"/>
    <w:rsid w:val="00EA13A1"/>
    <w:rsid w:val="00EA171A"/>
    <w:rsid w:val="00EA1818"/>
    <w:rsid w:val="00EA18F7"/>
    <w:rsid w:val="00EA1ED3"/>
    <w:rsid w:val="00EA21F6"/>
    <w:rsid w:val="00EA230E"/>
    <w:rsid w:val="00EA2462"/>
    <w:rsid w:val="00EA248A"/>
    <w:rsid w:val="00EA2F31"/>
    <w:rsid w:val="00EA2FB3"/>
    <w:rsid w:val="00EA32BD"/>
    <w:rsid w:val="00EA34AB"/>
    <w:rsid w:val="00EA37CC"/>
    <w:rsid w:val="00EA38E9"/>
    <w:rsid w:val="00EA3BBD"/>
    <w:rsid w:val="00EA4C99"/>
    <w:rsid w:val="00EA4CE4"/>
    <w:rsid w:val="00EA5439"/>
    <w:rsid w:val="00EA548C"/>
    <w:rsid w:val="00EA68C9"/>
    <w:rsid w:val="00EA6CDF"/>
    <w:rsid w:val="00EA71BF"/>
    <w:rsid w:val="00EA739D"/>
    <w:rsid w:val="00EA795B"/>
    <w:rsid w:val="00EA79C4"/>
    <w:rsid w:val="00EA7B08"/>
    <w:rsid w:val="00EA7C91"/>
    <w:rsid w:val="00EB0478"/>
    <w:rsid w:val="00EB07D0"/>
    <w:rsid w:val="00EB0884"/>
    <w:rsid w:val="00EB0C98"/>
    <w:rsid w:val="00EB0EC9"/>
    <w:rsid w:val="00EB0EF8"/>
    <w:rsid w:val="00EB111A"/>
    <w:rsid w:val="00EB128E"/>
    <w:rsid w:val="00EB1519"/>
    <w:rsid w:val="00EB1F78"/>
    <w:rsid w:val="00EB22E8"/>
    <w:rsid w:val="00EB2397"/>
    <w:rsid w:val="00EB23F8"/>
    <w:rsid w:val="00EB2472"/>
    <w:rsid w:val="00EB24D3"/>
    <w:rsid w:val="00EB26E2"/>
    <w:rsid w:val="00EB2887"/>
    <w:rsid w:val="00EB3074"/>
    <w:rsid w:val="00EB30A4"/>
    <w:rsid w:val="00EB3175"/>
    <w:rsid w:val="00EB31BB"/>
    <w:rsid w:val="00EB3948"/>
    <w:rsid w:val="00EB3A69"/>
    <w:rsid w:val="00EB3C23"/>
    <w:rsid w:val="00EB3F39"/>
    <w:rsid w:val="00EB43FD"/>
    <w:rsid w:val="00EB465B"/>
    <w:rsid w:val="00EB4895"/>
    <w:rsid w:val="00EB4BC1"/>
    <w:rsid w:val="00EB5164"/>
    <w:rsid w:val="00EB54F4"/>
    <w:rsid w:val="00EB555D"/>
    <w:rsid w:val="00EB5726"/>
    <w:rsid w:val="00EB5B1C"/>
    <w:rsid w:val="00EB5D02"/>
    <w:rsid w:val="00EB5E79"/>
    <w:rsid w:val="00EB5F03"/>
    <w:rsid w:val="00EB636F"/>
    <w:rsid w:val="00EB6453"/>
    <w:rsid w:val="00EB67A0"/>
    <w:rsid w:val="00EB6847"/>
    <w:rsid w:val="00EB6A3C"/>
    <w:rsid w:val="00EB6B96"/>
    <w:rsid w:val="00EB6C95"/>
    <w:rsid w:val="00EB6F5D"/>
    <w:rsid w:val="00EB7194"/>
    <w:rsid w:val="00EB7BBE"/>
    <w:rsid w:val="00EB7E49"/>
    <w:rsid w:val="00EC0730"/>
    <w:rsid w:val="00EC08D0"/>
    <w:rsid w:val="00EC09F4"/>
    <w:rsid w:val="00EC0B74"/>
    <w:rsid w:val="00EC1040"/>
    <w:rsid w:val="00EC1309"/>
    <w:rsid w:val="00EC152D"/>
    <w:rsid w:val="00EC1975"/>
    <w:rsid w:val="00EC19D9"/>
    <w:rsid w:val="00EC1FCB"/>
    <w:rsid w:val="00EC1FF5"/>
    <w:rsid w:val="00EC2656"/>
    <w:rsid w:val="00EC2A0C"/>
    <w:rsid w:val="00EC2FE4"/>
    <w:rsid w:val="00EC3DCE"/>
    <w:rsid w:val="00EC434E"/>
    <w:rsid w:val="00EC5888"/>
    <w:rsid w:val="00EC5B60"/>
    <w:rsid w:val="00EC5D4B"/>
    <w:rsid w:val="00EC5E95"/>
    <w:rsid w:val="00EC64CB"/>
    <w:rsid w:val="00EC64CE"/>
    <w:rsid w:val="00EC656A"/>
    <w:rsid w:val="00EC692D"/>
    <w:rsid w:val="00EC69DE"/>
    <w:rsid w:val="00EC6E93"/>
    <w:rsid w:val="00EC70A8"/>
    <w:rsid w:val="00EC7131"/>
    <w:rsid w:val="00EC7349"/>
    <w:rsid w:val="00EC73F5"/>
    <w:rsid w:val="00EC7807"/>
    <w:rsid w:val="00EC79AC"/>
    <w:rsid w:val="00EC7C0E"/>
    <w:rsid w:val="00EC7F20"/>
    <w:rsid w:val="00ED06AB"/>
    <w:rsid w:val="00ED096A"/>
    <w:rsid w:val="00ED0C7E"/>
    <w:rsid w:val="00ED0F77"/>
    <w:rsid w:val="00ED117C"/>
    <w:rsid w:val="00ED1739"/>
    <w:rsid w:val="00ED19C6"/>
    <w:rsid w:val="00ED1B41"/>
    <w:rsid w:val="00ED1CE2"/>
    <w:rsid w:val="00ED2801"/>
    <w:rsid w:val="00ED29B7"/>
    <w:rsid w:val="00ED2ABC"/>
    <w:rsid w:val="00ED2CAC"/>
    <w:rsid w:val="00ED2D4D"/>
    <w:rsid w:val="00ED309E"/>
    <w:rsid w:val="00ED30CC"/>
    <w:rsid w:val="00ED34EF"/>
    <w:rsid w:val="00ED35DF"/>
    <w:rsid w:val="00ED3674"/>
    <w:rsid w:val="00ED3AFD"/>
    <w:rsid w:val="00ED3B10"/>
    <w:rsid w:val="00ED3C92"/>
    <w:rsid w:val="00ED403A"/>
    <w:rsid w:val="00ED4A39"/>
    <w:rsid w:val="00ED4A94"/>
    <w:rsid w:val="00ED4AC0"/>
    <w:rsid w:val="00ED4BA9"/>
    <w:rsid w:val="00ED5128"/>
    <w:rsid w:val="00ED55C5"/>
    <w:rsid w:val="00ED565C"/>
    <w:rsid w:val="00ED588D"/>
    <w:rsid w:val="00ED6208"/>
    <w:rsid w:val="00ED654E"/>
    <w:rsid w:val="00ED6655"/>
    <w:rsid w:val="00ED6FAC"/>
    <w:rsid w:val="00ED708C"/>
    <w:rsid w:val="00ED723B"/>
    <w:rsid w:val="00ED797B"/>
    <w:rsid w:val="00ED79E3"/>
    <w:rsid w:val="00ED7CCF"/>
    <w:rsid w:val="00ED7D1A"/>
    <w:rsid w:val="00ED7D6C"/>
    <w:rsid w:val="00EE0433"/>
    <w:rsid w:val="00EE05A2"/>
    <w:rsid w:val="00EE079D"/>
    <w:rsid w:val="00EE0B3D"/>
    <w:rsid w:val="00EE0EB5"/>
    <w:rsid w:val="00EE1280"/>
    <w:rsid w:val="00EE15AC"/>
    <w:rsid w:val="00EE15D0"/>
    <w:rsid w:val="00EE1894"/>
    <w:rsid w:val="00EE1ACC"/>
    <w:rsid w:val="00EE1F2F"/>
    <w:rsid w:val="00EE224E"/>
    <w:rsid w:val="00EE2558"/>
    <w:rsid w:val="00EE25E5"/>
    <w:rsid w:val="00EE2C24"/>
    <w:rsid w:val="00EE2D37"/>
    <w:rsid w:val="00EE2DBB"/>
    <w:rsid w:val="00EE2E46"/>
    <w:rsid w:val="00EE2F49"/>
    <w:rsid w:val="00EE3258"/>
    <w:rsid w:val="00EE3565"/>
    <w:rsid w:val="00EE39E5"/>
    <w:rsid w:val="00EE3B78"/>
    <w:rsid w:val="00EE3BA5"/>
    <w:rsid w:val="00EE3BE2"/>
    <w:rsid w:val="00EE3E33"/>
    <w:rsid w:val="00EE41B8"/>
    <w:rsid w:val="00EE43B6"/>
    <w:rsid w:val="00EE46C8"/>
    <w:rsid w:val="00EE4ACD"/>
    <w:rsid w:val="00EE4DCB"/>
    <w:rsid w:val="00EE4ED5"/>
    <w:rsid w:val="00EE553E"/>
    <w:rsid w:val="00EE59B8"/>
    <w:rsid w:val="00EE5C06"/>
    <w:rsid w:val="00EE5D53"/>
    <w:rsid w:val="00EE5E5A"/>
    <w:rsid w:val="00EE6332"/>
    <w:rsid w:val="00EE6AD1"/>
    <w:rsid w:val="00EE6C78"/>
    <w:rsid w:val="00EE6CBE"/>
    <w:rsid w:val="00EE6FDE"/>
    <w:rsid w:val="00EE76D5"/>
    <w:rsid w:val="00EE78D3"/>
    <w:rsid w:val="00EE791E"/>
    <w:rsid w:val="00EE7CCA"/>
    <w:rsid w:val="00EF016D"/>
    <w:rsid w:val="00EF07A3"/>
    <w:rsid w:val="00EF07E6"/>
    <w:rsid w:val="00EF09EE"/>
    <w:rsid w:val="00EF0A1A"/>
    <w:rsid w:val="00EF0D3F"/>
    <w:rsid w:val="00EF0DAB"/>
    <w:rsid w:val="00EF0EE1"/>
    <w:rsid w:val="00EF134C"/>
    <w:rsid w:val="00EF1465"/>
    <w:rsid w:val="00EF16BD"/>
    <w:rsid w:val="00EF18E7"/>
    <w:rsid w:val="00EF1D9B"/>
    <w:rsid w:val="00EF20E6"/>
    <w:rsid w:val="00EF26CF"/>
    <w:rsid w:val="00EF29ED"/>
    <w:rsid w:val="00EF2A26"/>
    <w:rsid w:val="00EF2B7A"/>
    <w:rsid w:val="00EF39DA"/>
    <w:rsid w:val="00EF3C5C"/>
    <w:rsid w:val="00EF4090"/>
    <w:rsid w:val="00EF4431"/>
    <w:rsid w:val="00EF45F4"/>
    <w:rsid w:val="00EF462E"/>
    <w:rsid w:val="00EF4803"/>
    <w:rsid w:val="00EF4B22"/>
    <w:rsid w:val="00EF4BB6"/>
    <w:rsid w:val="00EF4D44"/>
    <w:rsid w:val="00EF500E"/>
    <w:rsid w:val="00EF538E"/>
    <w:rsid w:val="00EF569A"/>
    <w:rsid w:val="00EF5D27"/>
    <w:rsid w:val="00EF5FA7"/>
    <w:rsid w:val="00EF67A4"/>
    <w:rsid w:val="00EF67A7"/>
    <w:rsid w:val="00EF6C06"/>
    <w:rsid w:val="00EF743A"/>
    <w:rsid w:val="00EF76E0"/>
    <w:rsid w:val="00EF7C52"/>
    <w:rsid w:val="00EF7D34"/>
    <w:rsid w:val="00EF7E5A"/>
    <w:rsid w:val="00F004C3"/>
    <w:rsid w:val="00F005BA"/>
    <w:rsid w:val="00F00B16"/>
    <w:rsid w:val="00F00CFD"/>
    <w:rsid w:val="00F0161C"/>
    <w:rsid w:val="00F01F83"/>
    <w:rsid w:val="00F029A0"/>
    <w:rsid w:val="00F02EDA"/>
    <w:rsid w:val="00F03159"/>
    <w:rsid w:val="00F033BC"/>
    <w:rsid w:val="00F03409"/>
    <w:rsid w:val="00F03768"/>
    <w:rsid w:val="00F0412A"/>
    <w:rsid w:val="00F045FD"/>
    <w:rsid w:val="00F04979"/>
    <w:rsid w:val="00F0498E"/>
    <w:rsid w:val="00F049E5"/>
    <w:rsid w:val="00F04B92"/>
    <w:rsid w:val="00F04BEE"/>
    <w:rsid w:val="00F059D7"/>
    <w:rsid w:val="00F05F2D"/>
    <w:rsid w:val="00F05F76"/>
    <w:rsid w:val="00F06128"/>
    <w:rsid w:val="00F061DA"/>
    <w:rsid w:val="00F063B9"/>
    <w:rsid w:val="00F06461"/>
    <w:rsid w:val="00F068CD"/>
    <w:rsid w:val="00F06B14"/>
    <w:rsid w:val="00F071FE"/>
    <w:rsid w:val="00F07207"/>
    <w:rsid w:val="00F07406"/>
    <w:rsid w:val="00F076F6"/>
    <w:rsid w:val="00F07700"/>
    <w:rsid w:val="00F07710"/>
    <w:rsid w:val="00F07A88"/>
    <w:rsid w:val="00F07C44"/>
    <w:rsid w:val="00F07EBD"/>
    <w:rsid w:val="00F11185"/>
    <w:rsid w:val="00F115E5"/>
    <w:rsid w:val="00F1171D"/>
    <w:rsid w:val="00F118CA"/>
    <w:rsid w:val="00F11E5E"/>
    <w:rsid w:val="00F11E9C"/>
    <w:rsid w:val="00F1266C"/>
    <w:rsid w:val="00F127F8"/>
    <w:rsid w:val="00F128D9"/>
    <w:rsid w:val="00F12CE7"/>
    <w:rsid w:val="00F12E92"/>
    <w:rsid w:val="00F12F67"/>
    <w:rsid w:val="00F13113"/>
    <w:rsid w:val="00F137C7"/>
    <w:rsid w:val="00F137CE"/>
    <w:rsid w:val="00F13D10"/>
    <w:rsid w:val="00F140BC"/>
    <w:rsid w:val="00F14A07"/>
    <w:rsid w:val="00F14B26"/>
    <w:rsid w:val="00F14CA3"/>
    <w:rsid w:val="00F14E1E"/>
    <w:rsid w:val="00F14EE8"/>
    <w:rsid w:val="00F1529D"/>
    <w:rsid w:val="00F1694E"/>
    <w:rsid w:val="00F169AA"/>
    <w:rsid w:val="00F16C9E"/>
    <w:rsid w:val="00F16CA3"/>
    <w:rsid w:val="00F173DC"/>
    <w:rsid w:val="00F17A29"/>
    <w:rsid w:val="00F17B31"/>
    <w:rsid w:val="00F17BAB"/>
    <w:rsid w:val="00F17EB5"/>
    <w:rsid w:val="00F204B2"/>
    <w:rsid w:val="00F204C4"/>
    <w:rsid w:val="00F205CA"/>
    <w:rsid w:val="00F20653"/>
    <w:rsid w:val="00F207BD"/>
    <w:rsid w:val="00F20AA7"/>
    <w:rsid w:val="00F20C3C"/>
    <w:rsid w:val="00F20F4E"/>
    <w:rsid w:val="00F211A7"/>
    <w:rsid w:val="00F21443"/>
    <w:rsid w:val="00F21600"/>
    <w:rsid w:val="00F216E4"/>
    <w:rsid w:val="00F2179C"/>
    <w:rsid w:val="00F21AEB"/>
    <w:rsid w:val="00F21E27"/>
    <w:rsid w:val="00F21F3C"/>
    <w:rsid w:val="00F220F8"/>
    <w:rsid w:val="00F227BE"/>
    <w:rsid w:val="00F22842"/>
    <w:rsid w:val="00F2286C"/>
    <w:rsid w:val="00F22F22"/>
    <w:rsid w:val="00F23100"/>
    <w:rsid w:val="00F23281"/>
    <w:rsid w:val="00F235CA"/>
    <w:rsid w:val="00F23733"/>
    <w:rsid w:val="00F237D0"/>
    <w:rsid w:val="00F23AEF"/>
    <w:rsid w:val="00F2403A"/>
    <w:rsid w:val="00F243C2"/>
    <w:rsid w:val="00F24AC5"/>
    <w:rsid w:val="00F24D61"/>
    <w:rsid w:val="00F2513D"/>
    <w:rsid w:val="00F25242"/>
    <w:rsid w:val="00F25426"/>
    <w:rsid w:val="00F254DB"/>
    <w:rsid w:val="00F259EE"/>
    <w:rsid w:val="00F25BF6"/>
    <w:rsid w:val="00F26095"/>
    <w:rsid w:val="00F26240"/>
    <w:rsid w:val="00F26470"/>
    <w:rsid w:val="00F265C5"/>
    <w:rsid w:val="00F26753"/>
    <w:rsid w:val="00F26B65"/>
    <w:rsid w:val="00F2733C"/>
    <w:rsid w:val="00F274CF"/>
    <w:rsid w:val="00F27571"/>
    <w:rsid w:val="00F27868"/>
    <w:rsid w:val="00F27960"/>
    <w:rsid w:val="00F27E66"/>
    <w:rsid w:val="00F308C1"/>
    <w:rsid w:val="00F30C25"/>
    <w:rsid w:val="00F30CFE"/>
    <w:rsid w:val="00F30F5D"/>
    <w:rsid w:val="00F31555"/>
    <w:rsid w:val="00F315A8"/>
    <w:rsid w:val="00F31833"/>
    <w:rsid w:val="00F3189E"/>
    <w:rsid w:val="00F31DDE"/>
    <w:rsid w:val="00F31F84"/>
    <w:rsid w:val="00F3214A"/>
    <w:rsid w:val="00F32407"/>
    <w:rsid w:val="00F325E6"/>
    <w:rsid w:val="00F32882"/>
    <w:rsid w:val="00F32994"/>
    <w:rsid w:val="00F32AE8"/>
    <w:rsid w:val="00F32B51"/>
    <w:rsid w:val="00F32CF0"/>
    <w:rsid w:val="00F32FD6"/>
    <w:rsid w:val="00F33174"/>
    <w:rsid w:val="00F3328C"/>
    <w:rsid w:val="00F333B0"/>
    <w:rsid w:val="00F3346A"/>
    <w:rsid w:val="00F33520"/>
    <w:rsid w:val="00F3355D"/>
    <w:rsid w:val="00F33576"/>
    <w:rsid w:val="00F33586"/>
    <w:rsid w:val="00F33763"/>
    <w:rsid w:val="00F3389B"/>
    <w:rsid w:val="00F338FB"/>
    <w:rsid w:val="00F33D21"/>
    <w:rsid w:val="00F33F28"/>
    <w:rsid w:val="00F342F9"/>
    <w:rsid w:val="00F34366"/>
    <w:rsid w:val="00F34766"/>
    <w:rsid w:val="00F348F3"/>
    <w:rsid w:val="00F34D43"/>
    <w:rsid w:val="00F350D4"/>
    <w:rsid w:val="00F3511E"/>
    <w:rsid w:val="00F3549F"/>
    <w:rsid w:val="00F35C8B"/>
    <w:rsid w:val="00F3656B"/>
    <w:rsid w:val="00F3661A"/>
    <w:rsid w:val="00F36687"/>
    <w:rsid w:val="00F36D19"/>
    <w:rsid w:val="00F36E54"/>
    <w:rsid w:val="00F36E6F"/>
    <w:rsid w:val="00F37B69"/>
    <w:rsid w:val="00F37F96"/>
    <w:rsid w:val="00F40041"/>
    <w:rsid w:val="00F40183"/>
    <w:rsid w:val="00F403C6"/>
    <w:rsid w:val="00F40454"/>
    <w:rsid w:val="00F405AB"/>
    <w:rsid w:val="00F40C7E"/>
    <w:rsid w:val="00F41121"/>
    <w:rsid w:val="00F4160B"/>
    <w:rsid w:val="00F417F9"/>
    <w:rsid w:val="00F41856"/>
    <w:rsid w:val="00F41C77"/>
    <w:rsid w:val="00F41E17"/>
    <w:rsid w:val="00F4207A"/>
    <w:rsid w:val="00F42EC8"/>
    <w:rsid w:val="00F432E7"/>
    <w:rsid w:val="00F44155"/>
    <w:rsid w:val="00F44221"/>
    <w:rsid w:val="00F4447C"/>
    <w:rsid w:val="00F44977"/>
    <w:rsid w:val="00F449E2"/>
    <w:rsid w:val="00F44A9F"/>
    <w:rsid w:val="00F44B98"/>
    <w:rsid w:val="00F44FAE"/>
    <w:rsid w:val="00F4636B"/>
    <w:rsid w:val="00F46589"/>
    <w:rsid w:val="00F46A51"/>
    <w:rsid w:val="00F470C3"/>
    <w:rsid w:val="00F4714B"/>
    <w:rsid w:val="00F4765A"/>
    <w:rsid w:val="00F47681"/>
    <w:rsid w:val="00F47F7D"/>
    <w:rsid w:val="00F50185"/>
    <w:rsid w:val="00F501D6"/>
    <w:rsid w:val="00F50320"/>
    <w:rsid w:val="00F50345"/>
    <w:rsid w:val="00F509C9"/>
    <w:rsid w:val="00F51482"/>
    <w:rsid w:val="00F51625"/>
    <w:rsid w:val="00F51830"/>
    <w:rsid w:val="00F51DA7"/>
    <w:rsid w:val="00F52530"/>
    <w:rsid w:val="00F52644"/>
    <w:rsid w:val="00F5265D"/>
    <w:rsid w:val="00F52DD1"/>
    <w:rsid w:val="00F536D6"/>
    <w:rsid w:val="00F537F4"/>
    <w:rsid w:val="00F539AA"/>
    <w:rsid w:val="00F53A16"/>
    <w:rsid w:val="00F53A3C"/>
    <w:rsid w:val="00F53AD8"/>
    <w:rsid w:val="00F53DB8"/>
    <w:rsid w:val="00F54083"/>
    <w:rsid w:val="00F540F9"/>
    <w:rsid w:val="00F541DC"/>
    <w:rsid w:val="00F54504"/>
    <w:rsid w:val="00F5475E"/>
    <w:rsid w:val="00F5480C"/>
    <w:rsid w:val="00F54C7A"/>
    <w:rsid w:val="00F54C7F"/>
    <w:rsid w:val="00F55024"/>
    <w:rsid w:val="00F5524E"/>
    <w:rsid w:val="00F55A52"/>
    <w:rsid w:val="00F55F40"/>
    <w:rsid w:val="00F561AE"/>
    <w:rsid w:val="00F5640E"/>
    <w:rsid w:val="00F5655E"/>
    <w:rsid w:val="00F565FB"/>
    <w:rsid w:val="00F56664"/>
    <w:rsid w:val="00F56CEC"/>
    <w:rsid w:val="00F56D12"/>
    <w:rsid w:val="00F56E4F"/>
    <w:rsid w:val="00F56EAD"/>
    <w:rsid w:val="00F571F7"/>
    <w:rsid w:val="00F57C6A"/>
    <w:rsid w:val="00F57DFE"/>
    <w:rsid w:val="00F57E40"/>
    <w:rsid w:val="00F602B4"/>
    <w:rsid w:val="00F602EF"/>
    <w:rsid w:val="00F6038B"/>
    <w:rsid w:val="00F60F36"/>
    <w:rsid w:val="00F619CD"/>
    <w:rsid w:val="00F619D7"/>
    <w:rsid w:val="00F61AD4"/>
    <w:rsid w:val="00F61C11"/>
    <w:rsid w:val="00F629B5"/>
    <w:rsid w:val="00F62B95"/>
    <w:rsid w:val="00F62BE4"/>
    <w:rsid w:val="00F63C6A"/>
    <w:rsid w:val="00F642DC"/>
    <w:rsid w:val="00F65202"/>
    <w:rsid w:val="00F65A09"/>
    <w:rsid w:val="00F65A0F"/>
    <w:rsid w:val="00F65C97"/>
    <w:rsid w:val="00F65F80"/>
    <w:rsid w:val="00F65FA1"/>
    <w:rsid w:val="00F661C3"/>
    <w:rsid w:val="00F662F6"/>
    <w:rsid w:val="00F665E9"/>
    <w:rsid w:val="00F665EA"/>
    <w:rsid w:val="00F6669E"/>
    <w:rsid w:val="00F66743"/>
    <w:rsid w:val="00F66871"/>
    <w:rsid w:val="00F66DCD"/>
    <w:rsid w:val="00F67262"/>
    <w:rsid w:val="00F67301"/>
    <w:rsid w:val="00F67449"/>
    <w:rsid w:val="00F674DC"/>
    <w:rsid w:val="00F6776F"/>
    <w:rsid w:val="00F677C9"/>
    <w:rsid w:val="00F67BC5"/>
    <w:rsid w:val="00F70A85"/>
    <w:rsid w:val="00F70B85"/>
    <w:rsid w:val="00F70D9D"/>
    <w:rsid w:val="00F71466"/>
    <w:rsid w:val="00F71526"/>
    <w:rsid w:val="00F7192C"/>
    <w:rsid w:val="00F71B26"/>
    <w:rsid w:val="00F71CE0"/>
    <w:rsid w:val="00F71E66"/>
    <w:rsid w:val="00F71E8B"/>
    <w:rsid w:val="00F72112"/>
    <w:rsid w:val="00F728FD"/>
    <w:rsid w:val="00F72E9F"/>
    <w:rsid w:val="00F72F61"/>
    <w:rsid w:val="00F73040"/>
    <w:rsid w:val="00F73891"/>
    <w:rsid w:val="00F738B0"/>
    <w:rsid w:val="00F73F39"/>
    <w:rsid w:val="00F7400E"/>
    <w:rsid w:val="00F74175"/>
    <w:rsid w:val="00F74655"/>
    <w:rsid w:val="00F74882"/>
    <w:rsid w:val="00F74C0E"/>
    <w:rsid w:val="00F74EE8"/>
    <w:rsid w:val="00F75315"/>
    <w:rsid w:val="00F753BB"/>
    <w:rsid w:val="00F7581C"/>
    <w:rsid w:val="00F75A96"/>
    <w:rsid w:val="00F75AFE"/>
    <w:rsid w:val="00F75EC6"/>
    <w:rsid w:val="00F768B6"/>
    <w:rsid w:val="00F77200"/>
    <w:rsid w:val="00F7723B"/>
    <w:rsid w:val="00F803F0"/>
    <w:rsid w:val="00F80692"/>
    <w:rsid w:val="00F809F1"/>
    <w:rsid w:val="00F80BB5"/>
    <w:rsid w:val="00F81369"/>
    <w:rsid w:val="00F8182D"/>
    <w:rsid w:val="00F8197B"/>
    <w:rsid w:val="00F81D79"/>
    <w:rsid w:val="00F82153"/>
    <w:rsid w:val="00F82255"/>
    <w:rsid w:val="00F828C2"/>
    <w:rsid w:val="00F82C01"/>
    <w:rsid w:val="00F83108"/>
    <w:rsid w:val="00F8320B"/>
    <w:rsid w:val="00F833D2"/>
    <w:rsid w:val="00F83D3C"/>
    <w:rsid w:val="00F843CC"/>
    <w:rsid w:val="00F8487D"/>
    <w:rsid w:val="00F84E85"/>
    <w:rsid w:val="00F85555"/>
    <w:rsid w:val="00F85706"/>
    <w:rsid w:val="00F85C5C"/>
    <w:rsid w:val="00F85C8E"/>
    <w:rsid w:val="00F86361"/>
    <w:rsid w:val="00F86386"/>
    <w:rsid w:val="00F868B8"/>
    <w:rsid w:val="00F86E93"/>
    <w:rsid w:val="00F870C2"/>
    <w:rsid w:val="00F875DC"/>
    <w:rsid w:val="00F87A0B"/>
    <w:rsid w:val="00F87A1B"/>
    <w:rsid w:val="00F87B1C"/>
    <w:rsid w:val="00F87DAE"/>
    <w:rsid w:val="00F87EC6"/>
    <w:rsid w:val="00F90026"/>
    <w:rsid w:val="00F90039"/>
    <w:rsid w:val="00F903D2"/>
    <w:rsid w:val="00F903F2"/>
    <w:rsid w:val="00F90810"/>
    <w:rsid w:val="00F90B53"/>
    <w:rsid w:val="00F90D1B"/>
    <w:rsid w:val="00F90DCA"/>
    <w:rsid w:val="00F910A0"/>
    <w:rsid w:val="00F9114F"/>
    <w:rsid w:val="00F91520"/>
    <w:rsid w:val="00F91A25"/>
    <w:rsid w:val="00F91E17"/>
    <w:rsid w:val="00F926A0"/>
    <w:rsid w:val="00F92929"/>
    <w:rsid w:val="00F92C98"/>
    <w:rsid w:val="00F92D7D"/>
    <w:rsid w:val="00F936F4"/>
    <w:rsid w:val="00F93987"/>
    <w:rsid w:val="00F93A53"/>
    <w:rsid w:val="00F93D0B"/>
    <w:rsid w:val="00F93FF9"/>
    <w:rsid w:val="00F942FA"/>
    <w:rsid w:val="00F9462B"/>
    <w:rsid w:val="00F94734"/>
    <w:rsid w:val="00F9507B"/>
    <w:rsid w:val="00F95560"/>
    <w:rsid w:val="00F9571E"/>
    <w:rsid w:val="00F957D4"/>
    <w:rsid w:val="00F95D28"/>
    <w:rsid w:val="00F96874"/>
    <w:rsid w:val="00F96C33"/>
    <w:rsid w:val="00F96DD8"/>
    <w:rsid w:val="00F96E80"/>
    <w:rsid w:val="00F96ED2"/>
    <w:rsid w:val="00F972FC"/>
    <w:rsid w:val="00F97504"/>
    <w:rsid w:val="00F97A87"/>
    <w:rsid w:val="00F97DD4"/>
    <w:rsid w:val="00FA047A"/>
    <w:rsid w:val="00FA04D4"/>
    <w:rsid w:val="00FA074B"/>
    <w:rsid w:val="00FA0A0F"/>
    <w:rsid w:val="00FA0A72"/>
    <w:rsid w:val="00FA13A7"/>
    <w:rsid w:val="00FA149F"/>
    <w:rsid w:val="00FA15C5"/>
    <w:rsid w:val="00FA174F"/>
    <w:rsid w:val="00FA1AC0"/>
    <w:rsid w:val="00FA1BA1"/>
    <w:rsid w:val="00FA1BE4"/>
    <w:rsid w:val="00FA2140"/>
    <w:rsid w:val="00FA24A7"/>
    <w:rsid w:val="00FA24DB"/>
    <w:rsid w:val="00FA2503"/>
    <w:rsid w:val="00FA2DFD"/>
    <w:rsid w:val="00FA2F41"/>
    <w:rsid w:val="00FA3150"/>
    <w:rsid w:val="00FA341B"/>
    <w:rsid w:val="00FA3569"/>
    <w:rsid w:val="00FA3B06"/>
    <w:rsid w:val="00FA3B3B"/>
    <w:rsid w:val="00FA3CB2"/>
    <w:rsid w:val="00FA3DC5"/>
    <w:rsid w:val="00FA403C"/>
    <w:rsid w:val="00FA407F"/>
    <w:rsid w:val="00FA4251"/>
    <w:rsid w:val="00FA472F"/>
    <w:rsid w:val="00FA486B"/>
    <w:rsid w:val="00FA5568"/>
    <w:rsid w:val="00FA5799"/>
    <w:rsid w:val="00FA5957"/>
    <w:rsid w:val="00FA5967"/>
    <w:rsid w:val="00FA59DA"/>
    <w:rsid w:val="00FA5D67"/>
    <w:rsid w:val="00FA63F9"/>
    <w:rsid w:val="00FA6CF0"/>
    <w:rsid w:val="00FA6E72"/>
    <w:rsid w:val="00FA73EE"/>
    <w:rsid w:val="00FA7704"/>
    <w:rsid w:val="00FA7708"/>
    <w:rsid w:val="00FA7768"/>
    <w:rsid w:val="00FA7F2D"/>
    <w:rsid w:val="00FB0038"/>
    <w:rsid w:val="00FB00CB"/>
    <w:rsid w:val="00FB02EF"/>
    <w:rsid w:val="00FB059D"/>
    <w:rsid w:val="00FB09D6"/>
    <w:rsid w:val="00FB0A76"/>
    <w:rsid w:val="00FB0C56"/>
    <w:rsid w:val="00FB0D63"/>
    <w:rsid w:val="00FB0EFF"/>
    <w:rsid w:val="00FB0FB8"/>
    <w:rsid w:val="00FB0FEA"/>
    <w:rsid w:val="00FB1046"/>
    <w:rsid w:val="00FB1091"/>
    <w:rsid w:val="00FB1185"/>
    <w:rsid w:val="00FB14DE"/>
    <w:rsid w:val="00FB19E3"/>
    <w:rsid w:val="00FB1AE8"/>
    <w:rsid w:val="00FB20F1"/>
    <w:rsid w:val="00FB27A0"/>
    <w:rsid w:val="00FB2C72"/>
    <w:rsid w:val="00FB2CC3"/>
    <w:rsid w:val="00FB2DC4"/>
    <w:rsid w:val="00FB30F4"/>
    <w:rsid w:val="00FB3124"/>
    <w:rsid w:val="00FB319A"/>
    <w:rsid w:val="00FB3245"/>
    <w:rsid w:val="00FB3380"/>
    <w:rsid w:val="00FB36B7"/>
    <w:rsid w:val="00FB3C9E"/>
    <w:rsid w:val="00FB3F4C"/>
    <w:rsid w:val="00FB43B5"/>
    <w:rsid w:val="00FB448C"/>
    <w:rsid w:val="00FB4950"/>
    <w:rsid w:val="00FB4B3B"/>
    <w:rsid w:val="00FB4E77"/>
    <w:rsid w:val="00FB5050"/>
    <w:rsid w:val="00FB520D"/>
    <w:rsid w:val="00FB55D5"/>
    <w:rsid w:val="00FB567B"/>
    <w:rsid w:val="00FB5961"/>
    <w:rsid w:val="00FB5C45"/>
    <w:rsid w:val="00FB6B3D"/>
    <w:rsid w:val="00FB6C3E"/>
    <w:rsid w:val="00FB6E44"/>
    <w:rsid w:val="00FB6EF5"/>
    <w:rsid w:val="00FB777E"/>
    <w:rsid w:val="00FB7FAA"/>
    <w:rsid w:val="00FC00ED"/>
    <w:rsid w:val="00FC0354"/>
    <w:rsid w:val="00FC0A5B"/>
    <w:rsid w:val="00FC12BB"/>
    <w:rsid w:val="00FC14BB"/>
    <w:rsid w:val="00FC1BCC"/>
    <w:rsid w:val="00FC1DB0"/>
    <w:rsid w:val="00FC21BC"/>
    <w:rsid w:val="00FC2A9B"/>
    <w:rsid w:val="00FC2BF0"/>
    <w:rsid w:val="00FC2DCF"/>
    <w:rsid w:val="00FC403F"/>
    <w:rsid w:val="00FC4410"/>
    <w:rsid w:val="00FC49B3"/>
    <w:rsid w:val="00FC4FD5"/>
    <w:rsid w:val="00FC52C9"/>
    <w:rsid w:val="00FC5E03"/>
    <w:rsid w:val="00FC62B2"/>
    <w:rsid w:val="00FC65D8"/>
    <w:rsid w:val="00FC6ED9"/>
    <w:rsid w:val="00FC70B9"/>
    <w:rsid w:val="00FC7118"/>
    <w:rsid w:val="00FC71F1"/>
    <w:rsid w:val="00FC747C"/>
    <w:rsid w:val="00FC777D"/>
    <w:rsid w:val="00FC7780"/>
    <w:rsid w:val="00FC7BEA"/>
    <w:rsid w:val="00FC7DAE"/>
    <w:rsid w:val="00FC7E63"/>
    <w:rsid w:val="00FC7F7C"/>
    <w:rsid w:val="00FD00C1"/>
    <w:rsid w:val="00FD11A6"/>
    <w:rsid w:val="00FD145C"/>
    <w:rsid w:val="00FD1485"/>
    <w:rsid w:val="00FD149A"/>
    <w:rsid w:val="00FD1504"/>
    <w:rsid w:val="00FD1707"/>
    <w:rsid w:val="00FD1C49"/>
    <w:rsid w:val="00FD1F50"/>
    <w:rsid w:val="00FD20AB"/>
    <w:rsid w:val="00FD25DE"/>
    <w:rsid w:val="00FD2864"/>
    <w:rsid w:val="00FD2D86"/>
    <w:rsid w:val="00FD3301"/>
    <w:rsid w:val="00FD3371"/>
    <w:rsid w:val="00FD38E0"/>
    <w:rsid w:val="00FD3A36"/>
    <w:rsid w:val="00FD3C37"/>
    <w:rsid w:val="00FD4216"/>
    <w:rsid w:val="00FD42F2"/>
    <w:rsid w:val="00FD473A"/>
    <w:rsid w:val="00FD4C5F"/>
    <w:rsid w:val="00FD4F1C"/>
    <w:rsid w:val="00FD51F9"/>
    <w:rsid w:val="00FD5474"/>
    <w:rsid w:val="00FD5F2D"/>
    <w:rsid w:val="00FD6990"/>
    <w:rsid w:val="00FD6F09"/>
    <w:rsid w:val="00FD71B2"/>
    <w:rsid w:val="00FD7307"/>
    <w:rsid w:val="00FD7500"/>
    <w:rsid w:val="00FD7A8A"/>
    <w:rsid w:val="00FE03C8"/>
    <w:rsid w:val="00FE0DFC"/>
    <w:rsid w:val="00FE1199"/>
    <w:rsid w:val="00FE13E9"/>
    <w:rsid w:val="00FE1682"/>
    <w:rsid w:val="00FE16F7"/>
    <w:rsid w:val="00FE1725"/>
    <w:rsid w:val="00FE1899"/>
    <w:rsid w:val="00FE19E6"/>
    <w:rsid w:val="00FE2196"/>
    <w:rsid w:val="00FE23FE"/>
    <w:rsid w:val="00FE2597"/>
    <w:rsid w:val="00FE2922"/>
    <w:rsid w:val="00FE2AEF"/>
    <w:rsid w:val="00FE2BC3"/>
    <w:rsid w:val="00FE3EE2"/>
    <w:rsid w:val="00FE40E4"/>
    <w:rsid w:val="00FE414D"/>
    <w:rsid w:val="00FE42F3"/>
    <w:rsid w:val="00FE4C0D"/>
    <w:rsid w:val="00FE4C10"/>
    <w:rsid w:val="00FE4C79"/>
    <w:rsid w:val="00FE4C82"/>
    <w:rsid w:val="00FE525F"/>
    <w:rsid w:val="00FE53F9"/>
    <w:rsid w:val="00FE5579"/>
    <w:rsid w:val="00FE5BC0"/>
    <w:rsid w:val="00FE5E3F"/>
    <w:rsid w:val="00FE5EF2"/>
    <w:rsid w:val="00FE60D7"/>
    <w:rsid w:val="00FE6294"/>
    <w:rsid w:val="00FE641B"/>
    <w:rsid w:val="00FE6B3C"/>
    <w:rsid w:val="00FE6C05"/>
    <w:rsid w:val="00FE6C19"/>
    <w:rsid w:val="00FE6EE7"/>
    <w:rsid w:val="00FE7319"/>
    <w:rsid w:val="00FE7344"/>
    <w:rsid w:val="00FE7390"/>
    <w:rsid w:val="00FE73DD"/>
    <w:rsid w:val="00FF01D9"/>
    <w:rsid w:val="00FF0E4F"/>
    <w:rsid w:val="00FF103A"/>
    <w:rsid w:val="00FF107E"/>
    <w:rsid w:val="00FF1115"/>
    <w:rsid w:val="00FF11A6"/>
    <w:rsid w:val="00FF1ADF"/>
    <w:rsid w:val="00FF1FB7"/>
    <w:rsid w:val="00FF20E2"/>
    <w:rsid w:val="00FF2560"/>
    <w:rsid w:val="00FF2670"/>
    <w:rsid w:val="00FF3EB6"/>
    <w:rsid w:val="00FF41BE"/>
    <w:rsid w:val="00FF43C9"/>
    <w:rsid w:val="00FF4CDA"/>
    <w:rsid w:val="00FF5477"/>
    <w:rsid w:val="00FF563C"/>
    <w:rsid w:val="00FF57C3"/>
    <w:rsid w:val="00FF57E5"/>
    <w:rsid w:val="00FF590F"/>
    <w:rsid w:val="00FF6244"/>
    <w:rsid w:val="00FF7383"/>
    <w:rsid w:val="00FF73A0"/>
    <w:rsid w:val="00FF7473"/>
    <w:rsid w:val="00FF752B"/>
    <w:rsid w:val="00FF7A96"/>
  </w:rsids>
  <m:mathPr>
    <m:mathFont m:val="Cambria Math"/>
    <m:brkBin m:val="before"/>
    <m:brkBinSub m:val="--"/>
    <m:smallFrac m:val="0"/>
    <m:dispDef/>
    <m:lMargin m:val="0"/>
    <m:rMargin m:val="0"/>
    <m:defJc m:val="centerGroup"/>
    <m:wrapIndent m:val="1440"/>
    <m:intLim m:val="subSup"/>
    <m:naryLim m:val="undOvr"/>
  </m:mathPr>
  <w:themeFontLang w:val="es-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5D3A9"/>
  <w15:docId w15:val="{24A6A26F-7859-D446-8FDE-BE9908EA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20"/>
    <w:rPr>
      <w:rFonts w:eastAsia="Times New Roman"/>
      <w:sz w:val="24"/>
      <w:szCs w:val="24"/>
      <w:lang w:val="en-US"/>
    </w:rPr>
  </w:style>
  <w:style w:type="paragraph" w:styleId="Heading1">
    <w:name w:val="heading 1"/>
    <w:basedOn w:val="Normal"/>
    <w:next w:val="Normal"/>
    <w:link w:val="Heading1Char"/>
    <w:uiPriority w:val="9"/>
    <w:qFormat/>
    <w:rsid w:val="000551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74D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EF7"/>
    <w:rPr>
      <w:rFonts w:asciiTheme="majorHAnsi" w:eastAsiaTheme="majorEastAsia" w:hAnsiTheme="majorHAnsi" w:cstheme="majorBidi"/>
      <w:bCs/>
      <w:iCs/>
      <w:color w:val="2F5496" w:themeColor="accent1" w:themeShade="BF"/>
      <w:sz w:val="26"/>
      <w:szCs w:val="26"/>
      <w:lang w:eastAsia="fr-CA"/>
    </w:rPr>
  </w:style>
  <w:style w:type="character" w:customStyle="1" w:styleId="Heading3Char">
    <w:name w:val="Heading 3 Char"/>
    <w:basedOn w:val="DefaultParagraphFont"/>
    <w:link w:val="Heading3"/>
    <w:uiPriority w:val="9"/>
    <w:rsid w:val="00A74D73"/>
    <w:rPr>
      <w:rFonts w:eastAsia="Times New Roman"/>
      <w:b/>
      <w:iCs/>
      <w:sz w:val="27"/>
      <w:szCs w:val="27"/>
      <w:lang w:eastAsia="fr-CA"/>
    </w:rPr>
  </w:style>
  <w:style w:type="paragraph" w:styleId="ListParagraph">
    <w:name w:val="List Paragraph"/>
    <w:aliases w:val="Lista viñetas,Dot pt,No Spacing1,List Paragraph Char Char Char,Indicator Text,List Paragraph1,Numbered Para 1,Colorful List - Accent 11,Bullet 1,F5 List Paragraph,Bullet Points,Bullets,List Paragraph Speech,bullet list level 1,Liste 1,3"/>
    <w:basedOn w:val="Normal"/>
    <w:link w:val="ListParagraphChar"/>
    <w:uiPriority w:val="99"/>
    <w:qFormat/>
    <w:rsid w:val="008D5882"/>
    <w:pPr>
      <w:ind w:left="720"/>
      <w:contextualSpacing/>
    </w:pPr>
    <w:rPr>
      <w:rFonts w:eastAsiaTheme="minorEastAsia"/>
      <w:sz w:val="22"/>
      <w:szCs w:val="22"/>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99"/>
    <w:qFormat/>
    <w:locked/>
    <w:rsid w:val="008D5882"/>
    <w:rPr>
      <w:rFonts w:eastAsiaTheme="minorEastAsia"/>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ootnote Text Char1"/>
    <w:basedOn w:val="Normal"/>
    <w:link w:val="FootnoteTextChar"/>
    <w:uiPriority w:val="99"/>
    <w:qFormat/>
    <w:rsid w:val="00D12559"/>
    <w:rPr>
      <w:sz w:val="20"/>
      <w:szCs w:val="20"/>
      <w:lang w:val="es-E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D12559"/>
    <w:rPr>
      <w:rFonts w:eastAsia="Times New Roman"/>
      <w:bCs/>
      <w:iCs/>
      <w:sz w:val="20"/>
      <w:szCs w:val="20"/>
      <w:lang w:val="es-ES" w:eastAsia="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link w:val="ftrefCharChar"/>
    <w:uiPriority w:val="99"/>
    <w:qFormat/>
    <w:rsid w:val="00D12559"/>
    <w:rPr>
      <w:vertAlign w:val="superscript"/>
    </w:rPr>
  </w:style>
  <w:style w:type="character" w:styleId="Hyperlink">
    <w:name w:val="Hyperlink"/>
    <w:basedOn w:val="DefaultParagraphFont"/>
    <w:uiPriority w:val="99"/>
    <w:unhideWhenUsed/>
    <w:rsid w:val="00494D4A"/>
    <w:rPr>
      <w:color w:val="0563C1" w:themeColor="hyperlink"/>
      <w:u w:val="single"/>
    </w:rPr>
  </w:style>
  <w:style w:type="character" w:customStyle="1" w:styleId="Mentionnonrsolue1">
    <w:name w:val="Mention non résolue1"/>
    <w:basedOn w:val="DefaultParagraphFont"/>
    <w:uiPriority w:val="99"/>
    <w:semiHidden/>
    <w:unhideWhenUsed/>
    <w:rsid w:val="00494D4A"/>
    <w:rPr>
      <w:color w:val="605E5C"/>
      <w:shd w:val="clear" w:color="auto" w:fill="E1DFDD"/>
    </w:rPr>
  </w:style>
  <w:style w:type="character" w:styleId="FollowedHyperlink">
    <w:name w:val="FollowedHyperlink"/>
    <w:basedOn w:val="DefaultParagraphFont"/>
    <w:uiPriority w:val="99"/>
    <w:semiHidden/>
    <w:unhideWhenUsed/>
    <w:rsid w:val="00494D4A"/>
    <w:rPr>
      <w:color w:val="954F72" w:themeColor="followedHyperlink"/>
      <w:u w:val="single"/>
    </w:rPr>
  </w:style>
  <w:style w:type="paragraph" w:styleId="NoSpacing">
    <w:name w:val="No Spacing"/>
    <w:uiPriority w:val="1"/>
    <w:qFormat/>
    <w:rsid w:val="002E1F30"/>
    <w:rPr>
      <w:rFonts w:asciiTheme="minorHAnsi" w:hAnsiTheme="minorHAnsi" w:cstheme="minorBidi"/>
      <w:bCs/>
      <w:iCs/>
      <w:lang w:val="es-CR"/>
    </w:rPr>
  </w:style>
  <w:style w:type="paragraph" w:styleId="BalloonText">
    <w:name w:val="Balloon Text"/>
    <w:basedOn w:val="Normal"/>
    <w:link w:val="BalloonTextChar"/>
    <w:uiPriority w:val="99"/>
    <w:semiHidden/>
    <w:unhideWhenUsed/>
    <w:rsid w:val="008013A4"/>
    <w:rPr>
      <w:sz w:val="18"/>
      <w:szCs w:val="18"/>
    </w:rPr>
  </w:style>
  <w:style w:type="character" w:customStyle="1" w:styleId="BalloonTextChar">
    <w:name w:val="Balloon Text Char"/>
    <w:basedOn w:val="DefaultParagraphFont"/>
    <w:link w:val="BalloonText"/>
    <w:uiPriority w:val="99"/>
    <w:semiHidden/>
    <w:rsid w:val="008013A4"/>
    <w:rPr>
      <w:rFonts w:eastAsia="Times New Roman"/>
      <w:bCs/>
      <w:iCs/>
      <w:sz w:val="18"/>
      <w:szCs w:val="18"/>
      <w:lang w:eastAsia="fr-CA"/>
    </w:rPr>
  </w:style>
  <w:style w:type="paragraph" w:styleId="BodyTextIndent2">
    <w:name w:val="Body Text Indent 2"/>
    <w:basedOn w:val="Normal"/>
    <w:link w:val="BodyTextIndent2Char"/>
    <w:rsid w:val="00FA1BA1"/>
    <w:pPr>
      <w:suppressAutoHyphens/>
      <w:ind w:left="495"/>
      <w:jc w:val="both"/>
    </w:pPr>
    <w:rPr>
      <w:rFonts w:ascii="Arial" w:eastAsia="Calibri" w:hAnsi="Arial"/>
      <w:spacing w:val="-3"/>
      <w:sz w:val="22"/>
      <w:szCs w:val="22"/>
      <w:lang w:val="es-ES_tradnl"/>
    </w:rPr>
  </w:style>
  <w:style w:type="character" w:customStyle="1" w:styleId="BodyTextIndent2Char">
    <w:name w:val="Body Text Indent 2 Char"/>
    <w:basedOn w:val="DefaultParagraphFont"/>
    <w:link w:val="BodyTextIndent2"/>
    <w:rsid w:val="00FA1BA1"/>
    <w:rPr>
      <w:rFonts w:ascii="Arial" w:eastAsia="Calibri" w:hAnsi="Arial"/>
      <w:bCs/>
      <w:iCs/>
      <w:spacing w:val="-3"/>
      <w:lang w:val="es-ES_tradnl"/>
    </w:rPr>
  </w:style>
  <w:style w:type="paragraph" w:styleId="Header">
    <w:name w:val="header"/>
    <w:basedOn w:val="Normal"/>
    <w:link w:val="HeaderChar"/>
    <w:uiPriority w:val="99"/>
    <w:unhideWhenUsed/>
    <w:rsid w:val="00FA1BA1"/>
    <w:pPr>
      <w:tabs>
        <w:tab w:val="center" w:pos="4680"/>
        <w:tab w:val="right" w:pos="9360"/>
      </w:tabs>
    </w:pPr>
    <w:rPr>
      <w:lang w:val="es-ES"/>
    </w:rPr>
  </w:style>
  <w:style w:type="character" w:customStyle="1" w:styleId="HeaderChar">
    <w:name w:val="Header Char"/>
    <w:basedOn w:val="DefaultParagraphFont"/>
    <w:link w:val="Header"/>
    <w:uiPriority w:val="99"/>
    <w:rsid w:val="00FA1BA1"/>
    <w:rPr>
      <w:rFonts w:eastAsia="Times New Roman"/>
      <w:bCs/>
      <w:iCs/>
      <w:sz w:val="24"/>
      <w:szCs w:val="24"/>
      <w:lang w:val="es-ES" w:eastAsia="fr-CA"/>
    </w:rPr>
  </w:style>
  <w:style w:type="character" w:styleId="PageNumber">
    <w:name w:val="page number"/>
    <w:basedOn w:val="DefaultParagraphFont"/>
    <w:unhideWhenUsed/>
    <w:rsid w:val="00FA1BA1"/>
  </w:style>
  <w:style w:type="paragraph" w:styleId="BodyText2">
    <w:name w:val="Body Text 2"/>
    <w:basedOn w:val="Normal"/>
    <w:link w:val="BodyText2Char"/>
    <w:uiPriority w:val="99"/>
    <w:unhideWhenUsed/>
    <w:rsid w:val="00FA1BA1"/>
    <w:pPr>
      <w:spacing w:after="120" w:line="480" w:lineRule="auto"/>
    </w:pPr>
    <w:rPr>
      <w:lang w:val="es-ES"/>
    </w:rPr>
  </w:style>
  <w:style w:type="character" w:customStyle="1" w:styleId="BodyText2Char">
    <w:name w:val="Body Text 2 Char"/>
    <w:basedOn w:val="DefaultParagraphFont"/>
    <w:link w:val="BodyText2"/>
    <w:uiPriority w:val="99"/>
    <w:rsid w:val="00FA1BA1"/>
    <w:rPr>
      <w:rFonts w:eastAsia="Times New Roman"/>
      <w:bCs/>
      <w:iCs/>
      <w:sz w:val="24"/>
      <w:szCs w:val="24"/>
      <w:lang w:val="es-ES" w:eastAsia="fr-CA"/>
    </w:rPr>
  </w:style>
  <w:style w:type="paragraph" w:styleId="Footer">
    <w:name w:val="footer"/>
    <w:basedOn w:val="Normal"/>
    <w:link w:val="FooterChar"/>
    <w:rsid w:val="00FA1BA1"/>
    <w:pPr>
      <w:tabs>
        <w:tab w:val="center" w:pos="4320"/>
        <w:tab w:val="right" w:pos="8640"/>
      </w:tabs>
    </w:pPr>
    <w:rPr>
      <w:sz w:val="20"/>
      <w:szCs w:val="20"/>
      <w:lang w:val="es-ES" w:eastAsia="es-ES"/>
    </w:rPr>
  </w:style>
  <w:style w:type="character" w:customStyle="1" w:styleId="FooterChar">
    <w:name w:val="Footer Char"/>
    <w:basedOn w:val="DefaultParagraphFont"/>
    <w:link w:val="Footer"/>
    <w:uiPriority w:val="99"/>
    <w:rsid w:val="00FA1BA1"/>
    <w:rPr>
      <w:rFonts w:eastAsia="Times New Roman"/>
      <w:bCs/>
      <w:iCs/>
      <w:sz w:val="20"/>
      <w:szCs w:val="20"/>
      <w:lang w:val="es-ES" w:eastAsia="es-ES"/>
    </w:rPr>
  </w:style>
  <w:style w:type="character" w:styleId="Emphasis">
    <w:name w:val="Emphasis"/>
    <w:basedOn w:val="DefaultParagraphFont"/>
    <w:uiPriority w:val="20"/>
    <w:qFormat/>
    <w:rsid w:val="004E25DB"/>
    <w:rPr>
      <w:i/>
      <w:iCs/>
    </w:rPr>
  </w:style>
  <w:style w:type="character" w:styleId="CommentReference">
    <w:name w:val="annotation reference"/>
    <w:basedOn w:val="DefaultParagraphFont"/>
    <w:uiPriority w:val="99"/>
    <w:semiHidden/>
    <w:unhideWhenUsed/>
    <w:rsid w:val="0012734C"/>
    <w:rPr>
      <w:sz w:val="16"/>
      <w:szCs w:val="16"/>
    </w:rPr>
  </w:style>
  <w:style w:type="paragraph" w:styleId="CommentText">
    <w:name w:val="annotation text"/>
    <w:basedOn w:val="Normal"/>
    <w:link w:val="CommentTextChar"/>
    <w:uiPriority w:val="99"/>
    <w:unhideWhenUsed/>
    <w:rsid w:val="0012734C"/>
    <w:rPr>
      <w:sz w:val="20"/>
      <w:szCs w:val="20"/>
    </w:rPr>
  </w:style>
  <w:style w:type="character" w:customStyle="1" w:styleId="CommentTextChar">
    <w:name w:val="Comment Text Char"/>
    <w:basedOn w:val="DefaultParagraphFont"/>
    <w:link w:val="CommentText"/>
    <w:uiPriority w:val="99"/>
    <w:rsid w:val="0012734C"/>
    <w:rPr>
      <w:rFonts w:eastAsia="Times New Roman"/>
      <w:bCs/>
      <w:iCs/>
      <w:sz w:val="20"/>
      <w:szCs w:val="20"/>
      <w:lang w:eastAsia="fr-CA"/>
    </w:rPr>
  </w:style>
  <w:style w:type="paragraph" w:styleId="CommentSubject">
    <w:name w:val="annotation subject"/>
    <w:basedOn w:val="CommentText"/>
    <w:next w:val="CommentText"/>
    <w:link w:val="CommentSubjectChar"/>
    <w:uiPriority w:val="99"/>
    <w:semiHidden/>
    <w:unhideWhenUsed/>
    <w:rsid w:val="0012734C"/>
    <w:rPr>
      <w:b/>
      <w:bCs/>
    </w:rPr>
  </w:style>
  <w:style w:type="character" w:customStyle="1" w:styleId="CommentSubjectChar">
    <w:name w:val="Comment Subject Char"/>
    <w:basedOn w:val="CommentTextChar"/>
    <w:link w:val="CommentSubject"/>
    <w:uiPriority w:val="99"/>
    <w:semiHidden/>
    <w:rsid w:val="0012734C"/>
    <w:rPr>
      <w:rFonts w:eastAsia="Times New Roman"/>
      <w:b/>
      <w:bCs w:val="0"/>
      <w:iCs/>
      <w:sz w:val="20"/>
      <w:szCs w:val="20"/>
      <w:lang w:eastAsia="fr-CA"/>
    </w:rPr>
  </w:style>
  <w:style w:type="paragraph" w:styleId="NormalWeb">
    <w:name w:val="Normal (Web)"/>
    <w:basedOn w:val="Normal"/>
    <w:uiPriority w:val="99"/>
    <w:unhideWhenUsed/>
    <w:rsid w:val="00AF7E0B"/>
    <w:pPr>
      <w:spacing w:before="100" w:beforeAutospacing="1" w:after="100" w:afterAutospacing="1"/>
    </w:pPr>
  </w:style>
  <w:style w:type="character" w:customStyle="1" w:styleId="spelle">
    <w:name w:val="spelle"/>
    <w:basedOn w:val="DefaultParagraphFont"/>
    <w:rsid w:val="00175906"/>
  </w:style>
  <w:style w:type="character" w:styleId="Strong">
    <w:name w:val="Strong"/>
    <w:basedOn w:val="DefaultParagraphFont"/>
    <w:uiPriority w:val="22"/>
    <w:qFormat/>
    <w:rsid w:val="00207059"/>
    <w:rPr>
      <w:b/>
      <w:bCs/>
    </w:rPr>
  </w:style>
  <w:style w:type="paragraph" w:customStyle="1" w:styleId="pa41">
    <w:name w:val="pa41"/>
    <w:basedOn w:val="Normal"/>
    <w:rsid w:val="00235AD1"/>
    <w:pPr>
      <w:spacing w:before="100" w:beforeAutospacing="1" w:after="100" w:afterAutospacing="1"/>
    </w:pPr>
  </w:style>
  <w:style w:type="paragraph" w:customStyle="1" w:styleId="pa51">
    <w:name w:val="pa51"/>
    <w:basedOn w:val="Normal"/>
    <w:rsid w:val="00235AD1"/>
    <w:pPr>
      <w:spacing w:before="100" w:beforeAutospacing="1" w:after="100" w:afterAutospacing="1"/>
    </w:pPr>
  </w:style>
  <w:style w:type="character" w:customStyle="1" w:styleId="placeholderend">
    <w:name w:val="placeholder_end"/>
    <w:basedOn w:val="DefaultParagraphFont"/>
    <w:rsid w:val="00A901DB"/>
  </w:style>
  <w:style w:type="paragraph" w:styleId="Revision">
    <w:name w:val="Revision"/>
    <w:hidden/>
    <w:uiPriority w:val="99"/>
    <w:semiHidden/>
    <w:rsid w:val="00377A3D"/>
    <w:rPr>
      <w:rFonts w:eastAsia="Times New Roman"/>
      <w:bCs/>
      <w:iCs/>
      <w:sz w:val="24"/>
      <w:szCs w:val="24"/>
      <w:lang w:eastAsia="fr-CA"/>
    </w:rPr>
  </w:style>
  <w:style w:type="character" w:customStyle="1" w:styleId="tagtrans">
    <w:name w:val="tag_trans"/>
    <w:basedOn w:val="DefaultParagraphFont"/>
    <w:rsid w:val="00F661C3"/>
  </w:style>
  <w:style w:type="character" w:customStyle="1" w:styleId="text-token">
    <w:name w:val="text-token"/>
    <w:basedOn w:val="DefaultParagraphFont"/>
    <w:rsid w:val="000364A4"/>
  </w:style>
  <w:style w:type="character" w:customStyle="1" w:styleId="placeholderbegin">
    <w:name w:val="placeholder_begin"/>
    <w:basedOn w:val="DefaultParagraphFont"/>
    <w:rsid w:val="00C57358"/>
  </w:style>
  <w:style w:type="paragraph" w:customStyle="1" w:styleId="List1">
    <w:name w:val="List1"/>
    <w:rsid w:val="00CE5391"/>
    <w:pPr>
      <w:widowControl w:val="0"/>
      <w:tabs>
        <w:tab w:val="left" w:pos="1680"/>
      </w:tabs>
      <w:suppressAutoHyphens/>
    </w:pPr>
    <w:rPr>
      <w:rFonts w:ascii="Courier New" w:eastAsia="Times New Roman" w:hAnsi="Courier New"/>
      <w:bCs/>
      <w:iCs/>
      <w:snapToGrid w:val="0"/>
      <w:sz w:val="20"/>
      <w:szCs w:val="20"/>
      <w:lang w:val="en-US"/>
    </w:rPr>
  </w:style>
  <w:style w:type="character" w:customStyle="1" w:styleId="nc684nl6">
    <w:name w:val="nc684nl6"/>
    <w:basedOn w:val="DefaultParagraphFont"/>
    <w:rsid w:val="006F72CC"/>
  </w:style>
  <w:style w:type="character" w:customStyle="1" w:styleId="a4">
    <w:name w:val="a4"/>
    <w:basedOn w:val="DefaultParagraphFont"/>
    <w:rsid w:val="004C5774"/>
  </w:style>
  <w:style w:type="paragraph" w:customStyle="1" w:styleId="noparagraphstyle">
    <w:name w:val="noparagraphstyle"/>
    <w:basedOn w:val="Normal"/>
    <w:rsid w:val="004C5774"/>
    <w:pPr>
      <w:spacing w:before="100" w:beforeAutospacing="1" w:after="100" w:afterAutospacing="1"/>
    </w:pPr>
  </w:style>
  <w:style w:type="paragraph" w:customStyle="1" w:styleId="lmttranslationsastextitem">
    <w:name w:val="lmt__translations_as_text__item"/>
    <w:basedOn w:val="Normal"/>
    <w:rsid w:val="004C5774"/>
    <w:pPr>
      <w:spacing w:before="100" w:beforeAutospacing="1" w:after="100" w:afterAutospacing="1"/>
    </w:pPr>
  </w:style>
  <w:style w:type="character" w:customStyle="1" w:styleId="UnresolvedMention1">
    <w:name w:val="Unresolved Mention1"/>
    <w:basedOn w:val="DefaultParagraphFont"/>
    <w:uiPriority w:val="99"/>
    <w:semiHidden/>
    <w:unhideWhenUsed/>
    <w:rsid w:val="003F6854"/>
    <w:rPr>
      <w:color w:val="605E5C"/>
      <w:shd w:val="clear" w:color="auto" w:fill="E1DFDD"/>
    </w:rPr>
  </w:style>
  <w:style w:type="table" w:styleId="TableGrid">
    <w:name w:val="Table Grid"/>
    <w:basedOn w:val="TableNormal"/>
    <w:uiPriority w:val="39"/>
    <w:rsid w:val="002D586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A4167A"/>
    <w:pPr>
      <w:spacing w:after="200" w:line="276" w:lineRule="auto"/>
      <w:ind w:left="720"/>
      <w:contextualSpacing/>
    </w:pPr>
    <w:rPr>
      <w:rFonts w:ascii="Calibri" w:eastAsia="Calibri" w:hAnsi="Calibri"/>
      <w:sz w:val="22"/>
      <w:szCs w:val="22"/>
    </w:rPr>
  </w:style>
  <w:style w:type="paragraph" w:customStyle="1" w:styleId="Style3">
    <w:name w:val="Style 3"/>
    <w:basedOn w:val="Normal"/>
    <w:uiPriority w:val="99"/>
    <w:rsid w:val="00A4167A"/>
    <w:pPr>
      <w:widowControl w:val="0"/>
      <w:autoSpaceDE w:val="0"/>
      <w:autoSpaceDN w:val="0"/>
      <w:spacing w:line="218" w:lineRule="auto"/>
      <w:ind w:left="432"/>
      <w:jc w:val="both"/>
    </w:pPr>
    <w:rPr>
      <w:rFonts w:ascii="Garamond" w:eastAsiaTheme="minorEastAsia" w:hAnsi="Garamond" w:cs="Garamond"/>
      <w:sz w:val="20"/>
      <w:szCs w:val="20"/>
    </w:rPr>
  </w:style>
  <w:style w:type="character" w:customStyle="1" w:styleId="CharacterStyle2">
    <w:name w:val="Character Style 2"/>
    <w:uiPriority w:val="99"/>
    <w:rsid w:val="00A4167A"/>
    <w:rPr>
      <w:rFonts w:ascii="Garamond" w:hAnsi="Garamond"/>
      <w:sz w:val="20"/>
    </w:rPr>
  </w:style>
  <w:style w:type="character" w:customStyle="1" w:styleId="CharacterStyle1">
    <w:name w:val="Character Style 1"/>
    <w:uiPriority w:val="99"/>
    <w:rsid w:val="00A4167A"/>
    <w:rPr>
      <w:b/>
      <w:sz w:val="22"/>
    </w:rPr>
  </w:style>
  <w:style w:type="paragraph" w:customStyle="1" w:styleId="Default">
    <w:name w:val="Default"/>
    <w:rsid w:val="00A4167A"/>
    <w:pPr>
      <w:autoSpaceDE w:val="0"/>
      <w:autoSpaceDN w:val="0"/>
      <w:adjustRightInd w:val="0"/>
    </w:pPr>
    <w:rPr>
      <w:rFonts w:ascii="Arial" w:hAnsi="Arial" w:cs="Arial"/>
      <w:color w:val="000000"/>
      <w:sz w:val="24"/>
      <w:szCs w:val="24"/>
      <w:lang w:val="en-US"/>
    </w:rPr>
  </w:style>
  <w:style w:type="character" w:customStyle="1" w:styleId="Ninguno">
    <w:name w:val="Ninguno"/>
    <w:rsid w:val="00BB0844"/>
  </w:style>
  <w:style w:type="paragraph" w:customStyle="1" w:styleId="Cuerpo">
    <w:name w:val="Cuerpo"/>
    <w:rsid w:val="00BB0844"/>
    <w:pPr>
      <w:pBdr>
        <w:top w:val="nil"/>
        <w:left w:val="nil"/>
        <w:bottom w:val="nil"/>
        <w:right w:val="nil"/>
        <w:between w:val="nil"/>
        <w:bar w:val="nil"/>
      </w:pBdr>
    </w:pPr>
    <w:rPr>
      <w:rFonts w:eastAsia="Arial Unicode MS" w:cs="Arial Unicode MS"/>
      <w:color w:val="000000"/>
      <w:sz w:val="24"/>
      <w:szCs w:val="24"/>
      <w:u w:color="000000"/>
      <w:bdr w:val="nil"/>
      <w:lang w:val="es-ES_tradnl"/>
      <w14:textOutline w14:w="0" w14:cap="flat" w14:cmpd="sng" w14:algn="ctr">
        <w14:noFill/>
        <w14:prstDash w14:val="solid"/>
        <w14:bevel/>
      </w14:textOutline>
    </w:rPr>
  </w:style>
  <w:style w:type="table" w:styleId="GridTable5Dark-Accent5">
    <w:name w:val="Grid Table 5 Dark Accent 5"/>
    <w:basedOn w:val="TableNormal"/>
    <w:uiPriority w:val="50"/>
    <w:rsid w:val="00D81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1">
    <w:name w:val="Grid Table 7 Colorful Accent 1"/>
    <w:basedOn w:val="TableNormal"/>
    <w:uiPriority w:val="52"/>
    <w:rsid w:val="00D8109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BF17A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s-alignment-element">
    <w:name w:val="ts-alignment-element"/>
    <w:basedOn w:val="DefaultParagraphFont"/>
    <w:rsid w:val="00F674DC"/>
  </w:style>
  <w:style w:type="character" w:customStyle="1" w:styleId="ts-alignment-element-highlighted">
    <w:name w:val="ts-alignment-element-highlighted"/>
    <w:basedOn w:val="DefaultParagraphFont"/>
    <w:rsid w:val="00F674DC"/>
  </w:style>
  <w:style w:type="character" w:customStyle="1" w:styleId="Heading1Char">
    <w:name w:val="Heading 1 Char"/>
    <w:basedOn w:val="DefaultParagraphFont"/>
    <w:link w:val="Heading1"/>
    <w:uiPriority w:val="9"/>
    <w:rsid w:val="000551E6"/>
    <w:rPr>
      <w:rFonts w:asciiTheme="majorHAnsi" w:eastAsiaTheme="majorEastAsia" w:hAnsiTheme="majorHAnsi" w:cstheme="majorBidi"/>
      <w:color w:val="2F5496" w:themeColor="accent1" w:themeShade="BF"/>
      <w:sz w:val="32"/>
      <w:szCs w:val="32"/>
      <w:lang w:eastAsia="fr-CA"/>
    </w:rPr>
  </w:style>
  <w:style w:type="character" w:customStyle="1" w:styleId="acopre">
    <w:name w:val="acopre"/>
    <w:basedOn w:val="DefaultParagraphFont"/>
    <w:rsid w:val="000431C2"/>
  </w:style>
  <w:style w:type="character" w:customStyle="1" w:styleId="footnotemark">
    <w:name w:val="footnote mark"/>
    <w:hidden/>
    <w:rsid w:val="00810A55"/>
    <w:rPr>
      <w:rFonts w:ascii="Times New Roman" w:eastAsia="Times New Roman" w:hAnsi="Times New Roman" w:cs="Times New Roman"/>
      <w:color w:val="000000"/>
      <w:sz w:val="18"/>
      <w:vertAlign w:val="superscript"/>
    </w:rPr>
  </w:style>
  <w:style w:type="table" w:styleId="GridTable1Light-Accent1">
    <w:name w:val="Grid Table 1 Light Accent 1"/>
    <w:basedOn w:val="TableNormal"/>
    <w:uiPriority w:val="46"/>
    <w:rsid w:val="006053D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425E4A"/>
    <w:pPr>
      <w:spacing w:before="100" w:beforeAutospacing="1" w:after="100" w:afterAutospacing="1"/>
    </w:pPr>
  </w:style>
  <w:style w:type="paragraph" w:customStyle="1" w:styleId="footnotedescription">
    <w:name w:val="footnote description"/>
    <w:next w:val="Normal"/>
    <w:link w:val="footnotedescriptionChar"/>
    <w:hidden/>
    <w:rsid w:val="0037647E"/>
    <w:pPr>
      <w:spacing w:line="259" w:lineRule="auto"/>
    </w:pPr>
    <w:rPr>
      <w:rFonts w:eastAsia="Times New Roman"/>
      <w:color w:val="000000"/>
      <w:lang w:val="en-US"/>
    </w:rPr>
  </w:style>
  <w:style w:type="character" w:customStyle="1" w:styleId="footnotedescriptionChar">
    <w:name w:val="footnote description Char"/>
    <w:link w:val="footnotedescription"/>
    <w:rsid w:val="0037647E"/>
    <w:rPr>
      <w:rFonts w:eastAsia="Times New Roman"/>
      <w:color w:val="000000"/>
      <w:lang w:val="en-US"/>
    </w:rPr>
  </w:style>
  <w:style w:type="table" w:styleId="GridTable6Colorful-Accent1">
    <w:name w:val="Grid Table 6 Colorful Accent 1"/>
    <w:basedOn w:val="TableNormal"/>
    <w:uiPriority w:val="51"/>
    <w:rsid w:val="006C693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62">
    <w:name w:val="A6+2"/>
    <w:uiPriority w:val="99"/>
    <w:rsid w:val="00A216FD"/>
    <w:rPr>
      <w:rFonts w:cs="Bernino Sans"/>
      <w:b/>
      <w:bCs/>
      <w:color w:val="000000"/>
      <w:sz w:val="22"/>
      <w:szCs w:val="22"/>
    </w:rPr>
  </w:style>
  <w:style w:type="table" w:customStyle="1" w:styleId="TableGrid0">
    <w:name w:val="TableGrid"/>
    <w:rsid w:val="00540B14"/>
    <w:rPr>
      <w:rFonts w:asciiTheme="minorHAnsi" w:eastAsiaTheme="minorEastAsia" w:hAnsiTheme="minorHAnsi" w:cstheme="minorBidi"/>
      <w:lang w:val="en-US"/>
    </w:rPr>
    <w:tblPr>
      <w:tblCellMar>
        <w:top w:w="0" w:type="dxa"/>
        <w:left w:w="0" w:type="dxa"/>
        <w:bottom w:w="0" w:type="dxa"/>
        <w:right w:w="0" w:type="dxa"/>
      </w:tblCellMar>
    </w:tblPr>
  </w:style>
  <w:style w:type="paragraph" w:styleId="EndnoteText">
    <w:name w:val="endnote text"/>
    <w:basedOn w:val="Normal"/>
    <w:link w:val="EndnoteTextChar"/>
    <w:semiHidden/>
    <w:unhideWhenUsed/>
    <w:rsid w:val="009217CA"/>
    <w:rPr>
      <w:sz w:val="20"/>
      <w:szCs w:val="20"/>
    </w:rPr>
  </w:style>
  <w:style w:type="character" w:customStyle="1" w:styleId="EndnoteTextChar">
    <w:name w:val="Endnote Text Char"/>
    <w:basedOn w:val="DefaultParagraphFont"/>
    <w:link w:val="EndnoteText"/>
    <w:uiPriority w:val="99"/>
    <w:semiHidden/>
    <w:rsid w:val="009217CA"/>
    <w:rPr>
      <w:rFonts w:eastAsia="Times New Roman"/>
      <w:sz w:val="20"/>
      <w:szCs w:val="20"/>
      <w:lang w:eastAsia="fr-CA"/>
    </w:rPr>
  </w:style>
  <w:style w:type="character" w:styleId="EndnoteReference">
    <w:name w:val="endnote reference"/>
    <w:basedOn w:val="DefaultParagraphFont"/>
    <w:semiHidden/>
    <w:unhideWhenUsed/>
    <w:rsid w:val="009217CA"/>
    <w:rPr>
      <w:vertAlign w:val="superscript"/>
    </w:rPr>
  </w:style>
  <w:style w:type="table" w:styleId="GridTable1Light-Accent5">
    <w:name w:val="Grid Table 1 Light Accent 5"/>
    <w:basedOn w:val="TableNormal"/>
    <w:uiPriority w:val="46"/>
    <w:rsid w:val="004C2B1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7941"/>
    <w:rPr>
      <w:color w:val="605E5C"/>
      <w:shd w:val="clear" w:color="auto" w:fill="E1DFDD"/>
    </w:rPr>
  </w:style>
  <w:style w:type="paragraph" w:styleId="Subtitle">
    <w:name w:val="Subtitle"/>
    <w:basedOn w:val="Normal"/>
    <w:link w:val="SubtitleChar"/>
    <w:qFormat/>
    <w:rsid w:val="00464BEE"/>
    <w:pPr>
      <w:spacing w:after="120"/>
      <w:jc w:val="center"/>
    </w:pPr>
    <w:rPr>
      <w:b/>
      <w:sz w:val="28"/>
      <w:szCs w:val="20"/>
      <w:u w:val="single"/>
      <w:lang w:val="es-MX"/>
    </w:rPr>
  </w:style>
  <w:style w:type="character" w:customStyle="1" w:styleId="SubtitleChar">
    <w:name w:val="Subtitle Char"/>
    <w:basedOn w:val="DefaultParagraphFont"/>
    <w:link w:val="Subtitle"/>
    <w:rsid w:val="00464BEE"/>
    <w:rPr>
      <w:rFonts w:eastAsia="Times New Roman"/>
      <w:b/>
      <w:sz w:val="28"/>
      <w:szCs w:val="20"/>
      <w:u w:val="single"/>
      <w:lang w:val="es-MX"/>
    </w:rPr>
  </w:style>
  <w:style w:type="paragraph" w:styleId="TOC1">
    <w:name w:val="toc 1"/>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before="480"/>
      <w:ind w:left="720" w:right="720" w:hanging="720"/>
      <w:jc w:val="both"/>
    </w:pPr>
    <w:rPr>
      <w:rFonts w:ascii="CG Times" w:hAnsi="CG Times"/>
      <w:sz w:val="22"/>
      <w:szCs w:val="20"/>
      <w:lang w:val="es-ES"/>
    </w:rPr>
  </w:style>
  <w:style w:type="paragraph" w:styleId="TOC2">
    <w:name w:val="toc 2"/>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lang w:val="es-ES"/>
    </w:rPr>
  </w:style>
  <w:style w:type="paragraph" w:styleId="TOC3">
    <w:name w:val="toc 3"/>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160" w:right="720" w:hanging="720"/>
      <w:jc w:val="both"/>
    </w:pPr>
    <w:rPr>
      <w:rFonts w:ascii="CG Times" w:hAnsi="CG Times"/>
      <w:sz w:val="22"/>
      <w:szCs w:val="20"/>
      <w:lang w:val="es-ES"/>
    </w:rPr>
  </w:style>
  <w:style w:type="paragraph" w:styleId="TOC4">
    <w:name w:val="toc 4"/>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880" w:right="720" w:hanging="720"/>
      <w:jc w:val="both"/>
    </w:pPr>
    <w:rPr>
      <w:rFonts w:ascii="CG Times" w:hAnsi="CG Times"/>
      <w:sz w:val="22"/>
      <w:szCs w:val="20"/>
      <w:lang w:val="es-ES"/>
    </w:rPr>
  </w:style>
  <w:style w:type="paragraph" w:styleId="TOC5">
    <w:name w:val="toc 5"/>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3600" w:right="720" w:hanging="720"/>
      <w:jc w:val="both"/>
    </w:pPr>
    <w:rPr>
      <w:rFonts w:ascii="CG Times" w:hAnsi="CG Times"/>
      <w:sz w:val="22"/>
      <w:szCs w:val="20"/>
      <w:lang w:val="es-ES"/>
    </w:rPr>
  </w:style>
  <w:style w:type="paragraph" w:styleId="TOC6">
    <w:name w:val="toc 6"/>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sz w:val="22"/>
      <w:szCs w:val="20"/>
      <w:lang w:val="es-ES"/>
    </w:rPr>
  </w:style>
  <w:style w:type="paragraph" w:styleId="TOC7">
    <w:name w:val="toc 7"/>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720"/>
      <w:jc w:val="both"/>
    </w:pPr>
    <w:rPr>
      <w:rFonts w:ascii="CG Times" w:hAnsi="CG Times"/>
      <w:sz w:val="22"/>
      <w:szCs w:val="20"/>
      <w:lang w:val="es-ES"/>
    </w:rPr>
  </w:style>
  <w:style w:type="paragraph" w:styleId="TOC8">
    <w:name w:val="toc 8"/>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sz w:val="22"/>
      <w:szCs w:val="20"/>
      <w:lang w:val="es-ES"/>
    </w:rPr>
  </w:style>
  <w:style w:type="paragraph" w:styleId="TOC9">
    <w:name w:val="toc 9"/>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720" w:hanging="720"/>
      <w:jc w:val="both"/>
    </w:pPr>
    <w:rPr>
      <w:rFonts w:ascii="CG Times" w:hAnsi="CG Times"/>
      <w:sz w:val="22"/>
      <w:szCs w:val="20"/>
      <w:lang w:val="es-ES"/>
    </w:rPr>
  </w:style>
  <w:style w:type="paragraph" w:styleId="Index1">
    <w:name w:val="index 1"/>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lang w:val="es-ES"/>
    </w:rPr>
  </w:style>
  <w:style w:type="paragraph" w:styleId="Index2">
    <w:name w:val="index 2"/>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lang w:val="es-ES"/>
    </w:rPr>
  </w:style>
  <w:style w:type="paragraph" w:styleId="TOAHeading">
    <w:name w:val="toa heading"/>
    <w:basedOn w:val="Normal"/>
    <w:next w:val="Normal"/>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lang w:val="es-ES"/>
    </w:rPr>
  </w:style>
  <w:style w:type="paragraph" w:styleId="Caption">
    <w:name w:val="caption"/>
    <w:basedOn w:val="Normal"/>
    <w:next w:val="Normal"/>
    <w:qFormat/>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lang w:val="es-ES"/>
    </w:rPr>
  </w:style>
  <w:style w:type="character" w:customStyle="1" w:styleId="EquationCaption">
    <w:name w:val="_Equation Caption"/>
    <w:rsid w:val="00D72708"/>
  </w:style>
  <w:style w:type="paragraph" w:customStyle="1" w:styleId="FootnoteCall">
    <w:name w:val="Footnote Call"/>
    <w:basedOn w:val="Normal"/>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lang w:val="es-ES"/>
    </w:rPr>
  </w:style>
  <w:style w:type="paragraph" w:customStyle="1" w:styleId="CPClassification">
    <w:name w:val="CP Classification"/>
    <w:basedOn w:val="Normal"/>
    <w:rsid w:val="00D72708"/>
    <w:pPr>
      <w:tabs>
        <w:tab w:val="center" w:pos="2160"/>
        <w:tab w:val="left" w:pos="7200"/>
      </w:tabs>
      <w:ind w:left="7200" w:right="-360"/>
      <w:jc w:val="both"/>
    </w:pPr>
    <w:rPr>
      <w:sz w:val="22"/>
      <w:szCs w:val="20"/>
      <w:lang w:val="pt-PT"/>
    </w:rPr>
  </w:style>
  <w:style w:type="paragraph" w:customStyle="1" w:styleId="CPTitle">
    <w:name w:val="CP Title"/>
    <w:basedOn w:val="Normal"/>
    <w:rsid w:val="00D72708"/>
    <w:pPr>
      <w:tabs>
        <w:tab w:val="left" w:pos="720"/>
        <w:tab w:val="left" w:pos="1440"/>
        <w:tab w:val="left" w:pos="2160"/>
        <w:tab w:val="left" w:pos="2880"/>
        <w:tab w:val="left" w:pos="7200"/>
        <w:tab w:val="left" w:pos="7920"/>
        <w:tab w:val="left" w:pos="8640"/>
      </w:tabs>
      <w:jc w:val="center"/>
    </w:pPr>
    <w:rPr>
      <w:sz w:val="22"/>
      <w:szCs w:val="20"/>
      <w:lang w:val="pt-PT"/>
    </w:rPr>
  </w:style>
  <w:style w:type="character" w:customStyle="1" w:styleId="FootnoteCharacters">
    <w:name w:val="Footnote Characters"/>
    <w:rsid w:val="00D72708"/>
    <w:rPr>
      <w:vertAlign w:val="superscript"/>
    </w:rPr>
  </w:style>
  <w:style w:type="character" w:customStyle="1" w:styleId="BodyText2Char1">
    <w:name w:val="Body Text 2 Char1"/>
    <w:basedOn w:val="DefaultParagraphFont"/>
    <w:uiPriority w:val="99"/>
    <w:semiHidden/>
    <w:locked/>
    <w:rsid w:val="00D72708"/>
    <w:rPr>
      <w:rFonts w:eastAsia="MS Mincho"/>
      <w:lang w:val="es-ES_tradnl" w:eastAsia="zh-CN"/>
    </w:rPr>
  </w:style>
  <w:style w:type="numbering" w:customStyle="1" w:styleId="Estiloimportado6">
    <w:name w:val="Estilo importado 6"/>
    <w:rsid w:val="00D72708"/>
    <w:pPr>
      <w:numPr>
        <w:numId w:val="5"/>
      </w:numPr>
    </w:pPr>
  </w:style>
  <w:style w:type="character" w:customStyle="1" w:styleId="UnresolvedMention3">
    <w:name w:val="Unresolved Mention3"/>
    <w:basedOn w:val="DefaultParagraphFont"/>
    <w:uiPriority w:val="99"/>
    <w:semiHidden/>
    <w:unhideWhenUsed/>
    <w:rsid w:val="00A85354"/>
    <w:rPr>
      <w:color w:val="605E5C"/>
      <w:shd w:val="clear" w:color="auto" w:fill="E1DFDD"/>
    </w:rPr>
  </w:style>
  <w:style w:type="character" w:styleId="UnresolvedMention">
    <w:name w:val="Unresolved Mention"/>
    <w:basedOn w:val="DefaultParagraphFont"/>
    <w:uiPriority w:val="99"/>
    <w:semiHidden/>
    <w:unhideWhenUsed/>
    <w:rsid w:val="009D0333"/>
    <w:rPr>
      <w:color w:val="605E5C"/>
      <w:shd w:val="clear" w:color="auto" w:fill="E1DFDD"/>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
    <w:basedOn w:val="Normal"/>
    <w:link w:val="FootnoteReference"/>
    <w:uiPriority w:val="99"/>
    <w:rsid w:val="001C59C2"/>
    <w:pPr>
      <w:spacing w:after="160" w:line="240" w:lineRule="exact"/>
      <w:jc w:val="both"/>
    </w:pPr>
    <w:rPr>
      <w:rFonts w:eastAsiaTheme="minorHAnsi"/>
      <w:sz w:val="22"/>
      <w:szCs w:val="22"/>
      <w:vertAlign w:val="superscript"/>
      <w:lang w:val="es-US"/>
    </w:rPr>
  </w:style>
  <w:style w:type="character" w:customStyle="1" w:styleId="wb-inv">
    <w:name w:val="wb-inv"/>
    <w:basedOn w:val="DefaultParagraphFont"/>
    <w:rsid w:val="006C2EAE"/>
  </w:style>
  <w:style w:type="character" w:customStyle="1" w:styleId="apple-converted-space">
    <w:name w:val="apple-converted-space"/>
    <w:basedOn w:val="DefaultParagraphFont"/>
    <w:rsid w:val="00851097"/>
  </w:style>
  <w:style w:type="paragraph" w:customStyle="1" w:styleId="paragraph">
    <w:name w:val="paragraph"/>
    <w:basedOn w:val="Normal"/>
    <w:rsid w:val="007B0A92"/>
    <w:pPr>
      <w:spacing w:before="100" w:beforeAutospacing="1" w:after="100" w:afterAutospacing="1"/>
    </w:pPr>
  </w:style>
  <w:style w:type="character" w:customStyle="1" w:styleId="normaltextrun">
    <w:name w:val="normaltextrun"/>
    <w:basedOn w:val="DefaultParagraphFont"/>
    <w:rsid w:val="007B0A92"/>
  </w:style>
  <w:style w:type="character" w:customStyle="1" w:styleId="eop">
    <w:name w:val="eop"/>
    <w:basedOn w:val="DefaultParagraphFont"/>
    <w:rsid w:val="007B0A92"/>
  </w:style>
  <w:style w:type="character" w:customStyle="1" w:styleId="superscript">
    <w:name w:val="superscript"/>
    <w:basedOn w:val="DefaultParagraphFont"/>
    <w:rsid w:val="007B0A92"/>
  </w:style>
  <w:style w:type="character" w:customStyle="1" w:styleId="coglossaryterm">
    <w:name w:val="co_glossaryterm"/>
    <w:basedOn w:val="DefaultParagraphFont"/>
    <w:rsid w:val="00414329"/>
  </w:style>
  <w:style w:type="character" w:styleId="HTMLCite">
    <w:name w:val="HTML Cite"/>
    <w:basedOn w:val="DefaultParagraphFont"/>
    <w:uiPriority w:val="99"/>
    <w:semiHidden/>
    <w:unhideWhenUsed/>
    <w:rsid w:val="00B143AB"/>
    <w:rPr>
      <w:i/>
      <w:iCs/>
    </w:rPr>
  </w:style>
  <w:style w:type="paragraph" w:customStyle="1" w:styleId="subsection">
    <w:name w:val="subsection"/>
    <w:basedOn w:val="Normal"/>
    <w:rsid w:val="00B02699"/>
    <w:pPr>
      <w:spacing w:before="100" w:beforeAutospacing="1" w:after="100" w:afterAutospacing="1"/>
    </w:pPr>
  </w:style>
  <w:style w:type="character" w:customStyle="1" w:styleId="sectionlabel">
    <w:name w:val="sectionlabel"/>
    <w:basedOn w:val="DefaultParagraphFont"/>
    <w:rsid w:val="00B02699"/>
  </w:style>
  <w:style w:type="character" w:customStyle="1" w:styleId="lawlabel">
    <w:name w:val="lawlabel"/>
    <w:basedOn w:val="DefaultParagraphFont"/>
    <w:rsid w:val="00B02699"/>
  </w:style>
  <w:style w:type="paragraph" w:customStyle="1" w:styleId="marginalnote">
    <w:name w:val="marginalnote"/>
    <w:basedOn w:val="Normal"/>
    <w:rsid w:val="00B02699"/>
    <w:pPr>
      <w:spacing w:before="100" w:beforeAutospacing="1" w:after="100" w:afterAutospacing="1"/>
    </w:pPr>
  </w:style>
  <w:style w:type="character" w:customStyle="1" w:styleId="wb-invisible">
    <w:name w:val="wb-invisible"/>
    <w:basedOn w:val="DefaultParagraphFont"/>
    <w:rsid w:val="00B02699"/>
  </w:style>
  <w:style w:type="paragraph" w:customStyle="1" w:styleId="xmsonormal">
    <w:name w:val="x_msonormal"/>
    <w:basedOn w:val="Normal"/>
    <w:rsid w:val="00242B89"/>
    <w:pPr>
      <w:spacing w:before="100" w:beforeAutospacing="1" w:after="100" w:afterAutospacing="1"/>
    </w:pPr>
  </w:style>
  <w:style w:type="character" w:customStyle="1" w:styleId="mark2ydncin4w">
    <w:name w:val="mark2ydncin4w"/>
    <w:basedOn w:val="DefaultParagraphFont"/>
    <w:rsid w:val="00052AAF"/>
  </w:style>
  <w:style w:type="paragraph" w:customStyle="1" w:styleId="paranondepar-altn">
    <w:name w:val="paranondepar-altn"/>
    <w:basedOn w:val="Normal"/>
    <w:rsid w:val="0081353E"/>
    <w:pPr>
      <w:spacing w:before="100" w:beforeAutospacing="1" w:after="100" w:afterAutospacing="1"/>
    </w:pPr>
  </w:style>
  <w:style w:type="paragraph" w:customStyle="1" w:styleId="continuedsectionsubsection">
    <w:name w:val="continuedsectionsubsection"/>
    <w:basedOn w:val="Normal"/>
    <w:rsid w:val="002754E9"/>
    <w:pPr>
      <w:spacing w:before="100" w:beforeAutospacing="1" w:after="100" w:afterAutospacing="1"/>
    </w:pPr>
  </w:style>
  <w:style w:type="character" w:customStyle="1" w:styleId="definedtermlink">
    <w:name w:val="definedtermlink"/>
    <w:basedOn w:val="DefaultParagraphFont"/>
    <w:rsid w:val="007D003D"/>
  </w:style>
  <w:style w:type="paragraph" w:customStyle="1" w:styleId="definition">
    <w:name w:val="definition"/>
    <w:basedOn w:val="Normal"/>
    <w:rsid w:val="007D003D"/>
    <w:pPr>
      <w:spacing w:before="100" w:beforeAutospacing="1" w:after="100" w:afterAutospacing="1"/>
    </w:pPr>
  </w:style>
  <w:style w:type="character" w:styleId="HTMLDefinition">
    <w:name w:val="HTML Definition"/>
    <w:basedOn w:val="DefaultParagraphFont"/>
    <w:uiPriority w:val="99"/>
    <w:semiHidden/>
    <w:unhideWhenUsed/>
    <w:rsid w:val="007D003D"/>
    <w:rPr>
      <w:i/>
      <w:iCs/>
    </w:rPr>
  </w:style>
  <w:style w:type="paragraph" w:customStyle="1" w:styleId="subparagraph">
    <w:name w:val="subparagraph"/>
    <w:basedOn w:val="Normal"/>
    <w:rsid w:val="007D003D"/>
    <w:pPr>
      <w:spacing w:before="100" w:beforeAutospacing="1" w:after="100" w:afterAutospacing="1"/>
    </w:pPr>
  </w:style>
  <w:style w:type="paragraph" w:customStyle="1" w:styleId="productherostyledproductdescription-sc-5wvdsu-12">
    <w:name w:val="producthero__styledproductdescription-sc-5wvdsu-12"/>
    <w:basedOn w:val="Normal"/>
    <w:rsid w:val="0084771A"/>
    <w:pPr>
      <w:spacing w:before="100" w:beforeAutospacing="1" w:after="100" w:afterAutospacing="1"/>
    </w:pPr>
  </w:style>
  <w:style w:type="paragraph" w:styleId="HTMLPreformatted">
    <w:name w:val="HTML Preformatted"/>
    <w:basedOn w:val="Normal"/>
    <w:link w:val="HTMLPreformattedChar"/>
    <w:uiPriority w:val="99"/>
    <w:semiHidden/>
    <w:unhideWhenUsed/>
    <w:rsid w:val="0079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5A82"/>
    <w:rPr>
      <w:rFonts w:ascii="Courier New" w:eastAsia="Times New Roman" w:hAnsi="Courier New" w:cs="Courier New"/>
      <w:sz w:val="20"/>
      <w:szCs w:val="20"/>
      <w:lang w:val="en-US"/>
    </w:rPr>
  </w:style>
  <w:style w:type="character" w:customStyle="1" w:styleId="num">
    <w:name w:val="num"/>
    <w:basedOn w:val="DefaultParagraphFont"/>
    <w:rsid w:val="00932C1D"/>
  </w:style>
  <w:style w:type="character" w:customStyle="1" w:styleId="chapeau">
    <w:name w:val="chapeau"/>
    <w:basedOn w:val="DefaultParagraphFont"/>
    <w:rsid w:val="00102C07"/>
  </w:style>
  <w:style w:type="paragraph" w:customStyle="1" w:styleId="xxmsonormal">
    <w:name w:val="x_xmsonormal"/>
    <w:basedOn w:val="Normal"/>
    <w:rsid w:val="00E37D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93">
      <w:bodyDiv w:val="1"/>
      <w:marLeft w:val="0"/>
      <w:marRight w:val="0"/>
      <w:marTop w:val="0"/>
      <w:marBottom w:val="0"/>
      <w:divBdr>
        <w:top w:val="none" w:sz="0" w:space="0" w:color="auto"/>
        <w:left w:val="none" w:sz="0" w:space="0" w:color="auto"/>
        <w:bottom w:val="none" w:sz="0" w:space="0" w:color="auto"/>
        <w:right w:val="none" w:sz="0" w:space="0" w:color="auto"/>
      </w:divBdr>
    </w:div>
    <w:div w:id="19674070">
      <w:bodyDiv w:val="1"/>
      <w:marLeft w:val="0"/>
      <w:marRight w:val="0"/>
      <w:marTop w:val="0"/>
      <w:marBottom w:val="0"/>
      <w:divBdr>
        <w:top w:val="none" w:sz="0" w:space="0" w:color="auto"/>
        <w:left w:val="none" w:sz="0" w:space="0" w:color="auto"/>
        <w:bottom w:val="none" w:sz="0" w:space="0" w:color="auto"/>
        <w:right w:val="none" w:sz="0" w:space="0" w:color="auto"/>
      </w:divBdr>
    </w:div>
    <w:div w:id="20012920">
      <w:bodyDiv w:val="1"/>
      <w:marLeft w:val="0"/>
      <w:marRight w:val="0"/>
      <w:marTop w:val="0"/>
      <w:marBottom w:val="0"/>
      <w:divBdr>
        <w:top w:val="none" w:sz="0" w:space="0" w:color="auto"/>
        <w:left w:val="none" w:sz="0" w:space="0" w:color="auto"/>
        <w:bottom w:val="none" w:sz="0" w:space="0" w:color="auto"/>
        <w:right w:val="none" w:sz="0" w:space="0" w:color="auto"/>
      </w:divBdr>
    </w:div>
    <w:div w:id="27730790">
      <w:bodyDiv w:val="1"/>
      <w:marLeft w:val="0"/>
      <w:marRight w:val="0"/>
      <w:marTop w:val="0"/>
      <w:marBottom w:val="0"/>
      <w:divBdr>
        <w:top w:val="none" w:sz="0" w:space="0" w:color="auto"/>
        <w:left w:val="none" w:sz="0" w:space="0" w:color="auto"/>
        <w:bottom w:val="none" w:sz="0" w:space="0" w:color="auto"/>
        <w:right w:val="none" w:sz="0" w:space="0" w:color="auto"/>
      </w:divBdr>
    </w:div>
    <w:div w:id="37898452">
      <w:bodyDiv w:val="1"/>
      <w:marLeft w:val="0"/>
      <w:marRight w:val="0"/>
      <w:marTop w:val="0"/>
      <w:marBottom w:val="0"/>
      <w:divBdr>
        <w:top w:val="none" w:sz="0" w:space="0" w:color="auto"/>
        <w:left w:val="none" w:sz="0" w:space="0" w:color="auto"/>
        <w:bottom w:val="none" w:sz="0" w:space="0" w:color="auto"/>
        <w:right w:val="none" w:sz="0" w:space="0" w:color="auto"/>
      </w:divBdr>
    </w:div>
    <w:div w:id="46878494">
      <w:bodyDiv w:val="1"/>
      <w:marLeft w:val="0"/>
      <w:marRight w:val="0"/>
      <w:marTop w:val="0"/>
      <w:marBottom w:val="0"/>
      <w:divBdr>
        <w:top w:val="none" w:sz="0" w:space="0" w:color="auto"/>
        <w:left w:val="none" w:sz="0" w:space="0" w:color="auto"/>
        <w:bottom w:val="none" w:sz="0" w:space="0" w:color="auto"/>
        <w:right w:val="none" w:sz="0" w:space="0" w:color="auto"/>
      </w:divBdr>
    </w:div>
    <w:div w:id="58555567">
      <w:bodyDiv w:val="1"/>
      <w:marLeft w:val="0"/>
      <w:marRight w:val="0"/>
      <w:marTop w:val="0"/>
      <w:marBottom w:val="0"/>
      <w:divBdr>
        <w:top w:val="none" w:sz="0" w:space="0" w:color="auto"/>
        <w:left w:val="none" w:sz="0" w:space="0" w:color="auto"/>
        <w:bottom w:val="none" w:sz="0" w:space="0" w:color="auto"/>
        <w:right w:val="none" w:sz="0" w:space="0" w:color="auto"/>
      </w:divBdr>
      <w:divsChild>
        <w:div w:id="1080325649">
          <w:marLeft w:val="0"/>
          <w:marRight w:val="0"/>
          <w:marTop w:val="0"/>
          <w:marBottom w:val="0"/>
          <w:divBdr>
            <w:top w:val="none" w:sz="0" w:space="0" w:color="auto"/>
            <w:left w:val="none" w:sz="0" w:space="0" w:color="auto"/>
            <w:bottom w:val="none" w:sz="0" w:space="0" w:color="auto"/>
            <w:right w:val="none" w:sz="0" w:space="0" w:color="auto"/>
          </w:divBdr>
          <w:divsChild>
            <w:div w:id="2040931716">
              <w:marLeft w:val="0"/>
              <w:marRight w:val="0"/>
              <w:marTop w:val="0"/>
              <w:marBottom w:val="0"/>
              <w:divBdr>
                <w:top w:val="none" w:sz="0" w:space="0" w:color="auto"/>
                <w:left w:val="none" w:sz="0" w:space="0" w:color="auto"/>
                <w:bottom w:val="none" w:sz="0" w:space="0" w:color="auto"/>
                <w:right w:val="none" w:sz="0" w:space="0" w:color="auto"/>
              </w:divBdr>
              <w:divsChild>
                <w:div w:id="1322276273">
                  <w:marLeft w:val="0"/>
                  <w:marRight w:val="0"/>
                  <w:marTop w:val="0"/>
                  <w:marBottom w:val="0"/>
                  <w:divBdr>
                    <w:top w:val="none" w:sz="0" w:space="0" w:color="auto"/>
                    <w:left w:val="none" w:sz="0" w:space="0" w:color="auto"/>
                    <w:bottom w:val="none" w:sz="0" w:space="0" w:color="auto"/>
                    <w:right w:val="none" w:sz="0" w:space="0" w:color="auto"/>
                  </w:divBdr>
                  <w:divsChild>
                    <w:div w:id="342710062">
                      <w:marLeft w:val="0"/>
                      <w:marRight w:val="0"/>
                      <w:marTop w:val="0"/>
                      <w:marBottom w:val="0"/>
                      <w:divBdr>
                        <w:top w:val="none" w:sz="0" w:space="0" w:color="auto"/>
                        <w:left w:val="none" w:sz="0" w:space="0" w:color="auto"/>
                        <w:bottom w:val="none" w:sz="0" w:space="0" w:color="auto"/>
                        <w:right w:val="none" w:sz="0" w:space="0" w:color="auto"/>
                      </w:divBdr>
                    </w:div>
                    <w:div w:id="396131173">
                      <w:marLeft w:val="0"/>
                      <w:marRight w:val="0"/>
                      <w:marTop w:val="0"/>
                      <w:marBottom w:val="0"/>
                      <w:divBdr>
                        <w:top w:val="none" w:sz="0" w:space="0" w:color="auto"/>
                        <w:left w:val="none" w:sz="0" w:space="0" w:color="auto"/>
                        <w:bottom w:val="none" w:sz="0" w:space="0" w:color="auto"/>
                        <w:right w:val="none" w:sz="0" w:space="0" w:color="auto"/>
                      </w:divBdr>
                    </w:div>
                    <w:div w:id="212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6760">
      <w:bodyDiv w:val="1"/>
      <w:marLeft w:val="0"/>
      <w:marRight w:val="0"/>
      <w:marTop w:val="0"/>
      <w:marBottom w:val="0"/>
      <w:divBdr>
        <w:top w:val="none" w:sz="0" w:space="0" w:color="auto"/>
        <w:left w:val="none" w:sz="0" w:space="0" w:color="auto"/>
        <w:bottom w:val="none" w:sz="0" w:space="0" w:color="auto"/>
        <w:right w:val="none" w:sz="0" w:space="0" w:color="auto"/>
      </w:divBdr>
    </w:div>
    <w:div w:id="66390616">
      <w:bodyDiv w:val="1"/>
      <w:marLeft w:val="0"/>
      <w:marRight w:val="0"/>
      <w:marTop w:val="0"/>
      <w:marBottom w:val="0"/>
      <w:divBdr>
        <w:top w:val="none" w:sz="0" w:space="0" w:color="auto"/>
        <w:left w:val="none" w:sz="0" w:space="0" w:color="auto"/>
        <w:bottom w:val="none" w:sz="0" w:space="0" w:color="auto"/>
        <w:right w:val="none" w:sz="0" w:space="0" w:color="auto"/>
      </w:divBdr>
    </w:div>
    <w:div w:id="67266638">
      <w:bodyDiv w:val="1"/>
      <w:marLeft w:val="0"/>
      <w:marRight w:val="0"/>
      <w:marTop w:val="0"/>
      <w:marBottom w:val="0"/>
      <w:divBdr>
        <w:top w:val="none" w:sz="0" w:space="0" w:color="auto"/>
        <w:left w:val="none" w:sz="0" w:space="0" w:color="auto"/>
        <w:bottom w:val="none" w:sz="0" w:space="0" w:color="auto"/>
        <w:right w:val="none" w:sz="0" w:space="0" w:color="auto"/>
      </w:divBdr>
    </w:div>
    <w:div w:id="68621776">
      <w:bodyDiv w:val="1"/>
      <w:marLeft w:val="0"/>
      <w:marRight w:val="0"/>
      <w:marTop w:val="0"/>
      <w:marBottom w:val="0"/>
      <w:divBdr>
        <w:top w:val="none" w:sz="0" w:space="0" w:color="auto"/>
        <w:left w:val="none" w:sz="0" w:space="0" w:color="auto"/>
        <w:bottom w:val="none" w:sz="0" w:space="0" w:color="auto"/>
        <w:right w:val="none" w:sz="0" w:space="0" w:color="auto"/>
      </w:divBdr>
    </w:div>
    <w:div w:id="72707447">
      <w:bodyDiv w:val="1"/>
      <w:marLeft w:val="0"/>
      <w:marRight w:val="0"/>
      <w:marTop w:val="0"/>
      <w:marBottom w:val="0"/>
      <w:divBdr>
        <w:top w:val="none" w:sz="0" w:space="0" w:color="auto"/>
        <w:left w:val="none" w:sz="0" w:space="0" w:color="auto"/>
        <w:bottom w:val="none" w:sz="0" w:space="0" w:color="auto"/>
        <w:right w:val="none" w:sz="0" w:space="0" w:color="auto"/>
      </w:divBdr>
      <w:divsChild>
        <w:div w:id="446583811">
          <w:marLeft w:val="547"/>
          <w:marRight w:val="0"/>
          <w:marTop w:val="0"/>
          <w:marBottom w:val="0"/>
          <w:divBdr>
            <w:top w:val="none" w:sz="0" w:space="0" w:color="auto"/>
            <w:left w:val="none" w:sz="0" w:space="0" w:color="auto"/>
            <w:bottom w:val="none" w:sz="0" w:space="0" w:color="auto"/>
            <w:right w:val="none" w:sz="0" w:space="0" w:color="auto"/>
          </w:divBdr>
        </w:div>
        <w:div w:id="1369795024">
          <w:marLeft w:val="547"/>
          <w:marRight w:val="0"/>
          <w:marTop w:val="0"/>
          <w:marBottom w:val="0"/>
          <w:divBdr>
            <w:top w:val="none" w:sz="0" w:space="0" w:color="auto"/>
            <w:left w:val="none" w:sz="0" w:space="0" w:color="auto"/>
            <w:bottom w:val="none" w:sz="0" w:space="0" w:color="auto"/>
            <w:right w:val="none" w:sz="0" w:space="0" w:color="auto"/>
          </w:divBdr>
        </w:div>
        <w:div w:id="1482193536">
          <w:marLeft w:val="547"/>
          <w:marRight w:val="0"/>
          <w:marTop w:val="0"/>
          <w:marBottom w:val="0"/>
          <w:divBdr>
            <w:top w:val="none" w:sz="0" w:space="0" w:color="auto"/>
            <w:left w:val="none" w:sz="0" w:space="0" w:color="auto"/>
            <w:bottom w:val="none" w:sz="0" w:space="0" w:color="auto"/>
            <w:right w:val="none" w:sz="0" w:space="0" w:color="auto"/>
          </w:divBdr>
        </w:div>
      </w:divsChild>
    </w:div>
    <w:div w:id="77294113">
      <w:bodyDiv w:val="1"/>
      <w:marLeft w:val="0"/>
      <w:marRight w:val="0"/>
      <w:marTop w:val="0"/>
      <w:marBottom w:val="0"/>
      <w:divBdr>
        <w:top w:val="none" w:sz="0" w:space="0" w:color="auto"/>
        <w:left w:val="none" w:sz="0" w:space="0" w:color="auto"/>
        <w:bottom w:val="none" w:sz="0" w:space="0" w:color="auto"/>
        <w:right w:val="none" w:sz="0" w:space="0" w:color="auto"/>
      </w:divBdr>
    </w:div>
    <w:div w:id="82267332">
      <w:bodyDiv w:val="1"/>
      <w:marLeft w:val="0"/>
      <w:marRight w:val="0"/>
      <w:marTop w:val="0"/>
      <w:marBottom w:val="0"/>
      <w:divBdr>
        <w:top w:val="none" w:sz="0" w:space="0" w:color="auto"/>
        <w:left w:val="none" w:sz="0" w:space="0" w:color="auto"/>
        <w:bottom w:val="none" w:sz="0" w:space="0" w:color="auto"/>
        <w:right w:val="none" w:sz="0" w:space="0" w:color="auto"/>
      </w:divBdr>
    </w:div>
    <w:div w:id="83309270">
      <w:bodyDiv w:val="1"/>
      <w:marLeft w:val="0"/>
      <w:marRight w:val="0"/>
      <w:marTop w:val="0"/>
      <w:marBottom w:val="0"/>
      <w:divBdr>
        <w:top w:val="none" w:sz="0" w:space="0" w:color="auto"/>
        <w:left w:val="none" w:sz="0" w:space="0" w:color="auto"/>
        <w:bottom w:val="none" w:sz="0" w:space="0" w:color="auto"/>
        <w:right w:val="none" w:sz="0" w:space="0" w:color="auto"/>
      </w:divBdr>
      <w:divsChild>
        <w:div w:id="70931607">
          <w:marLeft w:val="360"/>
          <w:marRight w:val="0"/>
          <w:marTop w:val="200"/>
          <w:marBottom w:val="0"/>
          <w:divBdr>
            <w:top w:val="none" w:sz="0" w:space="0" w:color="auto"/>
            <w:left w:val="none" w:sz="0" w:space="0" w:color="auto"/>
            <w:bottom w:val="none" w:sz="0" w:space="0" w:color="auto"/>
            <w:right w:val="none" w:sz="0" w:space="0" w:color="auto"/>
          </w:divBdr>
        </w:div>
        <w:div w:id="1034036053">
          <w:marLeft w:val="360"/>
          <w:marRight w:val="0"/>
          <w:marTop w:val="200"/>
          <w:marBottom w:val="0"/>
          <w:divBdr>
            <w:top w:val="none" w:sz="0" w:space="0" w:color="auto"/>
            <w:left w:val="none" w:sz="0" w:space="0" w:color="auto"/>
            <w:bottom w:val="none" w:sz="0" w:space="0" w:color="auto"/>
            <w:right w:val="none" w:sz="0" w:space="0" w:color="auto"/>
          </w:divBdr>
        </w:div>
        <w:div w:id="1421834374">
          <w:marLeft w:val="360"/>
          <w:marRight w:val="0"/>
          <w:marTop w:val="200"/>
          <w:marBottom w:val="0"/>
          <w:divBdr>
            <w:top w:val="none" w:sz="0" w:space="0" w:color="auto"/>
            <w:left w:val="none" w:sz="0" w:space="0" w:color="auto"/>
            <w:bottom w:val="none" w:sz="0" w:space="0" w:color="auto"/>
            <w:right w:val="none" w:sz="0" w:space="0" w:color="auto"/>
          </w:divBdr>
        </w:div>
        <w:div w:id="1730302765">
          <w:marLeft w:val="360"/>
          <w:marRight w:val="0"/>
          <w:marTop w:val="200"/>
          <w:marBottom w:val="0"/>
          <w:divBdr>
            <w:top w:val="none" w:sz="0" w:space="0" w:color="auto"/>
            <w:left w:val="none" w:sz="0" w:space="0" w:color="auto"/>
            <w:bottom w:val="none" w:sz="0" w:space="0" w:color="auto"/>
            <w:right w:val="none" w:sz="0" w:space="0" w:color="auto"/>
          </w:divBdr>
        </w:div>
        <w:div w:id="1845245559">
          <w:marLeft w:val="360"/>
          <w:marRight w:val="0"/>
          <w:marTop w:val="200"/>
          <w:marBottom w:val="0"/>
          <w:divBdr>
            <w:top w:val="none" w:sz="0" w:space="0" w:color="auto"/>
            <w:left w:val="none" w:sz="0" w:space="0" w:color="auto"/>
            <w:bottom w:val="none" w:sz="0" w:space="0" w:color="auto"/>
            <w:right w:val="none" w:sz="0" w:space="0" w:color="auto"/>
          </w:divBdr>
        </w:div>
      </w:divsChild>
    </w:div>
    <w:div w:id="88891468">
      <w:bodyDiv w:val="1"/>
      <w:marLeft w:val="0"/>
      <w:marRight w:val="0"/>
      <w:marTop w:val="0"/>
      <w:marBottom w:val="0"/>
      <w:divBdr>
        <w:top w:val="none" w:sz="0" w:space="0" w:color="auto"/>
        <w:left w:val="none" w:sz="0" w:space="0" w:color="auto"/>
        <w:bottom w:val="none" w:sz="0" w:space="0" w:color="auto"/>
        <w:right w:val="none" w:sz="0" w:space="0" w:color="auto"/>
      </w:divBdr>
    </w:div>
    <w:div w:id="95562672">
      <w:bodyDiv w:val="1"/>
      <w:marLeft w:val="0"/>
      <w:marRight w:val="0"/>
      <w:marTop w:val="0"/>
      <w:marBottom w:val="0"/>
      <w:divBdr>
        <w:top w:val="none" w:sz="0" w:space="0" w:color="auto"/>
        <w:left w:val="none" w:sz="0" w:space="0" w:color="auto"/>
        <w:bottom w:val="none" w:sz="0" w:space="0" w:color="auto"/>
        <w:right w:val="none" w:sz="0" w:space="0" w:color="auto"/>
      </w:divBdr>
    </w:div>
    <w:div w:id="96800500">
      <w:bodyDiv w:val="1"/>
      <w:marLeft w:val="0"/>
      <w:marRight w:val="0"/>
      <w:marTop w:val="0"/>
      <w:marBottom w:val="0"/>
      <w:divBdr>
        <w:top w:val="none" w:sz="0" w:space="0" w:color="auto"/>
        <w:left w:val="none" w:sz="0" w:space="0" w:color="auto"/>
        <w:bottom w:val="none" w:sz="0" w:space="0" w:color="auto"/>
        <w:right w:val="none" w:sz="0" w:space="0" w:color="auto"/>
      </w:divBdr>
    </w:div>
    <w:div w:id="107549786">
      <w:bodyDiv w:val="1"/>
      <w:marLeft w:val="0"/>
      <w:marRight w:val="0"/>
      <w:marTop w:val="0"/>
      <w:marBottom w:val="0"/>
      <w:divBdr>
        <w:top w:val="none" w:sz="0" w:space="0" w:color="auto"/>
        <w:left w:val="none" w:sz="0" w:space="0" w:color="auto"/>
        <w:bottom w:val="none" w:sz="0" w:space="0" w:color="auto"/>
        <w:right w:val="none" w:sz="0" w:space="0" w:color="auto"/>
      </w:divBdr>
    </w:div>
    <w:div w:id="111629756">
      <w:bodyDiv w:val="1"/>
      <w:marLeft w:val="0"/>
      <w:marRight w:val="0"/>
      <w:marTop w:val="0"/>
      <w:marBottom w:val="0"/>
      <w:divBdr>
        <w:top w:val="none" w:sz="0" w:space="0" w:color="auto"/>
        <w:left w:val="none" w:sz="0" w:space="0" w:color="auto"/>
        <w:bottom w:val="none" w:sz="0" w:space="0" w:color="auto"/>
        <w:right w:val="none" w:sz="0" w:space="0" w:color="auto"/>
      </w:divBdr>
      <w:divsChild>
        <w:div w:id="1759213787">
          <w:marLeft w:val="0"/>
          <w:marRight w:val="0"/>
          <w:marTop w:val="0"/>
          <w:marBottom w:val="0"/>
          <w:divBdr>
            <w:top w:val="none" w:sz="0" w:space="0" w:color="auto"/>
            <w:left w:val="none" w:sz="0" w:space="0" w:color="auto"/>
            <w:bottom w:val="none" w:sz="0" w:space="0" w:color="auto"/>
            <w:right w:val="none" w:sz="0" w:space="0" w:color="auto"/>
          </w:divBdr>
          <w:divsChild>
            <w:div w:id="298807784">
              <w:marLeft w:val="0"/>
              <w:marRight w:val="0"/>
              <w:marTop w:val="0"/>
              <w:marBottom w:val="0"/>
              <w:divBdr>
                <w:top w:val="none" w:sz="0" w:space="0" w:color="auto"/>
                <w:left w:val="none" w:sz="0" w:space="0" w:color="auto"/>
                <w:bottom w:val="none" w:sz="0" w:space="0" w:color="auto"/>
                <w:right w:val="none" w:sz="0" w:space="0" w:color="auto"/>
              </w:divBdr>
              <w:divsChild>
                <w:div w:id="880634481">
                  <w:marLeft w:val="0"/>
                  <w:marRight w:val="0"/>
                  <w:marTop w:val="0"/>
                  <w:marBottom w:val="0"/>
                  <w:divBdr>
                    <w:top w:val="none" w:sz="0" w:space="0" w:color="auto"/>
                    <w:left w:val="none" w:sz="0" w:space="0" w:color="auto"/>
                    <w:bottom w:val="none" w:sz="0" w:space="0" w:color="auto"/>
                    <w:right w:val="none" w:sz="0" w:space="0" w:color="auto"/>
                  </w:divBdr>
                  <w:divsChild>
                    <w:div w:id="419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4322">
      <w:bodyDiv w:val="1"/>
      <w:marLeft w:val="0"/>
      <w:marRight w:val="0"/>
      <w:marTop w:val="0"/>
      <w:marBottom w:val="0"/>
      <w:divBdr>
        <w:top w:val="none" w:sz="0" w:space="0" w:color="auto"/>
        <w:left w:val="none" w:sz="0" w:space="0" w:color="auto"/>
        <w:bottom w:val="none" w:sz="0" w:space="0" w:color="auto"/>
        <w:right w:val="none" w:sz="0" w:space="0" w:color="auto"/>
      </w:divBdr>
      <w:divsChild>
        <w:div w:id="2053187063">
          <w:marLeft w:val="0"/>
          <w:marRight w:val="0"/>
          <w:marTop w:val="0"/>
          <w:marBottom w:val="0"/>
          <w:divBdr>
            <w:top w:val="none" w:sz="0" w:space="0" w:color="auto"/>
            <w:left w:val="none" w:sz="0" w:space="0" w:color="auto"/>
            <w:bottom w:val="none" w:sz="0" w:space="0" w:color="auto"/>
            <w:right w:val="none" w:sz="0" w:space="0" w:color="auto"/>
          </w:divBdr>
          <w:divsChild>
            <w:div w:id="846554222">
              <w:marLeft w:val="0"/>
              <w:marRight w:val="0"/>
              <w:marTop w:val="0"/>
              <w:marBottom w:val="0"/>
              <w:divBdr>
                <w:top w:val="none" w:sz="0" w:space="0" w:color="auto"/>
                <w:left w:val="none" w:sz="0" w:space="0" w:color="auto"/>
                <w:bottom w:val="none" w:sz="0" w:space="0" w:color="auto"/>
                <w:right w:val="none" w:sz="0" w:space="0" w:color="auto"/>
              </w:divBdr>
              <w:divsChild>
                <w:div w:id="323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9141">
      <w:bodyDiv w:val="1"/>
      <w:marLeft w:val="0"/>
      <w:marRight w:val="0"/>
      <w:marTop w:val="0"/>
      <w:marBottom w:val="0"/>
      <w:divBdr>
        <w:top w:val="none" w:sz="0" w:space="0" w:color="auto"/>
        <w:left w:val="none" w:sz="0" w:space="0" w:color="auto"/>
        <w:bottom w:val="none" w:sz="0" w:space="0" w:color="auto"/>
        <w:right w:val="none" w:sz="0" w:space="0" w:color="auto"/>
      </w:divBdr>
    </w:div>
    <w:div w:id="123811451">
      <w:bodyDiv w:val="1"/>
      <w:marLeft w:val="0"/>
      <w:marRight w:val="0"/>
      <w:marTop w:val="0"/>
      <w:marBottom w:val="0"/>
      <w:divBdr>
        <w:top w:val="none" w:sz="0" w:space="0" w:color="auto"/>
        <w:left w:val="none" w:sz="0" w:space="0" w:color="auto"/>
        <w:bottom w:val="none" w:sz="0" w:space="0" w:color="auto"/>
        <w:right w:val="none" w:sz="0" w:space="0" w:color="auto"/>
      </w:divBdr>
    </w:div>
    <w:div w:id="126749374">
      <w:bodyDiv w:val="1"/>
      <w:marLeft w:val="0"/>
      <w:marRight w:val="0"/>
      <w:marTop w:val="0"/>
      <w:marBottom w:val="0"/>
      <w:divBdr>
        <w:top w:val="none" w:sz="0" w:space="0" w:color="auto"/>
        <w:left w:val="none" w:sz="0" w:space="0" w:color="auto"/>
        <w:bottom w:val="none" w:sz="0" w:space="0" w:color="auto"/>
        <w:right w:val="none" w:sz="0" w:space="0" w:color="auto"/>
      </w:divBdr>
      <w:divsChild>
        <w:div w:id="1071582007">
          <w:marLeft w:val="360"/>
          <w:marRight w:val="0"/>
          <w:marTop w:val="200"/>
          <w:marBottom w:val="0"/>
          <w:divBdr>
            <w:top w:val="none" w:sz="0" w:space="0" w:color="auto"/>
            <w:left w:val="none" w:sz="0" w:space="0" w:color="auto"/>
            <w:bottom w:val="none" w:sz="0" w:space="0" w:color="auto"/>
            <w:right w:val="none" w:sz="0" w:space="0" w:color="auto"/>
          </w:divBdr>
        </w:div>
        <w:div w:id="1231114916">
          <w:marLeft w:val="1080"/>
          <w:marRight w:val="0"/>
          <w:marTop w:val="100"/>
          <w:marBottom w:val="0"/>
          <w:divBdr>
            <w:top w:val="none" w:sz="0" w:space="0" w:color="auto"/>
            <w:left w:val="none" w:sz="0" w:space="0" w:color="auto"/>
            <w:bottom w:val="none" w:sz="0" w:space="0" w:color="auto"/>
            <w:right w:val="none" w:sz="0" w:space="0" w:color="auto"/>
          </w:divBdr>
        </w:div>
        <w:div w:id="1739666336">
          <w:marLeft w:val="1080"/>
          <w:marRight w:val="0"/>
          <w:marTop w:val="100"/>
          <w:marBottom w:val="0"/>
          <w:divBdr>
            <w:top w:val="none" w:sz="0" w:space="0" w:color="auto"/>
            <w:left w:val="none" w:sz="0" w:space="0" w:color="auto"/>
            <w:bottom w:val="none" w:sz="0" w:space="0" w:color="auto"/>
            <w:right w:val="none" w:sz="0" w:space="0" w:color="auto"/>
          </w:divBdr>
        </w:div>
        <w:div w:id="1998146755">
          <w:marLeft w:val="1080"/>
          <w:marRight w:val="0"/>
          <w:marTop w:val="100"/>
          <w:marBottom w:val="0"/>
          <w:divBdr>
            <w:top w:val="none" w:sz="0" w:space="0" w:color="auto"/>
            <w:left w:val="none" w:sz="0" w:space="0" w:color="auto"/>
            <w:bottom w:val="none" w:sz="0" w:space="0" w:color="auto"/>
            <w:right w:val="none" w:sz="0" w:space="0" w:color="auto"/>
          </w:divBdr>
        </w:div>
      </w:divsChild>
    </w:div>
    <w:div w:id="130098399">
      <w:bodyDiv w:val="1"/>
      <w:marLeft w:val="0"/>
      <w:marRight w:val="0"/>
      <w:marTop w:val="0"/>
      <w:marBottom w:val="0"/>
      <w:divBdr>
        <w:top w:val="none" w:sz="0" w:space="0" w:color="auto"/>
        <w:left w:val="none" w:sz="0" w:space="0" w:color="auto"/>
        <w:bottom w:val="none" w:sz="0" w:space="0" w:color="auto"/>
        <w:right w:val="none" w:sz="0" w:space="0" w:color="auto"/>
      </w:divBdr>
    </w:div>
    <w:div w:id="137766303">
      <w:bodyDiv w:val="1"/>
      <w:marLeft w:val="0"/>
      <w:marRight w:val="0"/>
      <w:marTop w:val="0"/>
      <w:marBottom w:val="0"/>
      <w:divBdr>
        <w:top w:val="none" w:sz="0" w:space="0" w:color="auto"/>
        <w:left w:val="none" w:sz="0" w:space="0" w:color="auto"/>
        <w:bottom w:val="none" w:sz="0" w:space="0" w:color="auto"/>
        <w:right w:val="none" w:sz="0" w:space="0" w:color="auto"/>
      </w:divBdr>
      <w:divsChild>
        <w:div w:id="1276862804">
          <w:marLeft w:val="0"/>
          <w:marRight w:val="0"/>
          <w:marTop w:val="0"/>
          <w:marBottom w:val="0"/>
          <w:divBdr>
            <w:top w:val="none" w:sz="0" w:space="0" w:color="auto"/>
            <w:left w:val="none" w:sz="0" w:space="0" w:color="auto"/>
            <w:bottom w:val="none" w:sz="0" w:space="0" w:color="auto"/>
            <w:right w:val="none" w:sz="0" w:space="0" w:color="auto"/>
          </w:divBdr>
          <w:divsChild>
            <w:div w:id="1069155110">
              <w:marLeft w:val="0"/>
              <w:marRight w:val="0"/>
              <w:marTop w:val="0"/>
              <w:marBottom w:val="0"/>
              <w:divBdr>
                <w:top w:val="none" w:sz="0" w:space="0" w:color="auto"/>
                <w:left w:val="none" w:sz="0" w:space="0" w:color="auto"/>
                <w:bottom w:val="none" w:sz="0" w:space="0" w:color="auto"/>
                <w:right w:val="none" w:sz="0" w:space="0" w:color="auto"/>
              </w:divBdr>
              <w:divsChild>
                <w:div w:id="7488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1852">
      <w:bodyDiv w:val="1"/>
      <w:marLeft w:val="0"/>
      <w:marRight w:val="0"/>
      <w:marTop w:val="0"/>
      <w:marBottom w:val="0"/>
      <w:divBdr>
        <w:top w:val="none" w:sz="0" w:space="0" w:color="auto"/>
        <w:left w:val="none" w:sz="0" w:space="0" w:color="auto"/>
        <w:bottom w:val="none" w:sz="0" w:space="0" w:color="auto"/>
        <w:right w:val="none" w:sz="0" w:space="0" w:color="auto"/>
      </w:divBdr>
    </w:div>
    <w:div w:id="142701086">
      <w:bodyDiv w:val="1"/>
      <w:marLeft w:val="0"/>
      <w:marRight w:val="0"/>
      <w:marTop w:val="0"/>
      <w:marBottom w:val="0"/>
      <w:divBdr>
        <w:top w:val="none" w:sz="0" w:space="0" w:color="auto"/>
        <w:left w:val="none" w:sz="0" w:space="0" w:color="auto"/>
        <w:bottom w:val="none" w:sz="0" w:space="0" w:color="auto"/>
        <w:right w:val="none" w:sz="0" w:space="0" w:color="auto"/>
      </w:divBdr>
    </w:div>
    <w:div w:id="144975795">
      <w:bodyDiv w:val="1"/>
      <w:marLeft w:val="0"/>
      <w:marRight w:val="0"/>
      <w:marTop w:val="0"/>
      <w:marBottom w:val="0"/>
      <w:divBdr>
        <w:top w:val="none" w:sz="0" w:space="0" w:color="auto"/>
        <w:left w:val="none" w:sz="0" w:space="0" w:color="auto"/>
        <w:bottom w:val="none" w:sz="0" w:space="0" w:color="auto"/>
        <w:right w:val="none" w:sz="0" w:space="0" w:color="auto"/>
      </w:divBdr>
      <w:divsChild>
        <w:div w:id="1859925096">
          <w:marLeft w:val="547"/>
          <w:marRight w:val="0"/>
          <w:marTop w:val="0"/>
          <w:marBottom w:val="0"/>
          <w:divBdr>
            <w:top w:val="none" w:sz="0" w:space="0" w:color="auto"/>
            <w:left w:val="none" w:sz="0" w:space="0" w:color="auto"/>
            <w:bottom w:val="none" w:sz="0" w:space="0" w:color="auto"/>
            <w:right w:val="none" w:sz="0" w:space="0" w:color="auto"/>
          </w:divBdr>
        </w:div>
      </w:divsChild>
    </w:div>
    <w:div w:id="155847844">
      <w:bodyDiv w:val="1"/>
      <w:marLeft w:val="0"/>
      <w:marRight w:val="0"/>
      <w:marTop w:val="0"/>
      <w:marBottom w:val="0"/>
      <w:divBdr>
        <w:top w:val="none" w:sz="0" w:space="0" w:color="auto"/>
        <w:left w:val="none" w:sz="0" w:space="0" w:color="auto"/>
        <w:bottom w:val="none" w:sz="0" w:space="0" w:color="auto"/>
        <w:right w:val="none" w:sz="0" w:space="0" w:color="auto"/>
      </w:divBdr>
    </w:div>
    <w:div w:id="158155222">
      <w:bodyDiv w:val="1"/>
      <w:marLeft w:val="0"/>
      <w:marRight w:val="0"/>
      <w:marTop w:val="0"/>
      <w:marBottom w:val="0"/>
      <w:divBdr>
        <w:top w:val="none" w:sz="0" w:space="0" w:color="auto"/>
        <w:left w:val="none" w:sz="0" w:space="0" w:color="auto"/>
        <w:bottom w:val="none" w:sz="0" w:space="0" w:color="auto"/>
        <w:right w:val="none" w:sz="0" w:space="0" w:color="auto"/>
      </w:divBdr>
    </w:div>
    <w:div w:id="158930626">
      <w:bodyDiv w:val="1"/>
      <w:marLeft w:val="0"/>
      <w:marRight w:val="0"/>
      <w:marTop w:val="0"/>
      <w:marBottom w:val="0"/>
      <w:divBdr>
        <w:top w:val="none" w:sz="0" w:space="0" w:color="auto"/>
        <w:left w:val="none" w:sz="0" w:space="0" w:color="auto"/>
        <w:bottom w:val="none" w:sz="0" w:space="0" w:color="auto"/>
        <w:right w:val="none" w:sz="0" w:space="0" w:color="auto"/>
      </w:divBdr>
    </w:div>
    <w:div w:id="161967603">
      <w:bodyDiv w:val="1"/>
      <w:marLeft w:val="0"/>
      <w:marRight w:val="0"/>
      <w:marTop w:val="0"/>
      <w:marBottom w:val="0"/>
      <w:divBdr>
        <w:top w:val="none" w:sz="0" w:space="0" w:color="auto"/>
        <w:left w:val="none" w:sz="0" w:space="0" w:color="auto"/>
        <w:bottom w:val="none" w:sz="0" w:space="0" w:color="auto"/>
        <w:right w:val="none" w:sz="0" w:space="0" w:color="auto"/>
      </w:divBdr>
    </w:div>
    <w:div w:id="163251060">
      <w:bodyDiv w:val="1"/>
      <w:marLeft w:val="0"/>
      <w:marRight w:val="0"/>
      <w:marTop w:val="0"/>
      <w:marBottom w:val="0"/>
      <w:divBdr>
        <w:top w:val="none" w:sz="0" w:space="0" w:color="auto"/>
        <w:left w:val="none" w:sz="0" w:space="0" w:color="auto"/>
        <w:bottom w:val="none" w:sz="0" w:space="0" w:color="auto"/>
        <w:right w:val="none" w:sz="0" w:space="0" w:color="auto"/>
      </w:divBdr>
    </w:div>
    <w:div w:id="163665595">
      <w:bodyDiv w:val="1"/>
      <w:marLeft w:val="0"/>
      <w:marRight w:val="0"/>
      <w:marTop w:val="0"/>
      <w:marBottom w:val="0"/>
      <w:divBdr>
        <w:top w:val="none" w:sz="0" w:space="0" w:color="auto"/>
        <w:left w:val="none" w:sz="0" w:space="0" w:color="auto"/>
        <w:bottom w:val="none" w:sz="0" w:space="0" w:color="auto"/>
        <w:right w:val="none" w:sz="0" w:space="0" w:color="auto"/>
      </w:divBdr>
    </w:div>
    <w:div w:id="165285821">
      <w:bodyDiv w:val="1"/>
      <w:marLeft w:val="0"/>
      <w:marRight w:val="0"/>
      <w:marTop w:val="0"/>
      <w:marBottom w:val="0"/>
      <w:divBdr>
        <w:top w:val="none" w:sz="0" w:space="0" w:color="auto"/>
        <w:left w:val="none" w:sz="0" w:space="0" w:color="auto"/>
        <w:bottom w:val="none" w:sz="0" w:space="0" w:color="auto"/>
        <w:right w:val="none" w:sz="0" w:space="0" w:color="auto"/>
      </w:divBdr>
    </w:div>
    <w:div w:id="176161129">
      <w:bodyDiv w:val="1"/>
      <w:marLeft w:val="0"/>
      <w:marRight w:val="0"/>
      <w:marTop w:val="0"/>
      <w:marBottom w:val="0"/>
      <w:divBdr>
        <w:top w:val="none" w:sz="0" w:space="0" w:color="auto"/>
        <w:left w:val="none" w:sz="0" w:space="0" w:color="auto"/>
        <w:bottom w:val="none" w:sz="0" w:space="0" w:color="auto"/>
        <w:right w:val="none" w:sz="0" w:space="0" w:color="auto"/>
      </w:divBdr>
    </w:div>
    <w:div w:id="176430089">
      <w:bodyDiv w:val="1"/>
      <w:marLeft w:val="0"/>
      <w:marRight w:val="0"/>
      <w:marTop w:val="0"/>
      <w:marBottom w:val="0"/>
      <w:divBdr>
        <w:top w:val="none" w:sz="0" w:space="0" w:color="auto"/>
        <w:left w:val="none" w:sz="0" w:space="0" w:color="auto"/>
        <w:bottom w:val="none" w:sz="0" w:space="0" w:color="auto"/>
        <w:right w:val="none" w:sz="0" w:space="0" w:color="auto"/>
      </w:divBdr>
      <w:divsChild>
        <w:div w:id="899900914">
          <w:marLeft w:val="0"/>
          <w:marRight w:val="0"/>
          <w:marTop w:val="0"/>
          <w:marBottom w:val="0"/>
          <w:divBdr>
            <w:top w:val="none" w:sz="0" w:space="0" w:color="auto"/>
            <w:left w:val="none" w:sz="0" w:space="0" w:color="auto"/>
            <w:bottom w:val="none" w:sz="0" w:space="0" w:color="auto"/>
            <w:right w:val="none" w:sz="0" w:space="0" w:color="auto"/>
          </w:divBdr>
        </w:div>
      </w:divsChild>
    </w:div>
    <w:div w:id="177424345">
      <w:bodyDiv w:val="1"/>
      <w:marLeft w:val="0"/>
      <w:marRight w:val="0"/>
      <w:marTop w:val="0"/>
      <w:marBottom w:val="0"/>
      <w:divBdr>
        <w:top w:val="none" w:sz="0" w:space="0" w:color="auto"/>
        <w:left w:val="none" w:sz="0" w:space="0" w:color="auto"/>
        <w:bottom w:val="none" w:sz="0" w:space="0" w:color="auto"/>
        <w:right w:val="none" w:sz="0" w:space="0" w:color="auto"/>
      </w:divBdr>
    </w:div>
    <w:div w:id="178743768">
      <w:bodyDiv w:val="1"/>
      <w:marLeft w:val="0"/>
      <w:marRight w:val="0"/>
      <w:marTop w:val="0"/>
      <w:marBottom w:val="0"/>
      <w:divBdr>
        <w:top w:val="none" w:sz="0" w:space="0" w:color="auto"/>
        <w:left w:val="none" w:sz="0" w:space="0" w:color="auto"/>
        <w:bottom w:val="none" w:sz="0" w:space="0" w:color="auto"/>
        <w:right w:val="none" w:sz="0" w:space="0" w:color="auto"/>
      </w:divBdr>
    </w:div>
    <w:div w:id="183327786">
      <w:bodyDiv w:val="1"/>
      <w:marLeft w:val="0"/>
      <w:marRight w:val="0"/>
      <w:marTop w:val="0"/>
      <w:marBottom w:val="0"/>
      <w:divBdr>
        <w:top w:val="none" w:sz="0" w:space="0" w:color="auto"/>
        <w:left w:val="none" w:sz="0" w:space="0" w:color="auto"/>
        <w:bottom w:val="none" w:sz="0" w:space="0" w:color="auto"/>
        <w:right w:val="none" w:sz="0" w:space="0" w:color="auto"/>
      </w:divBdr>
    </w:div>
    <w:div w:id="190186713">
      <w:bodyDiv w:val="1"/>
      <w:marLeft w:val="0"/>
      <w:marRight w:val="0"/>
      <w:marTop w:val="0"/>
      <w:marBottom w:val="0"/>
      <w:divBdr>
        <w:top w:val="none" w:sz="0" w:space="0" w:color="auto"/>
        <w:left w:val="none" w:sz="0" w:space="0" w:color="auto"/>
        <w:bottom w:val="none" w:sz="0" w:space="0" w:color="auto"/>
        <w:right w:val="none" w:sz="0" w:space="0" w:color="auto"/>
      </w:divBdr>
      <w:divsChild>
        <w:div w:id="337465436">
          <w:marLeft w:val="0"/>
          <w:marRight w:val="0"/>
          <w:marTop w:val="0"/>
          <w:marBottom w:val="0"/>
          <w:divBdr>
            <w:top w:val="none" w:sz="0" w:space="0" w:color="auto"/>
            <w:left w:val="none" w:sz="0" w:space="0" w:color="auto"/>
            <w:bottom w:val="none" w:sz="0" w:space="0" w:color="auto"/>
            <w:right w:val="none" w:sz="0" w:space="0" w:color="auto"/>
          </w:divBdr>
          <w:divsChild>
            <w:div w:id="333995936">
              <w:marLeft w:val="0"/>
              <w:marRight w:val="0"/>
              <w:marTop w:val="0"/>
              <w:marBottom w:val="0"/>
              <w:divBdr>
                <w:top w:val="none" w:sz="0" w:space="0" w:color="auto"/>
                <w:left w:val="none" w:sz="0" w:space="0" w:color="auto"/>
                <w:bottom w:val="none" w:sz="0" w:space="0" w:color="auto"/>
                <w:right w:val="none" w:sz="0" w:space="0" w:color="auto"/>
              </w:divBdr>
              <w:divsChild>
                <w:div w:id="287244662">
                  <w:marLeft w:val="0"/>
                  <w:marRight w:val="0"/>
                  <w:marTop w:val="0"/>
                  <w:marBottom w:val="0"/>
                  <w:divBdr>
                    <w:top w:val="none" w:sz="0" w:space="0" w:color="auto"/>
                    <w:left w:val="none" w:sz="0" w:space="0" w:color="auto"/>
                    <w:bottom w:val="none" w:sz="0" w:space="0" w:color="auto"/>
                    <w:right w:val="none" w:sz="0" w:space="0" w:color="auto"/>
                  </w:divBdr>
                  <w:divsChild>
                    <w:div w:id="969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9065">
      <w:bodyDiv w:val="1"/>
      <w:marLeft w:val="0"/>
      <w:marRight w:val="0"/>
      <w:marTop w:val="0"/>
      <w:marBottom w:val="0"/>
      <w:divBdr>
        <w:top w:val="none" w:sz="0" w:space="0" w:color="auto"/>
        <w:left w:val="none" w:sz="0" w:space="0" w:color="auto"/>
        <w:bottom w:val="none" w:sz="0" w:space="0" w:color="auto"/>
        <w:right w:val="none" w:sz="0" w:space="0" w:color="auto"/>
      </w:divBdr>
    </w:div>
    <w:div w:id="198049997">
      <w:bodyDiv w:val="1"/>
      <w:marLeft w:val="0"/>
      <w:marRight w:val="0"/>
      <w:marTop w:val="0"/>
      <w:marBottom w:val="0"/>
      <w:divBdr>
        <w:top w:val="none" w:sz="0" w:space="0" w:color="auto"/>
        <w:left w:val="none" w:sz="0" w:space="0" w:color="auto"/>
        <w:bottom w:val="none" w:sz="0" w:space="0" w:color="auto"/>
        <w:right w:val="none" w:sz="0" w:space="0" w:color="auto"/>
      </w:divBdr>
    </w:div>
    <w:div w:id="201091439">
      <w:bodyDiv w:val="1"/>
      <w:marLeft w:val="0"/>
      <w:marRight w:val="0"/>
      <w:marTop w:val="0"/>
      <w:marBottom w:val="0"/>
      <w:divBdr>
        <w:top w:val="none" w:sz="0" w:space="0" w:color="auto"/>
        <w:left w:val="none" w:sz="0" w:space="0" w:color="auto"/>
        <w:bottom w:val="none" w:sz="0" w:space="0" w:color="auto"/>
        <w:right w:val="none" w:sz="0" w:space="0" w:color="auto"/>
      </w:divBdr>
      <w:divsChild>
        <w:div w:id="2032947499">
          <w:marLeft w:val="0"/>
          <w:marRight w:val="0"/>
          <w:marTop w:val="0"/>
          <w:marBottom w:val="0"/>
          <w:divBdr>
            <w:top w:val="none" w:sz="0" w:space="0" w:color="auto"/>
            <w:left w:val="none" w:sz="0" w:space="0" w:color="auto"/>
            <w:bottom w:val="none" w:sz="0" w:space="0" w:color="auto"/>
            <w:right w:val="none" w:sz="0" w:space="0" w:color="auto"/>
          </w:divBdr>
          <w:divsChild>
            <w:div w:id="1498692452">
              <w:marLeft w:val="0"/>
              <w:marRight w:val="0"/>
              <w:marTop w:val="0"/>
              <w:marBottom w:val="0"/>
              <w:divBdr>
                <w:top w:val="none" w:sz="0" w:space="0" w:color="auto"/>
                <w:left w:val="none" w:sz="0" w:space="0" w:color="auto"/>
                <w:bottom w:val="none" w:sz="0" w:space="0" w:color="auto"/>
                <w:right w:val="none" w:sz="0" w:space="0" w:color="auto"/>
              </w:divBdr>
              <w:divsChild>
                <w:div w:id="521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349">
      <w:bodyDiv w:val="1"/>
      <w:marLeft w:val="0"/>
      <w:marRight w:val="0"/>
      <w:marTop w:val="0"/>
      <w:marBottom w:val="0"/>
      <w:divBdr>
        <w:top w:val="none" w:sz="0" w:space="0" w:color="auto"/>
        <w:left w:val="none" w:sz="0" w:space="0" w:color="auto"/>
        <w:bottom w:val="none" w:sz="0" w:space="0" w:color="auto"/>
        <w:right w:val="none" w:sz="0" w:space="0" w:color="auto"/>
      </w:divBdr>
    </w:div>
    <w:div w:id="204487749">
      <w:bodyDiv w:val="1"/>
      <w:marLeft w:val="0"/>
      <w:marRight w:val="0"/>
      <w:marTop w:val="0"/>
      <w:marBottom w:val="0"/>
      <w:divBdr>
        <w:top w:val="none" w:sz="0" w:space="0" w:color="auto"/>
        <w:left w:val="none" w:sz="0" w:space="0" w:color="auto"/>
        <w:bottom w:val="none" w:sz="0" w:space="0" w:color="auto"/>
        <w:right w:val="none" w:sz="0" w:space="0" w:color="auto"/>
      </w:divBdr>
    </w:div>
    <w:div w:id="207109254">
      <w:bodyDiv w:val="1"/>
      <w:marLeft w:val="0"/>
      <w:marRight w:val="0"/>
      <w:marTop w:val="0"/>
      <w:marBottom w:val="0"/>
      <w:divBdr>
        <w:top w:val="none" w:sz="0" w:space="0" w:color="auto"/>
        <w:left w:val="none" w:sz="0" w:space="0" w:color="auto"/>
        <w:bottom w:val="none" w:sz="0" w:space="0" w:color="auto"/>
        <w:right w:val="none" w:sz="0" w:space="0" w:color="auto"/>
      </w:divBdr>
    </w:div>
    <w:div w:id="221986642">
      <w:bodyDiv w:val="1"/>
      <w:marLeft w:val="0"/>
      <w:marRight w:val="0"/>
      <w:marTop w:val="0"/>
      <w:marBottom w:val="0"/>
      <w:divBdr>
        <w:top w:val="none" w:sz="0" w:space="0" w:color="auto"/>
        <w:left w:val="none" w:sz="0" w:space="0" w:color="auto"/>
        <w:bottom w:val="none" w:sz="0" w:space="0" w:color="auto"/>
        <w:right w:val="none" w:sz="0" w:space="0" w:color="auto"/>
      </w:divBdr>
      <w:divsChild>
        <w:div w:id="1466044764">
          <w:marLeft w:val="0"/>
          <w:marRight w:val="0"/>
          <w:marTop w:val="0"/>
          <w:marBottom w:val="0"/>
          <w:divBdr>
            <w:top w:val="none" w:sz="0" w:space="0" w:color="auto"/>
            <w:left w:val="none" w:sz="0" w:space="0" w:color="auto"/>
            <w:bottom w:val="none" w:sz="0" w:space="0" w:color="auto"/>
            <w:right w:val="none" w:sz="0" w:space="0" w:color="auto"/>
          </w:divBdr>
          <w:divsChild>
            <w:div w:id="1482503831">
              <w:marLeft w:val="0"/>
              <w:marRight w:val="0"/>
              <w:marTop w:val="0"/>
              <w:marBottom w:val="0"/>
              <w:divBdr>
                <w:top w:val="none" w:sz="0" w:space="0" w:color="auto"/>
                <w:left w:val="none" w:sz="0" w:space="0" w:color="auto"/>
                <w:bottom w:val="none" w:sz="0" w:space="0" w:color="auto"/>
                <w:right w:val="none" w:sz="0" w:space="0" w:color="auto"/>
              </w:divBdr>
              <w:divsChild>
                <w:div w:id="5612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5680">
      <w:bodyDiv w:val="1"/>
      <w:marLeft w:val="0"/>
      <w:marRight w:val="0"/>
      <w:marTop w:val="0"/>
      <w:marBottom w:val="0"/>
      <w:divBdr>
        <w:top w:val="none" w:sz="0" w:space="0" w:color="auto"/>
        <w:left w:val="none" w:sz="0" w:space="0" w:color="auto"/>
        <w:bottom w:val="none" w:sz="0" w:space="0" w:color="auto"/>
        <w:right w:val="none" w:sz="0" w:space="0" w:color="auto"/>
      </w:divBdr>
      <w:divsChild>
        <w:div w:id="87120182">
          <w:marLeft w:val="547"/>
          <w:marRight w:val="0"/>
          <w:marTop w:val="154"/>
          <w:marBottom w:val="0"/>
          <w:divBdr>
            <w:top w:val="none" w:sz="0" w:space="0" w:color="auto"/>
            <w:left w:val="none" w:sz="0" w:space="0" w:color="auto"/>
            <w:bottom w:val="none" w:sz="0" w:space="0" w:color="auto"/>
            <w:right w:val="none" w:sz="0" w:space="0" w:color="auto"/>
          </w:divBdr>
        </w:div>
        <w:div w:id="660619095">
          <w:marLeft w:val="1800"/>
          <w:marRight w:val="0"/>
          <w:marTop w:val="115"/>
          <w:marBottom w:val="0"/>
          <w:divBdr>
            <w:top w:val="none" w:sz="0" w:space="0" w:color="auto"/>
            <w:left w:val="none" w:sz="0" w:space="0" w:color="auto"/>
            <w:bottom w:val="none" w:sz="0" w:space="0" w:color="auto"/>
            <w:right w:val="none" w:sz="0" w:space="0" w:color="auto"/>
          </w:divBdr>
        </w:div>
        <w:div w:id="1449549239">
          <w:marLeft w:val="1166"/>
          <w:marRight w:val="0"/>
          <w:marTop w:val="134"/>
          <w:marBottom w:val="0"/>
          <w:divBdr>
            <w:top w:val="none" w:sz="0" w:space="0" w:color="auto"/>
            <w:left w:val="none" w:sz="0" w:space="0" w:color="auto"/>
            <w:bottom w:val="none" w:sz="0" w:space="0" w:color="auto"/>
            <w:right w:val="none" w:sz="0" w:space="0" w:color="auto"/>
          </w:divBdr>
        </w:div>
      </w:divsChild>
    </w:div>
    <w:div w:id="227961947">
      <w:bodyDiv w:val="1"/>
      <w:marLeft w:val="0"/>
      <w:marRight w:val="0"/>
      <w:marTop w:val="0"/>
      <w:marBottom w:val="0"/>
      <w:divBdr>
        <w:top w:val="none" w:sz="0" w:space="0" w:color="auto"/>
        <w:left w:val="none" w:sz="0" w:space="0" w:color="auto"/>
        <w:bottom w:val="none" w:sz="0" w:space="0" w:color="auto"/>
        <w:right w:val="none" w:sz="0" w:space="0" w:color="auto"/>
      </w:divBdr>
    </w:div>
    <w:div w:id="230623520">
      <w:bodyDiv w:val="1"/>
      <w:marLeft w:val="0"/>
      <w:marRight w:val="0"/>
      <w:marTop w:val="0"/>
      <w:marBottom w:val="0"/>
      <w:divBdr>
        <w:top w:val="none" w:sz="0" w:space="0" w:color="auto"/>
        <w:left w:val="none" w:sz="0" w:space="0" w:color="auto"/>
        <w:bottom w:val="none" w:sz="0" w:space="0" w:color="auto"/>
        <w:right w:val="none" w:sz="0" w:space="0" w:color="auto"/>
      </w:divBdr>
      <w:divsChild>
        <w:div w:id="1856116568">
          <w:marLeft w:val="0"/>
          <w:marRight w:val="0"/>
          <w:marTop w:val="0"/>
          <w:marBottom w:val="0"/>
          <w:divBdr>
            <w:top w:val="none" w:sz="0" w:space="0" w:color="auto"/>
            <w:left w:val="none" w:sz="0" w:space="0" w:color="auto"/>
            <w:bottom w:val="none" w:sz="0" w:space="0" w:color="auto"/>
            <w:right w:val="none" w:sz="0" w:space="0" w:color="auto"/>
          </w:divBdr>
          <w:divsChild>
            <w:div w:id="275646784">
              <w:marLeft w:val="0"/>
              <w:marRight w:val="0"/>
              <w:marTop w:val="0"/>
              <w:marBottom w:val="0"/>
              <w:divBdr>
                <w:top w:val="none" w:sz="0" w:space="0" w:color="auto"/>
                <w:left w:val="none" w:sz="0" w:space="0" w:color="auto"/>
                <w:bottom w:val="none" w:sz="0" w:space="0" w:color="auto"/>
                <w:right w:val="none" w:sz="0" w:space="0" w:color="auto"/>
              </w:divBdr>
              <w:divsChild>
                <w:div w:id="731929367">
                  <w:marLeft w:val="0"/>
                  <w:marRight w:val="0"/>
                  <w:marTop w:val="0"/>
                  <w:marBottom w:val="0"/>
                  <w:divBdr>
                    <w:top w:val="none" w:sz="0" w:space="0" w:color="auto"/>
                    <w:left w:val="none" w:sz="0" w:space="0" w:color="auto"/>
                    <w:bottom w:val="none" w:sz="0" w:space="0" w:color="auto"/>
                    <w:right w:val="none" w:sz="0" w:space="0" w:color="auto"/>
                  </w:divBdr>
                  <w:divsChild>
                    <w:div w:id="1945381121">
                      <w:marLeft w:val="0"/>
                      <w:marRight w:val="0"/>
                      <w:marTop w:val="0"/>
                      <w:marBottom w:val="0"/>
                      <w:divBdr>
                        <w:top w:val="none" w:sz="0" w:space="0" w:color="auto"/>
                        <w:left w:val="none" w:sz="0" w:space="0" w:color="auto"/>
                        <w:bottom w:val="none" w:sz="0" w:space="0" w:color="auto"/>
                        <w:right w:val="none" w:sz="0" w:space="0" w:color="auto"/>
                      </w:divBdr>
                    </w:div>
                  </w:divsChild>
                </w:div>
                <w:div w:id="838235635">
                  <w:marLeft w:val="0"/>
                  <w:marRight w:val="0"/>
                  <w:marTop w:val="0"/>
                  <w:marBottom w:val="0"/>
                  <w:divBdr>
                    <w:top w:val="none" w:sz="0" w:space="0" w:color="auto"/>
                    <w:left w:val="none" w:sz="0" w:space="0" w:color="auto"/>
                    <w:bottom w:val="none" w:sz="0" w:space="0" w:color="auto"/>
                    <w:right w:val="none" w:sz="0" w:space="0" w:color="auto"/>
                  </w:divBdr>
                  <w:divsChild>
                    <w:div w:id="895973489">
                      <w:marLeft w:val="0"/>
                      <w:marRight w:val="0"/>
                      <w:marTop w:val="0"/>
                      <w:marBottom w:val="0"/>
                      <w:divBdr>
                        <w:top w:val="none" w:sz="0" w:space="0" w:color="auto"/>
                        <w:left w:val="none" w:sz="0" w:space="0" w:color="auto"/>
                        <w:bottom w:val="none" w:sz="0" w:space="0" w:color="auto"/>
                        <w:right w:val="none" w:sz="0" w:space="0" w:color="auto"/>
                      </w:divBdr>
                    </w:div>
                  </w:divsChild>
                </w:div>
                <w:div w:id="1137646051">
                  <w:marLeft w:val="0"/>
                  <w:marRight w:val="0"/>
                  <w:marTop w:val="0"/>
                  <w:marBottom w:val="0"/>
                  <w:divBdr>
                    <w:top w:val="none" w:sz="0" w:space="0" w:color="auto"/>
                    <w:left w:val="none" w:sz="0" w:space="0" w:color="auto"/>
                    <w:bottom w:val="none" w:sz="0" w:space="0" w:color="auto"/>
                    <w:right w:val="none" w:sz="0" w:space="0" w:color="auto"/>
                  </w:divBdr>
                  <w:divsChild>
                    <w:div w:id="7238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21896">
      <w:bodyDiv w:val="1"/>
      <w:marLeft w:val="0"/>
      <w:marRight w:val="0"/>
      <w:marTop w:val="0"/>
      <w:marBottom w:val="0"/>
      <w:divBdr>
        <w:top w:val="none" w:sz="0" w:space="0" w:color="auto"/>
        <w:left w:val="none" w:sz="0" w:space="0" w:color="auto"/>
        <w:bottom w:val="none" w:sz="0" w:space="0" w:color="auto"/>
        <w:right w:val="none" w:sz="0" w:space="0" w:color="auto"/>
      </w:divBdr>
    </w:div>
    <w:div w:id="236208950">
      <w:bodyDiv w:val="1"/>
      <w:marLeft w:val="0"/>
      <w:marRight w:val="0"/>
      <w:marTop w:val="0"/>
      <w:marBottom w:val="0"/>
      <w:divBdr>
        <w:top w:val="none" w:sz="0" w:space="0" w:color="auto"/>
        <w:left w:val="none" w:sz="0" w:space="0" w:color="auto"/>
        <w:bottom w:val="none" w:sz="0" w:space="0" w:color="auto"/>
        <w:right w:val="none" w:sz="0" w:space="0" w:color="auto"/>
      </w:divBdr>
    </w:div>
    <w:div w:id="238750927">
      <w:bodyDiv w:val="1"/>
      <w:marLeft w:val="0"/>
      <w:marRight w:val="0"/>
      <w:marTop w:val="0"/>
      <w:marBottom w:val="0"/>
      <w:divBdr>
        <w:top w:val="none" w:sz="0" w:space="0" w:color="auto"/>
        <w:left w:val="none" w:sz="0" w:space="0" w:color="auto"/>
        <w:bottom w:val="none" w:sz="0" w:space="0" w:color="auto"/>
        <w:right w:val="none" w:sz="0" w:space="0" w:color="auto"/>
      </w:divBdr>
    </w:div>
    <w:div w:id="240724401">
      <w:bodyDiv w:val="1"/>
      <w:marLeft w:val="0"/>
      <w:marRight w:val="0"/>
      <w:marTop w:val="0"/>
      <w:marBottom w:val="0"/>
      <w:divBdr>
        <w:top w:val="none" w:sz="0" w:space="0" w:color="auto"/>
        <w:left w:val="none" w:sz="0" w:space="0" w:color="auto"/>
        <w:bottom w:val="none" w:sz="0" w:space="0" w:color="auto"/>
        <w:right w:val="none" w:sz="0" w:space="0" w:color="auto"/>
      </w:divBdr>
    </w:div>
    <w:div w:id="248857982">
      <w:bodyDiv w:val="1"/>
      <w:marLeft w:val="0"/>
      <w:marRight w:val="0"/>
      <w:marTop w:val="0"/>
      <w:marBottom w:val="0"/>
      <w:divBdr>
        <w:top w:val="none" w:sz="0" w:space="0" w:color="auto"/>
        <w:left w:val="none" w:sz="0" w:space="0" w:color="auto"/>
        <w:bottom w:val="none" w:sz="0" w:space="0" w:color="auto"/>
        <w:right w:val="none" w:sz="0" w:space="0" w:color="auto"/>
      </w:divBdr>
    </w:div>
    <w:div w:id="256182508">
      <w:bodyDiv w:val="1"/>
      <w:marLeft w:val="0"/>
      <w:marRight w:val="0"/>
      <w:marTop w:val="0"/>
      <w:marBottom w:val="0"/>
      <w:divBdr>
        <w:top w:val="none" w:sz="0" w:space="0" w:color="auto"/>
        <w:left w:val="none" w:sz="0" w:space="0" w:color="auto"/>
        <w:bottom w:val="none" w:sz="0" w:space="0" w:color="auto"/>
        <w:right w:val="none" w:sz="0" w:space="0" w:color="auto"/>
      </w:divBdr>
      <w:divsChild>
        <w:div w:id="1583219516">
          <w:marLeft w:val="547"/>
          <w:marRight w:val="0"/>
          <w:marTop w:val="0"/>
          <w:marBottom w:val="0"/>
          <w:divBdr>
            <w:top w:val="none" w:sz="0" w:space="0" w:color="auto"/>
            <w:left w:val="none" w:sz="0" w:space="0" w:color="auto"/>
            <w:bottom w:val="none" w:sz="0" w:space="0" w:color="auto"/>
            <w:right w:val="none" w:sz="0" w:space="0" w:color="auto"/>
          </w:divBdr>
        </w:div>
      </w:divsChild>
    </w:div>
    <w:div w:id="262618434">
      <w:bodyDiv w:val="1"/>
      <w:marLeft w:val="0"/>
      <w:marRight w:val="0"/>
      <w:marTop w:val="0"/>
      <w:marBottom w:val="0"/>
      <w:divBdr>
        <w:top w:val="none" w:sz="0" w:space="0" w:color="auto"/>
        <w:left w:val="none" w:sz="0" w:space="0" w:color="auto"/>
        <w:bottom w:val="none" w:sz="0" w:space="0" w:color="auto"/>
        <w:right w:val="none" w:sz="0" w:space="0" w:color="auto"/>
      </w:divBdr>
    </w:div>
    <w:div w:id="267078672">
      <w:bodyDiv w:val="1"/>
      <w:marLeft w:val="0"/>
      <w:marRight w:val="0"/>
      <w:marTop w:val="0"/>
      <w:marBottom w:val="0"/>
      <w:divBdr>
        <w:top w:val="none" w:sz="0" w:space="0" w:color="auto"/>
        <w:left w:val="none" w:sz="0" w:space="0" w:color="auto"/>
        <w:bottom w:val="none" w:sz="0" w:space="0" w:color="auto"/>
        <w:right w:val="none" w:sz="0" w:space="0" w:color="auto"/>
      </w:divBdr>
    </w:div>
    <w:div w:id="273750019">
      <w:bodyDiv w:val="1"/>
      <w:marLeft w:val="0"/>
      <w:marRight w:val="0"/>
      <w:marTop w:val="0"/>
      <w:marBottom w:val="0"/>
      <w:divBdr>
        <w:top w:val="none" w:sz="0" w:space="0" w:color="auto"/>
        <w:left w:val="none" w:sz="0" w:space="0" w:color="auto"/>
        <w:bottom w:val="none" w:sz="0" w:space="0" w:color="auto"/>
        <w:right w:val="none" w:sz="0" w:space="0" w:color="auto"/>
      </w:divBdr>
    </w:div>
    <w:div w:id="274989506">
      <w:bodyDiv w:val="1"/>
      <w:marLeft w:val="0"/>
      <w:marRight w:val="0"/>
      <w:marTop w:val="0"/>
      <w:marBottom w:val="0"/>
      <w:divBdr>
        <w:top w:val="none" w:sz="0" w:space="0" w:color="auto"/>
        <w:left w:val="none" w:sz="0" w:space="0" w:color="auto"/>
        <w:bottom w:val="none" w:sz="0" w:space="0" w:color="auto"/>
        <w:right w:val="none" w:sz="0" w:space="0" w:color="auto"/>
      </w:divBdr>
    </w:div>
    <w:div w:id="285503688">
      <w:bodyDiv w:val="1"/>
      <w:marLeft w:val="0"/>
      <w:marRight w:val="0"/>
      <w:marTop w:val="0"/>
      <w:marBottom w:val="0"/>
      <w:divBdr>
        <w:top w:val="none" w:sz="0" w:space="0" w:color="auto"/>
        <w:left w:val="none" w:sz="0" w:space="0" w:color="auto"/>
        <w:bottom w:val="none" w:sz="0" w:space="0" w:color="auto"/>
        <w:right w:val="none" w:sz="0" w:space="0" w:color="auto"/>
      </w:divBdr>
    </w:div>
    <w:div w:id="292322875">
      <w:bodyDiv w:val="1"/>
      <w:marLeft w:val="0"/>
      <w:marRight w:val="0"/>
      <w:marTop w:val="0"/>
      <w:marBottom w:val="0"/>
      <w:divBdr>
        <w:top w:val="none" w:sz="0" w:space="0" w:color="auto"/>
        <w:left w:val="none" w:sz="0" w:space="0" w:color="auto"/>
        <w:bottom w:val="none" w:sz="0" w:space="0" w:color="auto"/>
        <w:right w:val="none" w:sz="0" w:space="0" w:color="auto"/>
      </w:divBdr>
    </w:div>
    <w:div w:id="302005021">
      <w:bodyDiv w:val="1"/>
      <w:marLeft w:val="0"/>
      <w:marRight w:val="0"/>
      <w:marTop w:val="0"/>
      <w:marBottom w:val="0"/>
      <w:divBdr>
        <w:top w:val="none" w:sz="0" w:space="0" w:color="auto"/>
        <w:left w:val="none" w:sz="0" w:space="0" w:color="auto"/>
        <w:bottom w:val="none" w:sz="0" w:space="0" w:color="auto"/>
        <w:right w:val="none" w:sz="0" w:space="0" w:color="auto"/>
      </w:divBdr>
    </w:div>
    <w:div w:id="302344776">
      <w:bodyDiv w:val="1"/>
      <w:marLeft w:val="0"/>
      <w:marRight w:val="0"/>
      <w:marTop w:val="0"/>
      <w:marBottom w:val="0"/>
      <w:divBdr>
        <w:top w:val="none" w:sz="0" w:space="0" w:color="auto"/>
        <w:left w:val="none" w:sz="0" w:space="0" w:color="auto"/>
        <w:bottom w:val="none" w:sz="0" w:space="0" w:color="auto"/>
        <w:right w:val="none" w:sz="0" w:space="0" w:color="auto"/>
      </w:divBdr>
    </w:div>
    <w:div w:id="303047610">
      <w:bodyDiv w:val="1"/>
      <w:marLeft w:val="0"/>
      <w:marRight w:val="0"/>
      <w:marTop w:val="0"/>
      <w:marBottom w:val="0"/>
      <w:divBdr>
        <w:top w:val="none" w:sz="0" w:space="0" w:color="auto"/>
        <w:left w:val="none" w:sz="0" w:space="0" w:color="auto"/>
        <w:bottom w:val="none" w:sz="0" w:space="0" w:color="auto"/>
        <w:right w:val="none" w:sz="0" w:space="0" w:color="auto"/>
      </w:divBdr>
    </w:div>
    <w:div w:id="308098936">
      <w:bodyDiv w:val="1"/>
      <w:marLeft w:val="0"/>
      <w:marRight w:val="0"/>
      <w:marTop w:val="0"/>
      <w:marBottom w:val="0"/>
      <w:divBdr>
        <w:top w:val="none" w:sz="0" w:space="0" w:color="auto"/>
        <w:left w:val="none" w:sz="0" w:space="0" w:color="auto"/>
        <w:bottom w:val="none" w:sz="0" w:space="0" w:color="auto"/>
        <w:right w:val="none" w:sz="0" w:space="0" w:color="auto"/>
      </w:divBdr>
    </w:div>
    <w:div w:id="308753390">
      <w:bodyDiv w:val="1"/>
      <w:marLeft w:val="0"/>
      <w:marRight w:val="0"/>
      <w:marTop w:val="0"/>
      <w:marBottom w:val="0"/>
      <w:divBdr>
        <w:top w:val="none" w:sz="0" w:space="0" w:color="auto"/>
        <w:left w:val="none" w:sz="0" w:space="0" w:color="auto"/>
        <w:bottom w:val="none" w:sz="0" w:space="0" w:color="auto"/>
        <w:right w:val="none" w:sz="0" w:space="0" w:color="auto"/>
      </w:divBdr>
      <w:divsChild>
        <w:div w:id="1658924059">
          <w:marLeft w:val="0"/>
          <w:marRight w:val="0"/>
          <w:marTop w:val="0"/>
          <w:marBottom w:val="0"/>
          <w:divBdr>
            <w:top w:val="none" w:sz="0" w:space="0" w:color="auto"/>
            <w:left w:val="none" w:sz="0" w:space="0" w:color="auto"/>
            <w:bottom w:val="none" w:sz="0" w:space="0" w:color="auto"/>
            <w:right w:val="none" w:sz="0" w:space="0" w:color="auto"/>
          </w:divBdr>
          <w:divsChild>
            <w:div w:id="143013270">
              <w:marLeft w:val="0"/>
              <w:marRight w:val="0"/>
              <w:marTop w:val="0"/>
              <w:marBottom w:val="0"/>
              <w:divBdr>
                <w:top w:val="none" w:sz="0" w:space="0" w:color="auto"/>
                <w:left w:val="none" w:sz="0" w:space="0" w:color="auto"/>
                <w:bottom w:val="none" w:sz="0" w:space="0" w:color="auto"/>
                <w:right w:val="none" w:sz="0" w:space="0" w:color="auto"/>
              </w:divBdr>
              <w:divsChild>
                <w:div w:id="6941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8026">
      <w:bodyDiv w:val="1"/>
      <w:marLeft w:val="0"/>
      <w:marRight w:val="0"/>
      <w:marTop w:val="0"/>
      <w:marBottom w:val="0"/>
      <w:divBdr>
        <w:top w:val="none" w:sz="0" w:space="0" w:color="auto"/>
        <w:left w:val="none" w:sz="0" w:space="0" w:color="auto"/>
        <w:bottom w:val="none" w:sz="0" w:space="0" w:color="auto"/>
        <w:right w:val="none" w:sz="0" w:space="0" w:color="auto"/>
      </w:divBdr>
    </w:div>
    <w:div w:id="314408455">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6">
          <w:marLeft w:val="446"/>
          <w:marRight w:val="0"/>
          <w:marTop w:val="0"/>
          <w:marBottom w:val="0"/>
          <w:divBdr>
            <w:top w:val="none" w:sz="0" w:space="0" w:color="auto"/>
            <w:left w:val="none" w:sz="0" w:space="0" w:color="auto"/>
            <w:bottom w:val="none" w:sz="0" w:space="0" w:color="auto"/>
            <w:right w:val="none" w:sz="0" w:space="0" w:color="auto"/>
          </w:divBdr>
        </w:div>
        <w:div w:id="2118480344">
          <w:marLeft w:val="446"/>
          <w:marRight w:val="0"/>
          <w:marTop w:val="0"/>
          <w:marBottom w:val="0"/>
          <w:divBdr>
            <w:top w:val="none" w:sz="0" w:space="0" w:color="auto"/>
            <w:left w:val="none" w:sz="0" w:space="0" w:color="auto"/>
            <w:bottom w:val="none" w:sz="0" w:space="0" w:color="auto"/>
            <w:right w:val="none" w:sz="0" w:space="0" w:color="auto"/>
          </w:divBdr>
        </w:div>
      </w:divsChild>
    </w:div>
    <w:div w:id="316152012">
      <w:bodyDiv w:val="1"/>
      <w:marLeft w:val="0"/>
      <w:marRight w:val="0"/>
      <w:marTop w:val="0"/>
      <w:marBottom w:val="0"/>
      <w:divBdr>
        <w:top w:val="none" w:sz="0" w:space="0" w:color="auto"/>
        <w:left w:val="none" w:sz="0" w:space="0" w:color="auto"/>
        <w:bottom w:val="none" w:sz="0" w:space="0" w:color="auto"/>
        <w:right w:val="none" w:sz="0" w:space="0" w:color="auto"/>
      </w:divBdr>
    </w:div>
    <w:div w:id="323748835">
      <w:bodyDiv w:val="1"/>
      <w:marLeft w:val="0"/>
      <w:marRight w:val="0"/>
      <w:marTop w:val="0"/>
      <w:marBottom w:val="0"/>
      <w:divBdr>
        <w:top w:val="none" w:sz="0" w:space="0" w:color="auto"/>
        <w:left w:val="none" w:sz="0" w:space="0" w:color="auto"/>
        <w:bottom w:val="none" w:sz="0" w:space="0" w:color="auto"/>
        <w:right w:val="none" w:sz="0" w:space="0" w:color="auto"/>
      </w:divBdr>
    </w:div>
    <w:div w:id="327758670">
      <w:bodyDiv w:val="1"/>
      <w:marLeft w:val="0"/>
      <w:marRight w:val="0"/>
      <w:marTop w:val="0"/>
      <w:marBottom w:val="0"/>
      <w:divBdr>
        <w:top w:val="none" w:sz="0" w:space="0" w:color="auto"/>
        <w:left w:val="none" w:sz="0" w:space="0" w:color="auto"/>
        <w:bottom w:val="none" w:sz="0" w:space="0" w:color="auto"/>
        <w:right w:val="none" w:sz="0" w:space="0" w:color="auto"/>
      </w:divBdr>
    </w:div>
    <w:div w:id="329336356">
      <w:bodyDiv w:val="1"/>
      <w:marLeft w:val="0"/>
      <w:marRight w:val="0"/>
      <w:marTop w:val="0"/>
      <w:marBottom w:val="0"/>
      <w:divBdr>
        <w:top w:val="none" w:sz="0" w:space="0" w:color="auto"/>
        <w:left w:val="none" w:sz="0" w:space="0" w:color="auto"/>
        <w:bottom w:val="none" w:sz="0" w:space="0" w:color="auto"/>
        <w:right w:val="none" w:sz="0" w:space="0" w:color="auto"/>
      </w:divBdr>
      <w:divsChild>
        <w:div w:id="434328075">
          <w:marLeft w:val="446"/>
          <w:marRight w:val="0"/>
          <w:marTop w:val="0"/>
          <w:marBottom w:val="0"/>
          <w:divBdr>
            <w:top w:val="none" w:sz="0" w:space="0" w:color="auto"/>
            <w:left w:val="none" w:sz="0" w:space="0" w:color="auto"/>
            <w:bottom w:val="none" w:sz="0" w:space="0" w:color="auto"/>
            <w:right w:val="none" w:sz="0" w:space="0" w:color="auto"/>
          </w:divBdr>
        </w:div>
      </w:divsChild>
    </w:div>
    <w:div w:id="330644122">
      <w:bodyDiv w:val="1"/>
      <w:marLeft w:val="0"/>
      <w:marRight w:val="0"/>
      <w:marTop w:val="0"/>
      <w:marBottom w:val="0"/>
      <w:divBdr>
        <w:top w:val="none" w:sz="0" w:space="0" w:color="auto"/>
        <w:left w:val="none" w:sz="0" w:space="0" w:color="auto"/>
        <w:bottom w:val="none" w:sz="0" w:space="0" w:color="auto"/>
        <w:right w:val="none" w:sz="0" w:space="0" w:color="auto"/>
      </w:divBdr>
    </w:div>
    <w:div w:id="335765488">
      <w:bodyDiv w:val="1"/>
      <w:marLeft w:val="0"/>
      <w:marRight w:val="0"/>
      <w:marTop w:val="0"/>
      <w:marBottom w:val="0"/>
      <w:divBdr>
        <w:top w:val="none" w:sz="0" w:space="0" w:color="auto"/>
        <w:left w:val="none" w:sz="0" w:space="0" w:color="auto"/>
        <w:bottom w:val="none" w:sz="0" w:space="0" w:color="auto"/>
        <w:right w:val="none" w:sz="0" w:space="0" w:color="auto"/>
      </w:divBdr>
    </w:div>
    <w:div w:id="337149935">
      <w:bodyDiv w:val="1"/>
      <w:marLeft w:val="0"/>
      <w:marRight w:val="0"/>
      <w:marTop w:val="0"/>
      <w:marBottom w:val="0"/>
      <w:divBdr>
        <w:top w:val="none" w:sz="0" w:space="0" w:color="auto"/>
        <w:left w:val="none" w:sz="0" w:space="0" w:color="auto"/>
        <w:bottom w:val="none" w:sz="0" w:space="0" w:color="auto"/>
        <w:right w:val="none" w:sz="0" w:space="0" w:color="auto"/>
      </w:divBdr>
      <w:divsChild>
        <w:div w:id="16659463">
          <w:marLeft w:val="0"/>
          <w:marRight w:val="0"/>
          <w:marTop w:val="0"/>
          <w:marBottom w:val="0"/>
          <w:divBdr>
            <w:top w:val="none" w:sz="0" w:space="0" w:color="auto"/>
            <w:left w:val="none" w:sz="0" w:space="0" w:color="auto"/>
            <w:bottom w:val="none" w:sz="0" w:space="0" w:color="auto"/>
            <w:right w:val="none" w:sz="0" w:space="0" w:color="auto"/>
          </w:divBdr>
          <w:divsChild>
            <w:div w:id="1846898719">
              <w:marLeft w:val="0"/>
              <w:marRight w:val="0"/>
              <w:marTop w:val="0"/>
              <w:marBottom w:val="0"/>
              <w:divBdr>
                <w:top w:val="none" w:sz="0" w:space="0" w:color="auto"/>
                <w:left w:val="none" w:sz="0" w:space="0" w:color="auto"/>
                <w:bottom w:val="none" w:sz="0" w:space="0" w:color="auto"/>
                <w:right w:val="none" w:sz="0" w:space="0" w:color="auto"/>
              </w:divBdr>
              <w:divsChild>
                <w:div w:id="2142186755">
                  <w:marLeft w:val="0"/>
                  <w:marRight w:val="0"/>
                  <w:marTop w:val="0"/>
                  <w:marBottom w:val="0"/>
                  <w:divBdr>
                    <w:top w:val="none" w:sz="0" w:space="0" w:color="auto"/>
                    <w:left w:val="none" w:sz="0" w:space="0" w:color="auto"/>
                    <w:bottom w:val="none" w:sz="0" w:space="0" w:color="auto"/>
                    <w:right w:val="none" w:sz="0" w:space="0" w:color="auto"/>
                  </w:divBdr>
                  <w:divsChild>
                    <w:div w:id="2995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53769174">
      <w:bodyDiv w:val="1"/>
      <w:marLeft w:val="0"/>
      <w:marRight w:val="0"/>
      <w:marTop w:val="0"/>
      <w:marBottom w:val="0"/>
      <w:divBdr>
        <w:top w:val="none" w:sz="0" w:space="0" w:color="auto"/>
        <w:left w:val="none" w:sz="0" w:space="0" w:color="auto"/>
        <w:bottom w:val="none" w:sz="0" w:space="0" w:color="auto"/>
        <w:right w:val="none" w:sz="0" w:space="0" w:color="auto"/>
      </w:divBdr>
    </w:div>
    <w:div w:id="354692736">
      <w:bodyDiv w:val="1"/>
      <w:marLeft w:val="0"/>
      <w:marRight w:val="0"/>
      <w:marTop w:val="0"/>
      <w:marBottom w:val="0"/>
      <w:divBdr>
        <w:top w:val="none" w:sz="0" w:space="0" w:color="auto"/>
        <w:left w:val="none" w:sz="0" w:space="0" w:color="auto"/>
        <w:bottom w:val="none" w:sz="0" w:space="0" w:color="auto"/>
        <w:right w:val="none" w:sz="0" w:space="0" w:color="auto"/>
      </w:divBdr>
    </w:div>
    <w:div w:id="359086910">
      <w:bodyDiv w:val="1"/>
      <w:marLeft w:val="0"/>
      <w:marRight w:val="0"/>
      <w:marTop w:val="0"/>
      <w:marBottom w:val="0"/>
      <w:divBdr>
        <w:top w:val="none" w:sz="0" w:space="0" w:color="auto"/>
        <w:left w:val="none" w:sz="0" w:space="0" w:color="auto"/>
        <w:bottom w:val="none" w:sz="0" w:space="0" w:color="auto"/>
        <w:right w:val="none" w:sz="0" w:space="0" w:color="auto"/>
      </w:divBdr>
    </w:div>
    <w:div w:id="361395923">
      <w:bodyDiv w:val="1"/>
      <w:marLeft w:val="0"/>
      <w:marRight w:val="0"/>
      <w:marTop w:val="0"/>
      <w:marBottom w:val="0"/>
      <w:divBdr>
        <w:top w:val="none" w:sz="0" w:space="0" w:color="auto"/>
        <w:left w:val="none" w:sz="0" w:space="0" w:color="auto"/>
        <w:bottom w:val="none" w:sz="0" w:space="0" w:color="auto"/>
        <w:right w:val="none" w:sz="0" w:space="0" w:color="auto"/>
      </w:divBdr>
    </w:div>
    <w:div w:id="363334349">
      <w:bodyDiv w:val="1"/>
      <w:marLeft w:val="0"/>
      <w:marRight w:val="0"/>
      <w:marTop w:val="0"/>
      <w:marBottom w:val="0"/>
      <w:divBdr>
        <w:top w:val="none" w:sz="0" w:space="0" w:color="auto"/>
        <w:left w:val="none" w:sz="0" w:space="0" w:color="auto"/>
        <w:bottom w:val="none" w:sz="0" w:space="0" w:color="auto"/>
        <w:right w:val="none" w:sz="0" w:space="0" w:color="auto"/>
      </w:divBdr>
    </w:div>
    <w:div w:id="363754583">
      <w:bodyDiv w:val="1"/>
      <w:marLeft w:val="0"/>
      <w:marRight w:val="0"/>
      <w:marTop w:val="0"/>
      <w:marBottom w:val="0"/>
      <w:divBdr>
        <w:top w:val="none" w:sz="0" w:space="0" w:color="auto"/>
        <w:left w:val="none" w:sz="0" w:space="0" w:color="auto"/>
        <w:bottom w:val="none" w:sz="0" w:space="0" w:color="auto"/>
        <w:right w:val="none" w:sz="0" w:space="0" w:color="auto"/>
      </w:divBdr>
    </w:div>
    <w:div w:id="365643722">
      <w:bodyDiv w:val="1"/>
      <w:marLeft w:val="0"/>
      <w:marRight w:val="0"/>
      <w:marTop w:val="0"/>
      <w:marBottom w:val="0"/>
      <w:divBdr>
        <w:top w:val="none" w:sz="0" w:space="0" w:color="auto"/>
        <w:left w:val="none" w:sz="0" w:space="0" w:color="auto"/>
        <w:bottom w:val="none" w:sz="0" w:space="0" w:color="auto"/>
        <w:right w:val="none" w:sz="0" w:space="0" w:color="auto"/>
      </w:divBdr>
    </w:div>
    <w:div w:id="366300585">
      <w:bodyDiv w:val="1"/>
      <w:marLeft w:val="0"/>
      <w:marRight w:val="0"/>
      <w:marTop w:val="0"/>
      <w:marBottom w:val="0"/>
      <w:divBdr>
        <w:top w:val="none" w:sz="0" w:space="0" w:color="auto"/>
        <w:left w:val="none" w:sz="0" w:space="0" w:color="auto"/>
        <w:bottom w:val="none" w:sz="0" w:space="0" w:color="auto"/>
        <w:right w:val="none" w:sz="0" w:space="0" w:color="auto"/>
      </w:divBdr>
    </w:div>
    <w:div w:id="3672173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7">
          <w:marLeft w:val="0"/>
          <w:marRight w:val="0"/>
          <w:marTop w:val="0"/>
          <w:marBottom w:val="0"/>
          <w:divBdr>
            <w:top w:val="none" w:sz="0" w:space="0" w:color="auto"/>
            <w:left w:val="none" w:sz="0" w:space="0" w:color="auto"/>
            <w:bottom w:val="none" w:sz="0" w:space="0" w:color="auto"/>
            <w:right w:val="none" w:sz="0" w:space="0" w:color="auto"/>
          </w:divBdr>
        </w:div>
        <w:div w:id="885213582">
          <w:marLeft w:val="0"/>
          <w:marRight w:val="0"/>
          <w:marTop w:val="0"/>
          <w:marBottom w:val="0"/>
          <w:divBdr>
            <w:top w:val="none" w:sz="0" w:space="0" w:color="auto"/>
            <w:left w:val="none" w:sz="0" w:space="0" w:color="auto"/>
            <w:bottom w:val="none" w:sz="0" w:space="0" w:color="auto"/>
            <w:right w:val="none" w:sz="0" w:space="0" w:color="auto"/>
          </w:divBdr>
        </w:div>
        <w:div w:id="1115756659">
          <w:marLeft w:val="0"/>
          <w:marRight w:val="0"/>
          <w:marTop w:val="0"/>
          <w:marBottom w:val="0"/>
          <w:divBdr>
            <w:top w:val="none" w:sz="0" w:space="0" w:color="auto"/>
            <w:left w:val="none" w:sz="0" w:space="0" w:color="auto"/>
            <w:bottom w:val="none" w:sz="0" w:space="0" w:color="auto"/>
            <w:right w:val="none" w:sz="0" w:space="0" w:color="auto"/>
          </w:divBdr>
        </w:div>
        <w:div w:id="1269116608">
          <w:marLeft w:val="0"/>
          <w:marRight w:val="0"/>
          <w:marTop w:val="0"/>
          <w:marBottom w:val="0"/>
          <w:divBdr>
            <w:top w:val="none" w:sz="0" w:space="0" w:color="auto"/>
            <w:left w:val="none" w:sz="0" w:space="0" w:color="auto"/>
            <w:bottom w:val="none" w:sz="0" w:space="0" w:color="auto"/>
            <w:right w:val="none" w:sz="0" w:space="0" w:color="auto"/>
          </w:divBdr>
        </w:div>
        <w:div w:id="2059275890">
          <w:marLeft w:val="0"/>
          <w:marRight w:val="0"/>
          <w:marTop w:val="0"/>
          <w:marBottom w:val="0"/>
          <w:divBdr>
            <w:top w:val="none" w:sz="0" w:space="0" w:color="auto"/>
            <w:left w:val="none" w:sz="0" w:space="0" w:color="auto"/>
            <w:bottom w:val="none" w:sz="0" w:space="0" w:color="auto"/>
            <w:right w:val="none" w:sz="0" w:space="0" w:color="auto"/>
          </w:divBdr>
        </w:div>
      </w:divsChild>
    </w:div>
    <w:div w:id="377170754">
      <w:bodyDiv w:val="1"/>
      <w:marLeft w:val="0"/>
      <w:marRight w:val="0"/>
      <w:marTop w:val="0"/>
      <w:marBottom w:val="0"/>
      <w:divBdr>
        <w:top w:val="none" w:sz="0" w:space="0" w:color="auto"/>
        <w:left w:val="none" w:sz="0" w:space="0" w:color="auto"/>
        <w:bottom w:val="none" w:sz="0" w:space="0" w:color="auto"/>
        <w:right w:val="none" w:sz="0" w:space="0" w:color="auto"/>
      </w:divBdr>
    </w:div>
    <w:div w:id="379018829">
      <w:bodyDiv w:val="1"/>
      <w:marLeft w:val="0"/>
      <w:marRight w:val="0"/>
      <w:marTop w:val="0"/>
      <w:marBottom w:val="0"/>
      <w:divBdr>
        <w:top w:val="none" w:sz="0" w:space="0" w:color="auto"/>
        <w:left w:val="none" w:sz="0" w:space="0" w:color="auto"/>
        <w:bottom w:val="none" w:sz="0" w:space="0" w:color="auto"/>
        <w:right w:val="none" w:sz="0" w:space="0" w:color="auto"/>
      </w:divBdr>
    </w:div>
    <w:div w:id="379281300">
      <w:bodyDiv w:val="1"/>
      <w:marLeft w:val="0"/>
      <w:marRight w:val="0"/>
      <w:marTop w:val="0"/>
      <w:marBottom w:val="0"/>
      <w:divBdr>
        <w:top w:val="none" w:sz="0" w:space="0" w:color="auto"/>
        <w:left w:val="none" w:sz="0" w:space="0" w:color="auto"/>
        <w:bottom w:val="none" w:sz="0" w:space="0" w:color="auto"/>
        <w:right w:val="none" w:sz="0" w:space="0" w:color="auto"/>
      </w:divBdr>
    </w:div>
    <w:div w:id="380716746">
      <w:bodyDiv w:val="1"/>
      <w:marLeft w:val="0"/>
      <w:marRight w:val="0"/>
      <w:marTop w:val="0"/>
      <w:marBottom w:val="0"/>
      <w:divBdr>
        <w:top w:val="none" w:sz="0" w:space="0" w:color="auto"/>
        <w:left w:val="none" w:sz="0" w:space="0" w:color="auto"/>
        <w:bottom w:val="none" w:sz="0" w:space="0" w:color="auto"/>
        <w:right w:val="none" w:sz="0" w:space="0" w:color="auto"/>
      </w:divBdr>
      <w:divsChild>
        <w:div w:id="1921408708">
          <w:marLeft w:val="0"/>
          <w:marRight w:val="0"/>
          <w:marTop w:val="0"/>
          <w:marBottom w:val="0"/>
          <w:divBdr>
            <w:top w:val="none" w:sz="0" w:space="0" w:color="auto"/>
            <w:left w:val="none" w:sz="0" w:space="0" w:color="auto"/>
            <w:bottom w:val="none" w:sz="0" w:space="0" w:color="auto"/>
            <w:right w:val="none" w:sz="0" w:space="0" w:color="auto"/>
          </w:divBdr>
          <w:divsChild>
            <w:div w:id="381711841">
              <w:marLeft w:val="0"/>
              <w:marRight w:val="0"/>
              <w:marTop w:val="0"/>
              <w:marBottom w:val="0"/>
              <w:divBdr>
                <w:top w:val="none" w:sz="0" w:space="0" w:color="auto"/>
                <w:left w:val="none" w:sz="0" w:space="0" w:color="auto"/>
                <w:bottom w:val="none" w:sz="0" w:space="0" w:color="auto"/>
                <w:right w:val="none" w:sz="0" w:space="0" w:color="auto"/>
              </w:divBdr>
              <w:divsChild>
                <w:div w:id="589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941">
      <w:bodyDiv w:val="1"/>
      <w:marLeft w:val="0"/>
      <w:marRight w:val="0"/>
      <w:marTop w:val="0"/>
      <w:marBottom w:val="0"/>
      <w:divBdr>
        <w:top w:val="none" w:sz="0" w:space="0" w:color="auto"/>
        <w:left w:val="none" w:sz="0" w:space="0" w:color="auto"/>
        <w:bottom w:val="none" w:sz="0" w:space="0" w:color="auto"/>
        <w:right w:val="none" w:sz="0" w:space="0" w:color="auto"/>
      </w:divBdr>
      <w:divsChild>
        <w:div w:id="470370553">
          <w:marLeft w:val="0"/>
          <w:marRight w:val="0"/>
          <w:marTop w:val="0"/>
          <w:marBottom w:val="0"/>
          <w:divBdr>
            <w:top w:val="none" w:sz="0" w:space="0" w:color="auto"/>
            <w:left w:val="none" w:sz="0" w:space="0" w:color="auto"/>
            <w:bottom w:val="none" w:sz="0" w:space="0" w:color="auto"/>
            <w:right w:val="none" w:sz="0" w:space="0" w:color="auto"/>
          </w:divBdr>
          <w:divsChild>
            <w:div w:id="259336409">
              <w:marLeft w:val="0"/>
              <w:marRight w:val="0"/>
              <w:marTop w:val="0"/>
              <w:marBottom w:val="0"/>
              <w:divBdr>
                <w:top w:val="none" w:sz="0" w:space="0" w:color="auto"/>
                <w:left w:val="none" w:sz="0" w:space="0" w:color="auto"/>
                <w:bottom w:val="none" w:sz="0" w:space="0" w:color="auto"/>
                <w:right w:val="none" w:sz="0" w:space="0" w:color="auto"/>
              </w:divBdr>
              <w:divsChild>
                <w:div w:id="359361250">
                  <w:marLeft w:val="0"/>
                  <w:marRight w:val="0"/>
                  <w:marTop w:val="0"/>
                  <w:marBottom w:val="0"/>
                  <w:divBdr>
                    <w:top w:val="none" w:sz="0" w:space="0" w:color="auto"/>
                    <w:left w:val="none" w:sz="0" w:space="0" w:color="auto"/>
                    <w:bottom w:val="none" w:sz="0" w:space="0" w:color="auto"/>
                    <w:right w:val="none" w:sz="0" w:space="0" w:color="auto"/>
                  </w:divBdr>
                  <w:divsChild>
                    <w:div w:id="9034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9787">
      <w:bodyDiv w:val="1"/>
      <w:marLeft w:val="0"/>
      <w:marRight w:val="0"/>
      <w:marTop w:val="0"/>
      <w:marBottom w:val="0"/>
      <w:divBdr>
        <w:top w:val="none" w:sz="0" w:space="0" w:color="auto"/>
        <w:left w:val="none" w:sz="0" w:space="0" w:color="auto"/>
        <w:bottom w:val="none" w:sz="0" w:space="0" w:color="auto"/>
        <w:right w:val="none" w:sz="0" w:space="0" w:color="auto"/>
      </w:divBdr>
    </w:div>
    <w:div w:id="409545659">
      <w:bodyDiv w:val="1"/>
      <w:marLeft w:val="0"/>
      <w:marRight w:val="0"/>
      <w:marTop w:val="0"/>
      <w:marBottom w:val="0"/>
      <w:divBdr>
        <w:top w:val="none" w:sz="0" w:space="0" w:color="auto"/>
        <w:left w:val="none" w:sz="0" w:space="0" w:color="auto"/>
        <w:bottom w:val="none" w:sz="0" w:space="0" w:color="auto"/>
        <w:right w:val="none" w:sz="0" w:space="0" w:color="auto"/>
      </w:divBdr>
    </w:div>
    <w:div w:id="411389028">
      <w:bodyDiv w:val="1"/>
      <w:marLeft w:val="0"/>
      <w:marRight w:val="0"/>
      <w:marTop w:val="0"/>
      <w:marBottom w:val="0"/>
      <w:divBdr>
        <w:top w:val="none" w:sz="0" w:space="0" w:color="auto"/>
        <w:left w:val="none" w:sz="0" w:space="0" w:color="auto"/>
        <w:bottom w:val="none" w:sz="0" w:space="0" w:color="auto"/>
        <w:right w:val="none" w:sz="0" w:space="0" w:color="auto"/>
      </w:divBdr>
    </w:div>
    <w:div w:id="417406813">
      <w:bodyDiv w:val="1"/>
      <w:marLeft w:val="0"/>
      <w:marRight w:val="0"/>
      <w:marTop w:val="0"/>
      <w:marBottom w:val="0"/>
      <w:divBdr>
        <w:top w:val="none" w:sz="0" w:space="0" w:color="auto"/>
        <w:left w:val="none" w:sz="0" w:space="0" w:color="auto"/>
        <w:bottom w:val="none" w:sz="0" w:space="0" w:color="auto"/>
        <w:right w:val="none" w:sz="0" w:space="0" w:color="auto"/>
      </w:divBdr>
    </w:div>
    <w:div w:id="419106159">
      <w:bodyDiv w:val="1"/>
      <w:marLeft w:val="0"/>
      <w:marRight w:val="0"/>
      <w:marTop w:val="0"/>
      <w:marBottom w:val="0"/>
      <w:divBdr>
        <w:top w:val="none" w:sz="0" w:space="0" w:color="auto"/>
        <w:left w:val="none" w:sz="0" w:space="0" w:color="auto"/>
        <w:bottom w:val="none" w:sz="0" w:space="0" w:color="auto"/>
        <w:right w:val="none" w:sz="0" w:space="0" w:color="auto"/>
      </w:divBdr>
      <w:divsChild>
        <w:div w:id="980306363">
          <w:marLeft w:val="547"/>
          <w:marRight w:val="0"/>
          <w:marTop w:val="0"/>
          <w:marBottom w:val="0"/>
          <w:divBdr>
            <w:top w:val="none" w:sz="0" w:space="0" w:color="auto"/>
            <w:left w:val="none" w:sz="0" w:space="0" w:color="auto"/>
            <w:bottom w:val="none" w:sz="0" w:space="0" w:color="auto"/>
            <w:right w:val="none" w:sz="0" w:space="0" w:color="auto"/>
          </w:divBdr>
        </w:div>
      </w:divsChild>
    </w:div>
    <w:div w:id="420566594">
      <w:bodyDiv w:val="1"/>
      <w:marLeft w:val="0"/>
      <w:marRight w:val="0"/>
      <w:marTop w:val="0"/>
      <w:marBottom w:val="0"/>
      <w:divBdr>
        <w:top w:val="none" w:sz="0" w:space="0" w:color="auto"/>
        <w:left w:val="none" w:sz="0" w:space="0" w:color="auto"/>
        <w:bottom w:val="none" w:sz="0" w:space="0" w:color="auto"/>
        <w:right w:val="none" w:sz="0" w:space="0" w:color="auto"/>
      </w:divBdr>
    </w:div>
    <w:div w:id="429007017">
      <w:bodyDiv w:val="1"/>
      <w:marLeft w:val="0"/>
      <w:marRight w:val="0"/>
      <w:marTop w:val="0"/>
      <w:marBottom w:val="0"/>
      <w:divBdr>
        <w:top w:val="none" w:sz="0" w:space="0" w:color="auto"/>
        <w:left w:val="none" w:sz="0" w:space="0" w:color="auto"/>
        <w:bottom w:val="none" w:sz="0" w:space="0" w:color="auto"/>
        <w:right w:val="none" w:sz="0" w:space="0" w:color="auto"/>
      </w:divBdr>
      <w:divsChild>
        <w:div w:id="26951512">
          <w:marLeft w:val="547"/>
          <w:marRight w:val="0"/>
          <w:marTop w:val="40"/>
          <w:marBottom w:val="0"/>
          <w:divBdr>
            <w:top w:val="none" w:sz="0" w:space="0" w:color="auto"/>
            <w:left w:val="none" w:sz="0" w:space="0" w:color="auto"/>
            <w:bottom w:val="none" w:sz="0" w:space="0" w:color="auto"/>
            <w:right w:val="none" w:sz="0" w:space="0" w:color="auto"/>
          </w:divBdr>
        </w:div>
        <w:div w:id="27683892">
          <w:marLeft w:val="547"/>
          <w:marRight w:val="0"/>
          <w:marTop w:val="40"/>
          <w:marBottom w:val="0"/>
          <w:divBdr>
            <w:top w:val="none" w:sz="0" w:space="0" w:color="auto"/>
            <w:left w:val="none" w:sz="0" w:space="0" w:color="auto"/>
            <w:bottom w:val="none" w:sz="0" w:space="0" w:color="auto"/>
            <w:right w:val="none" w:sz="0" w:space="0" w:color="auto"/>
          </w:divBdr>
        </w:div>
        <w:div w:id="199365743">
          <w:marLeft w:val="547"/>
          <w:marRight w:val="0"/>
          <w:marTop w:val="40"/>
          <w:marBottom w:val="0"/>
          <w:divBdr>
            <w:top w:val="none" w:sz="0" w:space="0" w:color="auto"/>
            <w:left w:val="none" w:sz="0" w:space="0" w:color="auto"/>
            <w:bottom w:val="none" w:sz="0" w:space="0" w:color="auto"/>
            <w:right w:val="none" w:sz="0" w:space="0" w:color="auto"/>
          </w:divBdr>
        </w:div>
        <w:div w:id="260842113">
          <w:marLeft w:val="547"/>
          <w:marRight w:val="0"/>
          <w:marTop w:val="40"/>
          <w:marBottom w:val="0"/>
          <w:divBdr>
            <w:top w:val="none" w:sz="0" w:space="0" w:color="auto"/>
            <w:left w:val="none" w:sz="0" w:space="0" w:color="auto"/>
            <w:bottom w:val="none" w:sz="0" w:space="0" w:color="auto"/>
            <w:right w:val="none" w:sz="0" w:space="0" w:color="auto"/>
          </w:divBdr>
        </w:div>
        <w:div w:id="407074645">
          <w:marLeft w:val="547"/>
          <w:marRight w:val="0"/>
          <w:marTop w:val="40"/>
          <w:marBottom w:val="0"/>
          <w:divBdr>
            <w:top w:val="none" w:sz="0" w:space="0" w:color="auto"/>
            <w:left w:val="none" w:sz="0" w:space="0" w:color="auto"/>
            <w:bottom w:val="none" w:sz="0" w:space="0" w:color="auto"/>
            <w:right w:val="none" w:sz="0" w:space="0" w:color="auto"/>
          </w:divBdr>
        </w:div>
        <w:div w:id="676925482">
          <w:marLeft w:val="547"/>
          <w:marRight w:val="0"/>
          <w:marTop w:val="40"/>
          <w:marBottom w:val="0"/>
          <w:divBdr>
            <w:top w:val="none" w:sz="0" w:space="0" w:color="auto"/>
            <w:left w:val="none" w:sz="0" w:space="0" w:color="auto"/>
            <w:bottom w:val="none" w:sz="0" w:space="0" w:color="auto"/>
            <w:right w:val="none" w:sz="0" w:space="0" w:color="auto"/>
          </w:divBdr>
        </w:div>
        <w:div w:id="688415169">
          <w:marLeft w:val="547"/>
          <w:marRight w:val="0"/>
          <w:marTop w:val="40"/>
          <w:marBottom w:val="0"/>
          <w:divBdr>
            <w:top w:val="none" w:sz="0" w:space="0" w:color="auto"/>
            <w:left w:val="none" w:sz="0" w:space="0" w:color="auto"/>
            <w:bottom w:val="none" w:sz="0" w:space="0" w:color="auto"/>
            <w:right w:val="none" w:sz="0" w:space="0" w:color="auto"/>
          </w:divBdr>
        </w:div>
        <w:div w:id="1110197078">
          <w:marLeft w:val="547"/>
          <w:marRight w:val="0"/>
          <w:marTop w:val="40"/>
          <w:marBottom w:val="0"/>
          <w:divBdr>
            <w:top w:val="none" w:sz="0" w:space="0" w:color="auto"/>
            <w:left w:val="none" w:sz="0" w:space="0" w:color="auto"/>
            <w:bottom w:val="none" w:sz="0" w:space="0" w:color="auto"/>
            <w:right w:val="none" w:sz="0" w:space="0" w:color="auto"/>
          </w:divBdr>
        </w:div>
        <w:div w:id="1168446946">
          <w:marLeft w:val="547"/>
          <w:marRight w:val="0"/>
          <w:marTop w:val="40"/>
          <w:marBottom w:val="0"/>
          <w:divBdr>
            <w:top w:val="none" w:sz="0" w:space="0" w:color="auto"/>
            <w:left w:val="none" w:sz="0" w:space="0" w:color="auto"/>
            <w:bottom w:val="none" w:sz="0" w:space="0" w:color="auto"/>
            <w:right w:val="none" w:sz="0" w:space="0" w:color="auto"/>
          </w:divBdr>
        </w:div>
        <w:div w:id="1503886215">
          <w:marLeft w:val="547"/>
          <w:marRight w:val="0"/>
          <w:marTop w:val="40"/>
          <w:marBottom w:val="0"/>
          <w:divBdr>
            <w:top w:val="none" w:sz="0" w:space="0" w:color="auto"/>
            <w:left w:val="none" w:sz="0" w:space="0" w:color="auto"/>
            <w:bottom w:val="none" w:sz="0" w:space="0" w:color="auto"/>
            <w:right w:val="none" w:sz="0" w:space="0" w:color="auto"/>
          </w:divBdr>
        </w:div>
        <w:div w:id="1898323245">
          <w:marLeft w:val="547"/>
          <w:marRight w:val="0"/>
          <w:marTop w:val="40"/>
          <w:marBottom w:val="0"/>
          <w:divBdr>
            <w:top w:val="none" w:sz="0" w:space="0" w:color="auto"/>
            <w:left w:val="none" w:sz="0" w:space="0" w:color="auto"/>
            <w:bottom w:val="none" w:sz="0" w:space="0" w:color="auto"/>
            <w:right w:val="none" w:sz="0" w:space="0" w:color="auto"/>
          </w:divBdr>
        </w:div>
      </w:divsChild>
    </w:div>
    <w:div w:id="439841882">
      <w:bodyDiv w:val="1"/>
      <w:marLeft w:val="0"/>
      <w:marRight w:val="0"/>
      <w:marTop w:val="0"/>
      <w:marBottom w:val="0"/>
      <w:divBdr>
        <w:top w:val="none" w:sz="0" w:space="0" w:color="auto"/>
        <w:left w:val="none" w:sz="0" w:space="0" w:color="auto"/>
        <w:bottom w:val="none" w:sz="0" w:space="0" w:color="auto"/>
        <w:right w:val="none" w:sz="0" w:space="0" w:color="auto"/>
      </w:divBdr>
    </w:div>
    <w:div w:id="446659979">
      <w:bodyDiv w:val="1"/>
      <w:marLeft w:val="0"/>
      <w:marRight w:val="0"/>
      <w:marTop w:val="0"/>
      <w:marBottom w:val="0"/>
      <w:divBdr>
        <w:top w:val="none" w:sz="0" w:space="0" w:color="auto"/>
        <w:left w:val="none" w:sz="0" w:space="0" w:color="auto"/>
        <w:bottom w:val="none" w:sz="0" w:space="0" w:color="auto"/>
        <w:right w:val="none" w:sz="0" w:space="0" w:color="auto"/>
      </w:divBdr>
    </w:div>
    <w:div w:id="446781331">
      <w:bodyDiv w:val="1"/>
      <w:marLeft w:val="0"/>
      <w:marRight w:val="0"/>
      <w:marTop w:val="0"/>
      <w:marBottom w:val="0"/>
      <w:divBdr>
        <w:top w:val="none" w:sz="0" w:space="0" w:color="auto"/>
        <w:left w:val="none" w:sz="0" w:space="0" w:color="auto"/>
        <w:bottom w:val="none" w:sz="0" w:space="0" w:color="auto"/>
        <w:right w:val="none" w:sz="0" w:space="0" w:color="auto"/>
      </w:divBdr>
      <w:divsChild>
        <w:div w:id="1331134169">
          <w:marLeft w:val="720"/>
          <w:marRight w:val="0"/>
          <w:marTop w:val="200"/>
          <w:marBottom w:val="0"/>
          <w:divBdr>
            <w:top w:val="none" w:sz="0" w:space="0" w:color="auto"/>
            <w:left w:val="none" w:sz="0" w:space="0" w:color="auto"/>
            <w:bottom w:val="none" w:sz="0" w:space="0" w:color="auto"/>
            <w:right w:val="none" w:sz="0" w:space="0" w:color="auto"/>
          </w:divBdr>
        </w:div>
        <w:div w:id="1423796252">
          <w:marLeft w:val="720"/>
          <w:marRight w:val="0"/>
          <w:marTop w:val="200"/>
          <w:marBottom w:val="0"/>
          <w:divBdr>
            <w:top w:val="none" w:sz="0" w:space="0" w:color="auto"/>
            <w:left w:val="none" w:sz="0" w:space="0" w:color="auto"/>
            <w:bottom w:val="none" w:sz="0" w:space="0" w:color="auto"/>
            <w:right w:val="none" w:sz="0" w:space="0" w:color="auto"/>
          </w:divBdr>
        </w:div>
      </w:divsChild>
    </w:div>
    <w:div w:id="451364623">
      <w:bodyDiv w:val="1"/>
      <w:marLeft w:val="0"/>
      <w:marRight w:val="0"/>
      <w:marTop w:val="0"/>
      <w:marBottom w:val="0"/>
      <w:divBdr>
        <w:top w:val="none" w:sz="0" w:space="0" w:color="auto"/>
        <w:left w:val="none" w:sz="0" w:space="0" w:color="auto"/>
        <w:bottom w:val="none" w:sz="0" w:space="0" w:color="auto"/>
        <w:right w:val="none" w:sz="0" w:space="0" w:color="auto"/>
      </w:divBdr>
    </w:div>
    <w:div w:id="455410935">
      <w:bodyDiv w:val="1"/>
      <w:marLeft w:val="0"/>
      <w:marRight w:val="0"/>
      <w:marTop w:val="0"/>
      <w:marBottom w:val="0"/>
      <w:divBdr>
        <w:top w:val="none" w:sz="0" w:space="0" w:color="auto"/>
        <w:left w:val="none" w:sz="0" w:space="0" w:color="auto"/>
        <w:bottom w:val="none" w:sz="0" w:space="0" w:color="auto"/>
        <w:right w:val="none" w:sz="0" w:space="0" w:color="auto"/>
      </w:divBdr>
    </w:div>
    <w:div w:id="456416717">
      <w:bodyDiv w:val="1"/>
      <w:marLeft w:val="0"/>
      <w:marRight w:val="0"/>
      <w:marTop w:val="0"/>
      <w:marBottom w:val="0"/>
      <w:divBdr>
        <w:top w:val="none" w:sz="0" w:space="0" w:color="auto"/>
        <w:left w:val="none" w:sz="0" w:space="0" w:color="auto"/>
        <w:bottom w:val="none" w:sz="0" w:space="0" w:color="auto"/>
        <w:right w:val="none" w:sz="0" w:space="0" w:color="auto"/>
      </w:divBdr>
      <w:divsChild>
        <w:div w:id="813987118">
          <w:marLeft w:val="0"/>
          <w:marRight w:val="0"/>
          <w:marTop w:val="0"/>
          <w:marBottom w:val="0"/>
          <w:divBdr>
            <w:top w:val="none" w:sz="0" w:space="0" w:color="auto"/>
            <w:left w:val="none" w:sz="0" w:space="0" w:color="auto"/>
            <w:bottom w:val="none" w:sz="0" w:space="0" w:color="auto"/>
            <w:right w:val="none" w:sz="0" w:space="0" w:color="auto"/>
          </w:divBdr>
          <w:divsChild>
            <w:div w:id="1120606865">
              <w:marLeft w:val="0"/>
              <w:marRight w:val="0"/>
              <w:marTop w:val="0"/>
              <w:marBottom w:val="0"/>
              <w:divBdr>
                <w:top w:val="none" w:sz="0" w:space="0" w:color="auto"/>
                <w:left w:val="none" w:sz="0" w:space="0" w:color="auto"/>
                <w:bottom w:val="none" w:sz="0" w:space="0" w:color="auto"/>
                <w:right w:val="none" w:sz="0" w:space="0" w:color="auto"/>
              </w:divBdr>
              <w:divsChild>
                <w:div w:id="354890213">
                  <w:marLeft w:val="0"/>
                  <w:marRight w:val="0"/>
                  <w:marTop w:val="0"/>
                  <w:marBottom w:val="0"/>
                  <w:divBdr>
                    <w:top w:val="none" w:sz="0" w:space="0" w:color="auto"/>
                    <w:left w:val="none" w:sz="0" w:space="0" w:color="auto"/>
                    <w:bottom w:val="none" w:sz="0" w:space="0" w:color="auto"/>
                    <w:right w:val="none" w:sz="0" w:space="0" w:color="auto"/>
                  </w:divBdr>
                  <w:divsChild>
                    <w:div w:id="18178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6357">
      <w:bodyDiv w:val="1"/>
      <w:marLeft w:val="0"/>
      <w:marRight w:val="0"/>
      <w:marTop w:val="0"/>
      <w:marBottom w:val="0"/>
      <w:divBdr>
        <w:top w:val="none" w:sz="0" w:space="0" w:color="auto"/>
        <w:left w:val="none" w:sz="0" w:space="0" w:color="auto"/>
        <w:bottom w:val="none" w:sz="0" w:space="0" w:color="auto"/>
        <w:right w:val="none" w:sz="0" w:space="0" w:color="auto"/>
      </w:divBdr>
    </w:div>
    <w:div w:id="461578465">
      <w:bodyDiv w:val="1"/>
      <w:marLeft w:val="0"/>
      <w:marRight w:val="0"/>
      <w:marTop w:val="0"/>
      <w:marBottom w:val="0"/>
      <w:divBdr>
        <w:top w:val="none" w:sz="0" w:space="0" w:color="auto"/>
        <w:left w:val="none" w:sz="0" w:space="0" w:color="auto"/>
        <w:bottom w:val="none" w:sz="0" w:space="0" w:color="auto"/>
        <w:right w:val="none" w:sz="0" w:space="0" w:color="auto"/>
      </w:divBdr>
      <w:divsChild>
        <w:div w:id="105975711">
          <w:marLeft w:val="1138"/>
          <w:marRight w:val="0"/>
          <w:marTop w:val="96"/>
          <w:marBottom w:val="0"/>
          <w:divBdr>
            <w:top w:val="none" w:sz="0" w:space="0" w:color="auto"/>
            <w:left w:val="none" w:sz="0" w:space="0" w:color="auto"/>
            <w:bottom w:val="none" w:sz="0" w:space="0" w:color="auto"/>
            <w:right w:val="none" w:sz="0" w:space="0" w:color="auto"/>
          </w:divBdr>
        </w:div>
        <w:div w:id="562178914">
          <w:marLeft w:val="1138"/>
          <w:marRight w:val="0"/>
          <w:marTop w:val="96"/>
          <w:marBottom w:val="0"/>
          <w:divBdr>
            <w:top w:val="none" w:sz="0" w:space="0" w:color="auto"/>
            <w:left w:val="none" w:sz="0" w:space="0" w:color="auto"/>
            <w:bottom w:val="none" w:sz="0" w:space="0" w:color="auto"/>
            <w:right w:val="none" w:sz="0" w:space="0" w:color="auto"/>
          </w:divBdr>
        </w:div>
        <w:div w:id="1337535899">
          <w:marLeft w:val="2261"/>
          <w:marRight w:val="0"/>
          <w:marTop w:val="96"/>
          <w:marBottom w:val="0"/>
          <w:divBdr>
            <w:top w:val="none" w:sz="0" w:space="0" w:color="auto"/>
            <w:left w:val="none" w:sz="0" w:space="0" w:color="auto"/>
            <w:bottom w:val="none" w:sz="0" w:space="0" w:color="auto"/>
            <w:right w:val="none" w:sz="0" w:space="0" w:color="auto"/>
          </w:divBdr>
        </w:div>
        <w:div w:id="1716277418">
          <w:marLeft w:val="2261"/>
          <w:marRight w:val="0"/>
          <w:marTop w:val="96"/>
          <w:marBottom w:val="0"/>
          <w:divBdr>
            <w:top w:val="none" w:sz="0" w:space="0" w:color="auto"/>
            <w:left w:val="none" w:sz="0" w:space="0" w:color="auto"/>
            <w:bottom w:val="none" w:sz="0" w:space="0" w:color="auto"/>
            <w:right w:val="none" w:sz="0" w:space="0" w:color="auto"/>
          </w:divBdr>
        </w:div>
        <w:div w:id="1759984535">
          <w:marLeft w:val="0"/>
          <w:marRight w:val="0"/>
          <w:marTop w:val="115"/>
          <w:marBottom w:val="0"/>
          <w:divBdr>
            <w:top w:val="none" w:sz="0" w:space="0" w:color="auto"/>
            <w:left w:val="none" w:sz="0" w:space="0" w:color="auto"/>
            <w:bottom w:val="none" w:sz="0" w:space="0" w:color="auto"/>
            <w:right w:val="none" w:sz="0" w:space="0" w:color="auto"/>
          </w:divBdr>
        </w:div>
      </w:divsChild>
    </w:div>
    <w:div w:id="461844298">
      <w:bodyDiv w:val="1"/>
      <w:marLeft w:val="0"/>
      <w:marRight w:val="0"/>
      <w:marTop w:val="0"/>
      <w:marBottom w:val="0"/>
      <w:divBdr>
        <w:top w:val="none" w:sz="0" w:space="0" w:color="auto"/>
        <w:left w:val="none" w:sz="0" w:space="0" w:color="auto"/>
        <w:bottom w:val="none" w:sz="0" w:space="0" w:color="auto"/>
        <w:right w:val="none" w:sz="0" w:space="0" w:color="auto"/>
      </w:divBdr>
      <w:divsChild>
        <w:div w:id="723330705">
          <w:marLeft w:val="547"/>
          <w:marRight w:val="0"/>
          <w:marTop w:val="134"/>
          <w:marBottom w:val="0"/>
          <w:divBdr>
            <w:top w:val="none" w:sz="0" w:space="0" w:color="auto"/>
            <w:left w:val="none" w:sz="0" w:space="0" w:color="auto"/>
            <w:bottom w:val="none" w:sz="0" w:space="0" w:color="auto"/>
            <w:right w:val="none" w:sz="0" w:space="0" w:color="auto"/>
          </w:divBdr>
        </w:div>
        <w:div w:id="1489204609">
          <w:marLeft w:val="547"/>
          <w:marRight w:val="0"/>
          <w:marTop w:val="144"/>
          <w:marBottom w:val="0"/>
          <w:divBdr>
            <w:top w:val="none" w:sz="0" w:space="0" w:color="auto"/>
            <w:left w:val="none" w:sz="0" w:space="0" w:color="auto"/>
            <w:bottom w:val="none" w:sz="0" w:space="0" w:color="auto"/>
            <w:right w:val="none" w:sz="0" w:space="0" w:color="auto"/>
          </w:divBdr>
        </w:div>
        <w:div w:id="2030327235">
          <w:marLeft w:val="547"/>
          <w:marRight w:val="0"/>
          <w:marTop w:val="134"/>
          <w:marBottom w:val="0"/>
          <w:divBdr>
            <w:top w:val="none" w:sz="0" w:space="0" w:color="auto"/>
            <w:left w:val="none" w:sz="0" w:space="0" w:color="auto"/>
            <w:bottom w:val="none" w:sz="0" w:space="0" w:color="auto"/>
            <w:right w:val="none" w:sz="0" w:space="0" w:color="auto"/>
          </w:divBdr>
        </w:div>
      </w:divsChild>
    </w:div>
    <w:div w:id="463275800">
      <w:bodyDiv w:val="1"/>
      <w:marLeft w:val="0"/>
      <w:marRight w:val="0"/>
      <w:marTop w:val="0"/>
      <w:marBottom w:val="0"/>
      <w:divBdr>
        <w:top w:val="none" w:sz="0" w:space="0" w:color="auto"/>
        <w:left w:val="none" w:sz="0" w:space="0" w:color="auto"/>
        <w:bottom w:val="none" w:sz="0" w:space="0" w:color="auto"/>
        <w:right w:val="none" w:sz="0" w:space="0" w:color="auto"/>
      </w:divBdr>
    </w:div>
    <w:div w:id="464398511">
      <w:bodyDiv w:val="1"/>
      <w:marLeft w:val="0"/>
      <w:marRight w:val="0"/>
      <w:marTop w:val="0"/>
      <w:marBottom w:val="0"/>
      <w:divBdr>
        <w:top w:val="none" w:sz="0" w:space="0" w:color="auto"/>
        <w:left w:val="none" w:sz="0" w:space="0" w:color="auto"/>
        <w:bottom w:val="none" w:sz="0" w:space="0" w:color="auto"/>
        <w:right w:val="none" w:sz="0" w:space="0" w:color="auto"/>
      </w:divBdr>
    </w:div>
    <w:div w:id="492993870">
      <w:bodyDiv w:val="1"/>
      <w:marLeft w:val="0"/>
      <w:marRight w:val="0"/>
      <w:marTop w:val="0"/>
      <w:marBottom w:val="0"/>
      <w:divBdr>
        <w:top w:val="none" w:sz="0" w:space="0" w:color="auto"/>
        <w:left w:val="none" w:sz="0" w:space="0" w:color="auto"/>
        <w:bottom w:val="none" w:sz="0" w:space="0" w:color="auto"/>
        <w:right w:val="none" w:sz="0" w:space="0" w:color="auto"/>
      </w:divBdr>
    </w:div>
    <w:div w:id="494878612">
      <w:bodyDiv w:val="1"/>
      <w:marLeft w:val="0"/>
      <w:marRight w:val="0"/>
      <w:marTop w:val="0"/>
      <w:marBottom w:val="0"/>
      <w:divBdr>
        <w:top w:val="none" w:sz="0" w:space="0" w:color="auto"/>
        <w:left w:val="none" w:sz="0" w:space="0" w:color="auto"/>
        <w:bottom w:val="none" w:sz="0" w:space="0" w:color="auto"/>
        <w:right w:val="none" w:sz="0" w:space="0" w:color="auto"/>
      </w:divBdr>
    </w:div>
    <w:div w:id="495263601">
      <w:bodyDiv w:val="1"/>
      <w:marLeft w:val="0"/>
      <w:marRight w:val="0"/>
      <w:marTop w:val="0"/>
      <w:marBottom w:val="0"/>
      <w:divBdr>
        <w:top w:val="none" w:sz="0" w:space="0" w:color="auto"/>
        <w:left w:val="none" w:sz="0" w:space="0" w:color="auto"/>
        <w:bottom w:val="none" w:sz="0" w:space="0" w:color="auto"/>
        <w:right w:val="none" w:sz="0" w:space="0" w:color="auto"/>
      </w:divBdr>
    </w:div>
    <w:div w:id="497042424">
      <w:bodyDiv w:val="1"/>
      <w:marLeft w:val="0"/>
      <w:marRight w:val="0"/>
      <w:marTop w:val="0"/>
      <w:marBottom w:val="0"/>
      <w:divBdr>
        <w:top w:val="none" w:sz="0" w:space="0" w:color="auto"/>
        <w:left w:val="none" w:sz="0" w:space="0" w:color="auto"/>
        <w:bottom w:val="none" w:sz="0" w:space="0" w:color="auto"/>
        <w:right w:val="none" w:sz="0" w:space="0" w:color="auto"/>
      </w:divBdr>
    </w:div>
    <w:div w:id="500509611">
      <w:bodyDiv w:val="1"/>
      <w:marLeft w:val="0"/>
      <w:marRight w:val="0"/>
      <w:marTop w:val="0"/>
      <w:marBottom w:val="0"/>
      <w:divBdr>
        <w:top w:val="none" w:sz="0" w:space="0" w:color="auto"/>
        <w:left w:val="none" w:sz="0" w:space="0" w:color="auto"/>
        <w:bottom w:val="none" w:sz="0" w:space="0" w:color="auto"/>
        <w:right w:val="none" w:sz="0" w:space="0" w:color="auto"/>
      </w:divBdr>
    </w:div>
    <w:div w:id="513811339">
      <w:bodyDiv w:val="1"/>
      <w:marLeft w:val="0"/>
      <w:marRight w:val="0"/>
      <w:marTop w:val="0"/>
      <w:marBottom w:val="0"/>
      <w:divBdr>
        <w:top w:val="none" w:sz="0" w:space="0" w:color="auto"/>
        <w:left w:val="none" w:sz="0" w:space="0" w:color="auto"/>
        <w:bottom w:val="none" w:sz="0" w:space="0" w:color="auto"/>
        <w:right w:val="none" w:sz="0" w:space="0" w:color="auto"/>
      </w:divBdr>
    </w:div>
    <w:div w:id="516768900">
      <w:bodyDiv w:val="1"/>
      <w:marLeft w:val="0"/>
      <w:marRight w:val="0"/>
      <w:marTop w:val="0"/>
      <w:marBottom w:val="0"/>
      <w:divBdr>
        <w:top w:val="none" w:sz="0" w:space="0" w:color="auto"/>
        <w:left w:val="none" w:sz="0" w:space="0" w:color="auto"/>
        <w:bottom w:val="none" w:sz="0" w:space="0" w:color="auto"/>
        <w:right w:val="none" w:sz="0" w:space="0" w:color="auto"/>
      </w:divBdr>
    </w:div>
    <w:div w:id="524101692">
      <w:bodyDiv w:val="1"/>
      <w:marLeft w:val="0"/>
      <w:marRight w:val="0"/>
      <w:marTop w:val="0"/>
      <w:marBottom w:val="0"/>
      <w:divBdr>
        <w:top w:val="none" w:sz="0" w:space="0" w:color="auto"/>
        <w:left w:val="none" w:sz="0" w:space="0" w:color="auto"/>
        <w:bottom w:val="none" w:sz="0" w:space="0" w:color="auto"/>
        <w:right w:val="none" w:sz="0" w:space="0" w:color="auto"/>
      </w:divBdr>
    </w:div>
    <w:div w:id="539438950">
      <w:bodyDiv w:val="1"/>
      <w:marLeft w:val="0"/>
      <w:marRight w:val="0"/>
      <w:marTop w:val="0"/>
      <w:marBottom w:val="0"/>
      <w:divBdr>
        <w:top w:val="none" w:sz="0" w:space="0" w:color="auto"/>
        <w:left w:val="none" w:sz="0" w:space="0" w:color="auto"/>
        <w:bottom w:val="none" w:sz="0" w:space="0" w:color="auto"/>
        <w:right w:val="none" w:sz="0" w:space="0" w:color="auto"/>
      </w:divBdr>
      <w:divsChild>
        <w:div w:id="270403792">
          <w:marLeft w:val="0"/>
          <w:marRight w:val="0"/>
          <w:marTop w:val="0"/>
          <w:marBottom w:val="0"/>
          <w:divBdr>
            <w:top w:val="none" w:sz="0" w:space="0" w:color="auto"/>
            <w:left w:val="none" w:sz="0" w:space="0" w:color="auto"/>
            <w:bottom w:val="none" w:sz="0" w:space="0" w:color="auto"/>
            <w:right w:val="none" w:sz="0" w:space="0" w:color="auto"/>
          </w:divBdr>
        </w:div>
      </w:divsChild>
    </w:div>
    <w:div w:id="544027819">
      <w:bodyDiv w:val="1"/>
      <w:marLeft w:val="0"/>
      <w:marRight w:val="0"/>
      <w:marTop w:val="0"/>
      <w:marBottom w:val="0"/>
      <w:divBdr>
        <w:top w:val="none" w:sz="0" w:space="0" w:color="auto"/>
        <w:left w:val="none" w:sz="0" w:space="0" w:color="auto"/>
        <w:bottom w:val="none" w:sz="0" w:space="0" w:color="auto"/>
        <w:right w:val="none" w:sz="0" w:space="0" w:color="auto"/>
      </w:divBdr>
    </w:div>
    <w:div w:id="546575387">
      <w:bodyDiv w:val="1"/>
      <w:marLeft w:val="0"/>
      <w:marRight w:val="0"/>
      <w:marTop w:val="0"/>
      <w:marBottom w:val="0"/>
      <w:divBdr>
        <w:top w:val="none" w:sz="0" w:space="0" w:color="auto"/>
        <w:left w:val="none" w:sz="0" w:space="0" w:color="auto"/>
        <w:bottom w:val="none" w:sz="0" w:space="0" w:color="auto"/>
        <w:right w:val="none" w:sz="0" w:space="0" w:color="auto"/>
      </w:divBdr>
    </w:div>
    <w:div w:id="549348102">
      <w:bodyDiv w:val="1"/>
      <w:marLeft w:val="0"/>
      <w:marRight w:val="0"/>
      <w:marTop w:val="0"/>
      <w:marBottom w:val="0"/>
      <w:divBdr>
        <w:top w:val="none" w:sz="0" w:space="0" w:color="auto"/>
        <w:left w:val="none" w:sz="0" w:space="0" w:color="auto"/>
        <w:bottom w:val="none" w:sz="0" w:space="0" w:color="auto"/>
        <w:right w:val="none" w:sz="0" w:space="0" w:color="auto"/>
      </w:divBdr>
    </w:div>
    <w:div w:id="567112560">
      <w:bodyDiv w:val="1"/>
      <w:marLeft w:val="0"/>
      <w:marRight w:val="0"/>
      <w:marTop w:val="0"/>
      <w:marBottom w:val="0"/>
      <w:divBdr>
        <w:top w:val="none" w:sz="0" w:space="0" w:color="auto"/>
        <w:left w:val="none" w:sz="0" w:space="0" w:color="auto"/>
        <w:bottom w:val="none" w:sz="0" w:space="0" w:color="auto"/>
        <w:right w:val="none" w:sz="0" w:space="0" w:color="auto"/>
      </w:divBdr>
    </w:div>
    <w:div w:id="576212106">
      <w:bodyDiv w:val="1"/>
      <w:marLeft w:val="0"/>
      <w:marRight w:val="0"/>
      <w:marTop w:val="0"/>
      <w:marBottom w:val="0"/>
      <w:divBdr>
        <w:top w:val="none" w:sz="0" w:space="0" w:color="auto"/>
        <w:left w:val="none" w:sz="0" w:space="0" w:color="auto"/>
        <w:bottom w:val="none" w:sz="0" w:space="0" w:color="auto"/>
        <w:right w:val="none" w:sz="0" w:space="0" w:color="auto"/>
      </w:divBdr>
      <w:divsChild>
        <w:div w:id="1897668935">
          <w:marLeft w:val="0"/>
          <w:marRight w:val="0"/>
          <w:marTop w:val="0"/>
          <w:marBottom w:val="0"/>
          <w:divBdr>
            <w:top w:val="none" w:sz="0" w:space="0" w:color="auto"/>
            <w:left w:val="none" w:sz="0" w:space="0" w:color="auto"/>
            <w:bottom w:val="none" w:sz="0" w:space="0" w:color="auto"/>
            <w:right w:val="none" w:sz="0" w:space="0" w:color="auto"/>
          </w:divBdr>
          <w:divsChild>
            <w:div w:id="229386476">
              <w:marLeft w:val="0"/>
              <w:marRight w:val="0"/>
              <w:marTop w:val="0"/>
              <w:marBottom w:val="0"/>
              <w:divBdr>
                <w:top w:val="none" w:sz="0" w:space="0" w:color="auto"/>
                <w:left w:val="none" w:sz="0" w:space="0" w:color="auto"/>
                <w:bottom w:val="none" w:sz="0" w:space="0" w:color="auto"/>
                <w:right w:val="none" w:sz="0" w:space="0" w:color="auto"/>
              </w:divBdr>
              <w:divsChild>
                <w:div w:id="917179183">
                  <w:marLeft w:val="0"/>
                  <w:marRight w:val="0"/>
                  <w:marTop w:val="0"/>
                  <w:marBottom w:val="0"/>
                  <w:divBdr>
                    <w:top w:val="none" w:sz="0" w:space="0" w:color="auto"/>
                    <w:left w:val="none" w:sz="0" w:space="0" w:color="auto"/>
                    <w:bottom w:val="none" w:sz="0" w:space="0" w:color="auto"/>
                    <w:right w:val="none" w:sz="0" w:space="0" w:color="auto"/>
                  </w:divBdr>
                  <w:divsChild>
                    <w:div w:id="716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835672">
      <w:bodyDiv w:val="1"/>
      <w:marLeft w:val="0"/>
      <w:marRight w:val="0"/>
      <w:marTop w:val="0"/>
      <w:marBottom w:val="0"/>
      <w:divBdr>
        <w:top w:val="none" w:sz="0" w:space="0" w:color="auto"/>
        <w:left w:val="none" w:sz="0" w:space="0" w:color="auto"/>
        <w:bottom w:val="none" w:sz="0" w:space="0" w:color="auto"/>
        <w:right w:val="none" w:sz="0" w:space="0" w:color="auto"/>
      </w:divBdr>
    </w:div>
    <w:div w:id="583996460">
      <w:bodyDiv w:val="1"/>
      <w:marLeft w:val="0"/>
      <w:marRight w:val="0"/>
      <w:marTop w:val="0"/>
      <w:marBottom w:val="0"/>
      <w:divBdr>
        <w:top w:val="none" w:sz="0" w:space="0" w:color="auto"/>
        <w:left w:val="none" w:sz="0" w:space="0" w:color="auto"/>
        <w:bottom w:val="none" w:sz="0" w:space="0" w:color="auto"/>
        <w:right w:val="none" w:sz="0" w:space="0" w:color="auto"/>
      </w:divBdr>
      <w:divsChild>
        <w:div w:id="1038168619">
          <w:marLeft w:val="0"/>
          <w:marRight w:val="0"/>
          <w:marTop w:val="0"/>
          <w:marBottom w:val="0"/>
          <w:divBdr>
            <w:top w:val="none" w:sz="0" w:space="0" w:color="auto"/>
            <w:left w:val="none" w:sz="0" w:space="0" w:color="auto"/>
            <w:bottom w:val="none" w:sz="0" w:space="0" w:color="auto"/>
            <w:right w:val="none" w:sz="0" w:space="0" w:color="auto"/>
          </w:divBdr>
          <w:divsChild>
            <w:div w:id="690687659">
              <w:marLeft w:val="0"/>
              <w:marRight w:val="0"/>
              <w:marTop w:val="0"/>
              <w:marBottom w:val="0"/>
              <w:divBdr>
                <w:top w:val="none" w:sz="0" w:space="0" w:color="auto"/>
                <w:left w:val="none" w:sz="0" w:space="0" w:color="auto"/>
                <w:bottom w:val="none" w:sz="0" w:space="0" w:color="auto"/>
                <w:right w:val="none" w:sz="0" w:space="0" w:color="auto"/>
              </w:divBdr>
              <w:divsChild>
                <w:div w:id="6627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1760">
      <w:bodyDiv w:val="1"/>
      <w:marLeft w:val="0"/>
      <w:marRight w:val="0"/>
      <w:marTop w:val="0"/>
      <w:marBottom w:val="0"/>
      <w:divBdr>
        <w:top w:val="none" w:sz="0" w:space="0" w:color="auto"/>
        <w:left w:val="none" w:sz="0" w:space="0" w:color="auto"/>
        <w:bottom w:val="none" w:sz="0" w:space="0" w:color="auto"/>
        <w:right w:val="none" w:sz="0" w:space="0" w:color="auto"/>
      </w:divBdr>
    </w:div>
    <w:div w:id="586351193">
      <w:bodyDiv w:val="1"/>
      <w:marLeft w:val="0"/>
      <w:marRight w:val="0"/>
      <w:marTop w:val="0"/>
      <w:marBottom w:val="0"/>
      <w:divBdr>
        <w:top w:val="none" w:sz="0" w:space="0" w:color="auto"/>
        <w:left w:val="none" w:sz="0" w:space="0" w:color="auto"/>
        <w:bottom w:val="none" w:sz="0" w:space="0" w:color="auto"/>
        <w:right w:val="none" w:sz="0" w:space="0" w:color="auto"/>
      </w:divBdr>
    </w:div>
    <w:div w:id="590625509">
      <w:bodyDiv w:val="1"/>
      <w:marLeft w:val="0"/>
      <w:marRight w:val="0"/>
      <w:marTop w:val="0"/>
      <w:marBottom w:val="0"/>
      <w:divBdr>
        <w:top w:val="none" w:sz="0" w:space="0" w:color="auto"/>
        <w:left w:val="none" w:sz="0" w:space="0" w:color="auto"/>
        <w:bottom w:val="none" w:sz="0" w:space="0" w:color="auto"/>
        <w:right w:val="none" w:sz="0" w:space="0" w:color="auto"/>
      </w:divBdr>
    </w:div>
    <w:div w:id="593367003">
      <w:bodyDiv w:val="1"/>
      <w:marLeft w:val="0"/>
      <w:marRight w:val="0"/>
      <w:marTop w:val="0"/>
      <w:marBottom w:val="0"/>
      <w:divBdr>
        <w:top w:val="none" w:sz="0" w:space="0" w:color="auto"/>
        <w:left w:val="none" w:sz="0" w:space="0" w:color="auto"/>
        <w:bottom w:val="none" w:sz="0" w:space="0" w:color="auto"/>
        <w:right w:val="none" w:sz="0" w:space="0" w:color="auto"/>
      </w:divBdr>
    </w:div>
    <w:div w:id="594171475">
      <w:bodyDiv w:val="1"/>
      <w:marLeft w:val="0"/>
      <w:marRight w:val="0"/>
      <w:marTop w:val="0"/>
      <w:marBottom w:val="0"/>
      <w:divBdr>
        <w:top w:val="none" w:sz="0" w:space="0" w:color="auto"/>
        <w:left w:val="none" w:sz="0" w:space="0" w:color="auto"/>
        <w:bottom w:val="none" w:sz="0" w:space="0" w:color="auto"/>
        <w:right w:val="none" w:sz="0" w:space="0" w:color="auto"/>
      </w:divBdr>
    </w:div>
    <w:div w:id="595285200">
      <w:bodyDiv w:val="1"/>
      <w:marLeft w:val="0"/>
      <w:marRight w:val="0"/>
      <w:marTop w:val="0"/>
      <w:marBottom w:val="0"/>
      <w:divBdr>
        <w:top w:val="none" w:sz="0" w:space="0" w:color="auto"/>
        <w:left w:val="none" w:sz="0" w:space="0" w:color="auto"/>
        <w:bottom w:val="none" w:sz="0" w:space="0" w:color="auto"/>
        <w:right w:val="none" w:sz="0" w:space="0" w:color="auto"/>
      </w:divBdr>
      <w:divsChild>
        <w:div w:id="1264849745">
          <w:marLeft w:val="547"/>
          <w:marRight w:val="0"/>
          <w:marTop w:val="115"/>
          <w:marBottom w:val="0"/>
          <w:divBdr>
            <w:top w:val="none" w:sz="0" w:space="0" w:color="auto"/>
            <w:left w:val="none" w:sz="0" w:space="0" w:color="auto"/>
            <w:bottom w:val="none" w:sz="0" w:space="0" w:color="auto"/>
            <w:right w:val="none" w:sz="0" w:space="0" w:color="auto"/>
          </w:divBdr>
        </w:div>
        <w:div w:id="1652247699">
          <w:marLeft w:val="720"/>
          <w:marRight w:val="0"/>
          <w:marTop w:val="115"/>
          <w:marBottom w:val="0"/>
          <w:divBdr>
            <w:top w:val="none" w:sz="0" w:space="0" w:color="auto"/>
            <w:left w:val="none" w:sz="0" w:space="0" w:color="auto"/>
            <w:bottom w:val="none" w:sz="0" w:space="0" w:color="auto"/>
            <w:right w:val="none" w:sz="0" w:space="0" w:color="auto"/>
          </w:divBdr>
        </w:div>
        <w:div w:id="1838374009">
          <w:marLeft w:val="720"/>
          <w:marRight w:val="0"/>
          <w:marTop w:val="115"/>
          <w:marBottom w:val="0"/>
          <w:divBdr>
            <w:top w:val="none" w:sz="0" w:space="0" w:color="auto"/>
            <w:left w:val="none" w:sz="0" w:space="0" w:color="auto"/>
            <w:bottom w:val="none" w:sz="0" w:space="0" w:color="auto"/>
            <w:right w:val="none" w:sz="0" w:space="0" w:color="auto"/>
          </w:divBdr>
        </w:div>
      </w:divsChild>
    </w:div>
    <w:div w:id="596525659">
      <w:bodyDiv w:val="1"/>
      <w:marLeft w:val="0"/>
      <w:marRight w:val="0"/>
      <w:marTop w:val="0"/>
      <w:marBottom w:val="0"/>
      <w:divBdr>
        <w:top w:val="none" w:sz="0" w:space="0" w:color="auto"/>
        <w:left w:val="none" w:sz="0" w:space="0" w:color="auto"/>
        <w:bottom w:val="none" w:sz="0" w:space="0" w:color="auto"/>
        <w:right w:val="none" w:sz="0" w:space="0" w:color="auto"/>
      </w:divBdr>
    </w:div>
    <w:div w:id="597712289">
      <w:bodyDiv w:val="1"/>
      <w:marLeft w:val="0"/>
      <w:marRight w:val="0"/>
      <w:marTop w:val="0"/>
      <w:marBottom w:val="0"/>
      <w:divBdr>
        <w:top w:val="none" w:sz="0" w:space="0" w:color="auto"/>
        <w:left w:val="none" w:sz="0" w:space="0" w:color="auto"/>
        <w:bottom w:val="none" w:sz="0" w:space="0" w:color="auto"/>
        <w:right w:val="none" w:sz="0" w:space="0" w:color="auto"/>
      </w:divBdr>
    </w:div>
    <w:div w:id="602880895">
      <w:bodyDiv w:val="1"/>
      <w:marLeft w:val="0"/>
      <w:marRight w:val="0"/>
      <w:marTop w:val="0"/>
      <w:marBottom w:val="0"/>
      <w:divBdr>
        <w:top w:val="none" w:sz="0" w:space="0" w:color="auto"/>
        <w:left w:val="none" w:sz="0" w:space="0" w:color="auto"/>
        <w:bottom w:val="none" w:sz="0" w:space="0" w:color="auto"/>
        <w:right w:val="none" w:sz="0" w:space="0" w:color="auto"/>
      </w:divBdr>
    </w:div>
    <w:div w:id="608243901">
      <w:bodyDiv w:val="1"/>
      <w:marLeft w:val="0"/>
      <w:marRight w:val="0"/>
      <w:marTop w:val="0"/>
      <w:marBottom w:val="0"/>
      <w:divBdr>
        <w:top w:val="none" w:sz="0" w:space="0" w:color="auto"/>
        <w:left w:val="none" w:sz="0" w:space="0" w:color="auto"/>
        <w:bottom w:val="none" w:sz="0" w:space="0" w:color="auto"/>
        <w:right w:val="none" w:sz="0" w:space="0" w:color="auto"/>
      </w:divBdr>
    </w:div>
    <w:div w:id="615913229">
      <w:bodyDiv w:val="1"/>
      <w:marLeft w:val="0"/>
      <w:marRight w:val="0"/>
      <w:marTop w:val="0"/>
      <w:marBottom w:val="0"/>
      <w:divBdr>
        <w:top w:val="none" w:sz="0" w:space="0" w:color="auto"/>
        <w:left w:val="none" w:sz="0" w:space="0" w:color="auto"/>
        <w:bottom w:val="none" w:sz="0" w:space="0" w:color="auto"/>
        <w:right w:val="none" w:sz="0" w:space="0" w:color="auto"/>
      </w:divBdr>
    </w:div>
    <w:div w:id="616638625">
      <w:bodyDiv w:val="1"/>
      <w:marLeft w:val="0"/>
      <w:marRight w:val="0"/>
      <w:marTop w:val="0"/>
      <w:marBottom w:val="0"/>
      <w:divBdr>
        <w:top w:val="none" w:sz="0" w:space="0" w:color="auto"/>
        <w:left w:val="none" w:sz="0" w:space="0" w:color="auto"/>
        <w:bottom w:val="none" w:sz="0" w:space="0" w:color="auto"/>
        <w:right w:val="none" w:sz="0" w:space="0" w:color="auto"/>
      </w:divBdr>
    </w:div>
    <w:div w:id="620460138">
      <w:bodyDiv w:val="1"/>
      <w:marLeft w:val="0"/>
      <w:marRight w:val="0"/>
      <w:marTop w:val="0"/>
      <w:marBottom w:val="0"/>
      <w:divBdr>
        <w:top w:val="none" w:sz="0" w:space="0" w:color="auto"/>
        <w:left w:val="none" w:sz="0" w:space="0" w:color="auto"/>
        <w:bottom w:val="none" w:sz="0" w:space="0" w:color="auto"/>
        <w:right w:val="none" w:sz="0" w:space="0" w:color="auto"/>
      </w:divBdr>
      <w:divsChild>
        <w:div w:id="1755786816">
          <w:marLeft w:val="0"/>
          <w:marRight w:val="0"/>
          <w:marTop w:val="0"/>
          <w:marBottom w:val="0"/>
          <w:divBdr>
            <w:top w:val="none" w:sz="0" w:space="0" w:color="auto"/>
            <w:left w:val="none" w:sz="0" w:space="0" w:color="auto"/>
            <w:bottom w:val="none" w:sz="0" w:space="0" w:color="auto"/>
            <w:right w:val="none" w:sz="0" w:space="0" w:color="auto"/>
          </w:divBdr>
          <w:divsChild>
            <w:div w:id="10145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859">
      <w:bodyDiv w:val="1"/>
      <w:marLeft w:val="0"/>
      <w:marRight w:val="0"/>
      <w:marTop w:val="0"/>
      <w:marBottom w:val="0"/>
      <w:divBdr>
        <w:top w:val="none" w:sz="0" w:space="0" w:color="auto"/>
        <w:left w:val="none" w:sz="0" w:space="0" w:color="auto"/>
        <w:bottom w:val="none" w:sz="0" w:space="0" w:color="auto"/>
        <w:right w:val="none" w:sz="0" w:space="0" w:color="auto"/>
      </w:divBdr>
    </w:div>
    <w:div w:id="631248749">
      <w:bodyDiv w:val="1"/>
      <w:marLeft w:val="0"/>
      <w:marRight w:val="0"/>
      <w:marTop w:val="0"/>
      <w:marBottom w:val="0"/>
      <w:divBdr>
        <w:top w:val="none" w:sz="0" w:space="0" w:color="auto"/>
        <w:left w:val="none" w:sz="0" w:space="0" w:color="auto"/>
        <w:bottom w:val="none" w:sz="0" w:space="0" w:color="auto"/>
        <w:right w:val="none" w:sz="0" w:space="0" w:color="auto"/>
      </w:divBdr>
      <w:divsChild>
        <w:div w:id="1389571456">
          <w:marLeft w:val="0"/>
          <w:marRight w:val="0"/>
          <w:marTop w:val="0"/>
          <w:marBottom w:val="0"/>
          <w:divBdr>
            <w:top w:val="none" w:sz="0" w:space="0" w:color="auto"/>
            <w:left w:val="none" w:sz="0" w:space="0" w:color="auto"/>
            <w:bottom w:val="none" w:sz="0" w:space="0" w:color="auto"/>
            <w:right w:val="none" w:sz="0" w:space="0" w:color="auto"/>
          </w:divBdr>
          <w:divsChild>
            <w:div w:id="44571181">
              <w:marLeft w:val="0"/>
              <w:marRight w:val="0"/>
              <w:marTop w:val="0"/>
              <w:marBottom w:val="0"/>
              <w:divBdr>
                <w:top w:val="none" w:sz="0" w:space="0" w:color="auto"/>
                <w:left w:val="none" w:sz="0" w:space="0" w:color="auto"/>
                <w:bottom w:val="none" w:sz="0" w:space="0" w:color="auto"/>
                <w:right w:val="none" w:sz="0" w:space="0" w:color="auto"/>
              </w:divBdr>
              <w:divsChild>
                <w:div w:id="199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4873">
      <w:bodyDiv w:val="1"/>
      <w:marLeft w:val="0"/>
      <w:marRight w:val="0"/>
      <w:marTop w:val="0"/>
      <w:marBottom w:val="0"/>
      <w:divBdr>
        <w:top w:val="none" w:sz="0" w:space="0" w:color="auto"/>
        <w:left w:val="none" w:sz="0" w:space="0" w:color="auto"/>
        <w:bottom w:val="none" w:sz="0" w:space="0" w:color="auto"/>
        <w:right w:val="none" w:sz="0" w:space="0" w:color="auto"/>
      </w:divBdr>
    </w:div>
    <w:div w:id="635111471">
      <w:bodyDiv w:val="1"/>
      <w:marLeft w:val="0"/>
      <w:marRight w:val="0"/>
      <w:marTop w:val="0"/>
      <w:marBottom w:val="0"/>
      <w:divBdr>
        <w:top w:val="none" w:sz="0" w:space="0" w:color="auto"/>
        <w:left w:val="none" w:sz="0" w:space="0" w:color="auto"/>
        <w:bottom w:val="none" w:sz="0" w:space="0" w:color="auto"/>
        <w:right w:val="none" w:sz="0" w:space="0" w:color="auto"/>
      </w:divBdr>
    </w:div>
    <w:div w:id="641542341">
      <w:bodyDiv w:val="1"/>
      <w:marLeft w:val="0"/>
      <w:marRight w:val="0"/>
      <w:marTop w:val="0"/>
      <w:marBottom w:val="0"/>
      <w:divBdr>
        <w:top w:val="none" w:sz="0" w:space="0" w:color="auto"/>
        <w:left w:val="none" w:sz="0" w:space="0" w:color="auto"/>
        <w:bottom w:val="none" w:sz="0" w:space="0" w:color="auto"/>
        <w:right w:val="none" w:sz="0" w:space="0" w:color="auto"/>
      </w:divBdr>
    </w:div>
    <w:div w:id="641732928">
      <w:bodyDiv w:val="1"/>
      <w:marLeft w:val="0"/>
      <w:marRight w:val="0"/>
      <w:marTop w:val="0"/>
      <w:marBottom w:val="0"/>
      <w:divBdr>
        <w:top w:val="none" w:sz="0" w:space="0" w:color="auto"/>
        <w:left w:val="none" w:sz="0" w:space="0" w:color="auto"/>
        <w:bottom w:val="none" w:sz="0" w:space="0" w:color="auto"/>
        <w:right w:val="none" w:sz="0" w:space="0" w:color="auto"/>
      </w:divBdr>
    </w:div>
    <w:div w:id="649558649">
      <w:bodyDiv w:val="1"/>
      <w:marLeft w:val="0"/>
      <w:marRight w:val="0"/>
      <w:marTop w:val="0"/>
      <w:marBottom w:val="0"/>
      <w:divBdr>
        <w:top w:val="none" w:sz="0" w:space="0" w:color="auto"/>
        <w:left w:val="none" w:sz="0" w:space="0" w:color="auto"/>
        <w:bottom w:val="none" w:sz="0" w:space="0" w:color="auto"/>
        <w:right w:val="none" w:sz="0" w:space="0" w:color="auto"/>
      </w:divBdr>
    </w:div>
    <w:div w:id="652493271">
      <w:bodyDiv w:val="1"/>
      <w:marLeft w:val="0"/>
      <w:marRight w:val="0"/>
      <w:marTop w:val="0"/>
      <w:marBottom w:val="0"/>
      <w:divBdr>
        <w:top w:val="none" w:sz="0" w:space="0" w:color="auto"/>
        <w:left w:val="none" w:sz="0" w:space="0" w:color="auto"/>
        <w:bottom w:val="none" w:sz="0" w:space="0" w:color="auto"/>
        <w:right w:val="none" w:sz="0" w:space="0" w:color="auto"/>
      </w:divBdr>
    </w:div>
    <w:div w:id="663435045">
      <w:bodyDiv w:val="1"/>
      <w:marLeft w:val="0"/>
      <w:marRight w:val="0"/>
      <w:marTop w:val="0"/>
      <w:marBottom w:val="0"/>
      <w:divBdr>
        <w:top w:val="none" w:sz="0" w:space="0" w:color="auto"/>
        <w:left w:val="none" w:sz="0" w:space="0" w:color="auto"/>
        <w:bottom w:val="none" w:sz="0" w:space="0" w:color="auto"/>
        <w:right w:val="none" w:sz="0" w:space="0" w:color="auto"/>
      </w:divBdr>
    </w:div>
    <w:div w:id="667364720">
      <w:bodyDiv w:val="1"/>
      <w:marLeft w:val="0"/>
      <w:marRight w:val="0"/>
      <w:marTop w:val="0"/>
      <w:marBottom w:val="0"/>
      <w:divBdr>
        <w:top w:val="none" w:sz="0" w:space="0" w:color="auto"/>
        <w:left w:val="none" w:sz="0" w:space="0" w:color="auto"/>
        <w:bottom w:val="none" w:sz="0" w:space="0" w:color="auto"/>
        <w:right w:val="none" w:sz="0" w:space="0" w:color="auto"/>
      </w:divBdr>
    </w:div>
    <w:div w:id="667907174">
      <w:bodyDiv w:val="1"/>
      <w:marLeft w:val="0"/>
      <w:marRight w:val="0"/>
      <w:marTop w:val="0"/>
      <w:marBottom w:val="0"/>
      <w:divBdr>
        <w:top w:val="none" w:sz="0" w:space="0" w:color="auto"/>
        <w:left w:val="none" w:sz="0" w:space="0" w:color="auto"/>
        <w:bottom w:val="none" w:sz="0" w:space="0" w:color="auto"/>
        <w:right w:val="none" w:sz="0" w:space="0" w:color="auto"/>
      </w:divBdr>
    </w:div>
    <w:div w:id="668291702">
      <w:bodyDiv w:val="1"/>
      <w:marLeft w:val="0"/>
      <w:marRight w:val="0"/>
      <w:marTop w:val="0"/>
      <w:marBottom w:val="0"/>
      <w:divBdr>
        <w:top w:val="none" w:sz="0" w:space="0" w:color="auto"/>
        <w:left w:val="none" w:sz="0" w:space="0" w:color="auto"/>
        <w:bottom w:val="none" w:sz="0" w:space="0" w:color="auto"/>
        <w:right w:val="none" w:sz="0" w:space="0" w:color="auto"/>
      </w:divBdr>
    </w:div>
    <w:div w:id="687800585">
      <w:bodyDiv w:val="1"/>
      <w:marLeft w:val="0"/>
      <w:marRight w:val="0"/>
      <w:marTop w:val="0"/>
      <w:marBottom w:val="0"/>
      <w:divBdr>
        <w:top w:val="none" w:sz="0" w:space="0" w:color="auto"/>
        <w:left w:val="none" w:sz="0" w:space="0" w:color="auto"/>
        <w:bottom w:val="none" w:sz="0" w:space="0" w:color="auto"/>
        <w:right w:val="none" w:sz="0" w:space="0" w:color="auto"/>
      </w:divBdr>
      <w:divsChild>
        <w:div w:id="373039037">
          <w:marLeft w:val="0"/>
          <w:marRight w:val="0"/>
          <w:marTop w:val="0"/>
          <w:marBottom w:val="0"/>
          <w:divBdr>
            <w:top w:val="none" w:sz="0" w:space="0" w:color="auto"/>
            <w:left w:val="none" w:sz="0" w:space="0" w:color="auto"/>
            <w:bottom w:val="none" w:sz="0" w:space="0" w:color="auto"/>
            <w:right w:val="none" w:sz="0" w:space="0" w:color="auto"/>
          </w:divBdr>
          <w:divsChild>
            <w:div w:id="1627656301">
              <w:marLeft w:val="0"/>
              <w:marRight w:val="0"/>
              <w:marTop w:val="0"/>
              <w:marBottom w:val="0"/>
              <w:divBdr>
                <w:top w:val="none" w:sz="0" w:space="0" w:color="auto"/>
                <w:left w:val="none" w:sz="0" w:space="0" w:color="auto"/>
                <w:bottom w:val="none" w:sz="0" w:space="0" w:color="auto"/>
                <w:right w:val="none" w:sz="0" w:space="0" w:color="auto"/>
              </w:divBdr>
              <w:divsChild>
                <w:div w:id="896672763">
                  <w:marLeft w:val="0"/>
                  <w:marRight w:val="0"/>
                  <w:marTop w:val="0"/>
                  <w:marBottom w:val="0"/>
                  <w:divBdr>
                    <w:top w:val="none" w:sz="0" w:space="0" w:color="auto"/>
                    <w:left w:val="none" w:sz="0" w:space="0" w:color="auto"/>
                    <w:bottom w:val="none" w:sz="0" w:space="0" w:color="auto"/>
                    <w:right w:val="none" w:sz="0" w:space="0" w:color="auto"/>
                  </w:divBdr>
                </w:div>
              </w:divsChild>
            </w:div>
            <w:div w:id="1827940743">
              <w:marLeft w:val="0"/>
              <w:marRight w:val="0"/>
              <w:marTop w:val="0"/>
              <w:marBottom w:val="0"/>
              <w:divBdr>
                <w:top w:val="none" w:sz="0" w:space="0" w:color="auto"/>
                <w:left w:val="none" w:sz="0" w:space="0" w:color="auto"/>
                <w:bottom w:val="none" w:sz="0" w:space="0" w:color="auto"/>
                <w:right w:val="none" w:sz="0" w:space="0" w:color="auto"/>
              </w:divBdr>
              <w:divsChild>
                <w:div w:id="563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9657">
      <w:bodyDiv w:val="1"/>
      <w:marLeft w:val="0"/>
      <w:marRight w:val="0"/>
      <w:marTop w:val="0"/>
      <w:marBottom w:val="0"/>
      <w:divBdr>
        <w:top w:val="none" w:sz="0" w:space="0" w:color="auto"/>
        <w:left w:val="none" w:sz="0" w:space="0" w:color="auto"/>
        <w:bottom w:val="none" w:sz="0" w:space="0" w:color="auto"/>
        <w:right w:val="none" w:sz="0" w:space="0" w:color="auto"/>
      </w:divBdr>
    </w:div>
    <w:div w:id="705103006">
      <w:bodyDiv w:val="1"/>
      <w:marLeft w:val="0"/>
      <w:marRight w:val="0"/>
      <w:marTop w:val="0"/>
      <w:marBottom w:val="0"/>
      <w:divBdr>
        <w:top w:val="none" w:sz="0" w:space="0" w:color="auto"/>
        <w:left w:val="none" w:sz="0" w:space="0" w:color="auto"/>
        <w:bottom w:val="none" w:sz="0" w:space="0" w:color="auto"/>
        <w:right w:val="none" w:sz="0" w:space="0" w:color="auto"/>
      </w:divBdr>
    </w:div>
    <w:div w:id="710349505">
      <w:bodyDiv w:val="1"/>
      <w:marLeft w:val="0"/>
      <w:marRight w:val="0"/>
      <w:marTop w:val="0"/>
      <w:marBottom w:val="0"/>
      <w:divBdr>
        <w:top w:val="none" w:sz="0" w:space="0" w:color="auto"/>
        <w:left w:val="none" w:sz="0" w:space="0" w:color="auto"/>
        <w:bottom w:val="none" w:sz="0" w:space="0" w:color="auto"/>
        <w:right w:val="none" w:sz="0" w:space="0" w:color="auto"/>
      </w:divBdr>
    </w:div>
    <w:div w:id="710769756">
      <w:bodyDiv w:val="1"/>
      <w:marLeft w:val="0"/>
      <w:marRight w:val="0"/>
      <w:marTop w:val="0"/>
      <w:marBottom w:val="0"/>
      <w:divBdr>
        <w:top w:val="none" w:sz="0" w:space="0" w:color="auto"/>
        <w:left w:val="none" w:sz="0" w:space="0" w:color="auto"/>
        <w:bottom w:val="none" w:sz="0" w:space="0" w:color="auto"/>
        <w:right w:val="none" w:sz="0" w:space="0" w:color="auto"/>
      </w:divBdr>
    </w:div>
    <w:div w:id="710805110">
      <w:bodyDiv w:val="1"/>
      <w:marLeft w:val="0"/>
      <w:marRight w:val="0"/>
      <w:marTop w:val="0"/>
      <w:marBottom w:val="0"/>
      <w:divBdr>
        <w:top w:val="none" w:sz="0" w:space="0" w:color="auto"/>
        <w:left w:val="none" w:sz="0" w:space="0" w:color="auto"/>
        <w:bottom w:val="none" w:sz="0" w:space="0" w:color="auto"/>
        <w:right w:val="none" w:sz="0" w:space="0" w:color="auto"/>
      </w:divBdr>
    </w:div>
    <w:div w:id="720204439">
      <w:bodyDiv w:val="1"/>
      <w:marLeft w:val="0"/>
      <w:marRight w:val="0"/>
      <w:marTop w:val="0"/>
      <w:marBottom w:val="0"/>
      <w:divBdr>
        <w:top w:val="none" w:sz="0" w:space="0" w:color="auto"/>
        <w:left w:val="none" w:sz="0" w:space="0" w:color="auto"/>
        <w:bottom w:val="none" w:sz="0" w:space="0" w:color="auto"/>
        <w:right w:val="none" w:sz="0" w:space="0" w:color="auto"/>
      </w:divBdr>
    </w:div>
    <w:div w:id="722019056">
      <w:bodyDiv w:val="1"/>
      <w:marLeft w:val="0"/>
      <w:marRight w:val="0"/>
      <w:marTop w:val="0"/>
      <w:marBottom w:val="0"/>
      <w:divBdr>
        <w:top w:val="none" w:sz="0" w:space="0" w:color="auto"/>
        <w:left w:val="none" w:sz="0" w:space="0" w:color="auto"/>
        <w:bottom w:val="none" w:sz="0" w:space="0" w:color="auto"/>
        <w:right w:val="none" w:sz="0" w:space="0" w:color="auto"/>
      </w:divBdr>
    </w:div>
    <w:div w:id="732243239">
      <w:bodyDiv w:val="1"/>
      <w:marLeft w:val="0"/>
      <w:marRight w:val="0"/>
      <w:marTop w:val="0"/>
      <w:marBottom w:val="0"/>
      <w:divBdr>
        <w:top w:val="none" w:sz="0" w:space="0" w:color="auto"/>
        <w:left w:val="none" w:sz="0" w:space="0" w:color="auto"/>
        <w:bottom w:val="none" w:sz="0" w:space="0" w:color="auto"/>
        <w:right w:val="none" w:sz="0" w:space="0" w:color="auto"/>
      </w:divBdr>
    </w:div>
    <w:div w:id="746194889">
      <w:bodyDiv w:val="1"/>
      <w:marLeft w:val="0"/>
      <w:marRight w:val="0"/>
      <w:marTop w:val="0"/>
      <w:marBottom w:val="0"/>
      <w:divBdr>
        <w:top w:val="none" w:sz="0" w:space="0" w:color="auto"/>
        <w:left w:val="none" w:sz="0" w:space="0" w:color="auto"/>
        <w:bottom w:val="none" w:sz="0" w:space="0" w:color="auto"/>
        <w:right w:val="none" w:sz="0" w:space="0" w:color="auto"/>
      </w:divBdr>
    </w:div>
    <w:div w:id="748235048">
      <w:bodyDiv w:val="1"/>
      <w:marLeft w:val="0"/>
      <w:marRight w:val="0"/>
      <w:marTop w:val="0"/>
      <w:marBottom w:val="0"/>
      <w:divBdr>
        <w:top w:val="none" w:sz="0" w:space="0" w:color="auto"/>
        <w:left w:val="none" w:sz="0" w:space="0" w:color="auto"/>
        <w:bottom w:val="none" w:sz="0" w:space="0" w:color="auto"/>
        <w:right w:val="none" w:sz="0" w:space="0" w:color="auto"/>
      </w:divBdr>
    </w:div>
    <w:div w:id="754479074">
      <w:bodyDiv w:val="1"/>
      <w:marLeft w:val="0"/>
      <w:marRight w:val="0"/>
      <w:marTop w:val="0"/>
      <w:marBottom w:val="0"/>
      <w:divBdr>
        <w:top w:val="none" w:sz="0" w:space="0" w:color="auto"/>
        <w:left w:val="none" w:sz="0" w:space="0" w:color="auto"/>
        <w:bottom w:val="none" w:sz="0" w:space="0" w:color="auto"/>
        <w:right w:val="none" w:sz="0" w:space="0" w:color="auto"/>
      </w:divBdr>
      <w:divsChild>
        <w:div w:id="1756434644">
          <w:marLeft w:val="0"/>
          <w:marRight w:val="0"/>
          <w:marTop w:val="0"/>
          <w:marBottom w:val="0"/>
          <w:divBdr>
            <w:top w:val="none" w:sz="0" w:space="0" w:color="auto"/>
            <w:left w:val="none" w:sz="0" w:space="0" w:color="auto"/>
            <w:bottom w:val="none" w:sz="0" w:space="0" w:color="auto"/>
            <w:right w:val="none" w:sz="0" w:space="0" w:color="auto"/>
          </w:divBdr>
          <w:divsChild>
            <w:div w:id="2080785692">
              <w:marLeft w:val="0"/>
              <w:marRight w:val="0"/>
              <w:marTop w:val="0"/>
              <w:marBottom w:val="0"/>
              <w:divBdr>
                <w:top w:val="none" w:sz="0" w:space="0" w:color="auto"/>
                <w:left w:val="none" w:sz="0" w:space="0" w:color="auto"/>
                <w:bottom w:val="none" w:sz="0" w:space="0" w:color="auto"/>
                <w:right w:val="none" w:sz="0" w:space="0" w:color="auto"/>
              </w:divBdr>
              <w:divsChild>
                <w:div w:id="3404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8152">
      <w:bodyDiv w:val="1"/>
      <w:marLeft w:val="0"/>
      <w:marRight w:val="0"/>
      <w:marTop w:val="0"/>
      <w:marBottom w:val="0"/>
      <w:divBdr>
        <w:top w:val="none" w:sz="0" w:space="0" w:color="auto"/>
        <w:left w:val="none" w:sz="0" w:space="0" w:color="auto"/>
        <w:bottom w:val="none" w:sz="0" w:space="0" w:color="auto"/>
        <w:right w:val="none" w:sz="0" w:space="0" w:color="auto"/>
      </w:divBdr>
      <w:divsChild>
        <w:div w:id="1529566725">
          <w:marLeft w:val="0"/>
          <w:marRight w:val="0"/>
          <w:marTop w:val="0"/>
          <w:marBottom w:val="0"/>
          <w:divBdr>
            <w:top w:val="none" w:sz="0" w:space="0" w:color="auto"/>
            <w:left w:val="none" w:sz="0" w:space="0" w:color="auto"/>
            <w:bottom w:val="none" w:sz="0" w:space="0" w:color="auto"/>
            <w:right w:val="none" w:sz="0" w:space="0" w:color="auto"/>
          </w:divBdr>
          <w:divsChild>
            <w:div w:id="8408072">
              <w:marLeft w:val="0"/>
              <w:marRight w:val="0"/>
              <w:marTop w:val="0"/>
              <w:marBottom w:val="0"/>
              <w:divBdr>
                <w:top w:val="none" w:sz="0" w:space="0" w:color="auto"/>
                <w:left w:val="none" w:sz="0" w:space="0" w:color="auto"/>
                <w:bottom w:val="none" w:sz="0" w:space="0" w:color="auto"/>
                <w:right w:val="none" w:sz="0" w:space="0" w:color="auto"/>
              </w:divBdr>
              <w:divsChild>
                <w:div w:id="1242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3739">
      <w:bodyDiv w:val="1"/>
      <w:marLeft w:val="0"/>
      <w:marRight w:val="0"/>
      <w:marTop w:val="0"/>
      <w:marBottom w:val="0"/>
      <w:divBdr>
        <w:top w:val="none" w:sz="0" w:space="0" w:color="auto"/>
        <w:left w:val="none" w:sz="0" w:space="0" w:color="auto"/>
        <w:bottom w:val="none" w:sz="0" w:space="0" w:color="auto"/>
        <w:right w:val="none" w:sz="0" w:space="0" w:color="auto"/>
      </w:divBdr>
    </w:div>
    <w:div w:id="769469192">
      <w:bodyDiv w:val="1"/>
      <w:marLeft w:val="0"/>
      <w:marRight w:val="0"/>
      <w:marTop w:val="0"/>
      <w:marBottom w:val="0"/>
      <w:divBdr>
        <w:top w:val="none" w:sz="0" w:space="0" w:color="auto"/>
        <w:left w:val="none" w:sz="0" w:space="0" w:color="auto"/>
        <w:bottom w:val="none" w:sz="0" w:space="0" w:color="auto"/>
        <w:right w:val="none" w:sz="0" w:space="0" w:color="auto"/>
      </w:divBdr>
    </w:div>
    <w:div w:id="777261488">
      <w:bodyDiv w:val="1"/>
      <w:marLeft w:val="0"/>
      <w:marRight w:val="0"/>
      <w:marTop w:val="0"/>
      <w:marBottom w:val="0"/>
      <w:divBdr>
        <w:top w:val="none" w:sz="0" w:space="0" w:color="auto"/>
        <w:left w:val="none" w:sz="0" w:space="0" w:color="auto"/>
        <w:bottom w:val="none" w:sz="0" w:space="0" w:color="auto"/>
        <w:right w:val="none" w:sz="0" w:space="0" w:color="auto"/>
      </w:divBdr>
      <w:divsChild>
        <w:div w:id="571428764">
          <w:marLeft w:val="720"/>
          <w:marRight w:val="0"/>
          <w:marTop w:val="0"/>
          <w:marBottom w:val="0"/>
          <w:divBdr>
            <w:top w:val="none" w:sz="0" w:space="0" w:color="auto"/>
            <w:left w:val="none" w:sz="0" w:space="0" w:color="auto"/>
            <w:bottom w:val="none" w:sz="0" w:space="0" w:color="auto"/>
            <w:right w:val="none" w:sz="0" w:space="0" w:color="auto"/>
          </w:divBdr>
        </w:div>
        <w:div w:id="2028748580">
          <w:marLeft w:val="720"/>
          <w:marRight w:val="0"/>
          <w:marTop w:val="0"/>
          <w:marBottom w:val="0"/>
          <w:divBdr>
            <w:top w:val="none" w:sz="0" w:space="0" w:color="auto"/>
            <w:left w:val="none" w:sz="0" w:space="0" w:color="auto"/>
            <w:bottom w:val="none" w:sz="0" w:space="0" w:color="auto"/>
            <w:right w:val="none" w:sz="0" w:space="0" w:color="auto"/>
          </w:divBdr>
        </w:div>
      </w:divsChild>
    </w:div>
    <w:div w:id="778139098">
      <w:bodyDiv w:val="1"/>
      <w:marLeft w:val="0"/>
      <w:marRight w:val="0"/>
      <w:marTop w:val="0"/>
      <w:marBottom w:val="0"/>
      <w:divBdr>
        <w:top w:val="none" w:sz="0" w:space="0" w:color="auto"/>
        <w:left w:val="none" w:sz="0" w:space="0" w:color="auto"/>
        <w:bottom w:val="none" w:sz="0" w:space="0" w:color="auto"/>
        <w:right w:val="none" w:sz="0" w:space="0" w:color="auto"/>
      </w:divBdr>
    </w:div>
    <w:div w:id="778640686">
      <w:bodyDiv w:val="1"/>
      <w:marLeft w:val="0"/>
      <w:marRight w:val="0"/>
      <w:marTop w:val="0"/>
      <w:marBottom w:val="0"/>
      <w:divBdr>
        <w:top w:val="none" w:sz="0" w:space="0" w:color="auto"/>
        <w:left w:val="none" w:sz="0" w:space="0" w:color="auto"/>
        <w:bottom w:val="none" w:sz="0" w:space="0" w:color="auto"/>
        <w:right w:val="none" w:sz="0" w:space="0" w:color="auto"/>
      </w:divBdr>
      <w:divsChild>
        <w:div w:id="855771220">
          <w:marLeft w:val="547"/>
          <w:marRight w:val="0"/>
          <w:marTop w:val="110"/>
          <w:marBottom w:val="0"/>
          <w:divBdr>
            <w:top w:val="none" w:sz="0" w:space="0" w:color="auto"/>
            <w:left w:val="none" w:sz="0" w:space="0" w:color="auto"/>
            <w:bottom w:val="none" w:sz="0" w:space="0" w:color="auto"/>
            <w:right w:val="none" w:sz="0" w:space="0" w:color="auto"/>
          </w:divBdr>
        </w:div>
        <w:div w:id="1148937397">
          <w:marLeft w:val="547"/>
          <w:marRight w:val="0"/>
          <w:marTop w:val="110"/>
          <w:marBottom w:val="0"/>
          <w:divBdr>
            <w:top w:val="none" w:sz="0" w:space="0" w:color="auto"/>
            <w:left w:val="none" w:sz="0" w:space="0" w:color="auto"/>
            <w:bottom w:val="none" w:sz="0" w:space="0" w:color="auto"/>
            <w:right w:val="none" w:sz="0" w:space="0" w:color="auto"/>
          </w:divBdr>
        </w:div>
        <w:div w:id="1240603186">
          <w:marLeft w:val="547"/>
          <w:marRight w:val="0"/>
          <w:marTop w:val="110"/>
          <w:marBottom w:val="0"/>
          <w:divBdr>
            <w:top w:val="none" w:sz="0" w:space="0" w:color="auto"/>
            <w:left w:val="none" w:sz="0" w:space="0" w:color="auto"/>
            <w:bottom w:val="none" w:sz="0" w:space="0" w:color="auto"/>
            <w:right w:val="none" w:sz="0" w:space="0" w:color="auto"/>
          </w:divBdr>
        </w:div>
        <w:div w:id="1581015131">
          <w:marLeft w:val="547"/>
          <w:marRight w:val="0"/>
          <w:marTop w:val="110"/>
          <w:marBottom w:val="0"/>
          <w:divBdr>
            <w:top w:val="none" w:sz="0" w:space="0" w:color="auto"/>
            <w:left w:val="none" w:sz="0" w:space="0" w:color="auto"/>
            <w:bottom w:val="none" w:sz="0" w:space="0" w:color="auto"/>
            <w:right w:val="none" w:sz="0" w:space="0" w:color="auto"/>
          </w:divBdr>
        </w:div>
        <w:div w:id="1855725824">
          <w:marLeft w:val="547"/>
          <w:marRight w:val="0"/>
          <w:marTop w:val="110"/>
          <w:marBottom w:val="0"/>
          <w:divBdr>
            <w:top w:val="none" w:sz="0" w:space="0" w:color="auto"/>
            <w:left w:val="none" w:sz="0" w:space="0" w:color="auto"/>
            <w:bottom w:val="none" w:sz="0" w:space="0" w:color="auto"/>
            <w:right w:val="none" w:sz="0" w:space="0" w:color="auto"/>
          </w:divBdr>
        </w:div>
      </w:divsChild>
    </w:div>
    <w:div w:id="779757676">
      <w:bodyDiv w:val="1"/>
      <w:marLeft w:val="0"/>
      <w:marRight w:val="0"/>
      <w:marTop w:val="0"/>
      <w:marBottom w:val="0"/>
      <w:divBdr>
        <w:top w:val="none" w:sz="0" w:space="0" w:color="auto"/>
        <w:left w:val="none" w:sz="0" w:space="0" w:color="auto"/>
        <w:bottom w:val="none" w:sz="0" w:space="0" w:color="auto"/>
        <w:right w:val="none" w:sz="0" w:space="0" w:color="auto"/>
      </w:divBdr>
    </w:div>
    <w:div w:id="783769285">
      <w:bodyDiv w:val="1"/>
      <w:marLeft w:val="0"/>
      <w:marRight w:val="0"/>
      <w:marTop w:val="0"/>
      <w:marBottom w:val="0"/>
      <w:divBdr>
        <w:top w:val="none" w:sz="0" w:space="0" w:color="auto"/>
        <w:left w:val="none" w:sz="0" w:space="0" w:color="auto"/>
        <w:bottom w:val="none" w:sz="0" w:space="0" w:color="auto"/>
        <w:right w:val="none" w:sz="0" w:space="0" w:color="auto"/>
      </w:divBdr>
    </w:div>
    <w:div w:id="784616947">
      <w:bodyDiv w:val="1"/>
      <w:marLeft w:val="0"/>
      <w:marRight w:val="0"/>
      <w:marTop w:val="0"/>
      <w:marBottom w:val="0"/>
      <w:divBdr>
        <w:top w:val="none" w:sz="0" w:space="0" w:color="auto"/>
        <w:left w:val="none" w:sz="0" w:space="0" w:color="auto"/>
        <w:bottom w:val="none" w:sz="0" w:space="0" w:color="auto"/>
        <w:right w:val="none" w:sz="0" w:space="0" w:color="auto"/>
      </w:divBdr>
    </w:div>
    <w:div w:id="791823916">
      <w:bodyDiv w:val="1"/>
      <w:marLeft w:val="0"/>
      <w:marRight w:val="0"/>
      <w:marTop w:val="0"/>
      <w:marBottom w:val="0"/>
      <w:divBdr>
        <w:top w:val="none" w:sz="0" w:space="0" w:color="auto"/>
        <w:left w:val="none" w:sz="0" w:space="0" w:color="auto"/>
        <w:bottom w:val="none" w:sz="0" w:space="0" w:color="auto"/>
        <w:right w:val="none" w:sz="0" w:space="0" w:color="auto"/>
      </w:divBdr>
    </w:div>
    <w:div w:id="794719539">
      <w:bodyDiv w:val="1"/>
      <w:marLeft w:val="0"/>
      <w:marRight w:val="0"/>
      <w:marTop w:val="0"/>
      <w:marBottom w:val="0"/>
      <w:divBdr>
        <w:top w:val="none" w:sz="0" w:space="0" w:color="auto"/>
        <w:left w:val="none" w:sz="0" w:space="0" w:color="auto"/>
        <w:bottom w:val="none" w:sz="0" w:space="0" w:color="auto"/>
        <w:right w:val="none" w:sz="0" w:space="0" w:color="auto"/>
      </w:divBdr>
    </w:div>
    <w:div w:id="797605177">
      <w:bodyDiv w:val="1"/>
      <w:marLeft w:val="0"/>
      <w:marRight w:val="0"/>
      <w:marTop w:val="0"/>
      <w:marBottom w:val="0"/>
      <w:divBdr>
        <w:top w:val="none" w:sz="0" w:space="0" w:color="auto"/>
        <w:left w:val="none" w:sz="0" w:space="0" w:color="auto"/>
        <w:bottom w:val="none" w:sz="0" w:space="0" w:color="auto"/>
        <w:right w:val="none" w:sz="0" w:space="0" w:color="auto"/>
      </w:divBdr>
    </w:div>
    <w:div w:id="807669086">
      <w:bodyDiv w:val="1"/>
      <w:marLeft w:val="0"/>
      <w:marRight w:val="0"/>
      <w:marTop w:val="0"/>
      <w:marBottom w:val="0"/>
      <w:divBdr>
        <w:top w:val="none" w:sz="0" w:space="0" w:color="auto"/>
        <w:left w:val="none" w:sz="0" w:space="0" w:color="auto"/>
        <w:bottom w:val="none" w:sz="0" w:space="0" w:color="auto"/>
        <w:right w:val="none" w:sz="0" w:space="0" w:color="auto"/>
      </w:divBdr>
    </w:div>
    <w:div w:id="815609977">
      <w:bodyDiv w:val="1"/>
      <w:marLeft w:val="0"/>
      <w:marRight w:val="0"/>
      <w:marTop w:val="0"/>
      <w:marBottom w:val="0"/>
      <w:divBdr>
        <w:top w:val="none" w:sz="0" w:space="0" w:color="auto"/>
        <w:left w:val="none" w:sz="0" w:space="0" w:color="auto"/>
        <w:bottom w:val="none" w:sz="0" w:space="0" w:color="auto"/>
        <w:right w:val="none" w:sz="0" w:space="0" w:color="auto"/>
      </w:divBdr>
    </w:div>
    <w:div w:id="817646030">
      <w:bodyDiv w:val="1"/>
      <w:marLeft w:val="0"/>
      <w:marRight w:val="0"/>
      <w:marTop w:val="0"/>
      <w:marBottom w:val="0"/>
      <w:divBdr>
        <w:top w:val="none" w:sz="0" w:space="0" w:color="auto"/>
        <w:left w:val="none" w:sz="0" w:space="0" w:color="auto"/>
        <w:bottom w:val="none" w:sz="0" w:space="0" w:color="auto"/>
        <w:right w:val="none" w:sz="0" w:space="0" w:color="auto"/>
      </w:divBdr>
    </w:div>
    <w:div w:id="823619734">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32724857">
      <w:bodyDiv w:val="1"/>
      <w:marLeft w:val="0"/>
      <w:marRight w:val="0"/>
      <w:marTop w:val="0"/>
      <w:marBottom w:val="0"/>
      <w:divBdr>
        <w:top w:val="none" w:sz="0" w:space="0" w:color="auto"/>
        <w:left w:val="none" w:sz="0" w:space="0" w:color="auto"/>
        <w:bottom w:val="none" w:sz="0" w:space="0" w:color="auto"/>
        <w:right w:val="none" w:sz="0" w:space="0" w:color="auto"/>
      </w:divBdr>
    </w:div>
    <w:div w:id="836304959">
      <w:bodyDiv w:val="1"/>
      <w:marLeft w:val="0"/>
      <w:marRight w:val="0"/>
      <w:marTop w:val="0"/>
      <w:marBottom w:val="0"/>
      <w:divBdr>
        <w:top w:val="none" w:sz="0" w:space="0" w:color="auto"/>
        <w:left w:val="none" w:sz="0" w:space="0" w:color="auto"/>
        <w:bottom w:val="none" w:sz="0" w:space="0" w:color="auto"/>
        <w:right w:val="none" w:sz="0" w:space="0" w:color="auto"/>
      </w:divBdr>
    </w:div>
    <w:div w:id="838154788">
      <w:bodyDiv w:val="1"/>
      <w:marLeft w:val="0"/>
      <w:marRight w:val="0"/>
      <w:marTop w:val="0"/>
      <w:marBottom w:val="0"/>
      <w:divBdr>
        <w:top w:val="none" w:sz="0" w:space="0" w:color="auto"/>
        <w:left w:val="none" w:sz="0" w:space="0" w:color="auto"/>
        <w:bottom w:val="none" w:sz="0" w:space="0" w:color="auto"/>
        <w:right w:val="none" w:sz="0" w:space="0" w:color="auto"/>
      </w:divBdr>
      <w:divsChild>
        <w:div w:id="927428120">
          <w:marLeft w:val="0"/>
          <w:marRight w:val="0"/>
          <w:marTop w:val="0"/>
          <w:marBottom w:val="0"/>
          <w:divBdr>
            <w:top w:val="none" w:sz="0" w:space="0" w:color="auto"/>
            <w:left w:val="none" w:sz="0" w:space="0" w:color="auto"/>
            <w:bottom w:val="none" w:sz="0" w:space="0" w:color="auto"/>
            <w:right w:val="none" w:sz="0" w:space="0" w:color="auto"/>
          </w:divBdr>
          <w:divsChild>
            <w:div w:id="436340104">
              <w:marLeft w:val="0"/>
              <w:marRight w:val="0"/>
              <w:marTop w:val="0"/>
              <w:marBottom w:val="0"/>
              <w:divBdr>
                <w:top w:val="none" w:sz="0" w:space="0" w:color="auto"/>
                <w:left w:val="none" w:sz="0" w:space="0" w:color="auto"/>
                <w:bottom w:val="none" w:sz="0" w:space="0" w:color="auto"/>
                <w:right w:val="none" w:sz="0" w:space="0" w:color="auto"/>
              </w:divBdr>
              <w:divsChild>
                <w:div w:id="5458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1507">
      <w:bodyDiv w:val="1"/>
      <w:marLeft w:val="0"/>
      <w:marRight w:val="0"/>
      <w:marTop w:val="0"/>
      <w:marBottom w:val="0"/>
      <w:divBdr>
        <w:top w:val="none" w:sz="0" w:space="0" w:color="auto"/>
        <w:left w:val="none" w:sz="0" w:space="0" w:color="auto"/>
        <w:bottom w:val="none" w:sz="0" w:space="0" w:color="auto"/>
        <w:right w:val="none" w:sz="0" w:space="0" w:color="auto"/>
      </w:divBdr>
      <w:divsChild>
        <w:div w:id="585505526">
          <w:marLeft w:val="0"/>
          <w:marRight w:val="0"/>
          <w:marTop w:val="0"/>
          <w:marBottom w:val="0"/>
          <w:divBdr>
            <w:top w:val="none" w:sz="0" w:space="0" w:color="auto"/>
            <w:left w:val="none" w:sz="0" w:space="0" w:color="auto"/>
            <w:bottom w:val="none" w:sz="0" w:space="0" w:color="auto"/>
            <w:right w:val="none" w:sz="0" w:space="0" w:color="auto"/>
          </w:divBdr>
        </w:div>
      </w:divsChild>
    </w:div>
    <w:div w:id="843133374">
      <w:bodyDiv w:val="1"/>
      <w:marLeft w:val="0"/>
      <w:marRight w:val="0"/>
      <w:marTop w:val="0"/>
      <w:marBottom w:val="0"/>
      <w:divBdr>
        <w:top w:val="none" w:sz="0" w:space="0" w:color="auto"/>
        <w:left w:val="none" w:sz="0" w:space="0" w:color="auto"/>
        <w:bottom w:val="none" w:sz="0" w:space="0" w:color="auto"/>
        <w:right w:val="none" w:sz="0" w:space="0" w:color="auto"/>
      </w:divBdr>
    </w:div>
    <w:div w:id="845635596">
      <w:bodyDiv w:val="1"/>
      <w:marLeft w:val="0"/>
      <w:marRight w:val="0"/>
      <w:marTop w:val="0"/>
      <w:marBottom w:val="0"/>
      <w:divBdr>
        <w:top w:val="none" w:sz="0" w:space="0" w:color="auto"/>
        <w:left w:val="none" w:sz="0" w:space="0" w:color="auto"/>
        <w:bottom w:val="none" w:sz="0" w:space="0" w:color="auto"/>
        <w:right w:val="none" w:sz="0" w:space="0" w:color="auto"/>
      </w:divBdr>
      <w:divsChild>
        <w:div w:id="182788749">
          <w:marLeft w:val="806"/>
          <w:marRight w:val="0"/>
          <w:marTop w:val="0"/>
          <w:marBottom w:val="0"/>
          <w:divBdr>
            <w:top w:val="none" w:sz="0" w:space="0" w:color="auto"/>
            <w:left w:val="none" w:sz="0" w:space="0" w:color="auto"/>
            <w:bottom w:val="none" w:sz="0" w:space="0" w:color="auto"/>
            <w:right w:val="none" w:sz="0" w:space="0" w:color="auto"/>
          </w:divBdr>
        </w:div>
        <w:div w:id="652686337">
          <w:marLeft w:val="806"/>
          <w:marRight w:val="0"/>
          <w:marTop w:val="0"/>
          <w:marBottom w:val="0"/>
          <w:divBdr>
            <w:top w:val="none" w:sz="0" w:space="0" w:color="auto"/>
            <w:left w:val="none" w:sz="0" w:space="0" w:color="auto"/>
            <w:bottom w:val="none" w:sz="0" w:space="0" w:color="auto"/>
            <w:right w:val="none" w:sz="0" w:space="0" w:color="auto"/>
          </w:divBdr>
        </w:div>
        <w:div w:id="748621653">
          <w:marLeft w:val="806"/>
          <w:marRight w:val="0"/>
          <w:marTop w:val="0"/>
          <w:marBottom w:val="0"/>
          <w:divBdr>
            <w:top w:val="none" w:sz="0" w:space="0" w:color="auto"/>
            <w:left w:val="none" w:sz="0" w:space="0" w:color="auto"/>
            <w:bottom w:val="none" w:sz="0" w:space="0" w:color="auto"/>
            <w:right w:val="none" w:sz="0" w:space="0" w:color="auto"/>
          </w:divBdr>
        </w:div>
      </w:divsChild>
    </w:div>
    <w:div w:id="854147935">
      <w:bodyDiv w:val="1"/>
      <w:marLeft w:val="0"/>
      <w:marRight w:val="0"/>
      <w:marTop w:val="0"/>
      <w:marBottom w:val="0"/>
      <w:divBdr>
        <w:top w:val="none" w:sz="0" w:space="0" w:color="auto"/>
        <w:left w:val="none" w:sz="0" w:space="0" w:color="auto"/>
        <w:bottom w:val="none" w:sz="0" w:space="0" w:color="auto"/>
        <w:right w:val="none" w:sz="0" w:space="0" w:color="auto"/>
      </w:divBdr>
      <w:divsChild>
        <w:div w:id="154420830">
          <w:marLeft w:val="907"/>
          <w:marRight w:val="0"/>
          <w:marTop w:val="134"/>
          <w:marBottom w:val="0"/>
          <w:divBdr>
            <w:top w:val="none" w:sz="0" w:space="0" w:color="auto"/>
            <w:left w:val="none" w:sz="0" w:space="0" w:color="auto"/>
            <w:bottom w:val="none" w:sz="0" w:space="0" w:color="auto"/>
            <w:right w:val="none" w:sz="0" w:space="0" w:color="auto"/>
          </w:divBdr>
        </w:div>
        <w:div w:id="159467337">
          <w:marLeft w:val="907"/>
          <w:marRight w:val="0"/>
          <w:marTop w:val="134"/>
          <w:marBottom w:val="0"/>
          <w:divBdr>
            <w:top w:val="none" w:sz="0" w:space="0" w:color="auto"/>
            <w:left w:val="none" w:sz="0" w:space="0" w:color="auto"/>
            <w:bottom w:val="none" w:sz="0" w:space="0" w:color="auto"/>
            <w:right w:val="none" w:sz="0" w:space="0" w:color="auto"/>
          </w:divBdr>
        </w:div>
        <w:div w:id="281346835">
          <w:marLeft w:val="907"/>
          <w:marRight w:val="0"/>
          <w:marTop w:val="134"/>
          <w:marBottom w:val="0"/>
          <w:divBdr>
            <w:top w:val="none" w:sz="0" w:space="0" w:color="auto"/>
            <w:left w:val="none" w:sz="0" w:space="0" w:color="auto"/>
            <w:bottom w:val="none" w:sz="0" w:space="0" w:color="auto"/>
            <w:right w:val="none" w:sz="0" w:space="0" w:color="auto"/>
          </w:divBdr>
        </w:div>
        <w:div w:id="301279069">
          <w:marLeft w:val="907"/>
          <w:marRight w:val="0"/>
          <w:marTop w:val="134"/>
          <w:marBottom w:val="0"/>
          <w:divBdr>
            <w:top w:val="none" w:sz="0" w:space="0" w:color="auto"/>
            <w:left w:val="none" w:sz="0" w:space="0" w:color="auto"/>
            <w:bottom w:val="none" w:sz="0" w:space="0" w:color="auto"/>
            <w:right w:val="none" w:sz="0" w:space="0" w:color="auto"/>
          </w:divBdr>
        </w:div>
        <w:div w:id="1798795407">
          <w:marLeft w:val="907"/>
          <w:marRight w:val="0"/>
          <w:marTop w:val="134"/>
          <w:marBottom w:val="0"/>
          <w:divBdr>
            <w:top w:val="none" w:sz="0" w:space="0" w:color="auto"/>
            <w:left w:val="none" w:sz="0" w:space="0" w:color="auto"/>
            <w:bottom w:val="none" w:sz="0" w:space="0" w:color="auto"/>
            <w:right w:val="none" w:sz="0" w:space="0" w:color="auto"/>
          </w:divBdr>
        </w:div>
        <w:div w:id="1892568759">
          <w:marLeft w:val="907"/>
          <w:marRight w:val="0"/>
          <w:marTop w:val="134"/>
          <w:marBottom w:val="0"/>
          <w:divBdr>
            <w:top w:val="none" w:sz="0" w:space="0" w:color="auto"/>
            <w:left w:val="none" w:sz="0" w:space="0" w:color="auto"/>
            <w:bottom w:val="none" w:sz="0" w:space="0" w:color="auto"/>
            <w:right w:val="none" w:sz="0" w:space="0" w:color="auto"/>
          </w:divBdr>
        </w:div>
        <w:div w:id="1906799169">
          <w:marLeft w:val="907"/>
          <w:marRight w:val="0"/>
          <w:marTop w:val="134"/>
          <w:marBottom w:val="0"/>
          <w:divBdr>
            <w:top w:val="none" w:sz="0" w:space="0" w:color="auto"/>
            <w:left w:val="none" w:sz="0" w:space="0" w:color="auto"/>
            <w:bottom w:val="none" w:sz="0" w:space="0" w:color="auto"/>
            <w:right w:val="none" w:sz="0" w:space="0" w:color="auto"/>
          </w:divBdr>
        </w:div>
      </w:divsChild>
    </w:div>
    <w:div w:id="855659044">
      <w:bodyDiv w:val="1"/>
      <w:marLeft w:val="0"/>
      <w:marRight w:val="0"/>
      <w:marTop w:val="0"/>
      <w:marBottom w:val="0"/>
      <w:divBdr>
        <w:top w:val="none" w:sz="0" w:space="0" w:color="auto"/>
        <w:left w:val="none" w:sz="0" w:space="0" w:color="auto"/>
        <w:bottom w:val="none" w:sz="0" w:space="0" w:color="auto"/>
        <w:right w:val="none" w:sz="0" w:space="0" w:color="auto"/>
      </w:divBdr>
    </w:div>
    <w:div w:id="861478171">
      <w:bodyDiv w:val="1"/>
      <w:marLeft w:val="0"/>
      <w:marRight w:val="0"/>
      <w:marTop w:val="0"/>
      <w:marBottom w:val="0"/>
      <w:divBdr>
        <w:top w:val="none" w:sz="0" w:space="0" w:color="auto"/>
        <w:left w:val="none" w:sz="0" w:space="0" w:color="auto"/>
        <w:bottom w:val="none" w:sz="0" w:space="0" w:color="auto"/>
        <w:right w:val="none" w:sz="0" w:space="0" w:color="auto"/>
      </w:divBdr>
    </w:div>
    <w:div w:id="862547779">
      <w:bodyDiv w:val="1"/>
      <w:marLeft w:val="0"/>
      <w:marRight w:val="0"/>
      <w:marTop w:val="0"/>
      <w:marBottom w:val="0"/>
      <w:divBdr>
        <w:top w:val="none" w:sz="0" w:space="0" w:color="auto"/>
        <w:left w:val="none" w:sz="0" w:space="0" w:color="auto"/>
        <w:bottom w:val="none" w:sz="0" w:space="0" w:color="auto"/>
        <w:right w:val="none" w:sz="0" w:space="0" w:color="auto"/>
      </w:divBdr>
    </w:div>
    <w:div w:id="871654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3746">
          <w:marLeft w:val="0"/>
          <w:marRight w:val="0"/>
          <w:marTop w:val="0"/>
          <w:marBottom w:val="0"/>
          <w:divBdr>
            <w:top w:val="none" w:sz="0" w:space="0" w:color="auto"/>
            <w:left w:val="none" w:sz="0" w:space="0" w:color="auto"/>
            <w:bottom w:val="none" w:sz="0" w:space="0" w:color="auto"/>
            <w:right w:val="none" w:sz="0" w:space="0" w:color="auto"/>
          </w:divBdr>
          <w:divsChild>
            <w:div w:id="1108238502">
              <w:marLeft w:val="0"/>
              <w:marRight w:val="0"/>
              <w:marTop w:val="0"/>
              <w:marBottom w:val="0"/>
              <w:divBdr>
                <w:top w:val="none" w:sz="0" w:space="0" w:color="auto"/>
                <w:left w:val="none" w:sz="0" w:space="0" w:color="auto"/>
                <w:bottom w:val="none" w:sz="0" w:space="0" w:color="auto"/>
                <w:right w:val="none" w:sz="0" w:space="0" w:color="auto"/>
              </w:divBdr>
              <w:divsChild>
                <w:div w:id="1375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362">
      <w:bodyDiv w:val="1"/>
      <w:marLeft w:val="0"/>
      <w:marRight w:val="0"/>
      <w:marTop w:val="0"/>
      <w:marBottom w:val="0"/>
      <w:divBdr>
        <w:top w:val="none" w:sz="0" w:space="0" w:color="auto"/>
        <w:left w:val="none" w:sz="0" w:space="0" w:color="auto"/>
        <w:bottom w:val="none" w:sz="0" w:space="0" w:color="auto"/>
        <w:right w:val="none" w:sz="0" w:space="0" w:color="auto"/>
      </w:divBdr>
    </w:div>
    <w:div w:id="876164216">
      <w:bodyDiv w:val="1"/>
      <w:marLeft w:val="0"/>
      <w:marRight w:val="0"/>
      <w:marTop w:val="0"/>
      <w:marBottom w:val="0"/>
      <w:divBdr>
        <w:top w:val="none" w:sz="0" w:space="0" w:color="auto"/>
        <w:left w:val="none" w:sz="0" w:space="0" w:color="auto"/>
        <w:bottom w:val="none" w:sz="0" w:space="0" w:color="auto"/>
        <w:right w:val="none" w:sz="0" w:space="0" w:color="auto"/>
      </w:divBdr>
    </w:div>
    <w:div w:id="877351487">
      <w:bodyDiv w:val="1"/>
      <w:marLeft w:val="0"/>
      <w:marRight w:val="0"/>
      <w:marTop w:val="0"/>
      <w:marBottom w:val="0"/>
      <w:divBdr>
        <w:top w:val="none" w:sz="0" w:space="0" w:color="auto"/>
        <w:left w:val="none" w:sz="0" w:space="0" w:color="auto"/>
        <w:bottom w:val="none" w:sz="0" w:space="0" w:color="auto"/>
        <w:right w:val="none" w:sz="0" w:space="0" w:color="auto"/>
      </w:divBdr>
    </w:div>
    <w:div w:id="877354330">
      <w:bodyDiv w:val="1"/>
      <w:marLeft w:val="0"/>
      <w:marRight w:val="0"/>
      <w:marTop w:val="0"/>
      <w:marBottom w:val="0"/>
      <w:divBdr>
        <w:top w:val="none" w:sz="0" w:space="0" w:color="auto"/>
        <w:left w:val="none" w:sz="0" w:space="0" w:color="auto"/>
        <w:bottom w:val="none" w:sz="0" w:space="0" w:color="auto"/>
        <w:right w:val="none" w:sz="0" w:space="0" w:color="auto"/>
      </w:divBdr>
    </w:div>
    <w:div w:id="886179779">
      <w:bodyDiv w:val="1"/>
      <w:marLeft w:val="0"/>
      <w:marRight w:val="0"/>
      <w:marTop w:val="0"/>
      <w:marBottom w:val="0"/>
      <w:divBdr>
        <w:top w:val="none" w:sz="0" w:space="0" w:color="auto"/>
        <w:left w:val="none" w:sz="0" w:space="0" w:color="auto"/>
        <w:bottom w:val="none" w:sz="0" w:space="0" w:color="auto"/>
        <w:right w:val="none" w:sz="0" w:space="0" w:color="auto"/>
      </w:divBdr>
    </w:div>
    <w:div w:id="886799726">
      <w:bodyDiv w:val="1"/>
      <w:marLeft w:val="0"/>
      <w:marRight w:val="0"/>
      <w:marTop w:val="0"/>
      <w:marBottom w:val="0"/>
      <w:divBdr>
        <w:top w:val="none" w:sz="0" w:space="0" w:color="auto"/>
        <w:left w:val="none" w:sz="0" w:space="0" w:color="auto"/>
        <w:bottom w:val="none" w:sz="0" w:space="0" w:color="auto"/>
        <w:right w:val="none" w:sz="0" w:space="0" w:color="auto"/>
      </w:divBdr>
    </w:div>
    <w:div w:id="888154480">
      <w:bodyDiv w:val="1"/>
      <w:marLeft w:val="0"/>
      <w:marRight w:val="0"/>
      <w:marTop w:val="0"/>
      <w:marBottom w:val="0"/>
      <w:divBdr>
        <w:top w:val="none" w:sz="0" w:space="0" w:color="auto"/>
        <w:left w:val="none" w:sz="0" w:space="0" w:color="auto"/>
        <w:bottom w:val="none" w:sz="0" w:space="0" w:color="auto"/>
        <w:right w:val="none" w:sz="0" w:space="0" w:color="auto"/>
      </w:divBdr>
    </w:div>
    <w:div w:id="889265522">
      <w:bodyDiv w:val="1"/>
      <w:marLeft w:val="0"/>
      <w:marRight w:val="0"/>
      <w:marTop w:val="0"/>
      <w:marBottom w:val="0"/>
      <w:divBdr>
        <w:top w:val="none" w:sz="0" w:space="0" w:color="auto"/>
        <w:left w:val="none" w:sz="0" w:space="0" w:color="auto"/>
        <w:bottom w:val="none" w:sz="0" w:space="0" w:color="auto"/>
        <w:right w:val="none" w:sz="0" w:space="0" w:color="auto"/>
      </w:divBdr>
    </w:div>
    <w:div w:id="891893439">
      <w:bodyDiv w:val="1"/>
      <w:marLeft w:val="0"/>
      <w:marRight w:val="0"/>
      <w:marTop w:val="0"/>
      <w:marBottom w:val="0"/>
      <w:divBdr>
        <w:top w:val="none" w:sz="0" w:space="0" w:color="auto"/>
        <w:left w:val="none" w:sz="0" w:space="0" w:color="auto"/>
        <w:bottom w:val="none" w:sz="0" w:space="0" w:color="auto"/>
        <w:right w:val="none" w:sz="0" w:space="0" w:color="auto"/>
      </w:divBdr>
      <w:divsChild>
        <w:div w:id="1102840079">
          <w:marLeft w:val="547"/>
          <w:marRight w:val="0"/>
          <w:marTop w:val="0"/>
          <w:marBottom w:val="0"/>
          <w:divBdr>
            <w:top w:val="none" w:sz="0" w:space="0" w:color="auto"/>
            <w:left w:val="none" w:sz="0" w:space="0" w:color="auto"/>
            <w:bottom w:val="none" w:sz="0" w:space="0" w:color="auto"/>
            <w:right w:val="none" w:sz="0" w:space="0" w:color="auto"/>
          </w:divBdr>
        </w:div>
      </w:divsChild>
    </w:div>
    <w:div w:id="892548039">
      <w:bodyDiv w:val="1"/>
      <w:marLeft w:val="0"/>
      <w:marRight w:val="0"/>
      <w:marTop w:val="0"/>
      <w:marBottom w:val="0"/>
      <w:divBdr>
        <w:top w:val="none" w:sz="0" w:space="0" w:color="auto"/>
        <w:left w:val="none" w:sz="0" w:space="0" w:color="auto"/>
        <w:bottom w:val="none" w:sz="0" w:space="0" w:color="auto"/>
        <w:right w:val="none" w:sz="0" w:space="0" w:color="auto"/>
      </w:divBdr>
    </w:div>
    <w:div w:id="893850398">
      <w:bodyDiv w:val="1"/>
      <w:marLeft w:val="0"/>
      <w:marRight w:val="0"/>
      <w:marTop w:val="0"/>
      <w:marBottom w:val="0"/>
      <w:divBdr>
        <w:top w:val="none" w:sz="0" w:space="0" w:color="auto"/>
        <w:left w:val="none" w:sz="0" w:space="0" w:color="auto"/>
        <w:bottom w:val="none" w:sz="0" w:space="0" w:color="auto"/>
        <w:right w:val="none" w:sz="0" w:space="0" w:color="auto"/>
      </w:divBdr>
    </w:div>
    <w:div w:id="895553495">
      <w:bodyDiv w:val="1"/>
      <w:marLeft w:val="0"/>
      <w:marRight w:val="0"/>
      <w:marTop w:val="0"/>
      <w:marBottom w:val="0"/>
      <w:divBdr>
        <w:top w:val="none" w:sz="0" w:space="0" w:color="auto"/>
        <w:left w:val="none" w:sz="0" w:space="0" w:color="auto"/>
        <w:bottom w:val="none" w:sz="0" w:space="0" w:color="auto"/>
        <w:right w:val="none" w:sz="0" w:space="0" w:color="auto"/>
      </w:divBdr>
    </w:div>
    <w:div w:id="899243474">
      <w:bodyDiv w:val="1"/>
      <w:marLeft w:val="0"/>
      <w:marRight w:val="0"/>
      <w:marTop w:val="0"/>
      <w:marBottom w:val="0"/>
      <w:divBdr>
        <w:top w:val="none" w:sz="0" w:space="0" w:color="auto"/>
        <w:left w:val="none" w:sz="0" w:space="0" w:color="auto"/>
        <w:bottom w:val="none" w:sz="0" w:space="0" w:color="auto"/>
        <w:right w:val="none" w:sz="0" w:space="0" w:color="auto"/>
      </w:divBdr>
    </w:div>
    <w:div w:id="901452217">
      <w:bodyDiv w:val="1"/>
      <w:marLeft w:val="0"/>
      <w:marRight w:val="0"/>
      <w:marTop w:val="0"/>
      <w:marBottom w:val="0"/>
      <w:divBdr>
        <w:top w:val="none" w:sz="0" w:space="0" w:color="auto"/>
        <w:left w:val="none" w:sz="0" w:space="0" w:color="auto"/>
        <w:bottom w:val="none" w:sz="0" w:space="0" w:color="auto"/>
        <w:right w:val="none" w:sz="0" w:space="0" w:color="auto"/>
      </w:divBdr>
    </w:div>
    <w:div w:id="903955238">
      <w:bodyDiv w:val="1"/>
      <w:marLeft w:val="0"/>
      <w:marRight w:val="0"/>
      <w:marTop w:val="0"/>
      <w:marBottom w:val="0"/>
      <w:divBdr>
        <w:top w:val="none" w:sz="0" w:space="0" w:color="auto"/>
        <w:left w:val="none" w:sz="0" w:space="0" w:color="auto"/>
        <w:bottom w:val="none" w:sz="0" w:space="0" w:color="auto"/>
        <w:right w:val="none" w:sz="0" w:space="0" w:color="auto"/>
      </w:divBdr>
    </w:div>
    <w:div w:id="911546958">
      <w:bodyDiv w:val="1"/>
      <w:marLeft w:val="0"/>
      <w:marRight w:val="0"/>
      <w:marTop w:val="0"/>
      <w:marBottom w:val="0"/>
      <w:divBdr>
        <w:top w:val="none" w:sz="0" w:space="0" w:color="auto"/>
        <w:left w:val="none" w:sz="0" w:space="0" w:color="auto"/>
        <w:bottom w:val="none" w:sz="0" w:space="0" w:color="auto"/>
        <w:right w:val="none" w:sz="0" w:space="0" w:color="auto"/>
      </w:divBdr>
    </w:div>
    <w:div w:id="913469392">
      <w:bodyDiv w:val="1"/>
      <w:marLeft w:val="0"/>
      <w:marRight w:val="0"/>
      <w:marTop w:val="0"/>
      <w:marBottom w:val="0"/>
      <w:divBdr>
        <w:top w:val="none" w:sz="0" w:space="0" w:color="auto"/>
        <w:left w:val="none" w:sz="0" w:space="0" w:color="auto"/>
        <w:bottom w:val="none" w:sz="0" w:space="0" w:color="auto"/>
        <w:right w:val="none" w:sz="0" w:space="0" w:color="auto"/>
      </w:divBdr>
    </w:div>
    <w:div w:id="915674051">
      <w:bodyDiv w:val="1"/>
      <w:marLeft w:val="0"/>
      <w:marRight w:val="0"/>
      <w:marTop w:val="0"/>
      <w:marBottom w:val="0"/>
      <w:divBdr>
        <w:top w:val="none" w:sz="0" w:space="0" w:color="auto"/>
        <w:left w:val="none" w:sz="0" w:space="0" w:color="auto"/>
        <w:bottom w:val="none" w:sz="0" w:space="0" w:color="auto"/>
        <w:right w:val="none" w:sz="0" w:space="0" w:color="auto"/>
      </w:divBdr>
    </w:div>
    <w:div w:id="928470231">
      <w:bodyDiv w:val="1"/>
      <w:marLeft w:val="0"/>
      <w:marRight w:val="0"/>
      <w:marTop w:val="0"/>
      <w:marBottom w:val="0"/>
      <w:divBdr>
        <w:top w:val="none" w:sz="0" w:space="0" w:color="auto"/>
        <w:left w:val="none" w:sz="0" w:space="0" w:color="auto"/>
        <w:bottom w:val="none" w:sz="0" w:space="0" w:color="auto"/>
        <w:right w:val="none" w:sz="0" w:space="0" w:color="auto"/>
      </w:divBdr>
    </w:div>
    <w:div w:id="942148307">
      <w:bodyDiv w:val="1"/>
      <w:marLeft w:val="0"/>
      <w:marRight w:val="0"/>
      <w:marTop w:val="0"/>
      <w:marBottom w:val="0"/>
      <w:divBdr>
        <w:top w:val="none" w:sz="0" w:space="0" w:color="auto"/>
        <w:left w:val="none" w:sz="0" w:space="0" w:color="auto"/>
        <w:bottom w:val="none" w:sz="0" w:space="0" w:color="auto"/>
        <w:right w:val="none" w:sz="0" w:space="0" w:color="auto"/>
      </w:divBdr>
      <w:divsChild>
        <w:div w:id="540477509">
          <w:marLeft w:val="446"/>
          <w:marRight w:val="0"/>
          <w:marTop w:val="0"/>
          <w:marBottom w:val="0"/>
          <w:divBdr>
            <w:top w:val="none" w:sz="0" w:space="0" w:color="auto"/>
            <w:left w:val="none" w:sz="0" w:space="0" w:color="auto"/>
            <w:bottom w:val="none" w:sz="0" w:space="0" w:color="auto"/>
            <w:right w:val="none" w:sz="0" w:space="0" w:color="auto"/>
          </w:divBdr>
        </w:div>
        <w:div w:id="902907320">
          <w:marLeft w:val="446"/>
          <w:marRight w:val="0"/>
          <w:marTop w:val="0"/>
          <w:marBottom w:val="0"/>
          <w:divBdr>
            <w:top w:val="none" w:sz="0" w:space="0" w:color="auto"/>
            <w:left w:val="none" w:sz="0" w:space="0" w:color="auto"/>
            <w:bottom w:val="none" w:sz="0" w:space="0" w:color="auto"/>
            <w:right w:val="none" w:sz="0" w:space="0" w:color="auto"/>
          </w:divBdr>
        </w:div>
      </w:divsChild>
    </w:div>
    <w:div w:id="942684479">
      <w:bodyDiv w:val="1"/>
      <w:marLeft w:val="0"/>
      <w:marRight w:val="0"/>
      <w:marTop w:val="0"/>
      <w:marBottom w:val="0"/>
      <w:divBdr>
        <w:top w:val="none" w:sz="0" w:space="0" w:color="auto"/>
        <w:left w:val="none" w:sz="0" w:space="0" w:color="auto"/>
        <w:bottom w:val="none" w:sz="0" w:space="0" w:color="auto"/>
        <w:right w:val="none" w:sz="0" w:space="0" w:color="auto"/>
      </w:divBdr>
    </w:div>
    <w:div w:id="946624746">
      <w:bodyDiv w:val="1"/>
      <w:marLeft w:val="0"/>
      <w:marRight w:val="0"/>
      <w:marTop w:val="0"/>
      <w:marBottom w:val="0"/>
      <w:divBdr>
        <w:top w:val="none" w:sz="0" w:space="0" w:color="auto"/>
        <w:left w:val="none" w:sz="0" w:space="0" w:color="auto"/>
        <w:bottom w:val="none" w:sz="0" w:space="0" w:color="auto"/>
        <w:right w:val="none" w:sz="0" w:space="0" w:color="auto"/>
      </w:divBdr>
      <w:divsChild>
        <w:div w:id="1015619169">
          <w:marLeft w:val="240"/>
          <w:marRight w:val="0"/>
          <w:marTop w:val="60"/>
          <w:marBottom w:val="60"/>
          <w:divBdr>
            <w:top w:val="none" w:sz="0" w:space="0" w:color="auto"/>
            <w:left w:val="none" w:sz="0" w:space="0" w:color="auto"/>
            <w:bottom w:val="none" w:sz="0" w:space="0" w:color="auto"/>
            <w:right w:val="none" w:sz="0" w:space="0" w:color="auto"/>
          </w:divBdr>
          <w:divsChild>
            <w:div w:id="1169759012">
              <w:marLeft w:val="0"/>
              <w:marRight w:val="0"/>
              <w:marTop w:val="0"/>
              <w:marBottom w:val="0"/>
              <w:divBdr>
                <w:top w:val="none" w:sz="0" w:space="0" w:color="auto"/>
                <w:left w:val="none" w:sz="0" w:space="0" w:color="auto"/>
                <w:bottom w:val="none" w:sz="0" w:space="0" w:color="auto"/>
                <w:right w:val="none" w:sz="0" w:space="0" w:color="auto"/>
              </w:divBdr>
            </w:div>
          </w:divsChild>
        </w:div>
        <w:div w:id="947353085">
          <w:marLeft w:val="240"/>
          <w:marRight w:val="0"/>
          <w:marTop w:val="60"/>
          <w:marBottom w:val="60"/>
          <w:divBdr>
            <w:top w:val="none" w:sz="0" w:space="0" w:color="auto"/>
            <w:left w:val="none" w:sz="0" w:space="0" w:color="auto"/>
            <w:bottom w:val="none" w:sz="0" w:space="0" w:color="auto"/>
            <w:right w:val="none" w:sz="0" w:space="0" w:color="auto"/>
          </w:divBdr>
          <w:divsChild>
            <w:div w:id="1892687255">
              <w:marLeft w:val="0"/>
              <w:marRight w:val="0"/>
              <w:marTop w:val="0"/>
              <w:marBottom w:val="0"/>
              <w:divBdr>
                <w:top w:val="none" w:sz="0" w:space="0" w:color="auto"/>
                <w:left w:val="none" w:sz="0" w:space="0" w:color="auto"/>
                <w:bottom w:val="none" w:sz="0" w:space="0" w:color="auto"/>
                <w:right w:val="none" w:sz="0" w:space="0" w:color="auto"/>
              </w:divBdr>
            </w:div>
          </w:divsChild>
        </w:div>
        <w:div w:id="1802264475">
          <w:marLeft w:val="240"/>
          <w:marRight w:val="0"/>
          <w:marTop w:val="60"/>
          <w:marBottom w:val="60"/>
          <w:divBdr>
            <w:top w:val="none" w:sz="0" w:space="0" w:color="auto"/>
            <w:left w:val="none" w:sz="0" w:space="0" w:color="auto"/>
            <w:bottom w:val="none" w:sz="0" w:space="0" w:color="auto"/>
            <w:right w:val="none" w:sz="0" w:space="0" w:color="auto"/>
          </w:divBdr>
          <w:divsChild>
            <w:div w:id="326246769">
              <w:marLeft w:val="0"/>
              <w:marRight w:val="0"/>
              <w:marTop w:val="0"/>
              <w:marBottom w:val="0"/>
              <w:divBdr>
                <w:top w:val="none" w:sz="0" w:space="0" w:color="auto"/>
                <w:left w:val="none" w:sz="0" w:space="0" w:color="auto"/>
                <w:bottom w:val="none" w:sz="0" w:space="0" w:color="auto"/>
                <w:right w:val="none" w:sz="0" w:space="0" w:color="auto"/>
              </w:divBdr>
            </w:div>
          </w:divsChild>
        </w:div>
        <w:div w:id="2047480608">
          <w:marLeft w:val="240"/>
          <w:marRight w:val="0"/>
          <w:marTop w:val="60"/>
          <w:marBottom w:val="60"/>
          <w:divBdr>
            <w:top w:val="none" w:sz="0" w:space="0" w:color="auto"/>
            <w:left w:val="none" w:sz="0" w:space="0" w:color="auto"/>
            <w:bottom w:val="none" w:sz="0" w:space="0" w:color="auto"/>
            <w:right w:val="none" w:sz="0" w:space="0" w:color="auto"/>
          </w:divBdr>
          <w:divsChild>
            <w:div w:id="882595233">
              <w:marLeft w:val="240"/>
              <w:marRight w:val="0"/>
              <w:marTop w:val="60"/>
              <w:marBottom w:val="60"/>
              <w:divBdr>
                <w:top w:val="none" w:sz="0" w:space="0" w:color="auto"/>
                <w:left w:val="none" w:sz="0" w:space="0" w:color="auto"/>
                <w:bottom w:val="none" w:sz="0" w:space="0" w:color="auto"/>
                <w:right w:val="none" w:sz="0" w:space="0" w:color="auto"/>
              </w:divBdr>
              <w:divsChild>
                <w:div w:id="532308603">
                  <w:marLeft w:val="0"/>
                  <w:marRight w:val="0"/>
                  <w:marTop w:val="0"/>
                  <w:marBottom w:val="0"/>
                  <w:divBdr>
                    <w:top w:val="none" w:sz="0" w:space="0" w:color="auto"/>
                    <w:left w:val="none" w:sz="0" w:space="0" w:color="auto"/>
                    <w:bottom w:val="none" w:sz="0" w:space="0" w:color="auto"/>
                    <w:right w:val="none" w:sz="0" w:space="0" w:color="auto"/>
                  </w:divBdr>
                  <w:divsChild>
                    <w:div w:id="1448087604">
                      <w:marLeft w:val="434"/>
                      <w:marRight w:val="0"/>
                      <w:marTop w:val="0"/>
                      <w:marBottom w:val="0"/>
                      <w:divBdr>
                        <w:top w:val="none" w:sz="0" w:space="0" w:color="auto"/>
                        <w:left w:val="none" w:sz="0" w:space="0" w:color="auto"/>
                        <w:bottom w:val="none" w:sz="0" w:space="0" w:color="auto"/>
                        <w:right w:val="none" w:sz="0" w:space="0" w:color="auto"/>
                      </w:divBdr>
                    </w:div>
                  </w:divsChild>
                </w:div>
              </w:divsChild>
            </w:div>
            <w:div w:id="1347757439">
              <w:marLeft w:val="240"/>
              <w:marRight w:val="0"/>
              <w:marTop w:val="60"/>
              <w:marBottom w:val="60"/>
              <w:divBdr>
                <w:top w:val="none" w:sz="0" w:space="0" w:color="auto"/>
                <w:left w:val="none" w:sz="0" w:space="0" w:color="auto"/>
                <w:bottom w:val="none" w:sz="0" w:space="0" w:color="auto"/>
                <w:right w:val="none" w:sz="0" w:space="0" w:color="auto"/>
              </w:divBdr>
              <w:divsChild>
                <w:div w:id="6507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28171">
      <w:bodyDiv w:val="1"/>
      <w:marLeft w:val="0"/>
      <w:marRight w:val="0"/>
      <w:marTop w:val="0"/>
      <w:marBottom w:val="0"/>
      <w:divBdr>
        <w:top w:val="none" w:sz="0" w:space="0" w:color="auto"/>
        <w:left w:val="none" w:sz="0" w:space="0" w:color="auto"/>
        <w:bottom w:val="none" w:sz="0" w:space="0" w:color="auto"/>
        <w:right w:val="none" w:sz="0" w:space="0" w:color="auto"/>
      </w:divBdr>
      <w:divsChild>
        <w:div w:id="1401750262">
          <w:marLeft w:val="240"/>
          <w:marRight w:val="0"/>
          <w:marTop w:val="60"/>
          <w:marBottom w:val="60"/>
          <w:divBdr>
            <w:top w:val="none" w:sz="0" w:space="0" w:color="auto"/>
            <w:left w:val="none" w:sz="0" w:space="0" w:color="auto"/>
            <w:bottom w:val="none" w:sz="0" w:space="0" w:color="auto"/>
            <w:right w:val="none" w:sz="0" w:space="0" w:color="auto"/>
          </w:divBdr>
          <w:divsChild>
            <w:div w:id="1072895326">
              <w:marLeft w:val="0"/>
              <w:marRight w:val="0"/>
              <w:marTop w:val="0"/>
              <w:marBottom w:val="0"/>
              <w:divBdr>
                <w:top w:val="none" w:sz="0" w:space="0" w:color="auto"/>
                <w:left w:val="none" w:sz="0" w:space="0" w:color="auto"/>
                <w:bottom w:val="none" w:sz="0" w:space="0" w:color="auto"/>
                <w:right w:val="none" w:sz="0" w:space="0" w:color="auto"/>
              </w:divBdr>
            </w:div>
          </w:divsChild>
        </w:div>
        <w:div w:id="59251956">
          <w:marLeft w:val="240"/>
          <w:marRight w:val="0"/>
          <w:marTop w:val="60"/>
          <w:marBottom w:val="60"/>
          <w:divBdr>
            <w:top w:val="none" w:sz="0" w:space="0" w:color="auto"/>
            <w:left w:val="none" w:sz="0" w:space="0" w:color="auto"/>
            <w:bottom w:val="none" w:sz="0" w:space="0" w:color="auto"/>
            <w:right w:val="none" w:sz="0" w:space="0" w:color="auto"/>
          </w:divBdr>
          <w:divsChild>
            <w:div w:id="599916861">
              <w:marLeft w:val="0"/>
              <w:marRight w:val="0"/>
              <w:marTop w:val="0"/>
              <w:marBottom w:val="0"/>
              <w:divBdr>
                <w:top w:val="none" w:sz="0" w:space="0" w:color="auto"/>
                <w:left w:val="none" w:sz="0" w:space="0" w:color="auto"/>
                <w:bottom w:val="none" w:sz="0" w:space="0" w:color="auto"/>
                <w:right w:val="none" w:sz="0" w:space="0" w:color="auto"/>
              </w:divBdr>
            </w:div>
          </w:divsChild>
        </w:div>
        <w:div w:id="1953779065">
          <w:marLeft w:val="240"/>
          <w:marRight w:val="0"/>
          <w:marTop w:val="60"/>
          <w:marBottom w:val="60"/>
          <w:divBdr>
            <w:top w:val="none" w:sz="0" w:space="0" w:color="auto"/>
            <w:left w:val="none" w:sz="0" w:space="0" w:color="auto"/>
            <w:bottom w:val="none" w:sz="0" w:space="0" w:color="auto"/>
            <w:right w:val="none" w:sz="0" w:space="0" w:color="auto"/>
          </w:divBdr>
          <w:divsChild>
            <w:div w:id="294338619">
              <w:marLeft w:val="240"/>
              <w:marRight w:val="0"/>
              <w:marTop w:val="60"/>
              <w:marBottom w:val="60"/>
              <w:divBdr>
                <w:top w:val="none" w:sz="0" w:space="0" w:color="auto"/>
                <w:left w:val="none" w:sz="0" w:space="0" w:color="auto"/>
                <w:bottom w:val="none" w:sz="0" w:space="0" w:color="auto"/>
                <w:right w:val="none" w:sz="0" w:space="0" w:color="auto"/>
              </w:divBdr>
              <w:divsChild>
                <w:div w:id="1325746301">
                  <w:marLeft w:val="0"/>
                  <w:marRight w:val="0"/>
                  <w:marTop w:val="0"/>
                  <w:marBottom w:val="0"/>
                  <w:divBdr>
                    <w:top w:val="none" w:sz="0" w:space="0" w:color="auto"/>
                    <w:left w:val="none" w:sz="0" w:space="0" w:color="auto"/>
                    <w:bottom w:val="none" w:sz="0" w:space="0" w:color="auto"/>
                    <w:right w:val="none" w:sz="0" w:space="0" w:color="auto"/>
                  </w:divBdr>
                </w:div>
              </w:divsChild>
            </w:div>
            <w:div w:id="676690536">
              <w:marLeft w:val="240"/>
              <w:marRight w:val="0"/>
              <w:marTop w:val="60"/>
              <w:marBottom w:val="60"/>
              <w:divBdr>
                <w:top w:val="none" w:sz="0" w:space="0" w:color="auto"/>
                <w:left w:val="none" w:sz="0" w:space="0" w:color="auto"/>
                <w:bottom w:val="none" w:sz="0" w:space="0" w:color="auto"/>
                <w:right w:val="none" w:sz="0" w:space="0" w:color="auto"/>
              </w:divBdr>
              <w:divsChild>
                <w:div w:id="860047516">
                  <w:marLeft w:val="0"/>
                  <w:marRight w:val="0"/>
                  <w:marTop w:val="0"/>
                  <w:marBottom w:val="0"/>
                  <w:divBdr>
                    <w:top w:val="none" w:sz="0" w:space="0" w:color="auto"/>
                    <w:left w:val="none" w:sz="0" w:space="0" w:color="auto"/>
                    <w:bottom w:val="none" w:sz="0" w:space="0" w:color="auto"/>
                    <w:right w:val="none" w:sz="0" w:space="0" w:color="auto"/>
                  </w:divBdr>
                </w:div>
              </w:divsChild>
            </w:div>
            <w:div w:id="295064130">
              <w:marLeft w:val="240"/>
              <w:marRight w:val="0"/>
              <w:marTop w:val="60"/>
              <w:marBottom w:val="60"/>
              <w:divBdr>
                <w:top w:val="none" w:sz="0" w:space="0" w:color="auto"/>
                <w:left w:val="none" w:sz="0" w:space="0" w:color="auto"/>
                <w:bottom w:val="none" w:sz="0" w:space="0" w:color="auto"/>
                <w:right w:val="none" w:sz="0" w:space="0" w:color="auto"/>
              </w:divBdr>
              <w:divsChild>
                <w:div w:id="528303529">
                  <w:marLeft w:val="0"/>
                  <w:marRight w:val="0"/>
                  <w:marTop w:val="0"/>
                  <w:marBottom w:val="0"/>
                  <w:divBdr>
                    <w:top w:val="none" w:sz="0" w:space="0" w:color="auto"/>
                    <w:left w:val="none" w:sz="0" w:space="0" w:color="auto"/>
                    <w:bottom w:val="none" w:sz="0" w:space="0" w:color="auto"/>
                    <w:right w:val="none" w:sz="0" w:space="0" w:color="auto"/>
                  </w:divBdr>
                </w:div>
              </w:divsChild>
            </w:div>
            <w:div w:id="124666627">
              <w:marLeft w:val="240"/>
              <w:marRight w:val="0"/>
              <w:marTop w:val="60"/>
              <w:marBottom w:val="60"/>
              <w:divBdr>
                <w:top w:val="none" w:sz="0" w:space="0" w:color="auto"/>
                <w:left w:val="none" w:sz="0" w:space="0" w:color="auto"/>
                <w:bottom w:val="none" w:sz="0" w:space="0" w:color="auto"/>
                <w:right w:val="none" w:sz="0" w:space="0" w:color="auto"/>
              </w:divBdr>
              <w:divsChild>
                <w:div w:id="1391541162">
                  <w:marLeft w:val="0"/>
                  <w:marRight w:val="0"/>
                  <w:marTop w:val="0"/>
                  <w:marBottom w:val="0"/>
                  <w:divBdr>
                    <w:top w:val="none" w:sz="0" w:space="0" w:color="auto"/>
                    <w:left w:val="none" w:sz="0" w:space="0" w:color="auto"/>
                    <w:bottom w:val="none" w:sz="0" w:space="0" w:color="auto"/>
                    <w:right w:val="none" w:sz="0" w:space="0" w:color="auto"/>
                  </w:divBdr>
                </w:div>
              </w:divsChild>
            </w:div>
            <w:div w:id="367723673">
              <w:marLeft w:val="240"/>
              <w:marRight w:val="0"/>
              <w:marTop w:val="60"/>
              <w:marBottom w:val="60"/>
              <w:divBdr>
                <w:top w:val="none" w:sz="0" w:space="0" w:color="auto"/>
                <w:left w:val="none" w:sz="0" w:space="0" w:color="auto"/>
                <w:bottom w:val="none" w:sz="0" w:space="0" w:color="auto"/>
                <w:right w:val="none" w:sz="0" w:space="0" w:color="auto"/>
              </w:divBdr>
              <w:divsChild>
                <w:div w:id="2022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058">
          <w:marLeft w:val="450"/>
          <w:marRight w:val="0"/>
          <w:marTop w:val="0"/>
          <w:marBottom w:val="0"/>
          <w:divBdr>
            <w:top w:val="none" w:sz="0" w:space="0" w:color="auto"/>
            <w:left w:val="none" w:sz="0" w:space="0" w:color="auto"/>
            <w:bottom w:val="none" w:sz="0" w:space="0" w:color="auto"/>
            <w:right w:val="none" w:sz="0" w:space="0" w:color="auto"/>
          </w:divBdr>
        </w:div>
      </w:divsChild>
    </w:div>
    <w:div w:id="952439128">
      <w:bodyDiv w:val="1"/>
      <w:marLeft w:val="0"/>
      <w:marRight w:val="0"/>
      <w:marTop w:val="0"/>
      <w:marBottom w:val="0"/>
      <w:divBdr>
        <w:top w:val="none" w:sz="0" w:space="0" w:color="auto"/>
        <w:left w:val="none" w:sz="0" w:space="0" w:color="auto"/>
        <w:bottom w:val="none" w:sz="0" w:space="0" w:color="auto"/>
        <w:right w:val="none" w:sz="0" w:space="0" w:color="auto"/>
      </w:divBdr>
    </w:div>
    <w:div w:id="955213286">
      <w:bodyDiv w:val="1"/>
      <w:marLeft w:val="0"/>
      <w:marRight w:val="0"/>
      <w:marTop w:val="0"/>
      <w:marBottom w:val="0"/>
      <w:divBdr>
        <w:top w:val="none" w:sz="0" w:space="0" w:color="auto"/>
        <w:left w:val="none" w:sz="0" w:space="0" w:color="auto"/>
        <w:bottom w:val="none" w:sz="0" w:space="0" w:color="auto"/>
        <w:right w:val="none" w:sz="0" w:space="0" w:color="auto"/>
      </w:divBdr>
    </w:div>
    <w:div w:id="961959951">
      <w:bodyDiv w:val="1"/>
      <w:marLeft w:val="0"/>
      <w:marRight w:val="0"/>
      <w:marTop w:val="0"/>
      <w:marBottom w:val="0"/>
      <w:divBdr>
        <w:top w:val="none" w:sz="0" w:space="0" w:color="auto"/>
        <w:left w:val="none" w:sz="0" w:space="0" w:color="auto"/>
        <w:bottom w:val="none" w:sz="0" w:space="0" w:color="auto"/>
        <w:right w:val="none" w:sz="0" w:space="0" w:color="auto"/>
      </w:divBdr>
      <w:divsChild>
        <w:div w:id="197476648">
          <w:marLeft w:val="360"/>
          <w:marRight w:val="0"/>
          <w:marTop w:val="200"/>
          <w:marBottom w:val="0"/>
          <w:divBdr>
            <w:top w:val="none" w:sz="0" w:space="0" w:color="auto"/>
            <w:left w:val="none" w:sz="0" w:space="0" w:color="auto"/>
            <w:bottom w:val="none" w:sz="0" w:space="0" w:color="auto"/>
            <w:right w:val="none" w:sz="0" w:space="0" w:color="auto"/>
          </w:divBdr>
        </w:div>
        <w:div w:id="679628834">
          <w:marLeft w:val="360"/>
          <w:marRight w:val="0"/>
          <w:marTop w:val="200"/>
          <w:marBottom w:val="0"/>
          <w:divBdr>
            <w:top w:val="none" w:sz="0" w:space="0" w:color="auto"/>
            <w:left w:val="none" w:sz="0" w:space="0" w:color="auto"/>
            <w:bottom w:val="none" w:sz="0" w:space="0" w:color="auto"/>
            <w:right w:val="none" w:sz="0" w:space="0" w:color="auto"/>
          </w:divBdr>
        </w:div>
        <w:div w:id="1789007952">
          <w:marLeft w:val="1080"/>
          <w:marRight w:val="0"/>
          <w:marTop w:val="100"/>
          <w:marBottom w:val="0"/>
          <w:divBdr>
            <w:top w:val="none" w:sz="0" w:space="0" w:color="auto"/>
            <w:left w:val="none" w:sz="0" w:space="0" w:color="auto"/>
            <w:bottom w:val="none" w:sz="0" w:space="0" w:color="auto"/>
            <w:right w:val="none" w:sz="0" w:space="0" w:color="auto"/>
          </w:divBdr>
        </w:div>
      </w:divsChild>
    </w:div>
    <w:div w:id="962152064">
      <w:bodyDiv w:val="1"/>
      <w:marLeft w:val="0"/>
      <w:marRight w:val="0"/>
      <w:marTop w:val="0"/>
      <w:marBottom w:val="0"/>
      <w:divBdr>
        <w:top w:val="none" w:sz="0" w:space="0" w:color="auto"/>
        <w:left w:val="none" w:sz="0" w:space="0" w:color="auto"/>
        <w:bottom w:val="none" w:sz="0" w:space="0" w:color="auto"/>
        <w:right w:val="none" w:sz="0" w:space="0" w:color="auto"/>
      </w:divBdr>
      <w:divsChild>
        <w:div w:id="967584916">
          <w:marLeft w:val="547"/>
          <w:marRight w:val="0"/>
          <w:marTop w:val="0"/>
          <w:marBottom w:val="0"/>
          <w:divBdr>
            <w:top w:val="none" w:sz="0" w:space="0" w:color="auto"/>
            <w:left w:val="none" w:sz="0" w:space="0" w:color="auto"/>
            <w:bottom w:val="none" w:sz="0" w:space="0" w:color="auto"/>
            <w:right w:val="none" w:sz="0" w:space="0" w:color="auto"/>
          </w:divBdr>
        </w:div>
      </w:divsChild>
    </w:div>
    <w:div w:id="964387490">
      <w:bodyDiv w:val="1"/>
      <w:marLeft w:val="0"/>
      <w:marRight w:val="0"/>
      <w:marTop w:val="0"/>
      <w:marBottom w:val="0"/>
      <w:divBdr>
        <w:top w:val="none" w:sz="0" w:space="0" w:color="auto"/>
        <w:left w:val="none" w:sz="0" w:space="0" w:color="auto"/>
        <w:bottom w:val="none" w:sz="0" w:space="0" w:color="auto"/>
        <w:right w:val="none" w:sz="0" w:space="0" w:color="auto"/>
      </w:divBdr>
    </w:div>
    <w:div w:id="965353356">
      <w:bodyDiv w:val="1"/>
      <w:marLeft w:val="0"/>
      <w:marRight w:val="0"/>
      <w:marTop w:val="0"/>
      <w:marBottom w:val="0"/>
      <w:divBdr>
        <w:top w:val="none" w:sz="0" w:space="0" w:color="auto"/>
        <w:left w:val="none" w:sz="0" w:space="0" w:color="auto"/>
        <w:bottom w:val="none" w:sz="0" w:space="0" w:color="auto"/>
        <w:right w:val="none" w:sz="0" w:space="0" w:color="auto"/>
      </w:divBdr>
    </w:div>
    <w:div w:id="967583719">
      <w:bodyDiv w:val="1"/>
      <w:marLeft w:val="0"/>
      <w:marRight w:val="0"/>
      <w:marTop w:val="0"/>
      <w:marBottom w:val="0"/>
      <w:divBdr>
        <w:top w:val="none" w:sz="0" w:space="0" w:color="auto"/>
        <w:left w:val="none" w:sz="0" w:space="0" w:color="auto"/>
        <w:bottom w:val="none" w:sz="0" w:space="0" w:color="auto"/>
        <w:right w:val="none" w:sz="0" w:space="0" w:color="auto"/>
      </w:divBdr>
      <w:divsChild>
        <w:div w:id="1379165503">
          <w:marLeft w:val="0"/>
          <w:marRight w:val="0"/>
          <w:marTop w:val="0"/>
          <w:marBottom w:val="0"/>
          <w:divBdr>
            <w:top w:val="none" w:sz="0" w:space="0" w:color="auto"/>
            <w:left w:val="none" w:sz="0" w:space="0" w:color="auto"/>
            <w:bottom w:val="none" w:sz="0" w:space="0" w:color="auto"/>
            <w:right w:val="none" w:sz="0" w:space="0" w:color="auto"/>
          </w:divBdr>
          <w:divsChild>
            <w:div w:id="2088843997">
              <w:marLeft w:val="0"/>
              <w:marRight w:val="0"/>
              <w:marTop w:val="0"/>
              <w:marBottom w:val="0"/>
              <w:divBdr>
                <w:top w:val="none" w:sz="0" w:space="0" w:color="auto"/>
                <w:left w:val="none" w:sz="0" w:space="0" w:color="auto"/>
                <w:bottom w:val="none" w:sz="0" w:space="0" w:color="auto"/>
                <w:right w:val="none" w:sz="0" w:space="0" w:color="auto"/>
              </w:divBdr>
              <w:divsChild>
                <w:div w:id="17618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5385">
      <w:bodyDiv w:val="1"/>
      <w:marLeft w:val="0"/>
      <w:marRight w:val="0"/>
      <w:marTop w:val="0"/>
      <w:marBottom w:val="0"/>
      <w:divBdr>
        <w:top w:val="none" w:sz="0" w:space="0" w:color="auto"/>
        <w:left w:val="none" w:sz="0" w:space="0" w:color="auto"/>
        <w:bottom w:val="none" w:sz="0" w:space="0" w:color="auto"/>
        <w:right w:val="none" w:sz="0" w:space="0" w:color="auto"/>
      </w:divBdr>
    </w:div>
    <w:div w:id="974800783">
      <w:bodyDiv w:val="1"/>
      <w:marLeft w:val="0"/>
      <w:marRight w:val="0"/>
      <w:marTop w:val="0"/>
      <w:marBottom w:val="0"/>
      <w:divBdr>
        <w:top w:val="none" w:sz="0" w:space="0" w:color="auto"/>
        <w:left w:val="none" w:sz="0" w:space="0" w:color="auto"/>
        <w:bottom w:val="none" w:sz="0" w:space="0" w:color="auto"/>
        <w:right w:val="none" w:sz="0" w:space="0" w:color="auto"/>
      </w:divBdr>
      <w:divsChild>
        <w:div w:id="1565871961">
          <w:marLeft w:val="0"/>
          <w:marRight w:val="0"/>
          <w:marTop w:val="0"/>
          <w:marBottom w:val="0"/>
          <w:divBdr>
            <w:top w:val="none" w:sz="0" w:space="0" w:color="auto"/>
            <w:left w:val="none" w:sz="0" w:space="0" w:color="auto"/>
            <w:bottom w:val="none" w:sz="0" w:space="0" w:color="auto"/>
            <w:right w:val="none" w:sz="0" w:space="0" w:color="auto"/>
          </w:divBdr>
          <w:divsChild>
            <w:div w:id="1650943963">
              <w:marLeft w:val="0"/>
              <w:marRight w:val="0"/>
              <w:marTop w:val="0"/>
              <w:marBottom w:val="0"/>
              <w:divBdr>
                <w:top w:val="none" w:sz="0" w:space="0" w:color="auto"/>
                <w:left w:val="none" w:sz="0" w:space="0" w:color="auto"/>
                <w:bottom w:val="none" w:sz="0" w:space="0" w:color="auto"/>
                <w:right w:val="none" w:sz="0" w:space="0" w:color="auto"/>
              </w:divBdr>
              <w:divsChild>
                <w:div w:id="6734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9379">
      <w:bodyDiv w:val="1"/>
      <w:marLeft w:val="0"/>
      <w:marRight w:val="0"/>
      <w:marTop w:val="0"/>
      <w:marBottom w:val="0"/>
      <w:divBdr>
        <w:top w:val="none" w:sz="0" w:space="0" w:color="auto"/>
        <w:left w:val="none" w:sz="0" w:space="0" w:color="auto"/>
        <w:bottom w:val="none" w:sz="0" w:space="0" w:color="auto"/>
        <w:right w:val="none" w:sz="0" w:space="0" w:color="auto"/>
      </w:divBdr>
    </w:div>
    <w:div w:id="980767941">
      <w:bodyDiv w:val="1"/>
      <w:marLeft w:val="0"/>
      <w:marRight w:val="0"/>
      <w:marTop w:val="0"/>
      <w:marBottom w:val="0"/>
      <w:divBdr>
        <w:top w:val="none" w:sz="0" w:space="0" w:color="auto"/>
        <w:left w:val="none" w:sz="0" w:space="0" w:color="auto"/>
        <w:bottom w:val="none" w:sz="0" w:space="0" w:color="auto"/>
        <w:right w:val="none" w:sz="0" w:space="0" w:color="auto"/>
      </w:divBdr>
    </w:div>
    <w:div w:id="986280912">
      <w:bodyDiv w:val="1"/>
      <w:marLeft w:val="0"/>
      <w:marRight w:val="0"/>
      <w:marTop w:val="0"/>
      <w:marBottom w:val="0"/>
      <w:divBdr>
        <w:top w:val="none" w:sz="0" w:space="0" w:color="auto"/>
        <w:left w:val="none" w:sz="0" w:space="0" w:color="auto"/>
        <w:bottom w:val="none" w:sz="0" w:space="0" w:color="auto"/>
        <w:right w:val="none" w:sz="0" w:space="0" w:color="auto"/>
      </w:divBdr>
    </w:div>
    <w:div w:id="987631713">
      <w:bodyDiv w:val="1"/>
      <w:marLeft w:val="0"/>
      <w:marRight w:val="0"/>
      <w:marTop w:val="0"/>
      <w:marBottom w:val="0"/>
      <w:divBdr>
        <w:top w:val="none" w:sz="0" w:space="0" w:color="auto"/>
        <w:left w:val="none" w:sz="0" w:space="0" w:color="auto"/>
        <w:bottom w:val="none" w:sz="0" w:space="0" w:color="auto"/>
        <w:right w:val="none" w:sz="0" w:space="0" w:color="auto"/>
      </w:divBdr>
      <w:divsChild>
        <w:div w:id="829758971">
          <w:marLeft w:val="547"/>
          <w:marRight w:val="0"/>
          <w:marTop w:val="0"/>
          <w:marBottom w:val="0"/>
          <w:divBdr>
            <w:top w:val="none" w:sz="0" w:space="0" w:color="auto"/>
            <w:left w:val="none" w:sz="0" w:space="0" w:color="auto"/>
            <w:bottom w:val="none" w:sz="0" w:space="0" w:color="auto"/>
            <w:right w:val="none" w:sz="0" w:space="0" w:color="auto"/>
          </w:divBdr>
        </w:div>
      </w:divsChild>
    </w:div>
    <w:div w:id="988745721">
      <w:bodyDiv w:val="1"/>
      <w:marLeft w:val="0"/>
      <w:marRight w:val="0"/>
      <w:marTop w:val="0"/>
      <w:marBottom w:val="0"/>
      <w:divBdr>
        <w:top w:val="none" w:sz="0" w:space="0" w:color="auto"/>
        <w:left w:val="none" w:sz="0" w:space="0" w:color="auto"/>
        <w:bottom w:val="none" w:sz="0" w:space="0" w:color="auto"/>
        <w:right w:val="none" w:sz="0" w:space="0" w:color="auto"/>
      </w:divBdr>
      <w:divsChild>
        <w:div w:id="73480835">
          <w:marLeft w:val="547"/>
          <w:marRight w:val="0"/>
          <w:marTop w:val="0"/>
          <w:marBottom w:val="0"/>
          <w:divBdr>
            <w:top w:val="none" w:sz="0" w:space="0" w:color="auto"/>
            <w:left w:val="none" w:sz="0" w:space="0" w:color="auto"/>
            <w:bottom w:val="none" w:sz="0" w:space="0" w:color="auto"/>
            <w:right w:val="none" w:sz="0" w:space="0" w:color="auto"/>
          </w:divBdr>
        </w:div>
        <w:div w:id="710806360">
          <w:marLeft w:val="547"/>
          <w:marRight w:val="0"/>
          <w:marTop w:val="0"/>
          <w:marBottom w:val="0"/>
          <w:divBdr>
            <w:top w:val="none" w:sz="0" w:space="0" w:color="auto"/>
            <w:left w:val="none" w:sz="0" w:space="0" w:color="auto"/>
            <w:bottom w:val="none" w:sz="0" w:space="0" w:color="auto"/>
            <w:right w:val="none" w:sz="0" w:space="0" w:color="auto"/>
          </w:divBdr>
        </w:div>
        <w:div w:id="960456488">
          <w:marLeft w:val="547"/>
          <w:marRight w:val="0"/>
          <w:marTop w:val="0"/>
          <w:marBottom w:val="0"/>
          <w:divBdr>
            <w:top w:val="none" w:sz="0" w:space="0" w:color="auto"/>
            <w:left w:val="none" w:sz="0" w:space="0" w:color="auto"/>
            <w:bottom w:val="none" w:sz="0" w:space="0" w:color="auto"/>
            <w:right w:val="none" w:sz="0" w:space="0" w:color="auto"/>
          </w:divBdr>
        </w:div>
        <w:div w:id="997197185">
          <w:marLeft w:val="547"/>
          <w:marRight w:val="0"/>
          <w:marTop w:val="0"/>
          <w:marBottom w:val="0"/>
          <w:divBdr>
            <w:top w:val="none" w:sz="0" w:space="0" w:color="auto"/>
            <w:left w:val="none" w:sz="0" w:space="0" w:color="auto"/>
            <w:bottom w:val="none" w:sz="0" w:space="0" w:color="auto"/>
            <w:right w:val="none" w:sz="0" w:space="0" w:color="auto"/>
          </w:divBdr>
        </w:div>
        <w:div w:id="1662081461">
          <w:marLeft w:val="547"/>
          <w:marRight w:val="0"/>
          <w:marTop w:val="0"/>
          <w:marBottom w:val="0"/>
          <w:divBdr>
            <w:top w:val="none" w:sz="0" w:space="0" w:color="auto"/>
            <w:left w:val="none" w:sz="0" w:space="0" w:color="auto"/>
            <w:bottom w:val="none" w:sz="0" w:space="0" w:color="auto"/>
            <w:right w:val="none" w:sz="0" w:space="0" w:color="auto"/>
          </w:divBdr>
        </w:div>
        <w:div w:id="1698851083">
          <w:marLeft w:val="547"/>
          <w:marRight w:val="0"/>
          <w:marTop w:val="0"/>
          <w:marBottom w:val="0"/>
          <w:divBdr>
            <w:top w:val="none" w:sz="0" w:space="0" w:color="auto"/>
            <w:left w:val="none" w:sz="0" w:space="0" w:color="auto"/>
            <w:bottom w:val="none" w:sz="0" w:space="0" w:color="auto"/>
            <w:right w:val="none" w:sz="0" w:space="0" w:color="auto"/>
          </w:divBdr>
        </w:div>
      </w:divsChild>
    </w:div>
    <w:div w:id="992106427">
      <w:bodyDiv w:val="1"/>
      <w:marLeft w:val="0"/>
      <w:marRight w:val="0"/>
      <w:marTop w:val="0"/>
      <w:marBottom w:val="0"/>
      <w:divBdr>
        <w:top w:val="none" w:sz="0" w:space="0" w:color="auto"/>
        <w:left w:val="none" w:sz="0" w:space="0" w:color="auto"/>
        <w:bottom w:val="none" w:sz="0" w:space="0" w:color="auto"/>
        <w:right w:val="none" w:sz="0" w:space="0" w:color="auto"/>
      </w:divBdr>
    </w:div>
    <w:div w:id="994576477">
      <w:bodyDiv w:val="1"/>
      <w:marLeft w:val="0"/>
      <w:marRight w:val="0"/>
      <w:marTop w:val="0"/>
      <w:marBottom w:val="0"/>
      <w:divBdr>
        <w:top w:val="none" w:sz="0" w:space="0" w:color="auto"/>
        <w:left w:val="none" w:sz="0" w:space="0" w:color="auto"/>
        <w:bottom w:val="none" w:sz="0" w:space="0" w:color="auto"/>
        <w:right w:val="none" w:sz="0" w:space="0" w:color="auto"/>
      </w:divBdr>
      <w:divsChild>
        <w:div w:id="517545507">
          <w:marLeft w:val="547"/>
          <w:marRight w:val="0"/>
          <w:marTop w:val="0"/>
          <w:marBottom w:val="0"/>
          <w:divBdr>
            <w:top w:val="none" w:sz="0" w:space="0" w:color="auto"/>
            <w:left w:val="none" w:sz="0" w:space="0" w:color="auto"/>
            <w:bottom w:val="none" w:sz="0" w:space="0" w:color="auto"/>
            <w:right w:val="none" w:sz="0" w:space="0" w:color="auto"/>
          </w:divBdr>
        </w:div>
      </w:divsChild>
    </w:div>
    <w:div w:id="995299665">
      <w:bodyDiv w:val="1"/>
      <w:marLeft w:val="0"/>
      <w:marRight w:val="0"/>
      <w:marTop w:val="0"/>
      <w:marBottom w:val="0"/>
      <w:divBdr>
        <w:top w:val="none" w:sz="0" w:space="0" w:color="auto"/>
        <w:left w:val="none" w:sz="0" w:space="0" w:color="auto"/>
        <w:bottom w:val="none" w:sz="0" w:space="0" w:color="auto"/>
        <w:right w:val="none" w:sz="0" w:space="0" w:color="auto"/>
      </w:divBdr>
    </w:div>
    <w:div w:id="996497593">
      <w:bodyDiv w:val="1"/>
      <w:marLeft w:val="0"/>
      <w:marRight w:val="0"/>
      <w:marTop w:val="0"/>
      <w:marBottom w:val="0"/>
      <w:divBdr>
        <w:top w:val="none" w:sz="0" w:space="0" w:color="auto"/>
        <w:left w:val="none" w:sz="0" w:space="0" w:color="auto"/>
        <w:bottom w:val="none" w:sz="0" w:space="0" w:color="auto"/>
        <w:right w:val="none" w:sz="0" w:space="0" w:color="auto"/>
      </w:divBdr>
    </w:div>
    <w:div w:id="1001734736">
      <w:bodyDiv w:val="1"/>
      <w:marLeft w:val="0"/>
      <w:marRight w:val="0"/>
      <w:marTop w:val="0"/>
      <w:marBottom w:val="0"/>
      <w:divBdr>
        <w:top w:val="none" w:sz="0" w:space="0" w:color="auto"/>
        <w:left w:val="none" w:sz="0" w:space="0" w:color="auto"/>
        <w:bottom w:val="none" w:sz="0" w:space="0" w:color="auto"/>
        <w:right w:val="none" w:sz="0" w:space="0" w:color="auto"/>
      </w:divBdr>
    </w:div>
    <w:div w:id="1004284457">
      <w:bodyDiv w:val="1"/>
      <w:marLeft w:val="0"/>
      <w:marRight w:val="0"/>
      <w:marTop w:val="0"/>
      <w:marBottom w:val="0"/>
      <w:divBdr>
        <w:top w:val="none" w:sz="0" w:space="0" w:color="auto"/>
        <w:left w:val="none" w:sz="0" w:space="0" w:color="auto"/>
        <w:bottom w:val="none" w:sz="0" w:space="0" w:color="auto"/>
        <w:right w:val="none" w:sz="0" w:space="0" w:color="auto"/>
      </w:divBdr>
    </w:div>
    <w:div w:id="1006519643">
      <w:bodyDiv w:val="1"/>
      <w:marLeft w:val="0"/>
      <w:marRight w:val="0"/>
      <w:marTop w:val="0"/>
      <w:marBottom w:val="0"/>
      <w:divBdr>
        <w:top w:val="none" w:sz="0" w:space="0" w:color="auto"/>
        <w:left w:val="none" w:sz="0" w:space="0" w:color="auto"/>
        <w:bottom w:val="none" w:sz="0" w:space="0" w:color="auto"/>
        <w:right w:val="none" w:sz="0" w:space="0" w:color="auto"/>
      </w:divBdr>
    </w:div>
    <w:div w:id="1007364522">
      <w:bodyDiv w:val="1"/>
      <w:marLeft w:val="0"/>
      <w:marRight w:val="0"/>
      <w:marTop w:val="0"/>
      <w:marBottom w:val="0"/>
      <w:divBdr>
        <w:top w:val="none" w:sz="0" w:space="0" w:color="auto"/>
        <w:left w:val="none" w:sz="0" w:space="0" w:color="auto"/>
        <w:bottom w:val="none" w:sz="0" w:space="0" w:color="auto"/>
        <w:right w:val="none" w:sz="0" w:space="0" w:color="auto"/>
      </w:divBdr>
    </w:div>
    <w:div w:id="1007638175">
      <w:bodyDiv w:val="1"/>
      <w:marLeft w:val="0"/>
      <w:marRight w:val="0"/>
      <w:marTop w:val="0"/>
      <w:marBottom w:val="0"/>
      <w:divBdr>
        <w:top w:val="none" w:sz="0" w:space="0" w:color="auto"/>
        <w:left w:val="none" w:sz="0" w:space="0" w:color="auto"/>
        <w:bottom w:val="none" w:sz="0" w:space="0" w:color="auto"/>
        <w:right w:val="none" w:sz="0" w:space="0" w:color="auto"/>
      </w:divBdr>
    </w:div>
    <w:div w:id="1007906657">
      <w:bodyDiv w:val="1"/>
      <w:marLeft w:val="0"/>
      <w:marRight w:val="0"/>
      <w:marTop w:val="0"/>
      <w:marBottom w:val="0"/>
      <w:divBdr>
        <w:top w:val="none" w:sz="0" w:space="0" w:color="auto"/>
        <w:left w:val="none" w:sz="0" w:space="0" w:color="auto"/>
        <w:bottom w:val="none" w:sz="0" w:space="0" w:color="auto"/>
        <w:right w:val="none" w:sz="0" w:space="0" w:color="auto"/>
      </w:divBdr>
    </w:div>
    <w:div w:id="1016880396">
      <w:bodyDiv w:val="1"/>
      <w:marLeft w:val="0"/>
      <w:marRight w:val="0"/>
      <w:marTop w:val="0"/>
      <w:marBottom w:val="0"/>
      <w:divBdr>
        <w:top w:val="none" w:sz="0" w:space="0" w:color="auto"/>
        <w:left w:val="none" w:sz="0" w:space="0" w:color="auto"/>
        <w:bottom w:val="none" w:sz="0" w:space="0" w:color="auto"/>
        <w:right w:val="none" w:sz="0" w:space="0" w:color="auto"/>
      </w:divBdr>
      <w:divsChild>
        <w:div w:id="54814701">
          <w:marLeft w:val="547"/>
          <w:marRight w:val="0"/>
          <w:marTop w:val="0"/>
          <w:marBottom w:val="0"/>
          <w:divBdr>
            <w:top w:val="none" w:sz="0" w:space="0" w:color="auto"/>
            <w:left w:val="none" w:sz="0" w:space="0" w:color="auto"/>
            <w:bottom w:val="none" w:sz="0" w:space="0" w:color="auto"/>
            <w:right w:val="none" w:sz="0" w:space="0" w:color="auto"/>
          </w:divBdr>
        </w:div>
        <w:div w:id="241838184">
          <w:marLeft w:val="547"/>
          <w:marRight w:val="0"/>
          <w:marTop w:val="0"/>
          <w:marBottom w:val="0"/>
          <w:divBdr>
            <w:top w:val="none" w:sz="0" w:space="0" w:color="auto"/>
            <w:left w:val="none" w:sz="0" w:space="0" w:color="auto"/>
            <w:bottom w:val="none" w:sz="0" w:space="0" w:color="auto"/>
            <w:right w:val="none" w:sz="0" w:space="0" w:color="auto"/>
          </w:divBdr>
        </w:div>
        <w:div w:id="1590197189">
          <w:marLeft w:val="547"/>
          <w:marRight w:val="0"/>
          <w:marTop w:val="0"/>
          <w:marBottom w:val="0"/>
          <w:divBdr>
            <w:top w:val="none" w:sz="0" w:space="0" w:color="auto"/>
            <w:left w:val="none" w:sz="0" w:space="0" w:color="auto"/>
            <w:bottom w:val="none" w:sz="0" w:space="0" w:color="auto"/>
            <w:right w:val="none" w:sz="0" w:space="0" w:color="auto"/>
          </w:divBdr>
        </w:div>
      </w:divsChild>
    </w:div>
    <w:div w:id="1019164171">
      <w:bodyDiv w:val="1"/>
      <w:marLeft w:val="0"/>
      <w:marRight w:val="0"/>
      <w:marTop w:val="0"/>
      <w:marBottom w:val="0"/>
      <w:divBdr>
        <w:top w:val="none" w:sz="0" w:space="0" w:color="auto"/>
        <w:left w:val="none" w:sz="0" w:space="0" w:color="auto"/>
        <w:bottom w:val="none" w:sz="0" w:space="0" w:color="auto"/>
        <w:right w:val="none" w:sz="0" w:space="0" w:color="auto"/>
      </w:divBdr>
      <w:divsChild>
        <w:div w:id="1135754045">
          <w:marLeft w:val="0"/>
          <w:marRight w:val="0"/>
          <w:marTop w:val="0"/>
          <w:marBottom w:val="0"/>
          <w:divBdr>
            <w:top w:val="none" w:sz="0" w:space="0" w:color="auto"/>
            <w:left w:val="none" w:sz="0" w:space="0" w:color="auto"/>
            <w:bottom w:val="none" w:sz="0" w:space="0" w:color="auto"/>
            <w:right w:val="none" w:sz="0" w:space="0" w:color="auto"/>
          </w:divBdr>
          <w:divsChild>
            <w:div w:id="463545308">
              <w:marLeft w:val="0"/>
              <w:marRight w:val="0"/>
              <w:marTop w:val="0"/>
              <w:marBottom w:val="0"/>
              <w:divBdr>
                <w:top w:val="none" w:sz="0" w:space="0" w:color="auto"/>
                <w:left w:val="none" w:sz="0" w:space="0" w:color="auto"/>
                <w:bottom w:val="none" w:sz="0" w:space="0" w:color="auto"/>
                <w:right w:val="none" w:sz="0" w:space="0" w:color="auto"/>
              </w:divBdr>
              <w:divsChild>
                <w:div w:id="15259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7665">
      <w:bodyDiv w:val="1"/>
      <w:marLeft w:val="0"/>
      <w:marRight w:val="0"/>
      <w:marTop w:val="0"/>
      <w:marBottom w:val="0"/>
      <w:divBdr>
        <w:top w:val="none" w:sz="0" w:space="0" w:color="auto"/>
        <w:left w:val="none" w:sz="0" w:space="0" w:color="auto"/>
        <w:bottom w:val="none" w:sz="0" w:space="0" w:color="auto"/>
        <w:right w:val="none" w:sz="0" w:space="0" w:color="auto"/>
      </w:divBdr>
    </w:div>
    <w:div w:id="1021005504">
      <w:bodyDiv w:val="1"/>
      <w:marLeft w:val="0"/>
      <w:marRight w:val="0"/>
      <w:marTop w:val="0"/>
      <w:marBottom w:val="0"/>
      <w:divBdr>
        <w:top w:val="none" w:sz="0" w:space="0" w:color="auto"/>
        <w:left w:val="none" w:sz="0" w:space="0" w:color="auto"/>
        <w:bottom w:val="none" w:sz="0" w:space="0" w:color="auto"/>
        <w:right w:val="none" w:sz="0" w:space="0" w:color="auto"/>
      </w:divBdr>
    </w:div>
    <w:div w:id="1021278984">
      <w:bodyDiv w:val="1"/>
      <w:marLeft w:val="0"/>
      <w:marRight w:val="0"/>
      <w:marTop w:val="0"/>
      <w:marBottom w:val="0"/>
      <w:divBdr>
        <w:top w:val="none" w:sz="0" w:space="0" w:color="auto"/>
        <w:left w:val="none" w:sz="0" w:space="0" w:color="auto"/>
        <w:bottom w:val="none" w:sz="0" w:space="0" w:color="auto"/>
        <w:right w:val="none" w:sz="0" w:space="0" w:color="auto"/>
      </w:divBdr>
    </w:div>
    <w:div w:id="1028683745">
      <w:bodyDiv w:val="1"/>
      <w:marLeft w:val="0"/>
      <w:marRight w:val="0"/>
      <w:marTop w:val="0"/>
      <w:marBottom w:val="0"/>
      <w:divBdr>
        <w:top w:val="none" w:sz="0" w:space="0" w:color="auto"/>
        <w:left w:val="none" w:sz="0" w:space="0" w:color="auto"/>
        <w:bottom w:val="none" w:sz="0" w:space="0" w:color="auto"/>
        <w:right w:val="none" w:sz="0" w:space="0" w:color="auto"/>
      </w:divBdr>
      <w:divsChild>
        <w:div w:id="1258562848">
          <w:marLeft w:val="806"/>
          <w:marRight w:val="0"/>
          <w:marTop w:val="0"/>
          <w:marBottom w:val="0"/>
          <w:divBdr>
            <w:top w:val="none" w:sz="0" w:space="0" w:color="auto"/>
            <w:left w:val="none" w:sz="0" w:space="0" w:color="auto"/>
            <w:bottom w:val="none" w:sz="0" w:space="0" w:color="auto"/>
            <w:right w:val="none" w:sz="0" w:space="0" w:color="auto"/>
          </w:divBdr>
        </w:div>
        <w:div w:id="1494949270">
          <w:marLeft w:val="806"/>
          <w:marRight w:val="0"/>
          <w:marTop w:val="0"/>
          <w:marBottom w:val="0"/>
          <w:divBdr>
            <w:top w:val="none" w:sz="0" w:space="0" w:color="auto"/>
            <w:left w:val="none" w:sz="0" w:space="0" w:color="auto"/>
            <w:bottom w:val="none" w:sz="0" w:space="0" w:color="auto"/>
            <w:right w:val="none" w:sz="0" w:space="0" w:color="auto"/>
          </w:divBdr>
        </w:div>
        <w:div w:id="1745032131">
          <w:marLeft w:val="806"/>
          <w:marRight w:val="0"/>
          <w:marTop w:val="0"/>
          <w:marBottom w:val="0"/>
          <w:divBdr>
            <w:top w:val="none" w:sz="0" w:space="0" w:color="auto"/>
            <w:left w:val="none" w:sz="0" w:space="0" w:color="auto"/>
            <w:bottom w:val="none" w:sz="0" w:space="0" w:color="auto"/>
            <w:right w:val="none" w:sz="0" w:space="0" w:color="auto"/>
          </w:divBdr>
        </w:div>
        <w:div w:id="1993635186">
          <w:marLeft w:val="806"/>
          <w:marRight w:val="0"/>
          <w:marTop w:val="0"/>
          <w:marBottom w:val="0"/>
          <w:divBdr>
            <w:top w:val="none" w:sz="0" w:space="0" w:color="auto"/>
            <w:left w:val="none" w:sz="0" w:space="0" w:color="auto"/>
            <w:bottom w:val="none" w:sz="0" w:space="0" w:color="auto"/>
            <w:right w:val="none" w:sz="0" w:space="0" w:color="auto"/>
          </w:divBdr>
        </w:div>
        <w:div w:id="2063359764">
          <w:marLeft w:val="806"/>
          <w:marRight w:val="0"/>
          <w:marTop w:val="0"/>
          <w:marBottom w:val="0"/>
          <w:divBdr>
            <w:top w:val="none" w:sz="0" w:space="0" w:color="auto"/>
            <w:left w:val="none" w:sz="0" w:space="0" w:color="auto"/>
            <w:bottom w:val="none" w:sz="0" w:space="0" w:color="auto"/>
            <w:right w:val="none" w:sz="0" w:space="0" w:color="auto"/>
          </w:divBdr>
        </w:div>
      </w:divsChild>
    </w:div>
    <w:div w:id="1029137324">
      <w:bodyDiv w:val="1"/>
      <w:marLeft w:val="0"/>
      <w:marRight w:val="0"/>
      <w:marTop w:val="0"/>
      <w:marBottom w:val="0"/>
      <w:divBdr>
        <w:top w:val="none" w:sz="0" w:space="0" w:color="auto"/>
        <w:left w:val="none" w:sz="0" w:space="0" w:color="auto"/>
        <w:bottom w:val="none" w:sz="0" w:space="0" w:color="auto"/>
        <w:right w:val="none" w:sz="0" w:space="0" w:color="auto"/>
      </w:divBdr>
    </w:div>
    <w:div w:id="1036274831">
      <w:bodyDiv w:val="1"/>
      <w:marLeft w:val="0"/>
      <w:marRight w:val="0"/>
      <w:marTop w:val="0"/>
      <w:marBottom w:val="0"/>
      <w:divBdr>
        <w:top w:val="none" w:sz="0" w:space="0" w:color="auto"/>
        <w:left w:val="none" w:sz="0" w:space="0" w:color="auto"/>
        <w:bottom w:val="none" w:sz="0" w:space="0" w:color="auto"/>
        <w:right w:val="none" w:sz="0" w:space="0" w:color="auto"/>
      </w:divBdr>
      <w:divsChild>
        <w:div w:id="853882651">
          <w:marLeft w:val="547"/>
          <w:marRight w:val="0"/>
          <w:marTop w:val="115"/>
          <w:marBottom w:val="0"/>
          <w:divBdr>
            <w:top w:val="none" w:sz="0" w:space="0" w:color="auto"/>
            <w:left w:val="none" w:sz="0" w:space="0" w:color="auto"/>
            <w:bottom w:val="none" w:sz="0" w:space="0" w:color="auto"/>
            <w:right w:val="none" w:sz="0" w:space="0" w:color="auto"/>
          </w:divBdr>
        </w:div>
        <w:div w:id="1338313196">
          <w:marLeft w:val="1166"/>
          <w:marRight w:val="0"/>
          <w:marTop w:val="115"/>
          <w:marBottom w:val="0"/>
          <w:divBdr>
            <w:top w:val="none" w:sz="0" w:space="0" w:color="auto"/>
            <w:left w:val="none" w:sz="0" w:space="0" w:color="auto"/>
            <w:bottom w:val="none" w:sz="0" w:space="0" w:color="auto"/>
            <w:right w:val="none" w:sz="0" w:space="0" w:color="auto"/>
          </w:divBdr>
        </w:div>
      </w:divsChild>
    </w:div>
    <w:div w:id="1043140949">
      <w:bodyDiv w:val="1"/>
      <w:marLeft w:val="0"/>
      <w:marRight w:val="0"/>
      <w:marTop w:val="0"/>
      <w:marBottom w:val="0"/>
      <w:divBdr>
        <w:top w:val="none" w:sz="0" w:space="0" w:color="auto"/>
        <w:left w:val="none" w:sz="0" w:space="0" w:color="auto"/>
        <w:bottom w:val="none" w:sz="0" w:space="0" w:color="auto"/>
        <w:right w:val="none" w:sz="0" w:space="0" w:color="auto"/>
      </w:divBdr>
    </w:div>
    <w:div w:id="1043482189">
      <w:bodyDiv w:val="1"/>
      <w:marLeft w:val="0"/>
      <w:marRight w:val="0"/>
      <w:marTop w:val="0"/>
      <w:marBottom w:val="0"/>
      <w:divBdr>
        <w:top w:val="none" w:sz="0" w:space="0" w:color="auto"/>
        <w:left w:val="none" w:sz="0" w:space="0" w:color="auto"/>
        <w:bottom w:val="none" w:sz="0" w:space="0" w:color="auto"/>
        <w:right w:val="none" w:sz="0" w:space="0" w:color="auto"/>
      </w:divBdr>
    </w:div>
    <w:div w:id="1044869962">
      <w:bodyDiv w:val="1"/>
      <w:marLeft w:val="0"/>
      <w:marRight w:val="0"/>
      <w:marTop w:val="0"/>
      <w:marBottom w:val="0"/>
      <w:divBdr>
        <w:top w:val="none" w:sz="0" w:space="0" w:color="auto"/>
        <w:left w:val="none" w:sz="0" w:space="0" w:color="auto"/>
        <w:bottom w:val="none" w:sz="0" w:space="0" w:color="auto"/>
        <w:right w:val="none" w:sz="0" w:space="0" w:color="auto"/>
      </w:divBdr>
    </w:div>
    <w:div w:id="1051223136">
      <w:bodyDiv w:val="1"/>
      <w:marLeft w:val="0"/>
      <w:marRight w:val="0"/>
      <w:marTop w:val="0"/>
      <w:marBottom w:val="0"/>
      <w:divBdr>
        <w:top w:val="none" w:sz="0" w:space="0" w:color="auto"/>
        <w:left w:val="none" w:sz="0" w:space="0" w:color="auto"/>
        <w:bottom w:val="none" w:sz="0" w:space="0" w:color="auto"/>
        <w:right w:val="none" w:sz="0" w:space="0" w:color="auto"/>
      </w:divBdr>
    </w:div>
    <w:div w:id="1053579333">
      <w:bodyDiv w:val="1"/>
      <w:marLeft w:val="0"/>
      <w:marRight w:val="0"/>
      <w:marTop w:val="0"/>
      <w:marBottom w:val="0"/>
      <w:divBdr>
        <w:top w:val="none" w:sz="0" w:space="0" w:color="auto"/>
        <w:left w:val="none" w:sz="0" w:space="0" w:color="auto"/>
        <w:bottom w:val="none" w:sz="0" w:space="0" w:color="auto"/>
        <w:right w:val="none" w:sz="0" w:space="0" w:color="auto"/>
      </w:divBdr>
    </w:div>
    <w:div w:id="1054044661">
      <w:bodyDiv w:val="1"/>
      <w:marLeft w:val="0"/>
      <w:marRight w:val="0"/>
      <w:marTop w:val="0"/>
      <w:marBottom w:val="0"/>
      <w:divBdr>
        <w:top w:val="none" w:sz="0" w:space="0" w:color="auto"/>
        <w:left w:val="none" w:sz="0" w:space="0" w:color="auto"/>
        <w:bottom w:val="none" w:sz="0" w:space="0" w:color="auto"/>
        <w:right w:val="none" w:sz="0" w:space="0" w:color="auto"/>
      </w:divBdr>
    </w:div>
    <w:div w:id="1055549032">
      <w:bodyDiv w:val="1"/>
      <w:marLeft w:val="0"/>
      <w:marRight w:val="0"/>
      <w:marTop w:val="0"/>
      <w:marBottom w:val="0"/>
      <w:divBdr>
        <w:top w:val="none" w:sz="0" w:space="0" w:color="auto"/>
        <w:left w:val="none" w:sz="0" w:space="0" w:color="auto"/>
        <w:bottom w:val="none" w:sz="0" w:space="0" w:color="auto"/>
        <w:right w:val="none" w:sz="0" w:space="0" w:color="auto"/>
      </w:divBdr>
    </w:div>
    <w:div w:id="1086808537">
      <w:bodyDiv w:val="1"/>
      <w:marLeft w:val="0"/>
      <w:marRight w:val="0"/>
      <w:marTop w:val="0"/>
      <w:marBottom w:val="0"/>
      <w:divBdr>
        <w:top w:val="none" w:sz="0" w:space="0" w:color="auto"/>
        <w:left w:val="none" w:sz="0" w:space="0" w:color="auto"/>
        <w:bottom w:val="none" w:sz="0" w:space="0" w:color="auto"/>
        <w:right w:val="none" w:sz="0" w:space="0" w:color="auto"/>
      </w:divBdr>
    </w:div>
    <w:div w:id="1087078337">
      <w:bodyDiv w:val="1"/>
      <w:marLeft w:val="0"/>
      <w:marRight w:val="0"/>
      <w:marTop w:val="0"/>
      <w:marBottom w:val="0"/>
      <w:divBdr>
        <w:top w:val="none" w:sz="0" w:space="0" w:color="auto"/>
        <w:left w:val="none" w:sz="0" w:space="0" w:color="auto"/>
        <w:bottom w:val="none" w:sz="0" w:space="0" w:color="auto"/>
        <w:right w:val="none" w:sz="0" w:space="0" w:color="auto"/>
      </w:divBdr>
    </w:div>
    <w:div w:id="1091776340">
      <w:bodyDiv w:val="1"/>
      <w:marLeft w:val="0"/>
      <w:marRight w:val="0"/>
      <w:marTop w:val="0"/>
      <w:marBottom w:val="0"/>
      <w:divBdr>
        <w:top w:val="none" w:sz="0" w:space="0" w:color="auto"/>
        <w:left w:val="none" w:sz="0" w:space="0" w:color="auto"/>
        <w:bottom w:val="none" w:sz="0" w:space="0" w:color="auto"/>
        <w:right w:val="none" w:sz="0" w:space="0" w:color="auto"/>
      </w:divBdr>
    </w:div>
    <w:div w:id="1094933692">
      <w:bodyDiv w:val="1"/>
      <w:marLeft w:val="0"/>
      <w:marRight w:val="0"/>
      <w:marTop w:val="0"/>
      <w:marBottom w:val="0"/>
      <w:divBdr>
        <w:top w:val="none" w:sz="0" w:space="0" w:color="auto"/>
        <w:left w:val="none" w:sz="0" w:space="0" w:color="auto"/>
        <w:bottom w:val="none" w:sz="0" w:space="0" w:color="auto"/>
        <w:right w:val="none" w:sz="0" w:space="0" w:color="auto"/>
      </w:divBdr>
    </w:div>
    <w:div w:id="1098673338">
      <w:bodyDiv w:val="1"/>
      <w:marLeft w:val="0"/>
      <w:marRight w:val="0"/>
      <w:marTop w:val="0"/>
      <w:marBottom w:val="0"/>
      <w:divBdr>
        <w:top w:val="none" w:sz="0" w:space="0" w:color="auto"/>
        <w:left w:val="none" w:sz="0" w:space="0" w:color="auto"/>
        <w:bottom w:val="none" w:sz="0" w:space="0" w:color="auto"/>
        <w:right w:val="none" w:sz="0" w:space="0" w:color="auto"/>
      </w:divBdr>
    </w:div>
    <w:div w:id="1099988570">
      <w:bodyDiv w:val="1"/>
      <w:marLeft w:val="0"/>
      <w:marRight w:val="0"/>
      <w:marTop w:val="0"/>
      <w:marBottom w:val="0"/>
      <w:divBdr>
        <w:top w:val="none" w:sz="0" w:space="0" w:color="auto"/>
        <w:left w:val="none" w:sz="0" w:space="0" w:color="auto"/>
        <w:bottom w:val="none" w:sz="0" w:space="0" w:color="auto"/>
        <w:right w:val="none" w:sz="0" w:space="0" w:color="auto"/>
      </w:divBdr>
    </w:div>
    <w:div w:id="1117916961">
      <w:bodyDiv w:val="1"/>
      <w:marLeft w:val="0"/>
      <w:marRight w:val="0"/>
      <w:marTop w:val="0"/>
      <w:marBottom w:val="0"/>
      <w:divBdr>
        <w:top w:val="none" w:sz="0" w:space="0" w:color="auto"/>
        <w:left w:val="none" w:sz="0" w:space="0" w:color="auto"/>
        <w:bottom w:val="none" w:sz="0" w:space="0" w:color="auto"/>
        <w:right w:val="none" w:sz="0" w:space="0" w:color="auto"/>
      </w:divBdr>
    </w:div>
    <w:div w:id="1118986037">
      <w:bodyDiv w:val="1"/>
      <w:marLeft w:val="0"/>
      <w:marRight w:val="0"/>
      <w:marTop w:val="0"/>
      <w:marBottom w:val="0"/>
      <w:divBdr>
        <w:top w:val="none" w:sz="0" w:space="0" w:color="auto"/>
        <w:left w:val="none" w:sz="0" w:space="0" w:color="auto"/>
        <w:bottom w:val="none" w:sz="0" w:space="0" w:color="auto"/>
        <w:right w:val="none" w:sz="0" w:space="0" w:color="auto"/>
      </w:divBdr>
    </w:div>
    <w:div w:id="1122266007">
      <w:bodyDiv w:val="1"/>
      <w:marLeft w:val="0"/>
      <w:marRight w:val="0"/>
      <w:marTop w:val="0"/>
      <w:marBottom w:val="0"/>
      <w:divBdr>
        <w:top w:val="none" w:sz="0" w:space="0" w:color="auto"/>
        <w:left w:val="none" w:sz="0" w:space="0" w:color="auto"/>
        <w:bottom w:val="none" w:sz="0" w:space="0" w:color="auto"/>
        <w:right w:val="none" w:sz="0" w:space="0" w:color="auto"/>
      </w:divBdr>
      <w:divsChild>
        <w:div w:id="1546066254">
          <w:marLeft w:val="1080"/>
          <w:marRight w:val="0"/>
          <w:marTop w:val="100"/>
          <w:marBottom w:val="0"/>
          <w:divBdr>
            <w:top w:val="none" w:sz="0" w:space="0" w:color="auto"/>
            <w:left w:val="none" w:sz="0" w:space="0" w:color="auto"/>
            <w:bottom w:val="none" w:sz="0" w:space="0" w:color="auto"/>
            <w:right w:val="none" w:sz="0" w:space="0" w:color="auto"/>
          </w:divBdr>
        </w:div>
      </w:divsChild>
    </w:div>
    <w:div w:id="1126656741">
      <w:bodyDiv w:val="1"/>
      <w:marLeft w:val="0"/>
      <w:marRight w:val="0"/>
      <w:marTop w:val="0"/>
      <w:marBottom w:val="0"/>
      <w:divBdr>
        <w:top w:val="none" w:sz="0" w:space="0" w:color="auto"/>
        <w:left w:val="none" w:sz="0" w:space="0" w:color="auto"/>
        <w:bottom w:val="none" w:sz="0" w:space="0" w:color="auto"/>
        <w:right w:val="none" w:sz="0" w:space="0" w:color="auto"/>
      </w:divBdr>
    </w:div>
    <w:div w:id="1129855537">
      <w:bodyDiv w:val="1"/>
      <w:marLeft w:val="0"/>
      <w:marRight w:val="0"/>
      <w:marTop w:val="0"/>
      <w:marBottom w:val="0"/>
      <w:divBdr>
        <w:top w:val="none" w:sz="0" w:space="0" w:color="auto"/>
        <w:left w:val="none" w:sz="0" w:space="0" w:color="auto"/>
        <w:bottom w:val="none" w:sz="0" w:space="0" w:color="auto"/>
        <w:right w:val="none" w:sz="0" w:space="0" w:color="auto"/>
      </w:divBdr>
    </w:div>
    <w:div w:id="1131706185">
      <w:bodyDiv w:val="1"/>
      <w:marLeft w:val="0"/>
      <w:marRight w:val="0"/>
      <w:marTop w:val="0"/>
      <w:marBottom w:val="0"/>
      <w:divBdr>
        <w:top w:val="none" w:sz="0" w:space="0" w:color="auto"/>
        <w:left w:val="none" w:sz="0" w:space="0" w:color="auto"/>
        <w:bottom w:val="none" w:sz="0" w:space="0" w:color="auto"/>
        <w:right w:val="none" w:sz="0" w:space="0" w:color="auto"/>
      </w:divBdr>
    </w:div>
    <w:div w:id="1131823599">
      <w:bodyDiv w:val="1"/>
      <w:marLeft w:val="0"/>
      <w:marRight w:val="0"/>
      <w:marTop w:val="0"/>
      <w:marBottom w:val="0"/>
      <w:divBdr>
        <w:top w:val="none" w:sz="0" w:space="0" w:color="auto"/>
        <w:left w:val="none" w:sz="0" w:space="0" w:color="auto"/>
        <w:bottom w:val="none" w:sz="0" w:space="0" w:color="auto"/>
        <w:right w:val="none" w:sz="0" w:space="0" w:color="auto"/>
      </w:divBdr>
    </w:div>
    <w:div w:id="1133018941">
      <w:bodyDiv w:val="1"/>
      <w:marLeft w:val="0"/>
      <w:marRight w:val="0"/>
      <w:marTop w:val="0"/>
      <w:marBottom w:val="0"/>
      <w:divBdr>
        <w:top w:val="none" w:sz="0" w:space="0" w:color="auto"/>
        <w:left w:val="none" w:sz="0" w:space="0" w:color="auto"/>
        <w:bottom w:val="none" w:sz="0" w:space="0" w:color="auto"/>
        <w:right w:val="none" w:sz="0" w:space="0" w:color="auto"/>
      </w:divBdr>
    </w:div>
    <w:div w:id="1138183464">
      <w:bodyDiv w:val="1"/>
      <w:marLeft w:val="0"/>
      <w:marRight w:val="0"/>
      <w:marTop w:val="0"/>
      <w:marBottom w:val="0"/>
      <w:divBdr>
        <w:top w:val="none" w:sz="0" w:space="0" w:color="auto"/>
        <w:left w:val="none" w:sz="0" w:space="0" w:color="auto"/>
        <w:bottom w:val="none" w:sz="0" w:space="0" w:color="auto"/>
        <w:right w:val="none" w:sz="0" w:space="0" w:color="auto"/>
      </w:divBdr>
    </w:div>
    <w:div w:id="1140154075">
      <w:bodyDiv w:val="1"/>
      <w:marLeft w:val="0"/>
      <w:marRight w:val="0"/>
      <w:marTop w:val="0"/>
      <w:marBottom w:val="0"/>
      <w:divBdr>
        <w:top w:val="none" w:sz="0" w:space="0" w:color="auto"/>
        <w:left w:val="none" w:sz="0" w:space="0" w:color="auto"/>
        <w:bottom w:val="none" w:sz="0" w:space="0" w:color="auto"/>
        <w:right w:val="none" w:sz="0" w:space="0" w:color="auto"/>
      </w:divBdr>
    </w:div>
    <w:div w:id="1144083128">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150554743">
      <w:bodyDiv w:val="1"/>
      <w:marLeft w:val="0"/>
      <w:marRight w:val="0"/>
      <w:marTop w:val="0"/>
      <w:marBottom w:val="0"/>
      <w:divBdr>
        <w:top w:val="none" w:sz="0" w:space="0" w:color="auto"/>
        <w:left w:val="none" w:sz="0" w:space="0" w:color="auto"/>
        <w:bottom w:val="none" w:sz="0" w:space="0" w:color="auto"/>
        <w:right w:val="none" w:sz="0" w:space="0" w:color="auto"/>
      </w:divBdr>
    </w:div>
    <w:div w:id="1159077078">
      <w:bodyDiv w:val="1"/>
      <w:marLeft w:val="0"/>
      <w:marRight w:val="0"/>
      <w:marTop w:val="0"/>
      <w:marBottom w:val="0"/>
      <w:divBdr>
        <w:top w:val="none" w:sz="0" w:space="0" w:color="auto"/>
        <w:left w:val="none" w:sz="0" w:space="0" w:color="auto"/>
        <w:bottom w:val="none" w:sz="0" w:space="0" w:color="auto"/>
        <w:right w:val="none" w:sz="0" w:space="0" w:color="auto"/>
      </w:divBdr>
    </w:div>
    <w:div w:id="1159079158">
      <w:bodyDiv w:val="1"/>
      <w:marLeft w:val="0"/>
      <w:marRight w:val="0"/>
      <w:marTop w:val="0"/>
      <w:marBottom w:val="0"/>
      <w:divBdr>
        <w:top w:val="none" w:sz="0" w:space="0" w:color="auto"/>
        <w:left w:val="none" w:sz="0" w:space="0" w:color="auto"/>
        <w:bottom w:val="none" w:sz="0" w:space="0" w:color="auto"/>
        <w:right w:val="none" w:sz="0" w:space="0" w:color="auto"/>
      </w:divBdr>
    </w:div>
    <w:div w:id="1162618698">
      <w:bodyDiv w:val="1"/>
      <w:marLeft w:val="0"/>
      <w:marRight w:val="0"/>
      <w:marTop w:val="0"/>
      <w:marBottom w:val="0"/>
      <w:divBdr>
        <w:top w:val="none" w:sz="0" w:space="0" w:color="auto"/>
        <w:left w:val="none" w:sz="0" w:space="0" w:color="auto"/>
        <w:bottom w:val="none" w:sz="0" w:space="0" w:color="auto"/>
        <w:right w:val="none" w:sz="0" w:space="0" w:color="auto"/>
      </w:divBdr>
    </w:div>
    <w:div w:id="1164128888">
      <w:bodyDiv w:val="1"/>
      <w:marLeft w:val="0"/>
      <w:marRight w:val="0"/>
      <w:marTop w:val="0"/>
      <w:marBottom w:val="0"/>
      <w:divBdr>
        <w:top w:val="none" w:sz="0" w:space="0" w:color="auto"/>
        <w:left w:val="none" w:sz="0" w:space="0" w:color="auto"/>
        <w:bottom w:val="none" w:sz="0" w:space="0" w:color="auto"/>
        <w:right w:val="none" w:sz="0" w:space="0" w:color="auto"/>
      </w:divBdr>
    </w:div>
    <w:div w:id="1165709352">
      <w:bodyDiv w:val="1"/>
      <w:marLeft w:val="0"/>
      <w:marRight w:val="0"/>
      <w:marTop w:val="0"/>
      <w:marBottom w:val="0"/>
      <w:divBdr>
        <w:top w:val="none" w:sz="0" w:space="0" w:color="auto"/>
        <w:left w:val="none" w:sz="0" w:space="0" w:color="auto"/>
        <w:bottom w:val="none" w:sz="0" w:space="0" w:color="auto"/>
        <w:right w:val="none" w:sz="0" w:space="0" w:color="auto"/>
      </w:divBdr>
    </w:div>
    <w:div w:id="1168180238">
      <w:bodyDiv w:val="1"/>
      <w:marLeft w:val="0"/>
      <w:marRight w:val="0"/>
      <w:marTop w:val="0"/>
      <w:marBottom w:val="0"/>
      <w:divBdr>
        <w:top w:val="none" w:sz="0" w:space="0" w:color="auto"/>
        <w:left w:val="none" w:sz="0" w:space="0" w:color="auto"/>
        <w:bottom w:val="none" w:sz="0" w:space="0" w:color="auto"/>
        <w:right w:val="none" w:sz="0" w:space="0" w:color="auto"/>
      </w:divBdr>
      <w:divsChild>
        <w:div w:id="248929728">
          <w:marLeft w:val="547"/>
          <w:marRight w:val="0"/>
          <w:marTop w:val="0"/>
          <w:marBottom w:val="0"/>
          <w:divBdr>
            <w:top w:val="none" w:sz="0" w:space="0" w:color="auto"/>
            <w:left w:val="none" w:sz="0" w:space="0" w:color="auto"/>
            <w:bottom w:val="none" w:sz="0" w:space="0" w:color="auto"/>
            <w:right w:val="none" w:sz="0" w:space="0" w:color="auto"/>
          </w:divBdr>
        </w:div>
        <w:div w:id="1391146320">
          <w:marLeft w:val="547"/>
          <w:marRight w:val="0"/>
          <w:marTop w:val="0"/>
          <w:marBottom w:val="0"/>
          <w:divBdr>
            <w:top w:val="none" w:sz="0" w:space="0" w:color="auto"/>
            <w:left w:val="none" w:sz="0" w:space="0" w:color="auto"/>
            <w:bottom w:val="none" w:sz="0" w:space="0" w:color="auto"/>
            <w:right w:val="none" w:sz="0" w:space="0" w:color="auto"/>
          </w:divBdr>
        </w:div>
        <w:div w:id="1897232804">
          <w:marLeft w:val="547"/>
          <w:marRight w:val="0"/>
          <w:marTop w:val="0"/>
          <w:marBottom w:val="0"/>
          <w:divBdr>
            <w:top w:val="none" w:sz="0" w:space="0" w:color="auto"/>
            <w:left w:val="none" w:sz="0" w:space="0" w:color="auto"/>
            <w:bottom w:val="none" w:sz="0" w:space="0" w:color="auto"/>
            <w:right w:val="none" w:sz="0" w:space="0" w:color="auto"/>
          </w:divBdr>
        </w:div>
        <w:div w:id="2097285098">
          <w:marLeft w:val="547"/>
          <w:marRight w:val="0"/>
          <w:marTop w:val="0"/>
          <w:marBottom w:val="0"/>
          <w:divBdr>
            <w:top w:val="none" w:sz="0" w:space="0" w:color="auto"/>
            <w:left w:val="none" w:sz="0" w:space="0" w:color="auto"/>
            <w:bottom w:val="none" w:sz="0" w:space="0" w:color="auto"/>
            <w:right w:val="none" w:sz="0" w:space="0" w:color="auto"/>
          </w:divBdr>
        </w:div>
      </w:divsChild>
    </w:div>
    <w:div w:id="1174495721">
      <w:bodyDiv w:val="1"/>
      <w:marLeft w:val="0"/>
      <w:marRight w:val="0"/>
      <w:marTop w:val="0"/>
      <w:marBottom w:val="0"/>
      <w:divBdr>
        <w:top w:val="none" w:sz="0" w:space="0" w:color="auto"/>
        <w:left w:val="none" w:sz="0" w:space="0" w:color="auto"/>
        <w:bottom w:val="none" w:sz="0" w:space="0" w:color="auto"/>
        <w:right w:val="none" w:sz="0" w:space="0" w:color="auto"/>
      </w:divBdr>
      <w:divsChild>
        <w:div w:id="787743002">
          <w:marLeft w:val="0"/>
          <w:marRight w:val="0"/>
          <w:marTop w:val="0"/>
          <w:marBottom w:val="0"/>
          <w:divBdr>
            <w:top w:val="none" w:sz="0" w:space="0" w:color="auto"/>
            <w:left w:val="none" w:sz="0" w:space="0" w:color="auto"/>
            <w:bottom w:val="none" w:sz="0" w:space="0" w:color="auto"/>
            <w:right w:val="none" w:sz="0" w:space="0" w:color="auto"/>
          </w:divBdr>
          <w:divsChild>
            <w:div w:id="1082338258">
              <w:marLeft w:val="0"/>
              <w:marRight w:val="0"/>
              <w:marTop w:val="0"/>
              <w:marBottom w:val="0"/>
              <w:divBdr>
                <w:top w:val="none" w:sz="0" w:space="0" w:color="auto"/>
                <w:left w:val="none" w:sz="0" w:space="0" w:color="auto"/>
                <w:bottom w:val="none" w:sz="0" w:space="0" w:color="auto"/>
                <w:right w:val="none" w:sz="0" w:space="0" w:color="auto"/>
              </w:divBdr>
              <w:divsChild>
                <w:div w:id="1779326180">
                  <w:marLeft w:val="0"/>
                  <w:marRight w:val="0"/>
                  <w:marTop w:val="0"/>
                  <w:marBottom w:val="0"/>
                  <w:divBdr>
                    <w:top w:val="none" w:sz="0" w:space="0" w:color="auto"/>
                    <w:left w:val="none" w:sz="0" w:space="0" w:color="auto"/>
                    <w:bottom w:val="none" w:sz="0" w:space="0" w:color="auto"/>
                    <w:right w:val="none" w:sz="0" w:space="0" w:color="auto"/>
                  </w:divBdr>
                  <w:divsChild>
                    <w:div w:id="2096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19947">
      <w:bodyDiv w:val="1"/>
      <w:marLeft w:val="0"/>
      <w:marRight w:val="0"/>
      <w:marTop w:val="0"/>
      <w:marBottom w:val="0"/>
      <w:divBdr>
        <w:top w:val="none" w:sz="0" w:space="0" w:color="auto"/>
        <w:left w:val="none" w:sz="0" w:space="0" w:color="auto"/>
        <w:bottom w:val="none" w:sz="0" w:space="0" w:color="auto"/>
        <w:right w:val="none" w:sz="0" w:space="0" w:color="auto"/>
      </w:divBdr>
    </w:div>
    <w:div w:id="1178541826">
      <w:bodyDiv w:val="1"/>
      <w:marLeft w:val="0"/>
      <w:marRight w:val="0"/>
      <w:marTop w:val="0"/>
      <w:marBottom w:val="0"/>
      <w:divBdr>
        <w:top w:val="none" w:sz="0" w:space="0" w:color="auto"/>
        <w:left w:val="none" w:sz="0" w:space="0" w:color="auto"/>
        <w:bottom w:val="none" w:sz="0" w:space="0" w:color="auto"/>
        <w:right w:val="none" w:sz="0" w:space="0" w:color="auto"/>
      </w:divBdr>
      <w:divsChild>
        <w:div w:id="514729365">
          <w:marLeft w:val="0"/>
          <w:marRight w:val="0"/>
          <w:marTop w:val="0"/>
          <w:marBottom w:val="0"/>
          <w:divBdr>
            <w:top w:val="none" w:sz="0" w:space="0" w:color="auto"/>
            <w:left w:val="none" w:sz="0" w:space="0" w:color="auto"/>
            <w:bottom w:val="none" w:sz="0" w:space="0" w:color="auto"/>
            <w:right w:val="none" w:sz="0" w:space="0" w:color="auto"/>
          </w:divBdr>
          <w:divsChild>
            <w:div w:id="1016346118">
              <w:marLeft w:val="0"/>
              <w:marRight w:val="0"/>
              <w:marTop w:val="0"/>
              <w:marBottom w:val="0"/>
              <w:divBdr>
                <w:top w:val="none" w:sz="0" w:space="0" w:color="auto"/>
                <w:left w:val="none" w:sz="0" w:space="0" w:color="auto"/>
                <w:bottom w:val="none" w:sz="0" w:space="0" w:color="auto"/>
                <w:right w:val="none" w:sz="0" w:space="0" w:color="auto"/>
              </w:divBdr>
              <w:divsChild>
                <w:div w:id="422141663">
                  <w:marLeft w:val="0"/>
                  <w:marRight w:val="0"/>
                  <w:marTop w:val="0"/>
                  <w:marBottom w:val="0"/>
                  <w:divBdr>
                    <w:top w:val="none" w:sz="0" w:space="0" w:color="auto"/>
                    <w:left w:val="none" w:sz="0" w:space="0" w:color="auto"/>
                    <w:bottom w:val="none" w:sz="0" w:space="0" w:color="auto"/>
                    <w:right w:val="none" w:sz="0" w:space="0" w:color="auto"/>
                  </w:divBdr>
                  <w:divsChild>
                    <w:div w:id="9831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2583">
      <w:bodyDiv w:val="1"/>
      <w:marLeft w:val="0"/>
      <w:marRight w:val="0"/>
      <w:marTop w:val="0"/>
      <w:marBottom w:val="0"/>
      <w:divBdr>
        <w:top w:val="none" w:sz="0" w:space="0" w:color="auto"/>
        <w:left w:val="none" w:sz="0" w:space="0" w:color="auto"/>
        <w:bottom w:val="none" w:sz="0" w:space="0" w:color="auto"/>
        <w:right w:val="none" w:sz="0" w:space="0" w:color="auto"/>
      </w:divBdr>
    </w:div>
    <w:div w:id="1182233724">
      <w:bodyDiv w:val="1"/>
      <w:marLeft w:val="0"/>
      <w:marRight w:val="0"/>
      <w:marTop w:val="0"/>
      <w:marBottom w:val="0"/>
      <w:divBdr>
        <w:top w:val="none" w:sz="0" w:space="0" w:color="auto"/>
        <w:left w:val="none" w:sz="0" w:space="0" w:color="auto"/>
        <w:bottom w:val="none" w:sz="0" w:space="0" w:color="auto"/>
        <w:right w:val="none" w:sz="0" w:space="0" w:color="auto"/>
      </w:divBdr>
    </w:div>
    <w:div w:id="1185095708">
      <w:bodyDiv w:val="1"/>
      <w:marLeft w:val="0"/>
      <w:marRight w:val="0"/>
      <w:marTop w:val="0"/>
      <w:marBottom w:val="0"/>
      <w:divBdr>
        <w:top w:val="none" w:sz="0" w:space="0" w:color="auto"/>
        <w:left w:val="none" w:sz="0" w:space="0" w:color="auto"/>
        <w:bottom w:val="none" w:sz="0" w:space="0" w:color="auto"/>
        <w:right w:val="none" w:sz="0" w:space="0" w:color="auto"/>
      </w:divBdr>
    </w:div>
    <w:div w:id="1191920560">
      <w:bodyDiv w:val="1"/>
      <w:marLeft w:val="0"/>
      <w:marRight w:val="0"/>
      <w:marTop w:val="0"/>
      <w:marBottom w:val="0"/>
      <w:divBdr>
        <w:top w:val="none" w:sz="0" w:space="0" w:color="auto"/>
        <w:left w:val="none" w:sz="0" w:space="0" w:color="auto"/>
        <w:bottom w:val="none" w:sz="0" w:space="0" w:color="auto"/>
        <w:right w:val="none" w:sz="0" w:space="0" w:color="auto"/>
      </w:divBdr>
    </w:div>
    <w:div w:id="1197306216">
      <w:bodyDiv w:val="1"/>
      <w:marLeft w:val="0"/>
      <w:marRight w:val="0"/>
      <w:marTop w:val="0"/>
      <w:marBottom w:val="0"/>
      <w:divBdr>
        <w:top w:val="none" w:sz="0" w:space="0" w:color="auto"/>
        <w:left w:val="none" w:sz="0" w:space="0" w:color="auto"/>
        <w:bottom w:val="none" w:sz="0" w:space="0" w:color="auto"/>
        <w:right w:val="none" w:sz="0" w:space="0" w:color="auto"/>
      </w:divBdr>
    </w:div>
    <w:div w:id="1200171219">
      <w:bodyDiv w:val="1"/>
      <w:marLeft w:val="0"/>
      <w:marRight w:val="0"/>
      <w:marTop w:val="0"/>
      <w:marBottom w:val="0"/>
      <w:divBdr>
        <w:top w:val="none" w:sz="0" w:space="0" w:color="auto"/>
        <w:left w:val="none" w:sz="0" w:space="0" w:color="auto"/>
        <w:bottom w:val="none" w:sz="0" w:space="0" w:color="auto"/>
        <w:right w:val="none" w:sz="0" w:space="0" w:color="auto"/>
      </w:divBdr>
    </w:div>
    <w:div w:id="1206867313">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sChild>
            <w:div w:id="1580410846">
              <w:marLeft w:val="0"/>
              <w:marRight w:val="0"/>
              <w:marTop w:val="0"/>
              <w:marBottom w:val="0"/>
              <w:divBdr>
                <w:top w:val="none" w:sz="0" w:space="0" w:color="auto"/>
                <w:left w:val="none" w:sz="0" w:space="0" w:color="auto"/>
                <w:bottom w:val="none" w:sz="0" w:space="0" w:color="auto"/>
                <w:right w:val="none" w:sz="0" w:space="0" w:color="auto"/>
              </w:divBdr>
            </w:div>
          </w:divsChild>
        </w:div>
        <w:div w:id="649211709">
          <w:marLeft w:val="0"/>
          <w:marRight w:val="0"/>
          <w:marTop w:val="0"/>
          <w:marBottom w:val="0"/>
          <w:divBdr>
            <w:top w:val="none" w:sz="0" w:space="0" w:color="auto"/>
            <w:left w:val="none" w:sz="0" w:space="0" w:color="auto"/>
            <w:bottom w:val="none" w:sz="0" w:space="0" w:color="auto"/>
            <w:right w:val="none" w:sz="0" w:space="0" w:color="auto"/>
          </w:divBdr>
          <w:divsChild>
            <w:div w:id="957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6784">
      <w:bodyDiv w:val="1"/>
      <w:marLeft w:val="0"/>
      <w:marRight w:val="0"/>
      <w:marTop w:val="0"/>
      <w:marBottom w:val="0"/>
      <w:divBdr>
        <w:top w:val="none" w:sz="0" w:space="0" w:color="auto"/>
        <w:left w:val="none" w:sz="0" w:space="0" w:color="auto"/>
        <w:bottom w:val="none" w:sz="0" w:space="0" w:color="auto"/>
        <w:right w:val="none" w:sz="0" w:space="0" w:color="auto"/>
      </w:divBdr>
    </w:div>
    <w:div w:id="1212183519">
      <w:bodyDiv w:val="1"/>
      <w:marLeft w:val="0"/>
      <w:marRight w:val="0"/>
      <w:marTop w:val="0"/>
      <w:marBottom w:val="0"/>
      <w:divBdr>
        <w:top w:val="none" w:sz="0" w:space="0" w:color="auto"/>
        <w:left w:val="none" w:sz="0" w:space="0" w:color="auto"/>
        <w:bottom w:val="none" w:sz="0" w:space="0" w:color="auto"/>
        <w:right w:val="none" w:sz="0" w:space="0" w:color="auto"/>
      </w:divBdr>
      <w:divsChild>
        <w:div w:id="1943949997">
          <w:marLeft w:val="0"/>
          <w:marRight w:val="0"/>
          <w:marTop w:val="0"/>
          <w:marBottom w:val="0"/>
          <w:divBdr>
            <w:top w:val="none" w:sz="0" w:space="0" w:color="auto"/>
            <w:left w:val="none" w:sz="0" w:space="0" w:color="auto"/>
            <w:bottom w:val="none" w:sz="0" w:space="0" w:color="auto"/>
            <w:right w:val="none" w:sz="0" w:space="0" w:color="auto"/>
          </w:divBdr>
          <w:divsChild>
            <w:div w:id="2144081197">
              <w:marLeft w:val="0"/>
              <w:marRight w:val="0"/>
              <w:marTop w:val="0"/>
              <w:marBottom w:val="0"/>
              <w:divBdr>
                <w:top w:val="none" w:sz="0" w:space="0" w:color="auto"/>
                <w:left w:val="none" w:sz="0" w:space="0" w:color="auto"/>
                <w:bottom w:val="none" w:sz="0" w:space="0" w:color="auto"/>
                <w:right w:val="none" w:sz="0" w:space="0" w:color="auto"/>
              </w:divBdr>
              <w:divsChild>
                <w:div w:id="2138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7059">
      <w:bodyDiv w:val="1"/>
      <w:marLeft w:val="0"/>
      <w:marRight w:val="0"/>
      <w:marTop w:val="0"/>
      <w:marBottom w:val="0"/>
      <w:divBdr>
        <w:top w:val="none" w:sz="0" w:space="0" w:color="auto"/>
        <w:left w:val="none" w:sz="0" w:space="0" w:color="auto"/>
        <w:bottom w:val="none" w:sz="0" w:space="0" w:color="auto"/>
        <w:right w:val="none" w:sz="0" w:space="0" w:color="auto"/>
      </w:divBdr>
      <w:divsChild>
        <w:div w:id="691611225">
          <w:marLeft w:val="0"/>
          <w:marRight w:val="0"/>
          <w:marTop w:val="0"/>
          <w:marBottom w:val="0"/>
          <w:divBdr>
            <w:top w:val="none" w:sz="0" w:space="0" w:color="auto"/>
            <w:left w:val="none" w:sz="0" w:space="0" w:color="auto"/>
            <w:bottom w:val="none" w:sz="0" w:space="0" w:color="auto"/>
            <w:right w:val="none" w:sz="0" w:space="0" w:color="auto"/>
          </w:divBdr>
          <w:divsChild>
            <w:div w:id="1300722043">
              <w:marLeft w:val="0"/>
              <w:marRight w:val="0"/>
              <w:marTop w:val="0"/>
              <w:marBottom w:val="0"/>
              <w:divBdr>
                <w:top w:val="none" w:sz="0" w:space="0" w:color="auto"/>
                <w:left w:val="none" w:sz="0" w:space="0" w:color="auto"/>
                <w:bottom w:val="none" w:sz="0" w:space="0" w:color="auto"/>
                <w:right w:val="none" w:sz="0" w:space="0" w:color="auto"/>
              </w:divBdr>
              <w:divsChild>
                <w:div w:id="204560359">
                  <w:marLeft w:val="0"/>
                  <w:marRight w:val="0"/>
                  <w:marTop w:val="0"/>
                  <w:marBottom w:val="0"/>
                  <w:divBdr>
                    <w:top w:val="none" w:sz="0" w:space="0" w:color="auto"/>
                    <w:left w:val="none" w:sz="0" w:space="0" w:color="auto"/>
                    <w:bottom w:val="none" w:sz="0" w:space="0" w:color="auto"/>
                    <w:right w:val="none" w:sz="0" w:space="0" w:color="auto"/>
                  </w:divBdr>
                  <w:divsChild>
                    <w:div w:id="123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4775">
      <w:bodyDiv w:val="1"/>
      <w:marLeft w:val="0"/>
      <w:marRight w:val="0"/>
      <w:marTop w:val="0"/>
      <w:marBottom w:val="0"/>
      <w:divBdr>
        <w:top w:val="none" w:sz="0" w:space="0" w:color="auto"/>
        <w:left w:val="none" w:sz="0" w:space="0" w:color="auto"/>
        <w:bottom w:val="none" w:sz="0" w:space="0" w:color="auto"/>
        <w:right w:val="none" w:sz="0" w:space="0" w:color="auto"/>
      </w:divBdr>
      <w:divsChild>
        <w:div w:id="2039620102">
          <w:marLeft w:val="547"/>
          <w:marRight w:val="0"/>
          <w:marTop w:val="0"/>
          <w:marBottom w:val="0"/>
          <w:divBdr>
            <w:top w:val="none" w:sz="0" w:space="0" w:color="auto"/>
            <w:left w:val="none" w:sz="0" w:space="0" w:color="auto"/>
            <w:bottom w:val="none" w:sz="0" w:space="0" w:color="auto"/>
            <w:right w:val="none" w:sz="0" w:space="0" w:color="auto"/>
          </w:divBdr>
        </w:div>
      </w:divsChild>
    </w:div>
    <w:div w:id="1223515688">
      <w:bodyDiv w:val="1"/>
      <w:marLeft w:val="0"/>
      <w:marRight w:val="0"/>
      <w:marTop w:val="0"/>
      <w:marBottom w:val="0"/>
      <w:divBdr>
        <w:top w:val="none" w:sz="0" w:space="0" w:color="auto"/>
        <w:left w:val="none" w:sz="0" w:space="0" w:color="auto"/>
        <w:bottom w:val="none" w:sz="0" w:space="0" w:color="auto"/>
        <w:right w:val="none" w:sz="0" w:space="0" w:color="auto"/>
      </w:divBdr>
      <w:divsChild>
        <w:div w:id="209340787">
          <w:marLeft w:val="547"/>
          <w:marRight w:val="0"/>
          <w:marTop w:val="154"/>
          <w:marBottom w:val="0"/>
          <w:divBdr>
            <w:top w:val="none" w:sz="0" w:space="0" w:color="auto"/>
            <w:left w:val="none" w:sz="0" w:space="0" w:color="auto"/>
            <w:bottom w:val="none" w:sz="0" w:space="0" w:color="auto"/>
            <w:right w:val="none" w:sz="0" w:space="0" w:color="auto"/>
          </w:divBdr>
        </w:div>
        <w:div w:id="2105372441">
          <w:marLeft w:val="1166"/>
          <w:marRight w:val="0"/>
          <w:marTop w:val="134"/>
          <w:marBottom w:val="0"/>
          <w:divBdr>
            <w:top w:val="none" w:sz="0" w:space="0" w:color="auto"/>
            <w:left w:val="none" w:sz="0" w:space="0" w:color="auto"/>
            <w:bottom w:val="none" w:sz="0" w:space="0" w:color="auto"/>
            <w:right w:val="none" w:sz="0" w:space="0" w:color="auto"/>
          </w:divBdr>
        </w:div>
      </w:divsChild>
    </w:div>
    <w:div w:id="1229683644">
      <w:bodyDiv w:val="1"/>
      <w:marLeft w:val="0"/>
      <w:marRight w:val="0"/>
      <w:marTop w:val="0"/>
      <w:marBottom w:val="0"/>
      <w:divBdr>
        <w:top w:val="none" w:sz="0" w:space="0" w:color="auto"/>
        <w:left w:val="none" w:sz="0" w:space="0" w:color="auto"/>
        <w:bottom w:val="none" w:sz="0" w:space="0" w:color="auto"/>
        <w:right w:val="none" w:sz="0" w:space="0" w:color="auto"/>
      </w:divBdr>
    </w:div>
    <w:div w:id="1237860577">
      <w:bodyDiv w:val="1"/>
      <w:marLeft w:val="0"/>
      <w:marRight w:val="0"/>
      <w:marTop w:val="0"/>
      <w:marBottom w:val="0"/>
      <w:divBdr>
        <w:top w:val="none" w:sz="0" w:space="0" w:color="auto"/>
        <w:left w:val="none" w:sz="0" w:space="0" w:color="auto"/>
        <w:bottom w:val="none" w:sz="0" w:space="0" w:color="auto"/>
        <w:right w:val="none" w:sz="0" w:space="0" w:color="auto"/>
      </w:divBdr>
    </w:div>
    <w:div w:id="1245146522">
      <w:bodyDiv w:val="1"/>
      <w:marLeft w:val="0"/>
      <w:marRight w:val="0"/>
      <w:marTop w:val="0"/>
      <w:marBottom w:val="0"/>
      <w:divBdr>
        <w:top w:val="none" w:sz="0" w:space="0" w:color="auto"/>
        <w:left w:val="none" w:sz="0" w:space="0" w:color="auto"/>
        <w:bottom w:val="none" w:sz="0" w:space="0" w:color="auto"/>
        <w:right w:val="none" w:sz="0" w:space="0" w:color="auto"/>
      </w:divBdr>
    </w:div>
    <w:div w:id="1274748823">
      <w:bodyDiv w:val="1"/>
      <w:marLeft w:val="0"/>
      <w:marRight w:val="0"/>
      <w:marTop w:val="0"/>
      <w:marBottom w:val="0"/>
      <w:divBdr>
        <w:top w:val="none" w:sz="0" w:space="0" w:color="auto"/>
        <w:left w:val="none" w:sz="0" w:space="0" w:color="auto"/>
        <w:bottom w:val="none" w:sz="0" w:space="0" w:color="auto"/>
        <w:right w:val="none" w:sz="0" w:space="0" w:color="auto"/>
      </w:divBdr>
    </w:div>
    <w:div w:id="1275096938">
      <w:bodyDiv w:val="1"/>
      <w:marLeft w:val="0"/>
      <w:marRight w:val="0"/>
      <w:marTop w:val="0"/>
      <w:marBottom w:val="0"/>
      <w:divBdr>
        <w:top w:val="none" w:sz="0" w:space="0" w:color="auto"/>
        <w:left w:val="none" w:sz="0" w:space="0" w:color="auto"/>
        <w:bottom w:val="none" w:sz="0" w:space="0" w:color="auto"/>
        <w:right w:val="none" w:sz="0" w:space="0" w:color="auto"/>
      </w:divBdr>
    </w:div>
    <w:div w:id="1277517811">
      <w:bodyDiv w:val="1"/>
      <w:marLeft w:val="0"/>
      <w:marRight w:val="0"/>
      <w:marTop w:val="0"/>
      <w:marBottom w:val="0"/>
      <w:divBdr>
        <w:top w:val="none" w:sz="0" w:space="0" w:color="auto"/>
        <w:left w:val="none" w:sz="0" w:space="0" w:color="auto"/>
        <w:bottom w:val="none" w:sz="0" w:space="0" w:color="auto"/>
        <w:right w:val="none" w:sz="0" w:space="0" w:color="auto"/>
      </w:divBdr>
    </w:div>
    <w:div w:id="1279097487">
      <w:bodyDiv w:val="1"/>
      <w:marLeft w:val="0"/>
      <w:marRight w:val="0"/>
      <w:marTop w:val="0"/>
      <w:marBottom w:val="0"/>
      <w:divBdr>
        <w:top w:val="none" w:sz="0" w:space="0" w:color="auto"/>
        <w:left w:val="none" w:sz="0" w:space="0" w:color="auto"/>
        <w:bottom w:val="none" w:sz="0" w:space="0" w:color="auto"/>
        <w:right w:val="none" w:sz="0" w:space="0" w:color="auto"/>
      </w:divBdr>
      <w:divsChild>
        <w:div w:id="665282643">
          <w:marLeft w:val="0"/>
          <w:marRight w:val="0"/>
          <w:marTop w:val="0"/>
          <w:marBottom w:val="0"/>
          <w:divBdr>
            <w:top w:val="none" w:sz="0" w:space="0" w:color="auto"/>
            <w:left w:val="none" w:sz="0" w:space="0" w:color="auto"/>
            <w:bottom w:val="none" w:sz="0" w:space="0" w:color="auto"/>
            <w:right w:val="none" w:sz="0" w:space="0" w:color="auto"/>
          </w:divBdr>
          <w:divsChild>
            <w:div w:id="667176763">
              <w:marLeft w:val="0"/>
              <w:marRight w:val="0"/>
              <w:marTop w:val="0"/>
              <w:marBottom w:val="0"/>
              <w:divBdr>
                <w:top w:val="none" w:sz="0" w:space="0" w:color="auto"/>
                <w:left w:val="none" w:sz="0" w:space="0" w:color="auto"/>
                <w:bottom w:val="none" w:sz="0" w:space="0" w:color="auto"/>
                <w:right w:val="none" w:sz="0" w:space="0" w:color="auto"/>
              </w:divBdr>
              <w:divsChild>
                <w:div w:id="97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415">
      <w:bodyDiv w:val="1"/>
      <w:marLeft w:val="0"/>
      <w:marRight w:val="0"/>
      <w:marTop w:val="0"/>
      <w:marBottom w:val="0"/>
      <w:divBdr>
        <w:top w:val="none" w:sz="0" w:space="0" w:color="auto"/>
        <w:left w:val="none" w:sz="0" w:space="0" w:color="auto"/>
        <w:bottom w:val="none" w:sz="0" w:space="0" w:color="auto"/>
        <w:right w:val="none" w:sz="0" w:space="0" w:color="auto"/>
      </w:divBdr>
    </w:div>
    <w:div w:id="1280917169">
      <w:bodyDiv w:val="1"/>
      <w:marLeft w:val="0"/>
      <w:marRight w:val="0"/>
      <w:marTop w:val="0"/>
      <w:marBottom w:val="0"/>
      <w:divBdr>
        <w:top w:val="none" w:sz="0" w:space="0" w:color="auto"/>
        <w:left w:val="none" w:sz="0" w:space="0" w:color="auto"/>
        <w:bottom w:val="none" w:sz="0" w:space="0" w:color="auto"/>
        <w:right w:val="none" w:sz="0" w:space="0" w:color="auto"/>
      </w:divBdr>
      <w:divsChild>
        <w:div w:id="696808138">
          <w:marLeft w:val="547"/>
          <w:marRight w:val="0"/>
          <w:marTop w:val="0"/>
          <w:marBottom w:val="0"/>
          <w:divBdr>
            <w:top w:val="none" w:sz="0" w:space="0" w:color="auto"/>
            <w:left w:val="none" w:sz="0" w:space="0" w:color="auto"/>
            <w:bottom w:val="none" w:sz="0" w:space="0" w:color="auto"/>
            <w:right w:val="none" w:sz="0" w:space="0" w:color="auto"/>
          </w:divBdr>
        </w:div>
      </w:divsChild>
    </w:div>
    <w:div w:id="1283070926">
      <w:bodyDiv w:val="1"/>
      <w:marLeft w:val="0"/>
      <w:marRight w:val="0"/>
      <w:marTop w:val="0"/>
      <w:marBottom w:val="0"/>
      <w:divBdr>
        <w:top w:val="none" w:sz="0" w:space="0" w:color="auto"/>
        <w:left w:val="none" w:sz="0" w:space="0" w:color="auto"/>
        <w:bottom w:val="none" w:sz="0" w:space="0" w:color="auto"/>
        <w:right w:val="none" w:sz="0" w:space="0" w:color="auto"/>
      </w:divBdr>
    </w:div>
    <w:div w:id="1285817048">
      <w:bodyDiv w:val="1"/>
      <w:marLeft w:val="0"/>
      <w:marRight w:val="0"/>
      <w:marTop w:val="0"/>
      <w:marBottom w:val="0"/>
      <w:divBdr>
        <w:top w:val="none" w:sz="0" w:space="0" w:color="auto"/>
        <w:left w:val="none" w:sz="0" w:space="0" w:color="auto"/>
        <w:bottom w:val="none" w:sz="0" w:space="0" w:color="auto"/>
        <w:right w:val="none" w:sz="0" w:space="0" w:color="auto"/>
      </w:divBdr>
    </w:div>
    <w:div w:id="1286426225">
      <w:bodyDiv w:val="1"/>
      <w:marLeft w:val="0"/>
      <w:marRight w:val="0"/>
      <w:marTop w:val="0"/>
      <w:marBottom w:val="0"/>
      <w:divBdr>
        <w:top w:val="none" w:sz="0" w:space="0" w:color="auto"/>
        <w:left w:val="none" w:sz="0" w:space="0" w:color="auto"/>
        <w:bottom w:val="none" w:sz="0" w:space="0" w:color="auto"/>
        <w:right w:val="none" w:sz="0" w:space="0" w:color="auto"/>
      </w:divBdr>
    </w:div>
    <w:div w:id="1289164285">
      <w:bodyDiv w:val="1"/>
      <w:marLeft w:val="0"/>
      <w:marRight w:val="0"/>
      <w:marTop w:val="0"/>
      <w:marBottom w:val="0"/>
      <w:divBdr>
        <w:top w:val="none" w:sz="0" w:space="0" w:color="auto"/>
        <w:left w:val="none" w:sz="0" w:space="0" w:color="auto"/>
        <w:bottom w:val="none" w:sz="0" w:space="0" w:color="auto"/>
        <w:right w:val="none" w:sz="0" w:space="0" w:color="auto"/>
      </w:divBdr>
    </w:div>
    <w:div w:id="1289776197">
      <w:bodyDiv w:val="1"/>
      <w:marLeft w:val="0"/>
      <w:marRight w:val="0"/>
      <w:marTop w:val="0"/>
      <w:marBottom w:val="0"/>
      <w:divBdr>
        <w:top w:val="none" w:sz="0" w:space="0" w:color="auto"/>
        <w:left w:val="none" w:sz="0" w:space="0" w:color="auto"/>
        <w:bottom w:val="none" w:sz="0" w:space="0" w:color="auto"/>
        <w:right w:val="none" w:sz="0" w:space="0" w:color="auto"/>
      </w:divBdr>
      <w:divsChild>
        <w:div w:id="1267345906">
          <w:marLeft w:val="0"/>
          <w:marRight w:val="0"/>
          <w:marTop w:val="0"/>
          <w:marBottom w:val="0"/>
          <w:divBdr>
            <w:top w:val="none" w:sz="0" w:space="0" w:color="auto"/>
            <w:left w:val="none" w:sz="0" w:space="0" w:color="auto"/>
            <w:bottom w:val="none" w:sz="0" w:space="0" w:color="auto"/>
            <w:right w:val="none" w:sz="0" w:space="0" w:color="auto"/>
          </w:divBdr>
          <w:divsChild>
            <w:div w:id="902522098">
              <w:marLeft w:val="0"/>
              <w:marRight w:val="0"/>
              <w:marTop w:val="0"/>
              <w:marBottom w:val="0"/>
              <w:divBdr>
                <w:top w:val="none" w:sz="0" w:space="0" w:color="auto"/>
                <w:left w:val="none" w:sz="0" w:space="0" w:color="auto"/>
                <w:bottom w:val="none" w:sz="0" w:space="0" w:color="auto"/>
                <w:right w:val="none" w:sz="0" w:space="0" w:color="auto"/>
              </w:divBdr>
              <w:divsChild>
                <w:div w:id="657731412">
                  <w:marLeft w:val="0"/>
                  <w:marRight w:val="0"/>
                  <w:marTop w:val="0"/>
                  <w:marBottom w:val="0"/>
                  <w:divBdr>
                    <w:top w:val="none" w:sz="0" w:space="0" w:color="auto"/>
                    <w:left w:val="none" w:sz="0" w:space="0" w:color="auto"/>
                    <w:bottom w:val="none" w:sz="0" w:space="0" w:color="auto"/>
                    <w:right w:val="none" w:sz="0" w:space="0" w:color="auto"/>
                  </w:divBdr>
                  <w:divsChild>
                    <w:div w:id="1829203827">
                      <w:marLeft w:val="0"/>
                      <w:marRight w:val="0"/>
                      <w:marTop w:val="0"/>
                      <w:marBottom w:val="0"/>
                      <w:divBdr>
                        <w:top w:val="none" w:sz="0" w:space="0" w:color="auto"/>
                        <w:left w:val="none" w:sz="0" w:space="0" w:color="auto"/>
                        <w:bottom w:val="none" w:sz="0" w:space="0" w:color="auto"/>
                        <w:right w:val="none" w:sz="0" w:space="0" w:color="auto"/>
                      </w:divBdr>
                    </w:div>
                  </w:divsChild>
                </w:div>
                <w:div w:id="1775786250">
                  <w:marLeft w:val="0"/>
                  <w:marRight w:val="0"/>
                  <w:marTop w:val="0"/>
                  <w:marBottom w:val="0"/>
                  <w:divBdr>
                    <w:top w:val="none" w:sz="0" w:space="0" w:color="auto"/>
                    <w:left w:val="none" w:sz="0" w:space="0" w:color="auto"/>
                    <w:bottom w:val="none" w:sz="0" w:space="0" w:color="auto"/>
                    <w:right w:val="none" w:sz="0" w:space="0" w:color="auto"/>
                  </w:divBdr>
                  <w:divsChild>
                    <w:div w:id="18649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6481">
      <w:bodyDiv w:val="1"/>
      <w:marLeft w:val="0"/>
      <w:marRight w:val="0"/>
      <w:marTop w:val="0"/>
      <w:marBottom w:val="0"/>
      <w:divBdr>
        <w:top w:val="none" w:sz="0" w:space="0" w:color="auto"/>
        <w:left w:val="none" w:sz="0" w:space="0" w:color="auto"/>
        <w:bottom w:val="none" w:sz="0" w:space="0" w:color="auto"/>
        <w:right w:val="none" w:sz="0" w:space="0" w:color="auto"/>
      </w:divBdr>
    </w:div>
    <w:div w:id="1297641075">
      <w:bodyDiv w:val="1"/>
      <w:marLeft w:val="0"/>
      <w:marRight w:val="0"/>
      <w:marTop w:val="0"/>
      <w:marBottom w:val="0"/>
      <w:divBdr>
        <w:top w:val="none" w:sz="0" w:space="0" w:color="auto"/>
        <w:left w:val="none" w:sz="0" w:space="0" w:color="auto"/>
        <w:bottom w:val="none" w:sz="0" w:space="0" w:color="auto"/>
        <w:right w:val="none" w:sz="0" w:space="0" w:color="auto"/>
      </w:divBdr>
    </w:div>
    <w:div w:id="1298146073">
      <w:bodyDiv w:val="1"/>
      <w:marLeft w:val="0"/>
      <w:marRight w:val="0"/>
      <w:marTop w:val="0"/>
      <w:marBottom w:val="0"/>
      <w:divBdr>
        <w:top w:val="none" w:sz="0" w:space="0" w:color="auto"/>
        <w:left w:val="none" w:sz="0" w:space="0" w:color="auto"/>
        <w:bottom w:val="none" w:sz="0" w:space="0" w:color="auto"/>
        <w:right w:val="none" w:sz="0" w:space="0" w:color="auto"/>
      </w:divBdr>
    </w:div>
    <w:div w:id="1301839294">
      <w:bodyDiv w:val="1"/>
      <w:marLeft w:val="0"/>
      <w:marRight w:val="0"/>
      <w:marTop w:val="0"/>
      <w:marBottom w:val="0"/>
      <w:divBdr>
        <w:top w:val="none" w:sz="0" w:space="0" w:color="auto"/>
        <w:left w:val="none" w:sz="0" w:space="0" w:color="auto"/>
        <w:bottom w:val="none" w:sz="0" w:space="0" w:color="auto"/>
        <w:right w:val="none" w:sz="0" w:space="0" w:color="auto"/>
      </w:divBdr>
      <w:divsChild>
        <w:div w:id="1291475596">
          <w:marLeft w:val="547"/>
          <w:marRight w:val="0"/>
          <w:marTop w:val="0"/>
          <w:marBottom w:val="0"/>
          <w:divBdr>
            <w:top w:val="none" w:sz="0" w:space="0" w:color="auto"/>
            <w:left w:val="none" w:sz="0" w:space="0" w:color="auto"/>
            <w:bottom w:val="none" w:sz="0" w:space="0" w:color="auto"/>
            <w:right w:val="none" w:sz="0" w:space="0" w:color="auto"/>
          </w:divBdr>
        </w:div>
        <w:div w:id="1547372898">
          <w:marLeft w:val="547"/>
          <w:marRight w:val="0"/>
          <w:marTop w:val="0"/>
          <w:marBottom w:val="0"/>
          <w:divBdr>
            <w:top w:val="none" w:sz="0" w:space="0" w:color="auto"/>
            <w:left w:val="none" w:sz="0" w:space="0" w:color="auto"/>
            <w:bottom w:val="none" w:sz="0" w:space="0" w:color="auto"/>
            <w:right w:val="none" w:sz="0" w:space="0" w:color="auto"/>
          </w:divBdr>
        </w:div>
        <w:div w:id="1866869275">
          <w:marLeft w:val="547"/>
          <w:marRight w:val="0"/>
          <w:marTop w:val="0"/>
          <w:marBottom w:val="0"/>
          <w:divBdr>
            <w:top w:val="none" w:sz="0" w:space="0" w:color="auto"/>
            <w:left w:val="none" w:sz="0" w:space="0" w:color="auto"/>
            <w:bottom w:val="none" w:sz="0" w:space="0" w:color="auto"/>
            <w:right w:val="none" w:sz="0" w:space="0" w:color="auto"/>
          </w:divBdr>
        </w:div>
      </w:divsChild>
    </w:div>
    <w:div w:id="1302808347">
      <w:bodyDiv w:val="1"/>
      <w:marLeft w:val="0"/>
      <w:marRight w:val="0"/>
      <w:marTop w:val="0"/>
      <w:marBottom w:val="0"/>
      <w:divBdr>
        <w:top w:val="none" w:sz="0" w:space="0" w:color="auto"/>
        <w:left w:val="none" w:sz="0" w:space="0" w:color="auto"/>
        <w:bottom w:val="none" w:sz="0" w:space="0" w:color="auto"/>
        <w:right w:val="none" w:sz="0" w:space="0" w:color="auto"/>
      </w:divBdr>
    </w:div>
    <w:div w:id="1304313909">
      <w:bodyDiv w:val="1"/>
      <w:marLeft w:val="0"/>
      <w:marRight w:val="0"/>
      <w:marTop w:val="0"/>
      <w:marBottom w:val="0"/>
      <w:divBdr>
        <w:top w:val="none" w:sz="0" w:space="0" w:color="auto"/>
        <w:left w:val="none" w:sz="0" w:space="0" w:color="auto"/>
        <w:bottom w:val="none" w:sz="0" w:space="0" w:color="auto"/>
        <w:right w:val="none" w:sz="0" w:space="0" w:color="auto"/>
      </w:divBdr>
    </w:div>
    <w:div w:id="1308125551">
      <w:bodyDiv w:val="1"/>
      <w:marLeft w:val="0"/>
      <w:marRight w:val="0"/>
      <w:marTop w:val="0"/>
      <w:marBottom w:val="0"/>
      <w:divBdr>
        <w:top w:val="none" w:sz="0" w:space="0" w:color="auto"/>
        <w:left w:val="none" w:sz="0" w:space="0" w:color="auto"/>
        <w:bottom w:val="none" w:sz="0" w:space="0" w:color="auto"/>
        <w:right w:val="none" w:sz="0" w:space="0" w:color="auto"/>
      </w:divBdr>
      <w:divsChild>
        <w:div w:id="2062710377">
          <w:marLeft w:val="0"/>
          <w:marRight w:val="0"/>
          <w:marTop w:val="0"/>
          <w:marBottom w:val="0"/>
          <w:divBdr>
            <w:top w:val="none" w:sz="0" w:space="0" w:color="auto"/>
            <w:left w:val="none" w:sz="0" w:space="0" w:color="auto"/>
            <w:bottom w:val="none" w:sz="0" w:space="0" w:color="auto"/>
            <w:right w:val="none" w:sz="0" w:space="0" w:color="auto"/>
          </w:divBdr>
          <w:divsChild>
            <w:div w:id="301811466">
              <w:marLeft w:val="0"/>
              <w:marRight w:val="0"/>
              <w:marTop w:val="0"/>
              <w:marBottom w:val="0"/>
              <w:divBdr>
                <w:top w:val="none" w:sz="0" w:space="0" w:color="auto"/>
                <w:left w:val="none" w:sz="0" w:space="0" w:color="auto"/>
                <w:bottom w:val="none" w:sz="0" w:space="0" w:color="auto"/>
                <w:right w:val="none" w:sz="0" w:space="0" w:color="auto"/>
              </w:divBdr>
              <w:divsChild>
                <w:div w:id="19053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3984">
      <w:bodyDiv w:val="1"/>
      <w:marLeft w:val="0"/>
      <w:marRight w:val="0"/>
      <w:marTop w:val="0"/>
      <w:marBottom w:val="0"/>
      <w:divBdr>
        <w:top w:val="none" w:sz="0" w:space="0" w:color="auto"/>
        <w:left w:val="none" w:sz="0" w:space="0" w:color="auto"/>
        <w:bottom w:val="none" w:sz="0" w:space="0" w:color="auto"/>
        <w:right w:val="none" w:sz="0" w:space="0" w:color="auto"/>
      </w:divBdr>
    </w:div>
    <w:div w:id="1313757048">
      <w:bodyDiv w:val="1"/>
      <w:marLeft w:val="0"/>
      <w:marRight w:val="0"/>
      <w:marTop w:val="0"/>
      <w:marBottom w:val="0"/>
      <w:divBdr>
        <w:top w:val="none" w:sz="0" w:space="0" w:color="auto"/>
        <w:left w:val="none" w:sz="0" w:space="0" w:color="auto"/>
        <w:bottom w:val="none" w:sz="0" w:space="0" w:color="auto"/>
        <w:right w:val="none" w:sz="0" w:space="0" w:color="auto"/>
      </w:divBdr>
    </w:div>
    <w:div w:id="1313871778">
      <w:bodyDiv w:val="1"/>
      <w:marLeft w:val="0"/>
      <w:marRight w:val="0"/>
      <w:marTop w:val="0"/>
      <w:marBottom w:val="0"/>
      <w:divBdr>
        <w:top w:val="none" w:sz="0" w:space="0" w:color="auto"/>
        <w:left w:val="none" w:sz="0" w:space="0" w:color="auto"/>
        <w:bottom w:val="none" w:sz="0" w:space="0" w:color="auto"/>
        <w:right w:val="none" w:sz="0" w:space="0" w:color="auto"/>
      </w:divBdr>
    </w:div>
    <w:div w:id="1314721301">
      <w:bodyDiv w:val="1"/>
      <w:marLeft w:val="0"/>
      <w:marRight w:val="0"/>
      <w:marTop w:val="0"/>
      <w:marBottom w:val="0"/>
      <w:divBdr>
        <w:top w:val="none" w:sz="0" w:space="0" w:color="auto"/>
        <w:left w:val="none" w:sz="0" w:space="0" w:color="auto"/>
        <w:bottom w:val="none" w:sz="0" w:space="0" w:color="auto"/>
        <w:right w:val="none" w:sz="0" w:space="0" w:color="auto"/>
      </w:divBdr>
    </w:div>
    <w:div w:id="1330405865">
      <w:bodyDiv w:val="1"/>
      <w:marLeft w:val="0"/>
      <w:marRight w:val="0"/>
      <w:marTop w:val="0"/>
      <w:marBottom w:val="0"/>
      <w:divBdr>
        <w:top w:val="none" w:sz="0" w:space="0" w:color="auto"/>
        <w:left w:val="none" w:sz="0" w:space="0" w:color="auto"/>
        <w:bottom w:val="none" w:sz="0" w:space="0" w:color="auto"/>
        <w:right w:val="none" w:sz="0" w:space="0" w:color="auto"/>
      </w:divBdr>
    </w:div>
    <w:div w:id="1340615718">
      <w:bodyDiv w:val="1"/>
      <w:marLeft w:val="0"/>
      <w:marRight w:val="0"/>
      <w:marTop w:val="0"/>
      <w:marBottom w:val="0"/>
      <w:divBdr>
        <w:top w:val="none" w:sz="0" w:space="0" w:color="auto"/>
        <w:left w:val="none" w:sz="0" w:space="0" w:color="auto"/>
        <w:bottom w:val="none" w:sz="0" w:space="0" w:color="auto"/>
        <w:right w:val="none" w:sz="0" w:space="0" w:color="auto"/>
      </w:divBdr>
      <w:divsChild>
        <w:div w:id="81218562">
          <w:marLeft w:val="720"/>
          <w:marRight w:val="0"/>
          <w:marTop w:val="0"/>
          <w:marBottom w:val="0"/>
          <w:divBdr>
            <w:top w:val="none" w:sz="0" w:space="0" w:color="auto"/>
            <w:left w:val="none" w:sz="0" w:space="0" w:color="auto"/>
            <w:bottom w:val="none" w:sz="0" w:space="0" w:color="auto"/>
            <w:right w:val="none" w:sz="0" w:space="0" w:color="auto"/>
          </w:divBdr>
        </w:div>
        <w:div w:id="337804908">
          <w:marLeft w:val="720"/>
          <w:marRight w:val="0"/>
          <w:marTop w:val="0"/>
          <w:marBottom w:val="0"/>
          <w:divBdr>
            <w:top w:val="none" w:sz="0" w:space="0" w:color="auto"/>
            <w:left w:val="none" w:sz="0" w:space="0" w:color="auto"/>
            <w:bottom w:val="none" w:sz="0" w:space="0" w:color="auto"/>
            <w:right w:val="none" w:sz="0" w:space="0" w:color="auto"/>
          </w:divBdr>
        </w:div>
        <w:div w:id="398406702">
          <w:marLeft w:val="720"/>
          <w:marRight w:val="0"/>
          <w:marTop w:val="0"/>
          <w:marBottom w:val="0"/>
          <w:divBdr>
            <w:top w:val="none" w:sz="0" w:space="0" w:color="auto"/>
            <w:left w:val="none" w:sz="0" w:space="0" w:color="auto"/>
            <w:bottom w:val="none" w:sz="0" w:space="0" w:color="auto"/>
            <w:right w:val="none" w:sz="0" w:space="0" w:color="auto"/>
          </w:divBdr>
        </w:div>
        <w:div w:id="2035574374">
          <w:marLeft w:val="720"/>
          <w:marRight w:val="0"/>
          <w:marTop w:val="0"/>
          <w:marBottom w:val="0"/>
          <w:divBdr>
            <w:top w:val="none" w:sz="0" w:space="0" w:color="auto"/>
            <w:left w:val="none" w:sz="0" w:space="0" w:color="auto"/>
            <w:bottom w:val="none" w:sz="0" w:space="0" w:color="auto"/>
            <w:right w:val="none" w:sz="0" w:space="0" w:color="auto"/>
          </w:divBdr>
        </w:div>
      </w:divsChild>
    </w:div>
    <w:div w:id="1342469623">
      <w:bodyDiv w:val="1"/>
      <w:marLeft w:val="0"/>
      <w:marRight w:val="0"/>
      <w:marTop w:val="0"/>
      <w:marBottom w:val="0"/>
      <w:divBdr>
        <w:top w:val="none" w:sz="0" w:space="0" w:color="auto"/>
        <w:left w:val="none" w:sz="0" w:space="0" w:color="auto"/>
        <w:bottom w:val="none" w:sz="0" w:space="0" w:color="auto"/>
        <w:right w:val="none" w:sz="0" w:space="0" w:color="auto"/>
      </w:divBdr>
    </w:div>
    <w:div w:id="1343507234">
      <w:bodyDiv w:val="1"/>
      <w:marLeft w:val="0"/>
      <w:marRight w:val="0"/>
      <w:marTop w:val="0"/>
      <w:marBottom w:val="0"/>
      <w:divBdr>
        <w:top w:val="none" w:sz="0" w:space="0" w:color="auto"/>
        <w:left w:val="none" w:sz="0" w:space="0" w:color="auto"/>
        <w:bottom w:val="none" w:sz="0" w:space="0" w:color="auto"/>
        <w:right w:val="none" w:sz="0" w:space="0" w:color="auto"/>
      </w:divBdr>
    </w:div>
    <w:div w:id="1347249964">
      <w:bodyDiv w:val="1"/>
      <w:marLeft w:val="0"/>
      <w:marRight w:val="0"/>
      <w:marTop w:val="0"/>
      <w:marBottom w:val="0"/>
      <w:divBdr>
        <w:top w:val="none" w:sz="0" w:space="0" w:color="auto"/>
        <w:left w:val="none" w:sz="0" w:space="0" w:color="auto"/>
        <w:bottom w:val="none" w:sz="0" w:space="0" w:color="auto"/>
        <w:right w:val="none" w:sz="0" w:space="0" w:color="auto"/>
      </w:divBdr>
    </w:div>
    <w:div w:id="1351567676">
      <w:bodyDiv w:val="1"/>
      <w:marLeft w:val="0"/>
      <w:marRight w:val="0"/>
      <w:marTop w:val="0"/>
      <w:marBottom w:val="0"/>
      <w:divBdr>
        <w:top w:val="none" w:sz="0" w:space="0" w:color="auto"/>
        <w:left w:val="none" w:sz="0" w:space="0" w:color="auto"/>
        <w:bottom w:val="none" w:sz="0" w:space="0" w:color="auto"/>
        <w:right w:val="none" w:sz="0" w:space="0" w:color="auto"/>
      </w:divBdr>
      <w:divsChild>
        <w:div w:id="1133911961">
          <w:marLeft w:val="0"/>
          <w:marRight w:val="0"/>
          <w:marTop w:val="0"/>
          <w:marBottom w:val="0"/>
          <w:divBdr>
            <w:top w:val="none" w:sz="0" w:space="0" w:color="auto"/>
            <w:left w:val="none" w:sz="0" w:space="0" w:color="auto"/>
            <w:bottom w:val="none" w:sz="0" w:space="0" w:color="auto"/>
            <w:right w:val="none" w:sz="0" w:space="0" w:color="auto"/>
          </w:divBdr>
          <w:divsChild>
            <w:div w:id="992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8709">
      <w:bodyDiv w:val="1"/>
      <w:marLeft w:val="0"/>
      <w:marRight w:val="0"/>
      <w:marTop w:val="0"/>
      <w:marBottom w:val="0"/>
      <w:divBdr>
        <w:top w:val="none" w:sz="0" w:space="0" w:color="auto"/>
        <w:left w:val="none" w:sz="0" w:space="0" w:color="auto"/>
        <w:bottom w:val="none" w:sz="0" w:space="0" w:color="auto"/>
        <w:right w:val="none" w:sz="0" w:space="0" w:color="auto"/>
      </w:divBdr>
    </w:div>
    <w:div w:id="1358576648">
      <w:bodyDiv w:val="1"/>
      <w:marLeft w:val="0"/>
      <w:marRight w:val="0"/>
      <w:marTop w:val="0"/>
      <w:marBottom w:val="0"/>
      <w:divBdr>
        <w:top w:val="none" w:sz="0" w:space="0" w:color="auto"/>
        <w:left w:val="none" w:sz="0" w:space="0" w:color="auto"/>
        <w:bottom w:val="none" w:sz="0" w:space="0" w:color="auto"/>
        <w:right w:val="none" w:sz="0" w:space="0" w:color="auto"/>
      </w:divBdr>
    </w:div>
    <w:div w:id="1361588192">
      <w:bodyDiv w:val="1"/>
      <w:marLeft w:val="0"/>
      <w:marRight w:val="0"/>
      <w:marTop w:val="0"/>
      <w:marBottom w:val="0"/>
      <w:divBdr>
        <w:top w:val="none" w:sz="0" w:space="0" w:color="auto"/>
        <w:left w:val="none" w:sz="0" w:space="0" w:color="auto"/>
        <w:bottom w:val="none" w:sz="0" w:space="0" w:color="auto"/>
        <w:right w:val="none" w:sz="0" w:space="0" w:color="auto"/>
      </w:divBdr>
    </w:div>
    <w:div w:id="1362633064">
      <w:bodyDiv w:val="1"/>
      <w:marLeft w:val="0"/>
      <w:marRight w:val="0"/>
      <w:marTop w:val="0"/>
      <w:marBottom w:val="0"/>
      <w:divBdr>
        <w:top w:val="none" w:sz="0" w:space="0" w:color="auto"/>
        <w:left w:val="none" w:sz="0" w:space="0" w:color="auto"/>
        <w:bottom w:val="none" w:sz="0" w:space="0" w:color="auto"/>
        <w:right w:val="none" w:sz="0" w:space="0" w:color="auto"/>
      </w:divBdr>
    </w:div>
    <w:div w:id="1370572010">
      <w:bodyDiv w:val="1"/>
      <w:marLeft w:val="0"/>
      <w:marRight w:val="0"/>
      <w:marTop w:val="0"/>
      <w:marBottom w:val="0"/>
      <w:divBdr>
        <w:top w:val="none" w:sz="0" w:space="0" w:color="auto"/>
        <w:left w:val="none" w:sz="0" w:space="0" w:color="auto"/>
        <w:bottom w:val="none" w:sz="0" w:space="0" w:color="auto"/>
        <w:right w:val="none" w:sz="0" w:space="0" w:color="auto"/>
      </w:divBdr>
    </w:div>
    <w:div w:id="1376391421">
      <w:bodyDiv w:val="1"/>
      <w:marLeft w:val="0"/>
      <w:marRight w:val="0"/>
      <w:marTop w:val="0"/>
      <w:marBottom w:val="0"/>
      <w:divBdr>
        <w:top w:val="none" w:sz="0" w:space="0" w:color="auto"/>
        <w:left w:val="none" w:sz="0" w:space="0" w:color="auto"/>
        <w:bottom w:val="none" w:sz="0" w:space="0" w:color="auto"/>
        <w:right w:val="none" w:sz="0" w:space="0" w:color="auto"/>
      </w:divBdr>
    </w:div>
    <w:div w:id="1377310538">
      <w:bodyDiv w:val="1"/>
      <w:marLeft w:val="0"/>
      <w:marRight w:val="0"/>
      <w:marTop w:val="0"/>
      <w:marBottom w:val="0"/>
      <w:divBdr>
        <w:top w:val="none" w:sz="0" w:space="0" w:color="auto"/>
        <w:left w:val="none" w:sz="0" w:space="0" w:color="auto"/>
        <w:bottom w:val="none" w:sz="0" w:space="0" w:color="auto"/>
        <w:right w:val="none" w:sz="0" w:space="0" w:color="auto"/>
      </w:divBdr>
      <w:divsChild>
        <w:div w:id="467866767">
          <w:marLeft w:val="1166"/>
          <w:marRight w:val="0"/>
          <w:marTop w:val="134"/>
          <w:marBottom w:val="0"/>
          <w:divBdr>
            <w:top w:val="none" w:sz="0" w:space="0" w:color="auto"/>
            <w:left w:val="none" w:sz="0" w:space="0" w:color="auto"/>
            <w:bottom w:val="none" w:sz="0" w:space="0" w:color="auto"/>
            <w:right w:val="none" w:sz="0" w:space="0" w:color="auto"/>
          </w:divBdr>
        </w:div>
        <w:div w:id="816722076">
          <w:marLeft w:val="907"/>
          <w:marRight w:val="0"/>
          <w:marTop w:val="139"/>
          <w:marBottom w:val="0"/>
          <w:divBdr>
            <w:top w:val="none" w:sz="0" w:space="0" w:color="auto"/>
            <w:left w:val="none" w:sz="0" w:space="0" w:color="auto"/>
            <w:bottom w:val="none" w:sz="0" w:space="0" w:color="auto"/>
            <w:right w:val="none" w:sz="0" w:space="0" w:color="auto"/>
          </w:divBdr>
        </w:div>
        <w:div w:id="1577789832">
          <w:marLeft w:val="907"/>
          <w:marRight w:val="0"/>
          <w:marTop w:val="139"/>
          <w:marBottom w:val="0"/>
          <w:divBdr>
            <w:top w:val="none" w:sz="0" w:space="0" w:color="auto"/>
            <w:left w:val="none" w:sz="0" w:space="0" w:color="auto"/>
            <w:bottom w:val="none" w:sz="0" w:space="0" w:color="auto"/>
            <w:right w:val="none" w:sz="0" w:space="0" w:color="auto"/>
          </w:divBdr>
        </w:div>
        <w:div w:id="1849247743">
          <w:marLeft w:val="1166"/>
          <w:marRight w:val="0"/>
          <w:marTop w:val="134"/>
          <w:marBottom w:val="0"/>
          <w:divBdr>
            <w:top w:val="none" w:sz="0" w:space="0" w:color="auto"/>
            <w:left w:val="none" w:sz="0" w:space="0" w:color="auto"/>
            <w:bottom w:val="none" w:sz="0" w:space="0" w:color="auto"/>
            <w:right w:val="none" w:sz="0" w:space="0" w:color="auto"/>
          </w:divBdr>
        </w:div>
      </w:divsChild>
    </w:div>
    <w:div w:id="1378353203">
      <w:bodyDiv w:val="1"/>
      <w:marLeft w:val="0"/>
      <w:marRight w:val="0"/>
      <w:marTop w:val="0"/>
      <w:marBottom w:val="0"/>
      <w:divBdr>
        <w:top w:val="none" w:sz="0" w:space="0" w:color="auto"/>
        <w:left w:val="none" w:sz="0" w:space="0" w:color="auto"/>
        <w:bottom w:val="none" w:sz="0" w:space="0" w:color="auto"/>
        <w:right w:val="none" w:sz="0" w:space="0" w:color="auto"/>
      </w:divBdr>
    </w:div>
    <w:div w:id="1379672190">
      <w:bodyDiv w:val="1"/>
      <w:marLeft w:val="0"/>
      <w:marRight w:val="0"/>
      <w:marTop w:val="0"/>
      <w:marBottom w:val="0"/>
      <w:divBdr>
        <w:top w:val="none" w:sz="0" w:space="0" w:color="auto"/>
        <w:left w:val="none" w:sz="0" w:space="0" w:color="auto"/>
        <w:bottom w:val="none" w:sz="0" w:space="0" w:color="auto"/>
        <w:right w:val="none" w:sz="0" w:space="0" w:color="auto"/>
      </w:divBdr>
    </w:div>
    <w:div w:id="1382290074">
      <w:bodyDiv w:val="1"/>
      <w:marLeft w:val="0"/>
      <w:marRight w:val="0"/>
      <w:marTop w:val="0"/>
      <w:marBottom w:val="0"/>
      <w:divBdr>
        <w:top w:val="none" w:sz="0" w:space="0" w:color="auto"/>
        <w:left w:val="none" w:sz="0" w:space="0" w:color="auto"/>
        <w:bottom w:val="none" w:sz="0" w:space="0" w:color="auto"/>
        <w:right w:val="none" w:sz="0" w:space="0" w:color="auto"/>
      </w:divBdr>
    </w:div>
    <w:div w:id="1392194407">
      <w:bodyDiv w:val="1"/>
      <w:marLeft w:val="0"/>
      <w:marRight w:val="0"/>
      <w:marTop w:val="0"/>
      <w:marBottom w:val="0"/>
      <w:divBdr>
        <w:top w:val="none" w:sz="0" w:space="0" w:color="auto"/>
        <w:left w:val="none" w:sz="0" w:space="0" w:color="auto"/>
        <w:bottom w:val="none" w:sz="0" w:space="0" w:color="auto"/>
        <w:right w:val="none" w:sz="0" w:space="0" w:color="auto"/>
      </w:divBdr>
    </w:div>
    <w:div w:id="1396972953">
      <w:bodyDiv w:val="1"/>
      <w:marLeft w:val="0"/>
      <w:marRight w:val="0"/>
      <w:marTop w:val="0"/>
      <w:marBottom w:val="0"/>
      <w:divBdr>
        <w:top w:val="none" w:sz="0" w:space="0" w:color="auto"/>
        <w:left w:val="none" w:sz="0" w:space="0" w:color="auto"/>
        <w:bottom w:val="none" w:sz="0" w:space="0" w:color="auto"/>
        <w:right w:val="none" w:sz="0" w:space="0" w:color="auto"/>
      </w:divBdr>
    </w:div>
    <w:div w:id="1397585354">
      <w:bodyDiv w:val="1"/>
      <w:marLeft w:val="0"/>
      <w:marRight w:val="0"/>
      <w:marTop w:val="0"/>
      <w:marBottom w:val="0"/>
      <w:divBdr>
        <w:top w:val="none" w:sz="0" w:space="0" w:color="auto"/>
        <w:left w:val="none" w:sz="0" w:space="0" w:color="auto"/>
        <w:bottom w:val="none" w:sz="0" w:space="0" w:color="auto"/>
        <w:right w:val="none" w:sz="0" w:space="0" w:color="auto"/>
      </w:divBdr>
    </w:div>
    <w:div w:id="1417245697">
      <w:bodyDiv w:val="1"/>
      <w:marLeft w:val="0"/>
      <w:marRight w:val="0"/>
      <w:marTop w:val="0"/>
      <w:marBottom w:val="0"/>
      <w:divBdr>
        <w:top w:val="none" w:sz="0" w:space="0" w:color="auto"/>
        <w:left w:val="none" w:sz="0" w:space="0" w:color="auto"/>
        <w:bottom w:val="none" w:sz="0" w:space="0" w:color="auto"/>
        <w:right w:val="none" w:sz="0" w:space="0" w:color="auto"/>
      </w:divBdr>
    </w:div>
    <w:div w:id="1419403427">
      <w:bodyDiv w:val="1"/>
      <w:marLeft w:val="0"/>
      <w:marRight w:val="0"/>
      <w:marTop w:val="0"/>
      <w:marBottom w:val="0"/>
      <w:divBdr>
        <w:top w:val="none" w:sz="0" w:space="0" w:color="auto"/>
        <w:left w:val="none" w:sz="0" w:space="0" w:color="auto"/>
        <w:bottom w:val="none" w:sz="0" w:space="0" w:color="auto"/>
        <w:right w:val="none" w:sz="0" w:space="0" w:color="auto"/>
      </w:divBdr>
    </w:div>
    <w:div w:id="1420903046">
      <w:bodyDiv w:val="1"/>
      <w:marLeft w:val="0"/>
      <w:marRight w:val="0"/>
      <w:marTop w:val="0"/>
      <w:marBottom w:val="0"/>
      <w:divBdr>
        <w:top w:val="none" w:sz="0" w:space="0" w:color="auto"/>
        <w:left w:val="none" w:sz="0" w:space="0" w:color="auto"/>
        <w:bottom w:val="none" w:sz="0" w:space="0" w:color="auto"/>
        <w:right w:val="none" w:sz="0" w:space="0" w:color="auto"/>
      </w:divBdr>
    </w:div>
    <w:div w:id="1421024241">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sChild>
        <w:div w:id="1656908022">
          <w:marLeft w:val="0"/>
          <w:marRight w:val="0"/>
          <w:marTop w:val="0"/>
          <w:marBottom w:val="0"/>
          <w:divBdr>
            <w:top w:val="none" w:sz="0" w:space="0" w:color="auto"/>
            <w:left w:val="none" w:sz="0" w:space="0" w:color="auto"/>
            <w:bottom w:val="none" w:sz="0" w:space="0" w:color="auto"/>
            <w:right w:val="none" w:sz="0" w:space="0" w:color="auto"/>
          </w:divBdr>
          <w:divsChild>
            <w:div w:id="942759621">
              <w:marLeft w:val="0"/>
              <w:marRight w:val="0"/>
              <w:marTop w:val="0"/>
              <w:marBottom w:val="0"/>
              <w:divBdr>
                <w:top w:val="none" w:sz="0" w:space="0" w:color="auto"/>
                <w:left w:val="none" w:sz="0" w:space="0" w:color="auto"/>
                <w:bottom w:val="none" w:sz="0" w:space="0" w:color="auto"/>
                <w:right w:val="none" w:sz="0" w:space="0" w:color="auto"/>
              </w:divBdr>
              <w:divsChild>
                <w:div w:id="1622154106">
                  <w:marLeft w:val="0"/>
                  <w:marRight w:val="0"/>
                  <w:marTop w:val="0"/>
                  <w:marBottom w:val="0"/>
                  <w:divBdr>
                    <w:top w:val="none" w:sz="0" w:space="0" w:color="auto"/>
                    <w:left w:val="none" w:sz="0" w:space="0" w:color="auto"/>
                    <w:bottom w:val="none" w:sz="0" w:space="0" w:color="auto"/>
                    <w:right w:val="none" w:sz="0" w:space="0" w:color="auto"/>
                  </w:divBdr>
                  <w:divsChild>
                    <w:div w:id="1879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5366">
      <w:bodyDiv w:val="1"/>
      <w:marLeft w:val="0"/>
      <w:marRight w:val="0"/>
      <w:marTop w:val="0"/>
      <w:marBottom w:val="0"/>
      <w:divBdr>
        <w:top w:val="none" w:sz="0" w:space="0" w:color="auto"/>
        <w:left w:val="none" w:sz="0" w:space="0" w:color="auto"/>
        <w:bottom w:val="none" w:sz="0" w:space="0" w:color="auto"/>
        <w:right w:val="none" w:sz="0" w:space="0" w:color="auto"/>
      </w:divBdr>
    </w:div>
    <w:div w:id="1431971893">
      <w:bodyDiv w:val="1"/>
      <w:marLeft w:val="0"/>
      <w:marRight w:val="0"/>
      <w:marTop w:val="0"/>
      <w:marBottom w:val="0"/>
      <w:divBdr>
        <w:top w:val="none" w:sz="0" w:space="0" w:color="auto"/>
        <w:left w:val="none" w:sz="0" w:space="0" w:color="auto"/>
        <w:bottom w:val="none" w:sz="0" w:space="0" w:color="auto"/>
        <w:right w:val="none" w:sz="0" w:space="0" w:color="auto"/>
      </w:divBdr>
      <w:divsChild>
        <w:div w:id="1979995153">
          <w:marLeft w:val="240"/>
          <w:marRight w:val="0"/>
          <w:marTop w:val="60"/>
          <w:marBottom w:val="60"/>
          <w:divBdr>
            <w:top w:val="none" w:sz="0" w:space="0" w:color="auto"/>
            <w:left w:val="none" w:sz="0" w:space="0" w:color="auto"/>
            <w:bottom w:val="none" w:sz="0" w:space="0" w:color="auto"/>
            <w:right w:val="none" w:sz="0" w:space="0" w:color="auto"/>
          </w:divBdr>
          <w:divsChild>
            <w:div w:id="319582686">
              <w:marLeft w:val="0"/>
              <w:marRight w:val="0"/>
              <w:marTop w:val="0"/>
              <w:marBottom w:val="0"/>
              <w:divBdr>
                <w:top w:val="none" w:sz="0" w:space="0" w:color="auto"/>
                <w:left w:val="none" w:sz="0" w:space="0" w:color="auto"/>
                <w:bottom w:val="none" w:sz="0" w:space="0" w:color="auto"/>
                <w:right w:val="none" w:sz="0" w:space="0" w:color="auto"/>
              </w:divBdr>
            </w:div>
          </w:divsChild>
        </w:div>
        <w:div w:id="818233177">
          <w:marLeft w:val="240"/>
          <w:marRight w:val="0"/>
          <w:marTop w:val="60"/>
          <w:marBottom w:val="60"/>
          <w:divBdr>
            <w:top w:val="none" w:sz="0" w:space="0" w:color="auto"/>
            <w:left w:val="none" w:sz="0" w:space="0" w:color="auto"/>
            <w:bottom w:val="none" w:sz="0" w:space="0" w:color="auto"/>
            <w:right w:val="none" w:sz="0" w:space="0" w:color="auto"/>
          </w:divBdr>
          <w:divsChild>
            <w:div w:id="5093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0060">
      <w:bodyDiv w:val="1"/>
      <w:marLeft w:val="0"/>
      <w:marRight w:val="0"/>
      <w:marTop w:val="0"/>
      <w:marBottom w:val="0"/>
      <w:divBdr>
        <w:top w:val="none" w:sz="0" w:space="0" w:color="auto"/>
        <w:left w:val="none" w:sz="0" w:space="0" w:color="auto"/>
        <w:bottom w:val="none" w:sz="0" w:space="0" w:color="auto"/>
        <w:right w:val="none" w:sz="0" w:space="0" w:color="auto"/>
      </w:divBdr>
    </w:div>
    <w:div w:id="1436361356">
      <w:bodyDiv w:val="1"/>
      <w:marLeft w:val="0"/>
      <w:marRight w:val="0"/>
      <w:marTop w:val="0"/>
      <w:marBottom w:val="0"/>
      <w:divBdr>
        <w:top w:val="none" w:sz="0" w:space="0" w:color="auto"/>
        <w:left w:val="none" w:sz="0" w:space="0" w:color="auto"/>
        <w:bottom w:val="none" w:sz="0" w:space="0" w:color="auto"/>
        <w:right w:val="none" w:sz="0" w:space="0" w:color="auto"/>
      </w:divBdr>
    </w:div>
    <w:div w:id="1443501225">
      <w:bodyDiv w:val="1"/>
      <w:marLeft w:val="0"/>
      <w:marRight w:val="0"/>
      <w:marTop w:val="0"/>
      <w:marBottom w:val="0"/>
      <w:divBdr>
        <w:top w:val="none" w:sz="0" w:space="0" w:color="auto"/>
        <w:left w:val="none" w:sz="0" w:space="0" w:color="auto"/>
        <w:bottom w:val="none" w:sz="0" w:space="0" w:color="auto"/>
        <w:right w:val="none" w:sz="0" w:space="0" w:color="auto"/>
      </w:divBdr>
    </w:div>
    <w:div w:id="1454323978">
      <w:bodyDiv w:val="1"/>
      <w:marLeft w:val="0"/>
      <w:marRight w:val="0"/>
      <w:marTop w:val="0"/>
      <w:marBottom w:val="0"/>
      <w:divBdr>
        <w:top w:val="none" w:sz="0" w:space="0" w:color="auto"/>
        <w:left w:val="none" w:sz="0" w:space="0" w:color="auto"/>
        <w:bottom w:val="none" w:sz="0" w:space="0" w:color="auto"/>
        <w:right w:val="none" w:sz="0" w:space="0" w:color="auto"/>
      </w:divBdr>
    </w:div>
    <w:div w:id="1454515701">
      <w:bodyDiv w:val="1"/>
      <w:marLeft w:val="0"/>
      <w:marRight w:val="0"/>
      <w:marTop w:val="0"/>
      <w:marBottom w:val="0"/>
      <w:divBdr>
        <w:top w:val="none" w:sz="0" w:space="0" w:color="auto"/>
        <w:left w:val="none" w:sz="0" w:space="0" w:color="auto"/>
        <w:bottom w:val="none" w:sz="0" w:space="0" w:color="auto"/>
        <w:right w:val="none" w:sz="0" w:space="0" w:color="auto"/>
      </w:divBdr>
      <w:divsChild>
        <w:div w:id="829829596">
          <w:marLeft w:val="0"/>
          <w:marRight w:val="0"/>
          <w:marTop w:val="0"/>
          <w:marBottom w:val="0"/>
          <w:divBdr>
            <w:top w:val="none" w:sz="0" w:space="0" w:color="auto"/>
            <w:left w:val="none" w:sz="0" w:space="0" w:color="auto"/>
            <w:bottom w:val="none" w:sz="0" w:space="0" w:color="auto"/>
            <w:right w:val="none" w:sz="0" w:space="0" w:color="auto"/>
          </w:divBdr>
          <w:divsChild>
            <w:div w:id="570696194">
              <w:marLeft w:val="0"/>
              <w:marRight w:val="0"/>
              <w:marTop w:val="0"/>
              <w:marBottom w:val="0"/>
              <w:divBdr>
                <w:top w:val="none" w:sz="0" w:space="0" w:color="auto"/>
                <w:left w:val="none" w:sz="0" w:space="0" w:color="auto"/>
                <w:bottom w:val="none" w:sz="0" w:space="0" w:color="auto"/>
                <w:right w:val="none" w:sz="0" w:space="0" w:color="auto"/>
              </w:divBdr>
              <w:divsChild>
                <w:div w:id="4372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1538">
      <w:bodyDiv w:val="1"/>
      <w:marLeft w:val="0"/>
      <w:marRight w:val="0"/>
      <w:marTop w:val="0"/>
      <w:marBottom w:val="0"/>
      <w:divBdr>
        <w:top w:val="none" w:sz="0" w:space="0" w:color="auto"/>
        <w:left w:val="none" w:sz="0" w:space="0" w:color="auto"/>
        <w:bottom w:val="none" w:sz="0" w:space="0" w:color="auto"/>
        <w:right w:val="none" w:sz="0" w:space="0" w:color="auto"/>
      </w:divBdr>
    </w:div>
    <w:div w:id="1455829803">
      <w:bodyDiv w:val="1"/>
      <w:marLeft w:val="0"/>
      <w:marRight w:val="0"/>
      <w:marTop w:val="0"/>
      <w:marBottom w:val="0"/>
      <w:divBdr>
        <w:top w:val="none" w:sz="0" w:space="0" w:color="auto"/>
        <w:left w:val="none" w:sz="0" w:space="0" w:color="auto"/>
        <w:bottom w:val="none" w:sz="0" w:space="0" w:color="auto"/>
        <w:right w:val="none" w:sz="0" w:space="0" w:color="auto"/>
      </w:divBdr>
    </w:div>
    <w:div w:id="1457211459">
      <w:bodyDiv w:val="1"/>
      <w:marLeft w:val="0"/>
      <w:marRight w:val="0"/>
      <w:marTop w:val="0"/>
      <w:marBottom w:val="0"/>
      <w:divBdr>
        <w:top w:val="none" w:sz="0" w:space="0" w:color="auto"/>
        <w:left w:val="none" w:sz="0" w:space="0" w:color="auto"/>
        <w:bottom w:val="none" w:sz="0" w:space="0" w:color="auto"/>
        <w:right w:val="none" w:sz="0" w:space="0" w:color="auto"/>
      </w:divBdr>
    </w:div>
    <w:div w:id="1458570851">
      <w:bodyDiv w:val="1"/>
      <w:marLeft w:val="0"/>
      <w:marRight w:val="0"/>
      <w:marTop w:val="0"/>
      <w:marBottom w:val="0"/>
      <w:divBdr>
        <w:top w:val="none" w:sz="0" w:space="0" w:color="auto"/>
        <w:left w:val="none" w:sz="0" w:space="0" w:color="auto"/>
        <w:bottom w:val="none" w:sz="0" w:space="0" w:color="auto"/>
        <w:right w:val="none" w:sz="0" w:space="0" w:color="auto"/>
      </w:divBdr>
    </w:div>
    <w:div w:id="1460606139">
      <w:bodyDiv w:val="1"/>
      <w:marLeft w:val="0"/>
      <w:marRight w:val="0"/>
      <w:marTop w:val="0"/>
      <w:marBottom w:val="0"/>
      <w:divBdr>
        <w:top w:val="none" w:sz="0" w:space="0" w:color="auto"/>
        <w:left w:val="none" w:sz="0" w:space="0" w:color="auto"/>
        <w:bottom w:val="none" w:sz="0" w:space="0" w:color="auto"/>
        <w:right w:val="none" w:sz="0" w:space="0" w:color="auto"/>
      </w:divBdr>
    </w:div>
    <w:div w:id="1463187965">
      <w:bodyDiv w:val="1"/>
      <w:marLeft w:val="0"/>
      <w:marRight w:val="0"/>
      <w:marTop w:val="0"/>
      <w:marBottom w:val="0"/>
      <w:divBdr>
        <w:top w:val="none" w:sz="0" w:space="0" w:color="auto"/>
        <w:left w:val="none" w:sz="0" w:space="0" w:color="auto"/>
        <w:bottom w:val="none" w:sz="0" w:space="0" w:color="auto"/>
        <w:right w:val="none" w:sz="0" w:space="0" w:color="auto"/>
      </w:divBdr>
    </w:div>
    <w:div w:id="1467578845">
      <w:bodyDiv w:val="1"/>
      <w:marLeft w:val="0"/>
      <w:marRight w:val="0"/>
      <w:marTop w:val="0"/>
      <w:marBottom w:val="0"/>
      <w:divBdr>
        <w:top w:val="none" w:sz="0" w:space="0" w:color="auto"/>
        <w:left w:val="none" w:sz="0" w:space="0" w:color="auto"/>
        <w:bottom w:val="none" w:sz="0" w:space="0" w:color="auto"/>
        <w:right w:val="none" w:sz="0" w:space="0" w:color="auto"/>
      </w:divBdr>
    </w:div>
    <w:div w:id="1469786022">
      <w:bodyDiv w:val="1"/>
      <w:marLeft w:val="0"/>
      <w:marRight w:val="0"/>
      <w:marTop w:val="0"/>
      <w:marBottom w:val="0"/>
      <w:divBdr>
        <w:top w:val="none" w:sz="0" w:space="0" w:color="auto"/>
        <w:left w:val="none" w:sz="0" w:space="0" w:color="auto"/>
        <w:bottom w:val="none" w:sz="0" w:space="0" w:color="auto"/>
        <w:right w:val="none" w:sz="0" w:space="0" w:color="auto"/>
      </w:divBdr>
      <w:divsChild>
        <w:div w:id="871190946">
          <w:marLeft w:val="1166"/>
          <w:marRight w:val="0"/>
          <w:marTop w:val="115"/>
          <w:marBottom w:val="0"/>
          <w:divBdr>
            <w:top w:val="none" w:sz="0" w:space="0" w:color="auto"/>
            <w:left w:val="none" w:sz="0" w:space="0" w:color="auto"/>
            <w:bottom w:val="none" w:sz="0" w:space="0" w:color="auto"/>
            <w:right w:val="none" w:sz="0" w:space="0" w:color="auto"/>
          </w:divBdr>
        </w:div>
        <w:div w:id="1261911820">
          <w:marLeft w:val="547"/>
          <w:marRight w:val="0"/>
          <w:marTop w:val="130"/>
          <w:marBottom w:val="0"/>
          <w:divBdr>
            <w:top w:val="none" w:sz="0" w:space="0" w:color="auto"/>
            <w:left w:val="none" w:sz="0" w:space="0" w:color="auto"/>
            <w:bottom w:val="none" w:sz="0" w:space="0" w:color="auto"/>
            <w:right w:val="none" w:sz="0" w:space="0" w:color="auto"/>
          </w:divBdr>
        </w:div>
      </w:divsChild>
    </w:div>
    <w:div w:id="1473060691">
      <w:bodyDiv w:val="1"/>
      <w:marLeft w:val="0"/>
      <w:marRight w:val="0"/>
      <w:marTop w:val="0"/>
      <w:marBottom w:val="0"/>
      <w:divBdr>
        <w:top w:val="none" w:sz="0" w:space="0" w:color="auto"/>
        <w:left w:val="none" w:sz="0" w:space="0" w:color="auto"/>
        <w:bottom w:val="none" w:sz="0" w:space="0" w:color="auto"/>
        <w:right w:val="none" w:sz="0" w:space="0" w:color="auto"/>
      </w:divBdr>
      <w:divsChild>
        <w:div w:id="319818951">
          <w:marLeft w:val="720"/>
          <w:marRight w:val="0"/>
          <w:marTop w:val="0"/>
          <w:marBottom w:val="0"/>
          <w:divBdr>
            <w:top w:val="none" w:sz="0" w:space="0" w:color="auto"/>
            <w:left w:val="none" w:sz="0" w:space="0" w:color="auto"/>
            <w:bottom w:val="none" w:sz="0" w:space="0" w:color="auto"/>
            <w:right w:val="none" w:sz="0" w:space="0" w:color="auto"/>
          </w:divBdr>
        </w:div>
        <w:div w:id="1188979684">
          <w:marLeft w:val="720"/>
          <w:marRight w:val="0"/>
          <w:marTop w:val="0"/>
          <w:marBottom w:val="0"/>
          <w:divBdr>
            <w:top w:val="none" w:sz="0" w:space="0" w:color="auto"/>
            <w:left w:val="none" w:sz="0" w:space="0" w:color="auto"/>
            <w:bottom w:val="none" w:sz="0" w:space="0" w:color="auto"/>
            <w:right w:val="none" w:sz="0" w:space="0" w:color="auto"/>
          </w:divBdr>
        </w:div>
      </w:divsChild>
    </w:div>
    <w:div w:id="1473135680">
      <w:bodyDiv w:val="1"/>
      <w:marLeft w:val="0"/>
      <w:marRight w:val="0"/>
      <w:marTop w:val="0"/>
      <w:marBottom w:val="0"/>
      <w:divBdr>
        <w:top w:val="none" w:sz="0" w:space="0" w:color="auto"/>
        <w:left w:val="none" w:sz="0" w:space="0" w:color="auto"/>
        <w:bottom w:val="none" w:sz="0" w:space="0" w:color="auto"/>
        <w:right w:val="none" w:sz="0" w:space="0" w:color="auto"/>
      </w:divBdr>
      <w:divsChild>
        <w:div w:id="104885054">
          <w:marLeft w:val="0"/>
          <w:marRight w:val="0"/>
          <w:marTop w:val="0"/>
          <w:marBottom w:val="0"/>
          <w:divBdr>
            <w:top w:val="none" w:sz="0" w:space="0" w:color="auto"/>
            <w:left w:val="none" w:sz="0" w:space="0" w:color="auto"/>
            <w:bottom w:val="none" w:sz="0" w:space="0" w:color="auto"/>
            <w:right w:val="none" w:sz="0" w:space="0" w:color="auto"/>
          </w:divBdr>
          <w:divsChild>
            <w:div w:id="1639411917">
              <w:marLeft w:val="0"/>
              <w:marRight w:val="0"/>
              <w:marTop w:val="0"/>
              <w:marBottom w:val="0"/>
              <w:divBdr>
                <w:top w:val="none" w:sz="0" w:space="0" w:color="auto"/>
                <w:left w:val="none" w:sz="0" w:space="0" w:color="auto"/>
                <w:bottom w:val="none" w:sz="0" w:space="0" w:color="auto"/>
                <w:right w:val="none" w:sz="0" w:space="0" w:color="auto"/>
              </w:divBdr>
              <w:divsChild>
                <w:div w:id="7343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9131">
      <w:bodyDiv w:val="1"/>
      <w:marLeft w:val="0"/>
      <w:marRight w:val="0"/>
      <w:marTop w:val="0"/>
      <w:marBottom w:val="0"/>
      <w:divBdr>
        <w:top w:val="none" w:sz="0" w:space="0" w:color="auto"/>
        <w:left w:val="none" w:sz="0" w:space="0" w:color="auto"/>
        <w:bottom w:val="none" w:sz="0" w:space="0" w:color="auto"/>
        <w:right w:val="none" w:sz="0" w:space="0" w:color="auto"/>
      </w:divBdr>
    </w:div>
    <w:div w:id="1477575628">
      <w:bodyDiv w:val="1"/>
      <w:marLeft w:val="0"/>
      <w:marRight w:val="0"/>
      <w:marTop w:val="0"/>
      <w:marBottom w:val="0"/>
      <w:divBdr>
        <w:top w:val="none" w:sz="0" w:space="0" w:color="auto"/>
        <w:left w:val="none" w:sz="0" w:space="0" w:color="auto"/>
        <w:bottom w:val="none" w:sz="0" w:space="0" w:color="auto"/>
        <w:right w:val="none" w:sz="0" w:space="0" w:color="auto"/>
      </w:divBdr>
    </w:div>
    <w:div w:id="1478954413">
      <w:bodyDiv w:val="1"/>
      <w:marLeft w:val="0"/>
      <w:marRight w:val="0"/>
      <w:marTop w:val="0"/>
      <w:marBottom w:val="0"/>
      <w:divBdr>
        <w:top w:val="none" w:sz="0" w:space="0" w:color="auto"/>
        <w:left w:val="none" w:sz="0" w:space="0" w:color="auto"/>
        <w:bottom w:val="none" w:sz="0" w:space="0" w:color="auto"/>
        <w:right w:val="none" w:sz="0" w:space="0" w:color="auto"/>
      </w:divBdr>
    </w:div>
    <w:div w:id="1479304427">
      <w:bodyDiv w:val="1"/>
      <w:marLeft w:val="0"/>
      <w:marRight w:val="0"/>
      <w:marTop w:val="0"/>
      <w:marBottom w:val="0"/>
      <w:divBdr>
        <w:top w:val="none" w:sz="0" w:space="0" w:color="auto"/>
        <w:left w:val="none" w:sz="0" w:space="0" w:color="auto"/>
        <w:bottom w:val="none" w:sz="0" w:space="0" w:color="auto"/>
        <w:right w:val="none" w:sz="0" w:space="0" w:color="auto"/>
      </w:divBdr>
      <w:divsChild>
        <w:div w:id="877741747">
          <w:marLeft w:val="547"/>
          <w:marRight w:val="0"/>
          <w:marTop w:val="0"/>
          <w:marBottom w:val="0"/>
          <w:divBdr>
            <w:top w:val="none" w:sz="0" w:space="0" w:color="auto"/>
            <w:left w:val="none" w:sz="0" w:space="0" w:color="auto"/>
            <w:bottom w:val="none" w:sz="0" w:space="0" w:color="auto"/>
            <w:right w:val="none" w:sz="0" w:space="0" w:color="auto"/>
          </w:divBdr>
        </w:div>
      </w:divsChild>
    </w:div>
    <w:div w:id="1483084889">
      <w:bodyDiv w:val="1"/>
      <w:marLeft w:val="0"/>
      <w:marRight w:val="0"/>
      <w:marTop w:val="0"/>
      <w:marBottom w:val="0"/>
      <w:divBdr>
        <w:top w:val="none" w:sz="0" w:space="0" w:color="auto"/>
        <w:left w:val="none" w:sz="0" w:space="0" w:color="auto"/>
        <w:bottom w:val="none" w:sz="0" w:space="0" w:color="auto"/>
        <w:right w:val="none" w:sz="0" w:space="0" w:color="auto"/>
      </w:divBdr>
      <w:divsChild>
        <w:div w:id="1942369099">
          <w:marLeft w:val="0"/>
          <w:marRight w:val="0"/>
          <w:marTop w:val="0"/>
          <w:marBottom w:val="0"/>
          <w:divBdr>
            <w:top w:val="none" w:sz="0" w:space="0" w:color="auto"/>
            <w:left w:val="none" w:sz="0" w:space="0" w:color="auto"/>
            <w:bottom w:val="none" w:sz="0" w:space="0" w:color="auto"/>
            <w:right w:val="none" w:sz="0" w:space="0" w:color="auto"/>
          </w:divBdr>
          <w:divsChild>
            <w:div w:id="183133945">
              <w:marLeft w:val="0"/>
              <w:marRight w:val="0"/>
              <w:marTop w:val="0"/>
              <w:marBottom w:val="0"/>
              <w:divBdr>
                <w:top w:val="none" w:sz="0" w:space="0" w:color="auto"/>
                <w:left w:val="none" w:sz="0" w:space="0" w:color="auto"/>
                <w:bottom w:val="none" w:sz="0" w:space="0" w:color="auto"/>
                <w:right w:val="none" w:sz="0" w:space="0" w:color="auto"/>
              </w:divBdr>
              <w:divsChild>
                <w:div w:id="10890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7524">
      <w:bodyDiv w:val="1"/>
      <w:marLeft w:val="0"/>
      <w:marRight w:val="0"/>
      <w:marTop w:val="0"/>
      <w:marBottom w:val="0"/>
      <w:divBdr>
        <w:top w:val="none" w:sz="0" w:space="0" w:color="auto"/>
        <w:left w:val="none" w:sz="0" w:space="0" w:color="auto"/>
        <w:bottom w:val="none" w:sz="0" w:space="0" w:color="auto"/>
        <w:right w:val="none" w:sz="0" w:space="0" w:color="auto"/>
      </w:divBdr>
    </w:div>
    <w:div w:id="1490320468">
      <w:bodyDiv w:val="1"/>
      <w:marLeft w:val="0"/>
      <w:marRight w:val="0"/>
      <w:marTop w:val="0"/>
      <w:marBottom w:val="0"/>
      <w:divBdr>
        <w:top w:val="none" w:sz="0" w:space="0" w:color="auto"/>
        <w:left w:val="none" w:sz="0" w:space="0" w:color="auto"/>
        <w:bottom w:val="none" w:sz="0" w:space="0" w:color="auto"/>
        <w:right w:val="none" w:sz="0" w:space="0" w:color="auto"/>
      </w:divBdr>
    </w:div>
    <w:div w:id="1494027633">
      <w:bodyDiv w:val="1"/>
      <w:marLeft w:val="0"/>
      <w:marRight w:val="0"/>
      <w:marTop w:val="0"/>
      <w:marBottom w:val="0"/>
      <w:divBdr>
        <w:top w:val="none" w:sz="0" w:space="0" w:color="auto"/>
        <w:left w:val="none" w:sz="0" w:space="0" w:color="auto"/>
        <w:bottom w:val="none" w:sz="0" w:space="0" w:color="auto"/>
        <w:right w:val="none" w:sz="0" w:space="0" w:color="auto"/>
      </w:divBdr>
    </w:div>
    <w:div w:id="1501113714">
      <w:bodyDiv w:val="1"/>
      <w:marLeft w:val="0"/>
      <w:marRight w:val="0"/>
      <w:marTop w:val="0"/>
      <w:marBottom w:val="0"/>
      <w:divBdr>
        <w:top w:val="none" w:sz="0" w:space="0" w:color="auto"/>
        <w:left w:val="none" w:sz="0" w:space="0" w:color="auto"/>
        <w:bottom w:val="none" w:sz="0" w:space="0" w:color="auto"/>
        <w:right w:val="none" w:sz="0" w:space="0" w:color="auto"/>
      </w:divBdr>
    </w:div>
    <w:div w:id="1501702437">
      <w:bodyDiv w:val="1"/>
      <w:marLeft w:val="0"/>
      <w:marRight w:val="0"/>
      <w:marTop w:val="0"/>
      <w:marBottom w:val="0"/>
      <w:divBdr>
        <w:top w:val="none" w:sz="0" w:space="0" w:color="auto"/>
        <w:left w:val="none" w:sz="0" w:space="0" w:color="auto"/>
        <w:bottom w:val="none" w:sz="0" w:space="0" w:color="auto"/>
        <w:right w:val="none" w:sz="0" w:space="0" w:color="auto"/>
      </w:divBdr>
      <w:divsChild>
        <w:div w:id="1718167630">
          <w:marLeft w:val="806"/>
          <w:marRight w:val="0"/>
          <w:marTop w:val="0"/>
          <w:marBottom w:val="0"/>
          <w:divBdr>
            <w:top w:val="none" w:sz="0" w:space="0" w:color="auto"/>
            <w:left w:val="none" w:sz="0" w:space="0" w:color="auto"/>
            <w:bottom w:val="none" w:sz="0" w:space="0" w:color="auto"/>
            <w:right w:val="none" w:sz="0" w:space="0" w:color="auto"/>
          </w:divBdr>
        </w:div>
      </w:divsChild>
    </w:div>
    <w:div w:id="1502163787">
      <w:bodyDiv w:val="1"/>
      <w:marLeft w:val="0"/>
      <w:marRight w:val="0"/>
      <w:marTop w:val="0"/>
      <w:marBottom w:val="0"/>
      <w:divBdr>
        <w:top w:val="none" w:sz="0" w:space="0" w:color="auto"/>
        <w:left w:val="none" w:sz="0" w:space="0" w:color="auto"/>
        <w:bottom w:val="none" w:sz="0" w:space="0" w:color="auto"/>
        <w:right w:val="none" w:sz="0" w:space="0" w:color="auto"/>
      </w:divBdr>
    </w:div>
    <w:div w:id="1505125947">
      <w:bodyDiv w:val="1"/>
      <w:marLeft w:val="0"/>
      <w:marRight w:val="0"/>
      <w:marTop w:val="0"/>
      <w:marBottom w:val="0"/>
      <w:divBdr>
        <w:top w:val="none" w:sz="0" w:space="0" w:color="auto"/>
        <w:left w:val="none" w:sz="0" w:space="0" w:color="auto"/>
        <w:bottom w:val="none" w:sz="0" w:space="0" w:color="auto"/>
        <w:right w:val="none" w:sz="0" w:space="0" w:color="auto"/>
      </w:divBdr>
      <w:divsChild>
        <w:div w:id="675881051">
          <w:marLeft w:val="0"/>
          <w:marRight w:val="0"/>
          <w:marTop w:val="0"/>
          <w:marBottom w:val="0"/>
          <w:divBdr>
            <w:top w:val="none" w:sz="0" w:space="0" w:color="auto"/>
            <w:left w:val="none" w:sz="0" w:space="0" w:color="auto"/>
            <w:bottom w:val="none" w:sz="0" w:space="0" w:color="auto"/>
            <w:right w:val="none" w:sz="0" w:space="0" w:color="auto"/>
          </w:divBdr>
          <w:divsChild>
            <w:div w:id="934021435">
              <w:marLeft w:val="0"/>
              <w:marRight w:val="0"/>
              <w:marTop w:val="0"/>
              <w:marBottom w:val="0"/>
              <w:divBdr>
                <w:top w:val="none" w:sz="0" w:space="0" w:color="auto"/>
                <w:left w:val="none" w:sz="0" w:space="0" w:color="auto"/>
                <w:bottom w:val="none" w:sz="0" w:space="0" w:color="auto"/>
                <w:right w:val="none" w:sz="0" w:space="0" w:color="auto"/>
              </w:divBdr>
              <w:divsChild>
                <w:div w:id="6933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40731">
      <w:bodyDiv w:val="1"/>
      <w:marLeft w:val="0"/>
      <w:marRight w:val="0"/>
      <w:marTop w:val="0"/>
      <w:marBottom w:val="0"/>
      <w:divBdr>
        <w:top w:val="none" w:sz="0" w:space="0" w:color="auto"/>
        <w:left w:val="none" w:sz="0" w:space="0" w:color="auto"/>
        <w:bottom w:val="none" w:sz="0" w:space="0" w:color="auto"/>
        <w:right w:val="none" w:sz="0" w:space="0" w:color="auto"/>
      </w:divBdr>
    </w:div>
    <w:div w:id="1509248000">
      <w:bodyDiv w:val="1"/>
      <w:marLeft w:val="0"/>
      <w:marRight w:val="0"/>
      <w:marTop w:val="0"/>
      <w:marBottom w:val="0"/>
      <w:divBdr>
        <w:top w:val="none" w:sz="0" w:space="0" w:color="auto"/>
        <w:left w:val="none" w:sz="0" w:space="0" w:color="auto"/>
        <w:bottom w:val="none" w:sz="0" w:space="0" w:color="auto"/>
        <w:right w:val="none" w:sz="0" w:space="0" w:color="auto"/>
      </w:divBdr>
      <w:divsChild>
        <w:div w:id="500125021">
          <w:marLeft w:val="720"/>
          <w:marRight w:val="0"/>
          <w:marTop w:val="154"/>
          <w:marBottom w:val="0"/>
          <w:divBdr>
            <w:top w:val="none" w:sz="0" w:space="0" w:color="auto"/>
            <w:left w:val="none" w:sz="0" w:space="0" w:color="auto"/>
            <w:bottom w:val="none" w:sz="0" w:space="0" w:color="auto"/>
            <w:right w:val="none" w:sz="0" w:space="0" w:color="auto"/>
          </w:divBdr>
        </w:div>
        <w:div w:id="645861383">
          <w:marLeft w:val="720"/>
          <w:marRight w:val="0"/>
          <w:marTop w:val="154"/>
          <w:marBottom w:val="0"/>
          <w:divBdr>
            <w:top w:val="none" w:sz="0" w:space="0" w:color="auto"/>
            <w:left w:val="none" w:sz="0" w:space="0" w:color="auto"/>
            <w:bottom w:val="none" w:sz="0" w:space="0" w:color="auto"/>
            <w:right w:val="none" w:sz="0" w:space="0" w:color="auto"/>
          </w:divBdr>
        </w:div>
        <w:div w:id="975570097">
          <w:marLeft w:val="720"/>
          <w:marRight w:val="0"/>
          <w:marTop w:val="154"/>
          <w:marBottom w:val="0"/>
          <w:divBdr>
            <w:top w:val="none" w:sz="0" w:space="0" w:color="auto"/>
            <w:left w:val="none" w:sz="0" w:space="0" w:color="auto"/>
            <w:bottom w:val="none" w:sz="0" w:space="0" w:color="auto"/>
            <w:right w:val="none" w:sz="0" w:space="0" w:color="auto"/>
          </w:divBdr>
        </w:div>
      </w:divsChild>
    </w:div>
    <w:div w:id="1518689788">
      <w:bodyDiv w:val="1"/>
      <w:marLeft w:val="0"/>
      <w:marRight w:val="0"/>
      <w:marTop w:val="0"/>
      <w:marBottom w:val="0"/>
      <w:divBdr>
        <w:top w:val="none" w:sz="0" w:space="0" w:color="auto"/>
        <w:left w:val="none" w:sz="0" w:space="0" w:color="auto"/>
        <w:bottom w:val="none" w:sz="0" w:space="0" w:color="auto"/>
        <w:right w:val="none" w:sz="0" w:space="0" w:color="auto"/>
      </w:divBdr>
      <w:divsChild>
        <w:div w:id="74400136">
          <w:marLeft w:val="0"/>
          <w:marRight w:val="0"/>
          <w:marTop w:val="0"/>
          <w:marBottom w:val="0"/>
          <w:divBdr>
            <w:top w:val="none" w:sz="0" w:space="0" w:color="auto"/>
            <w:left w:val="none" w:sz="0" w:space="0" w:color="auto"/>
            <w:bottom w:val="none" w:sz="0" w:space="0" w:color="auto"/>
            <w:right w:val="none" w:sz="0" w:space="0" w:color="auto"/>
          </w:divBdr>
        </w:div>
        <w:div w:id="320037419">
          <w:marLeft w:val="0"/>
          <w:marRight w:val="0"/>
          <w:marTop w:val="0"/>
          <w:marBottom w:val="0"/>
          <w:divBdr>
            <w:top w:val="none" w:sz="0" w:space="0" w:color="auto"/>
            <w:left w:val="none" w:sz="0" w:space="0" w:color="auto"/>
            <w:bottom w:val="none" w:sz="0" w:space="0" w:color="auto"/>
            <w:right w:val="none" w:sz="0" w:space="0" w:color="auto"/>
          </w:divBdr>
        </w:div>
        <w:div w:id="348262188">
          <w:marLeft w:val="0"/>
          <w:marRight w:val="0"/>
          <w:marTop w:val="0"/>
          <w:marBottom w:val="0"/>
          <w:divBdr>
            <w:top w:val="none" w:sz="0" w:space="0" w:color="auto"/>
            <w:left w:val="none" w:sz="0" w:space="0" w:color="auto"/>
            <w:bottom w:val="none" w:sz="0" w:space="0" w:color="auto"/>
            <w:right w:val="none" w:sz="0" w:space="0" w:color="auto"/>
          </w:divBdr>
        </w:div>
        <w:div w:id="570432773">
          <w:marLeft w:val="0"/>
          <w:marRight w:val="0"/>
          <w:marTop w:val="0"/>
          <w:marBottom w:val="0"/>
          <w:divBdr>
            <w:top w:val="none" w:sz="0" w:space="0" w:color="auto"/>
            <w:left w:val="none" w:sz="0" w:space="0" w:color="auto"/>
            <w:bottom w:val="none" w:sz="0" w:space="0" w:color="auto"/>
            <w:right w:val="none" w:sz="0" w:space="0" w:color="auto"/>
          </w:divBdr>
        </w:div>
        <w:div w:id="616908816">
          <w:marLeft w:val="0"/>
          <w:marRight w:val="0"/>
          <w:marTop w:val="0"/>
          <w:marBottom w:val="0"/>
          <w:divBdr>
            <w:top w:val="none" w:sz="0" w:space="0" w:color="auto"/>
            <w:left w:val="none" w:sz="0" w:space="0" w:color="auto"/>
            <w:bottom w:val="none" w:sz="0" w:space="0" w:color="auto"/>
            <w:right w:val="none" w:sz="0" w:space="0" w:color="auto"/>
          </w:divBdr>
        </w:div>
        <w:div w:id="1520701840">
          <w:marLeft w:val="0"/>
          <w:marRight w:val="0"/>
          <w:marTop w:val="0"/>
          <w:marBottom w:val="0"/>
          <w:divBdr>
            <w:top w:val="none" w:sz="0" w:space="0" w:color="auto"/>
            <w:left w:val="none" w:sz="0" w:space="0" w:color="auto"/>
            <w:bottom w:val="none" w:sz="0" w:space="0" w:color="auto"/>
            <w:right w:val="none" w:sz="0" w:space="0" w:color="auto"/>
          </w:divBdr>
        </w:div>
        <w:div w:id="1849326828">
          <w:marLeft w:val="0"/>
          <w:marRight w:val="0"/>
          <w:marTop w:val="0"/>
          <w:marBottom w:val="0"/>
          <w:divBdr>
            <w:top w:val="none" w:sz="0" w:space="0" w:color="auto"/>
            <w:left w:val="none" w:sz="0" w:space="0" w:color="auto"/>
            <w:bottom w:val="none" w:sz="0" w:space="0" w:color="auto"/>
            <w:right w:val="none" w:sz="0" w:space="0" w:color="auto"/>
          </w:divBdr>
        </w:div>
      </w:divsChild>
    </w:div>
    <w:div w:id="1521700387">
      <w:bodyDiv w:val="1"/>
      <w:marLeft w:val="0"/>
      <w:marRight w:val="0"/>
      <w:marTop w:val="0"/>
      <w:marBottom w:val="0"/>
      <w:divBdr>
        <w:top w:val="none" w:sz="0" w:space="0" w:color="auto"/>
        <w:left w:val="none" w:sz="0" w:space="0" w:color="auto"/>
        <w:bottom w:val="none" w:sz="0" w:space="0" w:color="auto"/>
        <w:right w:val="none" w:sz="0" w:space="0" w:color="auto"/>
      </w:divBdr>
    </w:div>
    <w:div w:id="1531336102">
      <w:bodyDiv w:val="1"/>
      <w:marLeft w:val="0"/>
      <w:marRight w:val="0"/>
      <w:marTop w:val="0"/>
      <w:marBottom w:val="0"/>
      <w:divBdr>
        <w:top w:val="none" w:sz="0" w:space="0" w:color="auto"/>
        <w:left w:val="none" w:sz="0" w:space="0" w:color="auto"/>
        <w:bottom w:val="none" w:sz="0" w:space="0" w:color="auto"/>
        <w:right w:val="none" w:sz="0" w:space="0" w:color="auto"/>
      </w:divBdr>
      <w:divsChild>
        <w:div w:id="158620042">
          <w:marLeft w:val="446"/>
          <w:marRight w:val="0"/>
          <w:marTop w:val="0"/>
          <w:marBottom w:val="0"/>
          <w:divBdr>
            <w:top w:val="none" w:sz="0" w:space="0" w:color="auto"/>
            <w:left w:val="none" w:sz="0" w:space="0" w:color="auto"/>
            <w:bottom w:val="none" w:sz="0" w:space="0" w:color="auto"/>
            <w:right w:val="none" w:sz="0" w:space="0" w:color="auto"/>
          </w:divBdr>
        </w:div>
        <w:div w:id="328950849">
          <w:marLeft w:val="446"/>
          <w:marRight w:val="0"/>
          <w:marTop w:val="0"/>
          <w:marBottom w:val="0"/>
          <w:divBdr>
            <w:top w:val="none" w:sz="0" w:space="0" w:color="auto"/>
            <w:left w:val="none" w:sz="0" w:space="0" w:color="auto"/>
            <w:bottom w:val="none" w:sz="0" w:space="0" w:color="auto"/>
            <w:right w:val="none" w:sz="0" w:space="0" w:color="auto"/>
          </w:divBdr>
        </w:div>
        <w:div w:id="1039470837">
          <w:marLeft w:val="446"/>
          <w:marRight w:val="0"/>
          <w:marTop w:val="0"/>
          <w:marBottom w:val="0"/>
          <w:divBdr>
            <w:top w:val="none" w:sz="0" w:space="0" w:color="auto"/>
            <w:left w:val="none" w:sz="0" w:space="0" w:color="auto"/>
            <w:bottom w:val="none" w:sz="0" w:space="0" w:color="auto"/>
            <w:right w:val="none" w:sz="0" w:space="0" w:color="auto"/>
          </w:divBdr>
        </w:div>
        <w:div w:id="1627740050">
          <w:marLeft w:val="446"/>
          <w:marRight w:val="0"/>
          <w:marTop w:val="0"/>
          <w:marBottom w:val="0"/>
          <w:divBdr>
            <w:top w:val="none" w:sz="0" w:space="0" w:color="auto"/>
            <w:left w:val="none" w:sz="0" w:space="0" w:color="auto"/>
            <w:bottom w:val="none" w:sz="0" w:space="0" w:color="auto"/>
            <w:right w:val="none" w:sz="0" w:space="0" w:color="auto"/>
          </w:divBdr>
        </w:div>
        <w:div w:id="1758360376">
          <w:marLeft w:val="446"/>
          <w:marRight w:val="0"/>
          <w:marTop w:val="0"/>
          <w:marBottom w:val="0"/>
          <w:divBdr>
            <w:top w:val="none" w:sz="0" w:space="0" w:color="auto"/>
            <w:left w:val="none" w:sz="0" w:space="0" w:color="auto"/>
            <w:bottom w:val="none" w:sz="0" w:space="0" w:color="auto"/>
            <w:right w:val="none" w:sz="0" w:space="0" w:color="auto"/>
          </w:divBdr>
        </w:div>
      </w:divsChild>
    </w:div>
    <w:div w:id="1549536725">
      <w:bodyDiv w:val="1"/>
      <w:marLeft w:val="0"/>
      <w:marRight w:val="0"/>
      <w:marTop w:val="0"/>
      <w:marBottom w:val="0"/>
      <w:divBdr>
        <w:top w:val="none" w:sz="0" w:space="0" w:color="auto"/>
        <w:left w:val="none" w:sz="0" w:space="0" w:color="auto"/>
        <w:bottom w:val="none" w:sz="0" w:space="0" w:color="auto"/>
        <w:right w:val="none" w:sz="0" w:space="0" w:color="auto"/>
      </w:divBdr>
    </w:div>
    <w:div w:id="1554730203">
      <w:bodyDiv w:val="1"/>
      <w:marLeft w:val="0"/>
      <w:marRight w:val="0"/>
      <w:marTop w:val="0"/>
      <w:marBottom w:val="0"/>
      <w:divBdr>
        <w:top w:val="none" w:sz="0" w:space="0" w:color="auto"/>
        <w:left w:val="none" w:sz="0" w:space="0" w:color="auto"/>
        <w:bottom w:val="none" w:sz="0" w:space="0" w:color="auto"/>
        <w:right w:val="none" w:sz="0" w:space="0" w:color="auto"/>
      </w:divBdr>
    </w:div>
    <w:div w:id="1557543409">
      <w:bodyDiv w:val="1"/>
      <w:marLeft w:val="0"/>
      <w:marRight w:val="0"/>
      <w:marTop w:val="0"/>
      <w:marBottom w:val="0"/>
      <w:divBdr>
        <w:top w:val="none" w:sz="0" w:space="0" w:color="auto"/>
        <w:left w:val="none" w:sz="0" w:space="0" w:color="auto"/>
        <w:bottom w:val="none" w:sz="0" w:space="0" w:color="auto"/>
        <w:right w:val="none" w:sz="0" w:space="0" w:color="auto"/>
      </w:divBdr>
    </w:div>
    <w:div w:id="1562869232">
      <w:bodyDiv w:val="1"/>
      <w:marLeft w:val="0"/>
      <w:marRight w:val="0"/>
      <w:marTop w:val="0"/>
      <w:marBottom w:val="0"/>
      <w:divBdr>
        <w:top w:val="none" w:sz="0" w:space="0" w:color="auto"/>
        <w:left w:val="none" w:sz="0" w:space="0" w:color="auto"/>
        <w:bottom w:val="none" w:sz="0" w:space="0" w:color="auto"/>
        <w:right w:val="none" w:sz="0" w:space="0" w:color="auto"/>
      </w:divBdr>
    </w:div>
    <w:div w:id="1562903287">
      <w:bodyDiv w:val="1"/>
      <w:marLeft w:val="0"/>
      <w:marRight w:val="0"/>
      <w:marTop w:val="0"/>
      <w:marBottom w:val="0"/>
      <w:divBdr>
        <w:top w:val="none" w:sz="0" w:space="0" w:color="auto"/>
        <w:left w:val="none" w:sz="0" w:space="0" w:color="auto"/>
        <w:bottom w:val="none" w:sz="0" w:space="0" w:color="auto"/>
        <w:right w:val="none" w:sz="0" w:space="0" w:color="auto"/>
      </w:divBdr>
    </w:div>
    <w:div w:id="1565027052">
      <w:bodyDiv w:val="1"/>
      <w:marLeft w:val="0"/>
      <w:marRight w:val="0"/>
      <w:marTop w:val="0"/>
      <w:marBottom w:val="0"/>
      <w:divBdr>
        <w:top w:val="none" w:sz="0" w:space="0" w:color="auto"/>
        <w:left w:val="none" w:sz="0" w:space="0" w:color="auto"/>
        <w:bottom w:val="none" w:sz="0" w:space="0" w:color="auto"/>
        <w:right w:val="none" w:sz="0" w:space="0" w:color="auto"/>
      </w:divBdr>
    </w:div>
    <w:div w:id="1566142738">
      <w:bodyDiv w:val="1"/>
      <w:marLeft w:val="0"/>
      <w:marRight w:val="0"/>
      <w:marTop w:val="0"/>
      <w:marBottom w:val="0"/>
      <w:divBdr>
        <w:top w:val="none" w:sz="0" w:space="0" w:color="auto"/>
        <w:left w:val="none" w:sz="0" w:space="0" w:color="auto"/>
        <w:bottom w:val="none" w:sz="0" w:space="0" w:color="auto"/>
        <w:right w:val="none" w:sz="0" w:space="0" w:color="auto"/>
      </w:divBdr>
    </w:div>
    <w:div w:id="1569143620">
      <w:bodyDiv w:val="1"/>
      <w:marLeft w:val="0"/>
      <w:marRight w:val="0"/>
      <w:marTop w:val="0"/>
      <w:marBottom w:val="0"/>
      <w:divBdr>
        <w:top w:val="none" w:sz="0" w:space="0" w:color="auto"/>
        <w:left w:val="none" w:sz="0" w:space="0" w:color="auto"/>
        <w:bottom w:val="none" w:sz="0" w:space="0" w:color="auto"/>
        <w:right w:val="none" w:sz="0" w:space="0" w:color="auto"/>
      </w:divBdr>
    </w:div>
    <w:div w:id="1574313264">
      <w:bodyDiv w:val="1"/>
      <w:marLeft w:val="0"/>
      <w:marRight w:val="0"/>
      <w:marTop w:val="0"/>
      <w:marBottom w:val="0"/>
      <w:divBdr>
        <w:top w:val="none" w:sz="0" w:space="0" w:color="auto"/>
        <w:left w:val="none" w:sz="0" w:space="0" w:color="auto"/>
        <w:bottom w:val="none" w:sz="0" w:space="0" w:color="auto"/>
        <w:right w:val="none" w:sz="0" w:space="0" w:color="auto"/>
      </w:divBdr>
    </w:div>
    <w:div w:id="1579173088">
      <w:bodyDiv w:val="1"/>
      <w:marLeft w:val="0"/>
      <w:marRight w:val="0"/>
      <w:marTop w:val="0"/>
      <w:marBottom w:val="0"/>
      <w:divBdr>
        <w:top w:val="none" w:sz="0" w:space="0" w:color="auto"/>
        <w:left w:val="none" w:sz="0" w:space="0" w:color="auto"/>
        <w:bottom w:val="none" w:sz="0" w:space="0" w:color="auto"/>
        <w:right w:val="none" w:sz="0" w:space="0" w:color="auto"/>
      </w:divBdr>
    </w:div>
    <w:div w:id="1582711187">
      <w:bodyDiv w:val="1"/>
      <w:marLeft w:val="0"/>
      <w:marRight w:val="0"/>
      <w:marTop w:val="0"/>
      <w:marBottom w:val="0"/>
      <w:divBdr>
        <w:top w:val="none" w:sz="0" w:space="0" w:color="auto"/>
        <w:left w:val="none" w:sz="0" w:space="0" w:color="auto"/>
        <w:bottom w:val="none" w:sz="0" w:space="0" w:color="auto"/>
        <w:right w:val="none" w:sz="0" w:space="0" w:color="auto"/>
      </w:divBdr>
    </w:div>
    <w:div w:id="1585146122">
      <w:bodyDiv w:val="1"/>
      <w:marLeft w:val="0"/>
      <w:marRight w:val="0"/>
      <w:marTop w:val="0"/>
      <w:marBottom w:val="0"/>
      <w:divBdr>
        <w:top w:val="none" w:sz="0" w:space="0" w:color="auto"/>
        <w:left w:val="none" w:sz="0" w:space="0" w:color="auto"/>
        <w:bottom w:val="none" w:sz="0" w:space="0" w:color="auto"/>
        <w:right w:val="none" w:sz="0" w:space="0" w:color="auto"/>
      </w:divBdr>
    </w:div>
    <w:div w:id="1589197024">
      <w:bodyDiv w:val="1"/>
      <w:marLeft w:val="0"/>
      <w:marRight w:val="0"/>
      <w:marTop w:val="0"/>
      <w:marBottom w:val="0"/>
      <w:divBdr>
        <w:top w:val="none" w:sz="0" w:space="0" w:color="auto"/>
        <w:left w:val="none" w:sz="0" w:space="0" w:color="auto"/>
        <w:bottom w:val="none" w:sz="0" w:space="0" w:color="auto"/>
        <w:right w:val="none" w:sz="0" w:space="0" w:color="auto"/>
      </w:divBdr>
    </w:div>
    <w:div w:id="1592590403">
      <w:bodyDiv w:val="1"/>
      <w:marLeft w:val="0"/>
      <w:marRight w:val="0"/>
      <w:marTop w:val="0"/>
      <w:marBottom w:val="0"/>
      <w:divBdr>
        <w:top w:val="none" w:sz="0" w:space="0" w:color="auto"/>
        <w:left w:val="none" w:sz="0" w:space="0" w:color="auto"/>
        <w:bottom w:val="none" w:sz="0" w:space="0" w:color="auto"/>
        <w:right w:val="none" w:sz="0" w:space="0" w:color="auto"/>
      </w:divBdr>
    </w:div>
    <w:div w:id="1599023707">
      <w:bodyDiv w:val="1"/>
      <w:marLeft w:val="0"/>
      <w:marRight w:val="0"/>
      <w:marTop w:val="0"/>
      <w:marBottom w:val="0"/>
      <w:divBdr>
        <w:top w:val="none" w:sz="0" w:space="0" w:color="auto"/>
        <w:left w:val="none" w:sz="0" w:space="0" w:color="auto"/>
        <w:bottom w:val="none" w:sz="0" w:space="0" w:color="auto"/>
        <w:right w:val="none" w:sz="0" w:space="0" w:color="auto"/>
      </w:divBdr>
    </w:div>
    <w:div w:id="1600796193">
      <w:bodyDiv w:val="1"/>
      <w:marLeft w:val="0"/>
      <w:marRight w:val="0"/>
      <w:marTop w:val="0"/>
      <w:marBottom w:val="0"/>
      <w:divBdr>
        <w:top w:val="none" w:sz="0" w:space="0" w:color="auto"/>
        <w:left w:val="none" w:sz="0" w:space="0" w:color="auto"/>
        <w:bottom w:val="none" w:sz="0" w:space="0" w:color="auto"/>
        <w:right w:val="none" w:sz="0" w:space="0" w:color="auto"/>
      </w:divBdr>
    </w:div>
    <w:div w:id="1604609720">
      <w:bodyDiv w:val="1"/>
      <w:marLeft w:val="0"/>
      <w:marRight w:val="0"/>
      <w:marTop w:val="0"/>
      <w:marBottom w:val="0"/>
      <w:divBdr>
        <w:top w:val="none" w:sz="0" w:space="0" w:color="auto"/>
        <w:left w:val="none" w:sz="0" w:space="0" w:color="auto"/>
        <w:bottom w:val="none" w:sz="0" w:space="0" w:color="auto"/>
        <w:right w:val="none" w:sz="0" w:space="0" w:color="auto"/>
      </w:divBdr>
      <w:divsChild>
        <w:div w:id="129827644">
          <w:marLeft w:val="0"/>
          <w:marRight w:val="0"/>
          <w:marTop w:val="0"/>
          <w:marBottom w:val="0"/>
          <w:divBdr>
            <w:top w:val="none" w:sz="0" w:space="0" w:color="auto"/>
            <w:left w:val="none" w:sz="0" w:space="0" w:color="auto"/>
            <w:bottom w:val="none" w:sz="0" w:space="0" w:color="auto"/>
            <w:right w:val="none" w:sz="0" w:space="0" w:color="auto"/>
          </w:divBdr>
        </w:div>
      </w:divsChild>
    </w:div>
    <w:div w:id="1605378867">
      <w:bodyDiv w:val="1"/>
      <w:marLeft w:val="0"/>
      <w:marRight w:val="0"/>
      <w:marTop w:val="0"/>
      <w:marBottom w:val="0"/>
      <w:divBdr>
        <w:top w:val="none" w:sz="0" w:space="0" w:color="auto"/>
        <w:left w:val="none" w:sz="0" w:space="0" w:color="auto"/>
        <w:bottom w:val="none" w:sz="0" w:space="0" w:color="auto"/>
        <w:right w:val="none" w:sz="0" w:space="0" w:color="auto"/>
      </w:divBdr>
    </w:div>
    <w:div w:id="1608658451">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3320609">
      <w:bodyDiv w:val="1"/>
      <w:marLeft w:val="0"/>
      <w:marRight w:val="0"/>
      <w:marTop w:val="0"/>
      <w:marBottom w:val="0"/>
      <w:divBdr>
        <w:top w:val="none" w:sz="0" w:space="0" w:color="auto"/>
        <w:left w:val="none" w:sz="0" w:space="0" w:color="auto"/>
        <w:bottom w:val="none" w:sz="0" w:space="0" w:color="auto"/>
        <w:right w:val="none" w:sz="0" w:space="0" w:color="auto"/>
      </w:divBdr>
    </w:div>
    <w:div w:id="1616669109">
      <w:bodyDiv w:val="1"/>
      <w:marLeft w:val="0"/>
      <w:marRight w:val="0"/>
      <w:marTop w:val="0"/>
      <w:marBottom w:val="0"/>
      <w:divBdr>
        <w:top w:val="none" w:sz="0" w:space="0" w:color="auto"/>
        <w:left w:val="none" w:sz="0" w:space="0" w:color="auto"/>
        <w:bottom w:val="none" w:sz="0" w:space="0" w:color="auto"/>
        <w:right w:val="none" w:sz="0" w:space="0" w:color="auto"/>
      </w:divBdr>
    </w:div>
    <w:div w:id="1622413983">
      <w:bodyDiv w:val="1"/>
      <w:marLeft w:val="0"/>
      <w:marRight w:val="0"/>
      <w:marTop w:val="0"/>
      <w:marBottom w:val="0"/>
      <w:divBdr>
        <w:top w:val="none" w:sz="0" w:space="0" w:color="auto"/>
        <w:left w:val="none" w:sz="0" w:space="0" w:color="auto"/>
        <w:bottom w:val="none" w:sz="0" w:space="0" w:color="auto"/>
        <w:right w:val="none" w:sz="0" w:space="0" w:color="auto"/>
      </w:divBdr>
    </w:div>
    <w:div w:id="1629432208">
      <w:bodyDiv w:val="1"/>
      <w:marLeft w:val="0"/>
      <w:marRight w:val="0"/>
      <w:marTop w:val="0"/>
      <w:marBottom w:val="0"/>
      <w:divBdr>
        <w:top w:val="none" w:sz="0" w:space="0" w:color="auto"/>
        <w:left w:val="none" w:sz="0" w:space="0" w:color="auto"/>
        <w:bottom w:val="none" w:sz="0" w:space="0" w:color="auto"/>
        <w:right w:val="none" w:sz="0" w:space="0" w:color="auto"/>
      </w:divBdr>
    </w:div>
    <w:div w:id="1629624417">
      <w:bodyDiv w:val="1"/>
      <w:marLeft w:val="0"/>
      <w:marRight w:val="0"/>
      <w:marTop w:val="0"/>
      <w:marBottom w:val="0"/>
      <w:divBdr>
        <w:top w:val="none" w:sz="0" w:space="0" w:color="auto"/>
        <w:left w:val="none" w:sz="0" w:space="0" w:color="auto"/>
        <w:bottom w:val="none" w:sz="0" w:space="0" w:color="auto"/>
        <w:right w:val="none" w:sz="0" w:space="0" w:color="auto"/>
      </w:divBdr>
    </w:div>
    <w:div w:id="1630086401">
      <w:bodyDiv w:val="1"/>
      <w:marLeft w:val="0"/>
      <w:marRight w:val="0"/>
      <w:marTop w:val="0"/>
      <w:marBottom w:val="0"/>
      <w:divBdr>
        <w:top w:val="none" w:sz="0" w:space="0" w:color="auto"/>
        <w:left w:val="none" w:sz="0" w:space="0" w:color="auto"/>
        <w:bottom w:val="none" w:sz="0" w:space="0" w:color="auto"/>
        <w:right w:val="none" w:sz="0" w:space="0" w:color="auto"/>
      </w:divBdr>
    </w:div>
    <w:div w:id="1633946362">
      <w:bodyDiv w:val="1"/>
      <w:marLeft w:val="0"/>
      <w:marRight w:val="0"/>
      <w:marTop w:val="0"/>
      <w:marBottom w:val="0"/>
      <w:divBdr>
        <w:top w:val="none" w:sz="0" w:space="0" w:color="auto"/>
        <w:left w:val="none" w:sz="0" w:space="0" w:color="auto"/>
        <w:bottom w:val="none" w:sz="0" w:space="0" w:color="auto"/>
        <w:right w:val="none" w:sz="0" w:space="0" w:color="auto"/>
      </w:divBdr>
    </w:div>
    <w:div w:id="1636518624">
      <w:bodyDiv w:val="1"/>
      <w:marLeft w:val="0"/>
      <w:marRight w:val="0"/>
      <w:marTop w:val="0"/>
      <w:marBottom w:val="0"/>
      <w:divBdr>
        <w:top w:val="none" w:sz="0" w:space="0" w:color="auto"/>
        <w:left w:val="none" w:sz="0" w:space="0" w:color="auto"/>
        <w:bottom w:val="none" w:sz="0" w:space="0" w:color="auto"/>
        <w:right w:val="none" w:sz="0" w:space="0" w:color="auto"/>
      </w:divBdr>
    </w:div>
    <w:div w:id="1637956103">
      <w:bodyDiv w:val="1"/>
      <w:marLeft w:val="0"/>
      <w:marRight w:val="0"/>
      <w:marTop w:val="0"/>
      <w:marBottom w:val="0"/>
      <w:divBdr>
        <w:top w:val="none" w:sz="0" w:space="0" w:color="auto"/>
        <w:left w:val="none" w:sz="0" w:space="0" w:color="auto"/>
        <w:bottom w:val="none" w:sz="0" w:space="0" w:color="auto"/>
        <w:right w:val="none" w:sz="0" w:space="0" w:color="auto"/>
      </w:divBdr>
    </w:div>
    <w:div w:id="1642418751">
      <w:bodyDiv w:val="1"/>
      <w:marLeft w:val="0"/>
      <w:marRight w:val="0"/>
      <w:marTop w:val="0"/>
      <w:marBottom w:val="0"/>
      <w:divBdr>
        <w:top w:val="none" w:sz="0" w:space="0" w:color="auto"/>
        <w:left w:val="none" w:sz="0" w:space="0" w:color="auto"/>
        <w:bottom w:val="none" w:sz="0" w:space="0" w:color="auto"/>
        <w:right w:val="none" w:sz="0" w:space="0" w:color="auto"/>
      </w:divBdr>
      <w:divsChild>
        <w:div w:id="266275129">
          <w:marLeft w:val="0"/>
          <w:marRight w:val="0"/>
          <w:marTop w:val="0"/>
          <w:marBottom w:val="0"/>
          <w:divBdr>
            <w:top w:val="none" w:sz="0" w:space="0" w:color="auto"/>
            <w:left w:val="none" w:sz="0" w:space="0" w:color="auto"/>
            <w:bottom w:val="none" w:sz="0" w:space="0" w:color="auto"/>
            <w:right w:val="none" w:sz="0" w:space="0" w:color="auto"/>
          </w:divBdr>
          <w:divsChild>
            <w:div w:id="2074769644">
              <w:marLeft w:val="0"/>
              <w:marRight w:val="0"/>
              <w:marTop w:val="0"/>
              <w:marBottom w:val="0"/>
              <w:divBdr>
                <w:top w:val="none" w:sz="0" w:space="0" w:color="auto"/>
                <w:left w:val="none" w:sz="0" w:space="0" w:color="auto"/>
                <w:bottom w:val="none" w:sz="0" w:space="0" w:color="auto"/>
                <w:right w:val="none" w:sz="0" w:space="0" w:color="auto"/>
              </w:divBdr>
              <w:divsChild>
                <w:div w:id="5806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085">
      <w:bodyDiv w:val="1"/>
      <w:marLeft w:val="0"/>
      <w:marRight w:val="0"/>
      <w:marTop w:val="0"/>
      <w:marBottom w:val="0"/>
      <w:divBdr>
        <w:top w:val="none" w:sz="0" w:space="0" w:color="auto"/>
        <w:left w:val="none" w:sz="0" w:space="0" w:color="auto"/>
        <w:bottom w:val="none" w:sz="0" w:space="0" w:color="auto"/>
        <w:right w:val="none" w:sz="0" w:space="0" w:color="auto"/>
      </w:divBdr>
    </w:div>
    <w:div w:id="1646353577">
      <w:bodyDiv w:val="1"/>
      <w:marLeft w:val="0"/>
      <w:marRight w:val="0"/>
      <w:marTop w:val="0"/>
      <w:marBottom w:val="0"/>
      <w:divBdr>
        <w:top w:val="none" w:sz="0" w:space="0" w:color="auto"/>
        <w:left w:val="none" w:sz="0" w:space="0" w:color="auto"/>
        <w:bottom w:val="none" w:sz="0" w:space="0" w:color="auto"/>
        <w:right w:val="none" w:sz="0" w:space="0" w:color="auto"/>
      </w:divBdr>
    </w:div>
    <w:div w:id="1646353645">
      <w:bodyDiv w:val="1"/>
      <w:marLeft w:val="0"/>
      <w:marRight w:val="0"/>
      <w:marTop w:val="0"/>
      <w:marBottom w:val="0"/>
      <w:divBdr>
        <w:top w:val="none" w:sz="0" w:space="0" w:color="auto"/>
        <w:left w:val="none" w:sz="0" w:space="0" w:color="auto"/>
        <w:bottom w:val="none" w:sz="0" w:space="0" w:color="auto"/>
        <w:right w:val="none" w:sz="0" w:space="0" w:color="auto"/>
      </w:divBdr>
    </w:div>
    <w:div w:id="1649820869">
      <w:bodyDiv w:val="1"/>
      <w:marLeft w:val="0"/>
      <w:marRight w:val="0"/>
      <w:marTop w:val="0"/>
      <w:marBottom w:val="0"/>
      <w:divBdr>
        <w:top w:val="none" w:sz="0" w:space="0" w:color="auto"/>
        <w:left w:val="none" w:sz="0" w:space="0" w:color="auto"/>
        <w:bottom w:val="none" w:sz="0" w:space="0" w:color="auto"/>
        <w:right w:val="none" w:sz="0" w:space="0" w:color="auto"/>
      </w:divBdr>
    </w:div>
    <w:div w:id="1651054282">
      <w:bodyDiv w:val="1"/>
      <w:marLeft w:val="0"/>
      <w:marRight w:val="0"/>
      <w:marTop w:val="0"/>
      <w:marBottom w:val="0"/>
      <w:divBdr>
        <w:top w:val="none" w:sz="0" w:space="0" w:color="auto"/>
        <w:left w:val="none" w:sz="0" w:space="0" w:color="auto"/>
        <w:bottom w:val="none" w:sz="0" w:space="0" w:color="auto"/>
        <w:right w:val="none" w:sz="0" w:space="0" w:color="auto"/>
      </w:divBdr>
    </w:div>
    <w:div w:id="1653169574">
      <w:bodyDiv w:val="1"/>
      <w:marLeft w:val="0"/>
      <w:marRight w:val="0"/>
      <w:marTop w:val="0"/>
      <w:marBottom w:val="0"/>
      <w:divBdr>
        <w:top w:val="none" w:sz="0" w:space="0" w:color="auto"/>
        <w:left w:val="none" w:sz="0" w:space="0" w:color="auto"/>
        <w:bottom w:val="none" w:sz="0" w:space="0" w:color="auto"/>
        <w:right w:val="none" w:sz="0" w:space="0" w:color="auto"/>
      </w:divBdr>
    </w:div>
    <w:div w:id="1655184580">
      <w:bodyDiv w:val="1"/>
      <w:marLeft w:val="0"/>
      <w:marRight w:val="0"/>
      <w:marTop w:val="0"/>
      <w:marBottom w:val="0"/>
      <w:divBdr>
        <w:top w:val="none" w:sz="0" w:space="0" w:color="auto"/>
        <w:left w:val="none" w:sz="0" w:space="0" w:color="auto"/>
        <w:bottom w:val="none" w:sz="0" w:space="0" w:color="auto"/>
        <w:right w:val="none" w:sz="0" w:space="0" w:color="auto"/>
      </w:divBdr>
    </w:div>
    <w:div w:id="1659071077">
      <w:bodyDiv w:val="1"/>
      <w:marLeft w:val="0"/>
      <w:marRight w:val="0"/>
      <w:marTop w:val="0"/>
      <w:marBottom w:val="0"/>
      <w:divBdr>
        <w:top w:val="none" w:sz="0" w:space="0" w:color="auto"/>
        <w:left w:val="none" w:sz="0" w:space="0" w:color="auto"/>
        <w:bottom w:val="none" w:sz="0" w:space="0" w:color="auto"/>
        <w:right w:val="none" w:sz="0" w:space="0" w:color="auto"/>
      </w:divBdr>
    </w:div>
    <w:div w:id="1662849473">
      <w:bodyDiv w:val="1"/>
      <w:marLeft w:val="0"/>
      <w:marRight w:val="0"/>
      <w:marTop w:val="0"/>
      <w:marBottom w:val="0"/>
      <w:divBdr>
        <w:top w:val="none" w:sz="0" w:space="0" w:color="auto"/>
        <w:left w:val="none" w:sz="0" w:space="0" w:color="auto"/>
        <w:bottom w:val="none" w:sz="0" w:space="0" w:color="auto"/>
        <w:right w:val="none" w:sz="0" w:space="0" w:color="auto"/>
      </w:divBdr>
    </w:div>
    <w:div w:id="1667439132">
      <w:bodyDiv w:val="1"/>
      <w:marLeft w:val="0"/>
      <w:marRight w:val="0"/>
      <w:marTop w:val="0"/>
      <w:marBottom w:val="0"/>
      <w:divBdr>
        <w:top w:val="none" w:sz="0" w:space="0" w:color="auto"/>
        <w:left w:val="none" w:sz="0" w:space="0" w:color="auto"/>
        <w:bottom w:val="none" w:sz="0" w:space="0" w:color="auto"/>
        <w:right w:val="none" w:sz="0" w:space="0" w:color="auto"/>
      </w:divBdr>
    </w:div>
    <w:div w:id="1670400467">
      <w:bodyDiv w:val="1"/>
      <w:marLeft w:val="0"/>
      <w:marRight w:val="0"/>
      <w:marTop w:val="0"/>
      <w:marBottom w:val="0"/>
      <w:divBdr>
        <w:top w:val="none" w:sz="0" w:space="0" w:color="auto"/>
        <w:left w:val="none" w:sz="0" w:space="0" w:color="auto"/>
        <w:bottom w:val="none" w:sz="0" w:space="0" w:color="auto"/>
        <w:right w:val="none" w:sz="0" w:space="0" w:color="auto"/>
      </w:divBdr>
    </w:div>
    <w:div w:id="1670523460">
      <w:bodyDiv w:val="1"/>
      <w:marLeft w:val="0"/>
      <w:marRight w:val="0"/>
      <w:marTop w:val="0"/>
      <w:marBottom w:val="0"/>
      <w:divBdr>
        <w:top w:val="none" w:sz="0" w:space="0" w:color="auto"/>
        <w:left w:val="none" w:sz="0" w:space="0" w:color="auto"/>
        <w:bottom w:val="none" w:sz="0" w:space="0" w:color="auto"/>
        <w:right w:val="none" w:sz="0" w:space="0" w:color="auto"/>
      </w:divBdr>
    </w:div>
    <w:div w:id="1672441935">
      <w:bodyDiv w:val="1"/>
      <w:marLeft w:val="0"/>
      <w:marRight w:val="0"/>
      <w:marTop w:val="0"/>
      <w:marBottom w:val="0"/>
      <w:divBdr>
        <w:top w:val="none" w:sz="0" w:space="0" w:color="auto"/>
        <w:left w:val="none" w:sz="0" w:space="0" w:color="auto"/>
        <w:bottom w:val="none" w:sz="0" w:space="0" w:color="auto"/>
        <w:right w:val="none" w:sz="0" w:space="0" w:color="auto"/>
      </w:divBdr>
      <w:divsChild>
        <w:div w:id="1292900715">
          <w:marLeft w:val="0"/>
          <w:marRight w:val="0"/>
          <w:marTop w:val="0"/>
          <w:marBottom w:val="0"/>
          <w:divBdr>
            <w:top w:val="none" w:sz="0" w:space="0" w:color="auto"/>
            <w:left w:val="none" w:sz="0" w:space="0" w:color="auto"/>
            <w:bottom w:val="none" w:sz="0" w:space="0" w:color="auto"/>
            <w:right w:val="none" w:sz="0" w:space="0" w:color="auto"/>
          </w:divBdr>
        </w:div>
      </w:divsChild>
    </w:div>
    <w:div w:id="1677489378">
      <w:bodyDiv w:val="1"/>
      <w:marLeft w:val="0"/>
      <w:marRight w:val="0"/>
      <w:marTop w:val="0"/>
      <w:marBottom w:val="0"/>
      <w:divBdr>
        <w:top w:val="none" w:sz="0" w:space="0" w:color="auto"/>
        <w:left w:val="none" w:sz="0" w:space="0" w:color="auto"/>
        <w:bottom w:val="none" w:sz="0" w:space="0" w:color="auto"/>
        <w:right w:val="none" w:sz="0" w:space="0" w:color="auto"/>
      </w:divBdr>
      <w:divsChild>
        <w:div w:id="1914006984">
          <w:marLeft w:val="720"/>
          <w:marRight w:val="0"/>
          <w:marTop w:val="200"/>
          <w:marBottom w:val="0"/>
          <w:divBdr>
            <w:top w:val="none" w:sz="0" w:space="0" w:color="auto"/>
            <w:left w:val="none" w:sz="0" w:space="0" w:color="auto"/>
            <w:bottom w:val="none" w:sz="0" w:space="0" w:color="auto"/>
            <w:right w:val="none" w:sz="0" w:space="0" w:color="auto"/>
          </w:divBdr>
        </w:div>
        <w:div w:id="1985891389">
          <w:marLeft w:val="720"/>
          <w:marRight w:val="0"/>
          <w:marTop w:val="200"/>
          <w:marBottom w:val="0"/>
          <w:divBdr>
            <w:top w:val="none" w:sz="0" w:space="0" w:color="auto"/>
            <w:left w:val="none" w:sz="0" w:space="0" w:color="auto"/>
            <w:bottom w:val="none" w:sz="0" w:space="0" w:color="auto"/>
            <w:right w:val="none" w:sz="0" w:space="0" w:color="auto"/>
          </w:divBdr>
        </w:div>
      </w:divsChild>
    </w:div>
    <w:div w:id="1677801801">
      <w:bodyDiv w:val="1"/>
      <w:marLeft w:val="0"/>
      <w:marRight w:val="0"/>
      <w:marTop w:val="0"/>
      <w:marBottom w:val="0"/>
      <w:divBdr>
        <w:top w:val="none" w:sz="0" w:space="0" w:color="auto"/>
        <w:left w:val="none" w:sz="0" w:space="0" w:color="auto"/>
        <w:bottom w:val="none" w:sz="0" w:space="0" w:color="auto"/>
        <w:right w:val="none" w:sz="0" w:space="0" w:color="auto"/>
      </w:divBdr>
    </w:div>
    <w:div w:id="1678340110">
      <w:bodyDiv w:val="1"/>
      <w:marLeft w:val="0"/>
      <w:marRight w:val="0"/>
      <w:marTop w:val="0"/>
      <w:marBottom w:val="0"/>
      <w:divBdr>
        <w:top w:val="none" w:sz="0" w:space="0" w:color="auto"/>
        <w:left w:val="none" w:sz="0" w:space="0" w:color="auto"/>
        <w:bottom w:val="none" w:sz="0" w:space="0" w:color="auto"/>
        <w:right w:val="none" w:sz="0" w:space="0" w:color="auto"/>
      </w:divBdr>
    </w:div>
    <w:div w:id="1681350866">
      <w:bodyDiv w:val="1"/>
      <w:marLeft w:val="0"/>
      <w:marRight w:val="0"/>
      <w:marTop w:val="0"/>
      <w:marBottom w:val="0"/>
      <w:divBdr>
        <w:top w:val="none" w:sz="0" w:space="0" w:color="auto"/>
        <w:left w:val="none" w:sz="0" w:space="0" w:color="auto"/>
        <w:bottom w:val="none" w:sz="0" w:space="0" w:color="auto"/>
        <w:right w:val="none" w:sz="0" w:space="0" w:color="auto"/>
      </w:divBdr>
      <w:divsChild>
        <w:div w:id="690838158">
          <w:marLeft w:val="0"/>
          <w:marRight w:val="0"/>
          <w:marTop w:val="0"/>
          <w:marBottom w:val="0"/>
          <w:divBdr>
            <w:top w:val="none" w:sz="0" w:space="0" w:color="auto"/>
            <w:left w:val="none" w:sz="0" w:space="0" w:color="auto"/>
            <w:bottom w:val="none" w:sz="0" w:space="0" w:color="auto"/>
            <w:right w:val="none" w:sz="0" w:space="0" w:color="auto"/>
          </w:divBdr>
        </w:div>
      </w:divsChild>
    </w:div>
    <w:div w:id="1688095889">
      <w:bodyDiv w:val="1"/>
      <w:marLeft w:val="0"/>
      <w:marRight w:val="0"/>
      <w:marTop w:val="0"/>
      <w:marBottom w:val="0"/>
      <w:divBdr>
        <w:top w:val="none" w:sz="0" w:space="0" w:color="auto"/>
        <w:left w:val="none" w:sz="0" w:space="0" w:color="auto"/>
        <w:bottom w:val="none" w:sz="0" w:space="0" w:color="auto"/>
        <w:right w:val="none" w:sz="0" w:space="0" w:color="auto"/>
      </w:divBdr>
      <w:divsChild>
        <w:div w:id="1829203601">
          <w:marLeft w:val="0"/>
          <w:marRight w:val="0"/>
          <w:marTop w:val="0"/>
          <w:marBottom w:val="0"/>
          <w:divBdr>
            <w:top w:val="none" w:sz="0" w:space="0" w:color="auto"/>
            <w:left w:val="none" w:sz="0" w:space="0" w:color="auto"/>
            <w:bottom w:val="none" w:sz="0" w:space="0" w:color="auto"/>
            <w:right w:val="none" w:sz="0" w:space="0" w:color="auto"/>
          </w:divBdr>
          <w:divsChild>
            <w:div w:id="983315436">
              <w:marLeft w:val="0"/>
              <w:marRight w:val="0"/>
              <w:marTop w:val="0"/>
              <w:marBottom w:val="0"/>
              <w:divBdr>
                <w:top w:val="none" w:sz="0" w:space="0" w:color="auto"/>
                <w:left w:val="none" w:sz="0" w:space="0" w:color="auto"/>
                <w:bottom w:val="none" w:sz="0" w:space="0" w:color="auto"/>
                <w:right w:val="none" w:sz="0" w:space="0" w:color="auto"/>
              </w:divBdr>
              <w:divsChild>
                <w:div w:id="1412459032">
                  <w:marLeft w:val="0"/>
                  <w:marRight w:val="0"/>
                  <w:marTop w:val="0"/>
                  <w:marBottom w:val="0"/>
                  <w:divBdr>
                    <w:top w:val="none" w:sz="0" w:space="0" w:color="auto"/>
                    <w:left w:val="none" w:sz="0" w:space="0" w:color="auto"/>
                    <w:bottom w:val="none" w:sz="0" w:space="0" w:color="auto"/>
                    <w:right w:val="none" w:sz="0" w:space="0" w:color="auto"/>
                  </w:divBdr>
                  <w:divsChild>
                    <w:div w:id="3117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6998">
      <w:bodyDiv w:val="1"/>
      <w:marLeft w:val="0"/>
      <w:marRight w:val="0"/>
      <w:marTop w:val="0"/>
      <w:marBottom w:val="0"/>
      <w:divBdr>
        <w:top w:val="none" w:sz="0" w:space="0" w:color="auto"/>
        <w:left w:val="none" w:sz="0" w:space="0" w:color="auto"/>
        <w:bottom w:val="none" w:sz="0" w:space="0" w:color="auto"/>
        <w:right w:val="none" w:sz="0" w:space="0" w:color="auto"/>
      </w:divBdr>
    </w:div>
    <w:div w:id="1699504712">
      <w:bodyDiv w:val="1"/>
      <w:marLeft w:val="0"/>
      <w:marRight w:val="0"/>
      <w:marTop w:val="0"/>
      <w:marBottom w:val="0"/>
      <w:divBdr>
        <w:top w:val="none" w:sz="0" w:space="0" w:color="auto"/>
        <w:left w:val="none" w:sz="0" w:space="0" w:color="auto"/>
        <w:bottom w:val="none" w:sz="0" w:space="0" w:color="auto"/>
        <w:right w:val="none" w:sz="0" w:space="0" w:color="auto"/>
      </w:divBdr>
    </w:div>
    <w:div w:id="1704092557">
      <w:bodyDiv w:val="1"/>
      <w:marLeft w:val="0"/>
      <w:marRight w:val="0"/>
      <w:marTop w:val="0"/>
      <w:marBottom w:val="0"/>
      <w:divBdr>
        <w:top w:val="none" w:sz="0" w:space="0" w:color="auto"/>
        <w:left w:val="none" w:sz="0" w:space="0" w:color="auto"/>
        <w:bottom w:val="none" w:sz="0" w:space="0" w:color="auto"/>
        <w:right w:val="none" w:sz="0" w:space="0" w:color="auto"/>
      </w:divBdr>
    </w:div>
    <w:div w:id="1704592160">
      <w:bodyDiv w:val="1"/>
      <w:marLeft w:val="0"/>
      <w:marRight w:val="0"/>
      <w:marTop w:val="0"/>
      <w:marBottom w:val="0"/>
      <w:divBdr>
        <w:top w:val="none" w:sz="0" w:space="0" w:color="auto"/>
        <w:left w:val="none" w:sz="0" w:space="0" w:color="auto"/>
        <w:bottom w:val="none" w:sz="0" w:space="0" w:color="auto"/>
        <w:right w:val="none" w:sz="0" w:space="0" w:color="auto"/>
      </w:divBdr>
    </w:div>
    <w:div w:id="1708795682">
      <w:bodyDiv w:val="1"/>
      <w:marLeft w:val="0"/>
      <w:marRight w:val="0"/>
      <w:marTop w:val="0"/>
      <w:marBottom w:val="0"/>
      <w:divBdr>
        <w:top w:val="none" w:sz="0" w:space="0" w:color="auto"/>
        <w:left w:val="none" w:sz="0" w:space="0" w:color="auto"/>
        <w:bottom w:val="none" w:sz="0" w:space="0" w:color="auto"/>
        <w:right w:val="none" w:sz="0" w:space="0" w:color="auto"/>
      </w:divBdr>
    </w:div>
    <w:div w:id="1710182453">
      <w:bodyDiv w:val="1"/>
      <w:marLeft w:val="0"/>
      <w:marRight w:val="0"/>
      <w:marTop w:val="0"/>
      <w:marBottom w:val="0"/>
      <w:divBdr>
        <w:top w:val="none" w:sz="0" w:space="0" w:color="auto"/>
        <w:left w:val="none" w:sz="0" w:space="0" w:color="auto"/>
        <w:bottom w:val="none" w:sz="0" w:space="0" w:color="auto"/>
        <w:right w:val="none" w:sz="0" w:space="0" w:color="auto"/>
      </w:divBdr>
    </w:div>
    <w:div w:id="1717314026">
      <w:bodyDiv w:val="1"/>
      <w:marLeft w:val="0"/>
      <w:marRight w:val="0"/>
      <w:marTop w:val="0"/>
      <w:marBottom w:val="0"/>
      <w:divBdr>
        <w:top w:val="none" w:sz="0" w:space="0" w:color="auto"/>
        <w:left w:val="none" w:sz="0" w:space="0" w:color="auto"/>
        <w:bottom w:val="none" w:sz="0" w:space="0" w:color="auto"/>
        <w:right w:val="none" w:sz="0" w:space="0" w:color="auto"/>
      </w:divBdr>
    </w:div>
    <w:div w:id="1722822358">
      <w:bodyDiv w:val="1"/>
      <w:marLeft w:val="0"/>
      <w:marRight w:val="0"/>
      <w:marTop w:val="0"/>
      <w:marBottom w:val="0"/>
      <w:divBdr>
        <w:top w:val="none" w:sz="0" w:space="0" w:color="auto"/>
        <w:left w:val="none" w:sz="0" w:space="0" w:color="auto"/>
        <w:bottom w:val="none" w:sz="0" w:space="0" w:color="auto"/>
        <w:right w:val="none" w:sz="0" w:space="0" w:color="auto"/>
      </w:divBdr>
      <w:divsChild>
        <w:div w:id="133641291">
          <w:marLeft w:val="547"/>
          <w:marRight w:val="0"/>
          <w:marTop w:val="240"/>
          <w:marBottom w:val="240"/>
          <w:divBdr>
            <w:top w:val="none" w:sz="0" w:space="0" w:color="auto"/>
            <w:left w:val="none" w:sz="0" w:space="0" w:color="auto"/>
            <w:bottom w:val="none" w:sz="0" w:space="0" w:color="auto"/>
            <w:right w:val="none" w:sz="0" w:space="0" w:color="auto"/>
          </w:divBdr>
        </w:div>
        <w:div w:id="832716576">
          <w:marLeft w:val="547"/>
          <w:marRight w:val="0"/>
          <w:marTop w:val="240"/>
          <w:marBottom w:val="240"/>
          <w:divBdr>
            <w:top w:val="none" w:sz="0" w:space="0" w:color="auto"/>
            <w:left w:val="none" w:sz="0" w:space="0" w:color="auto"/>
            <w:bottom w:val="none" w:sz="0" w:space="0" w:color="auto"/>
            <w:right w:val="none" w:sz="0" w:space="0" w:color="auto"/>
          </w:divBdr>
        </w:div>
        <w:div w:id="1109472309">
          <w:marLeft w:val="547"/>
          <w:marRight w:val="0"/>
          <w:marTop w:val="240"/>
          <w:marBottom w:val="240"/>
          <w:divBdr>
            <w:top w:val="none" w:sz="0" w:space="0" w:color="auto"/>
            <w:left w:val="none" w:sz="0" w:space="0" w:color="auto"/>
            <w:bottom w:val="none" w:sz="0" w:space="0" w:color="auto"/>
            <w:right w:val="none" w:sz="0" w:space="0" w:color="auto"/>
          </w:divBdr>
        </w:div>
      </w:divsChild>
    </w:div>
    <w:div w:id="1723552193">
      <w:bodyDiv w:val="1"/>
      <w:marLeft w:val="0"/>
      <w:marRight w:val="0"/>
      <w:marTop w:val="0"/>
      <w:marBottom w:val="0"/>
      <w:divBdr>
        <w:top w:val="none" w:sz="0" w:space="0" w:color="auto"/>
        <w:left w:val="none" w:sz="0" w:space="0" w:color="auto"/>
        <w:bottom w:val="none" w:sz="0" w:space="0" w:color="auto"/>
        <w:right w:val="none" w:sz="0" w:space="0" w:color="auto"/>
      </w:divBdr>
    </w:div>
    <w:div w:id="172590889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33">
          <w:marLeft w:val="0"/>
          <w:marRight w:val="0"/>
          <w:marTop w:val="0"/>
          <w:marBottom w:val="0"/>
          <w:divBdr>
            <w:top w:val="none" w:sz="0" w:space="0" w:color="auto"/>
            <w:left w:val="none" w:sz="0" w:space="0" w:color="auto"/>
            <w:bottom w:val="none" w:sz="0" w:space="0" w:color="auto"/>
            <w:right w:val="none" w:sz="0" w:space="0" w:color="auto"/>
          </w:divBdr>
        </w:div>
      </w:divsChild>
    </w:div>
    <w:div w:id="1731466521">
      <w:bodyDiv w:val="1"/>
      <w:marLeft w:val="0"/>
      <w:marRight w:val="0"/>
      <w:marTop w:val="0"/>
      <w:marBottom w:val="0"/>
      <w:divBdr>
        <w:top w:val="none" w:sz="0" w:space="0" w:color="auto"/>
        <w:left w:val="none" w:sz="0" w:space="0" w:color="auto"/>
        <w:bottom w:val="none" w:sz="0" w:space="0" w:color="auto"/>
        <w:right w:val="none" w:sz="0" w:space="0" w:color="auto"/>
      </w:divBdr>
    </w:div>
    <w:div w:id="1733380469">
      <w:bodyDiv w:val="1"/>
      <w:marLeft w:val="0"/>
      <w:marRight w:val="0"/>
      <w:marTop w:val="0"/>
      <w:marBottom w:val="0"/>
      <w:divBdr>
        <w:top w:val="none" w:sz="0" w:space="0" w:color="auto"/>
        <w:left w:val="none" w:sz="0" w:space="0" w:color="auto"/>
        <w:bottom w:val="none" w:sz="0" w:space="0" w:color="auto"/>
        <w:right w:val="none" w:sz="0" w:space="0" w:color="auto"/>
      </w:divBdr>
    </w:div>
    <w:div w:id="1733698010">
      <w:bodyDiv w:val="1"/>
      <w:marLeft w:val="0"/>
      <w:marRight w:val="0"/>
      <w:marTop w:val="0"/>
      <w:marBottom w:val="0"/>
      <w:divBdr>
        <w:top w:val="none" w:sz="0" w:space="0" w:color="auto"/>
        <w:left w:val="none" w:sz="0" w:space="0" w:color="auto"/>
        <w:bottom w:val="none" w:sz="0" w:space="0" w:color="auto"/>
        <w:right w:val="none" w:sz="0" w:space="0" w:color="auto"/>
      </w:divBdr>
    </w:div>
    <w:div w:id="1738287766">
      <w:bodyDiv w:val="1"/>
      <w:marLeft w:val="0"/>
      <w:marRight w:val="0"/>
      <w:marTop w:val="0"/>
      <w:marBottom w:val="0"/>
      <w:divBdr>
        <w:top w:val="none" w:sz="0" w:space="0" w:color="auto"/>
        <w:left w:val="none" w:sz="0" w:space="0" w:color="auto"/>
        <w:bottom w:val="none" w:sz="0" w:space="0" w:color="auto"/>
        <w:right w:val="none" w:sz="0" w:space="0" w:color="auto"/>
      </w:divBdr>
    </w:div>
    <w:div w:id="1741637181">
      <w:bodyDiv w:val="1"/>
      <w:marLeft w:val="0"/>
      <w:marRight w:val="0"/>
      <w:marTop w:val="0"/>
      <w:marBottom w:val="0"/>
      <w:divBdr>
        <w:top w:val="none" w:sz="0" w:space="0" w:color="auto"/>
        <w:left w:val="none" w:sz="0" w:space="0" w:color="auto"/>
        <w:bottom w:val="none" w:sz="0" w:space="0" w:color="auto"/>
        <w:right w:val="none" w:sz="0" w:space="0" w:color="auto"/>
      </w:divBdr>
    </w:div>
    <w:div w:id="1745375919">
      <w:bodyDiv w:val="1"/>
      <w:marLeft w:val="0"/>
      <w:marRight w:val="0"/>
      <w:marTop w:val="0"/>
      <w:marBottom w:val="0"/>
      <w:divBdr>
        <w:top w:val="none" w:sz="0" w:space="0" w:color="auto"/>
        <w:left w:val="none" w:sz="0" w:space="0" w:color="auto"/>
        <w:bottom w:val="none" w:sz="0" w:space="0" w:color="auto"/>
        <w:right w:val="none" w:sz="0" w:space="0" w:color="auto"/>
      </w:divBdr>
      <w:divsChild>
        <w:div w:id="397168651">
          <w:marLeft w:val="547"/>
          <w:marRight w:val="0"/>
          <w:marTop w:val="0"/>
          <w:marBottom w:val="0"/>
          <w:divBdr>
            <w:top w:val="none" w:sz="0" w:space="0" w:color="auto"/>
            <w:left w:val="none" w:sz="0" w:space="0" w:color="auto"/>
            <w:bottom w:val="none" w:sz="0" w:space="0" w:color="auto"/>
            <w:right w:val="none" w:sz="0" w:space="0" w:color="auto"/>
          </w:divBdr>
        </w:div>
        <w:div w:id="1510291514">
          <w:marLeft w:val="547"/>
          <w:marRight w:val="0"/>
          <w:marTop w:val="0"/>
          <w:marBottom w:val="0"/>
          <w:divBdr>
            <w:top w:val="none" w:sz="0" w:space="0" w:color="auto"/>
            <w:left w:val="none" w:sz="0" w:space="0" w:color="auto"/>
            <w:bottom w:val="none" w:sz="0" w:space="0" w:color="auto"/>
            <w:right w:val="none" w:sz="0" w:space="0" w:color="auto"/>
          </w:divBdr>
        </w:div>
      </w:divsChild>
    </w:div>
    <w:div w:id="1746027572">
      <w:bodyDiv w:val="1"/>
      <w:marLeft w:val="0"/>
      <w:marRight w:val="0"/>
      <w:marTop w:val="0"/>
      <w:marBottom w:val="0"/>
      <w:divBdr>
        <w:top w:val="none" w:sz="0" w:space="0" w:color="auto"/>
        <w:left w:val="none" w:sz="0" w:space="0" w:color="auto"/>
        <w:bottom w:val="none" w:sz="0" w:space="0" w:color="auto"/>
        <w:right w:val="none" w:sz="0" w:space="0" w:color="auto"/>
      </w:divBdr>
      <w:divsChild>
        <w:div w:id="1304119063">
          <w:marLeft w:val="0"/>
          <w:marRight w:val="0"/>
          <w:marTop w:val="0"/>
          <w:marBottom w:val="0"/>
          <w:divBdr>
            <w:top w:val="none" w:sz="0" w:space="0" w:color="auto"/>
            <w:left w:val="none" w:sz="0" w:space="0" w:color="auto"/>
            <w:bottom w:val="none" w:sz="0" w:space="0" w:color="auto"/>
            <w:right w:val="none" w:sz="0" w:space="0" w:color="auto"/>
          </w:divBdr>
          <w:divsChild>
            <w:div w:id="1785803761">
              <w:marLeft w:val="0"/>
              <w:marRight w:val="0"/>
              <w:marTop w:val="0"/>
              <w:marBottom w:val="0"/>
              <w:divBdr>
                <w:top w:val="none" w:sz="0" w:space="0" w:color="auto"/>
                <w:left w:val="none" w:sz="0" w:space="0" w:color="auto"/>
                <w:bottom w:val="none" w:sz="0" w:space="0" w:color="auto"/>
                <w:right w:val="none" w:sz="0" w:space="0" w:color="auto"/>
              </w:divBdr>
              <w:divsChild>
                <w:div w:id="1122455554">
                  <w:marLeft w:val="0"/>
                  <w:marRight w:val="0"/>
                  <w:marTop w:val="0"/>
                  <w:marBottom w:val="0"/>
                  <w:divBdr>
                    <w:top w:val="none" w:sz="0" w:space="0" w:color="auto"/>
                    <w:left w:val="none" w:sz="0" w:space="0" w:color="auto"/>
                    <w:bottom w:val="none" w:sz="0" w:space="0" w:color="auto"/>
                    <w:right w:val="none" w:sz="0" w:space="0" w:color="auto"/>
                  </w:divBdr>
                  <w:divsChild>
                    <w:div w:id="20716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96295">
      <w:bodyDiv w:val="1"/>
      <w:marLeft w:val="0"/>
      <w:marRight w:val="0"/>
      <w:marTop w:val="0"/>
      <w:marBottom w:val="0"/>
      <w:divBdr>
        <w:top w:val="none" w:sz="0" w:space="0" w:color="auto"/>
        <w:left w:val="none" w:sz="0" w:space="0" w:color="auto"/>
        <w:bottom w:val="none" w:sz="0" w:space="0" w:color="auto"/>
        <w:right w:val="none" w:sz="0" w:space="0" w:color="auto"/>
      </w:divBdr>
      <w:divsChild>
        <w:div w:id="677273751">
          <w:marLeft w:val="907"/>
          <w:marRight w:val="0"/>
          <w:marTop w:val="134"/>
          <w:marBottom w:val="0"/>
          <w:divBdr>
            <w:top w:val="none" w:sz="0" w:space="0" w:color="auto"/>
            <w:left w:val="none" w:sz="0" w:space="0" w:color="auto"/>
            <w:bottom w:val="none" w:sz="0" w:space="0" w:color="auto"/>
            <w:right w:val="none" w:sz="0" w:space="0" w:color="auto"/>
          </w:divBdr>
        </w:div>
        <w:div w:id="851141191">
          <w:marLeft w:val="907"/>
          <w:marRight w:val="0"/>
          <w:marTop w:val="134"/>
          <w:marBottom w:val="0"/>
          <w:divBdr>
            <w:top w:val="none" w:sz="0" w:space="0" w:color="auto"/>
            <w:left w:val="none" w:sz="0" w:space="0" w:color="auto"/>
            <w:bottom w:val="none" w:sz="0" w:space="0" w:color="auto"/>
            <w:right w:val="none" w:sz="0" w:space="0" w:color="auto"/>
          </w:divBdr>
        </w:div>
        <w:div w:id="1158183454">
          <w:marLeft w:val="907"/>
          <w:marRight w:val="0"/>
          <w:marTop w:val="134"/>
          <w:marBottom w:val="0"/>
          <w:divBdr>
            <w:top w:val="none" w:sz="0" w:space="0" w:color="auto"/>
            <w:left w:val="none" w:sz="0" w:space="0" w:color="auto"/>
            <w:bottom w:val="none" w:sz="0" w:space="0" w:color="auto"/>
            <w:right w:val="none" w:sz="0" w:space="0" w:color="auto"/>
          </w:divBdr>
        </w:div>
        <w:div w:id="1508790710">
          <w:marLeft w:val="907"/>
          <w:marRight w:val="0"/>
          <w:marTop w:val="134"/>
          <w:marBottom w:val="0"/>
          <w:divBdr>
            <w:top w:val="none" w:sz="0" w:space="0" w:color="auto"/>
            <w:left w:val="none" w:sz="0" w:space="0" w:color="auto"/>
            <w:bottom w:val="none" w:sz="0" w:space="0" w:color="auto"/>
            <w:right w:val="none" w:sz="0" w:space="0" w:color="auto"/>
          </w:divBdr>
        </w:div>
        <w:div w:id="1643388684">
          <w:marLeft w:val="907"/>
          <w:marRight w:val="0"/>
          <w:marTop w:val="134"/>
          <w:marBottom w:val="0"/>
          <w:divBdr>
            <w:top w:val="none" w:sz="0" w:space="0" w:color="auto"/>
            <w:left w:val="none" w:sz="0" w:space="0" w:color="auto"/>
            <w:bottom w:val="none" w:sz="0" w:space="0" w:color="auto"/>
            <w:right w:val="none" w:sz="0" w:space="0" w:color="auto"/>
          </w:divBdr>
        </w:div>
        <w:div w:id="1767922648">
          <w:marLeft w:val="907"/>
          <w:marRight w:val="0"/>
          <w:marTop w:val="134"/>
          <w:marBottom w:val="0"/>
          <w:divBdr>
            <w:top w:val="none" w:sz="0" w:space="0" w:color="auto"/>
            <w:left w:val="none" w:sz="0" w:space="0" w:color="auto"/>
            <w:bottom w:val="none" w:sz="0" w:space="0" w:color="auto"/>
            <w:right w:val="none" w:sz="0" w:space="0" w:color="auto"/>
          </w:divBdr>
        </w:div>
        <w:div w:id="1825971554">
          <w:marLeft w:val="907"/>
          <w:marRight w:val="0"/>
          <w:marTop w:val="134"/>
          <w:marBottom w:val="0"/>
          <w:divBdr>
            <w:top w:val="none" w:sz="0" w:space="0" w:color="auto"/>
            <w:left w:val="none" w:sz="0" w:space="0" w:color="auto"/>
            <w:bottom w:val="none" w:sz="0" w:space="0" w:color="auto"/>
            <w:right w:val="none" w:sz="0" w:space="0" w:color="auto"/>
          </w:divBdr>
        </w:div>
      </w:divsChild>
    </w:div>
    <w:div w:id="1749499432">
      <w:bodyDiv w:val="1"/>
      <w:marLeft w:val="0"/>
      <w:marRight w:val="0"/>
      <w:marTop w:val="0"/>
      <w:marBottom w:val="0"/>
      <w:divBdr>
        <w:top w:val="none" w:sz="0" w:space="0" w:color="auto"/>
        <w:left w:val="none" w:sz="0" w:space="0" w:color="auto"/>
        <w:bottom w:val="none" w:sz="0" w:space="0" w:color="auto"/>
        <w:right w:val="none" w:sz="0" w:space="0" w:color="auto"/>
      </w:divBdr>
      <w:divsChild>
        <w:div w:id="479159125">
          <w:marLeft w:val="446"/>
          <w:marRight w:val="0"/>
          <w:marTop w:val="0"/>
          <w:marBottom w:val="0"/>
          <w:divBdr>
            <w:top w:val="none" w:sz="0" w:space="0" w:color="auto"/>
            <w:left w:val="none" w:sz="0" w:space="0" w:color="auto"/>
            <w:bottom w:val="none" w:sz="0" w:space="0" w:color="auto"/>
            <w:right w:val="none" w:sz="0" w:space="0" w:color="auto"/>
          </w:divBdr>
        </w:div>
        <w:div w:id="1608082221">
          <w:marLeft w:val="446"/>
          <w:marRight w:val="0"/>
          <w:marTop w:val="0"/>
          <w:marBottom w:val="0"/>
          <w:divBdr>
            <w:top w:val="none" w:sz="0" w:space="0" w:color="auto"/>
            <w:left w:val="none" w:sz="0" w:space="0" w:color="auto"/>
            <w:bottom w:val="none" w:sz="0" w:space="0" w:color="auto"/>
            <w:right w:val="none" w:sz="0" w:space="0" w:color="auto"/>
          </w:divBdr>
        </w:div>
      </w:divsChild>
    </w:div>
    <w:div w:id="1751000598">
      <w:bodyDiv w:val="1"/>
      <w:marLeft w:val="0"/>
      <w:marRight w:val="0"/>
      <w:marTop w:val="0"/>
      <w:marBottom w:val="0"/>
      <w:divBdr>
        <w:top w:val="none" w:sz="0" w:space="0" w:color="auto"/>
        <w:left w:val="none" w:sz="0" w:space="0" w:color="auto"/>
        <w:bottom w:val="none" w:sz="0" w:space="0" w:color="auto"/>
        <w:right w:val="none" w:sz="0" w:space="0" w:color="auto"/>
      </w:divBdr>
    </w:div>
    <w:div w:id="1751849641">
      <w:bodyDiv w:val="1"/>
      <w:marLeft w:val="0"/>
      <w:marRight w:val="0"/>
      <w:marTop w:val="0"/>
      <w:marBottom w:val="0"/>
      <w:divBdr>
        <w:top w:val="none" w:sz="0" w:space="0" w:color="auto"/>
        <w:left w:val="none" w:sz="0" w:space="0" w:color="auto"/>
        <w:bottom w:val="none" w:sz="0" w:space="0" w:color="auto"/>
        <w:right w:val="none" w:sz="0" w:space="0" w:color="auto"/>
      </w:divBdr>
      <w:divsChild>
        <w:div w:id="545065574">
          <w:marLeft w:val="0"/>
          <w:marRight w:val="0"/>
          <w:marTop w:val="75"/>
          <w:marBottom w:val="75"/>
          <w:divBdr>
            <w:top w:val="none" w:sz="0" w:space="0" w:color="auto"/>
            <w:left w:val="none" w:sz="0" w:space="0" w:color="auto"/>
            <w:bottom w:val="none" w:sz="0" w:space="0" w:color="auto"/>
            <w:right w:val="none" w:sz="0" w:space="0" w:color="auto"/>
          </w:divBdr>
        </w:div>
      </w:divsChild>
    </w:div>
    <w:div w:id="1755856814">
      <w:bodyDiv w:val="1"/>
      <w:marLeft w:val="0"/>
      <w:marRight w:val="0"/>
      <w:marTop w:val="0"/>
      <w:marBottom w:val="0"/>
      <w:divBdr>
        <w:top w:val="none" w:sz="0" w:space="0" w:color="auto"/>
        <w:left w:val="none" w:sz="0" w:space="0" w:color="auto"/>
        <w:bottom w:val="none" w:sz="0" w:space="0" w:color="auto"/>
        <w:right w:val="none" w:sz="0" w:space="0" w:color="auto"/>
      </w:divBdr>
    </w:div>
    <w:div w:id="1756510061">
      <w:bodyDiv w:val="1"/>
      <w:marLeft w:val="0"/>
      <w:marRight w:val="0"/>
      <w:marTop w:val="0"/>
      <w:marBottom w:val="0"/>
      <w:divBdr>
        <w:top w:val="none" w:sz="0" w:space="0" w:color="auto"/>
        <w:left w:val="none" w:sz="0" w:space="0" w:color="auto"/>
        <w:bottom w:val="none" w:sz="0" w:space="0" w:color="auto"/>
        <w:right w:val="none" w:sz="0" w:space="0" w:color="auto"/>
      </w:divBdr>
    </w:div>
    <w:div w:id="1764110664">
      <w:bodyDiv w:val="1"/>
      <w:marLeft w:val="0"/>
      <w:marRight w:val="0"/>
      <w:marTop w:val="0"/>
      <w:marBottom w:val="0"/>
      <w:divBdr>
        <w:top w:val="none" w:sz="0" w:space="0" w:color="auto"/>
        <w:left w:val="none" w:sz="0" w:space="0" w:color="auto"/>
        <w:bottom w:val="none" w:sz="0" w:space="0" w:color="auto"/>
        <w:right w:val="none" w:sz="0" w:space="0" w:color="auto"/>
      </w:divBdr>
      <w:divsChild>
        <w:div w:id="327103536">
          <w:marLeft w:val="547"/>
          <w:marRight w:val="0"/>
          <w:marTop w:val="134"/>
          <w:marBottom w:val="0"/>
          <w:divBdr>
            <w:top w:val="none" w:sz="0" w:space="0" w:color="auto"/>
            <w:left w:val="none" w:sz="0" w:space="0" w:color="auto"/>
            <w:bottom w:val="none" w:sz="0" w:space="0" w:color="auto"/>
            <w:right w:val="none" w:sz="0" w:space="0" w:color="auto"/>
          </w:divBdr>
        </w:div>
        <w:div w:id="552082865">
          <w:marLeft w:val="547"/>
          <w:marRight w:val="0"/>
          <w:marTop w:val="134"/>
          <w:marBottom w:val="0"/>
          <w:divBdr>
            <w:top w:val="none" w:sz="0" w:space="0" w:color="auto"/>
            <w:left w:val="none" w:sz="0" w:space="0" w:color="auto"/>
            <w:bottom w:val="none" w:sz="0" w:space="0" w:color="auto"/>
            <w:right w:val="none" w:sz="0" w:space="0" w:color="auto"/>
          </w:divBdr>
        </w:div>
        <w:div w:id="988828055">
          <w:marLeft w:val="547"/>
          <w:marRight w:val="0"/>
          <w:marTop w:val="144"/>
          <w:marBottom w:val="0"/>
          <w:divBdr>
            <w:top w:val="none" w:sz="0" w:space="0" w:color="auto"/>
            <w:left w:val="none" w:sz="0" w:space="0" w:color="auto"/>
            <w:bottom w:val="none" w:sz="0" w:space="0" w:color="auto"/>
            <w:right w:val="none" w:sz="0" w:space="0" w:color="auto"/>
          </w:divBdr>
        </w:div>
        <w:div w:id="1543323979">
          <w:marLeft w:val="547"/>
          <w:marRight w:val="0"/>
          <w:marTop w:val="134"/>
          <w:marBottom w:val="0"/>
          <w:divBdr>
            <w:top w:val="none" w:sz="0" w:space="0" w:color="auto"/>
            <w:left w:val="none" w:sz="0" w:space="0" w:color="auto"/>
            <w:bottom w:val="none" w:sz="0" w:space="0" w:color="auto"/>
            <w:right w:val="none" w:sz="0" w:space="0" w:color="auto"/>
          </w:divBdr>
        </w:div>
      </w:divsChild>
    </w:div>
    <w:div w:id="1765227145">
      <w:bodyDiv w:val="1"/>
      <w:marLeft w:val="0"/>
      <w:marRight w:val="0"/>
      <w:marTop w:val="0"/>
      <w:marBottom w:val="0"/>
      <w:divBdr>
        <w:top w:val="none" w:sz="0" w:space="0" w:color="auto"/>
        <w:left w:val="none" w:sz="0" w:space="0" w:color="auto"/>
        <w:bottom w:val="none" w:sz="0" w:space="0" w:color="auto"/>
        <w:right w:val="none" w:sz="0" w:space="0" w:color="auto"/>
      </w:divBdr>
    </w:div>
    <w:div w:id="1773552269">
      <w:bodyDiv w:val="1"/>
      <w:marLeft w:val="0"/>
      <w:marRight w:val="0"/>
      <w:marTop w:val="0"/>
      <w:marBottom w:val="0"/>
      <w:divBdr>
        <w:top w:val="none" w:sz="0" w:space="0" w:color="auto"/>
        <w:left w:val="none" w:sz="0" w:space="0" w:color="auto"/>
        <w:bottom w:val="none" w:sz="0" w:space="0" w:color="auto"/>
        <w:right w:val="none" w:sz="0" w:space="0" w:color="auto"/>
      </w:divBdr>
    </w:div>
    <w:div w:id="1773628598">
      <w:bodyDiv w:val="1"/>
      <w:marLeft w:val="0"/>
      <w:marRight w:val="0"/>
      <w:marTop w:val="0"/>
      <w:marBottom w:val="0"/>
      <w:divBdr>
        <w:top w:val="none" w:sz="0" w:space="0" w:color="auto"/>
        <w:left w:val="none" w:sz="0" w:space="0" w:color="auto"/>
        <w:bottom w:val="none" w:sz="0" w:space="0" w:color="auto"/>
        <w:right w:val="none" w:sz="0" w:space="0" w:color="auto"/>
      </w:divBdr>
    </w:div>
    <w:div w:id="1775858476">
      <w:bodyDiv w:val="1"/>
      <w:marLeft w:val="0"/>
      <w:marRight w:val="0"/>
      <w:marTop w:val="0"/>
      <w:marBottom w:val="0"/>
      <w:divBdr>
        <w:top w:val="none" w:sz="0" w:space="0" w:color="auto"/>
        <w:left w:val="none" w:sz="0" w:space="0" w:color="auto"/>
        <w:bottom w:val="none" w:sz="0" w:space="0" w:color="auto"/>
        <w:right w:val="none" w:sz="0" w:space="0" w:color="auto"/>
      </w:divBdr>
    </w:div>
    <w:div w:id="1776707869">
      <w:bodyDiv w:val="1"/>
      <w:marLeft w:val="0"/>
      <w:marRight w:val="0"/>
      <w:marTop w:val="0"/>
      <w:marBottom w:val="0"/>
      <w:divBdr>
        <w:top w:val="none" w:sz="0" w:space="0" w:color="auto"/>
        <w:left w:val="none" w:sz="0" w:space="0" w:color="auto"/>
        <w:bottom w:val="none" w:sz="0" w:space="0" w:color="auto"/>
        <w:right w:val="none" w:sz="0" w:space="0" w:color="auto"/>
      </w:divBdr>
    </w:div>
    <w:div w:id="1778133443">
      <w:bodyDiv w:val="1"/>
      <w:marLeft w:val="0"/>
      <w:marRight w:val="0"/>
      <w:marTop w:val="0"/>
      <w:marBottom w:val="0"/>
      <w:divBdr>
        <w:top w:val="none" w:sz="0" w:space="0" w:color="auto"/>
        <w:left w:val="none" w:sz="0" w:space="0" w:color="auto"/>
        <w:bottom w:val="none" w:sz="0" w:space="0" w:color="auto"/>
        <w:right w:val="none" w:sz="0" w:space="0" w:color="auto"/>
      </w:divBdr>
    </w:div>
    <w:div w:id="1785464904">
      <w:bodyDiv w:val="1"/>
      <w:marLeft w:val="0"/>
      <w:marRight w:val="0"/>
      <w:marTop w:val="0"/>
      <w:marBottom w:val="0"/>
      <w:divBdr>
        <w:top w:val="none" w:sz="0" w:space="0" w:color="auto"/>
        <w:left w:val="none" w:sz="0" w:space="0" w:color="auto"/>
        <w:bottom w:val="none" w:sz="0" w:space="0" w:color="auto"/>
        <w:right w:val="none" w:sz="0" w:space="0" w:color="auto"/>
      </w:divBdr>
    </w:div>
    <w:div w:id="1794010790">
      <w:bodyDiv w:val="1"/>
      <w:marLeft w:val="0"/>
      <w:marRight w:val="0"/>
      <w:marTop w:val="0"/>
      <w:marBottom w:val="0"/>
      <w:divBdr>
        <w:top w:val="none" w:sz="0" w:space="0" w:color="auto"/>
        <w:left w:val="none" w:sz="0" w:space="0" w:color="auto"/>
        <w:bottom w:val="none" w:sz="0" w:space="0" w:color="auto"/>
        <w:right w:val="none" w:sz="0" w:space="0" w:color="auto"/>
      </w:divBdr>
    </w:div>
    <w:div w:id="1798137381">
      <w:bodyDiv w:val="1"/>
      <w:marLeft w:val="0"/>
      <w:marRight w:val="0"/>
      <w:marTop w:val="0"/>
      <w:marBottom w:val="0"/>
      <w:divBdr>
        <w:top w:val="none" w:sz="0" w:space="0" w:color="auto"/>
        <w:left w:val="none" w:sz="0" w:space="0" w:color="auto"/>
        <w:bottom w:val="none" w:sz="0" w:space="0" w:color="auto"/>
        <w:right w:val="none" w:sz="0" w:space="0" w:color="auto"/>
      </w:divBdr>
      <w:divsChild>
        <w:div w:id="201287326">
          <w:marLeft w:val="0"/>
          <w:marRight w:val="0"/>
          <w:marTop w:val="0"/>
          <w:marBottom w:val="0"/>
          <w:divBdr>
            <w:top w:val="none" w:sz="0" w:space="0" w:color="auto"/>
            <w:left w:val="none" w:sz="0" w:space="0" w:color="auto"/>
            <w:bottom w:val="none" w:sz="0" w:space="0" w:color="auto"/>
            <w:right w:val="none" w:sz="0" w:space="0" w:color="auto"/>
          </w:divBdr>
          <w:divsChild>
            <w:div w:id="353002493">
              <w:marLeft w:val="0"/>
              <w:marRight w:val="0"/>
              <w:marTop w:val="0"/>
              <w:marBottom w:val="0"/>
              <w:divBdr>
                <w:top w:val="none" w:sz="0" w:space="0" w:color="auto"/>
                <w:left w:val="none" w:sz="0" w:space="0" w:color="auto"/>
                <w:bottom w:val="none" w:sz="0" w:space="0" w:color="auto"/>
                <w:right w:val="none" w:sz="0" w:space="0" w:color="auto"/>
              </w:divBdr>
              <w:divsChild>
                <w:div w:id="656155271">
                  <w:marLeft w:val="0"/>
                  <w:marRight w:val="0"/>
                  <w:marTop w:val="0"/>
                  <w:marBottom w:val="0"/>
                  <w:divBdr>
                    <w:top w:val="none" w:sz="0" w:space="0" w:color="auto"/>
                    <w:left w:val="none" w:sz="0" w:space="0" w:color="auto"/>
                    <w:bottom w:val="none" w:sz="0" w:space="0" w:color="auto"/>
                    <w:right w:val="none" w:sz="0" w:space="0" w:color="auto"/>
                  </w:divBdr>
                  <w:divsChild>
                    <w:div w:id="12775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71383">
      <w:bodyDiv w:val="1"/>
      <w:marLeft w:val="0"/>
      <w:marRight w:val="0"/>
      <w:marTop w:val="0"/>
      <w:marBottom w:val="0"/>
      <w:divBdr>
        <w:top w:val="none" w:sz="0" w:space="0" w:color="auto"/>
        <w:left w:val="none" w:sz="0" w:space="0" w:color="auto"/>
        <w:bottom w:val="none" w:sz="0" w:space="0" w:color="auto"/>
        <w:right w:val="none" w:sz="0" w:space="0" w:color="auto"/>
      </w:divBdr>
    </w:div>
    <w:div w:id="1798721760">
      <w:bodyDiv w:val="1"/>
      <w:marLeft w:val="0"/>
      <w:marRight w:val="0"/>
      <w:marTop w:val="0"/>
      <w:marBottom w:val="0"/>
      <w:divBdr>
        <w:top w:val="none" w:sz="0" w:space="0" w:color="auto"/>
        <w:left w:val="none" w:sz="0" w:space="0" w:color="auto"/>
        <w:bottom w:val="none" w:sz="0" w:space="0" w:color="auto"/>
        <w:right w:val="none" w:sz="0" w:space="0" w:color="auto"/>
      </w:divBdr>
    </w:div>
    <w:div w:id="1805729809">
      <w:bodyDiv w:val="1"/>
      <w:marLeft w:val="0"/>
      <w:marRight w:val="0"/>
      <w:marTop w:val="0"/>
      <w:marBottom w:val="0"/>
      <w:divBdr>
        <w:top w:val="none" w:sz="0" w:space="0" w:color="auto"/>
        <w:left w:val="none" w:sz="0" w:space="0" w:color="auto"/>
        <w:bottom w:val="none" w:sz="0" w:space="0" w:color="auto"/>
        <w:right w:val="none" w:sz="0" w:space="0" w:color="auto"/>
      </w:divBdr>
    </w:div>
    <w:div w:id="1811821996">
      <w:bodyDiv w:val="1"/>
      <w:marLeft w:val="0"/>
      <w:marRight w:val="0"/>
      <w:marTop w:val="0"/>
      <w:marBottom w:val="0"/>
      <w:divBdr>
        <w:top w:val="none" w:sz="0" w:space="0" w:color="auto"/>
        <w:left w:val="none" w:sz="0" w:space="0" w:color="auto"/>
        <w:bottom w:val="none" w:sz="0" w:space="0" w:color="auto"/>
        <w:right w:val="none" w:sz="0" w:space="0" w:color="auto"/>
      </w:divBdr>
    </w:div>
    <w:div w:id="1813061265">
      <w:bodyDiv w:val="1"/>
      <w:marLeft w:val="0"/>
      <w:marRight w:val="0"/>
      <w:marTop w:val="0"/>
      <w:marBottom w:val="0"/>
      <w:divBdr>
        <w:top w:val="none" w:sz="0" w:space="0" w:color="auto"/>
        <w:left w:val="none" w:sz="0" w:space="0" w:color="auto"/>
        <w:bottom w:val="none" w:sz="0" w:space="0" w:color="auto"/>
        <w:right w:val="none" w:sz="0" w:space="0" w:color="auto"/>
      </w:divBdr>
    </w:div>
    <w:div w:id="1828859254">
      <w:bodyDiv w:val="1"/>
      <w:marLeft w:val="0"/>
      <w:marRight w:val="0"/>
      <w:marTop w:val="0"/>
      <w:marBottom w:val="0"/>
      <w:divBdr>
        <w:top w:val="none" w:sz="0" w:space="0" w:color="auto"/>
        <w:left w:val="none" w:sz="0" w:space="0" w:color="auto"/>
        <w:bottom w:val="none" w:sz="0" w:space="0" w:color="auto"/>
        <w:right w:val="none" w:sz="0" w:space="0" w:color="auto"/>
      </w:divBdr>
    </w:div>
    <w:div w:id="1830172359">
      <w:bodyDiv w:val="1"/>
      <w:marLeft w:val="0"/>
      <w:marRight w:val="0"/>
      <w:marTop w:val="0"/>
      <w:marBottom w:val="0"/>
      <w:divBdr>
        <w:top w:val="none" w:sz="0" w:space="0" w:color="auto"/>
        <w:left w:val="none" w:sz="0" w:space="0" w:color="auto"/>
        <w:bottom w:val="none" w:sz="0" w:space="0" w:color="auto"/>
        <w:right w:val="none" w:sz="0" w:space="0" w:color="auto"/>
      </w:divBdr>
    </w:div>
    <w:div w:id="1835877873">
      <w:bodyDiv w:val="1"/>
      <w:marLeft w:val="0"/>
      <w:marRight w:val="0"/>
      <w:marTop w:val="0"/>
      <w:marBottom w:val="0"/>
      <w:divBdr>
        <w:top w:val="none" w:sz="0" w:space="0" w:color="auto"/>
        <w:left w:val="none" w:sz="0" w:space="0" w:color="auto"/>
        <w:bottom w:val="none" w:sz="0" w:space="0" w:color="auto"/>
        <w:right w:val="none" w:sz="0" w:space="0" w:color="auto"/>
      </w:divBdr>
    </w:div>
    <w:div w:id="1841239130">
      <w:bodyDiv w:val="1"/>
      <w:marLeft w:val="0"/>
      <w:marRight w:val="0"/>
      <w:marTop w:val="0"/>
      <w:marBottom w:val="0"/>
      <w:divBdr>
        <w:top w:val="none" w:sz="0" w:space="0" w:color="auto"/>
        <w:left w:val="none" w:sz="0" w:space="0" w:color="auto"/>
        <w:bottom w:val="none" w:sz="0" w:space="0" w:color="auto"/>
        <w:right w:val="none" w:sz="0" w:space="0" w:color="auto"/>
      </w:divBdr>
    </w:div>
    <w:div w:id="1843618561">
      <w:bodyDiv w:val="1"/>
      <w:marLeft w:val="0"/>
      <w:marRight w:val="0"/>
      <w:marTop w:val="0"/>
      <w:marBottom w:val="0"/>
      <w:divBdr>
        <w:top w:val="none" w:sz="0" w:space="0" w:color="auto"/>
        <w:left w:val="none" w:sz="0" w:space="0" w:color="auto"/>
        <w:bottom w:val="none" w:sz="0" w:space="0" w:color="auto"/>
        <w:right w:val="none" w:sz="0" w:space="0" w:color="auto"/>
      </w:divBdr>
    </w:div>
    <w:div w:id="1847133663">
      <w:bodyDiv w:val="1"/>
      <w:marLeft w:val="0"/>
      <w:marRight w:val="0"/>
      <w:marTop w:val="0"/>
      <w:marBottom w:val="0"/>
      <w:divBdr>
        <w:top w:val="none" w:sz="0" w:space="0" w:color="auto"/>
        <w:left w:val="none" w:sz="0" w:space="0" w:color="auto"/>
        <w:bottom w:val="none" w:sz="0" w:space="0" w:color="auto"/>
        <w:right w:val="none" w:sz="0" w:space="0" w:color="auto"/>
      </w:divBdr>
    </w:div>
    <w:div w:id="1849248482">
      <w:bodyDiv w:val="1"/>
      <w:marLeft w:val="0"/>
      <w:marRight w:val="0"/>
      <w:marTop w:val="0"/>
      <w:marBottom w:val="0"/>
      <w:divBdr>
        <w:top w:val="none" w:sz="0" w:space="0" w:color="auto"/>
        <w:left w:val="none" w:sz="0" w:space="0" w:color="auto"/>
        <w:bottom w:val="none" w:sz="0" w:space="0" w:color="auto"/>
        <w:right w:val="none" w:sz="0" w:space="0" w:color="auto"/>
      </w:divBdr>
    </w:div>
    <w:div w:id="1857694280">
      <w:bodyDiv w:val="1"/>
      <w:marLeft w:val="0"/>
      <w:marRight w:val="0"/>
      <w:marTop w:val="0"/>
      <w:marBottom w:val="0"/>
      <w:divBdr>
        <w:top w:val="none" w:sz="0" w:space="0" w:color="auto"/>
        <w:left w:val="none" w:sz="0" w:space="0" w:color="auto"/>
        <w:bottom w:val="none" w:sz="0" w:space="0" w:color="auto"/>
        <w:right w:val="none" w:sz="0" w:space="0" w:color="auto"/>
      </w:divBdr>
    </w:div>
    <w:div w:id="1858277060">
      <w:bodyDiv w:val="1"/>
      <w:marLeft w:val="0"/>
      <w:marRight w:val="0"/>
      <w:marTop w:val="0"/>
      <w:marBottom w:val="0"/>
      <w:divBdr>
        <w:top w:val="none" w:sz="0" w:space="0" w:color="auto"/>
        <w:left w:val="none" w:sz="0" w:space="0" w:color="auto"/>
        <w:bottom w:val="none" w:sz="0" w:space="0" w:color="auto"/>
        <w:right w:val="none" w:sz="0" w:space="0" w:color="auto"/>
      </w:divBdr>
    </w:div>
    <w:div w:id="1862938649">
      <w:bodyDiv w:val="1"/>
      <w:marLeft w:val="0"/>
      <w:marRight w:val="0"/>
      <w:marTop w:val="0"/>
      <w:marBottom w:val="0"/>
      <w:divBdr>
        <w:top w:val="none" w:sz="0" w:space="0" w:color="auto"/>
        <w:left w:val="none" w:sz="0" w:space="0" w:color="auto"/>
        <w:bottom w:val="none" w:sz="0" w:space="0" w:color="auto"/>
        <w:right w:val="none" w:sz="0" w:space="0" w:color="auto"/>
      </w:divBdr>
    </w:div>
    <w:div w:id="1863862604">
      <w:bodyDiv w:val="1"/>
      <w:marLeft w:val="0"/>
      <w:marRight w:val="0"/>
      <w:marTop w:val="0"/>
      <w:marBottom w:val="0"/>
      <w:divBdr>
        <w:top w:val="none" w:sz="0" w:space="0" w:color="auto"/>
        <w:left w:val="none" w:sz="0" w:space="0" w:color="auto"/>
        <w:bottom w:val="none" w:sz="0" w:space="0" w:color="auto"/>
        <w:right w:val="none" w:sz="0" w:space="0" w:color="auto"/>
      </w:divBdr>
    </w:div>
    <w:div w:id="1865751745">
      <w:bodyDiv w:val="1"/>
      <w:marLeft w:val="0"/>
      <w:marRight w:val="0"/>
      <w:marTop w:val="0"/>
      <w:marBottom w:val="0"/>
      <w:divBdr>
        <w:top w:val="none" w:sz="0" w:space="0" w:color="auto"/>
        <w:left w:val="none" w:sz="0" w:space="0" w:color="auto"/>
        <w:bottom w:val="none" w:sz="0" w:space="0" w:color="auto"/>
        <w:right w:val="none" w:sz="0" w:space="0" w:color="auto"/>
      </w:divBdr>
    </w:div>
    <w:div w:id="1866795827">
      <w:bodyDiv w:val="1"/>
      <w:marLeft w:val="0"/>
      <w:marRight w:val="0"/>
      <w:marTop w:val="0"/>
      <w:marBottom w:val="0"/>
      <w:divBdr>
        <w:top w:val="none" w:sz="0" w:space="0" w:color="auto"/>
        <w:left w:val="none" w:sz="0" w:space="0" w:color="auto"/>
        <w:bottom w:val="none" w:sz="0" w:space="0" w:color="auto"/>
        <w:right w:val="none" w:sz="0" w:space="0" w:color="auto"/>
      </w:divBdr>
      <w:divsChild>
        <w:div w:id="1734809494">
          <w:marLeft w:val="0"/>
          <w:marRight w:val="0"/>
          <w:marTop w:val="0"/>
          <w:marBottom w:val="0"/>
          <w:divBdr>
            <w:top w:val="none" w:sz="0" w:space="0" w:color="auto"/>
            <w:left w:val="none" w:sz="0" w:space="0" w:color="auto"/>
            <w:bottom w:val="none" w:sz="0" w:space="0" w:color="auto"/>
            <w:right w:val="none" w:sz="0" w:space="0" w:color="auto"/>
          </w:divBdr>
          <w:divsChild>
            <w:div w:id="1314944524">
              <w:marLeft w:val="0"/>
              <w:marRight w:val="0"/>
              <w:marTop w:val="0"/>
              <w:marBottom w:val="0"/>
              <w:divBdr>
                <w:top w:val="none" w:sz="0" w:space="0" w:color="auto"/>
                <w:left w:val="none" w:sz="0" w:space="0" w:color="auto"/>
                <w:bottom w:val="none" w:sz="0" w:space="0" w:color="auto"/>
                <w:right w:val="none" w:sz="0" w:space="0" w:color="auto"/>
              </w:divBdr>
              <w:divsChild>
                <w:div w:id="12805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3445">
      <w:bodyDiv w:val="1"/>
      <w:marLeft w:val="0"/>
      <w:marRight w:val="0"/>
      <w:marTop w:val="0"/>
      <w:marBottom w:val="0"/>
      <w:divBdr>
        <w:top w:val="none" w:sz="0" w:space="0" w:color="auto"/>
        <w:left w:val="none" w:sz="0" w:space="0" w:color="auto"/>
        <w:bottom w:val="none" w:sz="0" w:space="0" w:color="auto"/>
        <w:right w:val="none" w:sz="0" w:space="0" w:color="auto"/>
      </w:divBdr>
    </w:div>
    <w:div w:id="1882129038">
      <w:bodyDiv w:val="1"/>
      <w:marLeft w:val="0"/>
      <w:marRight w:val="0"/>
      <w:marTop w:val="0"/>
      <w:marBottom w:val="0"/>
      <w:divBdr>
        <w:top w:val="none" w:sz="0" w:space="0" w:color="auto"/>
        <w:left w:val="none" w:sz="0" w:space="0" w:color="auto"/>
        <w:bottom w:val="none" w:sz="0" w:space="0" w:color="auto"/>
        <w:right w:val="none" w:sz="0" w:space="0" w:color="auto"/>
      </w:divBdr>
    </w:div>
    <w:div w:id="1886060567">
      <w:bodyDiv w:val="1"/>
      <w:marLeft w:val="0"/>
      <w:marRight w:val="0"/>
      <w:marTop w:val="0"/>
      <w:marBottom w:val="0"/>
      <w:divBdr>
        <w:top w:val="none" w:sz="0" w:space="0" w:color="auto"/>
        <w:left w:val="none" w:sz="0" w:space="0" w:color="auto"/>
        <w:bottom w:val="none" w:sz="0" w:space="0" w:color="auto"/>
        <w:right w:val="none" w:sz="0" w:space="0" w:color="auto"/>
      </w:divBdr>
    </w:div>
    <w:div w:id="1899391418">
      <w:bodyDiv w:val="1"/>
      <w:marLeft w:val="0"/>
      <w:marRight w:val="0"/>
      <w:marTop w:val="0"/>
      <w:marBottom w:val="0"/>
      <w:divBdr>
        <w:top w:val="none" w:sz="0" w:space="0" w:color="auto"/>
        <w:left w:val="none" w:sz="0" w:space="0" w:color="auto"/>
        <w:bottom w:val="none" w:sz="0" w:space="0" w:color="auto"/>
        <w:right w:val="none" w:sz="0" w:space="0" w:color="auto"/>
      </w:divBdr>
    </w:div>
    <w:div w:id="1900363796">
      <w:bodyDiv w:val="1"/>
      <w:marLeft w:val="0"/>
      <w:marRight w:val="0"/>
      <w:marTop w:val="0"/>
      <w:marBottom w:val="0"/>
      <w:divBdr>
        <w:top w:val="none" w:sz="0" w:space="0" w:color="auto"/>
        <w:left w:val="none" w:sz="0" w:space="0" w:color="auto"/>
        <w:bottom w:val="none" w:sz="0" w:space="0" w:color="auto"/>
        <w:right w:val="none" w:sz="0" w:space="0" w:color="auto"/>
      </w:divBdr>
    </w:div>
    <w:div w:id="1904177255">
      <w:bodyDiv w:val="1"/>
      <w:marLeft w:val="0"/>
      <w:marRight w:val="0"/>
      <w:marTop w:val="0"/>
      <w:marBottom w:val="0"/>
      <w:divBdr>
        <w:top w:val="none" w:sz="0" w:space="0" w:color="auto"/>
        <w:left w:val="none" w:sz="0" w:space="0" w:color="auto"/>
        <w:bottom w:val="none" w:sz="0" w:space="0" w:color="auto"/>
        <w:right w:val="none" w:sz="0" w:space="0" w:color="auto"/>
      </w:divBdr>
    </w:div>
    <w:div w:id="1907451831">
      <w:bodyDiv w:val="1"/>
      <w:marLeft w:val="0"/>
      <w:marRight w:val="0"/>
      <w:marTop w:val="0"/>
      <w:marBottom w:val="0"/>
      <w:divBdr>
        <w:top w:val="none" w:sz="0" w:space="0" w:color="auto"/>
        <w:left w:val="none" w:sz="0" w:space="0" w:color="auto"/>
        <w:bottom w:val="none" w:sz="0" w:space="0" w:color="auto"/>
        <w:right w:val="none" w:sz="0" w:space="0" w:color="auto"/>
      </w:divBdr>
    </w:div>
    <w:div w:id="1907761712">
      <w:bodyDiv w:val="1"/>
      <w:marLeft w:val="0"/>
      <w:marRight w:val="0"/>
      <w:marTop w:val="0"/>
      <w:marBottom w:val="0"/>
      <w:divBdr>
        <w:top w:val="none" w:sz="0" w:space="0" w:color="auto"/>
        <w:left w:val="none" w:sz="0" w:space="0" w:color="auto"/>
        <w:bottom w:val="none" w:sz="0" w:space="0" w:color="auto"/>
        <w:right w:val="none" w:sz="0" w:space="0" w:color="auto"/>
      </w:divBdr>
    </w:div>
    <w:div w:id="1916624448">
      <w:bodyDiv w:val="1"/>
      <w:marLeft w:val="0"/>
      <w:marRight w:val="0"/>
      <w:marTop w:val="0"/>
      <w:marBottom w:val="0"/>
      <w:divBdr>
        <w:top w:val="none" w:sz="0" w:space="0" w:color="auto"/>
        <w:left w:val="none" w:sz="0" w:space="0" w:color="auto"/>
        <w:bottom w:val="none" w:sz="0" w:space="0" w:color="auto"/>
        <w:right w:val="none" w:sz="0" w:space="0" w:color="auto"/>
      </w:divBdr>
    </w:div>
    <w:div w:id="1917661768">
      <w:bodyDiv w:val="1"/>
      <w:marLeft w:val="0"/>
      <w:marRight w:val="0"/>
      <w:marTop w:val="0"/>
      <w:marBottom w:val="0"/>
      <w:divBdr>
        <w:top w:val="none" w:sz="0" w:space="0" w:color="auto"/>
        <w:left w:val="none" w:sz="0" w:space="0" w:color="auto"/>
        <w:bottom w:val="none" w:sz="0" w:space="0" w:color="auto"/>
        <w:right w:val="none" w:sz="0" w:space="0" w:color="auto"/>
      </w:divBdr>
    </w:div>
    <w:div w:id="1917864577">
      <w:bodyDiv w:val="1"/>
      <w:marLeft w:val="0"/>
      <w:marRight w:val="0"/>
      <w:marTop w:val="0"/>
      <w:marBottom w:val="0"/>
      <w:divBdr>
        <w:top w:val="none" w:sz="0" w:space="0" w:color="auto"/>
        <w:left w:val="none" w:sz="0" w:space="0" w:color="auto"/>
        <w:bottom w:val="none" w:sz="0" w:space="0" w:color="auto"/>
        <w:right w:val="none" w:sz="0" w:space="0" w:color="auto"/>
      </w:divBdr>
    </w:div>
    <w:div w:id="1918132910">
      <w:bodyDiv w:val="1"/>
      <w:marLeft w:val="0"/>
      <w:marRight w:val="0"/>
      <w:marTop w:val="0"/>
      <w:marBottom w:val="0"/>
      <w:divBdr>
        <w:top w:val="none" w:sz="0" w:space="0" w:color="auto"/>
        <w:left w:val="none" w:sz="0" w:space="0" w:color="auto"/>
        <w:bottom w:val="none" w:sz="0" w:space="0" w:color="auto"/>
        <w:right w:val="none" w:sz="0" w:space="0" w:color="auto"/>
      </w:divBdr>
      <w:divsChild>
        <w:div w:id="166137082">
          <w:marLeft w:val="0"/>
          <w:marRight w:val="0"/>
          <w:marTop w:val="0"/>
          <w:marBottom w:val="0"/>
          <w:divBdr>
            <w:top w:val="none" w:sz="0" w:space="0" w:color="auto"/>
            <w:left w:val="none" w:sz="0" w:space="0" w:color="auto"/>
            <w:bottom w:val="none" w:sz="0" w:space="0" w:color="auto"/>
            <w:right w:val="none" w:sz="0" w:space="0" w:color="auto"/>
          </w:divBdr>
          <w:divsChild>
            <w:div w:id="8889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2568">
      <w:bodyDiv w:val="1"/>
      <w:marLeft w:val="0"/>
      <w:marRight w:val="0"/>
      <w:marTop w:val="0"/>
      <w:marBottom w:val="0"/>
      <w:divBdr>
        <w:top w:val="none" w:sz="0" w:space="0" w:color="auto"/>
        <w:left w:val="none" w:sz="0" w:space="0" w:color="auto"/>
        <w:bottom w:val="none" w:sz="0" w:space="0" w:color="auto"/>
        <w:right w:val="none" w:sz="0" w:space="0" w:color="auto"/>
      </w:divBdr>
    </w:div>
    <w:div w:id="1923875256">
      <w:bodyDiv w:val="1"/>
      <w:marLeft w:val="0"/>
      <w:marRight w:val="0"/>
      <w:marTop w:val="0"/>
      <w:marBottom w:val="0"/>
      <w:divBdr>
        <w:top w:val="none" w:sz="0" w:space="0" w:color="auto"/>
        <w:left w:val="none" w:sz="0" w:space="0" w:color="auto"/>
        <w:bottom w:val="none" w:sz="0" w:space="0" w:color="auto"/>
        <w:right w:val="none" w:sz="0" w:space="0" w:color="auto"/>
      </w:divBdr>
    </w:div>
    <w:div w:id="1932542447">
      <w:bodyDiv w:val="1"/>
      <w:marLeft w:val="0"/>
      <w:marRight w:val="0"/>
      <w:marTop w:val="0"/>
      <w:marBottom w:val="0"/>
      <w:divBdr>
        <w:top w:val="none" w:sz="0" w:space="0" w:color="auto"/>
        <w:left w:val="none" w:sz="0" w:space="0" w:color="auto"/>
        <w:bottom w:val="none" w:sz="0" w:space="0" w:color="auto"/>
        <w:right w:val="none" w:sz="0" w:space="0" w:color="auto"/>
      </w:divBdr>
    </w:div>
    <w:div w:id="1932616187">
      <w:bodyDiv w:val="1"/>
      <w:marLeft w:val="0"/>
      <w:marRight w:val="0"/>
      <w:marTop w:val="0"/>
      <w:marBottom w:val="0"/>
      <w:divBdr>
        <w:top w:val="none" w:sz="0" w:space="0" w:color="auto"/>
        <w:left w:val="none" w:sz="0" w:space="0" w:color="auto"/>
        <w:bottom w:val="none" w:sz="0" w:space="0" w:color="auto"/>
        <w:right w:val="none" w:sz="0" w:space="0" w:color="auto"/>
      </w:divBdr>
    </w:div>
    <w:div w:id="1938125833">
      <w:bodyDiv w:val="1"/>
      <w:marLeft w:val="0"/>
      <w:marRight w:val="0"/>
      <w:marTop w:val="0"/>
      <w:marBottom w:val="0"/>
      <w:divBdr>
        <w:top w:val="none" w:sz="0" w:space="0" w:color="auto"/>
        <w:left w:val="none" w:sz="0" w:space="0" w:color="auto"/>
        <w:bottom w:val="none" w:sz="0" w:space="0" w:color="auto"/>
        <w:right w:val="none" w:sz="0" w:space="0" w:color="auto"/>
      </w:divBdr>
    </w:div>
    <w:div w:id="1939410855">
      <w:bodyDiv w:val="1"/>
      <w:marLeft w:val="0"/>
      <w:marRight w:val="0"/>
      <w:marTop w:val="0"/>
      <w:marBottom w:val="0"/>
      <w:divBdr>
        <w:top w:val="none" w:sz="0" w:space="0" w:color="auto"/>
        <w:left w:val="none" w:sz="0" w:space="0" w:color="auto"/>
        <w:bottom w:val="none" w:sz="0" w:space="0" w:color="auto"/>
        <w:right w:val="none" w:sz="0" w:space="0" w:color="auto"/>
      </w:divBdr>
      <w:divsChild>
        <w:div w:id="760297295">
          <w:marLeft w:val="0"/>
          <w:marRight w:val="0"/>
          <w:marTop w:val="0"/>
          <w:marBottom w:val="0"/>
          <w:divBdr>
            <w:top w:val="none" w:sz="0" w:space="0" w:color="auto"/>
            <w:left w:val="none" w:sz="0" w:space="0" w:color="auto"/>
            <w:bottom w:val="none" w:sz="0" w:space="0" w:color="auto"/>
            <w:right w:val="none" w:sz="0" w:space="0" w:color="auto"/>
          </w:divBdr>
          <w:divsChild>
            <w:div w:id="1043755157">
              <w:marLeft w:val="0"/>
              <w:marRight w:val="0"/>
              <w:marTop w:val="0"/>
              <w:marBottom w:val="0"/>
              <w:divBdr>
                <w:top w:val="none" w:sz="0" w:space="0" w:color="auto"/>
                <w:left w:val="none" w:sz="0" w:space="0" w:color="auto"/>
                <w:bottom w:val="none" w:sz="0" w:space="0" w:color="auto"/>
                <w:right w:val="none" w:sz="0" w:space="0" w:color="auto"/>
              </w:divBdr>
              <w:divsChild>
                <w:div w:id="8343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340">
      <w:bodyDiv w:val="1"/>
      <w:marLeft w:val="0"/>
      <w:marRight w:val="0"/>
      <w:marTop w:val="0"/>
      <w:marBottom w:val="0"/>
      <w:divBdr>
        <w:top w:val="none" w:sz="0" w:space="0" w:color="auto"/>
        <w:left w:val="none" w:sz="0" w:space="0" w:color="auto"/>
        <w:bottom w:val="none" w:sz="0" w:space="0" w:color="auto"/>
        <w:right w:val="none" w:sz="0" w:space="0" w:color="auto"/>
      </w:divBdr>
    </w:div>
    <w:div w:id="1948191400">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4438026">
      <w:bodyDiv w:val="1"/>
      <w:marLeft w:val="0"/>
      <w:marRight w:val="0"/>
      <w:marTop w:val="0"/>
      <w:marBottom w:val="0"/>
      <w:divBdr>
        <w:top w:val="none" w:sz="0" w:space="0" w:color="auto"/>
        <w:left w:val="none" w:sz="0" w:space="0" w:color="auto"/>
        <w:bottom w:val="none" w:sz="0" w:space="0" w:color="auto"/>
        <w:right w:val="none" w:sz="0" w:space="0" w:color="auto"/>
      </w:divBdr>
    </w:div>
    <w:div w:id="1955282423">
      <w:bodyDiv w:val="1"/>
      <w:marLeft w:val="0"/>
      <w:marRight w:val="0"/>
      <w:marTop w:val="0"/>
      <w:marBottom w:val="0"/>
      <w:divBdr>
        <w:top w:val="none" w:sz="0" w:space="0" w:color="auto"/>
        <w:left w:val="none" w:sz="0" w:space="0" w:color="auto"/>
        <w:bottom w:val="none" w:sz="0" w:space="0" w:color="auto"/>
        <w:right w:val="none" w:sz="0" w:space="0" w:color="auto"/>
      </w:divBdr>
    </w:div>
    <w:div w:id="1956673176">
      <w:bodyDiv w:val="1"/>
      <w:marLeft w:val="0"/>
      <w:marRight w:val="0"/>
      <w:marTop w:val="0"/>
      <w:marBottom w:val="0"/>
      <w:divBdr>
        <w:top w:val="none" w:sz="0" w:space="0" w:color="auto"/>
        <w:left w:val="none" w:sz="0" w:space="0" w:color="auto"/>
        <w:bottom w:val="none" w:sz="0" w:space="0" w:color="auto"/>
        <w:right w:val="none" w:sz="0" w:space="0" w:color="auto"/>
      </w:divBdr>
    </w:div>
    <w:div w:id="1958293669">
      <w:bodyDiv w:val="1"/>
      <w:marLeft w:val="0"/>
      <w:marRight w:val="0"/>
      <w:marTop w:val="0"/>
      <w:marBottom w:val="0"/>
      <w:divBdr>
        <w:top w:val="none" w:sz="0" w:space="0" w:color="auto"/>
        <w:left w:val="none" w:sz="0" w:space="0" w:color="auto"/>
        <w:bottom w:val="none" w:sz="0" w:space="0" w:color="auto"/>
        <w:right w:val="none" w:sz="0" w:space="0" w:color="auto"/>
      </w:divBdr>
      <w:divsChild>
        <w:div w:id="902565618">
          <w:marLeft w:val="0"/>
          <w:marRight w:val="0"/>
          <w:marTop w:val="0"/>
          <w:marBottom w:val="0"/>
          <w:divBdr>
            <w:top w:val="none" w:sz="0" w:space="0" w:color="auto"/>
            <w:left w:val="none" w:sz="0" w:space="0" w:color="auto"/>
            <w:bottom w:val="none" w:sz="0" w:space="0" w:color="auto"/>
            <w:right w:val="none" w:sz="0" w:space="0" w:color="auto"/>
          </w:divBdr>
          <w:divsChild>
            <w:div w:id="310716920">
              <w:marLeft w:val="0"/>
              <w:marRight w:val="0"/>
              <w:marTop w:val="0"/>
              <w:marBottom w:val="0"/>
              <w:divBdr>
                <w:top w:val="none" w:sz="0" w:space="0" w:color="auto"/>
                <w:left w:val="none" w:sz="0" w:space="0" w:color="auto"/>
                <w:bottom w:val="none" w:sz="0" w:space="0" w:color="auto"/>
                <w:right w:val="none" w:sz="0" w:space="0" w:color="auto"/>
              </w:divBdr>
              <w:divsChild>
                <w:div w:id="232349159">
                  <w:marLeft w:val="0"/>
                  <w:marRight w:val="0"/>
                  <w:marTop w:val="0"/>
                  <w:marBottom w:val="0"/>
                  <w:divBdr>
                    <w:top w:val="none" w:sz="0" w:space="0" w:color="auto"/>
                    <w:left w:val="none" w:sz="0" w:space="0" w:color="auto"/>
                    <w:bottom w:val="none" w:sz="0" w:space="0" w:color="auto"/>
                    <w:right w:val="none" w:sz="0" w:space="0" w:color="auto"/>
                  </w:divBdr>
                  <w:divsChild>
                    <w:div w:id="424422814">
                      <w:marLeft w:val="0"/>
                      <w:marRight w:val="0"/>
                      <w:marTop w:val="0"/>
                      <w:marBottom w:val="0"/>
                      <w:divBdr>
                        <w:top w:val="none" w:sz="0" w:space="0" w:color="auto"/>
                        <w:left w:val="none" w:sz="0" w:space="0" w:color="auto"/>
                        <w:bottom w:val="none" w:sz="0" w:space="0" w:color="auto"/>
                        <w:right w:val="none" w:sz="0" w:space="0" w:color="auto"/>
                      </w:divBdr>
                    </w:div>
                  </w:divsChild>
                </w:div>
                <w:div w:id="570425666">
                  <w:marLeft w:val="0"/>
                  <w:marRight w:val="0"/>
                  <w:marTop w:val="0"/>
                  <w:marBottom w:val="0"/>
                  <w:divBdr>
                    <w:top w:val="none" w:sz="0" w:space="0" w:color="auto"/>
                    <w:left w:val="none" w:sz="0" w:space="0" w:color="auto"/>
                    <w:bottom w:val="none" w:sz="0" w:space="0" w:color="auto"/>
                    <w:right w:val="none" w:sz="0" w:space="0" w:color="auto"/>
                  </w:divBdr>
                  <w:divsChild>
                    <w:div w:id="1283419111">
                      <w:marLeft w:val="0"/>
                      <w:marRight w:val="0"/>
                      <w:marTop w:val="0"/>
                      <w:marBottom w:val="0"/>
                      <w:divBdr>
                        <w:top w:val="none" w:sz="0" w:space="0" w:color="auto"/>
                        <w:left w:val="none" w:sz="0" w:space="0" w:color="auto"/>
                        <w:bottom w:val="none" w:sz="0" w:space="0" w:color="auto"/>
                        <w:right w:val="none" w:sz="0" w:space="0" w:color="auto"/>
                      </w:divBdr>
                    </w:div>
                  </w:divsChild>
                </w:div>
                <w:div w:id="1336498943">
                  <w:marLeft w:val="0"/>
                  <w:marRight w:val="0"/>
                  <w:marTop w:val="0"/>
                  <w:marBottom w:val="0"/>
                  <w:divBdr>
                    <w:top w:val="none" w:sz="0" w:space="0" w:color="auto"/>
                    <w:left w:val="none" w:sz="0" w:space="0" w:color="auto"/>
                    <w:bottom w:val="none" w:sz="0" w:space="0" w:color="auto"/>
                    <w:right w:val="none" w:sz="0" w:space="0" w:color="auto"/>
                  </w:divBdr>
                  <w:divsChild>
                    <w:div w:id="11951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7134">
      <w:bodyDiv w:val="1"/>
      <w:marLeft w:val="0"/>
      <w:marRight w:val="0"/>
      <w:marTop w:val="0"/>
      <w:marBottom w:val="0"/>
      <w:divBdr>
        <w:top w:val="none" w:sz="0" w:space="0" w:color="auto"/>
        <w:left w:val="none" w:sz="0" w:space="0" w:color="auto"/>
        <w:bottom w:val="none" w:sz="0" w:space="0" w:color="auto"/>
        <w:right w:val="none" w:sz="0" w:space="0" w:color="auto"/>
      </w:divBdr>
    </w:div>
    <w:div w:id="1966042912">
      <w:bodyDiv w:val="1"/>
      <w:marLeft w:val="0"/>
      <w:marRight w:val="0"/>
      <w:marTop w:val="0"/>
      <w:marBottom w:val="0"/>
      <w:divBdr>
        <w:top w:val="none" w:sz="0" w:space="0" w:color="auto"/>
        <w:left w:val="none" w:sz="0" w:space="0" w:color="auto"/>
        <w:bottom w:val="none" w:sz="0" w:space="0" w:color="auto"/>
        <w:right w:val="none" w:sz="0" w:space="0" w:color="auto"/>
      </w:divBdr>
    </w:div>
    <w:div w:id="1969629834">
      <w:bodyDiv w:val="1"/>
      <w:marLeft w:val="0"/>
      <w:marRight w:val="0"/>
      <w:marTop w:val="0"/>
      <w:marBottom w:val="0"/>
      <w:divBdr>
        <w:top w:val="none" w:sz="0" w:space="0" w:color="auto"/>
        <w:left w:val="none" w:sz="0" w:space="0" w:color="auto"/>
        <w:bottom w:val="none" w:sz="0" w:space="0" w:color="auto"/>
        <w:right w:val="none" w:sz="0" w:space="0" w:color="auto"/>
      </w:divBdr>
      <w:divsChild>
        <w:div w:id="918640415">
          <w:marLeft w:val="0"/>
          <w:marRight w:val="0"/>
          <w:marTop w:val="0"/>
          <w:marBottom w:val="0"/>
          <w:divBdr>
            <w:top w:val="none" w:sz="0" w:space="0" w:color="auto"/>
            <w:left w:val="none" w:sz="0" w:space="0" w:color="auto"/>
            <w:bottom w:val="none" w:sz="0" w:space="0" w:color="auto"/>
            <w:right w:val="none" w:sz="0" w:space="0" w:color="auto"/>
          </w:divBdr>
          <w:divsChild>
            <w:div w:id="1745376497">
              <w:marLeft w:val="0"/>
              <w:marRight w:val="0"/>
              <w:marTop w:val="0"/>
              <w:marBottom w:val="0"/>
              <w:divBdr>
                <w:top w:val="none" w:sz="0" w:space="0" w:color="auto"/>
                <w:left w:val="none" w:sz="0" w:space="0" w:color="auto"/>
                <w:bottom w:val="none" w:sz="0" w:space="0" w:color="auto"/>
                <w:right w:val="none" w:sz="0" w:space="0" w:color="auto"/>
              </w:divBdr>
              <w:divsChild>
                <w:div w:id="1161044210">
                  <w:marLeft w:val="0"/>
                  <w:marRight w:val="0"/>
                  <w:marTop w:val="0"/>
                  <w:marBottom w:val="0"/>
                  <w:divBdr>
                    <w:top w:val="none" w:sz="0" w:space="0" w:color="auto"/>
                    <w:left w:val="none" w:sz="0" w:space="0" w:color="auto"/>
                    <w:bottom w:val="none" w:sz="0" w:space="0" w:color="auto"/>
                    <w:right w:val="none" w:sz="0" w:space="0" w:color="auto"/>
                  </w:divBdr>
                  <w:divsChild>
                    <w:div w:id="17976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4308">
      <w:bodyDiv w:val="1"/>
      <w:marLeft w:val="0"/>
      <w:marRight w:val="0"/>
      <w:marTop w:val="0"/>
      <w:marBottom w:val="0"/>
      <w:divBdr>
        <w:top w:val="none" w:sz="0" w:space="0" w:color="auto"/>
        <w:left w:val="none" w:sz="0" w:space="0" w:color="auto"/>
        <w:bottom w:val="none" w:sz="0" w:space="0" w:color="auto"/>
        <w:right w:val="none" w:sz="0" w:space="0" w:color="auto"/>
      </w:divBdr>
    </w:div>
    <w:div w:id="1970670642">
      <w:bodyDiv w:val="1"/>
      <w:marLeft w:val="0"/>
      <w:marRight w:val="0"/>
      <w:marTop w:val="0"/>
      <w:marBottom w:val="0"/>
      <w:divBdr>
        <w:top w:val="none" w:sz="0" w:space="0" w:color="auto"/>
        <w:left w:val="none" w:sz="0" w:space="0" w:color="auto"/>
        <w:bottom w:val="none" w:sz="0" w:space="0" w:color="auto"/>
        <w:right w:val="none" w:sz="0" w:space="0" w:color="auto"/>
      </w:divBdr>
    </w:div>
    <w:div w:id="1975481024">
      <w:bodyDiv w:val="1"/>
      <w:marLeft w:val="0"/>
      <w:marRight w:val="0"/>
      <w:marTop w:val="0"/>
      <w:marBottom w:val="0"/>
      <w:divBdr>
        <w:top w:val="none" w:sz="0" w:space="0" w:color="auto"/>
        <w:left w:val="none" w:sz="0" w:space="0" w:color="auto"/>
        <w:bottom w:val="none" w:sz="0" w:space="0" w:color="auto"/>
        <w:right w:val="none" w:sz="0" w:space="0" w:color="auto"/>
      </w:divBdr>
    </w:div>
    <w:div w:id="1977762105">
      <w:bodyDiv w:val="1"/>
      <w:marLeft w:val="0"/>
      <w:marRight w:val="0"/>
      <w:marTop w:val="0"/>
      <w:marBottom w:val="0"/>
      <w:divBdr>
        <w:top w:val="none" w:sz="0" w:space="0" w:color="auto"/>
        <w:left w:val="none" w:sz="0" w:space="0" w:color="auto"/>
        <w:bottom w:val="none" w:sz="0" w:space="0" w:color="auto"/>
        <w:right w:val="none" w:sz="0" w:space="0" w:color="auto"/>
      </w:divBdr>
    </w:div>
    <w:div w:id="1983384401">
      <w:bodyDiv w:val="1"/>
      <w:marLeft w:val="0"/>
      <w:marRight w:val="0"/>
      <w:marTop w:val="0"/>
      <w:marBottom w:val="0"/>
      <w:divBdr>
        <w:top w:val="none" w:sz="0" w:space="0" w:color="auto"/>
        <w:left w:val="none" w:sz="0" w:space="0" w:color="auto"/>
        <w:bottom w:val="none" w:sz="0" w:space="0" w:color="auto"/>
        <w:right w:val="none" w:sz="0" w:space="0" w:color="auto"/>
      </w:divBdr>
    </w:div>
    <w:div w:id="1984849754">
      <w:bodyDiv w:val="1"/>
      <w:marLeft w:val="0"/>
      <w:marRight w:val="0"/>
      <w:marTop w:val="0"/>
      <w:marBottom w:val="0"/>
      <w:divBdr>
        <w:top w:val="none" w:sz="0" w:space="0" w:color="auto"/>
        <w:left w:val="none" w:sz="0" w:space="0" w:color="auto"/>
        <w:bottom w:val="none" w:sz="0" w:space="0" w:color="auto"/>
        <w:right w:val="none" w:sz="0" w:space="0" w:color="auto"/>
      </w:divBdr>
    </w:div>
    <w:div w:id="1986928597">
      <w:bodyDiv w:val="1"/>
      <w:marLeft w:val="0"/>
      <w:marRight w:val="0"/>
      <w:marTop w:val="0"/>
      <w:marBottom w:val="0"/>
      <w:divBdr>
        <w:top w:val="none" w:sz="0" w:space="0" w:color="auto"/>
        <w:left w:val="none" w:sz="0" w:space="0" w:color="auto"/>
        <w:bottom w:val="none" w:sz="0" w:space="0" w:color="auto"/>
        <w:right w:val="none" w:sz="0" w:space="0" w:color="auto"/>
      </w:divBdr>
    </w:div>
    <w:div w:id="1995641066">
      <w:bodyDiv w:val="1"/>
      <w:marLeft w:val="0"/>
      <w:marRight w:val="0"/>
      <w:marTop w:val="0"/>
      <w:marBottom w:val="0"/>
      <w:divBdr>
        <w:top w:val="none" w:sz="0" w:space="0" w:color="auto"/>
        <w:left w:val="none" w:sz="0" w:space="0" w:color="auto"/>
        <w:bottom w:val="none" w:sz="0" w:space="0" w:color="auto"/>
        <w:right w:val="none" w:sz="0" w:space="0" w:color="auto"/>
      </w:divBdr>
    </w:div>
    <w:div w:id="2000838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6158">
          <w:marLeft w:val="0"/>
          <w:marRight w:val="0"/>
          <w:marTop w:val="0"/>
          <w:marBottom w:val="0"/>
          <w:divBdr>
            <w:top w:val="single" w:sz="2" w:space="0" w:color="auto"/>
            <w:left w:val="single" w:sz="2" w:space="0" w:color="auto"/>
            <w:bottom w:val="single" w:sz="6" w:space="0" w:color="auto"/>
            <w:right w:val="single" w:sz="2" w:space="0" w:color="auto"/>
          </w:divBdr>
          <w:divsChild>
            <w:div w:id="1160148672">
              <w:marLeft w:val="0"/>
              <w:marRight w:val="0"/>
              <w:marTop w:val="100"/>
              <w:marBottom w:val="100"/>
              <w:divBdr>
                <w:top w:val="single" w:sz="2" w:space="0" w:color="D9D9E3"/>
                <w:left w:val="single" w:sz="2" w:space="0" w:color="D9D9E3"/>
                <w:bottom w:val="single" w:sz="2" w:space="0" w:color="D9D9E3"/>
                <w:right w:val="single" w:sz="2" w:space="0" w:color="D9D9E3"/>
              </w:divBdr>
              <w:divsChild>
                <w:div w:id="467281137">
                  <w:marLeft w:val="0"/>
                  <w:marRight w:val="0"/>
                  <w:marTop w:val="0"/>
                  <w:marBottom w:val="0"/>
                  <w:divBdr>
                    <w:top w:val="single" w:sz="2" w:space="0" w:color="D9D9E3"/>
                    <w:left w:val="single" w:sz="2" w:space="0" w:color="D9D9E3"/>
                    <w:bottom w:val="single" w:sz="2" w:space="0" w:color="D9D9E3"/>
                    <w:right w:val="single" w:sz="2" w:space="0" w:color="D9D9E3"/>
                  </w:divBdr>
                  <w:divsChild>
                    <w:div w:id="1289244298">
                      <w:marLeft w:val="0"/>
                      <w:marRight w:val="0"/>
                      <w:marTop w:val="0"/>
                      <w:marBottom w:val="0"/>
                      <w:divBdr>
                        <w:top w:val="single" w:sz="2" w:space="0" w:color="D9D9E3"/>
                        <w:left w:val="single" w:sz="2" w:space="0" w:color="D9D9E3"/>
                        <w:bottom w:val="single" w:sz="2" w:space="0" w:color="D9D9E3"/>
                        <w:right w:val="single" w:sz="2" w:space="0" w:color="D9D9E3"/>
                      </w:divBdr>
                      <w:divsChild>
                        <w:div w:id="736167578">
                          <w:marLeft w:val="0"/>
                          <w:marRight w:val="0"/>
                          <w:marTop w:val="0"/>
                          <w:marBottom w:val="0"/>
                          <w:divBdr>
                            <w:top w:val="single" w:sz="2" w:space="0" w:color="D9D9E3"/>
                            <w:left w:val="single" w:sz="2" w:space="0" w:color="D9D9E3"/>
                            <w:bottom w:val="single" w:sz="2" w:space="0" w:color="D9D9E3"/>
                            <w:right w:val="single" w:sz="2" w:space="0" w:color="D9D9E3"/>
                          </w:divBdr>
                          <w:divsChild>
                            <w:div w:id="187187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1733747">
      <w:bodyDiv w:val="1"/>
      <w:marLeft w:val="0"/>
      <w:marRight w:val="0"/>
      <w:marTop w:val="0"/>
      <w:marBottom w:val="0"/>
      <w:divBdr>
        <w:top w:val="none" w:sz="0" w:space="0" w:color="auto"/>
        <w:left w:val="none" w:sz="0" w:space="0" w:color="auto"/>
        <w:bottom w:val="none" w:sz="0" w:space="0" w:color="auto"/>
        <w:right w:val="none" w:sz="0" w:space="0" w:color="auto"/>
      </w:divBdr>
    </w:div>
    <w:div w:id="2002846996">
      <w:bodyDiv w:val="1"/>
      <w:marLeft w:val="0"/>
      <w:marRight w:val="0"/>
      <w:marTop w:val="0"/>
      <w:marBottom w:val="0"/>
      <w:divBdr>
        <w:top w:val="none" w:sz="0" w:space="0" w:color="auto"/>
        <w:left w:val="none" w:sz="0" w:space="0" w:color="auto"/>
        <w:bottom w:val="none" w:sz="0" w:space="0" w:color="auto"/>
        <w:right w:val="none" w:sz="0" w:space="0" w:color="auto"/>
      </w:divBdr>
      <w:divsChild>
        <w:div w:id="1639872470">
          <w:marLeft w:val="0"/>
          <w:marRight w:val="0"/>
          <w:marTop w:val="0"/>
          <w:marBottom w:val="0"/>
          <w:divBdr>
            <w:top w:val="none" w:sz="0" w:space="0" w:color="auto"/>
            <w:left w:val="none" w:sz="0" w:space="0" w:color="auto"/>
            <w:bottom w:val="none" w:sz="0" w:space="0" w:color="auto"/>
            <w:right w:val="none" w:sz="0" w:space="0" w:color="auto"/>
          </w:divBdr>
          <w:divsChild>
            <w:div w:id="76678093">
              <w:marLeft w:val="0"/>
              <w:marRight w:val="0"/>
              <w:marTop w:val="0"/>
              <w:marBottom w:val="0"/>
              <w:divBdr>
                <w:top w:val="none" w:sz="0" w:space="0" w:color="auto"/>
                <w:left w:val="none" w:sz="0" w:space="0" w:color="auto"/>
                <w:bottom w:val="none" w:sz="0" w:space="0" w:color="auto"/>
                <w:right w:val="none" w:sz="0" w:space="0" w:color="auto"/>
              </w:divBdr>
              <w:divsChild>
                <w:div w:id="1442997202">
                  <w:marLeft w:val="0"/>
                  <w:marRight w:val="0"/>
                  <w:marTop w:val="0"/>
                  <w:marBottom w:val="0"/>
                  <w:divBdr>
                    <w:top w:val="none" w:sz="0" w:space="0" w:color="auto"/>
                    <w:left w:val="none" w:sz="0" w:space="0" w:color="auto"/>
                    <w:bottom w:val="none" w:sz="0" w:space="0" w:color="auto"/>
                    <w:right w:val="none" w:sz="0" w:space="0" w:color="auto"/>
                  </w:divBdr>
                  <w:divsChild>
                    <w:div w:id="295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92856">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17879016">
      <w:bodyDiv w:val="1"/>
      <w:marLeft w:val="0"/>
      <w:marRight w:val="0"/>
      <w:marTop w:val="0"/>
      <w:marBottom w:val="0"/>
      <w:divBdr>
        <w:top w:val="none" w:sz="0" w:space="0" w:color="auto"/>
        <w:left w:val="none" w:sz="0" w:space="0" w:color="auto"/>
        <w:bottom w:val="none" w:sz="0" w:space="0" w:color="auto"/>
        <w:right w:val="none" w:sz="0" w:space="0" w:color="auto"/>
      </w:divBdr>
    </w:div>
    <w:div w:id="2021665472">
      <w:bodyDiv w:val="1"/>
      <w:marLeft w:val="0"/>
      <w:marRight w:val="0"/>
      <w:marTop w:val="0"/>
      <w:marBottom w:val="0"/>
      <w:divBdr>
        <w:top w:val="none" w:sz="0" w:space="0" w:color="auto"/>
        <w:left w:val="none" w:sz="0" w:space="0" w:color="auto"/>
        <w:bottom w:val="none" w:sz="0" w:space="0" w:color="auto"/>
        <w:right w:val="none" w:sz="0" w:space="0" w:color="auto"/>
      </w:divBdr>
    </w:div>
    <w:div w:id="2023781686">
      <w:bodyDiv w:val="1"/>
      <w:marLeft w:val="0"/>
      <w:marRight w:val="0"/>
      <w:marTop w:val="0"/>
      <w:marBottom w:val="0"/>
      <w:divBdr>
        <w:top w:val="none" w:sz="0" w:space="0" w:color="auto"/>
        <w:left w:val="none" w:sz="0" w:space="0" w:color="auto"/>
        <w:bottom w:val="none" w:sz="0" w:space="0" w:color="auto"/>
        <w:right w:val="none" w:sz="0" w:space="0" w:color="auto"/>
      </w:divBdr>
      <w:divsChild>
        <w:div w:id="924656515">
          <w:marLeft w:val="0"/>
          <w:marRight w:val="0"/>
          <w:marTop w:val="0"/>
          <w:marBottom w:val="0"/>
          <w:divBdr>
            <w:top w:val="none" w:sz="0" w:space="0" w:color="auto"/>
            <w:left w:val="none" w:sz="0" w:space="0" w:color="auto"/>
            <w:bottom w:val="none" w:sz="0" w:space="0" w:color="auto"/>
            <w:right w:val="none" w:sz="0" w:space="0" w:color="auto"/>
          </w:divBdr>
          <w:divsChild>
            <w:div w:id="97409665">
              <w:marLeft w:val="0"/>
              <w:marRight w:val="0"/>
              <w:marTop w:val="0"/>
              <w:marBottom w:val="0"/>
              <w:divBdr>
                <w:top w:val="none" w:sz="0" w:space="0" w:color="auto"/>
                <w:left w:val="none" w:sz="0" w:space="0" w:color="auto"/>
                <w:bottom w:val="none" w:sz="0" w:space="0" w:color="auto"/>
                <w:right w:val="none" w:sz="0" w:space="0" w:color="auto"/>
              </w:divBdr>
              <w:divsChild>
                <w:div w:id="81028133">
                  <w:marLeft w:val="0"/>
                  <w:marRight w:val="0"/>
                  <w:marTop w:val="0"/>
                  <w:marBottom w:val="0"/>
                  <w:divBdr>
                    <w:top w:val="none" w:sz="0" w:space="0" w:color="auto"/>
                    <w:left w:val="none" w:sz="0" w:space="0" w:color="auto"/>
                    <w:bottom w:val="none" w:sz="0" w:space="0" w:color="auto"/>
                    <w:right w:val="none" w:sz="0" w:space="0" w:color="auto"/>
                  </w:divBdr>
                  <w:divsChild>
                    <w:div w:id="997197604">
                      <w:marLeft w:val="0"/>
                      <w:marRight w:val="0"/>
                      <w:marTop w:val="0"/>
                      <w:marBottom w:val="0"/>
                      <w:divBdr>
                        <w:top w:val="none" w:sz="0" w:space="0" w:color="auto"/>
                        <w:left w:val="none" w:sz="0" w:space="0" w:color="auto"/>
                        <w:bottom w:val="none" w:sz="0" w:space="0" w:color="auto"/>
                        <w:right w:val="none" w:sz="0" w:space="0" w:color="auto"/>
                      </w:divBdr>
                      <w:divsChild>
                        <w:div w:id="1215846304">
                          <w:marLeft w:val="0"/>
                          <w:marRight w:val="0"/>
                          <w:marTop w:val="0"/>
                          <w:marBottom w:val="0"/>
                          <w:divBdr>
                            <w:top w:val="none" w:sz="0" w:space="0" w:color="auto"/>
                            <w:left w:val="none" w:sz="0" w:space="0" w:color="auto"/>
                            <w:bottom w:val="none" w:sz="0" w:space="0" w:color="auto"/>
                            <w:right w:val="none" w:sz="0" w:space="0" w:color="auto"/>
                          </w:divBdr>
                          <w:divsChild>
                            <w:div w:id="1437016542">
                              <w:marLeft w:val="0"/>
                              <w:marRight w:val="0"/>
                              <w:marTop w:val="0"/>
                              <w:marBottom w:val="0"/>
                              <w:divBdr>
                                <w:top w:val="none" w:sz="0" w:space="0" w:color="auto"/>
                                <w:left w:val="none" w:sz="0" w:space="0" w:color="auto"/>
                                <w:bottom w:val="none" w:sz="0" w:space="0" w:color="auto"/>
                                <w:right w:val="none" w:sz="0" w:space="0" w:color="auto"/>
                              </w:divBdr>
                              <w:divsChild>
                                <w:div w:id="1966539365">
                                  <w:marLeft w:val="0"/>
                                  <w:marRight w:val="0"/>
                                  <w:marTop w:val="0"/>
                                  <w:marBottom w:val="0"/>
                                  <w:divBdr>
                                    <w:top w:val="none" w:sz="0" w:space="0" w:color="auto"/>
                                    <w:left w:val="none" w:sz="0" w:space="0" w:color="auto"/>
                                    <w:bottom w:val="none" w:sz="0" w:space="0" w:color="auto"/>
                                    <w:right w:val="none" w:sz="0" w:space="0" w:color="auto"/>
                                  </w:divBdr>
                                  <w:divsChild>
                                    <w:div w:id="1107384960">
                                      <w:marLeft w:val="0"/>
                                      <w:marRight w:val="0"/>
                                      <w:marTop w:val="0"/>
                                      <w:marBottom w:val="0"/>
                                      <w:divBdr>
                                        <w:top w:val="none" w:sz="0" w:space="0" w:color="auto"/>
                                        <w:left w:val="none" w:sz="0" w:space="0" w:color="auto"/>
                                        <w:bottom w:val="none" w:sz="0" w:space="0" w:color="auto"/>
                                        <w:right w:val="none" w:sz="0" w:space="0" w:color="auto"/>
                                      </w:divBdr>
                                      <w:divsChild>
                                        <w:div w:id="2007439687">
                                          <w:marLeft w:val="0"/>
                                          <w:marRight w:val="0"/>
                                          <w:marTop w:val="0"/>
                                          <w:marBottom w:val="0"/>
                                          <w:divBdr>
                                            <w:top w:val="none" w:sz="0" w:space="0" w:color="auto"/>
                                            <w:left w:val="none" w:sz="0" w:space="0" w:color="auto"/>
                                            <w:bottom w:val="none" w:sz="0" w:space="0" w:color="auto"/>
                                            <w:right w:val="none" w:sz="0" w:space="0" w:color="auto"/>
                                          </w:divBdr>
                                          <w:divsChild>
                                            <w:div w:id="1201170439">
                                              <w:marLeft w:val="0"/>
                                              <w:marRight w:val="0"/>
                                              <w:marTop w:val="0"/>
                                              <w:marBottom w:val="0"/>
                                              <w:divBdr>
                                                <w:top w:val="none" w:sz="0" w:space="0" w:color="auto"/>
                                                <w:left w:val="none" w:sz="0" w:space="0" w:color="auto"/>
                                                <w:bottom w:val="none" w:sz="0" w:space="0" w:color="auto"/>
                                                <w:right w:val="none" w:sz="0" w:space="0" w:color="auto"/>
                                              </w:divBdr>
                                              <w:divsChild>
                                                <w:div w:id="927929754">
                                                  <w:marLeft w:val="0"/>
                                                  <w:marRight w:val="0"/>
                                                  <w:marTop w:val="0"/>
                                                  <w:marBottom w:val="0"/>
                                                  <w:divBdr>
                                                    <w:top w:val="none" w:sz="0" w:space="0" w:color="auto"/>
                                                    <w:left w:val="none" w:sz="0" w:space="0" w:color="auto"/>
                                                    <w:bottom w:val="none" w:sz="0" w:space="0" w:color="auto"/>
                                                    <w:right w:val="none" w:sz="0" w:space="0" w:color="auto"/>
                                                  </w:divBdr>
                                                  <w:divsChild>
                                                    <w:div w:id="551425057">
                                                      <w:marLeft w:val="0"/>
                                                      <w:marRight w:val="0"/>
                                                      <w:marTop w:val="0"/>
                                                      <w:marBottom w:val="0"/>
                                                      <w:divBdr>
                                                        <w:top w:val="none" w:sz="0" w:space="0" w:color="auto"/>
                                                        <w:left w:val="none" w:sz="0" w:space="0" w:color="auto"/>
                                                        <w:bottom w:val="none" w:sz="0" w:space="0" w:color="auto"/>
                                                        <w:right w:val="none" w:sz="0" w:space="0" w:color="auto"/>
                                                      </w:divBdr>
                                                      <w:divsChild>
                                                        <w:div w:id="1214343770">
                                                          <w:marLeft w:val="0"/>
                                                          <w:marRight w:val="0"/>
                                                          <w:marTop w:val="0"/>
                                                          <w:marBottom w:val="0"/>
                                                          <w:divBdr>
                                                            <w:top w:val="none" w:sz="0" w:space="0" w:color="auto"/>
                                                            <w:left w:val="none" w:sz="0" w:space="0" w:color="auto"/>
                                                            <w:bottom w:val="none" w:sz="0" w:space="0" w:color="auto"/>
                                                            <w:right w:val="none" w:sz="0" w:space="0" w:color="auto"/>
                                                          </w:divBdr>
                                                          <w:divsChild>
                                                            <w:div w:id="10897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6360">
                                              <w:marLeft w:val="0"/>
                                              <w:marRight w:val="0"/>
                                              <w:marTop w:val="0"/>
                                              <w:marBottom w:val="0"/>
                                              <w:divBdr>
                                                <w:top w:val="none" w:sz="0" w:space="0" w:color="auto"/>
                                                <w:left w:val="none" w:sz="0" w:space="0" w:color="auto"/>
                                                <w:bottom w:val="none" w:sz="0" w:space="0" w:color="auto"/>
                                                <w:right w:val="none" w:sz="0" w:space="0" w:color="auto"/>
                                              </w:divBdr>
                                              <w:divsChild>
                                                <w:div w:id="1823309722">
                                                  <w:marLeft w:val="0"/>
                                                  <w:marRight w:val="0"/>
                                                  <w:marTop w:val="0"/>
                                                  <w:marBottom w:val="0"/>
                                                  <w:divBdr>
                                                    <w:top w:val="none" w:sz="0" w:space="0" w:color="auto"/>
                                                    <w:left w:val="none" w:sz="0" w:space="0" w:color="auto"/>
                                                    <w:bottom w:val="none" w:sz="0" w:space="0" w:color="auto"/>
                                                    <w:right w:val="none" w:sz="0" w:space="0" w:color="auto"/>
                                                  </w:divBdr>
                                                  <w:divsChild>
                                                    <w:div w:id="941767423">
                                                      <w:marLeft w:val="0"/>
                                                      <w:marRight w:val="0"/>
                                                      <w:marTop w:val="0"/>
                                                      <w:marBottom w:val="0"/>
                                                      <w:divBdr>
                                                        <w:top w:val="none" w:sz="0" w:space="0" w:color="auto"/>
                                                        <w:left w:val="none" w:sz="0" w:space="0" w:color="auto"/>
                                                        <w:bottom w:val="none" w:sz="0" w:space="0" w:color="auto"/>
                                                        <w:right w:val="none" w:sz="0" w:space="0" w:color="auto"/>
                                                      </w:divBdr>
                                                      <w:divsChild>
                                                        <w:div w:id="680283960">
                                                          <w:marLeft w:val="0"/>
                                                          <w:marRight w:val="0"/>
                                                          <w:marTop w:val="0"/>
                                                          <w:marBottom w:val="0"/>
                                                          <w:divBdr>
                                                            <w:top w:val="none" w:sz="0" w:space="0" w:color="auto"/>
                                                            <w:left w:val="none" w:sz="0" w:space="0" w:color="auto"/>
                                                            <w:bottom w:val="none" w:sz="0" w:space="0" w:color="auto"/>
                                                            <w:right w:val="none" w:sz="0" w:space="0" w:color="auto"/>
                                                          </w:divBdr>
                                                          <w:divsChild>
                                                            <w:div w:id="1245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763979">
      <w:bodyDiv w:val="1"/>
      <w:marLeft w:val="0"/>
      <w:marRight w:val="0"/>
      <w:marTop w:val="0"/>
      <w:marBottom w:val="0"/>
      <w:divBdr>
        <w:top w:val="none" w:sz="0" w:space="0" w:color="auto"/>
        <w:left w:val="none" w:sz="0" w:space="0" w:color="auto"/>
        <w:bottom w:val="none" w:sz="0" w:space="0" w:color="auto"/>
        <w:right w:val="none" w:sz="0" w:space="0" w:color="auto"/>
      </w:divBdr>
    </w:div>
    <w:div w:id="2037534283">
      <w:bodyDiv w:val="1"/>
      <w:marLeft w:val="0"/>
      <w:marRight w:val="0"/>
      <w:marTop w:val="0"/>
      <w:marBottom w:val="0"/>
      <w:divBdr>
        <w:top w:val="none" w:sz="0" w:space="0" w:color="auto"/>
        <w:left w:val="none" w:sz="0" w:space="0" w:color="auto"/>
        <w:bottom w:val="none" w:sz="0" w:space="0" w:color="auto"/>
        <w:right w:val="none" w:sz="0" w:space="0" w:color="auto"/>
      </w:divBdr>
      <w:divsChild>
        <w:div w:id="1593511737">
          <w:marLeft w:val="0"/>
          <w:marRight w:val="0"/>
          <w:marTop w:val="0"/>
          <w:marBottom w:val="0"/>
          <w:divBdr>
            <w:top w:val="none" w:sz="0" w:space="0" w:color="auto"/>
            <w:left w:val="none" w:sz="0" w:space="0" w:color="auto"/>
            <w:bottom w:val="none" w:sz="0" w:space="0" w:color="auto"/>
            <w:right w:val="none" w:sz="0" w:space="0" w:color="auto"/>
          </w:divBdr>
          <w:divsChild>
            <w:div w:id="1227642825">
              <w:marLeft w:val="0"/>
              <w:marRight w:val="0"/>
              <w:marTop w:val="0"/>
              <w:marBottom w:val="0"/>
              <w:divBdr>
                <w:top w:val="none" w:sz="0" w:space="0" w:color="auto"/>
                <w:left w:val="none" w:sz="0" w:space="0" w:color="auto"/>
                <w:bottom w:val="none" w:sz="0" w:space="0" w:color="auto"/>
                <w:right w:val="none" w:sz="0" w:space="0" w:color="auto"/>
              </w:divBdr>
              <w:divsChild>
                <w:div w:id="14987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5209">
      <w:bodyDiv w:val="1"/>
      <w:marLeft w:val="0"/>
      <w:marRight w:val="0"/>
      <w:marTop w:val="0"/>
      <w:marBottom w:val="0"/>
      <w:divBdr>
        <w:top w:val="none" w:sz="0" w:space="0" w:color="auto"/>
        <w:left w:val="none" w:sz="0" w:space="0" w:color="auto"/>
        <w:bottom w:val="none" w:sz="0" w:space="0" w:color="auto"/>
        <w:right w:val="none" w:sz="0" w:space="0" w:color="auto"/>
      </w:divBdr>
      <w:divsChild>
        <w:div w:id="315189385">
          <w:marLeft w:val="446"/>
          <w:marRight w:val="0"/>
          <w:marTop w:val="0"/>
          <w:marBottom w:val="0"/>
          <w:divBdr>
            <w:top w:val="none" w:sz="0" w:space="0" w:color="auto"/>
            <w:left w:val="none" w:sz="0" w:space="0" w:color="auto"/>
            <w:bottom w:val="none" w:sz="0" w:space="0" w:color="auto"/>
            <w:right w:val="none" w:sz="0" w:space="0" w:color="auto"/>
          </w:divBdr>
        </w:div>
        <w:div w:id="1127315010">
          <w:marLeft w:val="446"/>
          <w:marRight w:val="0"/>
          <w:marTop w:val="0"/>
          <w:marBottom w:val="0"/>
          <w:divBdr>
            <w:top w:val="none" w:sz="0" w:space="0" w:color="auto"/>
            <w:left w:val="none" w:sz="0" w:space="0" w:color="auto"/>
            <w:bottom w:val="none" w:sz="0" w:space="0" w:color="auto"/>
            <w:right w:val="none" w:sz="0" w:space="0" w:color="auto"/>
          </w:divBdr>
        </w:div>
      </w:divsChild>
    </w:div>
    <w:div w:id="2057927462">
      <w:bodyDiv w:val="1"/>
      <w:marLeft w:val="0"/>
      <w:marRight w:val="0"/>
      <w:marTop w:val="0"/>
      <w:marBottom w:val="0"/>
      <w:divBdr>
        <w:top w:val="none" w:sz="0" w:space="0" w:color="auto"/>
        <w:left w:val="none" w:sz="0" w:space="0" w:color="auto"/>
        <w:bottom w:val="none" w:sz="0" w:space="0" w:color="auto"/>
        <w:right w:val="none" w:sz="0" w:space="0" w:color="auto"/>
      </w:divBdr>
      <w:divsChild>
        <w:div w:id="914702397">
          <w:marLeft w:val="360"/>
          <w:marRight w:val="0"/>
          <w:marTop w:val="200"/>
          <w:marBottom w:val="0"/>
          <w:divBdr>
            <w:top w:val="none" w:sz="0" w:space="0" w:color="auto"/>
            <w:left w:val="none" w:sz="0" w:space="0" w:color="auto"/>
            <w:bottom w:val="none" w:sz="0" w:space="0" w:color="auto"/>
            <w:right w:val="none" w:sz="0" w:space="0" w:color="auto"/>
          </w:divBdr>
        </w:div>
      </w:divsChild>
    </w:div>
    <w:div w:id="2060544849">
      <w:bodyDiv w:val="1"/>
      <w:marLeft w:val="0"/>
      <w:marRight w:val="0"/>
      <w:marTop w:val="0"/>
      <w:marBottom w:val="0"/>
      <w:divBdr>
        <w:top w:val="none" w:sz="0" w:space="0" w:color="auto"/>
        <w:left w:val="none" w:sz="0" w:space="0" w:color="auto"/>
        <w:bottom w:val="none" w:sz="0" w:space="0" w:color="auto"/>
        <w:right w:val="none" w:sz="0" w:space="0" w:color="auto"/>
      </w:divBdr>
    </w:div>
    <w:div w:id="2066486578">
      <w:bodyDiv w:val="1"/>
      <w:marLeft w:val="0"/>
      <w:marRight w:val="0"/>
      <w:marTop w:val="0"/>
      <w:marBottom w:val="0"/>
      <w:divBdr>
        <w:top w:val="none" w:sz="0" w:space="0" w:color="auto"/>
        <w:left w:val="none" w:sz="0" w:space="0" w:color="auto"/>
        <w:bottom w:val="none" w:sz="0" w:space="0" w:color="auto"/>
        <w:right w:val="none" w:sz="0" w:space="0" w:color="auto"/>
      </w:divBdr>
    </w:div>
    <w:div w:id="2066680107">
      <w:bodyDiv w:val="1"/>
      <w:marLeft w:val="0"/>
      <w:marRight w:val="0"/>
      <w:marTop w:val="0"/>
      <w:marBottom w:val="0"/>
      <w:divBdr>
        <w:top w:val="none" w:sz="0" w:space="0" w:color="auto"/>
        <w:left w:val="none" w:sz="0" w:space="0" w:color="auto"/>
        <w:bottom w:val="none" w:sz="0" w:space="0" w:color="auto"/>
        <w:right w:val="none" w:sz="0" w:space="0" w:color="auto"/>
      </w:divBdr>
    </w:div>
    <w:div w:id="2067409404">
      <w:bodyDiv w:val="1"/>
      <w:marLeft w:val="0"/>
      <w:marRight w:val="0"/>
      <w:marTop w:val="0"/>
      <w:marBottom w:val="0"/>
      <w:divBdr>
        <w:top w:val="none" w:sz="0" w:space="0" w:color="auto"/>
        <w:left w:val="none" w:sz="0" w:space="0" w:color="auto"/>
        <w:bottom w:val="none" w:sz="0" w:space="0" w:color="auto"/>
        <w:right w:val="none" w:sz="0" w:space="0" w:color="auto"/>
      </w:divBdr>
    </w:div>
    <w:div w:id="2075617155">
      <w:bodyDiv w:val="1"/>
      <w:marLeft w:val="0"/>
      <w:marRight w:val="0"/>
      <w:marTop w:val="0"/>
      <w:marBottom w:val="0"/>
      <w:divBdr>
        <w:top w:val="none" w:sz="0" w:space="0" w:color="auto"/>
        <w:left w:val="none" w:sz="0" w:space="0" w:color="auto"/>
        <w:bottom w:val="none" w:sz="0" w:space="0" w:color="auto"/>
        <w:right w:val="none" w:sz="0" w:space="0" w:color="auto"/>
      </w:divBdr>
    </w:div>
    <w:div w:id="2089840969">
      <w:bodyDiv w:val="1"/>
      <w:marLeft w:val="0"/>
      <w:marRight w:val="0"/>
      <w:marTop w:val="0"/>
      <w:marBottom w:val="0"/>
      <w:divBdr>
        <w:top w:val="none" w:sz="0" w:space="0" w:color="auto"/>
        <w:left w:val="none" w:sz="0" w:space="0" w:color="auto"/>
        <w:bottom w:val="none" w:sz="0" w:space="0" w:color="auto"/>
        <w:right w:val="none" w:sz="0" w:space="0" w:color="auto"/>
      </w:divBdr>
    </w:div>
    <w:div w:id="2095853632">
      <w:bodyDiv w:val="1"/>
      <w:marLeft w:val="0"/>
      <w:marRight w:val="0"/>
      <w:marTop w:val="0"/>
      <w:marBottom w:val="0"/>
      <w:divBdr>
        <w:top w:val="none" w:sz="0" w:space="0" w:color="auto"/>
        <w:left w:val="none" w:sz="0" w:space="0" w:color="auto"/>
        <w:bottom w:val="none" w:sz="0" w:space="0" w:color="auto"/>
        <w:right w:val="none" w:sz="0" w:space="0" w:color="auto"/>
      </w:divBdr>
    </w:div>
    <w:div w:id="2098282408">
      <w:bodyDiv w:val="1"/>
      <w:marLeft w:val="0"/>
      <w:marRight w:val="0"/>
      <w:marTop w:val="0"/>
      <w:marBottom w:val="0"/>
      <w:divBdr>
        <w:top w:val="none" w:sz="0" w:space="0" w:color="auto"/>
        <w:left w:val="none" w:sz="0" w:space="0" w:color="auto"/>
        <w:bottom w:val="none" w:sz="0" w:space="0" w:color="auto"/>
        <w:right w:val="none" w:sz="0" w:space="0" w:color="auto"/>
      </w:divBdr>
    </w:div>
    <w:div w:id="2108960888">
      <w:bodyDiv w:val="1"/>
      <w:marLeft w:val="0"/>
      <w:marRight w:val="0"/>
      <w:marTop w:val="0"/>
      <w:marBottom w:val="0"/>
      <w:divBdr>
        <w:top w:val="none" w:sz="0" w:space="0" w:color="auto"/>
        <w:left w:val="none" w:sz="0" w:space="0" w:color="auto"/>
        <w:bottom w:val="none" w:sz="0" w:space="0" w:color="auto"/>
        <w:right w:val="none" w:sz="0" w:space="0" w:color="auto"/>
      </w:divBdr>
    </w:div>
    <w:div w:id="2116174015">
      <w:bodyDiv w:val="1"/>
      <w:marLeft w:val="0"/>
      <w:marRight w:val="0"/>
      <w:marTop w:val="0"/>
      <w:marBottom w:val="0"/>
      <w:divBdr>
        <w:top w:val="none" w:sz="0" w:space="0" w:color="auto"/>
        <w:left w:val="none" w:sz="0" w:space="0" w:color="auto"/>
        <w:bottom w:val="none" w:sz="0" w:space="0" w:color="auto"/>
        <w:right w:val="none" w:sz="0" w:space="0" w:color="auto"/>
      </w:divBdr>
    </w:div>
    <w:div w:id="2121104429">
      <w:bodyDiv w:val="1"/>
      <w:marLeft w:val="0"/>
      <w:marRight w:val="0"/>
      <w:marTop w:val="0"/>
      <w:marBottom w:val="0"/>
      <w:divBdr>
        <w:top w:val="none" w:sz="0" w:space="0" w:color="auto"/>
        <w:left w:val="none" w:sz="0" w:space="0" w:color="auto"/>
        <w:bottom w:val="none" w:sz="0" w:space="0" w:color="auto"/>
        <w:right w:val="none" w:sz="0" w:space="0" w:color="auto"/>
      </w:divBdr>
    </w:div>
    <w:div w:id="2122214902">
      <w:bodyDiv w:val="1"/>
      <w:marLeft w:val="0"/>
      <w:marRight w:val="0"/>
      <w:marTop w:val="0"/>
      <w:marBottom w:val="0"/>
      <w:divBdr>
        <w:top w:val="none" w:sz="0" w:space="0" w:color="auto"/>
        <w:left w:val="none" w:sz="0" w:space="0" w:color="auto"/>
        <w:bottom w:val="none" w:sz="0" w:space="0" w:color="auto"/>
        <w:right w:val="none" w:sz="0" w:space="0" w:color="auto"/>
      </w:divBdr>
    </w:div>
    <w:div w:id="2123381854">
      <w:bodyDiv w:val="1"/>
      <w:marLeft w:val="0"/>
      <w:marRight w:val="0"/>
      <w:marTop w:val="0"/>
      <w:marBottom w:val="0"/>
      <w:divBdr>
        <w:top w:val="none" w:sz="0" w:space="0" w:color="auto"/>
        <w:left w:val="none" w:sz="0" w:space="0" w:color="auto"/>
        <w:bottom w:val="none" w:sz="0" w:space="0" w:color="auto"/>
        <w:right w:val="none" w:sz="0" w:space="0" w:color="auto"/>
      </w:divBdr>
    </w:div>
    <w:div w:id="2128426863">
      <w:bodyDiv w:val="1"/>
      <w:marLeft w:val="0"/>
      <w:marRight w:val="0"/>
      <w:marTop w:val="0"/>
      <w:marBottom w:val="0"/>
      <w:divBdr>
        <w:top w:val="none" w:sz="0" w:space="0" w:color="auto"/>
        <w:left w:val="none" w:sz="0" w:space="0" w:color="auto"/>
        <w:bottom w:val="none" w:sz="0" w:space="0" w:color="auto"/>
        <w:right w:val="none" w:sz="0" w:space="0" w:color="auto"/>
      </w:divBdr>
    </w:div>
    <w:div w:id="2128810284">
      <w:bodyDiv w:val="1"/>
      <w:marLeft w:val="0"/>
      <w:marRight w:val="0"/>
      <w:marTop w:val="0"/>
      <w:marBottom w:val="0"/>
      <w:divBdr>
        <w:top w:val="none" w:sz="0" w:space="0" w:color="auto"/>
        <w:left w:val="none" w:sz="0" w:space="0" w:color="auto"/>
        <w:bottom w:val="none" w:sz="0" w:space="0" w:color="auto"/>
        <w:right w:val="none" w:sz="0" w:space="0" w:color="auto"/>
      </w:divBdr>
      <w:divsChild>
        <w:div w:id="141124411">
          <w:marLeft w:val="0"/>
          <w:marRight w:val="0"/>
          <w:marTop w:val="0"/>
          <w:marBottom w:val="0"/>
          <w:divBdr>
            <w:top w:val="none" w:sz="0" w:space="0" w:color="auto"/>
            <w:left w:val="none" w:sz="0" w:space="0" w:color="auto"/>
            <w:bottom w:val="none" w:sz="0" w:space="0" w:color="auto"/>
            <w:right w:val="none" w:sz="0" w:space="0" w:color="auto"/>
          </w:divBdr>
          <w:divsChild>
            <w:div w:id="1666515061">
              <w:marLeft w:val="0"/>
              <w:marRight w:val="0"/>
              <w:marTop w:val="0"/>
              <w:marBottom w:val="0"/>
              <w:divBdr>
                <w:top w:val="none" w:sz="0" w:space="0" w:color="auto"/>
                <w:left w:val="none" w:sz="0" w:space="0" w:color="auto"/>
                <w:bottom w:val="none" w:sz="0" w:space="0" w:color="auto"/>
                <w:right w:val="none" w:sz="0" w:space="0" w:color="auto"/>
              </w:divBdr>
              <w:divsChild>
                <w:div w:id="6731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4485">
      <w:bodyDiv w:val="1"/>
      <w:marLeft w:val="0"/>
      <w:marRight w:val="0"/>
      <w:marTop w:val="0"/>
      <w:marBottom w:val="0"/>
      <w:divBdr>
        <w:top w:val="none" w:sz="0" w:space="0" w:color="auto"/>
        <w:left w:val="none" w:sz="0" w:space="0" w:color="auto"/>
        <w:bottom w:val="none" w:sz="0" w:space="0" w:color="auto"/>
        <w:right w:val="none" w:sz="0" w:space="0" w:color="auto"/>
      </w:divBdr>
    </w:div>
    <w:div w:id="2140107403">
      <w:bodyDiv w:val="1"/>
      <w:marLeft w:val="0"/>
      <w:marRight w:val="0"/>
      <w:marTop w:val="0"/>
      <w:marBottom w:val="0"/>
      <w:divBdr>
        <w:top w:val="none" w:sz="0" w:space="0" w:color="auto"/>
        <w:left w:val="none" w:sz="0" w:space="0" w:color="auto"/>
        <w:bottom w:val="none" w:sz="0" w:space="0" w:color="auto"/>
        <w:right w:val="none" w:sz="0" w:space="0" w:color="auto"/>
      </w:divBdr>
    </w:div>
    <w:div w:id="214037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www.irs.gov/pub/irs-pdf/p3583.pdf" TargetMode="External"/><Relationship Id="rId18" Type="http://schemas.openxmlformats.org/officeDocument/2006/relationships/hyperlink" Target="https://www.justice.gov/media/1160391/dl?inline" TargetMode="External"/><Relationship Id="rId26" Type="http://schemas.openxmlformats.org/officeDocument/2006/relationships/hyperlink" Target="https://www.sec.gov/edgar" TargetMode="External"/><Relationship Id="rId39" Type="http://schemas.openxmlformats.org/officeDocument/2006/relationships/hyperlink" Target="https://www.sec.gov/spotlight/fcpa/fcpa-recordkeeping.pdf" TargetMode="External"/><Relationship Id="rId21" Type="http://schemas.openxmlformats.org/officeDocument/2006/relationships/hyperlink" Target="https://www.aicpa-cima.com/cpe-learning/course/financial-statement-fraud-and-asset-misappropriation" TargetMode="External"/><Relationship Id="rId34" Type="http://schemas.openxmlformats.org/officeDocument/2006/relationships/hyperlink" Target="https://www.federalregister.gov/documents/2023/10/17/2023-22491/public-company-accounting-oversight-board-notice-of-filing-of-proposed-rules-on-the-auditors-use-of" TargetMode="External"/><Relationship Id="rId42" Type="http://schemas.openxmlformats.org/officeDocument/2006/relationships/hyperlink" Target="https://www.justice.gov/sites/default/files/criminal-fraud/legacy/2010/04/11/houseprt-95-640.pdf" TargetMode="External"/><Relationship Id="rId47" Type="http://schemas.openxmlformats.org/officeDocument/2006/relationships/hyperlink" Target="https://www.justice.gov/criminal/criminal-fraud/enforcement-actions" TargetMode="External"/><Relationship Id="rId50" Type="http://schemas.openxmlformats.org/officeDocument/2006/relationships/hyperlink" Target="https://www.law.cornell.edu/uscode/text/18/3512" TargetMode="External"/><Relationship Id="rId7" Type="http://schemas.openxmlformats.org/officeDocument/2006/relationships/hyperlink" Target="http://www.oas.org/en/sla/dlc/mesicic/docs/mesicic6_us_response_annex.pdf" TargetMode="External"/><Relationship Id="rId2" Type="http://schemas.openxmlformats.org/officeDocument/2006/relationships/hyperlink" Target="http://www.oas.org/en/sla/dlc/mesicic/docs/mesicic3_usa_rep.pdf" TargetMode="External"/><Relationship Id="rId16" Type="http://schemas.openxmlformats.org/officeDocument/2006/relationships/hyperlink" Target="https://www.sec.gov/spotlight/fcpa/fcpa-resource-guide.pdf" TargetMode="External"/><Relationship Id="rId29" Type="http://schemas.openxmlformats.org/officeDocument/2006/relationships/hyperlink" Target="https://www.aicpa-cima.com/topic/technology" TargetMode="External"/><Relationship Id="rId11" Type="http://schemas.openxmlformats.org/officeDocument/2006/relationships/hyperlink" Target="https://www.irs.gov/pub/irs-pdf/p5453.pdf" TargetMode="External"/><Relationship Id="rId24" Type="http://schemas.openxmlformats.org/officeDocument/2006/relationships/hyperlink" Target="https://pcaobus.org/news-events/news-releases/news-release-detail/2023-inspections-to-prioritize-audit-risks-related-to-fraud-the-financial-services-sector-crypto" TargetMode="External"/><Relationship Id="rId32" Type="http://schemas.openxmlformats.org/officeDocument/2006/relationships/hyperlink" Target="https://pcaobus.org/oversight/standards/auditing-standards/details/as-2310-the-auditor-s-use-of-confirmation-(effective-for-fye-on-or-after-6-15-2025" TargetMode="External"/><Relationship Id="rId37" Type="http://schemas.openxmlformats.org/officeDocument/2006/relationships/hyperlink" Target="https://www.sec.gov/litigation/litreleases" TargetMode="External"/><Relationship Id="rId40" Type="http://schemas.openxmlformats.org/officeDocument/2006/relationships/hyperlink" Target="https://www.govinfo.gov/content/pkg/PLAW-107publ204/html/PLAW-107publ204.htm" TargetMode="External"/><Relationship Id="rId45" Type="http://schemas.openxmlformats.org/officeDocument/2006/relationships/hyperlink" Target="https://www.justice.gov/criminal-fraud/file/1568606/download" TargetMode="External"/><Relationship Id="rId53" Type="http://schemas.openxmlformats.org/officeDocument/2006/relationships/hyperlink" Target="https://www.justice.gov/criminal/criminal-oia/resources-foreign-authorities" TargetMode="External"/><Relationship Id="rId5" Type="http://schemas.openxmlformats.org/officeDocument/2006/relationships/hyperlink" Target="http://www.oas.org/juridico/english/mesicic_rules.pdf" TargetMode="External"/><Relationship Id="rId10" Type="http://schemas.openxmlformats.org/officeDocument/2006/relationships/hyperlink" Target="https://www.irs.gov/compliance/joint-chiefs-of-global-tax-enforcement" TargetMode="External"/><Relationship Id="rId19" Type="http://schemas.openxmlformats.org/officeDocument/2006/relationships/hyperlink" Target="https://www.aicpa-cima.com/cpe-learning/forensic-services" TargetMode="External"/><Relationship Id="rId31" Type="http://schemas.openxmlformats.org/officeDocument/2006/relationships/hyperlink" Target="https://pcaobus.org/oversight/standards/auditing-standards/details/AS2310" TargetMode="External"/><Relationship Id="rId44" Type="http://schemas.openxmlformats.org/officeDocument/2006/relationships/hyperlink" Target="https://www.justice.gov/criminal/criminal-fraud" TargetMode="External"/><Relationship Id="rId52" Type="http://schemas.openxmlformats.org/officeDocument/2006/relationships/hyperlink" Target="https://www.justice.gov/criminal-oia/file/1498806/download" TargetMode="External"/><Relationship Id="rId4" Type="http://schemas.openxmlformats.org/officeDocument/2006/relationships/hyperlink" Target="http://www.oas.org/juridico/english/met_onsite.pdf" TargetMode="External"/><Relationship Id="rId9" Type="http://schemas.openxmlformats.org/officeDocument/2006/relationships/hyperlink" Target="https://www.irs.gov/irm" TargetMode="External"/><Relationship Id="rId14" Type="http://schemas.openxmlformats.org/officeDocument/2006/relationships/hyperlink" Target="https://assets.pcaobus.org/pcaob-dev/docs/default-source/rulemaking/docket-051/pcaob-release-no.-2023-003---noclar.pdf" TargetMode="External"/><Relationship Id="rId22" Type="http://schemas.openxmlformats.org/officeDocument/2006/relationships/hyperlink" Target="https://www.justice.gov/criminal/criminal-fraud/fcpa-opinions" TargetMode="External"/><Relationship Id="rId27" Type="http://schemas.openxmlformats.org/officeDocument/2006/relationships/hyperlink" Target="https://pcaobus.org/oversight/standards/standard-setting-research-projects/noncompliance-with-laws-regulations" TargetMode="External"/><Relationship Id="rId30" Type="http://schemas.openxmlformats.org/officeDocument/2006/relationships/hyperlink" Target="https://www.aicpa-cima.com/resources/article/guide-to-audit-data-analytics-an-overview" TargetMode="External"/><Relationship Id="rId35" Type="http://schemas.openxmlformats.org/officeDocument/2006/relationships/hyperlink" Target="https://assets.pcaobus.org/pcaob-dev/docs/default-source/rulemaking/docket_028/34-99060.pdf" TargetMode="External"/><Relationship Id="rId43" Type="http://schemas.openxmlformats.org/officeDocument/2006/relationships/hyperlink" Target="http://www.oas.org/en/sla/dlc/mesicic/documentos.html" TargetMode="External"/><Relationship Id="rId48" Type="http://schemas.openxmlformats.org/officeDocument/2006/relationships/hyperlink" Target="https://www2.oecd.org/daf/anti-bribery/United-States-Phase-4-Report-ENG.pdf" TargetMode="External"/><Relationship Id="rId8" Type="http://schemas.openxmlformats.org/officeDocument/2006/relationships/hyperlink" Target="https://www.law.cornell.edu/uscode/text/26/subtitle-A/chapter-1/subchapter-B/part-VI" TargetMode="External"/><Relationship Id="rId51" Type="http://schemas.openxmlformats.org/officeDocument/2006/relationships/hyperlink" Target="https://www.justice.gov/criminal-oia/file/1498811/download" TargetMode="External"/><Relationship Id="rId3" Type="http://schemas.openxmlformats.org/officeDocument/2006/relationships/hyperlink" Target="http://www.oas.org/en/sla/dlc/mesicic/paises-rondas.html?c=United%20States&amp;r=6" TargetMode="External"/><Relationship Id="rId12" Type="http://schemas.openxmlformats.org/officeDocument/2006/relationships/hyperlink" Target="https://www.irs.gov/about-irs/modernizing-tax-processing-systems" TargetMode="External"/><Relationship Id="rId17" Type="http://schemas.openxmlformats.org/officeDocument/2006/relationships/hyperlink" Target="https://www.justice.gov/media/1283651/dl?inline" TargetMode="External"/><Relationship Id="rId25" Type="http://schemas.openxmlformats.org/officeDocument/2006/relationships/hyperlink" Target="https://us.aicpa.org/research/standards/peerreview/peer-review-summary" TargetMode="External"/><Relationship Id="rId33" Type="http://schemas.openxmlformats.org/officeDocument/2006/relationships/hyperlink" Target="https://us.aicpa.org/content/dam/aicpa/research/standards/auditattest/downloadabledocuments/au-c-00330.pdf" TargetMode="External"/><Relationship Id="rId38" Type="http://schemas.openxmlformats.org/officeDocument/2006/relationships/hyperlink" Target="http://www.oas.org/en/sla/dlc/mesicic/paises-rondas.html?c=United%20States&amp;r=6" TargetMode="External"/><Relationship Id="rId46" Type="http://schemas.openxmlformats.org/officeDocument/2006/relationships/hyperlink" Target="https://www.justice.gov/criminal/criminal-fraud/foreign-corrupt-practices-act" TargetMode="External"/><Relationship Id="rId20" Type="http://schemas.openxmlformats.org/officeDocument/2006/relationships/hyperlink" Target="https://www.aicpa-cima.com/cpe-learning/course/financial-statement-fraud-corruption-and-asset-misappropriation-part-1-and-part-2" TargetMode="External"/><Relationship Id="rId41" Type="http://schemas.openxmlformats.org/officeDocument/2006/relationships/hyperlink" Target="https://ustr.gov/trade-agreements/free-trade-agreements/united-states-mexico-canada-agreement/agreement-between" TargetMode="External"/><Relationship Id="rId54" Type="http://schemas.openxmlformats.org/officeDocument/2006/relationships/hyperlink" Target="http://www.oas.org/juridico/english/Sigs/a-55.html" TargetMode="External"/><Relationship Id="rId1" Type="http://schemas.openxmlformats.org/officeDocument/2006/relationships/hyperlink" Target="http://www.oas.org/en/sla/dlc/mesicic/docs/34reunion_acta_ing.pdf" TargetMode="External"/><Relationship Id="rId6" Type="http://schemas.openxmlformats.org/officeDocument/2006/relationships/hyperlink" Target="https://www.oas.org/en/sla/dlc/mesicic/docs/mesicic6_metodologia_ing.pdf" TargetMode="External"/><Relationship Id="rId15" Type="http://schemas.openxmlformats.org/officeDocument/2006/relationships/hyperlink" Target="https://us.aicpa.org/content/dam/aicpa/research/standards/codeofconduct/downloadabledocuments/2014december15contentasof2016august31codeofconduct.pdf" TargetMode="External"/><Relationship Id="rId23" Type="http://schemas.openxmlformats.org/officeDocument/2006/relationships/hyperlink" Target="https://www.sec.gov/enforcement/foreign-corrupt-practices-act" TargetMode="External"/><Relationship Id="rId28" Type="http://schemas.openxmlformats.org/officeDocument/2006/relationships/hyperlink" Target="http://www.oas.org/en/sla/dlc/mesicic/paises-rondas.html?c=United%20States&amp;r=6" TargetMode="External"/><Relationship Id="rId36" Type="http://schemas.openxmlformats.org/officeDocument/2006/relationships/hyperlink" Target="https://www.sec.gov/enforce/sec-enforcement-actions-fcpa-cases" TargetMode="External"/><Relationship Id="rId49" Type="http://schemas.openxmlformats.org/officeDocument/2006/relationships/hyperlink" Target="https://www.law.cornell.edu/uscode/text/12/chapter-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0E92-0CA0-4D39-95E6-DAA205EB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47</Pages>
  <Words>18708</Words>
  <Characters>106642</Characters>
  <Application>Microsoft Office Word</Application>
  <DocSecurity>0</DocSecurity>
  <Lines>888</Lines>
  <Paragraphs>250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125100</CharactersWithSpaces>
  <SharedDoc>false</SharedDoc>
  <HLinks>
    <vt:vector size="1014" baseType="variant">
      <vt:variant>
        <vt:i4>2555975</vt:i4>
      </vt:variant>
      <vt:variant>
        <vt:i4>504</vt:i4>
      </vt:variant>
      <vt:variant>
        <vt:i4>0</vt:i4>
      </vt:variant>
      <vt:variant>
        <vt:i4>5</vt:i4>
      </vt:variant>
      <vt:variant>
        <vt:lpwstr>http://www.oas.org/es/sla/dlc/mesicic/docs/mesicic6_slv_res_cuest.pdf</vt:lpwstr>
      </vt:variant>
      <vt:variant>
        <vt:lpwstr/>
      </vt:variant>
      <vt:variant>
        <vt:i4>3014765</vt:i4>
      </vt:variant>
      <vt:variant>
        <vt:i4>501</vt:i4>
      </vt:variant>
      <vt:variant>
        <vt:i4>0</vt:i4>
      </vt:variant>
      <vt:variant>
        <vt:i4>5</vt:i4>
      </vt:variant>
      <vt:variant>
        <vt:lpwstr>http://www.oas.org/es/sla/dlc/mesicic/docs/mesicic6_slv_a58.pdf</vt:lpwstr>
      </vt:variant>
      <vt:variant>
        <vt:lpwstr/>
      </vt:variant>
      <vt:variant>
        <vt:i4>5111901</vt:i4>
      </vt:variant>
      <vt:variant>
        <vt:i4>498</vt:i4>
      </vt:variant>
      <vt:variant>
        <vt:i4>0</vt:i4>
      </vt:variant>
      <vt:variant>
        <vt:i4>5</vt:i4>
      </vt:variant>
      <vt:variant>
        <vt:lpwstr>http://www.oas.org/es/sla/dlc/mesicic/docs/mesicic6_slv_a128.pdf</vt:lpwstr>
      </vt:variant>
      <vt:variant>
        <vt:lpwstr/>
      </vt:variant>
      <vt:variant>
        <vt:i4>2949220</vt:i4>
      </vt:variant>
      <vt:variant>
        <vt:i4>495</vt:i4>
      </vt:variant>
      <vt:variant>
        <vt:i4>0</vt:i4>
      </vt:variant>
      <vt:variant>
        <vt:i4>5</vt:i4>
      </vt:variant>
      <vt:variant>
        <vt:lpwstr>http://www.oas.org/es/sla/dlc/mesicic/docs/mesicic6_slv_a61.pdf</vt:lpwstr>
      </vt:variant>
      <vt:variant>
        <vt:lpwstr/>
      </vt:variant>
      <vt:variant>
        <vt:i4>3014764</vt:i4>
      </vt:variant>
      <vt:variant>
        <vt:i4>492</vt:i4>
      </vt:variant>
      <vt:variant>
        <vt:i4>0</vt:i4>
      </vt:variant>
      <vt:variant>
        <vt:i4>5</vt:i4>
      </vt:variant>
      <vt:variant>
        <vt:lpwstr>http://www.oas.org/es/sla/dlc/mesicic/docs/mesicic6_slv_a59.pdf</vt:lpwstr>
      </vt:variant>
      <vt:variant>
        <vt:lpwstr/>
      </vt:variant>
      <vt:variant>
        <vt:i4>3014764</vt:i4>
      </vt:variant>
      <vt:variant>
        <vt:i4>489</vt:i4>
      </vt:variant>
      <vt:variant>
        <vt:i4>0</vt:i4>
      </vt:variant>
      <vt:variant>
        <vt:i4>5</vt:i4>
      </vt:variant>
      <vt:variant>
        <vt:lpwstr>http://www.oas.org/es/sla/dlc/mesicic/docs/mesicic6_slv_a59.pdf</vt:lpwstr>
      </vt:variant>
      <vt:variant>
        <vt:lpwstr/>
      </vt:variant>
      <vt:variant>
        <vt:i4>3014764</vt:i4>
      </vt:variant>
      <vt:variant>
        <vt:i4>486</vt:i4>
      </vt:variant>
      <vt:variant>
        <vt:i4>0</vt:i4>
      </vt:variant>
      <vt:variant>
        <vt:i4>5</vt:i4>
      </vt:variant>
      <vt:variant>
        <vt:lpwstr>http://www.oas.org/es/sla/dlc/mesicic/docs/mesicic6_slv_a59.pdf</vt:lpwstr>
      </vt:variant>
      <vt:variant>
        <vt:lpwstr/>
      </vt:variant>
      <vt:variant>
        <vt:i4>3014765</vt:i4>
      </vt:variant>
      <vt:variant>
        <vt:i4>483</vt:i4>
      </vt:variant>
      <vt:variant>
        <vt:i4>0</vt:i4>
      </vt:variant>
      <vt:variant>
        <vt:i4>5</vt:i4>
      </vt:variant>
      <vt:variant>
        <vt:lpwstr>http://www.oas.org/es/sla/dlc/mesicic/docs/mesicic6_slv_a58.pdf</vt:lpwstr>
      </vt:variant>
      <vt:variant>
        <vt:lpwstr/>
      </vt:variant>
      <vt:variant>
        <vt:i4>4325470</vt:i4>
      </vt:variant>
      <vt:variant>
        <vt:i4>480</vt:i4>
      </vt:variant>
      <vt:variant>
        <vt:i4>0</vt:i4>
      </vt:variant>
      <vt:variant>
        <vt:i4>5</vt:i4>
      </vt:variant>
      <vt:variant>
        <vt:lpwstr>http://www.oas.org/es/sla/dlc/mesicic/docs/mesicic6_slv_a114.pdf</vt:lpwstr>
      </vt:variant>
      <vt:variant>
        <vt:lpwstr/>
      </vt:variant>
      <vt:variant>
        <vt:i4>5177439</vt:i4>
      </vt:variant>
      <vt:variant>
        <vt:i4>477</vt:i4>
      </vt:variant>
      <vt:variant>
        <vt:i4>0</vt:i4>
      </vt:variant>
      <vt:variant>
        <vt:i4>5</vt:i4>
      </vt:variant>
      <vt:variant>
        <vt:lpwstr>http://www.oas.org/es/sla/dlc/mesicic/docs/mesicic6_slv_a109.pdf</vt:lpwstr>
      </vt:variant>
      <vt:variant>
        <vt:lpwstr/>
      </vt:variant>
      <vt:variant>
        <vt:i4>5177439</vt:i4>
      </vt:variant>
      <vt:variant>
        <vt:i4>474</vt:i4>
      </vt:variant>
      <vt:variant>
        <vt:i4>0</vt:i4>
      </vt:variant>
      <vt:variant>
        <vt:i4>5</vt:i4>
      </vt:variant>
      <vt:variant>
        <vt:lpwstr>http://www.oas.org/es/sla/dlc/mesicic/docs/mesicic6_slv_a109.pdf</vt:lpwstr>
      </vt:variant>
      <vt:variant>
        <vt:lpwstr/>
      </vt:variant>
      <vt:variant>
        <vt:i4>4587614</vt:i4>
      </vt:variant>
      <vt:variant>
        <vt:i4>471</vt:i4>
      </vt:variant>
      <vt:variant>
        <vt:i4>0</vt:i4>
      </vt:variant>
      <vt:variant>
        <vt:i4>5</vt:i4>
      </vt:variant>
      <vt:variant>
        <vt:lpwstr>http://www.oas.org/es/sla/dlc/mesicic/docs/mesicic6_slv_a110.pdf</vt:lpwstr>
      </vt:variant>
      <vt:variant>
        <vt:lpwstr/>
      </vt:variant>
      <vt:variant>
        <vt:i4>4587614</vt:i4>
      </vt:variant>
      <vt:variant>
        <vt:i4>468</vt:i4>
      </vt:variant>
      <vt:variant>
        <vt:i4>0</vt:i4>
      </vt:variant>
      <vt:variant>
        <vt:i4>5</vt:i4>
      </vt:variant>
      <vt:variant>
        <vt:lpwstr>http://www.oas.org/es/sla/dlc/mesicic/docs/mesicic6_slv_a110.pdf</vt:lpwstr>
      </vt:variant>
      <vt:variant>
        <vt:lpwstr/>
      </vt:variant>
      <vt:variant>
        <vt:i4>4587614</vt:i4>
      </vt:variant>
      <vt:variant>
        <vt:i4>465</vt:i4>
      </vt:variant>
      <vt:variant>
        <vt:i4>0</vt:i4>
      </vt:variant>
      <vt:variant>
        <vt:i4>5</vt:i4>
      </vt:variant>
      <vt:variant>
        <vt:lpwstr>http://www.oas.org/es/sla/dlc/mesicic/docs/mesicic6_slv_a110.pdf</vt:lpwstr>
      </vt:variant>
      <vt:variant>
        <vt:lpwstr/>
      </vt:variant>
      <vt:variant>
        <vt:i4>2687084</vt:i4>
      </vt:variant>
      <vt:variant>
        <vt:i4>462</vt:i4>
      </vt:variant>
      <vt:variant>
        <vt:i4>0</vt:i4>
      </vt:variant>
      <vt:variant>
        <vt:i4>5</vt:i4>
      </vt:variant>
      <vt:variant>
        <vt:lpwstr>http://www.oas.org/es/sla/dlc/mesicic/docs/mesicic6_slv_a29.pdf</vt:lpwstr>
      </vt:variant>
      <vt:variant>
        <vt:lpwstr/>
      </vt:variant>
      <vt:variant>
        <vt:i4>4391007</vt:i4>
      </vt:variant>
      <vt:variant>
        <vt:i4>459</vt:i4>
      </vt:variant>
      <vt:variant>
        <vt:i4>0</vt:i4>
      </vt:variant>
      <vt:variant>
        <vt:i4>5</vt:i4>
      </vt:variant>
      <vt:variant>
        <vt:lpwstr>http://www.oas.org/es/sla/dlc/mesicic/docs/mesicic6_slv_a105.pdf</vt:lpwstr>
      </vt:variant>
      <vt:variant>
        <vt:lpwstr/>
      </vt:variant>
      <vt:variant>
        <vt:i4>2555975</vt:i4>
      </vt:variant>
      <vt:variant>
        <vt:i4>456</vt:i4>
      </vt:variant>
      <vt:variant>
        <vt:i4>0</vt:i4>
      </vt:variant>
      <vt:variant>
        <vt:i4>5</vt:i4>
      </vt:variant>
      <vt:variant>
        <vt:lpwstr>http://www.oas.org/es/sla/dlc/mesicic/docs/mesicic6_slv_res_cuest.pdf</vt:lpwstr>
      </vt:variant>
      <vt:variant>
        <vt:lpwstr/>
      </vt:variant>
      <vt:variant>
        <vt:i4>2949222</vt:i4>
      </vt:variant>
      <vt:variant>
        <vt:i4>453</vt:i4>
      </vt:variant>
      <vt:variant>
        <vt:i4>0</vt:i4>
      </vt:variant>
      <vt:variant>
        <vt:i4>5</vt:i4>
      </vt:variant>
      <vt:variant>
        <vt:lpwstr>http://www.oas.org/es/sla/dlc/mesicic/docs/mesicic6_slv_a63.pdf</vt:lpwstr>
      </vt:variant>
      <vt:variant>
        <vt:lpwstr/>
      </vt:variant>
      <vt:variant>
        <vt:i4>2949223</vt:i4>
      </vt:variant>
      <vt:variant>
        <vt:i4>450</vt:i4>
      </vt:variant>
      <vt:variant>
        <vt:i4>0</vt:i4>
      </vt:variant>
      <vt:variant>
        <vt:i4>5</vt:i4>
      </vt:variant>
      <vt:variant>
        <vt:lpwstr>http://www.oas.org/es/sla/dlc/mesicic/docs/mesicic6_slv_a62.pdf</vt:lpwstr>
      </vt:variant>
      <vt:variant>
        <vt:lpwstr/>
      </vt:variant>
      <vt:variant>
        <vt:i4>4391007</vt:i4>
      </vt:variant>
      <vt:variant>
        <vt:i4>447</vt:i4>
      </vt:variant>
      <vt:variant>
        <vt:i4>0</vt:i4>
      </vt:variant>
      <vt:variant>
        <vt:i4>5</vt:i4>
      </vt:variant>
      <vt:variant>
        <vt:lpwstr>http://www.oas.org/es/sla/dlc/mesicic/docs/mesicic6_slv_a105.pdf</vt:lpwstr>
      </vt:variant>
      <vt:variant>
        <vt:lpwstr/>
      </vt:variant>
      <vt:variant>
        <vt:i4>2555975</vt:i4>
      </vt:variant>
      <vt:variant>
        <vt:i4>444</vt:i4>
      </vt:variant>
      <vt:variant>
        <vt:i4>0</vt:i4>
      </vt:variant>
      <vt:variant>
        <vt:i4>5</vt:i4>
      </vt:variant>
      <vt:variant>
        <vt:lpwstr>http://www.oas.org/es/sla/dlc/mesicic/docs/mesicic6_slv_res_cuest.pdf</vt:lpwstr>
      </vt:variant>
      <vt:variant>
        <vt:lpwstr/>
      </vt:variant>
      <vt:variant>
        <vt:i4>4325425</vt:i4>
      </vt:variant>
      <vt:variant>
        <vt:i4>441</vt:i4>
      </vt:variant>
      <vt:variant>
        <vt:i4>0</vt:i4>
      </vt:variant>
      <vt:variant>
        <vt:i4>5</vt:i4>
      </vt:variant>
      <vt:variant>
        <vt:lpwstr>http://www.oas.org/es/sla/dlc/mesicic/docs/mesicic6_slv_soc_civ.pdf</vt:lpwstr>
      </vt:variant>
      <vt:variant>
        <vt:lpwstr/>
      </vt:variant>
      <vt:variant>
        <vt:i4>4391007</vt:i4>
      </vt:variant>
      <vt:variant>
        <vt:i4>438</vt:i4>
      </vt:variant>
      <vt:variant>
        <vt:i4>0</vt:i4>
      </vt:variant>
      <vt:variant>
        <vt:i4>5</vt:i4>
      </vt:variant>
      <vt:variant>
        <vt:lpwstr>http://www.oas.org/es/sla/dlc/mesicic/docs/mesicic6_slv_a105.pdf</vt:lpwstr>
      </vt:variant>
      <vt:variant>
        <vt:lpwstr/>
      </vt:variant>
      <vt:variant>
        <vt:i4>4391007</vt:i4>
      </vt:variant>
      <vt:variant>
        <vt:i4>435</vt:i4>
      </vt:variant>
      <vt:variant>
        <vt:i4>0</vt:i4>
      </vt:variant>
      <vt:variant>
        <vt:i4>5</vt:i4>
      </vt:variant>
      <vt:variant>
        <vt:lpwstr>http://www.oas.org/es/sla/dlc/mesicic/docs/mesicic6_slv_a105.pdf</vt:lpwstr>
      </vt:variant>
      <vt:variant>
        <vt:lpwstr/>
      </vt:variant>
      <vt:variant>
        <vt:i4>2555975</vt:i4>
      </vt:variant>
      <vt:variant>
        <vt:i4>432</vt:i4>
      </vt:variant>
      <vt:variant>
        <vt:i4>0</vt:i4>
      </vt:variant>
      <vt:variant>
        <vt:i4>5</vt:i4>
      </vt:variant>
      <vt:variant>
        <vt:lpwstr>http://www.oas.org/es/sla/dlc/mesicic/docs/mesicic6_slv_res_cuest.pdf</vt:lpwstr>
      </vt:variant>
      <vt:variant>
        <vt:lpwstr/>
      </vt:variant>
      <vt:variant>
        <vt:i4>4391007</vt:i4>
      </vt:variant>
      <vt:variant>
        <vt:i4>429</vt:i4>
      </vt:variant>
      <vt:variant>
        <vt:i4>0</vt:i4>
      </vt:variant>
      <vt:variant>
        <vt:i4>5</vt:i4>
      </vt:variant>
      <vt:variant>
        <vt:lpwstr>http://www.oas.org/es/sla/dlc/mesicic/docs/mesicic6_slv_a105.pdf</vt:lpwstr>
      </vt:variant>
      <vt:variant>
        <vt:lpwstr/>
      </vt:variant>
      <vt:variant>
        <vt:i4>4391007</vt:i4>
      </vt:variant>
      <vt:variant>
        <vt:i4>426</vt:i4>
      </vt:variant>
      <vt:variant>
        <vt:i4>0</vt:i4>
      </vt:variant>
      <vt:variant>
        <vt:i4>5</vt:i4>
      </vt:variant>
      <vt:variant>
        <vt:lpwstr>http://www.oas.org/es/sla/dlc/mesicic/docs/mesicic6_slv_a105.pdf</vt:lpwstr>
      </vt:variant>
      <vt:variant>
        <vt:lpwstr/>
      </vt:variant>
      <vt:variant>
        <vt:i4>2555975</vt:i4>
      </vt:variant>
      <vt:variant>
        <vt:i4>423</vt:i4>
      </vt:variant>
      <vt:variant>
        <vt:i4>0</vt:i4>
      </vt:variant>
      <vt:variant>
        <vt:i4>5</vt:i4>
      </vt:variant>
      <vt:variant>
        <vt:lpwstr>http://www.oas.org/es/sla/dlc/mesicic/docs/mesicic6_slv_res_cuest.pdf</vt:lpwstr>
      </vt:variant>
      <vt:variant>
        <vt:lpwstr/>
      </vt:variant>
      <vt:variant>
        <vt:i4>1179674</vt:i4>
      </vt:variant>
      <vt:variant>
        <vt:i4>420</vt:i4>
      </vt:variant>
      <vt:variant>
        <vt:i4>0</vt:i4>
      </vt:variant>
      <vt:variant>
        <vt:i4>5</vt:i4>
      </vt:variant>
      <vt:variant>
        <vt:lpwstr>http://www.oas.org/juridico/PDFs/mesicic4_slv_en.pdf</vt:lpwstr>
      </vt:variant>
      <vt:variant>
        <vt:lpwstr/>
      </vt:variant>
      <vt:variant>
        <vt:i4>4391007</vt:i4>
      </vt:variant>
      <vt:variant>
        <vt:i4>417</vt:i4>
      </vt:variant>
      <vt:variant>
        <vt:i4>0</vt:i4>
      </vt:variant>
      <vt:variant>
        <vt:i4>5</vt:i4>
      </vt:variant>
      <vt:variant>
        <vt:lpwstr>http://www.oas.org/es/sla/dlc/mesicic/docs/mesicic6_slv_a105.pdf</vt:lpwstr>
      </vt:variant>
      <vt:variant>
        <vt:lpwstr/>
      </vt:variant>
      <vt:variant>
        <vt:i4>4391007</vt:i4>
      </vt:variant>
      <vt:variant>
        <vt:i4>414</vt:i4>
      </vt:variant>
      <vt:variant>
        <vt:i4>0</vt:i4>
      </vt:variant>
      <vt:variant>
        <vt:i4>5</vt:i4>
      </vt:variant>
      <vt:variant>
        <vt:lpwstr>http://www.oas.org/es/sla/dlc/mesicic/docs/mesicic6_slv_a105.pdf</vt:lpwstr>
      </vt:variant>
      <vt:variant>
        <vt:lpwstr/>
      </vt:variant>
      <vt:variant>
        <vt:i4>4391007</vt:i4>
      </vt:variant>
      <vt:variant>
        <vt:i4>411</vt:i4>
      </vt:variant>
      <vt:variant>
        <vt:i4>0</vt:i4>
      </vt:variant>
      <vt:variant>
        <vt:i4>5</vt:i4>
      </vt:variant>
      <vt:variant>
        <vt:lpwstr>http://www.oas.org/es/sla/dlc/mesicic/docs/mesicic6_slv_a105.pdf</vt:lpwstr>
      </vt:variant>
      <vt:variant>
        <vt:lpwstr/>
      </vt:variant>
      <vt:variant>
        <vt:i4>2555975</vt:i4>
      </vt:variant>
      <vt:variant>
        <vt:i4>408</vt:i4>
      </vt:variant>
      <vt:variant>
        <vt:i4>0</vt:i4>
      </vt:variant>
      <vt:variant>
        <vt:i4>5</vt:i4>
      </vt:variant>
      <vt:variant>
        <vt:lpwstr>http://www.oas.org/es/sla/dlc/mesicic/docs/mesicic6_slv_res_cuest.pdf</vt:lpwstr>
      </vt:variant>
      <vt:variant>
        <vt:lpwstr/>
      </vt:variant>
      <vt:variant>
        <vt:i4>2555975</vt:i4>
      </vt:variant>
      <vt:variant>
        <vt:i4>405</vt:i4>
      </vt:variant>
      <vt:variant>
        <vt:i4>0</vt:i4>
      </vt:variant>
      <vt:variant>
        <vt:i4>5</vt:i4>
      </vt:variant>
      <vt:variant>
        <vt:lpwstr>http://www.oas.org/es/sla/dlc/mesicic/docs/mesicic6_slv_res_cuest.pdf</vt:lpwstr>
      </vt:variant>
      <vt:variant>
        <vt:lpwstr/>
      </vt:variant>
      <vt:variant>
        <vt:i4>6750266</vt:i4>
      </vt:variant>
      <vt:variant>
        <vt:i4>402</vt:i4>
      </vt:variant>
      <vt:variant>
        <vt:i4>0</vt:i4>
      </vt:variant>
      <vt:variant>
        <vt:i4>5</vt:i4>
      </vt:variant>
      <vt:variant>
        <vt:lpwstr>https://www.oas.org/es/sla/dlc/mesicic/docs/mesicic4_slv_sp.pdf</vt:lpwstr>
      </vt:variant>
      <vt:variant>
        <vt:lpwstr/>
      </vt:variant>
      <vt:variant>
        <vt:i4>7536751</vt:i4>
      </vt:variant>
      <vt:variant>
        <vt:i4>399</vt:i4>
      </vt:variant>
      <vt:variant>
        <vt:i4>0</vt:i4>
      </vt:variant>
      <vt:variant>
        <vt:i4>5</vt:i4>
      </vt:variant>
      <vt:variant>
        <vt:lpwstr>http://www.oas.org/es/sla/dlc/mesicic/docs/mesicic6_slv_a4.pdf</vt:lpwstr>
      </vt:variant>
      <vt:variant>
        <vt:lpwstr/>
      </vt:variant>
      <vt:variant>
        <vt:i4>7536751</vt:i4>
      </vt:variant>
      <vt:variant>
        <vt:i4>396</vt:i4>
      </vt:variant>
      <vt:variant>
        <vt:i4>0</vt:i4>
      </vt:variant>
      <vt:variant>
        <vt:i4>5</vt:i4>
      </vt:variant>
      <vt:variant>
        <vt:lpwstr>http://www.oas.org/es/sla/dlc/mesicic/docs/mesicic6_slv_a4.pdf</vt:lpwstr>
      </vt:variant>
      <vt:variant>
        <vt:lpwstr/>
      </vt:variant>
      <vt:variant>
        <vt:i4>7536751</vt:i4>
      </vt:variant>
      <vt:variant>
        <vt:i4>393</vt:i4>
      </vt:variant>
      <vt:variant>
        <vt:i4>0</vt:i4>
      </vt:variant>
      <vt:variant>
        <vt:i4>5</vt:i4>
      </vt:variant>
      <vt:variant>
        <vt:lpwstr>http://www.oas.org/es/sla/dlc/mesicic/docs/mesicic6_slv_a4.pdf</vt:lpwstr>
      </vt:variant>
      <vt:variant>
        <vt:lpwstr/>
      </vt:variant>
      <vt:variant>
        <vt:i4>2555975</vt:i4>
      </vt:variant>
      <vt:variant>
        <vt:i4>390</vt:i4>
      </vt:variant>
      <vt:variant>
        <vt:i4>0</vt:i4>
      </vt:variant>
      <vt:variant>
        <vt:i4>5</vt:i4>
      </vt:variant>
      <vt:variant>
        <vt:lpwstr>http://www.oas.org/es/sla/dlc/mesicic/docs/mesicic6_slv_res_cuest.pdf</vt:lpwstr>
      </vt:variant>
      <vt:variant>
        <vt:lpwstr/>
      </vt:variant>
      <vt:variant>
        <vt:i4>4325425</vt:i4>
      </vt:variant>
      <vt:variant>
        <vt:i4>387</vt:i4>
      </vt:variant>
      <vt:variant>
        <vt:i4>0</vt:i4>
      </vt:variant>
      <vt:variant>
        <vt:i4>5</vt:i4>
      </vt:variant>
      <vt:variant>
        <vt:lpwstr>http://www.oas.org/es/sla/dlc/mesicic/docs/mesicic6_slv_soc_civ.pdf</vt:lpwstr>
      </vt:variant>
      <vt:variant>
        <vt:lpwstr/>
      </vt:variant>
      <vt:variant>
        <vt:i4>4194396</vt:i4>
      </vt:variant>
      <vt:variant>
        <vt:i4>384</vt:i4>
      </vt:variant>
      <vt:variant>
        <vt:i4>0</vt:i4>
      </vt:variant>
      <vt:variant>
        <vt:i4>5</vt:i4>
      </vt:variant>
      <vt:variant>
        <vt:lpwstr>http://www.oas.org/es/sla/dlc/mesicic/docs/mesicic6_slv_a136.pdf</vt:lpwstr>
      </vt:variant>
      <vt:variant>
        <vt:lpwstr/>
      </vt:variant>
      <vt:variant>
        <vt:i4>4194396</vt:i4>
      </vt:variant>
      <vt:variant>
        <vt:i4>381</vt:i4>
      </vt:variant>
      <vt:variant>
        <vt:i4>0</vt:i4>
      </vt:variant>
      <vt:variant>
        <vt:i4>5</vt:i4>
      </vt:variant>
      <vt:variant>
        <vt:lpwstr>http://www.oas.org/es/sla/dlc/mesicic/docs/mesicic6_slv_a136.pdf</vt:lpwstr>
      </vt:variant>
      <vt:variant>
        <vt:lpwstr/>
      </vt:variant>
      <vt:variant>
        <vt:i4>4653148</vt:i4>
      </vt:variant>
      <vt:variant>
        <vt:i4>378</vt:i4>
      </vt:variant>
      <vt:variant>
        <vt:i4>0</vt:i4>
      </vt:variant>
      <vt:variant>
        <vt:i4>5</vt:i4>
      </vt:variant>
      <vt:variant>
        <vt:lpwstr>http://www.oas.org/es/sla/dlc/mesicic/docs/mesicic6_slv_a131.pdf</vt:lpwstr>
      </vt:variant>
      <vt:variant>
        <vt:lpwstr/>
      </vt:variant>
      <vt:variant>
        <vt:i4>4194396</vt:i4>
      </vt:variant>
      <vt:variant>
        <vt:i4>375</vt:i4>
      </vt:variant>
      <vt:variant>
        <vt:i4>0</vt:i4>
      </vt:variant>
      <vt:variant>
        <vt:i4>5</vt:i4>
      </vt:variant>
      <vt:variant>
        <vt:lpwstr>http://www.oas.org/es/sla/dlc/mesicic/docs/mesicic6_slv_a136.pdf</vt:lpwstr>
      </vt:variant>
      <vt:variant>
        <vt:lpwstr/>
      </vt:variant>
      <vt:variant>
        <vt:i4>4194396</vt:i4>
      </vt:variant>
      <vt:variant>
        <vt:i4>372</vt:i4>
      </vt:variant>
      <vt:variant>
        <vt:i4>0</vt:i4>
      </vt:variant>
      <vt:variant>
        <vt:i4>5</vt:i4>
      </vt:variant>
      <vt:variant>
        <vt:lpwstr>http://www.oas.org/es/sla/dlc/mesicic/docs/mesicic6_slv_a136.pdf</vt:lpwstr>
      </vt:variant>
      <vt:variant>
        <vt:lpwstr/>
      </vt:variant>
      <vt:variant>
        <vt:i4>2752613</vt:i4>
      </vt:variant>
      <vt:variant>
        <vt:i4>369</vt:i4>
      </vt:variant>
      <vt:variant>
        <vt:i4>0</vt:i4>
      </vt:variant>
      <vt:variant>
        <vt:i4>5</vt:i4>
      </vt:variant>
      <vt:variant>
        <vt:lpwstr>http://www.oas.org/es/sla/dlc/mesicic/docs/mesicic6_slv_a10.pdf</vt:lpwstr>
      </vt:variant>
      <vt:variant>
        <vt:lpwstr/>
      </vt:variant>
      <vt:variant>
        <vt:i4>2752613</vt:i4>
      </vt:variant>
      <vt:variant>
        <vt:i4>366</vt:i4>
      </vt:variant>
      <vt:variant>
        <vt:i4>0</vt:i4>
      </vt:variant>
      <vt:variant>
        <vt:i4>5</vt:i4>
      </vt:variant>
      <vt:variant>
        <vt:lpwstr>http://www.oas.org/es/sla/dlc/mesicic/docs/mesicic6_slv_a10.pdf</vt:lpwstr>
      </vt:variant>
      <vt:variant>
        <vt:lpwstr/>
      </vt:variant>
      <vt:variant>
        <vt:i4>4194396</vt:i4>
      </vt:variant>
      <vt:variant>
        <vt:i4>363</vt:i4>
      </vt:variant>
      <vt:variant>
        <vt:i4>0</vt:i4>
      </vt:variant>
      <vt:variant>
        <vt:i4>5</vt:i4>
      </vt:variant>
      <vt:variant>
        <vt:lpwstr>http://www.oas.org/es/sla/dlc/mesicic/docs/mesicic6_slv_a136.pdf</vt:lpwstr>
      </vt:variant>
      <vt:variant>
        <vt:lpwstr/>
      </vt:variant>
      <vt:variant>
        <vt:i4>4325468</vt:i4>
      </vt:variant>
      <vt:variant>
        <vt:i4>360</vt:i4>
      </vt:variant>
      <vt:variant>
        <vt:i4>0</vt:i4>
      </vt:variant>
      <vt:variant>
        <vt:i4>5</vt:i4>
      </vt:variant>
      <vt:variant>
        <vt:lpwstr>http://www.oas.org/es/sla/dlc/mesicic/docs/mesicic6_slv_a134.pdf</vt:lpwstr>
      </vt:variant>
      <vt:variant>
        <vt:lpwstr/>
      </vt:variant>
      <vt:variant>
        <vt:i4>4391004</vt:i4>
      </vt:variant>
      <vt:variant>
        <vt:i4>357</vt:i4>
      </vt:variant>
      <vt:variant>
        <vt:i4>0</vt:i4>
      </vt:variant>
      <vt:variant>
        <vt:i4>5</vt:i4>
      </vt:variant>
      <vt:variant>
        <vt:lpwstr>http://www.oas.org/es/sla/dlc/mesicic/docs/mesicic6_slv_a135.pdf</vt:lpwstr>
      </vt:variant>
      <vt:variant>
        <vt:lpwstr/>
      </vt:variant>
      <vt:variant>
        <vt:i4>4653148</vt:i4>
      </vt:variant>
      <vt:variant>
        <vt:i4>354</vt:i4>
      </vt:variant>
      <vt:variant>
        <vt:i4>0</vt:i4>
      </vt:variant>
      <vt:variant>
        <vt:i4>5</vt:i4>
      </vt:variant>
      <vt:variant>
        <vt:lpwstr>http://www.oas.org/es/sla/dlc/mesicic/docs/mesicic6_slv_a131.pdf</vt:lpwstr>
      </vt:variant>
      <vt:variant>
        <vt:lpwstr/>
      </vt:variant>
      <vt:variant>
        <vt:i4>7536751</vt:i4>
      </vt:variant>
      <vt:variant>
        <vt:i4>351</vt:i4>
      </vt:variant>
      <vt:variant>
        <vt:i4>0</vt:i4>
      </vt:variant>
      <vt:variant>
        <vt:i4>5</vt:i4>
      </vt:variant>
      <vt:variant>
        <vt:lpwstr>http://www.oas.org/es/sla/dlc/mesicic/docs/mesicic6_slv_a4.pdf</vt:lpwstr>
      </vt:variant>
      <vt:variant>
        <vt:lpwstr/>
      </vt:variant>
      <vt:variant>
        <vt:i4>7536751</vt:i4>
      </vt:variant>
      <vt:variant>
        <vt:i4>348</vt:i4>
      </vt:variant>
      <vt:variant>
        <vt:i4>0</vt:i4>
      </vt:variant>
      <vt:variant>
        <vt:i4>5</vt:i4>
      </vt:variant>
      <vt:variant>
        <vt:lpwstr>http://www.oas.org/es/sla/dlc/mesicic/docs/mesicic6_slv_a4.pdf</vt:lpwstr>
      </vt:variant>
      <vt:variant>
        <vt:lpwstr/>
      </vt:variant>
      <vt:variant>
        <vt:i4>7536751</vt:i4>
      </vt:variant>
      <vt:variant>
        <vt:i4>345</vt:i4>
      </vt:variant>
      <vt:variant>
        <vt:i4>0</vt:i4>
      </vt:variant>
      <vt:variant>
        <vt:i4>5</vt:i4>
      </vt:variant>
      <vt:variant>
        <vt:lpwstr>http://www.oas.org/es/sla/dlc/mesicic/docs/mesicic6_slv_a4.pdf</vt:lpwstr>
      </vt:variant>
      <vt:variant>
        <vt:lpwstr/>
      </vt:variant>
      <vt:variant>
        <vt:i4>7536751</vt:i4>
      </vt:variant>
      <vt:variant>
        <vt:i4>342</vt:i4>
      </vt:variant>
      <vt:variant>
        <vt:i4>0</vt:i4>
      </vt:variant>
      <vt:variant>
        <vt:i4>5</vt:i4>
      </vt:variant>
      <vt:variant>
        <vt:lpwstr>http://www.oas.org/es/sla/dlc/mesicic/docs/mesicic6_slv_a4.pdf</vt:lpwstr>
      </vt:variant>
      <vt:variant>
        <vt:lpwstr/>
      </vt:variant>
      <vt:variant>
        <vt:i4>7536751</vt:i4>
      </vt:variant>
      <vt:variant>
        <vt:i4>339</vt:i4>
      </vt:variant>
      <vt:variant>
        <vt:i4>0</vt:i4>
      </vt:variant>
      <vt:variant>
        <vt:i4>5</vt:i4>
      </vt:variant>
      <vt:variant>
        <vt:lpwstr>http://www.oas.org/es/sla/dlc/mesicic/docs/mesicic6_slv_a4.pdf</vt:lpwstr>
      </vt:variant>
      <vt:variant>
        <vt:lpwstr/>
      </vt:variant>
      <vt:variant>
        <vt:i4>7536751</vt:i4>
      </vt:variant>
      <vt:variant>
        <vt:i4>336</vt:i4>
      </vt:variant>
      <vt:variant>
        <vt:i4>0</vt:i4>
      </vt:variant>
      <vt:variant>
        <vt:i4>5</vt:i4>
      </vt:variant>
      <vt:variant>
        <vt:lpwstr>http://www.oas.org/es/sla/dlc/mesicic/docs/mesicic6_slv_a4.pdf</vt:lpwstr>
      </vt:variant>
      <vt:variant>
        <vt:lpwstr/>
      </vt:variant>
      <vt:variant>
        <vt:i4>4653148</vt:i4>
      </vt:variant>
      <vt:variant>
        <vt:i4>333</vt:i4>
      </vt:variant>
      <vt:variant>
        <vt:i4>0</vt:i4>
      </vt:variant>
      <vt:variant>
        <vt:i4>5</vt:i4>
      </vt:variant>
      <vt:variant>
        <vt:lpwstr>http://www.oas.org/es/sla/dlc/mesicic/docs/mesicic6_slv_a131.pdf</vt:lpwstr>
      </vt:variant>
      <vt:variant>
        <vt:lpwstr/>
      </vt:variant>
      <vt:variant>
        <vt:i4>7536751</vt:i4>
      </vt:variant>
      <vt:variant>
        <vt:i4>330</vt:i4>
      </vt:variant>
      <vt:variant>
        <vt:i4>0</vt:i4>
      </vt:variant>
      <vt:variant>
        <vt:i4>5</vt:i4>
      </vt:variant>
      <vt:variant>
        <vt:lpwstr>http://www.oas.org/es/sla/dlc/mesicic/docs/mesicic6_slv_a4.pdf</vt:lpwstr>
      </vt:variant>
      <vt:variant>
        <vt:lpwstr/>
      </vt:variant>
      <vt:variant>
        <vt:i4>4653148</vt:i4>
      </vt:variant>
      <vt:variant>
        <vt:i4>327</vt:i4>
      </vt:variant>
      <vt:variant>
        <vt:i4>0</vt:i4>
      </vt:variant>
      <vt:variant>
        <vt:i4>5</vt:i4>
      </vt:variant>
      <vt:variant>
        <vt:lpwstr>http://www.oas.org/es/sla/dlc/mesicic/docs/mesicic6_slv_a131.pdf</vt:lpwstr>
      </vt:variant>
      <vt:variant>
        <vt:lpwstr/>
      </vt:variant>
      <vt:variant>
        <vt:i4>2555975</vt:i4>
      </vt:variant>
      <vt:variant>
        <vt:i4>324</vt:i4>
      </vt:variant>
      <vt:variant>
        <vt:i4>0</vt:i4>
      </vt:variant>
      <vt:variant>
        <vt:i4>5</vt:i4>
      </vt:variant>
      <vt:variant>
        <vt:lpwstr>http://www.oas.org/es/sla/dlc/mesicic/docs/mesicic6_slv_res_cuest.pdf</vt:lpwstr>
      </vt:variant>
      <vt:variant>
        <vt:lpwstr/>
      </vt:variant>
      <vt:variant>
        <vt:i4>5177437</vt:i4>
      </vt:variant>
      <vt:variant>
        <vt:i4>321</vt:i4>
      </vt:variant>
      <vt:variant>
        <vt:i4>0</vt:i4>
      </vt:variant>
      <vt:variant>
        <vt:i4>5</vt:i4>
      </vt:variant>
      <vt:variant>
        <vt:lpwstr>http://www.oas.org/es/sla/dlc/mesicic/docs/mesicic6_slv_a129.pdf</vt:lpwstr>
      </vt:variant>
      <vt:variant>
        <vt:lpwstr/>
      </vt:variant>
      <vt:variant>
        <vt:i4>4194397</vt:i4>
      </vt:variant>
      <vt:variant>
        <vt:i4>318</vt:i4>
      </vt:variant>
      <vt:variant>
        <vt:i4>0</vt:i4>
      </vt:variant>
      <vt:variant>
        <vt:i4>5</vt:i4>
      </vt:variant>
      <vt:variant>
        <vt:lpwstr>http://www.oas.org/es/sla/dlc/mesicic/docs/mesicic6_slv_a126.pdf</vt:lpwstr>
      </vt:variant>
      <vt:variant>
        <vt:lpwstr/>
      </vt:variant>
      <vt:variant>
        <vt:i4>2555975</vt:i4>
      </vt:variant>
      <vt:variant>
        <vt:i4>315</vt:i4>
      </vt:variant>
      <vt:variant>
        <vt:i4>0</vt:i4>
      </vt:variant>
      <vt:variant>
        <vt:i4>5</vt:i4>
      </vt:variant>
      <vt:variant>
        <vt:lpwstr>http://www.oas.org/es/sla/dlc/mesicic/docs/mesicic6_slv_res_cuest.pdf</vt:lpwstr>
      </vt:variant>
      <vt:variant>
        <vt:lpwstr/>
      </vt:variant>
      <vt:variant>
        <vt:i4>4063351</vt:i4>
      </vt:variant>
      <vt:variant>
        <vt:i4>312</vt:i4>
      </vt:variant>
      <vt:variant>
        <vt:i4>0</vt:i4>
      </vt:variant>
      <vt:variant>
        <vt:i4>5</vt:i4>
      </vt:variant>
      <vt:variant>
        <vt:lpwstr>https://www.cvpcpa.gob.sv/download/resolucion-327/</vt:lpwstr>
      </vt:variant>
      <vt:variant>
        <vt:lpwstr/>
      </vt:variant>
      <vt:variant>
        <vt:i4>2687085</vt:i4>
      </vt:variant>
      <vt:variant>
        <vt:i4>309</vt:i4>
      </vt:variant>
      <vt:variant>
        <vt:i4>0</vt:i4>
      </vt:variant>
      <vt:variant>
        <vt:i4>5</vt:i4>
      </vt:variant>
      <vt:variant>
        <vt:lpwstr>http://www.oas.org/es/sla/dlc/mesicic/docs/mesicic6_slv_a28.pdf</vt:lpwstr>
      </vt:variant>
      <vt:variant>
        <vt:lpwstr/>
      </vt:variant>
      <vt:variant>
        <vt:i4>2555975</vt:i4>
      </vt:variant>
      <vt:variant>
        <vt:i4>306</vt:i4>
      </vt:variant>
      <vt:variant>
        <vt:i4>0</vt:i4>
      </vt:variant>
      <vt:variant>
        <vt:i4>5</vt:i4>
      </vt:variant>
      <vt:variant>
        <vt:lpwstr>http://www.oas.org/es/sla/dlc/mesicic/docs/mesicic6_slv_res_cuest.pdf</vt:lpwstr>
      </vt:variant>
      <vt:variant>
        <vt:lpwstr/>
      </vt:variant>
      <vt:variant>
        <vt:i4>3735665</vt:i4>
      </vt:variant>
      <vt:variant>
        <vt:i4>303</vt:i4>
      </vt:variant>
      <vt:variant>
        <vt:i4>0</vt:i4>
      </vt:variant>
      <vt:variant>
        <vt:i4>5</vt:i4>
      </vt:variant>
      <vt:variant>
        <vt:lpwstr>https://www.cvpcpa.gob.sv/download/resolucion-456/</vt:lpwstr>
      </vt:variant>
      <vt:variant>
        <vt:lpwstr/>
      </vt:variant>
      <vt:variant>
        <vt:i4>2293868</vt:i4>
      </vt:variant>
      <vt:variant>
        <vt:i4>300</vt:i4>
      </vt:variant>
      <vt:variant>
        <vt:i4>0</vt:i4>
      </vt:variant>
      <vt:variant>
        <vt:i4>5</vt:i4>
      </vt:variant>
      <vt:variant>
        <vt:lpwstr>http://www.oas.org/es/sla/dlc/mesicic/docs/mesicic6_slv_a89.pdf</vt:lpwstr>
      </vt:variant>
      <vt:variant>
        <vt:lpwstr/>
      </vt:variant>
      <vt:variant>
        <vt:i4>2621538</vt:i4>
      </vt:variant>
      <vt:variant>
        <vt:i4>297</vt:i4>
      </vt:variant>
      <vt:variant>
        <vt:i4>0</vt:i4>
      </vt:variant>
      <vt:variant>
        <vt:i4>5</vt:i4>
      </vt:variant>
      <vt:variant>
        <vt:lpwstr>http://www.oas.org/es/sla/dlc/mesicic/docs/mesicic6_slv_a37.pdf</vt:lpwstr>
      </vt:variant>
      <vt:variant>
        <vt:lpwstr/>
      </vt:variant>
      <vt:variant>
        <vt:i4>4259935</vt:i4>
      </vt:variant>
      <vt:variant>
        <vt:i4>294</vt:i4>
      </vt:variant>
      <vt:variant>
        <vt:i4>0</vt:i4>
      </vt:variant>
      <vt:variant>
        <vt:i4>5</vt:i4>
      </vt:variant>
      <vt:variant>
        <vt:lpwstr>http://www.oas.org/es/sla/dlc/mesicic/docs/mesicic6_slv_a107.pdf</vt:lpwstr>
      </vt:variant>
      <vt:variant>
        <vt:lpwstr/>
      </vt:variant>
      <vt:variant>
        <vt:i4>4325425</vt:i4>
      </vt:variant>
      <vt:variant>
        <vt:i4>291</vt:i4>
      </vt:variant>
      <vt:variant>
        <vt:i4>0</vt:i4>
      </vt:variant>
      <vt:variant>
        <vt:i4>5</vt:i4>
      </vt:variant>
      <vt:variant>
        <vt:lpwstr>http://www.oas.org/es/sla/dlc/mesicic/docs/mesicic6_slv_soc_civ.pdf</vt:lpwstr>
      </vt:variant>
      <vt:variant>
        <vt:lpwstr/>
      </vt:variant>
      <vt:variant>
        <vt:i4>2555975</vt:i4>
      </vt:variant>
      <vt:variant>
        <vt:i4>288</vt:i4>
      </vt:variant>
      <vt:variant>
        <vt:i4>0</vt:i4>
      </vt:variant>
      <vt:variant>
        <vt:i4>5</vt:i4>
      </vt:variant>
      <vt:variant>
        <vt:lpwstr>http://www.oas.org/es/sla/dlc/mesicic/docs/mesicic6_slv_res_cuest.pdf</vt:lpwstr>
      </vt:variant>
      <vt:variant>
        <vt:lpwstr/>
      </vt:variant>
      <vt:variant>
        <vt:i4>4194397</vt:i4>
      </vt:variant>
      <vt:variant>
        <vt:i4>285</vt:i4>
      </vt:variant>
      <vt:variant>
        <vt:i4>0</vt:i4>
      </vt:variant>
      <vt:variant>
        <vt:i4>5</vt:i4>
      </vt:variant>
      <vt:variant>
        <vt:lpwstr>http://www.oas.org/es/sla/dlc/mesicic/docs/mesicic6_slv_a126.pdf</vt:lpwstr>
      </vt:variant>
      <vt:variant>
        <vt:lpwstr/>
      </vt:variant>
      <vt:variant>
        <vt:i4>2555975</vt:i4>
      </vt:variant>
      <vt:variant>
        <vt:i4>282</vt:i4>
      </vt:variant>
      <vt:variant>
        <vt:i4>0</vt:i4>
      </vt:variant>
      <vt:variant>
        <vt:i4>5</vt:i4>
      </vt:variant>
      <vt:variant>
        <vt:lpwstr>http://www.oas.org/es/sla/dlc/mesicic/docs/mesicic6_slv_res_cuest.pdf</vt:lpwstr>
      </vt:variant>
      <vt:variant>
        <vt:lpwstr/>
      </vt:variant>
      <vt:variant>
        <vt:i4>4325425</vt:i4>
      </vt:variant>
      <vt:variant>
        <vt:i4>279</vt:i4>
      </vt:variant>
      <vt:variant>
        <vt:i4>0</vt:i4>
      </vt:variant>
      <vt:variant>
        <vt:i4>5</vt:i4>
      </vt:variant>
      <vt:variant>
        <vt:lpwstr>http://www.oas.org/es/sla/dlc/mesicic/docs/mesicic6_slv_soc_civ.pdf</vt:lpwstr>
      </vt:variant>
      <vt:variant>
        <vt:lpwstr/>
      </vt:variant>
      <vt:variant>
        <vt:i4>4194397</vt:i4>
      </vt:variant>
      <vt:variant>
        <vt:i4>276</vt:i4>
      </vt:variant>
      <vt:variant>
        <vt:i4>0</vt:i4>
      </vt:variant>
      <vt:variant>
        <vt:i4>5</vt:i4>
      </vt:variant>
      <vt:variant>
        <vt:lpwstr>http://www.oas.org/es/sla/dlc/mesicic/docs/mesicic6_slv_a126.pdf</vt:lpwstr>
      </vt:variant>
      <vt:variant>
        <vt:lpwstr/>
      </vt:variant>
      <vt:variant>
        <vt:i4>2555975</vt:i4>
      </vt:variant>
      <vt:variant>
        <vt:i4>273</vt:i4>
      </vt:variant>
      <vt:variant>
        <vt:i4>0</vt:i4>
      </vt:variant>
      <vt:variant>
        <vt:i4>5</vt:i4>
      </vt:variant>
      <vt:variant>
        <vt:lpwstr>http://www.oas.org/es/sla/dlc/mesicic/docs/mesicic6_slv_res_cuest.pdf</vt:lpwstr>
      </vt:variant>
      <vt:variant>
        <vt:lpwstr/>
      </vt:variant>
      <vt:variant>
        <vt:i4>2555975</vt:i4>
      </vt:variant>
      <vt:variant>
        <vt:i4>270</vt:i4>
      </vt:variant>
      <vt:variant>
        <vt:i4>0</vt:i4>
      </vt:variant>
      <vt:variant>
        <vt:i4>5</vt:i4>
      </vt:variant>
      <vt:variant>
        <vt:lpwstr>http://www.oas.org/es/sla/dlc/mesicic/docs/mesicic6_slv_res_cuest.pdf</vt:lpwstr>
      </vt:variant>
      <vt:variant>
        <vt:lpwstr/>
      </vt:variant>
      <vt:variant>
        <vt:i4>4259935</vt:i4>
      </vt:variant>
      <vt:variant>
        <vt:i4>267</vt:i4>
      </vt:variant>
      <vt:variant>
        <vt:i4>0</vt:i4>
      </vt:variant>
      <vt:variant>
        <vt:i4>5</vt:i4>
      </vt:variant>
      <vt:variant>
        <vt:lpwstr>http://www.oas.org/es/sla/dlc/mesicic/docs/mesicic6_slv_a107.pdf</vt:lpwstr>
      </vt:variant>
      <vt:variant>
        <vt:lpwstr/>
      </vt:variant>
      <vt:variant>
        <vt:i4>4325425</vt:i4>
      </vt:variant>
      <vt:variant>
        <vt:i4>264</vt:i4>
      </vt:variant>
      <vt:variant>
        <vt:i4>0</vt:i4>
      </vt:variant>
      <vt:variant>
        <vt:i4>5</vt:i4>
      </vt:variant>
      <vt:variant>
        <vt:lpwstr>http://www.oas.org/es/sla/dlc/mesicic/docs/mesicic6_slv_soc_civ.pdf</vt:lpwstr>
      </vt:variant>
      <vt:variant>
        <vt:lpwstr/>
      </vt:variant>
      <vt:variant>
        <vt:i4>5898362</vt:i4>
      </vt:variant>
      <vt:variant>
        <vt:i4>261</vt:i4>
      </vt:variant>
      <vt:variant>
        <vt:i4>0</vt:i4>
      </vt:variant>
      <vt:variant>
        <vt:i4>5</vt:i4>
      </vt:variant>
      <vt:variant>
        <vt:lpwstr>https://www.oas.org/es/sla/dlc/mesicic/docs/Panel-5_slv.pdf</vt:lpwstr>
      </vt:variant>
      <vt:variant>
        <vt:lpwstr/>
      </vt:variant>
      <vt:variant>
        <vt:i4>4325468</vt:i4>
      </vt:variant>
      <vt:variant>
        <vt:i4>258</vt:i4>
      </vt:variant>
      <vt:variant>
        <vt:i4>0</vt:i4>
      </vt:variant>
      <vt:variant>
        <vt:i4>5</vt:i4>
      </vt:variant>
      <vt:variant>
        <vt:lpwstr>http://www.oas.org/es/sla/dlc/mesicic/docs/mesicic6_slv_a134.pdf</vt:lpwstr>
      </vt:variant>
      <vt:variant>
        <vt:lpwstr/>
      </vt:variant>
      <vt:variant>
        <vt:i4>4391004</vt:i4>
      </vt:variant>
      <vt:variant>
        <vt:i4>255</vt:i4>
      </vt:variant>
      <vt:variant>
        <vt:i4>0</vt:i4>
      </vt:variant>
      <vt:variant>
        <vt:i4>5</vt:i4>
      </vt:variant>
      <vt:variant>
        <vt:lpwstr>http://www.oas.org/es/sla/dlc/mesicic/docs/mesicic6_slv_a135.pdf</vt:lpwstr>
      </vt:variant>
      <vt:variant>
        <vt:lpwstr/>
      </vt:variant>
      <vt:variant>
        <vt:i4>5177437</vt:i4>
      </vt:variant>
      <vt:variant>
        <vt:i4>252</vt:i4>
      </vt:variant>
      <vt:variant>
        <vt:i4>0</vt:i4>
      </vt:variant>
      <vt:variant>
        <vt:i4>5</vt:i4>
      </vt:variant>
      <vt:variant>
        <vt:lpwstr>http://www.oas.org/es/sla/dlc/mesicic/docs/mesicic6_slv_a129.pdf</vt:lpwstr>
      </vt:variant>
      <vt:variant>
        <vt:lpwstr/>
      </vt:variant>
      <vt:variant>
        <vt:i4>5177438</vt:i4>
      </vt:variant>
      <vt:variant>
        <vt:i4>249</vt:i4>
      </vt:variant>
      <vt:variant>
        <vt:i4>0</vt:i4>
      </vt:variant>
      <vt:variant>
        <vt:i4>5</vt:i4>
      </vt:variant>
      <vt:variant>
        <vt:lpwstr>http://www.oas.org/es/sla/dlc/mesicic/docs/mesicic6_slv_a119.pdf</vt:lpwstr>
      </vt:variant>
      <vt:variant>
        <vt:lpwstr/>
      </vt:variant>
      <vt:variant>
        <vt:i4>4194397</vt:i4>
      </vt:variant>
      <vt:variant>
        <vt:i4>246</vt:i4>
      </vt:variant>
      <vt:variant>
        <vt:i4>0</vt:i4>
      </vt:variant>
      <vt:variant>
        <vt:i4>5</vt:i4>
      </vt:variant>
      <vt:variant>
        <vt:lpwstr>http://www.oas.org/es/sla/dlc/mesicic/docs/mesicic6_slv_a126.pdf</vt:lpwstr>
      </vt:variant>
      <vt:variant>
        <vt:lpwstr/>
      </vt:variant>
      <vt:variant>
        <vt:i4>2555975</vt:i4>
      </vt:variant>
      <vt:variant>
        <vt:i4>243</vt:i4>
      </vt:variant>
      <vt:variant>
        <vt:i4>0</vt:i4>
      </vt:variant>
      <vt:variant>
        <vt:i4>5</vt:i4>
      </vt:variant>
      <vt:variant>
        <vt:lpwstr>http://www.oas.org/es/sla/dlc/mesicic/docs/mesicic6_slv_res_cuest.pdf</vt:lpwstr>
      </vt:variant>
      <vt:variant>
        <vt:lpwstr/>
      </vt:variant>
      <vt:variant>
        <vt:i4>4259935</vt:i4>
      </vt:variant>
      <vt:variant>
        <vt:i4>240</vt:i4>
      </vt:variant>
      <vt:variant>
        <vt:i4>0</vt:i4>
      </vt:variant>
      <vt:variant>
        <vt:i4>5</vt:i4>
      </vt:variant>
      <vt:variant>
        <vt:lpwstr>http://www.oas.org/es/sla/dlc/mesicic/docs/mesicic6_slv_a107.pdf</vt:lpwstr>
      </vt:variant>
      <vt:variant>
        <vt:lpwstr/>
      </vt:variant>
      <vt:variant>
        <vt:i4>4194397</vt:i4>
      </vt:variant>
      <vt:variant>
        <vt:i4>237</vt:i4>
      </vt:variant>
      <vt:variant>
        <vt:i4>0</vt:i4>
      </vt:variant>
      <vt:variant>
        <vt:i4>5</vt:i4>
      </vt:variant>
      <vt:variant>
        <vt:lpwstr>http://www.oas.org/es/sla/dlc/mesicic/docs/mesicic6_slv_a126.pdf</vt:lpwstr>
      </vt:variant>
      <vt:variant>
        <vt:lpwstr/>
      </vt:variant>
      <vt:variant>
        <vt:i4>2555975</vt:i4>
      </vt:variant>
      <vt:variant>
        <vt:i4>234</vt:i4>
      </vt:variant>
      <vt:variant>
        <vt:i4>0</vt:i4>
      </vt:variant>
      <vt:variant>
        <vt:i4>5</vt:i4>
      </vt:variant>
      <vt:variant>
        <vt:lpwstr>http://www.oas.org/es/sla/dlc/mesicic/docs/mesicic6_slv_res_cuest.pdf</vt:lpwstr>
      </vt:variant>
      <vt:variant>
        <vt:lpwstr/>
      </vt:variant>
      <vt:variant>
        <vt:i4>4259935</vt:i4>
      </vt:variant>
      <vt:variant>
        <vt:i4>231</vt:i4>
      </vt:variant>
      <vt:variant>
        <vt:i4>0</vt:i4>
      </vt:variant>
      <vt:variant>
        <vt:i4>5</vt:i4>
      </vt:variant>
      <vt:variant>
        <vt:lpwstr>http://www.oas.org/es/sla/dlc/mesicic/docs/mesicic6_slv_a107.pdf</vt:lpwstr>
      </vt:variant>
      <vt:variant>
        <vt:lpwstr/>
      </vt:variant>
      <vt:variant>
        <vt:i4>4325425</vt:i4>
      </vt:variant>
      <vt:variant>
        <vt:i4>228</vt:i4>
      </vt:variant>
      <vt:variant>
        <vt:i4>0</vt:i4>
      </vt:variant>
      <vt:variant>
        <vt:i4>5</vt:i4>
      </vt:variant>
      <vt:variant>
        <vt:lpwstr>http://www.oas.org/es/sla/dlc/mesicic/docs/mesicic6_slv_soc_civ.pdf</vt:lpwstr>
      </vt:variant>
      <vt:variant>
        <vt:lpwstr/>
      </vt:variant>
      <vt:variant>
        <vt:i4>4194397</vt:i4>
      </vt:variant>
      <vt:variant>
        <vt:i4>225</vt:i4>
      </vt:variant>
      <vt:variant>
        <vt:i4>0</vt:i4>
      </vt:variant>
      <vt:variant>
        <vt:i4>5</vt:i4>
      </vt:variant>
      <vt:variant>
        <vt:lpwstr>http://www.oas.org/es/sla/dlc/mesicic/docs/mesicic6_slv_a126.pdf</vt:lpwstr>
      </vt:variant>
      <vt:variant>
        <vt:lpwstr/>
      </vt:variant>
      <vt:variant>
        <vt:i4>2555975</vt:i4>
      </vt:variant>
      <vt:variant>
        <vt:i4>222</vt:i4>
      </vt:variant>
      <vt:variant>
        <vt:i4>0</vt:i4>
      </vt:variant>
      <vt:variant>
        <vt:i4>5</vt:i4>
      </vt:variant>
      <vt:variant>
        <vt:lpwstr>http://www.oas.org/es/sla/dlc/mesicic/docs/mesicic6_slv_res_cuest.pdf</vt:lpwstr>
      </vt:variant>
      <vt:variant>
        <vt:lpwstr/>
      </vt:variant>
      <vt:variant>
        <vt:i4>4259935</vt:i4>
      </vt:variant>
      <vt:variant>
        <vt:i4>219</vt:i4>
      </vt:variant>
      <vt:variant>
        <vt:i4>0</vt:i4>
      </vt:variant>
      <vt:variant>
        <vt:i4>5</vt:i4>
      </vt:variant>
      <vt:variant>
        <vt:lpwstr>http://www.oas.org/es/sla/dlc/mesicic/docs/mesicic6_slv_a107.pdf</vt:lpwstr>
      </vt:variant>
      <vt:variant>
        <vt:lpwstr/>
      </vt:variant>
      <vt:variant>
        <vt:i4>4325425</vt:i4>
      </vt:variant>
      <vt:variant>
        <vt:i4>216</vt:i4>
      </vt:variant>
      <vt:variant>
        <vt:i4>0</vt:i4>
      </vt:variant>
      <vt:variant>
        <vt:i4>5</vt:i4>
      </vt:variant>
      <vt:variant>
        <vt:lpwstr>http://www.oas.org/es/sla/dlc/mesicic/docs/mesicic6_slv_soc_civ.pdf</vt:lpwstr>
      </vt:variant>
      <vt:variant>
        <vt:lpwstr/>
      </vt:variant>
      <vt:variant>
        <vt:i4>1048660</vt:i4>
      </vt:variant>
      <vt:variant>
        <vt:i4>213</vt:i4>
      </vt:variant>
      <vt:variant>
        <vt:i4>0</vt:i4>
      </vt:variant>
      <vt:variant>
        <vt:i4>5</vt:i4>
      </vt:variant>
      <vt:variant>
        <vt:lpwstr>https://www.oecd.org/corruption/anti-bribery/The-Detection-of-Foreign-Bribery-ESP.pdf</vt:lpwstr>
      </vt:variant>
      <vt:variant>
        <vt:lpwstr/>
      </vt:variant>
      <vt:variant>
        <vt:i4>5177438</vt:i4>
      </vt:variant>
      <vt:variant>
        <vt:i4>210</vt:i4>
      </vt:variant>
      <vt:variant>
        <vt:i4>0</vt:i4>
      </vt:variant>
      <vt:variant>
        <vt:i4>5</vt:i4>
      </vt:variant>
      <vt:variant>
        <vt:lpwstr>http://www.oas.org/es/sla/dlc/mesicic/docs/mesicic6_slv_a119.pdf</vt:lpwstr>
      </vt:variant>
      <vt:variant>
        <vt:lpwstr/>
      </vt:variant>
      <vt:variant>
        <vt:i4>2687085</vt:i4>
      </vt:variant>
      <vt:variant>
        <vt:i4>207</vt:i4>
      </vt:variant>
      <vt:variant>
        <vt:i4>0</vt:i4>
      </vt:variant>
      <vt:variant>
        <vt:i4>5</vt:i4>
      </vt:variant>
      <vt:variant>
        <vt:lpwstr>http://www.oas.org/es/sla/dlc/mesicic/docs/mesicic6_slv_a28.pdf</vt:lpwstr>
      </vt:variant>
      <vt:variant>
        <vt:lpwstr/>
      </vt:variant>
      <vt:variant>
        <vt:i4>4194397</vt:i4>
      </vt:variant>
      <vt:variant>
        <vt:i4>204</vt:i4>
      </vt:variant>
      <vt:variant>
        <vt:i4>0</vt:i4>
      </vt:variant>
      <vt:variant>
        <vt:i4>5</vt:i4>
      </vt:variant>
      <vt:variant>
        <vt:lpwstr>http://www.oas.org/es/sla/dlc/mesicic/docs/mesicic6_slv_a126.pdf</vt:lpwstr>
      </vt:variant>
      <vt:variant>
        <vt:lpwstr/>
      </vt:variant>
      <vt:variant>
        <vt:i4>2621536</vt:i4>
      </vt:variant>
      <vt:variant>
        <vt:i4>201</vt:i4>
      </vt:variant>
      <vt:variant>
        <vt:i4>0</vt:i4>
      </vt:variant>
      <vt:variant>
        <vt:i4>5</vt:i4>
      </vt:variant>
      <vt:variant>
        <vt:lpwstr>http://www.oas.org/es/sla/dlc/mesicic/docs/mesicic6_slv_a35.pdf</vt:lpwstr>
      </vt:variant>
      <vt:variant>
        <vt:lpwstr/>
      </vt:variant>
      <vt:variant>
        <vt:i4>2555975</vt:i4>
      </vt:variant>
      <vt:variant>
        <vt:i4>198</vt:i4>
      </vt:variant>
      <vt:variant>
        <vt:i4>0</vt:i4>
      </vt:variant>
      <vt:variant>
        <vt:i4>5</vt:i4>
      </vt:variant>
      <vt:variant>
        <vt:lpwstr>http://www.oas.org/es/sla/dlc/mesicic/docs/mesicic6_slv_res_cuest.pdf</vt:lpwstr>
      </vt:variant>
      <vt:variant>
        <vt:lpwstr/>
      </vt:variant>
      <vt:variant>
        <vt:i4>4325425</vt:i4>
      </vt:variant>
      <vt:variant>
        <vt:i4>195</vt:i4>
      </vt:variant>
      <vt:variant>
        <vt:i4>0</vt:i4>
      </vt:variant>
      <vt:variant>
        <vt:i4>5</vt:i4>
      </vt:variant>
      <vt:variant>
        <vt:lpwstr>http://www.oas.org/es/sla/dlc/mesicic/docs/mesicic6_slv_soc_civ.pdf</vt:lpwstr>
      </vt:variant>
      <vt:variant>
        <vt:lpwstr/>
      </vt:variant>
      <vt:variant>
        <vt:i4>2555975</vt:i4>
      </vt:variant>
      <vt:variant>
        <vt:i4>192</vt:i4>
      </vt:variant>
      <vt:variant>
        <vt:i4>0</vt:i4>
      </vt:variant>
      <vt:variant>
        <vt:i4>5</vt:i4>
      </vt:variant>
      <vt:variant>
        <vt:lpwstr>http://www.oas.org/es/sla/dlc/mesicic/docs/mesicic6_slv_res_cuest.pdf</vt:lpwstr>
      </vt:variant>
      <vt:variant>
        <vt:lpwstr/>
      </vt:variant>
      <vt:variant>
        <vt:i4>4325425</vt:i4>
      </vt:variant>
      <vt:variant>
        <vt:i4>189</vt:i4>
      </vt:variant>
      <vt:variant>
        <vt:i4>0</vt:i4>
      </vt:variant>
      <vt:variant>
        <vt:i4>5</vt:i4>
      </vt:variant>
      <vt:variant>
        <vt:lpwstr>http://www.oas.org/es/sla/dlc/mesicic/docs/mesicic6_slv_soc_civ.pdf</vt:lpwstr>
      </vt:variant>
      <vt:variant>
        <vt:lpwstr/>
      </vt:variant>
      <vt:variant>
        <vt:i4>5177438</vt:i4>
      </vt:variant>
      <vt:variant>
        <vt:i4>186</vt:i4>
      </vt:variant>
      <vt:variant>
        <vt:i4>0</vt:i4>
      </vt:variant>
      <vt:variant>
        <vt:i4>5</vt:i4>
      </vt:variant>
      <vt:variant>
        <vt:lpwstr>http://www.oas.org/es/sla/dlc/mesicic/docs/mesicic6_slv_a119.pdf</vt:lpwstr>
      </vt:variant>
      <vt:variant>
        <vt:lpwstr/>
      </vt:variant>
      <vt:variant>
        <vt:i4>2555975</vt:i4>
      </vt:variant>
      <vt:variant>
        <vt:i4>183</vt:i4>
      </vt:variant>
      <vt:variant>
        <vt:i4>0</vt:i4>
      </vt:variant>
      <vt:variant>
        <vt:i4>5</vt:i4>
      </vt:variant>
      <vt:variant>
        <vt:lpwstr>http://www.oas.org/es/sla/dlc/mesicic/docs/mesicic6_slv_res_cuest.pdf</vt:lpwstr>
      </vt:variant>
      <vt:variant>
        <vt:lpwstr/>
      </vt:variant>
      <vt:variant>
        <vt:i4>2555975</vt:i4>
      </vt:variant>
      <vt:variant>
        <vt:i4>180</vt:i4>
      </vt:variant>
      <vt:variant>
        <vt:i4>0</vt:i4>
      </vt:variant>
      <vt:variant>
        <vt:i4>5</vt:i4>
      </vt:variant>
      <vt:variant>
        <vt:lpwstr>http://www.oas.org/es/sla/dlc/mesicic/docs/mesicic6_slv_res_cuest.pdf</vt:lpwstr>
      </vt:variant>
      <vt:variant>
        <vt:lpwstr/>
      </vt:variant>
      <vt:variant>
        <vt:i4>4194397</vt:i4>
      </vt:variant>
      <vt:variant>
        <vt:i4>177</vt:i4>
      </vt:variant>
      <vt:variant>
        <vt:i4>0</vt:i4>
      </vt:variant>
      <vt:variant>
        <vt:i4>5</vt:i4>
      </vt:variant>
      <vt:variant>
        <vt:lpwstr>http://www.oas.org/es/sla/dlc/mesicic/docs/mesicic6_slv_a126.pdf</vt:lpwstr>
      </vt:variant>
      <vt:variant>
        <vt:lpwstr/>
      </vt:variant>
      <vt:variant>
        <vt:i4>2555975</vt:i4>
      </vt:variant>
      <vt:variant>
        <vt:i4>174</vt:i4>
      </vt:variant>
      <vt:variant>
        <vt:i4>0</vt:i4>
      </vt:variant>
      <vt:variant>
        <vt:i4>5</vt:i4>
      </vt:variant>
      <vt:variant>
        <vt:lpwstr>http://www.oas.org/es/sla/dlc/mesicic/docs/mesicic6_slv_res_cuest.pdf</vt:lpwstr>
      </vt:variant>
      <vt:variant>
        <vt:lpwstr/>
      </vt:variant>
      <vt:variant>
        <vt:i4>2752621</vt:i4>
      </vt:variant>
      <vt:variant>
        <vt:i4>171</vt:i4>
      </vt:variant>
      <vt:variant>
        <vt:i4>0</vt:i4>
      </vt:variant>
      <vt:variant>
        <vt:i4>5</vt:i4>
      </vt:variant>
      <vt:variant>
        <vt:lpwstr>http://www.oas.org/es/sla/dlc/mesicic/docs/mesicic6_slv_a18.pdf</vt:lpwstr>
      </vt:variant>
      <vt:variant>
        <vt:lpwstr/>
      </vt:variant>
      <vt:variant>
        <vt:i4>5177438</vt:i4>
      </vt:variant>
      <vt:variant>
        <vt:i4>168</vt:i4>
      </vt:variant>
      <vt:variant>
        <vt:i4>0</vt:i4>
      </vt:variant>
      <vt:variant>
        <vt:i4>5</vt:i4>
      </vt:variant>
      <vt:variant>
        <vt:lpwstr>http://www.oas.org/es/sla/dlc/mesicic/docs/mesicic6_slv_a119.pdf</vt:lpwstr>
      </vt:variant>
      <vt:variant>
        <vt:lpwstr/>
      </vt:variant>
      <vt:variant>
        <vt:i4>4194397</vt:i4>
      </vt:variant>
      <vt:variant>
        <vt:i4>165</vt:i4>
      </vt:variant>
      <vt:variant>
        <vt:i4>0</vt:i4>
      </vt:variant>
      <vt:variant>
        <vt:i4>5</vt:i4>
      </vt:variant>
      <vt:variant>
        <vt:lpwstr>http://www.oas.org/es/sla/dlc/mesicic/docs/mesicic6_slv_a126.pdf</vt:lpwstr>
      </vt:variant>
      <vt:variant>
        <vt:lpwstr/>
      </vt:variant>
      <vt:variant>
        <vt:i4>3014754</vt:i4>
      </vt:variant>
      <vt:variant>
        <vt:i4>162</vt:i4>
      </vt:variant>
      <vt:variant>
        <vt:i4>0</vt:i4>
      </vt:variant>
      <vt:variant>
        <vt:i4>5</vt:i4>
      </vt:variant>
      <vt:variant>
        <vt:lpwstr>http://www.oas.org/es/sla/dlc/mesicic/docs/mesicic6_slv_a57.pdf</vt:lpwstr>
      </vt:variant>
      <vt:variant>
        <vt:lpwstr/>
      </vt:variant>
      <vt:variant>
        <vt:i4>3014755</vt:i4>
      </vt:variant>
      <vt:variant>
        <vt:i4>159</vt:i4>
      </vt:variant>
      <vt:variant>
        <vt:i4>0</vt:i4>
      </vt:variant>
      <vt:variant>
        <vt:i4>5</vt:i4>
      </vt:variant>
      <vt:variant>
        <vt:lpwstr>http://www.oas.org/es/sla/dlc/mesicic/docs/mesicic6_slv_a56.pdf</vt:lpwstr>
      </vt:variant>
      <vt:variant>
        <vt:lpwstr/>
      </vt:variant>
      <vt:variant>
        <vt:i4>4194397</vt:i4>
      </vt:variant>
      <vt:variant>
        <vt:i4>156</vt:i4>
      </vt:variant>
      <vt:variant>
        <vt:i4>0</vt:i4>
      </vt:variant>
      <vt:variant>
        <vt:i4>5</vt:i4>
      </vt:variant>
      <vt:variant>
        <vt:lpwstr>http://www.oas.org/es/sla/dlc/mesicic/docs/mesicic6_slv_a126.pdf</vt:lpwstr>
      </vt:variant>
      <vt:variant>
        <vt:lpwstr/>
      </vt:variant>
      <vt:variant>
        <vt:i4>4194397</vt:i4>
      </vt:variant>
      <vt:variant>
        <vt:i4>153</vt:i4>
      </vt:variant>
      <vt:variant>
        <vt:i4>0</vt:i4>
      </vt:variant>
      <vt:variant>
        <vt:i4>5</vt:i4>
      </vt:variant>
      <vt:variant>
        <vt:lpwstr>http://www.oas.org/es/sla/dlc/mesicic/docs/mesicic6_slv_a126.pdf</vt:lpwstr>
      </vt:variant>
      <vt:variant>
        <vt:lpwstr/>
      </vt:variant>
      <vt:variant>
        <vt:i4>2687085</vt:i4>
      </vt:variant>
      <vt:variant>
        <vt:i4>150</vt:i4>
      </vt:variant>
      <vt:variant>
        <vt:i4>0</vt:i4>
      </vt:variant>
      <vt:variant>
        <vt:i4>5</vt:i4>
      </vt:variant>
      <vt:variant>
        <vt:lpwstr>http://www.oas.org/es/sla/dlc/mesicic/docs/mesicic6_slv_a28.pdf</vt:lpwstr>
      </vt:variant>
      <vt:variant>
        <vt:lpwstr/>
      </vt:variant>
      <vt:variant>
        <vt:i4>3735665</vt:i4>
      </vt:variant>
      <vt:variant>
        <vt:i4>147</vt:i4>
      </vt:variant>
      <vt:variant>
        <vt:i4>0</vt:i4>
      </vt:variant>
      <vt:variant>
        <vt:i4>5</vt:i4>
      </vt:variant>
      <vt:variant>
        <vt:lpwstr>https://www.cvpcpa.gob.sv/download/resolucion-456/</vt:lpwstr>
      </vt:variant>
      <vt:variant>
        <vt:lpwstr/>
      </vt:variant>
      <vt:variant>
        <vt:i4>2555975</vt:i4>
      </vt:variant>
      <vt:variant>
        <vt:i4>144</vt:i4>
      </vt:variant>
      <vt:variant>
        <vt:i4>0</vt:i4>
      </vt:variant>
      <vt:variant>
        <vt:i4>5</vt:i4>
      </vt:variant>
      <vt:variant>
        <vt:lpwstr>http://www.oas.org/es/sla/dlc/mesicic/docs/mesicic6_slv_res_cuest.pdf</vt:lpwstr>
      </vt:variant>
      <vt:variant>
        <vt:lpwstr/>
      </vt:variant>
      <vt:variant>
        <vt:i4>4325425</vt:i4>
      </vt:variant>
      <vt:variant>
        <vt:i4>141</vt:i4>
      </vt:variant>
      <vt:variant>
        <vt:i4>0</vt:i4>
      </vt:variant>
      <vt:variant>
        <vt:i4>5</vt:i4>
      </vt:variant>
      <vt:variant>
        <vt:lpwstr>http://www.oas.org/es/sla/dlc/mesicic/docs/mesicic6_slv_soc_civ.pdf</vt:lpwstr>
      </vt:variant>
      <vt:variant>
        <vt:lpwstr/>
      </vt:variant>
      <vt:variant>
        <vt:i4>5636143</vt:i4>
      </vt:variant>
      <vt:variant>
        <vt:i4>138</vt:i4>
      </vt:variant>
      <vt:variant>
        <vt:i4>0</vt:i4>
      </vt:variant>
      <vt:variant>
        <vt:i4>5</vt:i4>
      </vt:variant>
      <vt:variant>
        <vt:lpwstr>http://www.oas.org/juridico/spanish/mesicic_III_inf_slv.pdf</vt:lpwstr>
      </vt:variant>
      <vt:variant>
        <vt:lpwstr/>
      </vt:variant>
      <vt:variant>
        <vt:i4>2687084</vt:i4>
      </vt:variant>
      <vt:variant>
        <vt:i4>135</vt:i4>
      </vt:variant>
      <vt:variant>
        <vt:i4>0</vt:i4>
      </vt:variant>
      <vt:variant>
        <vt:i4>5</vt:i4>
      </vt:variant>
      <vt:variant>
        <vt:lpwstr>http://www.oas.org/es/sla/dlc/mesicic/docs/mesicic6_slv_a29.pdf</vt:lpwstr>
      </vt:variant>
      <vt:variant>
        <vt:lpwstr/>
      </vt:variant>
      <vt:variant>
        <vt:i4>2687084</vt:i4>
      </vt:variant>
      <vt:variant>
        <vt:i4>132</vt:i4>
      </vt:variant>
      <vt:variant>
        <vt:i4>0</vt:i4>
      </vt:variant>
      <vt:variant>
        <vt:i4>5</vt:i4>
      </vt:variant>
      <vt:variant>
        <vt:lpwstr>http://www.oas.org/es/sla/dlc/mesicic/docs/mesicic6_slv_a29.pdf</vt:lpwstr>
      </vt:variant>
      <vt:variant>
        <vt:lpwstr/>
      </vt:variant>
      <vt:variant>
        <vt:i4>2752610</vt:i4>
      </vt:variant>
      <vt:variant>
        <vt:i4>129</vt:i4>
      </vt:variant>
      <vt:variant>
        <vt:i4>0</vt:i4>
      </vt:variant>
      <vt:variant>
        <vt:i4>5</vt:i4>
      </vt:variant>
      <vt:variant>
        <vt:lpwstr>http://www.oas.org/es/sla/dlc/mesicic/docs/mesicic6_slv_a17.pdf</vt:lpwstr>
      </vt:variant>
      <vt:variant>
        <vt:lpwstr/>
      </vt:variant>
      <vt:variant>
        <vt:i4>5177438</vt:i4>
      </vt:variant>
      <vt:variant>
        <vt:i4>126</vt:i4>
      </vt:variant>
      <vt:variant>
        <vt:i4>0</vt:i4>
      </vt:variant>
      <vt:variant>
        <vt:i4>5</vt:i4>
      </vt:variant>
      <vt:variant>
        <vt:lpwstr>http://www.oas.org/es/sla/dlc/mesicic/docs/mesicic6_slv_a119.pdf</vt:lpwstr>
      </vt:variant>
      <vt:variant>
        <vt:lpwstr/>
      </vt:variant>
      <vt:variant>
        <vt:i4>4194397</vt:i4>
      </vt:variant>
      <vt:variant>
        <vt:i4>123</vt:i4>
      </vt:variant>
      <vt:variant>
        <vt:i4>0</vt:i4>
      </vt:variant>
      <vt:variant>
        <vt:i4>5</vt:i4>
      </vt:variant>
      <vt:variant>
        <vt:lpwstr>http://www.oas.org/es/sla/dlc/mesicic/docs/mesicic6_slv_a126.pdf</vt:lpwstr>
      </vt:variant>
      <vt:variant>
        <vt:lpwstr/>
      </vt:variant>
      <vt:variant>
        <vt:i4>2555975</vt:i4>
      </vt:variant>
      <vt:variant>
        <vt:i4>120</vt:i4>
      </vt:variant>
      <vt:variant>
        <vt:i4>0</vt:i4>
      </vt:variant>
      <vt:variant>
        <vt:i4>5</vt:i4>
      </vt:variant>
      <vt:variant>
        <vt:lpwstr>http://www.oas.org/es/sla/dlc/mesicic/docs/mesicic6_slv_res_cuest.pdf</vt:lpwstr>
      </vt:variant>
      <vt:variant>
        <vt:lpwstr/>
      </vt:variant>
      <vt:variant>
        <vt:i4>4325425</vt:i4>
      </vt:variant>
      <vt:variant>
        <vt:i4>117</vt:i4>
      </vt:variant>
      <vt:variant>
        <vt:i4>0</vt:i4>
      </vt:variant>
      <vt:variant>
        <vt:i4>5</vt:i4>
      </vt:variant>
      <vt:variant>
        <vt:lpwstr>http://www.oas.org/es/sla/dlc/mesicic/docs/mesicic6_slv_soc_civ.pdf</vt:lpwstr>
      </vt:variant>
      <vt:variant>
        <vt:lpwstr/>
      </vt:variant>
      <vt:variant>
        <vt:i4>2687085</vt:i4>
      </vt:variant>
      <vt:variant>
        <vt:i4>114</vt:i4>
      </vt:variant>
      <vt:variant>
        <vt:i4>0</vt:i4>
      </vt:variant>
      <vt:variant>
        <vt:i4>5</vt:i4>
      </vt:variant>
      <vt:variant>
        <vt:lpwstr>http://www.oas.org/es/sla/dlc/mesicic/docs/mesicic6_slv_a28.pdf</vt:lpwstr>
      </vt:variant>
      <vt:variant>
        <vt:lpwstr/>
      </vt:variant>
      <vt:variant>
        <vt:i4>2555975</vt:i4>
      </vt:variant>
      <vt:variant>
        <vt:i4>111</vt:i4>
      </vt:variant>
      <vt:variant>
        <vt:i4>0</vt:i4>
      </vt:variant>
      <vt:variant>
        <vt:i4>5</vt:i4>
      </vt:variant>
      <vt:variant>
        <vt:lpwstr>http://www.oas.org/es/sla/dlc/mesicic/docs/mesicic6_slv_res_cuest.pdf</vt:lpwstr>
      </vt:variant>
      <vt:variant>
        <vt:lpwstr/>
      </vt:variant>
      <vt:variant>
        <vt:i4>2555975</vt:i4>
      </vt:variant>
      <vt:variant>
        <vt:i4>108</vt:i4>
      </vt:variant>
      <vt:variant>
        <vt:i4>0</vt:i4>
      </vt:variant>
      <vt:variant>
        <vt:i4>5</vt:i4>
      </vt:variant>
      <vt:variant>
        <vt:lpwstr>http://www.oas.org/es/sla/dlc/mesicic/docs/mesicic6_slv_res_cuest.pdf</vt:lpwstr>
      </vt:variant>
      <vt:variant>
        <vt:lpwstr/>
      </vt:variant>
      <vt:variant>
        <vt:i4>7602287</vt:i4>
      </vt:variant>
      <vt:variant>
        <vt:i4>105</vt:i4>
      </vt:variant>
      <vt:variant>
        <vt:i4>0</vt:i4>
      </vt:variant>
      <vt:variant>
        <vt:i4>5</vt:i4>
      </vt:variant>
      <vt:variant>
        <vt:lpwstr>http://www.oas.org/es/sla/dlc/mesicic/docs/mesicic6_slv_a3.pdf</vt:lpwstr>
      </vt:variant>
      <vt:variant>
        <vt:lpwstr/>
      </vt:variant>
      <vt:variant>
        <vt:i4>2555975</vt:i4>
      </vt:variant>
      <vt:variant>
        <vt:i4>102</vt:i4>
      </vt:variant>
      <vt:variant>
        <vt:i4>0</vt:i4>
      </vt:variant>
      <vt:variant>
        <vt:i4>5</vt:i4>
      </vt:variant>
      <vt:variant>
        <vt:lpwstr>http://www.oas.org/es/sla/dlc/mesicic/docs/mesicic6_slv_res_cuest.pdf</vt:lpwstr>
      </vt:variant>
      <vt:variant>
        <vt:lpwstr/>
      </vt:variant>
      <vt:variant>
        <vt:i4>2555975</vt:i4>
      </vt:variant>
      <vt:variant>
        <vt:i4>99</vt:i4>
      </vt:variant>
      <vt:variant>
        <vt:i4>0</vt:i4>
      </vt:variant>
      <vt:variant>
        <vt:i4>5</vt:i4>
      </vt:variant>
      <vt:variant>
        <vt:lpwstr>http://www.oas.org/es/sla/dlc/mesicic/docs/mesicic6_slv_res_cuest.pdf</vt:lpwstr>
      </vt:variant>
      <vt:variant>
        <vt:lpwstr/>
      </vt:variant>
      <vt:variant>
        <vt:i4>2949228</vt:i4>
      </vt:variant>
      <vt:variant>
        <vt:i4>96</vt:i4>
      </vt:variant>
      <vt:variant>
        <vt:i4>0</vt:i4>
      </vt:variant>
      <vt:variant>
        <vt:i4>5</vt:i4>
      </vt:variant>
      <vt:variant>
        <vt:lpwstr>http://www.oas.org/es/sla/dlc/mesicic/docs/mesicic6_slv_a69.pdf</vt:lpwstr>
      </vt:variant>
      <vt:variant>
        <vt:lpwstr/>
      </vt:variant>
      <vt:variant>
        <vt:i4>2949228</vt:i4>
      </vt:variant>
      <vt:variant>
        <vt:i4>93</vt:i4>
      </vt:variant>
      <vt:variant>
        <vt:i4>0</vt:i4>
      </vt:variant>
      <vt:variant>
        <vt:i4>5</vt:i4>
      </vt:variant>
      <vt:variant>
        <vt:lpwstr>http://www.oas.org/es/sla/dlc/mesicic/docs/mesicic6_slv_a69.pdf</vt:lpwstr>
      </vt:variant>
      <vt:variant>
        <vt:lpwstr/>
      </vt:variant>
      <vt:variant>
        <vt:i4>2555975</vt:i4>
      </vt:variant>
      <vt:variant>
        <vt:i4>90</vt:i4>
      </vt:variant>
      <vt:variant>
        <vt:i4>0</vt:i4>
      </vt:variant>
      <vt:variant>
        <vt:i4>5</vt:i4>
      </vt:variant>
      <vt:variant>
        <vt:lpwstr>http://www.oas.org/es/sla/dlc/mesicic/docs/mesicic6_slv_res_cuest.pdf</vt:lpwstr>
      </vt:variant>
      <vt:variant>
        <vt:lpwstr/>
      </vt:variant>
      <vt:variant>
        <vt:i4>4522076</vt:i4>
      </vt:variant>
      <vt:variant>
        <vt:i4>87</vt:i4>
      </vt:variant>
      <vt:variant>
        <vt:i4>0</vt:i4>
      </vt:variant>
      <vt:variant>
        <vt:i4>5</vt:i4>
      </vt:variant>
      <vt:variant>
        <vt:lpwstr>http://www.oas.org/es/sla/dlc/mesicic/docs/mesicic6_slv_a133.pdf</vt:lpwstr>
      </vt:variant>
      <vt:variant>
        <vt:lpwstr/>
      </vt:variant>
      <vt:variant>
        <vt:i4>4325468</vt:i4>
      </vt:variant>
      <vt:variant>
        <vt:i4>84</vt:i4>
      </vt:variant>
      <vt:variant>
        <vt:i4>0</vt:i4>
      </vt:variant>
      <vt:variant>
        <vt:i4>5</vt:i4>
      </vt:variant>
      <vt:variant>
        <vt:lpwstr>http://www.oas.org/es/sla/dlc/mesicic/docs/mesicic6_slv_a134.pdf</vt:lpwstr>
      </vt:variant>
      <vt:variant>
        <vt:lpwstr/>
      </vt:variant>
      <vt:variant>
        <vt:i4>4391004</vt:i4>
      </vt:variant>
      <vt:variant>
        <vt:i4>81</vt:i4>
      </vt:variant>
      <vt:variant>
        <vt:i4>0</vt:i4>
      </vt:variant>
      <vt:variant>
        <vt:i4>5</vt:i4>
      </vt:variant>
      <vt:variant>
        <vt:lpwstr>http://www.oas.org/es/sla/dlc/mesicic/docs/mesicic6_slv_a135.pdf</vt:lpwstr>
      </vt:variant>
      <vt:variant>
        <vt:lpwstr/>
      </vt:variant>
      <vt:variant>
        <vt:i4>4587610</vt:i4>
      </vt:variant>
      <vt:variant>
        <vt:i4>78</vt:i4>
      </vt:variant>
      <vt:variant>
        <vt:i4>0</vt:i4>
      </vt:variant>
      <vt:variant>
        <vt:i4>5</vt:i4>
      </vt:variant>
      <vt:variant>
        <vt:lpwstr>http://www.oas.org/es/sla/dlc/mesicic/docs/mesicic6_slv_a150.pdf</vt:lpwstr>
      </vt:variant>
      <vt:variant>
        <vt:lpwstr/>
      </vt:variant>
      <vt:variant>
        <vt:i4>4259931</vt:i4>
      </vt:variant>
      <vt:variant>
        <vt:i4>75</vt:i4>
      </vt:variant>
      <vt:variant>
        <vt:i4>0</vt:i4>
      </vt:variant>
      <vt:variant>
        <vt:i4>5</vt:i4>
      </vt:variant>
      <vt:variant>
        <vt:lpwstr>http://www.oas.org/es/sla/dlc/mesicic/docs/mesicic6_slv_a147.pdf</vt:lpwstr>
      </vt:variant>
      <vt:variant>
        <vt:lpwstr/>
      </vt:variant>
      <vt:variant>
        <vt:i4>2555975</vt:i4>
      </vt:variant>
      <vt:variant>
        <vt:i4>72</vt:i4>
      </vt:variant>
      <vt:variant>
        <vt:i4>0</vt:i4>
      </vt:variant>
      <vt:variant>
        <vt:i4>5</vt:i4>
      </vt:variant>
      <vt:variant>
        <vt:lpwstr>http://www.oas.org/es/sla/dlc/mesicic/docs/mesicic6_slv_res_cuest.pdf</vt:lpwstr>
      </vt:variant>
      <vt:variant>
        <vt:lpwstr/>
      </vt:variant>
      <vt:variant>
        <vt:i4>4522075</vt:i4>
      </vt:variant>
      <vt:variant>
        <vt:i4>69</vt:i4>
      </vt:variant>
      <vt:variant>
        <vt:i4>0</vt:i4>
      </vt:variant>
      <vt:variant>
        <vt:i4>5</vt:i4>
      </vt:variant>
      <vt:variant>
        <vt:lpwstr>http://www.oas.org/es/sla/dlc/mesicic/docs/mesicic6_slv_a143.pdf</vt:lpwstr>
      </vt:variant>
      <vt:variant>
        <vt:lpwstr/>
      </vt:variant>
      <vt:variant>
        <vt:i4>4325467</vt:i4>
      </vt:variant>
      <vt:variant>
        <vt:i4>66</vt:i4>
      </vt:variant>
      <vt:variant>
        <vt:i4>0</vt:i4>
      </vt:variant>
      <vt:variant>
        <vt:i4>5</vt:i4>
      </vt:variant>
      <vt:variant>
        <vt:lpwstr>http://www.oas.org/es/sla/dlc/mesicic/docs/mesicic6_slv_a144.pdf</vt:lpwstr>
      </vt:variant>
      <vt:variant>
        <vt:lpwstr/>
      </vt:variant>
      <vt:variant>
        <vt:i4>4653147</vt:i4>
      </vt:variant>
      <vt:variant>
        <vt:i4>63</vt:i4>
      </vt:variant>
      <vt:variant>
        <vt:i4>0</vt:i4>
      </vt:variant>
      <vt:variant>
        <vt:i4>5</vt:i4>
      </vt:variant>
      <vt:variant>
        <vt:lpwstr>http://www.oas.org/es/sla/dlc/mesicic/docs/mesicic6_slv_a141.pdf</vt:lpwstr>
      </vt:variant>
      <vt:variant>
        <vt:lpwstr/>
      </vt:variant>
      <vt:variant>
        <vt:i4>4587611</vt:i4>
      </vt:variant>
      <vt:variant>
        <vt:i4>60</vt:i4>
      </vt:variant>
      <vt:variant>
        <vt:i4>0</vt:i4>
      </vt:variant>
      <vt:variant>
        <vt:i4>5</vt:i4>
      </vt:variant>
      <vt:variant>
        <vt:lpwstr>http://www.oas.org/es/sla/dlc/mesicic/docs/mesicic6_slv_a140.pdf</vt:lpwstr>
      </vt:variant>
      <vt:variant>
        <vt:lpwstr/>
      </vt:variant>
      <vt:variant>
        <vt:i4>4456539</vt:i4>
      </vt:variant>
      <vt:variant>
        <vt:i4>57</vt:i4>
      </vt:variant>
      <vt:variant>
        <vt:i4>0</vt:i4>
      </vt:variant>
      <vt:variant>
        <vt:i4>5</vt:i4>
      </vt:variant>
      <vt:variant>
        <vt:lpwstr>http://www.oas.org/es/sla/dlc/mesicic/docs/mesicic6_slv_a142.pdf</vt:lpwstr>
      </vt:variant>
      <vt:variant>
        <vt:lpwstr/>
      </vt:variant>
      <vt:variant>
        <vt:i4>2555975</vt:i4>
      </vt:variant>
      <vt:variant>
        <vt:i4>54</vt:i4>
      </vt:variant>
      <vt:variant>
        <vt:i4>0</vt:i4>
      </vt:variant>
      <vt:variant>
        <vt:i4>5</vt:i4>
      </vt:variant>
      <vt:variant>
        <vt:lpwstr>http://www.oas.org/es/sla/dlc/mesicic/docs/mesicic6_slv_res_cuest.pdf</vt:lpwstr>
      </vt:variant>
      <vt:variant>
        <vt:lpwstr/>
      </vt:variant>
      <vt:variant>
        <vt:i4>4325425</vt:i4>
      </vt:variant>
      <vt:variant>
        <vt:i4>51</vt:i4>
      </vt:variant>
      <vt:variant>
        <vt:i4>0</vt:i4>
      </vt:variant>
      <vt:variant>
        <vt:i4>5</vt:i4>
      </vt:variant>
      <vt:variant>
        <vt:lpwstr>http://www.oas.org/es/sla/dlc/mesicic/docs/mesicic6_slv_soc_civ.pdf</vt:lpwstr>
      </vt:variant>
      <vt:variant>
        <vt:lpwstr/>
      </vt:variant>
      <vt:variant>
        <vt:i4>4194395</vt:i4>
      </vt:variant>
      <vt:variant>
        <vt:i4>48</vt:i4>
      </vt:variant>
      <vt:variant>
        <vt:i4>0</vt:i4>
      </vt:variant>
      <vt:variant>
        <vt:i4>5</vt:i4>
      </vt:variant>
      <vt:variant>
        <vt:lpwstr>http://www.oas.org/es/sla/dlc/mesicic/docs/mesicic6_slv_a146.pdf</vt:lpwstr>
      </vt:variant>
      <vt:variant>
        <vt:lpwstr/>
      </vt:variant>
      <vt:variant>
        <vt:i4>2555975</vt:i4>
      </vt:variant>
      <vt:variant>
        <vt:i4>45</vt:i4>
      </vt:variant>
      <vt:variant>
        <vt:i4>0</vt:i4>
      </vt:variant>
      <vt:variant>
        <vt:i4>5</vt:i4>
      </vt:variant>
      <vt:variant>
        <vt:lpwstr>http://www.oas.org/es/sla/dlc/mesicic/docs/mesicic6_slv_res_cuest.pdf</vt:lpwstr>
      </vt:variant>
      <vt:variant>
        <vt:lpwstr/>
      </vt:variant>
      <vt:variant>
        <vt:i4>4325425</vt:i4>
      </vt:variant>
      <vt:variant>
        <vt:i4>42</vt:i4>
      </vt:variant>
      <vt:variant>
        <vt:i4>0</vt:i4>
      </vt:variant>
      <vt:variant>
        <vt:i4>5</vt:i4>
      </vt:variant>
      <vt:variant>
        <vt:lpwstr>http://www.oas.org/es/sla/dlc/mesicic/docs/mesicic6_slv_soc_civ.pdf</vt:lpwstr>
      </vt:variant>
      <vt:variant>
        <vt:lpwstr/>
      </vt:variant>
      <vt:variant>
        <vt:i4>2555975</vt:i4>
      </vt:variant>
      <vt:variant>
        <vt:i4>39</vt:i4>
      </vt:variant>
      <vt:variant>
        <vt:i4>0</vt:i4>
      </vt:variant>
      <vt:variant>
        <vt:i4>5</vt:i4>
      </vt:variant>
      <vt:variant>
        <vt:lpwstr>http://www.oas.org/es/sla/dlc/mesicic/docs/mesicic6_slv_res_cuest.pdf</vt:lpwstr>
      </vt:variant>
      <vt:variant>
        <vt:lpwstr/>
      </vt:variant>
      <vt:variant>
        <vt:i4>4325425</vt:i4>
      </vt:variant>
      <vt:variant>
        <vt:i4>36</vt:i4>
      </vt:variant>
      <vt:variant>
        <vt:i4>0</vt:i4>
      </vt:variant>
      <vt:variant>
        <vt:i4>5</vt:i4>
      </vt:variant>
      <vt:variant>
        <vt:lpwstr>http://www.oas.org/es/sla/dlc/mesicic/docs/mesicic6_slv_soc_civ.pdf</vt:lpwstr>
      </vt:variant>
      <vt:variant>
        <vt:lpwstr/>
      </vt:variant>
      <vt:variant>
        <vt:i4>2555975</vt:i4>
      </vt:variant>
      <vt:variant>
        <vt:i4>33</vt:i4>
      </vt:variant>
      <vt:variant>
        <vt:i4>0</vt:i4>
      </vt:variant>
      <vt:variant>
        <vt:i4>5</vt:i4>
      </vt:variant>
      <vt:variant>
        <vt:lpwstr>http://www.oas.org/es/sla/dlc/mesicic/docs/mesicic6_slv_res_cuest.pdf</vt:lpwstr>
      </vt:variant>
      <vt:variant>
        <vt:lpwstr/>
      </vt:variant>
      <vt:variant>
        <vt:i4>4915217</vt:i4>
      </vt:variant>
      <vt:variant>
        <vt:i4>30</vt:i4>
      </vt:variant>
      <vt:variant>
        <vt:i4>0</vt:i4>
      </vt:variant>
      <vt:variant>
        <vt:i4>5</vt:i4>
      </vt:variant>
      <vt:variant>
        <vt:lpwstr>https://www.oas.org/en/sla/dlc/mesicic/docs/mesicic6_metodologia_ing.pdf</vt:lpwstr>
      </vt:variant>
      <vt:variant>
        <vt:lpwstr/>
      </vt:variant>
      <vt:variant>
        <vt:i4>5636143</vt:i4>
      </vt:variant>
      <vt:variant>
        <vt:i4>27</vt:i4>
      </vt:variant>
      <vt:variant>
        <vt:i4>0</vt:i4>
      </vt:variant>
      <vt:variant>
        <vt:i4>5</vt:i4>
      </vt:variant>
      <vt:variant>
        <vt:lpwstr>http://www.oas.org/juridico/spanish/mesicic_III_inf_slv.pdf</vt:lpwstr>
      </vt:variant>
      <vt:variant>
        <vt:lpwstr/>
      </vt:variant>
      <vt:variant>
        <vt:i4>4390976</vt:i4>
      </vt:variant>
      <vt:variant>
        <vt:i4>24</vt:i4>
      </vt:variant>
      <vt:variant>
        <vt:i4>0</vt:i4>
      </vt:variant>
      <vt:variant>
        <vt:i4>5</vt:i4>
      </vt:variant>
      <vt:variant>
        <vt:lpwstr>http://www.oas.org/es/sla/dlc/mesicic/paises-rondas.html?c=El%20Salvador&amp;r=6</vt:lpwstr>
      </vt:variant>
      <vt:variant>
        <vt:lpwstr/>
      </vt:variant>
      <vt:variant>
        <vt:i4>2031712</vt:i4>
      </vt:variant>
      <vt:variant>
        <vt:i4>21</vt:i4>
      </vt:variant>
      <vt:variant>
        <vt:i4>0</vt:i4>
      </vt:variant>
      <vt:variant>
        <vt:i4>5</vt:i4>
      </vt:variant>
      <vt:variant>
        <vt:lpwstr>http://www.oas.org/juridico/english/met_onsite.pdf</vt:lpwstr>
      </vt:variant>
      <vt:variant>
        <vt:lpwstr/>
      </vt:variant>
      <vt:variant>
        <vt:i4>4915217</vt:i4>
      </vt:variant>
      <vt:variant>
        <vt:i4>18</vt:i4>
      </vt:variant>
      <vt:variant>
        <vt:i4>0</vt:i4>
      </vt:variant>
      <vt:variant>
        <vt:i4>5</vt:i4>
      </vt:variant>
      <vt:variant>
        <vt:lpwstr>https://www.oas.org/en/sla/dlc/mesicic/docs/mesicic6_metodologia_ing.pdf</vt:lpwstr>
      </vt:variant>
      <vt:variant>
        <vt:lpwstr/>
      </vt:variant>
      <vt:variant>
        <vt:i4>3211352</vt:i4>
      </vt:variant>
      <vt:variant>
        <vt:i4>15</vt:i4>
      </vt:variant>
      <vt:variant>
        <vt:i4>0</vt:i4>
      </vt:variant>
      <vt:variant>
        <vt:i4>5</vt:i4>
      </vt:variant>
      <vt:variant>
        <vt:lpwstr>http://www.oas.org/juridico/english/mesicic_rules.pdf</vt:lpwstr>
      </vt:variant>
      <vt:variant>
        <vt:lpwstr/>
      </vt:variant>
      <vt:variant>
        <vt:i4>2031712</vt:i4>
      </vt:variant>
      <vt:variant>
        <vt:i4>12</vt:i4>
      </vt:variant>
      <vt:variant>
        <vt:i4>0</vt:i4>
      </vt:variant>
      <vt:variant>
        <vt:i4>5</vt:i4>
      </vt:variant>
      <vt:variant>
        <vt:lpwstr>http://www.oas.org/juridico/english/met_onsite.pdf</vt:lpwstr>
      </vt:variant>
      <vt:variant>
        <vt:lpwstr/>
      </vt:variant>
      <vt:variant>
        <vt:i4>4391005</vt:i4>
      </vt:variant>
      <vt:variant>
        <vt:i4>9</vt:i4>
      </vt:variant>
      <vt:variant>
        <vt:i4>0</vt:i4>
      </vt:variant>
      <vt:variant>
        <vt:i4>5</vt:i4>
      </vt:variant>
      <vt:variant>
        <vt:lpwstr>http://www.oas.org/en/sla/dlc/mesicic/paises-rondas.html?c=El%20Salvador&amp;r=6</vt:lpwstr>
      </vt:variant>
      <vt:variant>
        <vt:lpwstr/>
      </vt:variant>
      <vt:variant>
        <vt:i4>983101</vt:i4>
      </vt:variant>
      <vt:variant>
        <vt:i4>6</vt:i4>
      </vt:variant>
      <vt:variant>
        <vt:i4>0</vt:i4>
      </vt:variant>
      <vt:variant>
        <vt:i4>5</vt:i4>
      </vt:variant>
      <vt:variant>
        <vt:lpwstr>http://www.oas.org/en/sla/dil/docs/inter_american_treaties_B-58_against_Corruption.pdf</vt:lpwstr>
      </vt:variant>
      <vt:variant>
        <vt:lpwstr/>
      </vt:variant>
      <vt:variant>
        <vt:i4>4259890</vt:i4>
      </vt:variant>
      <vt:variant>
        <vt:i4>3</vt:i4>
      </vt:variant>
      <vt:variant>
        <vt:i4>0</vt:i4>
      </vt:variant>
      <vt:variant>
        <vt:i4>5</vt:i4>
      </vt:variant>
      <vt:variant>
        <vt:lpwstr>http://www.oas.org/juridico/english/mesicic_III_rep_slv.pdf</vt:lpwstr>
      </vt:variant>
      <vt:variant>
        <vt:lpwstr/>
      </vt:variant>
      <vt:variant>
        <vt:i4>8257660</vt:i4>
      </vt:variant>
      <vt:variant>
        <vt:i4>0</vt:i4>
      </vt:variant>
      <vt:variant>
        <vt:i4>0</vt:i4>
      </vt:variant>
      <vt:variant>
        <vt:i4>5</vt:i4>
      </vt:variant>
      <vt:variant>
        <vt:lpwstr>http://www.oas.org/en/sla/dlc/mesicic/docs/34reunion_acta_ing.pdf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 McKenzie</dc:creator>
  <cp:keywords/>
  <dc:description/>
  <cp:lastModifiedBy>Silva, Rodrigo</cp:lastModifiedBy>
  <cp:revision>79</cp:revision>
  <cp:lastPrinted>2023-06-25T06:15:00Z</cp:lastPrinted>
  <dcterms:created xsi:type="dcterms:W3CDTF">2024-03-12T14:27:00Z</dcterms:created>
  <dcterms:modified xsi:type="dcterms:W3CDTF">2024-03-13T20:37:00Z</dcterms:modified>
</cp:coreProperties>
</file>